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FA3666" w14:textId="13309BE0" w:rsidR="009A51A2" w:rsidRDefault="00991483" w:rsidP="00A111E9">
      <w:r>
        <w:t xml:space="preserve"> </w:t>
      </w:r>
      <w:r w:rsidR="009A51A2">
        <w:rPr>
          <w:noProof/>
          <w:lang w:eastAsia="en-GB" w:bidi="ar-SA"/>
        </w:rPr>
        <w:drawing>
          <wp:inline distT="0" distB="0" distL="0" distR="0" wp14:anchorId="1FA1DD02" wp14:editId="7679415E">
            <wp:extent cx="3488400" cy="612000"/>
            <wp:effectExtent l="0" t="0" r="0" b="0"/>
            <wp:docPr id="3" name="Picture 3" title="Food Standards Australia New Zea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_Logo_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8400" cy="612000"/>
                    </a:xfrm>
                    <a:prstGeom prst="rect">
                      <a:avLst/>
                    </a:prstGeom>
                    <a:noFill/>
                    <a:ln>
                      <a:noFill/>
                    </a:ln>
                  </pic:spPr>
                </pic:pic>
              </a:graphicData>
            </a:graphic>
          </wp:inline>
        </w:drawing>
      </w:r>
    </w:p>
    <w:p w14:paraId="20F5AD23" w14:textId="77777777" w:rsidR="000328C0" w:rsidRDefault="000328C0" w:rsidP="00A111E9">
      <w:pPr>
        <w:pStyle w:val="FSTitle"/>
      </w:pPr>
    </w:p>
    <w:p w14:paraId="7B1887E2" w14:textId="59BAB008" w:rsidR="001C2E3A" w:rsidRPr="00DD0C6A" w:rsidRDefault="008525C1" w:rsidP="00A111E9">
      <w:pPr>
        <w:pStyle w:val="FSTitle"/>
      </w:pPr>
      <w:r>
        <w:t>Hazard a</w:t>
      </w:r>
      <w:r w:rsidR="001C2E3A" w:rsidRPr="00DD0C6A">
        <w:t xml:space="preserve">ssessment </w:t>
      </w:r>
      <w:r>
        <w:t>r</w:t>
      </w:r>
      <w:r w:rsidR="001C2E3A" w:rsidRPr="00DD0C6A">
        <w:t xml:space="preserve">eport </w:t>
      </w:r>
      <w:r w:rsidR="009A51A2" w:rsidRPr="00DD0C6A">
        <w:t xml:space="preserve">– </w:t>
      </w:r>
      <w:r w:rsidR="001C2E3A" w:rsidRPr="00DD0C6A">
        <w:t>Perfluor</w:t>
      </w:r>
      <w:r w:rsidR="00BD74C8">
        <w:t>o</w:t>
      </w:r>
      <w:r w:rsidR="006A44EE" w:rsidRPr="00DD0C6A">
        <w:t>o</w:t>
      </w:r>
      <w:r w:rsidR="001C2E3A" w:rsidRPr="00DD0C6A">
        <w:t>ctan</w:t>
      </w:r>
      <w:r w:rsidR="00A559F7" w:rsidRPr="00DD0C6A">
        <w:t xml:space="preserve">e </w:t>
      </w:r>
      <w:r w:rsidR="001F1088">
        <w:t>S</w:t>
      </w:r>
      <w:r w:rsidR="00A559F7" w:rsidRPr="00DD0C6A">
        <w:t>ulfonate</w:t>
      </w:r>
      <w:r w:rsidR="001C2E3A" w:rsidRPr="00DD0C6A">
        <w:t xml:space="preserve"> (</w:t>
      </w:r>
      <w:r w:rsidR="00A559F7" w:rsidRPr="00DD0C6A">
        <w:t>PFOS</w:t>
      </w:r>
      <w:r w:rsidR="001C2E3A" w:rsidRPr="00DD0C6A">
        <w:t>)</w:t>
      </w:r>
      <w:r w:rsidR="00832E5D" w:rsidRPr="00DD0C6A">
        <w:t>, Perfluorooctan</w:t>
      </w:r>
      <w:r w:rsidR="001922EF">
        <w:t>o</w:t>
      </w:r>
      <w:r w:rsidR="00070900">
        <w:t xml:space="preserve">ic </w:t>
      </w:r>
      <w:r>
        <w:t>A</w:t>
      </w:r>
      <w:r w:rsidR="00832E5D" w:rsidRPr="00DD0C6A">
        <w:t xml:space="preserve">cid </w:t>
      </w:r>
      <w:r w:rsidR="00B047A8">
        <w:t>(</w:t>
      </w:r>
      <w:r w:rsidR="00832E5D" w:rsidRPr="00DD0C6A">
        <w:t xml:space="preserve">PFOA), Perfluorohexane </w:t>
      </w:r>
      <w:r w:rsidR="00BA5D5F">
        <w:t>S</w:t>
      </w:r>
      <w:r w:rsidR="00832E5D" w:rsidRPr="00DD0C6A">
        <w:t>ulfonate (PFHxS)</w:t>
      </w:r>
    </w:p>
    <w:p w14:paraId="649C2128" w14:textId="77777777" w:rsidR="009A51A2" w:rsidRPr="00B37BF0" w:rsidRDefault="009A51A2" w:rsidP="00A111E9"/>
    <w:p w14:paraId="0582478E" w14:textId="71FFD1BF" w:rsidR="00863A5A" w:rsidRDefault="00863A5A" w:rsidP="00863A5A">
      <w:pPr>
        <w:pStyle w:val="Heading2"/>
      </w:pPr>
      <w:bookmarkStart w:id="0" w:name="_Toc482805090"/>
      <w:r>
        <w:t>Executive summary</w:t>
      </w:r>
      <w:bookmarkEnd w:id="0"/>
    </w:p>
    <w:p w14:paraId="13015A98" w14:textId="2C5AC645" w:rsidR="002A1219" w:rsidRPr="004449B9" w:rsidRDefault="002A1219" w:rsidP="004449B9">
      <w:pPr>
        <w:pStyle w:val="Heading3"/>
      </w:pPr>
      <w:r w:rsidRPr="004449B9">
        <w:t>Background</w:t>
      </w:r>
    </w:p>
    <w:p w14:paraId="7A9C0376" w14:textId="6EDA5071" w:rsidR="00237D67" w:rsidRDefault="00237D67" w:rsidP="00A111E9">
      <w:r>
        <w:t>This report has been prepared by Food Standards Australia New Zealand (FSANZ) in response to a request from the Department of Health to provide advice on appropriate health-based guidance values (HBGV) for perfluoro</w:t>
      </w:r>
      <w:r w:rsidR="00AB1878">
        <w:t>o</w:t>
      </w:r>
      <w:r>
        <w:t xml:space="preserve">ctane sulfonate (PFOS) and perfluorooctanoic acid (PFOA), and to consider whether either a separate or group HBGV can be established for perfluorohexane sulfonate (PFHxS). </w:t>
      </w:r>
      <w:r w:rsidRPr="00BB2F6F">
        <w:t>These chemicals belong to a group of compounds collectively referred to as per</w:t>
      </w:r>
      <w:r w:rsidR="00B43984">
        <w:t>- and poly-</w:t>
      </w:r>
      <w:r w:rsidRPr="00BB2F6F">
        <w:t>fluoroalkylated (PFAS) substances.</w:t>
      </w:r>
    </w:p>
    <w:p w14:paraId="4E3DCB77" w14:textId="77777777" w:rsidR="00237D67" w:rsidRDefault="00237D67" w:rsidP="00A111E9"/>
    <w:p w14:paraId="33B368FA" w14:textId="7B1FED11" w:rsidR="00237D67" w:rsidRDefault="00237D67" w:rsidP="00A111E9">
      <w:r w:rsidRPr="009418B7">
        <w:t>The mammalian toxicology of PFOS and PFOA has been considered by</w:t>
      </w:r>
      <w:r>
        <w:t xml:space="preserve"> a number of international agencies or bodies including</w:t>
      </w:r>
      <w:r w:rsidRPr="009418B7">
        <w:t xml:space="preserve"> the United Kingd</w:t>
      </w:r>
      <w:r>
        <w:t>om Committee on Toxicity</w:t>
      </w:r>
      <w:r w:rsidR="00F90E9D">
        <w:t xml:space="preserve"> </w:t>
      </w:r>
      <w:r w:rsidR="00B969B2">
        <w:t>(</w:t>
      </w:r>
      <w:r w:rsidR="00F90E9D">
        <w:t>UKCO</w:t>
      </w:r>
      <w:r w:rsidR="00AB1878">
        <w:t>T)</w:t>
      </w:r>
      <w:r w:rsidRPr="009418B7">
        <w:t>, the Europ</w:t>
      </w:r>
      <w:r>
        <w:t>ean Food Safety Authority</w:t>
      </w:r>
      <w:r w:rsidR="00CD705F">
        <w:t xml:space="preserve"> (EFSA)</w:t>
      </w:r>
      <w:r w:rsidRPr="009418B7">
        <w:t>, the Swedish Environmental</w:t>
      </w:r>
      <w:r>
        <w:t xml:space="preserve"> Protection Agency</w:t>
      </w:r>
      <w:r w:rsidR="00AB1878">
        <w:t xml:space="preserve"> (Swedish EPA)</w:t>
      </w:r>
      <w:r w:rsidR="00665657">
        <w:rPr>
          <w:rStyle w:val="FootnoteReference"/>
        </w:rPr>
        <w:footnoteReference w:id="2"/>
      </w:r>
      <w:r w:rsidRPr="009418B7">
        <w:t>, the Danish Environmenta</w:t>
      </w:r>
      <w:r>
        <w:t>l Protection Agency</w:t>
      </w:r>
      <w:r w:rsidR="00BE29F0">
        <w:t xml:space="preserve"> (Danish EPA)</w:t>
      </w:r>
      <w:r>
        <w:t>,</w:t>
      </w:r>
      <w:r w:rsidRPr="009418B7">
        <w:t xml:space="preserve"> the Agency for Toxic Substan</w:t>
      </w:r>
      <w:r>
        <w:t>ces and Disease Registry</w:t>
      </w:r>
      <w:r w:rsidRPr="009418B7">
        <w:t xml:space="preserve"> </w:t>
      </w:r>
      <w:r w:rsidR="00CD705F">
        <w:t xml:space="preserve">(ATSDR) </w:t>
      </w:r>
      <w:r w:rsidRPr="009418B7">
        <w:t>and most recently, the United States Environm</w:t>
      </w:r>
      <w:r>
        <w:t>ental Protection Agency</w:t>
      </w:r>
      <w:r w:rsidR="00CD705F">
        <w:t xml:space="preserve"> (US EPA)</w:t>
      </w:r>
      <w:r w:rsidRPr="009418B7">
        <w:t xml:space="preserve">. </w:t>
      </w:r>
      <w:r>
        <w:t>The HBGVs derived by these agencies range from 20</w:t>
      </w:r>
      <w:r w:rsidR="00B969B2">
        <w:t xml:space="preserve"> – </w:t>
      </w:r>
      <w:r>
        <w:t>300 ng/kg bw/day for PFOS and 20 – 1,500 ng/kg bw/day for PFOA (noting that the Swedish EPA established a value based on serum concentration).</w:t>
      </w:r>
    </w:p>
    <w:p w14:paraId="04CF0302" w14:textId="77777777" w:rsidR="00237D67" w:rsidRDefault="00237D67" w:rsidP="00A111E9"/>
    <w:p w14:paraId="14B32272" w14:textId="3E2F998A" w:rsidR="00237D67" w:rsidRDefault="00237D67" w:rsidP="00A111E9">
      <w:r>
        <w:t>FSANZ has used information in</w:t>
      </w:r>
      <w:r w:rsidRPr="002F5131">
        <w:t xml:space="preserve"> these comprehensive </w:t>
      </w:r>
      <w:r>
        <w:t>international assessments for the purpose of determining HBGVs for PFOS and PFOA,</w:t>
      </w:r>
      <w:r w:rsidRPr="002F5131">
        <w:t xml:space="preserve"> and in the consideration of whether</w:t>
      </w:r>
      <w:r>
        <w:t xml:space="preserve"> there </w:t>
      </w:r>
      <w:r w:rsidR="00AB1878">
        <w:t xml:space="preserve">are </w:t>
      </w:r>
      <w:r>
        <w:t>sufficient data to establish a HBGV for</w:t>
      </w:r>
      <w:r w:rsidRPr="002F5131">
        <w:t xml:space="preserve"> PFHxS.</w:t>
      </w:r>
      <w:r>
        <w:t xml:space="preserve"> </w:t>
      </w:r>
      <w:r w:rsidR="00BE205C">
        <w:t>This approach was considered justified on the basis that these evaluations have, to a large extent, considered the same extensive toxicological databases, and p</w:t>
      </w:r>
      <w:r w:rsidR="00BE205C" w:rsidRPr="002F5131">
        <w:t>ivotal</w:t>
      </w:r>
      <w:r w:rsidR="00BE205C">
        <w:t>, or supporting</w:t>
      </w:r>
      <w:r w:rsidR="00BE205C" w:rsidRPr="002F5131">
        <w:t xml:space="preserve"> studies </w:t>
      </w:r>
      <w:r w:rsidR="00BE205C">
        <w:t xml:space="preserve">for PFOS and PFOA </w:t>
      </w:r>
      <w:r w:rsidR="00BE205C" w:rsidRPr="002F5131">
        <w:t>relevant to the establishment of HBGVs</w:t>
      </w:r>
      <w:r w:rsidR="00BE205C">
        <w:t xml:space="preserve">. </w:t>
      </w:r>
      <w:r>
        <w:t>A number of these assessments have also summarised, to the extent possible, the limited available toxicological information on PFHxS.</w:t>
      </w:r>
    </w:p>
    <w:p w14:paraId="373D242A" w14:textId="77777777" w:rsidR="00237D67" w:rsidRDefault="00237D67" w:rsidP="00A111E9"/>
    <w:p w14:paraId="3FA1344D" w14:textId="12CA6E08" w:rsidR="00237D67" w:rsidRDefault="00237D67" w:rsidP="00A111E9">
      <w:r>
        <w:t xml:space="preserve">FSANZ has also had regard to the </w:t>
      </w:r>
      <w:r w:rsidRPr="00734102">
        <w:t>June 2016</w:t>
      </w:r>
      <w:r w:rsidRPr="00337DDD">
        <w:rPr>
          <w:i/>
        </w:rPr>
        <w:t xml:space="preserve"> enHealth Statement: Interim na</w:t>
      </w:r>
      <w:r>
        <w:rPr>
          <w:i/>
        </w:rPr>
        <w:t xml:space="preserve">tional guidance on human health </w:t>
      </w:r>
      <w:r w:rsidRPr="00337DDD">
        <w:rPr>
          <w:i/>
        </w:rPr>
        <w:t>reference values for per- and poly-fluoroa</w:t>
      </w:r>
      <w:r>
        <w:rPr>
          <w:i/>
        </w:rPr>
        <w:t xml:space="preserve">lkyl substances for use in site </w:t>
      </w:r>
      <w:r w:rsidRPr="00337DDD">
        <w:rPr>
          <w:i/>
        </w:rPr>
        <w:t>investigations in Australia</w:t>
      </w:r>
      <w:r w:rsidR="00534D59">
        <w:rPr>
          <w:rStyle w:val="FootnoteReference"/>
          <w:i/>
        </w:rPr>
        <w:footnoteReference w:id="3"/>
      </w:r>
      <w:r>
        <w:rPr>
          <w:i/>
        </w:rPr>
        <w:t xml:space="preserve">, </w:t>
      </w:r>
      <w:r>
        <w:t xml:space="preserve">and the August 2016 independent </w:t>
      </w:r>
      <w:r w:rsidRPr="00197D52">
        <w:rPr>
          <w:i/>
        </w:rPr>
        <w:t>Procedural Review of Health Reference Values Established by enHealth for PFAS</w:t>
      </w:r>
      <w:r w:rsidR="00534D59">
        <w:rPr>
          <w:rStyle w:val="FootnoteReference"/>
          <w:i/>
        </w:rPr>
        <w:footnoteReference w:id="4"/>
      </w:r>
      <w:r>
        <w:t>. The latter report identified that t</w:t>
      </w:r>
      <w:r w:rsidRPr="00197D52">
        <w:t xml:space="preserve">he main reasons for the differences in HBGVs internationally is related to the use of </w:t>
      </w:r>
      <w:r w:rsidR="00F90E9D">
        <w:t>physiologically based pharmacokinetic (</w:t>
      </w:r>
      <w:r w:rsidRPr="00197D52">
        <w:t>PBPK</w:t>
      </w:r>
      <w:r w:rsidR="00F90E9D">
        <w:t>)</w:t>
      </w:r>
      <w:r w:rsidRPr="00197D52">
        <w:t xml:space="preserve"> modelling by the US EPA and ATSDR, and differences in selection of </w:t>
      </w:r>
      <w:r w:rsidRPr="00197D52">
        <w:lastRenderedPageBreak/>
        <w:t xml:space="preserve">uncertainty factors by the agencies involved. </w:t>
      </w:r>
      <w:r>
        <w:t>In addition,</w:t>
      </w:r>
      <w:r w:rsidR="00F90E9D">
        <w:t xml:space="preserve"> </w:t>
      </w:r>
      <w:r w:rsidR="00833A91">
        <w:t xml:space="preserve">the report </w:t>
      </w:r>
      <w:r>
        <w:t xml:space="preserve">provided recommendations for FSANZ to consider relating to the interpretation of epidemiological findings related to birth weight and serum cholesterol, and the recent </w:t>
      </w:r>
      <w:r w:rsidR="00534D59">
        <w:t xml:space="preserve">United States </w:t>
      </w:r>
      <w:r>
        <w:t>N</w:t>
      </w:r>
      <w:r w:rsidR="006B3197">
        <w:t>ational Toxicology Program</w:t>
      </w:r>
      <w:r w:rsidR="00F90E9D">
        <w:t xml:space="preserve"> (US NTP)</w:t>
      </w:r>
      <w:r>
        <w:t xml:space="preserve"> report on immunotoxicity.</w:t>
      </w:r>
    </w:p>
    <w:p w14:paraId="3E484F27" w14:textId="2AD00E10" w:rsidR="00E53073" w:rsidRPr="00E53073" w:rsidRDefault="00BB32D3" w:rsidP="004264B6">
      <w:pPr>
        <w:pStyle w:val="Heading4"/>
      </w:pPr>
      <w:r>
        <w:t>Human studies</w:t>
      </w:r>
    </w:p>
    <w:p w14:paraId="4E774719" w14:textId="635B94BE" w:rsidR="002468EE" w:rsidRDefault="00237D67" w:rsidP="00A111E9">
      <w:r w:rsidRPr="00792A88">
        <w:t xml:space="preserve">Associations between PFOS exposure and several health effects have been reported in epidemiological studies, although a number of findings are inconsistent between studies and the biological significance of </w:t>
      </w:r>
      <w:r w:rsidR="006311E1">
        <w:t>a number</w:t>
      </w:r>
      <w:r w:rsidRPr="00792A88">
        <w:t xml:space="preserve"> of the observed effects is questionable. EFSA </w:t>
      </w:r>
      <w:r w:rsidR="006311E1">
        <w:t xml:space="preserve">(2008) </w:t>
      </w:r>
      <w:r w:rsidRPr="00792A88">
        <w:t xml:space="preserve">and ATSDR </w:t>
      </w:r>
      <w:r w:rsidR="006311E1">
        <w:t xml:space="preserve">(2015) </w:t>
      </w:r>
      <w:r w:rsidRPr="00792A88">
        <w:t>concluded that it is not possible to identify any causal associations based on limitations in study design and/or inconsistencies in st</w:t>
      </w:r>
      <w:r w:rsidR="00E914A0">
        <w:t>udy results.</w:t>
      </w:r>
    </w:p>
    <w:p w14:paraId="09D0B24F" w14:textId="77777777" w:rsidR="002468EE" w:rsidRDefault="002468EE" w:rsidP="00A111E9"/>
    <w:p w14:paraId="7E94BBC8" w14:textId="1C0CEFBB" w:rsidR="00371CAD" w:rsidRDefault="002468EE" w:rsidP="00A111E9">
      <w:r>
        <w:t>T</w:t>
      </w:r>
      <w:r w:rsidR="00E914A0">
        <w:t>he US EPA</w:t>
      </w:r>
      <w:r w:rsidR="00237D67" w:rsidRPr="00C0096A">
        <w:t xml:space="preserve"> </w:t>
      </w:r>
      <w:r w:rsidR="006311E1">
        <w:t xml:space="preserve">(2016) </w:t>
      </w:r>
      <w:r w:rsidR="00237D67" w:rsidRPr="00C0096A">
        <w:t>concluded that associations that appear to be reasonably consistent and repeatable are those with increased serum cholesterol and dec</w:t>
      </w:r>
      <w:r w:rsidR="009B2116">
        <w:t>reased body weights at birth</w:t>
      </w:r>
      <w:r w:rsidR="00237D67" w:rsidRPr="00C0096A">
        <w:t>.</w:t>
      </w:r>
      <w:r>
        <w:t xml:space="preserve"> </w:t>
      </w:r>
      <w:r w:rsidR="00371CAD">
        <w:t>FSANZ has reviewed the available human epidemiological information and concluded that</w:t>
      </w:r>
      <w:r w:rsidR="00526180">
        <w:t xml:space="preserve"> while there is evidence of these</w:t>
      </w:r>
      <w:r w:rsidR="00371CAD">
        <w:t xml:space="preserve"> association</w:t>
      </w:r>
      <w:r w:rsidR="00526180">
        <w:t>s</w:t>
      </w:r>
      <w:r w:rsidR="00371CAD">
        <w:t>, it is not possible to determine whether PF</w:t>
      </w:r>
      <w:r w:rsidR="004A2560">
        <w:t>OS or PFOA cause</w:t>
      </w:r>
      <w:r w:rsidR="00371CAD">
        <w:t xml:space="preserve"> the changes, or wheth</w:t>
      </w:r>
      <w:r w:rsidR="00DE77BC">
        <w:t>er other factors are involved.</w:t>
      </w:r>
      <w:r w:rsidR="00DE77BC" w:rsidRPr="00DE77BC">
        <w:t xml:space="preserve"> </w:t>
      </w:r>
      <w:r w:rsidR="009C0EF4">
        <w:t>As these are observational studies</w:t>
      </w:r>
      <w:r w:rsidR="0081560F" w:rsidRPr="0081560F">
        <w:t xml:space="preserve">, FSANZ considers that the meaning and clinical significance of the associations for PFOS and PFOA for decreased birth weight and </w:t>
      </w:r>
      <w:r w:rsidR="009C0EF4">
        <w:t xml:space="preserve">increased </w:t>
      </w:r>
      <w:r w:rsidR="0081560F" w:rsidRPr="0081560F">
        <w:t xml:space="preserve">cholesterol in humans </w:t>
      </w:r>
      <w:r w:rsidR="0049407E">
        <w:t>are uncertain and should be interpreted with caution.</w:t>
      </w:r>
    </w:p>
    <w:p w14:paraId="5EF9EEAB" w14:textId="77777777" w:rsidR="009C1F9B" w:rsidRDefault="009C1F9B" w:rsidP="00A111E9"/>
    <w:p w14:paraId="181EDCEE" w14:textId="238AF25D" w:rsidR="00237D67" w:rsidRDefault="009C1F9B" w:rsidP="00A111E9">
      <w:r w:rsidRPr="009C1F9B">
        <w:t>A recent draft systematic review of immunotoxicity associated with exposure to PFOA or PFOS by the US NTP concluded that both PFOS and PFOA are presumed to be an immune hazards to humans. A literature review commissioned by FSANZ concluded that there are both positive and negative studies showing associations for increasing PFOS and PFOA concentrations to compromise antibody production in humans. However, to date there is no  convincing evidence for increased incidence of infective disease associated with PFOS or PFOA effects on human immune function.</w:t>
      </w:r>
    </w:p>
    <w:p w14:paraId="42AC8CB2" w14:textId="47490619" w:rsidR="0047703E" w:rsidRDefault="0047703E" w:rsidP="00A111E9"/>
    <w:p w14:paraId="4DA4B8E5" w14:textId="6F2E0367" w:rsidR="009C1F9B" w:rsidRDefault="00DB2443" w:rsidP="00A111E9">
      <w:r>
        <w:rPr>
          <w:color w:val="000000"/>
          <w:szCs w:val="22"/>
        </w:rPr>
        <w:t xml:space="preserve">Epidemiological studies have not provided convincing evidence of a correlation between PFOS and PFHxS and any cancer type in human beings. </w:t>
      </w:r>
      <w:r>
        <w:t>Although associations between PFOA and some human cancers have been suggested from some epidemiological studies, results have often been contradictory, and a causal relationship cannot be established with reasonable confidence</w:t>
      </w:r>
    </w:p>
    <w:p w14:paraId="06284104" w14:textId="4E319B9F" w:rsidR="00BB32D3" w:rsidRPr="00BB32D3" w:rsidRDefault="00BB32D3" w:rsidP="004264B6">
      <w:pPr>
        <w:pStyle w:val="Heading4"/>
      </w:pPr>
      <w:r w:rsidRPr="00BB32D3">
        <w:t>Animal toxicity studies</w:t>
      </w:r>
    </w:p>
    <w:p w14:paraId="61C26EAB" w14:textId="2D33370C" w:rsidR="00237D67" w:rsidRDefault="00237D67" w:rsidP="00A111E9">
      <w:r>
        <w:t>PFOS and PFOA were rapidly absorbed from the gastrointestinal tract</w:t>
      </w:r>
      <w:r w:rsidR="00377433">
        <w:t xml:space="preserve"> of laboratory animals</w:t>
      </w:r>
      <w:r>
        <w:t xml:space="preserve">. Both compounds </w:t>
      </w:r>
      <w:r w:rsidR="007C1D88">
        <w:t>were</w:t>
      </w:r>
      <w:r w:rsidRPr="00C0096A">
        <w:t xml:space="preserve"> highly bound to </w:t>
      </w:r>
      <w:r w:rsidR="006D0988">
        <w:t>serum albumin and other plasma proteins</w:t>
      </w:r>
      <w:r>
        <w:t xml:space="preserve"> in the circulation</w:t>
      </w:r>
      <w:r w:rsidR="006D0988">
        <w:t>,</w:t>
      </w:r>
      <w:r>
        <w:t xml:space="preserve"> with the highest concentrations generally reported</w:t>
      </w:r>
      <w:r w:rsidRPr="00C0096A">
        <w:t xml:space="preserve"> in liver, serum, lung </w:t>
      </w:r>
      <w:r>
        <w:t>and kidney</w:t>
      </w:r>
      <w:r w:rsidRPr="00C0096A">
        <w:t xml:space="preserve">. There </w:t>
      </w:r>
      <w:r w:rsidR="005C3D29">
        <w:t>was no evidence</w:t>
      </w:r>
      <w:r w:rsidRPr="00C0096A">
        <w:t xml:space="preserve"> that </w:t>
      </w:r>
      <w:r>
        <w:t xml:space="preserve">either </w:t>
      </w:r>
      <w:r w:rsidRPr="00C0096A">
        <w:t xml:space="preserve">PFOS </w:t>
      </w:r>
      <w:r>
        <w:t>or PFOA are</w:t>
      </w:r>
      <w:r w:rsidRPr="00C0096A">
        <w:t xml:space="preserve"> metabolised in vivo. </w:t>
      </w:r>
      <w:r w:rsidR="007C1D88">
        <w:t xml:space="preserve">Elimination of </w:t>
      </w:r>
      <w:r w:rsidRPr="00C0096A">
        <w:t>PFOS</w:t>
      </w:r>
      <w:r>
        <w:t xml:space="preserve"> and PFOA </w:t>
      </w:r>
      <w:r w:rsidR="007C1D88">
        <w:t>occurred</w:t>
      </w:r>
      <w:r w:rsidRPr="00C0096A">
        <w:t xml:space="preserve"> primarily in the urine with lower amounts recovered in the faeces.</w:t>
      </w:r>
      <w:r w:rsidR="00297C09">
        <w:t xml:space="preserve"> </w:t>
      </w:r>
      <w:r w:rsidR="00B5309F">
        <w:t>Marked</w:t>
      </w:r>
      <w:r>
        <w:t xml:space="preserve"> differences in the elimination </w:t>
      </w:r>
      <w:r w:rsidR="00CD705F">
        <w:t>half-life</w:t>
      </w:r>
      <w:r>
        <w:t xml:space="preserve"> of PFOS</w:t>
      </w:r>
      <w:r w:rsidR="007C1D88">
        <w:t>,</w:t>
      </w:r>
      <w:r>
        <w:t xml:space="preserve"> PFOA </w:t>
      </w:r>
      <w:r w:rsidR="007C1D88">
        <w:t xml:space="preserve">and PFHxS </w:t>
      </w:r>
      <w:r w:rsidR="00641D8B">
        <w:t xml:space="preserve">were </w:t>
      </w:r>
      <w:r>
        <w:t>observed between laboratory animal</w:t>
      </w:r>
      <w:r w:rsidR="00B04ECA">
        <w:t>s and humans</w:t>
      </w:r>
      <w:r w:rsidR="00B5309F">
        <w:t xml:space="preserve">. </w:t>
      </w:r>
      <w:r w:rsidR="007C1D88">
        <w:t>H</w:t>
      </w:r>
      <w:r w:rsidR="0087214F">
        <w:t>alf-life values we</w:t>
      </w:r>
      <w:r w:rsidR="007C1D88">
        <w:t>re usually measured in days for laboratory animals and years for humans.</w:t>
      </w:r>
    </w:p>
    <w:p w14:paraId="105BE5A3" w14:textId="3A5E0A72" w:rsidR="00C97AB3" w:rsidRDefault="00C97AB3" w:rsidP="00A111E9"/>
    <w:p w14:paraId="35331546" w14:textId="760AE461" w:rsidR="009A591C" w:rsidRDefault="00237D67" w:rsidP="00A111E9">
      <w:r w:rsidRPr="00B42BC7">
        <w:t>PFOS and PFOA were of moderate acute toxicity following oral ingestion. In repeat dose studies</w:t>
      </w:r>
      <w:r w:rsidR="00BB32D3">
        <w:t>,</w:t>
      </w:r>
      <w:r w:rsidRPr="00B42BC7">
        <w:t xml:space="preserve"> the primary target organ was the liver. Toxicological findings in the liver included increased liver weight associated with </w:t>
      </w:r>
      <w:r w:rsidR="00C046DD">
        <w:t>hepatocellular</w:t>
      </w:r>
      <w:r w:rsidR="00C046DD" w:rsidRPr="00B42BC7">
        <w:t xml:space="preserve"> </w:t>
      </w:r>
      <w:r w:rsidRPr="00B42BC7">
        <w:t xml:space="preserve">hypertrophy, and occasionally vacuolation and increased enzyme markers of liver toxicity in serum. A notable finding </w:t>
      </w:r>
      <w:r>
        <w:t>in animal experiments</w:t>
      </w:r>
      <w:r w:rsidR="00B43984">
        <w:t>, particularly in monkeys,</w:t>
      </w:r>
      <w:r>
        <w:t xml:space="preserve"> </w:t>
      </w:r>
      <w:r w:rsidRPr="00B42BC7">
        <w:t>was steep dose</w:t>
      </w:r>
      <w:r w:rsidR="001012A5">
        <w:t>-</w:t>
      </w:r>
      <w:r w:rsidRPr="00B42BC7">
        <w:t>response curve</w:t>
      </w:r>
      <w:r>
        <w:t>s</w:t>
      </w:r>
      <w:r w:rsidRPr="00B42BC7">
        <w:t xml:space="preserve"> which had a narrow dose range between </w:t>
      </w:r>
      <w:r w:rsidR="00590A19">
        <w:t xml:space="preserve">the </w:t>
      </w:r>
      <w:r w:rsidRPr="00B42BC7">
        <w:t>no observed advers</w:t>
      </w:r>
      <w:r>
        <w:t>e effect level (NOAEL)</w:t>
      </w:r>
      <w:r w:rsidRPr="00B42BC7">
        <w:t xml:space="preserve"> and treatment-related mortality.</w:t>
      </w:r>
    </w:p>
    <w:p w14:paraId="4A4CA7C0" w14:textId="77777777" w:rsidR="00B43984" w:rsidRDefault="00B43984" w:rsidP="00A111E9"/>
    <w:p w14:paraId="0F55FE25" w14:textId="1AE8526E" w:rsidR="00237D67" w:rsidRPr="00B42BC7" w:rsidRDefault="00237D67" w:rsidP="00A111E9">
      <w:r w:rsidRPr="00B42BC7">
        <w:t>PFOS induced liv</w:t>
      </w:r>
      <w:r>
        <w:t xml:space="preserve">er tumours in rats at doses </w:t>
      </w:r>
      <w:r w:rsidRPr="004A2292">
        <w:t>above those observed for other non-neoplastic effects in the liver</w:t>
      </w:r>
      <w:r w:rsidRPr="00B42BC7">
        <w:t xml:space="preserve">. </w:t>
      </w:r>
      <w:r w:rsidR="00155BEC" w:rsidRPr="00155BEC">
        <w:t xml:space="preserve">The increased incidence of liver cell tumours appears to be due to </w:t>
      </w:r>
      <w:r w:rsidR="00564956">
        <w:t>peroxisome proliferator activated receptor (PPAR)</w:t>
      </w:r>
      <w:r w:rsidR="00155BEC" w:rsidRPr="00155BEC">
        <w:t xml:space="preserve"> agonism, a mechanism that is not relevant to human beings</w:t>
      </w:r>
      <w:r w:rsidR="00564956">
        <w:t xml:space="preserve">. </w:t>
      </w:r>
      <w:r w:rsidR="00564956" w:rsidRPr="00564956">
        <w:lastRenderedPageBreak/>
        <w:t xml:space="preserve">PFOA induced </w:t>
      </w:r>
      <w:r w:rsidR="00564956">
        <w:t>Leydig cell tumours in rats, possibly also through a PPAR mediated mechanism.</w:t>
      </w:r>
      <w:r w:rsidR="00297C09">
        <w:t xml:space="preserve"> </w:t>
      </w:r>
      <w:r w:rsidRPr="00B42BC7">
        <w:t>The weight of evidence from a range of genotoxicity studies suggest</w:t>
      </w:r>
      <w:r w:rsidR="00564956">
        <w:t>s that PFOS and PFOA are not genotoxic</w:t>
      </w:r>
      <w:r w:rsidRPr="00B42BC7">
        <w:t>.</w:t>
      </w:r>
      <w:r w:rsidR="006C4320">
        <w:t xml:space="preserve"> </w:t>
      </w:r>
    </w:p>
    <w:p w14:paraId="710394A6" w14:textId="77777777" w:rsidR="00237D67" w:rsidRDefault="00237D67" w:rsidP="00A111E9">
      <w:pPr>
        <w:rPr>
          <w:i/>
        </w:rPr>
      </w:pPr>
    </w:p>
    <w:p w14:paraId="64C4CA45" w14:textId="5083E3A2" w:rsidR="00090311" w:rsidRPr="00AA5EEE" w:rsidRDefault="00A42C72" w:rsidP="00A111E9">
      <w:r>
        <w:rPr>
          <w:lang w:bidi="ar-SA"/>
        </w:rPr>
        <w:t xml:space="preserve">Fetal and neonatal toxicity </w:t>
      </w:r>
      <w:r w:rsidR="007D5A93">
        <w:rPr>
          <w:lang w:bidi="ar-SA"/>
        </w:rPr>
        <w:t xml:space="preserve">were </w:t>
      </w:r>
      <w:r>
        <w:rPr>
          <w:lang w:bidi="ar-SA"/>
        </w:rPr>
        <w:t xml:space="preserve">observed in reproductive and developmental studies with PFOS </w:t>
      </w:r>
      <w:r w:rsidR="00B5309F">
        <w:rPr>
          <w:lang w:bidi="ar-SA"/>
        </w:rPr>
        <w:t xml:space="preserve">and PFOA </w:t>
      </w:r>
      <w:r>
        <w:rPr>
          <w:lang w:bidi="ar-SA"/>
        </w:rPr>
        <w:t>at doses which were similar to</w:t>
      </w:r>
      <w:r w:rsidR="00590A19">
        <w:rPr>
          <w:lang w:bidi="ar-SA"/>
        </w:rPr>
        <w:t>,</w:t>
      </w:r>
      <w:r>
        <w:rPr>
          <w:lang w:bidi="ar-SA"/>
        </w:rPr>
        <w:t xml:space="preserve"> or below those producing maternal toxicity. </w:t>
      </w:r>
      <w:r w:rsidR="00ED77BC">
        <w:t>A</w:t>
      </w:r>
      <w:r w:rsidR="00090311" w:rsidRPr="00AA5EEE">
        <w:t xml:space="preserve">dverse effects included early embryonic loss, reduced ossification, increased incidence of microcardia, decreased postnatal </w:t>
      </w:r>
      <w:r w:rsidR="00E83E80">
        <w:t>body weight</w:t>
      </w:r>
      <w:r w:rsidR="00090311" w:rsidRPr="00AA5EEE">
        <w:t xml:space="preserve"> gain, liver hypertrophy and reduced fecundity of prenatally expose</w:t>
      </w:r>
      <w:r w:rsidR="00B5309F">
        <w:t xml:space="preserve">d females. One research team </w:t>
      </w:r>
      <w:r w:rsidR="00090311" w:rsidRPr="00AA5EEE">
        <w:t>published a number of studies describing microscopic effects</w:t>
      </w:r>
      <w:r w:rsidR="00ED77BC">
        <w:t xml:space="preserve"> of PFOA</w:t>
      </w:r>
      <w:r w:rsidR="00090311" w:rsidRPr="00AA5EEE">
        <w:t xml:space="preserve"> on mammogen</w:t>
      </w:r>
      <w:r w:rsidR="00AA5EEE">
        <w:t>e</w:t>
      </w:r>
      <w:r w:rsidR="00090311" w:rsidRPr="00AA5EEE">
        <w:t>sis, but these di</w:t>
      </w:r>
      <w:r w:rsidR="00AA5EEE" w:rsidRPr="00AA5EEE">
        <w:t>d not appear to affect lactation.</w:t>
      </w:r>
    </w:p>
    <w:p w14:paraId="597F0B0B" w14:textId="77777777" w:rsidR="00237D67" w:rsidRDefault="00237D67" w:rsidP="00A111E9"/>
    <w:p w14:paraId="28DF3044" w14:textId="6143A1C1" w:rsidR="009C1BE4" w:rsidRPr="00135214" w:rsidRDefault="009C1BE4" w:rsidP="00A111E9">
      <w:pPr>
        <w:rPr>
          <w:lang w:eastAsia="en-AU" w:bidi="ar-SA"/>
        </w:rPr>
      </w:pPr>
      <w:r w:rsidRPr="00135214">
        <w:rPr>
          <w:lang w:eastAsia="en-AU" w:bidi="ar-SA"/>
        </w:rPr>
        <w:t xml:space="preserve">A literature search identified only one toxicity study conducted with PFHxS that was considered useful for regulatory purposes. </w:t>
      </w:r>
      <w:r w:rsidR="0087214F" w:rsidRPr="0087214F">
        <w:rPr>
          <w:lang w:eastAsia="en-AU" w:bidi="ar-SA"/>
        </w:rPr>
        <w:t>There was no evidence of</w:t>
      </w:r>
      <w:r w:rsidRPr="00135214">
        <w:rPr>
          <w:lang w:eastAsia="en-AU" w:bidi="ar-SA"/>
        </w:rPr>
        <w:t xml:space="preserve"> reproductive </w:t>
      </w:r>
      <w:r w:rsidR="0087214F" w:rsidRPr="0087214F">
        <w:rPr>
          <w:lang w:eastAsia="en-AU" w:bidi="ar-SA"/>
        </w:rPr>
        <w:t>or</w:t>
      </w:r>
      <w:r w:rsidRPr="00135214">
        <w:rPr>
          <w:lang w:eastAsia="en-AU" w:bidi="ar-SA"/>
        </w:rPr>
        <w:t xml:space="preserve"> developmental toxicity in rats</w:t>
      </w:r>
      <w:r w:rsidR="0087214F">
        <w:rPr>
          <w:lang w:eastAsia="en-AU" w:bidi="ar-SA"/>
        </w:rPr>
        <w:t xml:space="preserve"> at doses of up to 10 mg/kg bw/day</w:t>
      </w:r>
      <w:r w:rsidR="0087214F" w:rsidRPr="0087214F">
        <w:rPr>
          <w:lang w:eastAsia="en-AU" w:bidi="ar-SA"/>
        </w:rPr>
        <w:t>.</w:t>
      </w:r>
    </w:p>
    <w:p w14:paraId="317504AF" w14:textId="77777777" w:rsidR="00E101A5" w:rsidRDefault="00E101A5" w:rsidP="00A111E9">
      <w:pPr>
        <w:rPr>
          <w:i/>
        </w:rPr>
      </w:pPr>
    </w:p>
    <w:p w14:paraId="5A4693A1" w14:textId="2A62ED09" w:rsidR="00237D67" w:rsidRPr="00BB32D3" w:rsidRDefault="00641D8B" w:rsidP="00A111E9">
      <w:pPr>
        <w:rPr>
          <w:i/>
        </w:rPr>
      </w:pPr>
      <w:r w:rsidRPr="00BB32D3">
        <w:rPr>
          <w:i/>
        </w:rPr>
        <w:t xml:space="preserve">Derivation of a </w:t>
      </w:r>
      <w:r w:rsidR="0007229B">
        <w:rPr>
          <w:i/>
        </w:rPr>
        <w:t>t</w:t>
      </w:r>
      <w:r w:rsidRPr="00BB32D3">
        <w:rPr>
          <w:i/>
        </w:rPr>
        <w:t xml:space="preserve">olerable </w:t>
      </w:r>
      <w:r w:rsidR="0007229B">
        <w:rPr>
          <w:i/>
        </w:rPr>
        <w:t>d</w:t>
      </w:r>
      <w:r w:rsidRPr="00BB32D3">
        <w:rPr>
          <w:i/>
        </w:rPr>
        <w:t xml:space="preserve">aily </w:t>
      </w:r>
      <w:r w:rsidR="0007229B">
        <w:rPr>
          <w:i/>
        </w:rPr>
        <w:t>i</w:t>
      </w:r>
      <w:r w:rsidRPr="00BB32D3">
        <w:rPr>
          <w:i/>
        </w:rPr>
        <w:t>ntake</w:t>
      </w:r>
    </w:p>
    <w:p w14:paraId="72D3D8BA" w14:textId="77777777" w:rsidR="00641D8B" w:rsidRDefault="00641D8B" w:rsidP="00A111E9"/>
    <w:p w14:paraId="03FABEA4" w14:textId="302C334F" w:rsidR="004F3F9C" w:rsidRDefault="004F3F9C" w:rsidP="00A111E9">
      <w:r>
        <w:t>T</w:t>
      </w:r>
      <w:r w:rsidR="00D10449" w:rsidRPr="00D10449">
        <w:t xml:space="preserve">he available </w:t>
      </w:r>
      <w:r w:rsidR="00353A1A">
        <w:t xml:space="preserve">human </w:t>
      </w:r>
      <w:r w:rsidR="00D10449" w:rsidRPr="00D10449">
        <w:t>epidemiology data are not suitable</w:t>
      </w:r>
      <w:r w:rsidR="00590A19">
        <w:t xml:space="preserve"> to support the der</w:t>
      </w:r>
      <w:r w:rsidR="00BB32D3">
        <w:t>iv</w:t>
      </w:r>
      <w:r w:rsidR="00590A19">
        <w:t>ation of a</w:t>
      </w:r>
      <w:r w:rsidR="00D10449" w:rsidRPr="00D10449">
        <w:t xml:space="preserve"> </w:t>
      </w:r>
      <w:r w:rsidR="00036CA0">
        <w:t>tolerable daily intake (</w:t>
      </w:r>
      <w:r w:rsidR="00D10449" w:rsidRPr="00D10449">
        <w:t>TDI</w:t>
      </w:r>
      <w:r w:rsidR="00036CA0">
        <w:t>)</w:t>
      </w:r>
      <w:r w:rsidR="00D10449" w:rsidRPr="00D10449">
        <w:t xml:space="preserve"> for PFOS or PFOA.</w:t>
      </w:r>
    </w:p>
    <w:p w14:paraId="7E6E9918" w14:textId="77777777" w:rsidR="004F3F9C" w:rsidRDefault="004F3F9C" w:rsidP="00A111E9"/>
    <w:p w14:paraId="4515A4E3" w14:textId="5DAF0845" w:rsidR="00237D67" w:rsidRDefault="00D10449" w:rsidP="00A111E9">
      <w:r w:rsidRPr="00D10449">
        <w:t>Therefore</w:t>
      </w:r>
      <w:r w:rsidR="00CD705F">
        <w:t>,</w:t>
      </w:r>
      <w:r w:rsidRPr="00D10449">
        <w:t xml:space="preserve"> the </w:t>
      </w:r>
      <w:r w:rsidR="00764337">
        <w:t xml:space="preserve">recommended </w:t>
      </w:r>
      <w:r w:rsidRPr="00D10449">
        <w:t>TDI</w:t>
      </w:r>
      <w:r w:rsidR="00764337">
        <w:t>s are</w:t>
      </w:r>
      <w:r w:rsidRPr="00D10449">
        <w:t xml:space="preserve"> based on the finding</w:t>
      </w:r>
      <w:r w:rsidR="00353A1A">
        <w:t>s of</w:t>
      </w:r>
      <w:r w:rsidRPr="00D10449">
        <w:t xml:space="preserve"> toxicological studies in laboratory animals. </w:t>
      </w:r>
      <w:r w:rsidR="00DB4F42" w:rsidRPr="00DB4F42">
        <w:t xml:space="preserve">Given the </w:t>
      </w:r>
      <w:r w:rsidR="00835D8D">
        <w:t>marked</w:t>
      </w:r>
      <w:r w:rsidR="00DB4F42" w:rsidRPr="00DB4F42">
        <w:t xml:space="preserve"> variation in the half-life of both PFOS and PFOA in the various species, a pharmacokinetic modelling approach (that</w:t>
      </w:r>
      <w:r w:rsidR="00353A1A">
        <w:t xml:space="preserve"> recognises and adjusts for</w:t>
      </w:r>
      <w:r w:rsidR="00DB4F42" w:rsidRPr="00DB4F42">
        <w:t xml:space="preserve"> half-life and other pharmacokinetic variation in and between species) is preferred to a</w:t>
      </w:r>
      <w:r w:rsidR="00DB4F42">
        <w:t>n approach based on the use of the NOAEL</w:t>
      </w:r>
      <w:r w:rsidR="00764337">
        <w:t>,</w:t>
      </w:r>
      <w:r w:rsidR="00DB4F42">
        <w:t xml:space="preserve"> and the application of </w:t>
      </w:r>
      <w:r w:rsidR="00835D8D">
        <w:t xml:space="preserve">a </w:t>
      </w:r>
      <w:r w:rsidR="00DB4F42">
        <w:t>default uncertainty factor</w:t>
      </w:r>
      <w:r w:rsidR="00835D8D">
        <w:t xml:space="preserve"> </w:t>
      </w:r>
      <w:r w:rsidR="00DB4F42">
        <w:t xml:space="preserve">to </w:t>
      </w:r>
      <w:r w:rsidR="00B43984">
        <w:t xml:space="preserve">account </w:t>
      </w:r>
      <w:r w:rsidR="00DB4F42">
        <w:t>for pharmacokinetic differences.</w:t>
      </w:r>
    </w:p>
    <w:p w14:paraId="6A637706" w14:textId="77777777" w:rsidR="00237D67" w:rsidRDefault="00237D67" w:rsidP="00A111E9"/>
    <w:p w14:paraId="05AEE927" w14:textId="6AD9B29B" w:rsidR="00237D67" w:rsidRDefault="00764337" w:rsidP="00A111E9">
      <w:r>
        <w:t>For PFOS, FSANZ has recommend</w:t>
      </w:r>
      <w:r w:rsidR="00237D67">
        <w:t xml:space="preserve">ed a TDI of 20 ng/kg bw/day on the basis of decreased parental and offspring </w:t>
      </w:r>
      <w:r w:rsidR="00E83E80">
        <w:t>body weight</w:t>
      </w:r>
      <w:r w:rsidR="00237D67">
        <w:t xml:space="preserve"> gains in a multigeneration reproductive toxicity study in rats. The TDI was derived by applying pharmacokinetic modelling to the serum PFOS concentrations measured in experimental animals at the NOAELs in these and other critical studies, to calculate human equivalent doses (HED). An uncertainty factor of 30 was applied to the HEDs, which comprised a</w:t>
      </w:r>
      <w:r w:rsidR="003B4E84">
        <w:t xml:space="preserve"> default</w:t>
      </w:r>
      <w:r w:rsidR="00237D67">
        <w:t xml:space="preserve"> factor of 3 to account for inter</w:t>
      </w:r>
      <w:r w:rsidR="000203C4">
        <w:t>species</w:t>
      </w:r>
      <w:r w:rsidR="00237D67">
        <w:t xml:space="preserve"> differences in toxicodynamics and a</w:t>
      </w:r>
      <w:r w:rsidR="003B4E84">
        <w:t xml:space="preserve"> default</w:t>
      </w:r>
      <w:r w:rsidR="00237D67">
        <w:t xml:space="preserve"> factor of 10 for intra</w:t>
      </w:r>
      <w:r w:rsidR="00032CF6">
        <w:t>species</w:t>
      </w:r>
      <w:r w:rsidR="00237D67">
        <w:t xml:space="preserve"> differences in the human population.</w:t>
      </w:r>
    </w:p>
    <w:p w14:paraId="7E0F1FC5" w14:textId="77777777" w:rsidR="007C1296" w:rsidRDefault="007C1296" w:rsidP="00A111E9"/>
    <w:p w14:paraId="3C603EA1" w14:textId="3B7A9625" w:rsidR="00237D67" w:rsidRDefault="00764337" w:rsidP="00A111E9">
      <w:r>
        <w:t>For PFOA, FSANZ has recommend</w:t>
      </w:r>
      <w:r w:rsidR="00237D67" w:rsidRPr="00237D67">
        <w:t xml:space="preserve">ed a TDI of </w:t>
      </w:r>
      <w:r w:rsidR="00237D67">
        <w:t>1</w:t>
      </w:r>
      <w:r w:rsidR="0047601C">
        <w:t>6</w:t>
      </w:r>
      <w:r w:rsidR="00237D67">
        <w:t>0</w:t>
      </w:r>
      <w:r w:rsidR="00237D67" w:rsidRPr="00237D67">
        <w:t xml:space="preserve"> ng/kg bw/day on the basis of a NOAEL </w:t>
      </w:r>
      <w:r w:rsidR="00FA59AE">
        <w:t>for</w:t>
      </w:r>
      <w:r w:rsidR="00237D67" w:rsidRPr="00237D67">
        <w:t xml:space="preserve"> </w:t>
      </w:r>
      <w:r w:rsidR="0047601C">
        <w:t>fetal toxicity</w:t>
      </w:r>
      <w:r w:rsidR="00090311">
        <w:t xml:space="preserve"> in a </w:t>
      </w:r>
      <w:r w:rsidR="0047601C">
        <w:t>developmental and reproductive</w:t>
      </w:r>
      <w:r w:rsidR="00090311">
        <w:t xml:space="preserve"> study in </w:t>
      </w:r>
      <w:r w:rsidR="0047601C">
        <w:t>mice</w:t>
      </w:r>
      <w:r w:rsidR="00090311" w:rsidRPr="00090311">
        <w:t xml:space="preserve">. </w:t>
      </w:r>
      <w:r w:rsidR="00237D67" w:rsidRPr="00237D67">
        <w:t xml:space="preserve">Pharmacokinetic modelling was applied to the serum concentrations at the </w:t>
      </w:r>
      <w:r w:rsidR="00090311">
        <w:t>N</w:t>
      </w:r>
      <w:r w:rsidR="00090311" w:rsidRPr="00237D67">
        <w:t>OAEL</w:t>
      </w:r>
      <w:r w:rsidR="00237D67" w:rsidRPr="00237D67">
        <w:t xml:space="preserve"> and above to calculate the </w:t>
      </w:r>
      <w:r w:rsidR="00A36101">
        <w:t>HED</w:t>
      </w:r>
      <w:r w:rsidR="00237D67" w:rsidRPr="00237D67">
        <w:t>. An uncertainty factor of 30 was applied to the HED, which comprised a</w:t>
      </w:r>
      <w:r w:rsidR="003B4E84">
        <w:t xml:space="preserve"> default</w:t>
      </w:r>
      <w:r w:rsidR="00237D67" w:rsidRPr="00237D67">
        <w:t xml:space="preserve"> factor of 3 to account for inter</w:t>
      </w:r>
      <w:r w:rsidR="000203C4">
        <w:t>species</w:t>
      </w:r>
      <w:r w:rsidR="009B2116">
        <w:t xml:space="preserve"> differences in toxicodynamics and</w:t>
      </w:r>
      <w:r w:rsidR="00237D67" w:rsidRPr="00237D67">
        <w:t xml:space="preserve"> a</w:t>
      </w:r>
      <w:r w:rsidR="003B4E84">
        <w:t xml:space="preserve"> default</w:t>
      </w:r>
      <w:r w:rsidR="00237D67" w:rsidRPr="00237D67">
        <w:t xml:space="preserve"> factor of 10 for intra</w:t>
      </w:r>
      <w:r w:rsidR="00032CF6">
        <w:t>species</w:t>
      </w:r>
      <w:r w:rsidR="00237D67" w:rsidRPr="00237D67">
        <w:t xml:space="preserve"> diffe</w:t>
      </w:r>
      <w:r w:rsidR="00237D67">
        <w:t>rences in the human population.</w:t>
      </w:r>
    </w:p>
    <w:p w14:paraId="2A5B5697" w14:textId="5BC37CDB" w:rsidR="00237D67" w:rsidDel="000A6289" w:rsidRDefault="00237D67" w:rsidP="00A111E9"/>
    <w:p w14:paraId="6E72AC75" w14:textId="2501E3EB" w:rsidR="00237D67" w:rsidRDefault="00BD44DD" w:rsidP="00A111E9">
      <w:r>
        <w:t>There was insufficient toxicological and epidemiological information to justify establishing a TDI for PFHxS. In the absence of a TDI</w:t>
      </w:r>
      <w:r w:rsidR="00AF465E">
        <w:t>,</w:t>
      </w:r>
      <w:r w:rsidR="009B2116">
        <w:t xml:space="preserve"> </w:t>
      </w:r>
      <w:r w:rsidR="00036CA0" w:rsidRPr="00036CA0">
        <w:t xml:space="preserve">it is reasonable to conclude that the enHealth </w:t>
      </w:r>
      <w:r w:rsidR="00036CA0">
        <w:t xml:space="preserve">2016 </w:t>
      </w:r>
      <w:r w:rsidR="00036CA0" w:rsidRPr="00036CA0">
        <w:t>approach of using the TDI for PFOS is likely to be conservative and protective of public health as an interim measure</w:t>
      </w:r>
      <w:r w:rsidR="00036CA0">
        <w:t xml:space="preserve">. </w:t>
      </w:r>
      <w:r>
        <w:t>Effectively, this means that PFHxS and PFOS should be summed for the purposes of a dietary exposure assessment and risk characterisation.</w:t>
      </w:r>
    </w:p>
    <w:p w14:paraId="60F085EC" w14:textId="77777777" w:rsidR="001E1831" w:rsidRDefault="001E1831" w:rsidP="00A111E9"/>
    <w:p w14:paraId="0DC3C2F1" w14:textId="08968EF4" w:rsidR="00533EB7" w:rsidRDefault="00533EB7" w:rsidP="00A111E9">
      <w:pPr>
        <w:sectPr w:rsidR="00533EB7" w:rsidSect="00A24D2A">
          <w:headerReference w:type="default" r:id="rId16"/>
          <w:footerReference w:type="even" r:id="rId17"/>
          <w:footerReference w:type="default" r:id="rId18"/>
          <w:headerReference w:type="first" r:id="rId19"/>
          <w:pgSz w:w="11906" w:h="16838"/>
          <w:pgMar w:top="1418" w:right="1134" w:bottom="851" w:left="1134" w:header="709" w:footer="709" w:gutter="0"/>
          <w:cols w:space="708"/>
          <w:docGrid w:linePitch="360"/>
        </w:sectPr>
      </w:pPr>
    </w:p>
    <w:sdt>
      <w:sdtPr>
        <w:rPr>
          <w:b w:val="0"/>
          <w:bCs w:val="0"/>
          <w:sz w:val="22"/>
          <w:szCs w:val="24"/>
          <w:lang w:bidi="en-US"/>
        </w:rPr>
        <w:id w:val="-931896708"/>
        <w:docPartObj>
          <w:docPartGallery w:val="Table of Contents"/>
          <w:docPartUnique/>
        </w:docPartObj>
      </w:sdtPr>
      <w:sdtEndPr>
        <w:rPr>
          <w:noProof/>
        </w:rPr>
      </w:sdtEndPr>
      <w:sdtContent>
        <w:p w14:paraId="79237CD9" w14:textId="6EA85B85" w:rsidR="009A51A2" w:rsidRPr="000328C0" w:rsidRDefault="000328C0" w:rsidP="000328C0">
          <w:pPr>
            <w:pStyle w:val="TOCHeading"/>
          </w:pPr>
          <w:r>
            <w:rPr>
              <w:b w:val="0"/>
              <w:bCs w:val="0"/>
              <w:lang w:bidi="en-US"/>
            </w:rPr>
            <w:t>Contents</w:t>
          </w:r>
        </w:p>
        <w:p w14:paraId="5B922113" w14:textId="77777777" w:rsidR="004264B6" w:rsidRDefault="009A51A2">
          <w:pPr>
            <w:pStyle w:val="TOC2"/>
            <w:tabs>
              <w:tab w:val="right" w:leader="dot" w:pos="9060"/>
            </w:tabs>
            <w:rPr>
              <w:rFonts w:eastAsiaTheme="minorEastAsia" w:cstheme="minorBidi"/>
              <w:smallCaps w:val="0"/>
              <w:noProof/>
              <w:sz w:val="22"/>
              <w:szCs w:val="22"/>
              <w:lang w:eastAsia="en-GB" w:bidi="ar-SA"/>
            </w:rPr>
          </w:pPr>
          <w:r w:rsidRPr="00B6305A">
            <w:rPr>
              <w:caps/>
            </w:rPr>
            <w:fldChar w:fldCharType="begin"/>
          </w:r>
          <w:r w:rsidRPr="00B6305A">
            <w:instrText xml:space="preserve"> TOC \o "1-3" \h \z \u </w:instrText>
          </w:r>
          <w:r w:rsidRPr="00B6305A">
            <w:rPr>
              <w:caps/>
            </w:rPr>
            <w:fldChar w:fldCharType="separate"/>
          </w:r>
          <w:hyperlink w:anchor="_Toc482805090" w:history="1">
            <w:r w:rsidR="004264B6" w:rsidRPr="009D1EFA">
              <w:rPr>
                <w:rStyle w:val="Hyperlink"/>
                <w:noProof/>
              </w:rPr>
              <w:t>Executive summary</w:t>
            </w:r>
            <w:r w:rsidR="004264B6">
              <w:rPr>
                <w:noProof/>
                <w:webHidden/>
              </w:rPr>
              <w:tab/>
            </w:r>
            <w:r w:rsidR="004264B6">
              <w:rPr>
                <w:noProof/>
                <w:webHidden/>
              </w:rPr>
              <w:fldChar w:fldCharType="begin"/>
            </w:r>
            <w:r w:rsidR="004264B6">
              <w:rPr>
                <w:noProof/>
                <w:webHidden/>
              </w:rPr>
              <w:instrText xml:space="preserve"> PAGEREF _Toc482805090 \h </w:instrText>
            </w:r>
            <w:r w:rsidR="004264B6">
              <w:rPr>
                <w:noProof/>
                <w:webHidden/>
              </w:rPr>
            </w:r>
            <w:r w:rsidR="004264B6">
              <w:rPr>
                <w:noProof/>
                <w:webHidden/>
              </w:rPr>
              <w:fldChar w:fldCharType="separate"/>
            </w:r>
            <w:r w:rsidR="004264B6">
              <w:rPr>
                <w:noProof/>
                <w:webHidden/>
              </w:rPr>
              <w:t>1</w:t>
            </w:r>
            <w:r w:rsidR="004264B6">
              <w:rPr>
                <w:noProof/>
                <w:webHidden/>
              </w:rPr>
              <w:fldChar w:fldCharType="end"/>
            </w:r>
          </w:hyperlink>
        </w:p>
        <w:p w14:paraId="100BAB06" w14:textId="77777777" w:rsidR="004264B6" w:rsidRDefault="00FA183D">
          <w:pPr>
            <w:pStyle w:val="TOC2"/>
            <w:tabs>
              <w:tab w:val="right" w:leader="dot" w:pos="9060"/>
            </w:tabs>
            <w:rPr>
              <w:rFonts w:eastAsiaTheme="minorEastAsia" w:cstheme="minorBidi"/>
              <w:smallCaps w:val="0"/>
              <w:noProof/>
              <w:sz w:val="22"/>
              <w:szCs w:val="22"/>
              <w:lang w:eastAsia="en-GB" w:bidi="ar-SA"/>
            </w:rPr>
          </w:pPr>
          <w:hyperlink w:anchor="_Toc482805091" w:history="1">
            <w:r w:rsidR="004264B6" w:rsidRPr="009D1EFA">
              <w:rPr>
                <w:rStyle w:val="Hyperlink"/>
                <w:noProof/>
              </w:rPr>
              <w:t>Abbreviations</w:t>
            </w:r>
            <w:r w:rsidR="004264B6">
              <w:rPr>
                <w:noProof/>
                <w:webHidden/>
              </w:rPr>
              <w:tab/>
            </w:r>
            <w:r w:rsidR="004264B6">
              <w:rPr>
                <w:noProof/>
                <w:webHidden/>
              </w:rPr>
              <w:fldChar w:fldCharType="begin"/>
            </w:r>
            <w:r w:rsidR="004264B6">
              <w:rPr>
                <w:noProof/>
                <w:webHidden/>
              </w:rPr>
              <w:instrText xml:space="preserve"> PAGEREF _Toc482805091 \h </w:instrText>
            </w:r>
            <w:r w:rsidR="004264B6">
              <w:rPr>
                <w:noProof/>
                <w:webHidden/>
              </w:rPr>
            </w:r>
            <w:r w:rsidR="004264B6">
              <w:rPr>
                <w:noProof/>
                <w:webHidden/>
              </w:rPr>
              <w:fldChar w:fldCharType="separate"/>
            </w:r>
            <w:r w:rsidR="004264B6">
              <w:rPr>
                <w:noProof/>
                <w:webHidden/>
              </w:rPr>
              <w:t>5</w:t>
            </w:r>
            <w:r w:rsidR="004264B6">
              <w:rPr>
                <w:noProof/>
                <w:webHidden/>
              </w:rPr>
              <w:fldChar w:fldCharType="end"/>
            </w:r>
          </w:hyperlink>
        </w:p>
        <w:p w14:paraId="2AACC5D8" w14:textId="77777777" w:rsidR="004264B6" w:rsidRDefault="00FA183D">
          <w:pPr>
            <w:pStyle w:val="TOC2"/>
            <w:tabs>
              <w:tab w:val="left" w:pos="660"/>
              <w:tab w:val="right" w:leader="dot" w:pos="9060"/>
            </w:tabs>
            <w:rPr>
              <w:rFonts w:eastAsiaTheme="minorEastAsia" w:cstheme="minorBidi"/>
              <w:smallCaps w:val="0"/>
              <w:noProof/>
              <w:sz w:val="22"/>
              <w:szCs w:val="22"/>
              <w:lang w:eastAsia="en-GB" w:bidi="ar-SA"/>
            </w:rPr>
          </w:pPr>
          <w:hyperlink w:anchor="_Toc482805092" w:history="1">
            <w:r w:rsidR="004264B6" w:rsidRPr="009D1EFA">
              <w:rPr>
                <w:rStyle w:val="Hyperlink"/>
                <w:noProof/>
              </w:rPr>
              <w:t>1</w:t>
            </w:r>
            <w:r w:rsidR="004264B6">
              <w:rPr>
                <w:rFonts w:eastAsiaTheme="minorEastAsia" w:cstheme="minorBidi"/>
                <w:smallCaps w:val="0"/>
                <w:noProof/>
                <w:sz w:val="22"/>
                <w:szCs w:val="22"/>
                <w:lang w:eastAsia="en-GB" w:bidi="ar-SA"/>
              </w:rPr>
              <w:tab/>
            </w:r>
            <w:r w:rsidR="004264B6" w:rsidRPr="009D1EFA">
              <w:rPr>
                <w:rStyle w:val="Hyperlink"/>
                <w:noProof/>
              </w:rPr>
              <w:t>Introduction</w:t>
            </w:r>
            <w:r w:rsidR="004264B6">
              <w:rPr>
                <w:noProof/>
                <w:webHidden/>
              </w:rPr>
              <w:tab/>
            </w:r>
            <w:r w:rsidR="004264B6">
              <w:rPr>
                <w:noProof/>
                <w:webHidden/>
              </w:rPr>
              <w:fldChar w:fldCharType="begin"/>
            </w:r>
            <w:r w:rsidR="004264B6">
              <w:rPr>
                <w:noProof/>
                <w:webHidden/>
              </w:rPr>
              <w:instrText xml:space="preserve"> PAGEREF _Toc482805092 \h </w:instrText>
            </w:r>
            <w:r w:rsidR="004264B6">
              <w:rPr>
                <w:noProof/>
                <w:webHidden/>
              </w:rPr>
            </w:r>
            <w:r w:rsidR="004264B6">
              <w:rPr>
                <w:noProof/>
                <w:webHidden/>
              </w:rPr>
              <w:fldChar w:fldCharType="separate"/>
            </w:r>
            <w:r w:rsidR="004264B6">
              <w:rPr>
                <w:noProof/>
                <w:webHidden/>
              </w:rPr>
              <w:t>8</w:t>
            </w:r>
            <w:r w:rsidR="004264B6">
              <w:rPr>
                <w:noProof/>
                <w:webHidden/>
              </w:rPr>
              <w:fldChar w:fldCharType="end"/>
            </w:r>
          </w:hyperlink>
        </w:p>
        <w:p w14:paraId="412EBFF1" w14:textId="77777777" w:rsidR="004264B6" w:rsidRDefault="00FA183D">
          <w:pPr>
            <w:pStyle w:val="TOC3"/>
            <w:tabs>
              <w:tab w:val="left" w:pos="1100"/>
              <w:tab w:val="right" w:leader="dot" w:pos="9060"/>
            </w:tabs>
            <w:rPr>
              <w:rFonts w:eastAsiaTheme="minorEastAsia" w:cstheme="minorBidi"/>
              <w:i w:val="0"/>
              <w:iCs w:val="0"/>
              <w:noProof/>
              <w:sz w:val="22"/>
              <w:szCs w:val="22"/>
              <w:lang w:eastAsia="en-GB" w:bidi="ar-SA"/>
            </w:rPr>
          </w:pPr>
          <w:hyperlink w:anchor="_Toc482805093" w:history="1">
            <w:r w:rsidR="004264B6" w:rsidRPr="009D1EFA">
              <w:rPr>
                <w:rStyle w:val="Hyperlink"/>
                <w:noProof/>
              </w:rPr>
              <w:t>1.1</w:t>
            </w:r>
            <w:r w:rsidR="004264B6">
              <w:rPr>
                <w:rFonts w:eastAsiaTheme="minorEastAsia" w:cstheme="minorBidi"/>
                <w:i w:val="0"/>
                <w:iCs w:val="0"/>
                <w:noProof/>
                <w:sz w:val="22"/>
                <w:szCs w:val="22"/>
                <w:lang w:eastAsia="en-GB" w:bidi="ar-SA"/>
              </w:rPr>
              <w:tab/>
            </w:r>
            <w:r w:rsidR="004264B6" w:rsidRPr="009D1EFA">
              <w:rPr>
                <w:rStyle w:val="Hyperlink"/>
                <w:noProof/>
              </w:rPr>
              <w:t>Background</w:t>
            </w:r>
            <w:r w:rsidR="004264B6">
              <w:rPr>
                <w:noProof/>
                <w:webHidden/>
              </w:rPr>
              <w:tab/>
            </w:r>
            <w:r w:rsidR="004264B6">
              <w:rPr>
                <w:noProof/>
                <w:webHidden/>
              </w:rPr>
              <w:fldChar w:fldCharType="begin"/>
            </w:r>
            <w:r w:rsidR="004264B6">
              <w:rPr>
                <w:noProof/>
                <w:webHidden/>
              </w:rPr>
              <w:instrText xml:space="preserve"> PAGEREF _Toc482805093 \h </w:instrText>
            </w:r>
            <w:r w:rsidR="004264B6">
              <w:rPr>
                <w:noProof/>
                <w:webHidden/>
              </w:rPr>
            </w:r>
            <w:r w:rsidR="004264B6">
              <w:rPr>
                <w:noProof/>
                <w:webHidden/>
              </w:rPr>
              <w:fldChar w:fldCharType="separate"/>
            </w:r>
            <w:r w:rsidR="004264B6">
              <w:rPr>
                <w:noProof/>
                <w:webHidden/>
              </w:rPr>
              <w:t>8</w:t>
            </w:r>
            <w:r w:rsidR="004264B6">
              <w:rPr>
                <w:noProof/>
                <w:webHidden/>
              </w:rPr>
              <w:fldChar w:fldCharType="end"/>
            </w:r>
          </w:hyperlink>
        </w:p>
        <w:p w14:paraId="39865D8A" w14:textId="77777777" w:rsidR="004264B6" w:rsidRDefault="00FA183D">
          <w:pPr>
            <w:pStyle w:val="TOC3"/>
            <w:tabs>
              <w:tab w:val="left" w:pos="1100"/>
              <w:tab w:val="right" w:leader="dot" w:pos="9060"/>
            </w:tabs>
            <w:rPr>
              <w:rFonts w:eastAsiaTheme="minorEastAsia" w:cstheme="minorBidi"/>
              <w:i w:val="0"/>
              <w:iCs w:val="0"/>
              <w:noProof/>
              <w:sz w:val="22"/>
              <w:szCs w:val="22"/>
              <w:lang w:eastAsia="en-GB" w:bidi="ar-SA"/>
            </w:rPr>
          </w:pPr>
          <w:hyperlink w:anchor="_Toc482805094" w:history="1">
            <w:r w:rsidR="004264B6" w:rsidRPr="009D1EFA">
              <w:rPr>
                <w:rStyle w:val="Hyperlink"/>
                <w:noProof/>
              </w:rPr>
              <w:t>1.2</w:t>
            </w:r>
            <w:r w:rsidR="004264B6">
              <w:rPr>
                <w:rFonts w:eastAsiaTheme="minorEastAsia" w:cstheme="minorBidi"/>
                <w:i w:val="0"/>
                <w:iCs w:val="0"/>
                <w:noProof/>
                <w:sz w:val="22"/>
                <w:szCs w:val="22"/>
                <w:lang w:eastAsia="en-GB" w:bidi="ar-SA"/>
              </w:rPr>
              <w:tab/>
            </w:r>
            <w:r w:rsidR="004264B6" w:rsidRPr="009D1EFA">
              <w:rPr>
                <w:rStyle w:val="Hyperlink"/>
                <w:noProof/>
              </w:rPr>
              <w:t>Scope of the assessment</w:t>
            </w:r>
            <w:r w:rsidR="004264B6">
              <w:rPr>
                <w:noProof/>
                <w:webHidden/>
              </w:rPr>
              <w:tab/>
            </w:r>
            <w:r w:rsidR="004264B6">
              <w:rPr>
                <w:noProof/>
                <w:webHidden/>
              </w:rPr>
              <w:fldChar w:fldCharType="begin"/>
            </w:r>
            <w:r w:rsidR="004264B6">
              <w:rPr>
                <w:noProof/>
                <w:webHidden/>
              </w:rPr>
              <w:instrText xml:space="preserve"> PAGEREF _Toc482805094 \h </w:instrText>
            </w:r>
            <w:r w:rsidR="004264B6">
              <w:rPr>
                <w:noProof/>
                <w:webHidden/>
              </w:rPr>
            </w:r>
            <w:r w:rsidR="004264B6">
              <w:rPr>
                <w:noProof/>
                <w:webHidden/>
              </w:rPr>
              <w:fldChar w:fldCharType="separate"/>
            </w:r>
            <w:r w:rsidR="004264B6">
              <w:rPr>
                <w:noProof/>
                <w:webHidden/>
              </w:rPr>
              <w:t>9</w:t>
            </w:r>
            <w:r w:rsidR="004264B6">
              <w:rPr>
                <w:noProof/>
                <w:webHidden/>
              </w:rPr>
              <w:fldChar w:fldCharType="end"/>
            </w:r>
          </w:hyperlink>
        </w:p>
        <w:p w14:paraId="72BF3A91" w14:textId="77777777" w:rsidR="004264B6" w:rsidRDefault="00FA183D">
          <w:pPr>
            <w:pStyle w:val="TOC2"/>
            <w:tabs>
              <w:tab w:val="left" w:pos="660"/>
              <w:tab w:val="right" w:leader="dot" w:pos="9060"/>
            </w:tabs>
            <w:rPr>
              <w:rFonts w:eastAsiaTheme="minorEastAsia" w:cstheme="minorBidi"/>
              <w:smallCaps w:val="0"/>
              <w:noProof/>
              <w:sz w:val="22"/>
              <w:szCs w:val="22"/>
              <w:lang w:eastAsia="en-GB" w:bidi="ar-SA"/>
            </w:rPr>
          </w:pPr>
          <w:hyperlink w:anchor="_Toc482805095" w:history="1">
            <w:r w:rsidR="004264B6" w:rsidRPr="009D1EFA">
              <w:rPr>
                <w:rStyle w:val="Hyperlink"/>
                <w:noProof/>
              </w:rPr>
              <w:t>2</w:t>
            </w:r>
            <w:r w:rsidR="004264B6">
              <w:rPr>
                <w:rFonts w:eastAsiaTheme="minorEastAsia" w:cstheme="minorBidi"/>
                <w:smallCaps w:val="0"/>
                <w:noProof/>
                <w:sz w:val="22"/>
                <w:szCs w:val="22"/>
                <w:lang w:eastAsia="en-GB" w:bidi="ar-SA"/>
              </w:rPr>
              <w:tab/>
            </w:r>
            <w:r w:rsidR="004264B6" w:rsidRPr="009D1EFA">
              <w:rPr>
                <w:rStyle w:val="Hyperlink"/>
                <w:noProof/>
              </w:rPr>
              <w:t>Hazard assessment PFOS</w:t>
            </w:r>
            <w:r w:rsidR="004264B6">
              <w:rPr>
                <w:noProof/>
                <w:webHidden/>
              </w:rPr>
              <w:tab/>
            </w:r>
            <w:r w:rsidR="004264B6">
              <w:rPr>
                <w:noProof/>
                <w:webHidden/>
              </w:rPr>
              <w:fldChar w:fldCharType="begin"/>
            </w:r>
            <w:r w:rsidR="004264B6">
              <w:rPr>
                <w:noProof/>
                <w:webHidden/>
              </w:rPr>
              <w:instrText xml:space="preserve"> PAGEREF _Toc482805095 \h </w:instrText>
            </w:r>
            <w:r w:rsidR="004264B6">
              <w:rPr>
                <w:noProof/>
                <w:webHidden/>
              </w:rPr>
            </w:r>
            <w:r w:rsidR="004264B6">
              <w:rPr>
                <w:noProof/>
                <w:webHidden/>
              </w:rPr>
              <w:fldChar w:fldCharType="separate"/>
            </w:r>
            <w:r w:rsidR="004264B6">
              <w:rPr>
                <w:noProof/>
                <w:webHidden/>
              </w:rPr>
              <w:t>11</w:t>
            </w:r>
            <w:r w:rsidR="004264B6">
              <w:rPr>
                <w:noProof/>
                <w:webHidden/>
              </w:rPr>
              <w:fldChar w:fldCharType="end"/>
            </w:r>
          </w:hyperlink>
        </w:p>
        <w:p w14:paraId="2D36B8CC" w14:textId="77777777" w:rsidR="004264B6" w:rsidRDefault="00FA183D">
          <w:pPr>
            <w:pStyle w:val="TOC3"/>
            <w:tabs>
              <w:tab w:val="left" w:pos="1100"/>
              <w:tab w:val="right" w:leader="dot" w:pos="9060"/>
            </w:tabs>
            <w:rPr>
              <w:rFonts w:eastAsiaTheme="minorEastAsia" w:cstheme="minorBidi"/>
              <w:i w:val="0"/>
              <w:iCs w:val="0"/>
              <w:noProof/>
              <w:sz w:val="22"/>
              <w:szCs w:val="22"/>
              <w:lang w:eastAsia="en-GB" w:bidi="ar-SA"/>
            </w:rPr>
          </w:pPr>
          <w:hyperlink w:anchor="_Toc482805096" w:history="1">
            <w:r w:rsidR="004264B6" w:rsidRPr="009D1EFA">
              <w:rPr>
                <w:rStyle w:val="Hyperlink"/>
                <w:noProof/>
              </w:rPr>
              <w:t>2.1</w:t>
            </w:r>
            <w:r w:rsidR="004264B6">
              <w:rPr>
                <w:rFonts w:eastAsiaTheme="minorEastAsia" w:cstheme="minorBidi"/>
                <w:i w:val="0"/>
                <w:iCs w:val="0"/>
                <w:noProof/>
                <w:sz w:val="22"/>
                <w:szCs w:val="22"/>
                <w:lang w:eastAsia="en-GB" w:bidi="ar-SA"/>
              </w:rPr>
              <w:tab/>
            </w:r>
            <w:r w:rsidR="004264B6" w:rsidRPr="009D1EFA">
              <w:rPr>
                <w:rStyle w:val="Hyperlink"/>
                <w:noProof/>
              </w:rPr>
              <w:t>Introduction</w:t>
            </w:r>
            <w:r w:rsidR="004264B6">
              <w:rPr>
                <w:noProof/>
                <w:webHidden/>
              </w:rPr>
              <w:tab/>
            </w:r>
            <w:r w:rsidR="004264B6">
              <w:rPr>
                <w:noProof/>
                <w:webHidden/>
              </w:rPr>
              <w:fldChar w:fldCharType="begin"/>
            </w:r>
            <w:r w:rsidR="004264B6">
              <w:rPr>
                <w:noProof/>
                <w:webHidden/>
              </w:rPr>
              <w:instrText xml:space="preserve"> PAGEREF _Toc482805096 \h </w:instrText>
            </w:r>
            <w:r w:rsidR="004264B6">
              <w:rPr>
                <w:noProof/>
                <w:webHidden/>
              </w:rPr>
            </w:r>
            <w:r w:rsidR="004264B6">
              <w:rPr>
                <w:noProof/>
                <w:webHidden/>
              </w:rPr>
              <w:fldChar w:fldCharType="separate"/>
            </w:r>
            <w:r w:rsidR="004264B6">
              <w:rPr>
                <w:noProof/>
                <w:webHidden/>
              </w:rPr>
              <w:t>11</w:t>
            </w:r>
            <w:r w:rsidR="004264B6">
              <w:rPr>
                <w:noProof/>
                <w:webHidden/>
              </w:rPr>
              <w:fldChar w:fldCharType="end"/>
            </w:r>
          </w:hyperlink>
        </w:p>
        <w:p w14:paraId="275C4825" w14:textId="77777777" w:rsidR="004264B6" w:rsidRDefault="00FA183D">
          <w:pPr>
            <w:pStyle w:val="TOC3"/>
            <w:tabs>
              <w:tab w:val="left" w:pos="1100"/>
              <w:tab w:val="right" w:leader="dot" w:pos="9060"/>
            </w:tabs>
            <w:rPr>
              <w:rFonts w:eastAsiaTheme="minorEastAsia" w:cstheme="minorBidi"/>
              <w:i w:val="0"/>
              <w:iCs w:val="0"/>
              <w:noProof/>
              <w:sz w:val="22"/>
              <w:szCs w:val="22"/>
              <w:lang w:eastAsia="en-GB" w:bidi="ar-SA"/>
            </w:rPr>
          </w:pPr>
          <w:hyperlink w:anchor="_Toc482805097" w:history="1">
            <w:r w:rsidR="004264B6" w:rsidRPr="009D1EFA">
              <w:rPr>
                <w:rStyle w:val="Hyperlink"/>
                <w:noProof/>
              </w:rPr>
              <w:t>2.2</w:t>
            </w:r>
            <w:r w:rsidR="004264B6">
              <w:rPr>
                <w:rFonts w:eastAsiaTheme="minorEastAsia" w:cstheme="minorBidi"/>
                <w:i w:val="0"/>
                <w:iCs w:val="0"/>
                <w:noProof/>
                <w:sz w:val="22"/>
                <w:szCs w:val="22"/>
                <w:lang w:eastAsia="en-GB" w:bidi="ar-SA"/>
              </w:rPr>
              <w:tab/>
            </w:r>
            <w:r w:rsidR="004264B6" w:rsidRPr="009D1EFA">
              <w:rPr>
                <w:rStyle w:val="Hyperlink"/>
                <w:noProof/>
              </w:rPr>
              <w:t>Summary of International hazard reviews of PFOS</w:t>
            </w:r>
            <w:r w:rsidR="004264B6">
              <w:rPr>
                <w:noProof/>
                <w:webHidden/>
              </w:rPr>
              <w:tab/>
            </w:r>
            <w:r w:rsidR="004264B6">
              <w:rPr>
                <w:noProof/>
                <w:webHidden/>
              </w:rPr>
              <w:fldChar w:fldCharType="begin"/>
            </w:r>
            <w:r w:rsidR="004264B6">
              <w:rPr>
                <w:noProof/>
                <w:webHidden/>
              </w:rPr>
              <w:instrText xml:space="preserve"> PAGEREF _Toc482805097 \h </w:instrText>
            </w:r>
            <w:r w:rsidR="004264B6">
              <w:rPr>
                <w:noProof/>
                <w:webHidden/>
              </w:rPr>
            </w:r>
            <w:r w:rsidR="004264B6">
              <w:rPr>
                <w:noProof/>
                <w:webHidden/>
              </w:rPr>
              <w:fldChar w:fldCharType="separate"/>
            </w:r>
            <w:r w:rsidR="004264B6">
              <w:rPr>
                <w:noProof/>
                <w:webHidden/>
              </w:rPr>
              <w:t>12</w:t>
            </w:r>
            <w:r w:rsidR="004264B6">
              <w:rPr>
                <w:noProof/>
                <w:webHidden/>
              </w:rPr>
              <w:fldChar w:fldCharType="end"/>
            </w:r>
          </w:hyperlink>
        </w:p>
        <w:p w14:paraId="1A488BB6" w14:textId="77777777" w:rsidR="004264B6" w:rsidRDefault="00FA183D">
          <w:pPr>
            <w:pStyle w:val="TOC3"/>
            <w:tabs>
              <w:tab w:val="left" w:pos="1100"/>
              <w:tab w:val="right" w:leader="dot" w:pos="9060"/>
            </w:tabs>
            <w:rPr>
              <w:rFonts w:eastAsiaTheme="minorEastAsia" w:cstheme="minorBidi"/>
              <w:i w:val="0"/>
              <w:iCs w:val="0"/>
              <w:noProof/>
              <w:sz w:val="22"/>
              <w:szCs w:val="22"/>
              <w:lang w:eastAsia="en-GB" w:bidi="ar-SA"/>
            </w:rPr>
          </w:pPr>
          <w:hyperlink w:anchor="_Toc482805098" w:history="1">
            <w:r w:rsidR="004264B6" w:rsidRPr="009D1EFA">
              <w:rPr>
                <w:rStyle w:val="Hyperlink"/>
                <w:noProof/>
              </w:rPr>
              <w:t>2.3</w:t>
            </w:r>
            <w:r w:rsidR="004264B6">
              <w:rPr>
                <w:rFonts w:eastAsiaTheme="minorEastAsia" w:cstheme="minorBidi"/>
                <w:i w:val="0"/>
                <w:iCs w:val="0"/>
                <w:noProof/>
                <w:sz w:val="22"/>
                <w:szCs w:val="22"/>
                <w:lang w:eastAsia="en-GB" w:bidi="ar-SA"/>
              </w:rPr>
              <w:tab/>
            </w:r>
            <w:r w:rsidR="004264B6" w:rsidRPr="009D1EFA">
              <w:rPr>
                <w:rStyle w:val="Hyperlink"/>
                <w:noProof/>
              </w:rPr>
              <w:t>Summary of the toxicity of PFOS</w:t>
            </w:r>
            <w:r w:rsidR="004264B6">
              <w:rPr>
                <w:noProof/>
                <w:webHidden/>
              </w:rPr>
              <w:tab/>
            </w:r>
            <w:r w:rsidR="004264B6">
              <w:rPr>
                <w:noProof/>
                <w:webHidden/>
              </w:rPr>
              <w:fldChar w:fldCharType="begin"/>
            </w:r>
            <w:r w:rsidR="004264B6">
              <w:rPr>
                <w:noProof/>
                <w:webHidden/>
              </w:rPr>
              <w:instrText xml:space="preserve"> PAGEREF _Toc482805098 \h </w:instrText>
            </w:r>
            <w:r w:rsidR="004264B6">
              <w:rPr>
                <w:noProof/>
                <w:webHidden/>
              </w:rPr>
            </w:r>
            <w:r w:rsidR="004264B6">
              <w:rPr>
                <w:noProof/>
                <w:webHidden/>
              </w:rPr>
              <w:fldChar w:fldCharType="separate"/>
            </w:r>
            <w:r w:rsidR="004264B6">
              <w:rPr>
                <w:noProof/>
                <w:webHidden/>
              </w:rPr>
              <w:t>19</w:t>
            </w:r>
            <w:r w:rsidR="004264B6">
              <w:rPr>
                <w:noProof/>
                <w:webHidden/>
              </w:rPr>
              <w:fldChar w:fldCharType="end"/>
            </w:r>
          </w:hyperlink>
        </w:p>
        <w:p w14:paraId="6C24778B" w14:textId="77777777" w:rsidR="004264B6" w:rsidRDefault="00FA183D">
          <w:pPr>
            <w:pStyle w:val="TOC3"/>
            <w:tabs>
              <w:tab w:val="left" w:pos="1100"/>
              <w:tab w:val="right" w:leader="dot" w:pos="9060"/>
            </w:tabs>
            <w:rPr>
              <w:rFonts w:eastAsiaTheme="minorEastAsia" w:cstheme="minorBidi"/>
              <w:i w:val="0"/>
              <w:iCs w:val="0"/>
              <w:noProof/>
              <w:sz w:val="22"/>
              <w:szCs w:val="22"/>
              <w:lang w:eastAsia="en-GB" w:bidi="ar-SA"/>
            </w:rPr>
          </w:pPr>
          <w:hyperlink w:anchor="_Toc482805099" w:history="1">
            <w:r w:rsidR="004264B6" w:rsidRPr="009D1EFA">
              <w:rPr>
                <w:rStyle w:val="Hyperlink"/>
                <w:noProof/>
              </w:rPr>
              <w:t>2.4</w:t>
            </w:r>
            <w:r w:rsidR="004264B6">
              <w:rPr>
                <w:rFonts w:eastAsiaTheme="minorEastAsia" w:cstheme="minorBidi"/>
                <w:i w:val="0"/>
                <w:iCs w:val="0"/>
                <w:noProof/>
                <w:sz w:val="22"/>
                <w:szCs w:val="22"/>
                <w:lang w:eastAsia="en-GB" w:bidi="ar-SA"/>
              </w:rPr>
              <w:tab/>
            </w:r>
            <w:r w:rsidR="004264B6" w:rsidRPr="009D1EFA">
              <w:rPr>
                <w:rStyle w:val="Hyperlink"/>
                <w:noProof/>
              </w:rPr>
              <w:t>Discussion and conclusions PFOS</w:t>
            </w:r>
            <w:r w:rsidR="004264B6">
              <w:rPr>
                <w:noProof/>
                <w:webHidden/>
              </w:rPr>
              <w:tab/>
            </w:r>
            <w:r w:rsidR="004264B6">
              <w:rPr>
                <w:noProof/>
                <w:webHidden/>
              </w:rPr>
              <w:fldChar w:fldCharType="begin"/>
            </w:r>
            <w:r w:rsidR="004264B6">
              <w:rPr>
                <w:noProof/>
                <w:webHidden/>
              </w:rPr>
              <w:instrText xml:space="preserve"> PAGEREF _Toc482805099 \h </w:instrText>
            </w:r>
            <w:r w:rsidR="004264B6">
              <w:rPr>
                <w:noProof/>
                <w:webHidden/>
              </w:rPr>
            </w:r>
            <w:r w:rsidR="004264B6">
              <w:rPr>
                <w:noProof/>
                <w:webHidden/>
              </w:rPr>
              <w:fldChar w:fldCharType="separate"/>
            </w:r>
            <w:r w:rsidR="004264B6">
              <w:rPr>
                <w:noProof/>
                <w:webHidden/>
              </w:rPr>
              <w:t>55</w:t>
            </w:r>
            <w:r w:rsidR="004264B6">
              <w:rPr>
                <w:noProof/>
                <w:webHidden/>
              </w:rPr>
              <w:fldChar w:fldCharType="end"/>
            </w:r>
          </w:hyperlink>
        </w:p>
        <w:p w14:paraId="4E0AF2B3" w14:textId="77777777" w:rsidR="004264B6" w:rsidRDefault="00FA183D">
          <w:pPr>
            <w:pStyle w:val="TOC3"/>
            <w:tabs>
              <w:tab w:val="left" w:pos="1100"/>
              <w:tab w:val="right" w:leader="dot" w:pos="9060"/>
            </w:tabs>
            <w:rPr>
              <w:rFonts w:eastAsiaTheme="minorEastAsia" w:cstheme="minorBidi"/>
              <w:i w:val="0"/>
              <w:iCs w:val="0"/>
              <w:noProof/>
              <w:sz w:val="22"/>
              <w:szCs w:val="22"/>
              <w:lang w:eastAsia="en-GB" w:bidi="ar-SA"/>
            </w:rPr>
          </w:pPr>
          <w:hyperlink w:anchor="_Toc482805100" w:history="1">
            <w:r w:rsidR="004264B6" w:rsidRPr="009D1EFA">
              <w:rPr>
                <w:rStyle w:val="Hyperlink"/>
                <w:noProof/>
              </w:rPr>
              <w:t xml:space="preserve">2.5 </w:t>
            </w:r>
            <w:r w:rsidR="004264B6">
              <w:rPr>
                <w:rFonts w:eastAsiaTheme="minorEastAsia" w:cstheme="minorBidi"/>
                <w:i w:val="0"/>
                <w:iCs w:val="0"/>
                <w:noProof/>
                <w:sz w:val="22"/>
                <w:szCs w:val="22"/>
                <w:lang w:eastAsia="en-GB" w:bidi="ar-SA"/>
              </w:rPr>
              <w:tab/>
            </w:r>
            <w:r w:rsidR="004264B6" w:rsidRPr="009D1EFA">
              <w:rPr>
                <w:rStyle w:val="Hyperlink"/>
                <w:noProof/>
              </w:rPr>
              <w:t>Derivation of the TDI for PFOS</w:t>
            </w:r>
            <w:r w:rsidR="004264B6">
              <w:rPr>
                <w:noProof/>
                <w:webHidden/>
              </w:rPr>
              <w:tab/>
            </w:r>
            <w:r w:rsidR="004264B6">
              <w:rPr>
                <w:noProof/>
                <w:webHidden/>
              </w:rPr>
              <w:fldChar w:fldCharType="begin"/>
            </w:r>
            <w:r w:rsidR="004264B6">
              <w:rPr>
                <w:noProof/>
                <w:webHidden/>
              </w:rPr>
              <w:instrText xml:space="preserve"> PAGEREF _Toc482805100 \h </w:instrText>
            </w:r>
            <w:r w:rsidR="004264B6">
              <w:rPr>
                <w:noProof/>
                <w:webHidden/>
              </w:rPr>
            </w:r>
            <w:r w:rsidR="004264B6">
              <w:rPr>
                <w:noProof/>
                <w:webHidden/>
              </w:rPr>
              <w:fldChar w:fldCharType="separate"/>
            </w:r>
            <w:r w:rsidR="004264B6">
              <w:rPr>
                <w:noProof/>
                <w:webHidden/>
              </w:rPr>
              <w:t>57</w:t>
            </w:r>
            <w:r w:rsidR="004264B6">
              <w:rPr>
                <w:noProof/>
                <w:webHidden/>
              </w:rPr>
              <w:fldChar w:fldCharType="end"/>
            </w:r>
          </w:hyperlink>
        </w:p>
        <w:p w14:paraId="150DA9C0" w14:textId="77777777" w:rsidR="004264B6" w:rsidRDefault="00FA183D">
          <w:pPr>
            <w:pStyle w:val="TOC2"/>
            <w:tabs>
              <w:tab w:val="left" w:pos="660"/>
              <w:tab w:val="right" w:leader="dot" w:pos="9060"/>
            </w:tabs>
            <w:rPr>
              <w:rFonts w:eastAsiaTheme="minorEastAsia" w:cstheme="minorBidi"/>
              <w:smallCaps w:val="0"/>
              <w:noProof/>
              <w:sz w:val="22"/>
              <w:szCs w:val="22"/>
              <w:lang w:eastAsia="en-GB" w:bidi="ar-SA"/>
            </w:rPr>
          </w:pPr>
          <w:hyperlink w:anchor="_Toc482805101" w:history="1">
            <w:r w:rsidR="004264B6" w:rsidRPr="009D1EFA">
              <w:rPr>
                <w:rStyle w:val="Hyperlink"/>
                <w:noProof/>
              </w:rPr>
              <w:t>3</w:t>
            </w:r>
            <w:r w:rsidR="004264B6">
              <w:rPr>
                <w:rFonts w:eastAsiaTheme="minorEastAsia" w:cstheme="minorBidi"/>
                <w:smallCaps w:val="0"/>
                <w:noProof/>
                <w:sz w:val="22"/>
                <w:szCs w:val="22"/>
                <w:lang w:eastAsia="en-GB" w:bidi="ar-SA"/>
              </w:rPr>
              <w:tab/>
            </w:r>
            <w:r w:rsidR="004264B6" w:rsidRPr="009D1EFA">
              <w:rPr>
                <w:rStyle w:val="Hyperlink"/>
                <w:noProof/>
              </w:rPr>
              <w:t>Hazard assessment PFOA</w:t>
            </w:r>
            <w:r w:rsidR="004264B6">
              <w:rPr>
                <w:noProof/>
                <w:webHidden/>
              </w:rPr>
              <w:tab/>
            </w:r>
            <w:r w:rsidR="004264B6">
              <w:rPr>
                <w:noProof/>
                <w:webHidden/>
              </w:rPr>
              <w:fldChar w:fldCharType="begin"/>
            </w:r>
            <w:r w:rsidR="004264B6">
              <w:rPr>
                <w:noProof/>
                <w:webHidden/>
              </w:rPr>
              <w:instrText xml:space="preserve"> PAGEREF _Toc482805101 \h </w:instrText>
            </w:r>
            <w:r w:rsidR="004264B6">
              <w:rPr>
                <w:noProof/>
                <w:webHidden/>
              </w:rPr>
            </w:r>
            <w:r w:rsidR="004264B6">
              <w:rPr>
                <w:noProof/>
                <w:webHidden/>
              </w:rPr>
              <w:fldChar w:fldCharType="separate"/>
            </w:r>
            <w:r w:rsidR="004264B6">
              <w:rPr>
                <w:noProof/>
                <w:webHidden/>
              </w:rPr>
              <w:t>61</w:t>
            </w:r>
            <w:r w:rsidR="004264B6">
              <w:rPr>
                <w:noProof/>
                <w:webHidden/>
              </w:rPr>
              <w:fldChar w:fldCharType="end"/>
            </w:r>
          </w:hyperlink>
        </w:p>
        <w:p w14:paraId="4835F3BB" w14:textId="77777777" w:rsidR="004264B6" w:rsidRDefault="00FA183D">
          <w:pPr>
            <w:pStyle w:val="TOC3"/>
            <w:tabs>
              <w:tab w:val="left" w:pos="1100"/>
              <w:tab w:val="right" w:leader="dot" w:pos="9060"/>
            </w:tabs>
            <w:rPr>
              <w:rFonts w:eastAsiaTheme="minorEastAsia" w:cstheme="minorBidi"/>
              <w:i w:val="0"/>
              <w:iCs w:val="0"/>
              <w:noProof/>
              <w:sz w:val="22"/>
              <w:szCs w:val="22"/>
              <w:lang w:eastAsia="en-GB" w:bidi="ar-SA"/>
            </w:rPr>
          </w:pPr>
          <w:hyperlink w:anchor="_Toc482805102" w:history="1">
            <w:r w:rsidR="004264B6" w:rsidRPr="009D1EFA">
              <w:rPr>
                <w:rStyle w:val="Hyperlink"/>
                <w:noProof/>
              </w:rPr>
              <w:t>3.1</w:t>
            </w:r>
            <w:r w:rsidR="004264B6">
              <w:rPr>
                <w:rFonts w:eastAsiaTheme="minorEastAsia" w:cstheme="minorBidi"/>
                <w:i w:val="0"/>
                <w:iCs w:val="0"/>
                <w:noProof/>
                <w:sz w:val="22"/>
                <w:szCs w:val="22"/>
                <w:lang w:eastAsia="en-GB" w:bidi="ar-SA"/>
              </w:rPr>
              <w:tab/>
            </w:r>
            <w:r w:rsidR="004264B6" w:rsidRPr="009D1EFA">
              <w:rPr>
                <w:rStyle w:val="Hyperlink"/>
                <w:noProof/>
              </w:rPr>
              <w:t>Introduction</w:t>
            </w:r>
            <w:r w:rsidR="004264B6">
              <w:rPr>
                <w:noProof/>
                <w:webHidden/>
              </w:rPr>
              <w:tab/>
            </w:r>
            <w:r w:rsidR="004264B6">
              <w:rPr>
                <w:noProof/>
                <w:webHidden/>
              </w:rPr>
              <w:fldChar w:fldCharType="begin"/>
            </w:r>
            <w:r w:rsidR="004264B6">
              <w:rPr>
                <w:noProof/>
                <w:webHidden/>
              </w:rPr>
              <w:instrText xml:space="preserve"> PAGEREF _Toc482805102 \h </w:instrText>
            </w:r>
            <w:r w:rsidR="004264B6">
              <w:rPr>
                <w:noProof/>
                <w:webHidden/>
              </w:rPr>
            </w:r>
            <w:r w:rsidR="004264B6">
              <w:rPr>
                <w:noProof/>
                <w:webHidden/>
              </w:rPr>
              <w:fldChar w:fldCharType="separate"/>
            </w:r>
            <w:r w:rsidR="004264B6">
              <w:rPr>
                <w:noProof/>
                <w:webHidden/>
              </w:rPr>
              <w:t>61</w:t>
            </w:r>
            <w:r w:rsidR="004264B6">
              <w:rPr>
                <w:noProof/>
                <w:webHidden/>
              </w:rPr>
              <w:fldChar w:fldCharType="end"/>
            </w:r>
          </w:hyperlink>
        </w:p>
        <w:p w14:paraId="58D423A0" w14:textId="77777777" w:rsidR="004264B6" w:rsidRDefault="00FA183D">
          <w:pPr>
            <w:pStyle w:val="TOC3"/>
            <w:tabs>
              <w:tab w:val="left" w:pos="1100"/>
              <w:tab w:val="right" w:leader="dot" w:pos="9060"/>
            </w:tabs>
            <w:rPr>
              <w:rFonts w:eastAsiaTheme="minorEastAsia" w:cstheme="minorBidi"/>
              <w:i w:val="0"/>
              <w:iCs w:val="0"/>
              <w:noProof/>
              <w:sz w:val="22"/>
              <w:szCs w:val="22"/>
              <w:lang w:eastAsia="en-GB" w:bidi="ar-SA"/>
            </w:rPr>
          </w:pPr>
          <w:hyperlink w:anchor="_Toc482805103" w:history="1">
            <w:r w:rsidR="004264B6" w:rsidRPr="009D1EFA">
              <w:rPr>
                <w:rStyle w:val="Hyperlink"/>
                <w:noProof/>
              </w:rPr>
              <w:t>3.2</w:t>
            </w:r>
            <w:r w:rsidR="004264B6">
              <w:rPr>
                <w:rFonts w:eastAsiaTheme="minorEastAsia" w:cstheme="minorBidi"/>
                <w:i w:val="0"/>
                <w:iCs w:val="0"/>
                <w:noProof/>
                <w:sz w:val="22"/>
                <w:szCs w:val="22"/>
                <w:lang w:eastAsia="en-GB" w:bidi="ar-SA"/>
              </w:rPr>
              <w:tab/>
            </w:r>
            <w:r w:rsidR="004264B6" w:rsidRPr="009D1EFA">
              <w:rPr>
                <w:rStyle w:val="Hyperlink"/>
                <w:noProof/>
              </w:rPr>
              <w:t>Summary of International hazard reviews of PFOA</w:t>
            </w:r>
            <w:r w:rsidR="004264B6">
              <w:rPr>
                <w:noProof/>
                <w:webHidden/>
              </w:rPr>
              <w:tab/>
            </w:r>
            <w:r w:rsidR="004264B6">
              <w:rPr>
                <w:noProof/>
                <w:webHidden/>
              </w:rPr>
              <w:fldChar w:fldCharType="begin"/>
            </w:r>
            <w:r w:rsidR="004264B6">
              <w:rPr>
                <w:noProof/>
                <w:webHidden/>
              </w:rPr>
              <w:instrText xml:space="preserve"> PAGEREF _Toc482805103 \h </w:instrText>
            </w:r>
            <w:r w:rsidR="004264B6">
              <w:rPr>
                <w:noProof/>
                <w:webHidden/>
              </w:rPr>
            </w:r>
            <w:r w:rsidR="004264B6">
              <w:rPr>
                <w:noProof/>
                <w:webHidden/>
              </w:rPr>
              <w:fldChar w:fldCharType="separate"/>
            </w:r>
            <w:r w:rsidR="004264B6">
              <w:rPr>
                <w:noProof/>
                <w:webHidden/>
              </w:rPr>
              <w:t>62</w:t>
            </w:r>
            <w:r w:rsidR="004264B6">
              <w:rPr>
                <w:noProof/>
                <w:webHidden/>
              </w:rPr>
              <w:fldChar w:fldCharType="end"/>
            </w:r>
          </w:hyperlink>
        </w:p>
        <w:p w14:paraId="5D679108" w14:textId="77777777" w:rsidR="004264B6" w:rsidRDefault="00FA183D">
          <w:pPr>
            <w:pStyle w:val="TOC3"/>
            <w:tabs>
              <w:tab w:val="left" w:pos="1100"/>
              <w:tab w:val="right" w:leader="dot" w:pos="9060"/>
            </w:tabs>
            <w:rPr>
              <w:rFonts w:eastAsiaTheme="minorEastAsia" w:cstheme="minorBidi"/>
              <w:i w:val="0"/>
              <w:iCs w:val="0"/>
              <w:noProof/>
              <w:sz w:val="22"/>
              <w:szCs w:val="22"/>
              <w:lang w:eastAsia="en-GB" w:bidi="ar-SA"/>
            </w:rPr>
          </w:pPr>
          <w:hyperlink w:anchor="_Toc482805104" w:history="1">
            <w:r w:rsidR="004264B6" w:rsidRPr="009D1EFA">
              <w:rPr>
                <w:rStyle w:val="Hyperlink"/>
                <w:noProof/>
              </w:rPr>
              <w:t>3.3</w:t>
            </w:r>
            <w:r w:rsidR="004264B6">
              <w:rPr>
                <w:rFonts w:eastAsiaTheme="minorEastAsia" w:cstheme="minorBidi"/>
                <w:i w:val="0"/>
                <w:iCs w:val="0"/>
                <w:noProof/>
                <w:sz w:val="22"/>
                <w:szCs w:val="22"/>
                <w:lang w:eastAsia="en-GB" w:bidi="ar-SA"/>
              </w:rPr>
              <w:tab/>
            </w:r>
            <w:r w:rsidR="004264B6" w:rsidRPr="009D1EFA">
              <w:rPr>
                <w:rStyle w:val="Hyperlink"/>
                <w:noProof/>
              </w:rPr>
              <w:t>Summary of the toxicity of PFOA</w:t>
            </w:r>
            <w:r w:rsidR="004264B6">
              <w:rPr>
                <w:noProof/>
                <w:webHidden/>
              </w:rPr>
              <w:tab/>
            </w:r>
            <w:r w:rsidR="004264B6">
              <w:rPr>
                <w:noProof/>
                <w:webHidden/>
              </w:rPr>
              <w:fldChar w:fldCharType="begin"/>
            </w:r>
            <w:r w:rsidR="004264B6">
              <w:rPr>
                <w:noProof/>
                <w:webHidden/>
              </w:rPr>
              <w:instrText xml:space="preserve"> PAGEREF _Toc482805104 \h </w:instrText>
            </w:r>
            <w:r w:rsidR="004264B6">
              <w:rPr>
                <w:noProof/>
                <w:webHidden/>
              </w:rPr>
            </w:r>
            <w:r w:rsidR="004264B6">
              <w:rPr>
                <w:noProof/>
                <w:webHidden/>
              </w:rPr>
              <w:fldChar w:fldCharType="separate"/>
            </w:r>
            <w:r w:rsidR="004264B6">
              <w:rPr>
                <w:noProof/>
                <w:webHidden/>
              </w:rPr>
              <w:t>68</w:t>
            </w:r>
            <w:r w:rsidR="004264B6">
              <w:rPr>
                <w:noProof/>
                <w:webHidden/>
              </w:rPr>
              <w:fldChar w:fldCharType="end"/>
            </w:r>
          </w:hyperlink>
        </w:p>
        <w:p w14:paraId="6933CCED" w14:textId="77777777" w:rsidR="004264B6" w:rsidRDefault="00FA183D">
          <w:pPr>
            <w:pStyle w:val="TOC3"/>
            <w:tabs>
              <w:tab w:val="left" w:pos="1100"/>
              <w:tab w:val="right" w:leader="dot" w:pos="9060"/>
            </w:tabs>
            <w:rPr>
              <w:rFonts w:eastAsiaTheme="minorEastAsia" w:cstheme="minorBidi"/>
              <w:i w:val="0"/>
              <w:iCs w:val="0"/>
              <w:noProof/>
              <w:sz w:val="22"/>
              <w:szCs w:val="22"/>
              <w:lang w:eastAsia="en-GB" w:bidi="ar-SA"/>
            </w:rPr>
          </w:pPr>
          <w:hyperlink w:anchor="_Toc482805105" w:history="1">
            <w:r w:rsidR="004264B6" w:rsidRPr="009D1EFA">
              <w:rPr>
                <w:rStyle w:val="Hyperlink"/>
                <w:noProof/>
              </w:rPr>
              <w:t>3.4</w:t>
            </w:r>
            <w:r w:rsidR="004264B6">
              <w:rPr>
                <w:rFonts w:eastAsiaTheme="minorEastAsia" w:cstheme="minorBidi"/>
                <w:i w:val="0"/>
                <w:iCs w:val="0"/>
                <w:noProof/>
                <w:sz w:val="22"/>
                <w:szCs w:val="22"/>
                <w:lang w:eastAsia="en-GB" w:bidi="ar-SA"/>
              </w:rPr>
              <w:tab/>
            </w:r>
            <w:r w:rsidR="004264B6" w:rsidRPr="009D1EFA">
              <w:rPr>
                <w:rStyle w:val="Hyperlink"/>
                <w:noProof/>
              </w:rPr>
              <w:t>Discussion and conclusions PFOA</w:t>
            </w:r>
            <w:r w:rsidR="004264B6">
              <w:rPr>
                <w:noProof/>
                <w:webHidden/>
              </w:rPr>
              <w:tab/>
            </w:r>
            <w:r w:rsidR="004264B6">
              <w:rPr>
                <w:noProof/>
                <w:webHidden/>
              </w:rPr>
              <w:fldChar w:fldCharType="begin"/>
            </w:r>
            <w:r w:rsidR="004264B6">
              <w:rPr>
                <w:noProof/>
                <w:webHidden/>
              </w:rPr>
              <w:instrText xml:space="preserve"> PAGEREF _Toc482805105 \h </w:instrText>
            </w:r>
            <w:r w:rsidR="004264B6">
              <w:rPr>
                <w:noProof/>
                <w:webHidden/>
              </w:rPr>
            </w:r>
            <w:r w:rsidR="004264B6">
              <w:rPr>
                <w:noProof/>
                <w:webHidden/>
              </w:rPr>
              <w:fldChar w:fldCharType="separate"/>
            </w:r>
            <w:r w:rsidR="004264B6">
              <w:rPr>
                <w:noProof/>
                <w:webHidden/>
              </w:rPr>
              <w:t>104</w:t>
            </w:r>
            <w:r w:rsidR="004264B6">
              <w:rPr>
                <w:noProof/>
                <w:webHidden/>
              </w:rPr>
              <w:fldChar w:fldCharType="end"/>
            </w:r>
          </w:hyperlink>
        </w:p>
        <w:p w14:paraId="034984F5" w14:textId="77777777" w:rsidR="004264B6" w:rsidRDefault="00FA183D">
          <w:pPr>
            <w:pStyle w:val="TOC3"/>
            <w:tabs>
              <w:tab w:val="left" w:pos="1100"/>
              <w:tab w:val="right" w:leader="dot" w:pos="9060"/>
            </w:tabs>
            <w:rPr>
              <w:rFonts w:eastAsiaTheme="minorEastAsia" w:cstheme="minorBidi"/>
              <w:i w:val="0"/>
              <w:iCs w:val="0"/>
              <w:noProof/>
              <w:sz w:val="22"/>
              <w:szCs w:val="22"/>
              <w:lang w:eastAsia="en-GB" w:bidi="ar-SA"/>
            </w:rPr>
          </w:pPr>
          <w:hyperlink w:anchor="_Toc482805106" w:history="1">
            <w:r w:rsidR="004264B6" w:rsidRPr="009D1EFA">
              <w:rPr>
                <w:rStyle w:val="Hyperlink"/>
                <w:noProof/>
              </w:rPr>
              <w:t xml:space="preserve">3.5 </w:t>
            </w:r>
            <w:r w:rsidR="004264B6">
              <w:rPr>
                <w:rFonts w:eastAsiaTheme="minorEastAsia" w:cstheme="minorBidi"/>
                <w:i w:val="0"/>
                <w:iCs w:val="0"/>
                <w:noProof/>
                <w:sz w:val="22"/>
                <w:szCs w:val="22"/>
                <w:lang w:eastAsia="en-GB" w:bidi="ar-SA"/>
              </w:rPr>
              <w:tab/>
            </w:r>
            <w:r w:rsidR="004264B6" w:rsidRPr="009D1EFA">
              <w:rPr>
                <w:rStyle w:val="Hyperlink"/>
                <w:noProof/>
              </w:rPr>
              <w:t>Derivation of the TDI for PFOA</w:t>
            </w:r>
            <w:r w:rsidR="004264B6">
              <w:rPr>
                <w:noProof/>
                <w:webHidden/>
              </w:rPr>
              <w:tab/>
            </w:r>
            <w:r w:rsidR="004264B6">
              <w:rPr>
                <w:noProof/>
                <w:webHidden/>
              </w:rPr>
              <w:fldChar w:fldCharType="begin"/>
            </w:r>
            <w:r w:rsidR="004264B6">
              <w:rPr>
                <w:noProof/>
                <w:webHidden/>
              </w:rPr>
              <w:instrText xml:space="preserve"> PAGEREF _Toc482805106 \h </w:instrText>
            </w:r>
            <w:r w:rsidR="004264B6">
              <w:rPr>
                <w:noProof/>
                <w:webHidden/>
              </w:rPr>
            </w:r>
            <w:r w:rsidR="004264B6">
              <w:rPr>
                <w:noProof/>
                <w:webHidden/>
              </w:rPr>
              <w:fldChar w:fldCharType="separate"/>
            </w:r>
            <w:r w:rsidR="004264B6">
              <w:rPr>
                <w:noProof/>
                <w:webHidden/>
              </w:rPr>
              <w:t>106</w:t>
            </w:r>
            <w:r w:rsidR="004264B6">
              <w:rPr>
                <w:noProof/>
                <w:webHidden/>
              </w:rPr>
              <w:fldChar w:fldCharType="end"/>
            </w:r>
          </w:hyperlink>
        </w:p>
        <w:p w14:paraId="367E4AD9" w14:textId="77777777" w:rsidR="004264B6" w:rsidRDefault="00FA183D">
          <w:pPr>
            <w:pStyle w:val="TOC2"/>
            <w:tabs>
              <w:tab w:val="left" w:pos="660"/>
              <w:tab w:val="right" w:leader="dot" w:pos="9060"/>
            </w:tabs>
            <w:rPr>
              <w:rFonts w:eastAsiaTheme="minorEastAsia" w:cstheme="minorBidi"/>
              <w:smallCaps w:val="0"/>
              <w:noProof/>
              <w:sz w:val="22"/>
              <w:szCs w:val="22"/>
              <w:lang w:eastAsia="en-GB" w:bidi="ar-SA"/>
            </w:rPr>
          </w:pPr>
          <w:hyperlink w:anchor="_Toc482805107" w:history="1">
            <w:r w:rsidR="004264B6" w:rsidRPr="009D1EFA">
              <w:rPr>
                <w:rStyle w:val="Hyperlink"/>
                <w:noProof/>
              </w:rPr>
              <w:t>4</w:t>
            </w:r>
            <w:r w:rsidR="004264B6">
              <w:rPr>
                <w:rFonts w:eastAsiaTheme="minorEastAsia" w:cstheme="minorBidi"/>
                <w:smallCaps w:val="0"/>
                <w:noProof/>
                <w:sz w:val="22"/>
                <w:szCs w:val="22"/>
                <w:lang w:eastAsia="en-GB" w:bidi="ar-SA"/>
              </w:rPr>
              <w:tab/>
            </w:r>
            <w:r w:rsidR="004264B6" w:rsidRPr="009D1EFA">
              <w:rPr>
                <w:rStyle w:val="Hyperlink"/>
                <w:noProof/>
              </w:rPr>
              <w:t>Hazard assessment PFHxS</w:t>
            </w:r>
            <w:r w:rsidR="004264B6">
              <w:rPr>
                <w:noProof/>
                <w:webHidden/>
              </w:rPr>
              <w:tab/>
            </w:r>
            <w:r w:rsidR="004264B6">
              <w:rPr>
                <w:noProof/>
                <w:webHidden/>
              </w:rPr>
              <w:fldChar w:fldCharType="begin"/>
            </w:r>
            <w:r w:rsidR="004264B6">
              <w:rPr>
                <w:noProof/>
                <w:webHidden/>
              </w:rPr>
              <w:instrText xml:space="preserve"> PAGEREF _Toc482805107 \h </w:instrText>
            </w:r>
            <w:r w:rsidR="004264B6">
              <w:rPr>
                <w:noProof/>
                <w:webHidden/>
              </w:rPr>
            </w:r>
            <w:r w:rsidR="004264B6">
              <w:rPr>
                <w:noProof/>
                <w:webHidden/>
              </w:rPr>
              <w:fldChar w:fldCharType="separate"/>
            </w:r>
            <w:r w:rsidR="004264B6">
              <w:rPr>
                <w:noProof/>
                <w:webHidden/>
              </w:rPr>
              <w:t>107</w:t>
            </w:r>
            <w:r w:rsidR="004264B6">
              <w:rPr>
                <w:noProof/>
                <w:webHidden/>
              </w:rPr>
              <w:fldChar w:fldCharType="end"/>
            </w:r>
          </w:hyperlink>
        </w:p>
        <w:p w14:paraId="260A483E" w14:textId="77777777" w:rsidR="004264B6" w:rsidRDefault="00FA183D">
          <w:pPr>
            <w:pStyle w:val="TOC3"/>
            <w:tabs>
              <w:tab w:val="left" w:pos="1100"/>
              <w:tab w:val="right" w:leader="dot" w:pos="9060"/>
            </w:tabs>
            <w:rPr>
              <w:rFonts w:eastAsiaTheme="minorEastAsia" w:cstheme="minorBidi"/>
              <w:i w:val="0"/>
              <w:iCs w:val="0"/>
              <w:noProof/>
              <w:sz w:val="22"/>
              <w:szCs w:val="22"/>
              <w:lang w:eastAsia="en-GB" w:bidi="ar-SA"/>
            </w:rPr>
          </w:pPr>
          <w:hyperlink w:anchor="_Toc482805108" w:history="1">
            <w:r w:rsidR="004264B6" w:rsidRPr="009D1EFA">
              <w:rPr>
                <w:rStyle w:val="Hyperlink"/>
                <w:noProof/>
              </w:rPr>
              <w:t>4.1</w:t>
            </w:r>
            <w:r w:rsidR="004264B6">
              <w:rPr>
                <w:rFonts w:eastAsiaTheme="minorEastAsia" w:cstheme="minorBidi"/>
                <w:i w:val="0"/>
                <w:iCs w:val="0"/>
                <w:noProof/>
                <w:sz w:val="22"/>
                <w:szCs w:val="22"/>
                <w:lang w:eastAsia="en-GB" w:bidi="ar-SA"/>
              </w:rPr>
              <w:tab/>
            </w:r>
            <w:r w:rsidR="004264B6" w:rsidRPr="009D1EFA">
              <w:rPr>
                <w:rStyle w:val="Hyperlink"/>
                <w:noProof/>
              </w:rPr>
              <w:t>Introduction</w:t>
            </w:r>
            <w:r w:rsidR="004264B6">
              <w:rPr>
                <w:noProof/>
                <w:webHidden/>
              </w:rPr>
              <w:tab/>
            </w:r>
            <w:r w:rsidR="004264B6">
              <w:rPr>
                <w:noProof/>
                <w:webHidden/>
              </w:rPr>
              <w:fldChar w:fldCharType="begin"/>
            </w:r>
            <w:r w:rsidR="004264B6">
              <w:rPr>
                <w:noProof/>
                <w:webHidden/>
              </w:rPr>
              <w:instrText xml:space="preserve"> PAGEREF _Toc482805108 \h </w:instrText>
            </w:r>
            <w:r w:rsidR="004264B6">
              <w:rPr>
                <w:noProof/>
                <w:webHidden/>
              </w:rPr>
            </w:r>
            <w:r w:rsidR="004264B6">
              <w:rPr>
                <w:noProof/>
                <w:webHidden/>
              </w:rPr>
              <w:fldChar w:fldCharType="separate"/>
            </w:r>
            <w:r w:rsidR="004264B6">
              <w:rPr>
                <w:noProof/>
                <w:webHidden/>
              </w:rPr>
              <w:t>107</w:t>
            </w:r>
            <w:r w:rsidR="004264B6">
              <w:rPr>
                <w:noProof/>
                <w:webHidden/>
              </w:rPr>
              <w:fldChar w:fldCharType="end"/>
            </w:r>
          </w:hyperlink>
        </w:p>
        <w:p w14:paraId="73824218" w14:textId="77777777" w:rsidR="004264B6" w:rsidRDefault="00FA183D">
          <w:pPr>
            <w:pStyle w:val="TOC3"/>
            <w:tabs>
              <w:tab w:val="left" w:pos="1100"/>
              <w:tab w:val="right" w:leader="dot" w:pos="9060"/>
            </w:tabs>
            <w:rPr>
              <w:rFonts w:eastAsiaTheme="minorEastAsia" w:cstheme="minorBidi"/>
              <w:i w:val="0"/>
              <w:iCs w:val="0"/>
              <w:noProof/>
              <w:sz w:val="22"/>
              <w:szCs w:val="22"/>
              <w:lang w:eastAsia="en-GB" w:bidi="ar-SA"/>
            </w:rPr>
          </w:pPr>
          <w:hyperlink w:anchor="_Toc482805109" w:history="1">
            <w:r w:rsidR="004264B6" w:rsidRPr="009D1EFA">
              <w:rPr>
                <w:rStyle w:val="Hyperlink"/>
                <w:noProof/>
              </w:rPr>
              <w:t>4.2</w:t>
            </w:r>
            <w:r w:rsidR="004264B6">
              <w:rPr>
                <w:rFonts w:eastAsiaTheme="minorEastAsia" w:cstheme="minorBidi"/>
                <w:i w:val="0"/>
                <w:iCs w:val="0"/>
                <w:noProof/>
                <w:sz w:val="22"/>
                <w:szCs w:val="22"/>
                <w:lang w:eastAsia="en-GB" w:bidi="ar-SA"/>
              </w:rPr>
              <w:tab/>
            </w:r>
            <w:r w:rsidR="004264B6" w:rsidRPr="009D1EFA">
              <w:rPr>
                <w:rStyle w:val="Hyperlink"/>
                <w:noProof/>
              </w:rPr>
              <w:t>Summary of International hazard reviews of PFHxS</w:t>
            </w:r>
            <w:r w:rsidR="004264B6">
              <w:rPr>
                <w:noProof/>
                <w:webHidden/>
              </w:rPr>
              <w:tab/>
            </w:r>
            <w:r w:rsidR="004264B6">
              <w:rPr>
                <w:noProof/>
                <w:webHidden/>
              </w:rPr>
              <w:fldChar w:fldCharType="begin"/>
            </w:r>
            <w:r w:rsidR="004264B6">
              <w:rPr>
                <w:noProof/>
                <w:webHidden/>
              </w:rPr>
              <w:instrText xml:space="preserve"> PAGEREF _Toc482805109 \h </w:instrText>
            </w:r>
            <w:r w:rsidR="004264B6">
              <w:rPr>
                <w:noProof/>
                <w:webHidden/>
              </w:rPr>
            </w:r>
            <w:r w:rsidR="004264B6">
              <w:rPr>
                <w:noProof/>
                <w:webHidden/>
              </w:rPr>
              <w:fldChar w:fldCharType="separate"/>
            </w:r>
            <w:r w:rsidR="004264B6">
              <w:rPr>
                <w:noProof/>
                <w:webHidden/>
              </w:rPr>
              <w:t>107</w:t>
            </w:r>
            <w:r w:rsidR="004264B6">
              <w:rPr>
                <w:noProof/>
                <w:webHidden/>
              </w:rPr>
              <w:fldChar w:fldCharType="end"/>
            </w:r>
          </w:hyperlink>
        </w:p>
        <w:p w14:paraId="672E8F2C" w14:textId="77777777" w:rsidR="004264B6" w:rsidRDefault="00FA183D">
          <w:pPr>
            <w:pStyle w:val="TOC3"/>
            <w:tabs>
              <w:tab w:val="left" w:pos="1100"/>
              <w:tab w:val="right" w:leader="dot" w:pos="9060"/>
            </w:tabs>
            <w:rPr>
              <w:rFonts w:eastAsiaTheme="minorEastAsia" w:cstheme="minorBidi"/>
              <w:i w:val="0"/>
              <w:iCs w:val="0"/>
              <w:noProof/>
              <w:sz w:val="22"/>
              <w:szCs w:val="22"/>
              <w:lang w:eastAsia="en-GB" w:bidi="ar-SA"/>
            </w:rPr>
          </w:pPr>
          <w:hyperlink w:anchor="_Toc482805110" w:history="1">
            <w:r w:rsidR="004264B6" w:rsidRPr="009D1EFA">
              <w:rPr>
                <w:rStyle w:val="Hyperlink"/>
                <w:noProof/>
              </w:rPr>
              <w:t>4.3</w:t>
            </w:r>
            <w:r w:rsidR="004264B6">
              <w:rPr>
                <w:rFonts w:eastAsiaTheme="minorEastAsia" w:cstheme="minorBidi"/>
                <w:i w:val="0"/>
                <w:iCs w:val="0"/>
                <w:noProof/>
                <w:sz w:val="22"/>
                <w:szCs w:val="22"/>
                <w:lang w:eastAsia="en-GB" w:bidi="ar-SA"/>
              </w:rPr>
              <w:tab/>
            </w:r>
            <w:r w:rsidR="004264B6" w:rsidRPr="009D1EFA">
              <w:rPr>
                <w:rStyle w:val="Hyperlink"/>
                <w:noProof/>
              </w:rPr>
              <w:t>Summary of the toxicity of PFHxS</w:t>
            </w:r>
            <w:r w:rsidR="004264B6">
              <w:rPr>
                <w:noProof/>
                <w:webHidden/>
              </w:rPr>
              <w:tab/>
            </w:r>
            <w:r w:rsidR="004264B6">
              <w:rPr>
                <w:noProof/>
                <w:webHidden/>
              </w:rPr>
              <w:fldChar w:fldCharType="begin"/>
            </w:r>
            <w:r w:rsidR="004264B6">
              <w:rPr>
                <w:noProof/>
                <w:webHidden/>
              </w:rPr>
              <w:instrText xml:space="preserve"> PAGEREF _Toc482805110 \h </w:instrText>
            </w:r>
            <w:r w:rsidR="004264B6">
              <w:rPr>
                <w:noProof/>
                <w:webHidden/>
              </w:rPr>
            </w:r>
            <w:r w:rsidR="004264B6">
              <w:rPr>
                <w:noProof/>
                <w:webHidden/>
              </w:rPr>
              <w:fldChar w:fldCharType="separate"/>
            </w:r>
            <w:r w:rsidR="004264B6">
              <w:rPr>
                <w:noProof/>
                <w:webHidden/>
              </w:rPr>
              <w:t>109</w:t>
            </w:r>
            <w:r w:rsidR="004264B6">
              <w:rPr>
                <w:noProof/>
                <w:webHidden/>
              </w:rPr>
              <w:fldChar w:fldCharType="end"/>
            </w:r>
          </w:hyperlink>
        </w:p>
        <w:p w14:paraId="00377FF4" w14:textId="77777777" w:rsidR="004264B6" w:rsidRDefault="00FA183D">
          <w:pPr>
            <w:pStyle w:val="TOC3"/>
            <w:tabs>
              <w:tab w:val="left" w:pos="1100"/>
              <w:tab w:val="right" w:leader="dot" w:pos="9060"/>
            </w:tabs>
            <w:rPr>
              <w:rFonts w:eastAsiaTheme="minorEastAsia" w:cstheme="minorBidi"/>
              <w:i w:val="0"/>
              <w:iCs w:val="0"/>
              <w:noProof/>
              <w:sz w:val="22"/>
              <w:szCs w:val="22"/>
              <w:lang w:eastAsia="en-GB" w:bidi="ar-SA"/>
            </w:rPr>
          </w:pPr>
          <w:hyperlink w:anchor="_Toc482805111" w:history="1">
            <w:r w:rsidR="004264B6" w:rsidRPr="009D1EFA">
              <w:rPr>
                <w:rStyle w:val="Hyperlink"/>
                <w:noProof/>
              </w:rPr>
              <w:t>4.4</w:t>
            </w:r>
            <w:r w:rsidR="004264B6">
              <w:rPr>
                <w:rFonts w:eastAsiaTheme="minorEastAsia" w:cstheme="minorBidi"/>
                <w:i w:val="0"/>
                <w:iCs w:val="0"/>
                <w:noProof/>
                <w:sz w:val="22"/>
                <w:szCs w:val="22"/>
                <w:lang w:eastAsia="en-GB" w:bidi="ar-SA"/>
              </w:rPr>
              <w:tab/>
            </w:r>
            <w:r w:rsidR="004264B6" w:rsidRPr="009D1EFA">
              <w:rPr>
                <w:rStyle w:val="Hyperlink"/>
                <w:noProof/>
              </w:rPr>
              <w:t>Discussion and conclusions PFHxS</w:t>
            </w:r>
            <w:r w:rsidR="004264B6">
              <w:rPr>
                <w:noProof/>
                <w:webHidden/>
              </w:rPr>
              <w:tab/>
            </w:r>
            <w:r w:rsidR="004264B6">
              <w:rPr>
                <w:noProof/>
                <w:webHidden/>
              </w:rPr>
              <w:fldChar w:fldCharType="begin"/>
            </w:r>
            <w:r w:rsidR="004264B6">
              <w:rPr>
                <w:noProof/>
                <w:webHidden/>
              </w:rPr>
              <w:instrText xml:space="preserve"> PAGEREF _Toc482805111 \h </w:instrText>
            </w:r>
            <w:r w:rsidR="004264B6">
              <w:rPr>
                <w:noProof/>
                <w:webHidden/>
              </w:rPr>
            </w:r>
            <w:r w:rsidR="004264B6">
              <w:rPr>
                <w:noProof/>
                <w:webHidden/>
              </w:rPr>
              <w:fldChar w:fldCharType="separate"/>
            </w:r>
            <w:r w:rsidR="004264B6">
              <w:rPr>
                <w:noProof/>
                <w:webHidden/>
              </w:rPr>
              <w:t>114</w:t>
            </w:r>
            <w:r w:rsidR="004264B6">
              <w:rPr>
                <w:noProof/>
                <w:webHidden/>
              </w:rPr>
              <w:fldChar w:fldCharType="end"/>
            </w:r>
          </w:hyperlink>
        </w:p>
        <w:p w14:paraId="6C345581" w14:textId="77777777" w:rsidR="004264B6" w:rsidRDefault="00FA183D">
          <w:pPr>
            <w:pStyle w:val="TOC2"/>
            <w:tabs>
              <w:tab w:val="right" w:leader="dot" w:pos="9060"/>
            </w:tabs>
            <w:rPr>
              <w:rFonts w:eastAsiaTheme="minorEastAsia" w:cstheme="minorBidi"/>
              <w:smallCaps w:val="0"/>
              <w:noProof/>
              <w:sz w:val="22"/>
              <w:szCs w:val="22"/>
              <w:lang w:eastAsia="en-GB" w:bidi="ar-SA"/>
            </w:rPr>
          </w:pPr>
          <w:hyperlink w:anchor="_Toc482805112" w:history="1">
            <w:r w:rsidR="004264B6" w:rsidRPr="009D1EFA">
              <w:rPr>
                <w:rStyle w:val="Hyperlink"/>
                <w:noProof/>
              </w:rPr>
              <w:t>References</w:t>
            </w:r>
            <w:r w:rsidR="004264B6">
              <w:rPr>
                <w:noProof/>
                <w:webHidden/>
              </w:rPr>
              <w:tab/>
            </w:r>
            <w:r w:rsidR="004264B6">
              <w:rPr>
                <w:noProof/>
                <w:webHidden/>
              </w:rPr>
              <w:fldChar w:fldCharType="begin"/>
            </w:r>
            <w:r w:rsidR="004264B6">
              <w:rPr>
                <w:noProof/>
                <w:webHidden/>
              </w:rPr>
              <w:instrText xml:space="preserve"> PAGEREF _Toc482805112 \h </w:instrText>
            </w:r>
            <w:r w:rsidR="004264B6">
              <w:rPr>
                <w:noProof/>
                <w:webHidden/>
              </w:rPr>
            </w:r>
            <w:r w:rsidR="004264B6">
              <w:rPr>
                <w:noProof/>
                <w:webHidden/>
              </w:rPr>
              <w:fldChar w:fldCharType="separate"/>
            </w:r>
            <w:r w:rsidR="004264B6">
              <w:rPr>
                <w:noProof/>
                <w:webHidden/>
              </w:rPr>
              <w:t>115</w:t>
            </w:r>
            <w:r w:rsidR="004264B6">
              <w:rPr>
                <w:noProof/>
                <w:webHidden/>
              </w:rPr>
              <w:fldChar w:fldCharType="end"/>
            </w:r>
          </w:hyperlink>
        </w:p>
        <w:p w14:paraId="2EC139F7" w14:textId="77777777" w:rsidR="004264B6" w:rsidRDefault="00FA183D">
          <w:pPr>
            <w:pStyle w:val="TOC2"/>
            <w:tabs>
              <w:tab w:val="right" w:leader="dot" w:pos="9060"/>
            </w:tabs>
            <w:rPr>
              <w:rFonts w:eastAsiaTheme="minorEastAsia" w:cstheme="minorBidi"/>
              <w:smallCaps w:val="0"/>
              <w:noProof/>
              <w:sz w:val="22"/>
              <w:szCs w:val="22"/>
              <w:lang w:eastAsia="en-GB" w:bidi="ar-SA"/>
            </w:rPr>
          </w:pPr>
          <w:hyperlink w:anchor="_Toc482805113" w:history="1">
            <w:r w:rsidR="004264B6" w:rsidRPr="009D1EFA">
              <w:rPr>
                <w:rStyle w:val="Hyperlink"/>
                <w:noProof/>
              </w:rPr>
              <w:t>Appendices</w:t>
            </w:r>
            <w:r w:rsidR="004264B6">
              <w:rPr>
                <w:noProof/>
                <w:webHidden/>
              </w:rPr>
              <w:tab/>
            </w:r>
            <w:r w:rsidR="004264B6">
              <w:rPr>
                <w:noProof/>
                <w:webHidden/>
              </w:rPr>
              <w:fldChar w:fldCharType="begin"/>
            </w:r>
            <w:r w:rsidR="004264B6">
              <w:rPr>
                <w:noProof/>
                <w:webHidden/>
              </w:rPr>
              <w:instrText xml:space="preserve"> PAGEREF _Toc482805113 \h </w:instrText>
            </w:r>
            <w:r w:rsidR="004264B6">
              <w:rPr>
                <w:noProof/>
                <w:webHidden/>
              </w:rPr>
            </w:r>
            <w:r w:rsidR="004264B6">
              <w:rPr>
                <w:noProof/>
                <w:webHidden/>
              </w:rPr>
              <w:fldChar w:fldCharType="separate"/>
            </w:r>
            <w:r w:rsidR="004264B6">
              <w:rPr>
                <w:noProof/>
                <w:webHidden/>
              </w:rPr>
              <w:t>123</w:t>
            </w:r>
            <w:r w:rsidR="004264B6">
              <w:rPr>
                <w:noProof/>
                <w:webHidden/>
              </w:rPr>
              <w:fldChar w:fldCharType="end"/>
            </w:r>
          </w:hyperlink>
        </w:p>
        <w:p w14:paraId="45D9836F" w14:textId="77777777" w:rsidR="004264B6" w:rsidRDefault="00FA183D">
          <w:pPr>
            <w:pStyle w:val="TOC3"/>
            <w:tabs>
              <w:tab w:val="right" w:leader="dot" w:pos="9060"/>
            </w:tabs>
            <w:rPr>
              <w:rFonts w:eastAsiaTheme="minorEastAsia" w:cstheme="minorBidi"/>
              <w:i w:val="0"/>
              <w:iCs w:val="0"/>
              <w:noProof/>
              <w:sz w:val="22"/>
              <w:szCs w:val="22"/>
              <w:lang w:eastAsia="en-GB" w:bidi="ar-SA"/>
            </w:rPr>
          </w:pPr>
          <w:hyperlink w:anchor="_Toc482805114" w:history="1">
            <w:r w:rsidR="004264B6" w:rsidRPr="009D1EFA">
              <w:rPr>
                <w:rStyle w:val="Hyperlink"/>
                <w:noProof/>
              </w:rPr>
              <w:t>Appendix 1: Observational studies of PFAS and birthweight</w:t>
            </w:r>
            <w:r w:rsidR="004264B6">
              <w:rPr>
                <w:noProof/>
                <w:webHidden/>
              </w:rPr>
              <w:tab/>
            </w:r>
            <w:r w:rsidR="004264B6">
              <w:rPr>
                <w:noProof/>
                <w:webHidden/>
              </w:rPr>
              <w:fldChar w:fldCharType="begin"/>
            </w:r>
            <w:r w:rsidR="004264B6">
              <w:rPr>
                <w:noProof/>
                <w:webHidden/>
              </w:rPr>
              <w:instrText xml:space="preserve"> PAGEREF _Toc482805114 \h </w:instrText>
            </w:r>
            <w:r w:rsidR="004264B6">
              <w:rPr>
                <w:noProof/>
                <w:webHidden/>
              </w:rPr>
            </w:r>
            <w:r w:rsidR="004264B6">
              <w:rPr>
                <w:noProof/>
                <w:webHidden/>
              </w:rPr>
              <w:fldChar w:fldCharType="separate"/>
            </w:r>
            <w:r w:rsidR="004264B6">
              <w:rPr>
                <w:noProof/>
                <w:webHidden/>
              </w:rPr>
              <w:t>123</w:t>
            </w:r>
            <w:r w:rsidR="004264B6">
              <w:rPr>
                <w:noProof/>
                <w:webHidden/>
              </w:rPr>
              <w:fldChar w:fldCharType="end"/>
            </w:r>
          </w:hyperlink>
        </w:p>
        <w:p w14:paraId="449416D6" w14:textId="77777777" w:rsidR="004264B6" w:rsidRDefault="00FA183D">
          <w:pPr>
            <w:pStyle w:val="TOC3"/>
            <w:tabs>
              <w:tab w:val="right" w:leader="dot" w:pos="9060"/>
            </w:tabs>
            <w:rPr>
              <w:rFonts w:eastAsiaTheme="minorEastAsia" w:cstheme="minorBidi"/>
              <w:i w:val="0"/>
              <w:iCs w:val="0"/>
              <w:noProof/>
              <w:sz w:val="22"/>
              <w:szCs w:val="22"/>
              <w:lang w:eastAsia="en-GB" w:bidi="ar-SA"/>
            </w:rPr>
          </w:pPr>
          <w:hyperlink w:anchor="_Toc482805115" w:history="1">
            <w:r w:rsidR="004264B6" w:rsidRPr="009D1EFA">
              <w:rPr>
                <w:rStyle w:val="Hyperlink"/>
                <w:noProof/>
              </w:rPr>
              <w:t>Appendix 2: Observational studies of PFAS and cholesterol concentrations</w:t>
            </w:r>
            <w:r w:rsidR="004264B6">
              <w:rPr>
                <w:noProof/>
                <w:webHidden/>
              </w:rPr>
              <w:tab/>
            </w:r>
            <w:r w:rsidR="004264B6">
              <w:rPr>
                <w:noProof/>
                <w:webHidden/>
              </w:rPr>
              <w:fldChar w:fldCharType="begin"/>
            </w:r>
            <w:r w:rsidR="004264B6">
              <w:rPr>
                <w:noProof/>
                <w:webHidden/>
              </w:rPr>
              <w:instrText xml:space="preserve"> PAGEREF _Toc482805115 \h </w:instrText>
            </w:r>
            <w:r w:rsidR="004264B6">
              <w:rPr>
                <w:noProof/>
                <w:webHidden/>
              </w:rPr>
            </w:r>
            <w:r w:rsidR="004264B6">
              <w:rPr>
                <w:noProof/>
                <w:webHidden/>
              </w:rPr>
              <w:fldChar w:fldCharType="separate"/>
            </w:r>
            <w:r w:rsidR="004264B6">
              <w:rPr>
                <w:noProof/>
                <w:webHidden/>
              </w:rPr>
              <w:t>157</w:t>
            </w:r>
            <w:r w:rsidR="004264B6">
              <w:rPr>
                <w:noProof/>
                <w:webHidden/>
              </w:rPr>
              <w:fldChar w:fldCharType="end"/>
            </w:r>
          </w:hyperlink>
        </w:p>
        <w:p w14:paraId="003CDD99" w14:textId="77777777" w:rsidR="004264B6" w:rsidRDefault="00FA183D">
          <w:pPr>
            <w:pStyle w:val="TOC3"/>
            <w:tabs>
              <w:tab w:val="right" w:leader="dot" w:pos="9060"/>
            </w:tabs>
            <w:rPr>
              <w:rFonts w:eastAsiaTheme="minorEastAsia" w:cstheme="minorBidi"/>
              <w:i w:val="0"/>
              <w:iCs w:val="0"/>
              <w:noProof/>
              <w:sz w:val="22"/>
              <w:szCs w:val="22"/>
              <w:lang w:eastAsia="en-GB" w:bidi="ar-SA"/>
            </w:rPr>
          </w:pPr>
          <w:hyperlink w:anchor="_Toc482805116" w:history="1">
            <w:r w:rsidR="004264B6" w:rsidRPr="009D1EFA">
              <w:rPr>
                <w:rStyle w:val="Hyperlink"/>
                <w:noProof/>
              </w:rPr>
              <w:t>Appendix 3: PFHxS Pharmacokinetic Studies</w:t>
            </w:r>
            <w:r w:rsidR="004264B6">
              <w:rPr>
                <w:noProof/>
                <w:webHidden/>
              </w:rPr>
              <w:tab/>
            </w:r>
            <w:r w:rsidR="004264B6">
              <w:rPr>
                <w:noProof/>
                <w:webHidden/>
              </w:rPr>
              <w:fldChar w:fldCharType="begin"/>
            </w:r>
            <w:r w:rsidR="004264B6">
              <w:rPr>
                <w:noProof/>
                <w:webHidden/>
              </w:rPr>
              <w:instrText xml:space="preserve"> PAGEREF _Toc482805116 \h </w:instrText>
            </w:r>
            <w:r w:rsidR="004264B6">
              <w:rPr>
                <w:noProof/>
                <w:webHidden/>
              </w:rPr>
            </w:r>
            <w:r w:rsidR="004264B6">
              <w:rPr>
                <w:noProof/>
                <w:webHidden/>
              </w:rPr>
              <w:fldChar w:fldCharType="separate"/>
            </w:r>
            <w:r w:rsidR="004264B6">
              <w:rPr>
                <w:noProof/>
                <w:webHidden/>
              </w:rPr>
              <w:t>191</w:t>
            </w:r>
            <w:r w:rsidR="004264B6">
              <w:rPr>
                <w:noProof/>
                <w:webHidden/>
              </w:rPr>
              <w:fldChar w:fldCharType="end"/>
            </w:r>
          </w:hyperlink>
        </w:p>
        <w:p w14:paraId="1FC49A45" w14:textId="5BBA6841" w:rsidR="00D441C5" w:rsidRDefault="009A51A2" w:rsidP="00A111E9">
          <w:pPr>
            <w:rPr>
              <w:b/>
              <w:szCs w:val="22"/>
            </w:rPr>
          </w:pPr>
          <w:r w:rsidRPr="00B6305A">
            <w:rPr>
              <w:b/>
              <w:bCs/>
              <w:noProof/>
            </w:rPr>
            <w:fldChar w:fldCharType="end"/>
          </w:r>
        </w:p>
      </w:sdtContent>
    </w:sdt>
    <w:p w14:paraId="0D7E21AA" w14:textId="77777777" w:rsidR="00C65748" w:rsidRDefault="00C65748">
      <w:pPr>
        <w:widowControl/>
        <w:rPr>
          <w:rFonts w:eastAsiaTheme="minorHAnsi" w:cs="Arial"/>
          <w:b/>
          <w:bCs/>
          <w:sz w:val="28"/>
          <w:szCs w:val="22"/>
          <w:lang w:bidi="ar-SA"/>
        </w:rPr>
      </w:pPr>
      <w:bookmarkStart w:id="1" w:name="_Toc468799233"/>
      <w:bookmarkStart w:id="2" w:name="_Toc468806556"/>
      <w:bookmarkStart w:id="3" w:name="_Toc468980970"/>
      <w:r>
        <w:br w:type="page"/>
      </w:r>
    </w:p>
    <w:p w14:paraId="2B9739A0" w14:textId="193E7E40" w:rsidR="00AB4917" w:rsidRDefault="00AB4917" w:rsidP="000328C0">
      <w:pPr>
        <w:pStyle w:val="Heading2"/>
      </w:pPr>
      <w:bookmarkStart w:id="4" w:name="_Toc482805091"/>
      <w:r w:rsidRPr="000328C0">
        <w:lastRenderedPageBreak/>
        <w:t>Abbreviations</w:t>
      </w:r>
      <w:bookmarkEnd w:id="1"/>
      <w:bookmarkEnd w:id="2"/>
      <w:bookmarkEnd w:id="3"/>
      <w:bookmarkEnd w:id="4"/>
    </w:p>
    <w:p w14:paraId="638A7ACD" w14:textId="77777777" w:rsidR="00AB4917" w:rsidRPr="007C7890" w:rsidRDefault="00AB4917" w:rsidP="004449B9">
      <w:pPr>
        <w:pStyle w:val="Heading3"/>
        <w:rPr>
          <w:lang w:val="en-AU"/>
        </w:rPr>
      </w:pPr>
      <w:r w:rsidRPr="007C7890">
        <w:rPr>
          <w:lang w:val="en-AU"/>
        </w:rPr>
        <w:t>List of abbreviations for PFOA, PFOS and PFHxS Assessments</w:t>
      </w:r>
    </w:p>
    <w:p w14:paraId="5E054478" w14:textId="77777777"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val="en-AU" w:bidi="ar-SA"/>
        </w:rPr>
        <w:t>2D-DIGE</w:t>
      </w:r>
      <w:r w:rsidRPr="00276C1C">
        <w:rPr>
          <w:rFonts w:eastAsiaTheme="minorHAnsi" w:cstheme="minorBidi"/>
          <w:szCs w:val="22"/>
          <w:lang w:val="en-AU" w:bidi="ar-SA"/>
        </w:rPr>
        <w:tab/>
      </w:r>
      <w:r w:rsidRPr="00276C1C">
        <w:rPr>
          <w:rFonts w:eastAsiaTheme="minorHAnsi" w:cstheme="minorBidi"/>
          <w:szCs w:val="22"/>
          <w:lang w:bidi="ar-SA"/>
        </w:rPr>
        <w:t>two-dimensional fluorescence difference in gel electrophoresis</w:t>
      </w:r>
    </w:p>
    <w:p w14:paraId="0B20AA1B" w14:textId="77777777" w:rsidR="00AB4917" w:rsidRPr="00276C1C" w:rsidRDefault="00AB4917" w:rsidP="00A111E9">
      <w:pPr>
        <w:widowControl/>
        <w:rPr>
          <w:rFonts w:eastAsiaTheme="minorHAnsi" w:cstheme="minorBidi"/>
          <w:szCs w:val="22"/>
          <w:lang w:val="en-AU" w:bidi="ar-SA"/>
        </w:rPr>
      </w:pPr>
      <w:r w:rsidRPr="00276C1C">
        <w:rPr>
          <w:rFonts w:eastAsiaTheme="minorHAnsi" w:cstheme="minorBidi"/>
          <w:szCs w:val="22"/>
          <w:lang w:val="en-AU" w:bidi="ar-SA"/>
        </w:rPr>
        <w:t>8-dG</w:t>
      </w:r>
      <w:r w:rsidRPr="00276C1C">
        <w:rPr>
          <w:rFonts w:eastAsiaTheme="minorHAnsi" w:cstheme="minorBidi"/>
          <w:szCs w:val="22"/>
          <w:lang w:val="en-AU" w:bidi="ar-SA"/>
        </w:rPr>
        <w:tab/>
      </w:r>
      <w:r w:rsidRPr="00276C1C">
        <w:rPr>
          <w:rFonts w:eastAsiaTheme="minorHAnsi" w:cstheme="minorBidi"/>
          <w:szCs w:val="22"/>
          <w:lang w:val="en-AU" w:bidi="ar-SA"/>
        </w:rPr>
        <w:tab/>
      </w:r>
      <w:r w:rsidRPr="00276C1C">
        <w:rPr>
          <w:rFonts w:eastAsiaTheme="minorHAnsi" w:cstheme="minorBidi"/>
          <w:szCs w:val="22"/>
          <w:lang w:bidi="ar-SA"/>
        </w:rPr>
        <w:t>8-hydroxyguanosine</w:t>
      </w:r>
    </w:p>
    <w:p w14:paraId="7F2A809B" w14:textId="77777777" w:rsidR="00AB4917" w:rsidRPr="00276C1C" w:rsidRDefault="00AB4917" w:rsidP="00A111E9">
      <w:pPr>
        <w:widowControl/>
        <w:rPr>
          <w:rFonts w:eastAsiaTheme="minorHAnsi" w:cstheme="minorBidi"/>
          <w:szCs w:val="22"/>
          <w:lang w:val="en-AU" w:bidi="ar-SA"/>
        </w:rPr>
      </w:pPr>
      <w:r w:rsidRPr="00276C1C">
        <w:rPr>
          <w:rFonts w:eastAsiaTheme="minorHAnsi" w:cstheme="minorBidi"/>
          <w:szCs w:val="22"/>
          <w:lang w:val="en-AU" w:bidi="ar-SA"/>
        </w:rPr>
        <w:t>ACoA</w:t>
      </w:r>
      <w:r w:rsidRPr="00276C1C">
        <w:rPr>
          <w:rFonts w:eastAsiaTheme="minorHAnsi" w:cstheme="minorBidi"/>
          <w:szCs w:val="22"/>
          <w:lang w:val="en-AU" w:bidi="ar-SA"/>
        </w:rPr>
        <w:tab/>
        <w:t>acyl CoA</w:t>
      </w:r>
    </w:p>
    <w:p w14:paraId="1C94C05C" w14:textId="4E2B832F" w:rsidR="00AB4917" w:rsidRPr="00276C1C" w:rsidRDefault="00AB4917" w:rsidP="00A111E9">
      <w:pPr>
        <w:widowControl/>
        <w:rPr>
          <w:rFonts w:eastAsiaTheme="minorHAnsi" w:cstheme="minorBidi"/>
          <w:szCs w:val="22"/>
          <w:lang w:val="en-AU" w:bidi="ar-SA"/>
        </w:rPr>
      </w:pPr>
      <w:r w:rsidRPr="00276C1C">
        <w:rPr>
          <w:rFonts w:eastAsiaTheme="minorHAnsi" w:cstheme="minorBidi"/>
          <w:szCs w:val="22"/>
          <w:lang w:val="en-AU" w:bidi="ar-SA"/>
        </w:rPr>
        <w:t>ADHD</w:t>
      </w:r>
      <w:r w:rsidRPr="00276C1C">
        <w:rPr>
          <w:rFonts w:eastAsiaTheme="minorHAnsi" w:cstheme="minorBidi"/>
          <w:szCs w:val="22"/>
          <w:lang w:val="en-AU" w:bidi="ar-SA"/>
        </w:rPr>
        <w:tab/>
        <w:t>attention</w:t>
      </w:r>
      <w:r w:rsidR="003861B4">
        <w:rPr>
          <w:rFonts w:eastAsiaTheme="minorHAnsi" w:cstheme="minorBidi"/>
          <w:szCs w:val="22"/>
          <w:lang w:val="en-AU" w:bidi="ar-SA"/>
        </w:rPr>
        <w:t xml:space="preserve"> </w:t>
      </w:r>
      <w:r w:rsidRPr="00276C1C">
        <w:rPr>
          <w:rFonts w:eastAsiaTheme="minorHAnsi" w:cstheme="minorBidi"/>
          <w:szCs w:val="22"/>
          <w:lang w:val="en-AU" w:bidi="ar-SA"/>
        </w:rPr>
        <w:t>deficit/hyperactivity disorder</w:t>
      </w:r>
    </w:p>
    <w:p w14:paraId="11A43B41" w14:textId="77777777" w:rsidR="00AB4917" w:rsidRPr="00276C1C" w:rsidRDefault="00AB4917" w:rsidP="00A111E9">
      <w:pPr>
        <w:widowControl/>
        <w:rPr>
          <w:rFonts w:eastAsiaTheme="minorHAnsi" w:cstheme="minorBidi"/>
          <w:szCs w:val="22"/>
          <w:lang w:val="en-AU" w:bidi="ar-SA"/>
        </w:rPr>
      </w:pPr>
      <w:r w:rsidRPr="00276C1C">
        <w:rPr>
          <w:rFonts w:eastAsiaTheme="minorHAnsi" w:cstheme="minorBidi"/>
          <w:szCs w:val="22"/>
          <w:lang w:val="en-AU" w:bidi="ar-SA"/>
        </w:rPr>
        <w:t>AF</w:t>
      </w:r>
      <w:r w:rsidRPr="00276C1C">
        <w:rPr>
          <w:rFonts w:eastAsiaTheme="minorHAnsi" w:cstheme="minorBidi"/>
          <w:szCs w:val="22"/>
          <w:lang w:val="en-AU" w:bidi="ar-SA"/>
        </w:rPr>
        <w:tab/>
      </w:r>
      <w:r w:rsidRPr="00276C1C">
        <w:rPr>
          <w:rFonts w:eastAsiaTheme="minorHAnsi" w:cstheme="minorBidi"/>
          <w:szCs w:val="22"/>
          <w:lang w:val="en-AU" w:bidi="ar-SA"/>
        </w:rPr>
        <w:tab/>
        <w:t>assessment factor</w:t>
      </w:r>
    </w:p>
    <w:p w14:paraId="6481D812" w14:textId="77777777"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val="en-AU" w:bidi="ar-SA"/>
        </w:rPr>
        <w:t>AFPO</w:t>
      </w:r>
      <w:r w:rsidRPr="00276C1C">
        <w:rPr>
          <w:rFonts w:eastAsiaTheme="minorHAnsi" w:cstheme="minorBidi"/>
          <w:szCs w:val="22"/>
          <w:lang w:val="en-AU" w:bidi="ar-SA"/>
        </w:rPr>
        <w:tab/>
      </w:r>
      <w:r w:rsidRPr="00276C1C">
        <w:rPr>
          <w:rFonts w:eastAsiaTheme="minorHAnsi" w:cstheme="minorBidi"/>
          <w:szCs w:val="22"/>
          <w:lang w:bidi="ar-SA"/>
        </w:rPr>
        <w:t>ammonium perfluorooctanoate</w:t>
      </w:r>
    </w:p>
    <w:p w14:paraId="644B11DD" w14:textId="77777777"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bidi="ar-SA"/>
        </w:rPr>
        <w:t>AIC</w:t>
      </w:r>
      <w:r w:rsidRPr="00276C1C">
        <w:rPr>
          <w:rFonts w:eastAsiaTheme="minorHAnsi" w:cstheme="minorBidi"/>
          <w:szCs w:val="22"/>
          <w:lang w:bidi="ar-SA"/>
        </w:rPr>
        <w:tab/>
      </w:r>
      <w:r w:rsidRPr="00276C1C">
        <w:rPr>
          <w:rFonts w:eastAsiaTheme="minorHAnsi" w:cstheme="minorBidi"/>
          <w:szCs w:val="22"/>
          <w:lang w:bidi="ar-SA"/>
        </w:rPr>
        <w:tab/>
        <w:t>Akaike Information Criterion</w:t>
      </w:r>
    </w:p>
    <w:p w14:paraId="2EF937A2" w14:textId="77777777" w:rsidR="00AB4917" w:rsidRPr="00276C1C" w:rsidRDefault="00AB4917" w:rsidP="00A111E9">
      <w:pPr>
        <w:widowControl/>
        <w:rPr>
          <w:rFonts w:eastAsiaTheme="minorHAnsi" w:cstheme="minorBidi"/>
          <w:szCs w:val="22"/>
          <w:lang w:val="en-AU" w:bidi="ar-SA"/>
        </w:rPr>
      </w:pPr>
      <w:r w:rsidRPr="00276C1C">
        <w:rPr>
          <w:rFonts w:eastAsiaTheme="minorHAnsi" w:cstheme="minorBidi"/>
          <w:szCs w:val="22"/>
          <w:lang w:val="en-AU" w:bidi="ar-SA"/>
        </w:rPr>
        <w:t>ALP</w:t>
      </w:r>
      <w:r w:rsidRPr="00276C1C">
        <w:rPr>
          <w:rFonts w:eastAsiaTheme="minorHAnsi" w:cstheme="minorBidi"/>
          <w:szCs w:val="22"/>
          <w:lang w:val="en-AU" w:bidi="ar-SA"/>
        </w:rPr>
        <w:tab/>
      </w:r>
      <w:r w:rsidRPr="00276C1C">
        <w:rPr>
          <w:rFonts w:eastAsiaTheme="minorHAnsi" w:cstheme="minorBidi"/>
          <w:szCs w:val="22"/>
          <w:lang w:val="en-AU" w:bidi="ar-SA"/>
        </w:rPr>
        <w:tab/>
        <w:t>alkaline phosphatase</w:t>
      </w:r>
    </w:p>
    <w:p w14:paraId="29D80E5B" w14:textId="77777777"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val="en-AU" w:bidi="ar-SA"/>
        </w:rPr>
        <w:t>ALT</w:t>
      </w:r>
      <w:r w:rsidRPr="00276C1C">
        <w:rPr>
          <w:rFonts w:eastAsiaTheme="minorHAnsi" w:cstheme="minorBidi"/>
          <w:szCs w:val="22"/>
          <w:lang w:val="en-AU" w:bidi="ar-SA"/>
        </w:rPr>
        <w:tab/>
      </w:r>
      <w:r w:rsidRPr="00276C1C">
        <w:rPr>
          <w:rFonts w:eastAsiaTheme="minorHAnsi" w:cstheme="minorBidi"/>
          <w:szCs w:val="22"/>
          <w:lang w:val="en-AU" w:bidi="ar-SA"/>
        </w:rPr>
        <w:tab/>
      </w:r>
      <w:r w:rsidRPr="00276C1C">
        <w:rPr>
          <w:rFonts w:eastAsiaTheme="minorHAnsi" w:cstheme="minorBidi"/>
          <w:szCs w:val="22"/>
          <w:lang w:bidi="ar-SA"/>
        </w:rPr>
        <w:t>alanine aminotransferase</w:t>
      </w:r>
    </w:p>
    <w:p w14:paraId="60AB7DFE" w14:textId="77777777"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bidi="ar-SA"/>
        </w:rPr>
        <w:t>APTT</w:t>
      </w:r>
      <w:r w:rsidRPr="00276C1C">
        <w:rPr>
          <w:rFonts w:eastAsiaTheme="minorHAnsi" w:cstheme="minorBidi"/>
          <w:szCs w:val="22"/>
          <w:lang w:bidi="ar-SA"/>
        </w:rPr>
        <w:tab/>
      </w:r>
      <w:r w:rsidRPr="00276C1C">
        <w:rPr>
          <w:rFonts w:eastAsiaTheme="minorHAnsi" w:cstheme="minorBidi"/>
          <w:szCs w:val="22"/>
          <w:lang w:bidi="ar-SA"/>
        </w:rPr>
        <w:tab/>
        <w:t>activated partial thromboplastin time</w:t>
      </w:r>
    </w:p>
    <w:p w14:paraId="2E0D574F" w14:textId="77777777"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bidi="ar-SA"/>
        </w:rPr>
        <w:t>ASG</w:t>
      </w:r>
      <w:r w:rsidRPr="00276C1C">
        <w:rPr>
          <w:rFonts w:eastAsiaTheme="minorHAnsi" w:cstheme="minorBidi"/>
          <w:szCs w:val="22"/>
          <w:lang w:bidi="ar-SA"/>
        </w:rPr>
        <w:tab/>
      </w:r>
      <w:r w:rsidRPr="00276C1C">
        <w:rPr>
          <w:rFonts w:eastAsiaTheme="minorHAnsi" w:cstheme="minorBidi"/>
          <w:szCs w:val="22"/>
          <w:lang w:bidi="ar-SA"/>
        </w:rPr>
        <w:tab/>
        <w:t>accessory sex glands</w:t>
      </w:r>
    </w:p>
    <w:p w14:paraId="50DB49F7" w14:textId="77777777" w:rsidR="00AB4917" w:rsidRPr="00276C1C" w:rsidRDefault="00AB4917" w:rsidP="00A111E9">
      <w:pPr>
        <w:widowControl/>
        <w:rPr>
          <w:rFonts w:eastAsiaTheme="minorHAnsi" w:cstheme="minorBidi"/>
          <w:szCs w:val="22"/>
          <w:lang w:val="en-AU" w:bidi="ar-SA"/>
        </w:rPr>
      </w:pPr>
      <w:r w:rsidRPr="00276C1C">
        <w:rPr>
          <w:rFonts w:eastAsiaTheme="minorHAnsi" w:cstheme="minorBidi"/>
          <w:szCs w:val="22"/>
          <w:lang w:bidi="ar-SA"/>
        </w:rPr>
        <w:t>AST</w:t>
      </w:r>
      <w:r w:rsidRPr="00276C1C">
        <w:rPr>
          <w:rFonts w:eastAsiaTheme="minorHAnsi" w:cstheme="minorBidi"/>
          <w:szCs w:val="22"/>
          <w:lang w:bidi="ar-SA"/>
        </w:rPr>
        <w:tab/>
      </w:r>
      <w:r w:rsidRPr="00276C1C">
        <w:rPr>
          <w:rFonts w:eastAsiaTheme="minorHAnsi" w:cstheme="minorBidi"/>
          <w:szCs w:val="22"/>
          <w:lang w:bidi="ar-SA"/>
        </w:rPr>
        <w:tab/>
        <w:t>aspartate aminotransferase</w:t>
      </w:r>
    </w:p>
    <w:p w14:paraId="07B16186" w14:textId="77777777"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val="en-AU" w:bidi="ar-SA"/>
        </w:rPr>
        <w:t>ATSDR</w:t>
      </w:r>
      <w:r w:rsidRPr="00276C1C">
        <w:rPr>
          <w:rFonts w:eastAsiaTheme="minorHAnsi" w:cstheme="minorBidi"/>
          <w:szCs w:val="22"/>
          <w:lang w:val="en-AU" w:bidi="ar-SA"/>
        </w:rPr>
        <w:tab/>
      </w:r>
      <w:r w:rsidRPr="00276C1C">
        <w:rPr>
          <w:rFonts w:eastAsiaTheme="minorHAnsi" w:cstheme="minorBidi"/>
          <w:szCs w:val="22"/>
          <w:lang w:bidi="ar-SA"/>
        </w:rPr>
        <w:t>Agency for Toxic Substances and Disease Registry</w:t>
      </w:r>
    </w:p>
    <w:p w14:paraId="3AF70E86" w14:textId="77777777"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bidi="ar-SA"/>
        </w:rPr>
        <w:t>AUC</w:t>
      </w:r>
      <w:r w:rsidRPr="00276C1C">
        <w:rPr>
          <w:rFonts w:eastAsiaTheme="minorHAnsi" w:cstheme="minorBidi"/>
          <w:szCs w:val="22"/>
          <w:lang w:bidi="ar-SA"/>
        </w:rPr>
        <w:tab/>
      </w:r>
      <w:r w:rsidRPr="00276C1C">
        <w:rPr>
          <w:rFonts w:eastAsiaTheme="minorHAnsi" w:cstheme="minorBidi"/>
          <w:szCs w:val="22"/>
          <w:lang w:bidi="ar-SA"/>
        </w:rPr>
        <w:tab/>
        <w:t>area under the curve</w:t>
      </w:r>
    </w:p>
    <w:p w14:paraId="32F4F10A" w14:textId="77777777"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bidi="ar-SA"/>
        </w:rPr>
        <w:t>BMD</w:t>
      </w:r>
      <w:r w:rsidRPr="00276C1C">
        <w:rPr>
          <w:rFonts w:eastAsiaTheme="minorHAnsi" w:cstheme="minorBidi"/>
          <w:szCs w:val="22"/>
          <w:lang w:bidi="ar-SA"/>
        </w:rPr>
        <w:tab/>
      </w:r>
      <w:r w:rsidRPr="00276C1C">
        <w:rPr>
          <w:rFonts w:eastAsiaTheme="minorHAnsi" w:cstheme="minorBidi"/>
          <w:szCs w:val="22"/>
          <w:lang w:bidi="ar-SA"/>
        </w:rPr>
        <w:tab/>
        <w:t>benchmark dose</w:t>
      </w:r>
    </w:p>
    <w:p w14:paraId="79CFD59C" w14:textId="130562D8" w:rsidR="00AB4917" w:rsidRDefault="00AB4917" w:rsidP="00A111E9">
      <w:pPr>
        <w:widowControl/>
        <w:rPr>
          <w:rFonts w:eastAsiaTheme="minorHAnsi" w:cstheme="minorBidi"/>
          <w:szCs w:val="22"/>
          <w:lang w:bidi="ar-SA"/>
        </w:rPr>
      </w:pPr>
      <w:r w:rsidRPr="00276C1C">
        <w:rPr>
          <w:rFonts w:eastAsiaTheme="minorHAnsi" w:cstheme="minorBidi"/>
          <w:szCs w:val="22"/>
          <w:lang w:bidi="ar-SA"/>
        </w:rPr>
        <w:t>BMDL</w:t>
      </w:r>
      <w:r w:rsidRPr="00276C1C">
        <w:rPr>
          <w:rFonts w:eastAsiaTheme="minorHAnsi" w:cstheme="minorBidi"/>
          <w:szCs w:val="22"/>
          <w:lang w:bidi="ar-SA"/>
        </w:rPr>
        <w:tab/>
        <w:t xml:space="preserve">benchmark dose – lower </w:t>
      </w:r>
      <w:r w:rsidR="001B6877">
        <w:rPr>
          <w:rFonts w:eastAsiaTheme="minorHAnsi" w:cstheme="minorBidi"/>
          <w:szCs w:val="22"/>
          <w:lang w:bidi="ar-SA"/>
        </w:rPr>
        <w:t>ninety-fifth</w:t>
      </w:r>
      <w:r w:rsidRPr="00276C1C">
        <w:rPr>
          <w:rFonts w:eastAsiaTheme="minorHAnsi" w:cstheme="minorBidi"/>
          <w:szCs w:val="22"/>
          <w:lang w:bidi="ar-SA"/>
        </w:rPr>
        <w:t xml:space="preserve"> percentile confidence bound</w:t>
      </w:r>
    </w:p>
    <w:p w14:paraId="6313C250" w14:textId="06663316" w:rsidR="004B5641" w:rsidRPr="00276C1C" w:rsidRDefault="004B5641" w:rsidP="00A111E9">
      <w:pPr>
        <w:widowControl/>
        <w:rPr>
          <w:rFonts w:eastAsiaTheme="minorHAnsi" w:cstheme="minorBidi"/>
          <w:szCs w:val="22"/>
          <w:lang w:bidi="ar-SA"/>
        </w:rPr>
      </w:pPr>
      <w:r>
        <w:rPr>
          <w:rFonts w:eastAsiaTheme="minorHAnsi" w:cstheme="minorBidi"/>
          <w:szCs w:val="22"/>
          <w:lang w:bidi="ar-SA"/>
        </w:rPr>
        <w:t>BMDS</w:t>
      </w:r>
      <w:r>
        <w:rPr>
          <w:rFonts w:eastAsiaTheme="minorHAnsi" w:cstheme="minorBidi"/>
          <w:szCs w:val="22"/>
          <w:lang w:bidi="ar-SA"/>
        </w:rPr>
        <w:tab/>
        <w:t>benchmark dose software</w:t>
      </w:r>
    </w:p>
    <w:p w14:paraId="5C9BC58D" w14:textId="77777777"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bidi="ar-SA"/>
        </w:rPr>
        <w:t>BSA</w:t>
      </w:r>
      <w:r w:rsidRPr="00276C1C">
        <w:rPr>
          <w:rFonts w:eastAsiaTheme="minorHAnsi" w:cstheme="minorBidi"/>
          <w:szCs w:val="22"/>
          <w:lang w:bidi="ar-SA"/>
        </w:rPr>
        <w:tab/>
      </w:r>
      <w:r w:rsidRPr="00276C1C">
        <w:rPr>
          <w:rFonts w:eastAsiaTheme="minorHAnsi" w:cstheme="minorBidi"/>
          <w:szCs w:val="22"/>
          <w:lang w:bidi="ar-SA"/>
        </w:rPr>
        <w:tab/>
        <w:t>bovine serum albumin</w:t>
      </w:r>
    </w:p>
    <w:p w14:paraId="5EF6A636" w14:textId="77777777"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bidi="ar-SA"/>
        </w:rPr>
        <w:t>BUN</w:t>
      </w:r>
      <w:r w:rsidRPr="00276C1C">
        <w:rPr>
          <w:rFonts w:eastAsiaTheme="minorHAnsi" w:cstheme="minorBidi"/>
          <w:szCs w:val="22"/>
          <w:lang w:bidi="ar-SA"/>
        </w:rPr>
        <w:tab/>
      </w:r>
      <w:r w:rsidRPr="00276C1C">
        <w:rPr>
          <w:rFonts w:eastAsiaTheme="minorHAnsi" w:cstheme="minorBidi"/>
          <w:szCs w:val="22"/>
          <w:lang w:bidi="ar-SA"/>
        </w:rPr>
        <w:tab/>
        <w:t>blood urea nitrogen</w:t>
      </w:r>
    </w:p>
    <w:p w14:paraId="3753465A" w14:textId="77777777"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bidi="ar-SA"/>
        </w:rPr>
        <w:t>bw</w:t>
      </w:r>
      <w:r w:rsidRPr="00276C1C">
        <w:rPr>
          <w:rFonts w:eastAsiaTheme="minorHAnsi" w:cstheme="minorBidi"/>
          <w:szCs w:val="22"/>
          <w:lang w:bidi="ar-SA"/>
        </w:rPr>
        <w:tab/>
      </w:r>
      <w:r w:rsidRPr="00276C1C">
        <w:rPr>
          <w:rFonts w:eastAsiaTheme="minorHAnsi" w:cstheme="minorBidi"/>
          <w:szCs w:val="22"/>
          <w:lang w:bidi="ar-SA"/>
        </w:rPr>
        <w:tab/>
        <w:t>body weight</w:t>
      </w:r>
    </w:p>
    <w:p w14:paraId="10BEB148" w14:textId="77777777"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bidi="ar-SA"/>
        </w:rPr>
        <w:t>CAR</w:t>
      </w:r>
      <w:r w:rsidRPr="00276C1C">
        <w:rPr>
          <w:rFonts w:eastAsiaTheme="minorHAnsi" w:cstheme="minorBidi"/>
          <w:szCs w:val="22"/>
          <w:lang w:bidi="ar-SA"/>
        </w:rPr>
        <w:tab/>
      </w:r>
      <w:r w:rsidRPr="00276C1C">
        <w:rPr>
          <w:rFonts w:eastAsiaTheme="minorHAnsi" w:cstheme="minorBidi"/>
          <w:szCs w:val="22"/>
          <w:lang w:bidi="ar-SA"/>
        </w:rPr>
        <w:tab/>
        <w:t>constitutive androstane receptor</w:t>
      </w:r>
    </w:p>
    <w:p w14:paraId="7EA3CEAD" w14:textId="77777777"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bidi="ar-SA"/>
        </w:rPr>
        <w:t>ChAT</w:t>
      </w:r>
      <w:r w:rsidRPr="00276C1C">
        <w:rPr>
          <w:rFonts w:eastAsiaTheme="minorHAnsi" w:cstheme="minorBidi"/>
          <w:szCs w:val="22"/>
          <w:lang w:bidi="ar-SA"/>
        </w:rPr>
        <w:tab/>
      </w:r>
      <w:r w:rsidRPr="00276C1C">
        <w:rPr>
          <w:rFonts w:eastAsiaTheme="minorHAnsi" w:cstheme="minorBidi"/>
          <w:szCs w:val="22"/>
          <w:lang w:bidi="ar-SA"/>
        </w:rPr>
        <w:tab/>
        <w:t>choline acetyltransferase</w:t>
      </w:r>
    </w:p>
    <w:p w14:paraId="6D3CB38A" w14:textId="77777777"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bidi="ar-SA"/>
        </w:rPr>
        <w:t>CHO</w:t>
      </w:r>
      <w:r w:rsidRPr="00276C1C">
        <w:rPr>
          <w:rFonts w:eastAsiaTheme="minorHAnsi" w:cstheme="minorBidi"/>
          <w:szCs w:val="22"/>
          <w:lang w:bidi="ar-SA"/>
        </w:rPr>
        <w:tab/>
      </w:r>
      <w:r w:rsidRPr="00276C1C">
        <w:rPr>
          <w:rFonts w:eastAsiaTheme="minorHAnsi" w:cstheme="minorBidi"/>
          <w:szCs w:val="22"/>
          <w:lang w:bidi="ar-SA"/>
        </w:rPr>
        <w:tab/>
        <w:t>Chinese Hamster Ovary</w:t>
      </w:r>
    </w:p>
    <w:p w14:paraId="134DABCB" w14:textId="77777777" w:rsidR="00AB4917" w:rsidRDefault="00AB4917" w:rsidP="00A111E9">
      <w:pPr>
        <w:widowControl/>
        <w:rPr>
          <w:rFonts w:eastAsiaTheme="minorHAnsi" w:cstheme="minorBidi"/>
          <w:szCs w:val="22"/>
          <w:lang w:bidi="ar-SA"/>
        </w:rPr>
      </w:pPr>
      <w:r w:rsidRPr="00276C1C">
        <w:rPr>
          <w:rFonts w:eastAsiaTheme="minorHAnsi" w:cstheme="minorBidi"/>
          <w:szCs w:val="22"/>
          <w:lang w:bidi="ar-SA"/>
        </w:rPr>
        <w:t>CL</w:t>
      </w:r>
      <w:r w:rsidRPr="00276C1C">
        <w:rPr>
          <w:rFonts w:eastAsiaTheme="minorHAnsi" w:cstheme="minorBidi"/>
          <w:szCs w:val="22"/>
          <w:lang w:bidi="ar-SA"/>
        </w:rPr>
        <w:tab/>
      </w:r>
      <w:r w:rsidRPr="00276C1C">
        <w:rPr>
          <w:rFonts w:eastAsiaTheme="minorHAnsi" w:cstheme="minorBidi"/>
          <w:szCs w:val="22"/>
          <w:lang w:bidi="ar-SA"/>
        </w:rPr>
        <w:tab/>
        <w:t>clearance</w:t>
      </w:r>
    </w:p>
    <w:p w14:paraId="3CD73E34" w14:textId="6F0AB681" w:rsidR="00D25FA1" w:rsidRDefault="00D25FA1" w:rsidP="00A111E9">
      <w:pPr>
        <w:widowControl/>
        <w:rPr>
          <w:rFonts w:eastAsiaTheme="minorHAnsi" w:cstheme="minorBidi"/>
          <w:szCs w:val="22"/>
          <w:lang w:bidi="ar-SA"/>
        </w:rPr>
      </w:pPr>
      <w:r>
        <w:rPr>
          <w:rFonts w:eastAsiaTheme="minorHAnsi" w:cstheme="minorBidi"/>
          <w:szCs w:val="22"/>
          <w:lang w:bidi="ar-SA"/>
        </w:rPr>
        <w:t>CL/CD</w:t>
      </w:r>
      <w:r>
        <w:rPr>
          <w:rFonts w:eastAsiaTheme="minorHAnsi" w:cstheme="minorBidi"/>
          <w:szCs w:val="22"/>
          <w:lang w:bidi="ar-SA"/>
        </w:rPr>
        <w:tab/>
        <w:t>control litter/control dam</w:t>
      </w:r>
    </w:p>
    <w:p w14:paraId="51FCEC86" w14:textId="6AC54F29" w:rsidR="00D25FA1" w:rsidRDefault="00D25FA1" w:rsidP="00A111E9">
      <w:pPr>
        <w:widowControl/>
        <w:rPr>
          <w:rFonts w:eastAsiaTheme="minorHAnsi" w:cstheme="minorBidi"/>
          <w:szCs w:val="22"/>
          <w:lang w:bidi="ar-SA"/>
        </w:rPr>
      </w:pPr>
      <w:r>
        <w:rPr>
          <w:rFonts w:eastAsiaTheme="minorHAnsi" w:cstheme="minorBidi"/>
          <w:szCs w:val="22"/>
          <w:lang w:bidi="ar-SA"/>
        </w:rPr>
        <w:t>CL/TD</w:t>
      </w:r>
      <w:r>
        <w:rPr>
          <w:rFonts w:eastAsiaTheme="minorHAnsi" w:cstheme="minorBidi"/>
          <w:szCs w:val="22"/>
          <w:lang w:bidi="ar-SA"/>
        </w:rPr>
        <w:tab/>
        <w:t>control litter/treated dam</w:t>
      </w:r>
    </w:p>
    <w:p w14:paraId="25C438C1" w14:textId="072125C2"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bidi="ar-SA"/>
        </w:rPr>
        <w:t>C</w:t>
      </w:r>
      <w:r w:rsidRPr="00276C1C">
        <w:rPr>
          <w:rFonts w:eastAsiaTheme="minorHAnsi" w:cstheme="minorBidi"/>
          <w:szCs w:val="22"/>
          <w:vertAlign w:val="subscript"/>
          <w:lang w:bidi="ar-SA"/>
        </w:rPr>
        <w:t>max</w:t>
      </w:r>
      <w:r w:rsidRPr="00276C1C">
        <w:rPr>
          <w:rFonts w:eastAsiaTheme="minorHAnsi" w:cstheme="minorBidi"/>
          <w:szCs w:val="22"/>
          <w:lang w:bidi="ar-SA"/>
        </w:rPr>
        <w:tab/>
      </w:r>
      <w:r w:rsidRPr="00276C1C">
        <w:rPr>
          <w:rFonts w:eastAsiaTheme="minorHAnsi" w:cstheme="minorBidi"/>
          <w:szCs w:val="22"/>
          <w:lang w:bidi="ar-SA"/>
        </w:rPr>
        <w:tab/>
        <w:t xml:space="preserve">maximum serum </w:t>
      </w:r>
      <w:r w:rsidR="008423B6">
        <w:rPr>
          <w:rFonts w:eastAsiaTheme="minorHAnsi" w:cstheme="minorBidi"/>
          <w:szCs w:val="22"/>
          <w:lang w:bidi="ar-SA"/>
        </w:rPr>
        <w:t xml:space="preserve">or plasma </w:t>
      </w:r>
      <w:r w:rsidRPr="00276C1C">
        <w:rPr>
          <w:rFonts w:eastAsiaTheme="minorHAnsi" w:cstheme="minorBidi"/>
          <w:szCs w:val="22"/>
          <w:lang w:bidi="ar-SA"/>
        </w:rPr>
        <w:t>concentration</w:t>
      </w:r>
    </w:p>
    <w:p w14:paraId="73C20BD1" w14:textId="77777777"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bidi="ar-SA"/>
        </w:rPr>
        <w:t>COPD</w:t>
      </w:r>
      <w:r w:rsidRPr="00276C1C">
        <w:rPr>
          <w:rFonts w:eastAsiaTheme="minorHAnsi" w:cstheme="minorBidi"/>
          <w:szCs w:val="22"/>
          <w:lang w:bidi="ar-SA"/>
        </w:rPr>
        <w:tab/>
        <w:t>chronic obstructive pulmonary disease</w:t>
      </w:r>
    </w:p>
    <w:p w14:paraId="67D71BE9" w14:textId="50ADC2DF"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bidi="ar-SA"/>
        </w:rPr>
        <w:t>C</w:t>
      </w:r>
      <w:r w:rsidRPr="00276C1C">
        <w:rPr>
          <w:rFonts w:eastAsiaTheme="minorHAnsi" w:cstheme="minorBidi"/>
          <w:szCs w:val="22"/>
          <w:vertAlign w:val="subscript"/>
          <w:lang w:bidi="ar-SA"/>
        </w:rPr>
        <w:t>ss</w:t>
      </w:r>
      <w:r w:rsidRPr="00276C1C">
        <w:rPr>
          <w:rFonts w:eastAsiaTheme="minorHAnsi" w:cstheme="minorBidi"/>
          <w:szCs w:val="22"/>
          <w:lang w:bidi="ar-SA"/>
        </w:rPr>
        <w:tab/>
      </w:r>
      <w:r w:rsidRPr="00276C1C">
        <w:rPr>
          <w:rFonts w:eastAsiaTheme="minorHAnsi" w:cstheme="minorBidi"/>
          <w:szCs w:val="22"/>
          <w:lang w:bidi="ar-SA"/>
        </w:rPr>
        <w:tab/>
        <w:t>steady</w:t>
      </w:r>
      <w:r w:rsidR="00032CF6">
        <w:rPr>
          <w:rFonts w:eastAsiaTheme="minorHAnsi" w:cstheme="minorBidi"/>
          <w:szCs w:val="22"/>
          <w:lang w:bidi="ar-SA"/>
        </w:rPr>
        <w:t>-</w:t>
      </w:r>
      <w:r w:rsidRPr="00276C1C">
        <w:rPr>
          <w:rFonts w:eastAsiaTheme="minorHAnsi" w:cstheme="minorBidi"/>
          <w:szCs w:val="22"/>
          <w:lang w:bidi="ar-SA"/>
        </w:rPr>
        <w:t>state concentration</w:t>
      </w:r>
    </w:p>
    <w:p w14:paraId="4256A05F" w14:textId="3519CD03"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bidi="ar-SA"/>
        </w:rPr>
        <w:t>DNEL</w:t>
      </w:r>
      <w:r w:rsidRPr="00276C1C">
        <w:rPr>
          <w:rFonts w:eastAsiaTheme="minorHAnsi" w:cstheme="minorBidi"/>
          <w:szCs w:val="22"/>
          <w:lang w:bidi="ar-SA"/>
        </w:rPr>
        <w:tab/>
        <w:t>Derived No</w:t>
      </w:r>
      <w:r w:rsidR="001012A5">
        <w:rPr>
          <w:rFonts w:eastAsiaTheme="minorHAnsi" w:cstheme="minorBidi"/>
          <w:szCs w:val="22"/>
          <w:lang w:bidi="ar-SA"/>
        </w:rPr>
        <w:t xml:space="preserve"> </w:t>
      </w:r>
      <w:r w:rsidRPr="00276C1C">
        <w:rPr>
          <w:rFonts w:eastAsiaTheme="minorHAnsi" w:cstheme="minorBidi"/>
          <w:szCs w:val="22"/>
          <w:lang w:bidi="ar-SA"/>
        </w:rPr>
        <w:t>Effect Level</w:t>
      </w:r>
    </w:p>
    <w:p w14:paraId="1053377A" w14:textId="77777777"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bidi="ar-SA"/>
        </w:rPr>
        <w:t>DOPAC</w:t>
      </w:r>
      <w:r w:rsidRPr="00276C1C">
        <w:rPr>
          <w:rFonts w:eastAsiaTheme="minorHAnsi" w:cstheme="minorBidi"/>
          <w:szCs w:val="22"/>
          <w:lang w:bidi="ar-SA"/>
        </w:rPr>
        <w:tab/>
        <w:t>3,4-dihydrophenylacetic acid</w:t>
      </w:r>
    </w:p>
    <w:p w14:paraId="63840A6D" w14:textId="39DACA6D"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bidi="ar-SA"/>
        </w:rPr>
        <w:t>D</w:t>
      </w:r>
      <w:r w:rsidRPr="00276C1C">
        <w:rPr>
          <w:rFonts w:eastAsiaTheme="minorHAnsi" w:cstheme="minorBidi"/>
          <w:szCs w:val="22"/>
          <w:vertAlign w:val="subscript"/>
          <w:lang w:bidi="ar-SA"/>
        </w:rPr>
        <w:t>ss</w:t>
      </w:r>
      <w:r w:rsidRPr="00276C1C">
        <w:rPr>
          <w:rFonts w:eastAsiaTheme="minorHAnsi" w:cstheme="minorBidi"/>
          <w:szCs w:val="22"/>
          <w:lang w:bidi="ar-SA"/>
        </w:rPr>
        <w:tab/>
      </w:r>
      <w:r w:rsidRPr="00276C1C">
        <w:rPr>
          <w:rFonts w:eastAsiaTheme="minorHAnsi" w:cstheme="minorBidi"/>
          <w:szCs w:val="22"/>
          <w:lang w:bidi="ar-SA"/>
        </w:rPr>
        <w:tab/>
        <w:t>external steady</w:t>
      </w:r>
      <w:r w:rsidR="00032CF6">
        <w:rPr>
          <w:rFonts w:eastAsiaTheme="minorHAnsi" w:cstheme="minorBidi"/>
          <w:szCs w:val="22"/>
          <w:lang w:bidi="ar-SA"/>
        </w:rPr>
        <w:t>-</w:t>
      </w:r>
      <w:r w:rsidRPr="00276C1C">
        <w:rPr>
          <w:rFonts w:eastAsiaTheme="minorHAnsi" w:cstheme="minorBidi"/>
          <w:szCs w:val="22"/>
          <w:lang w:bidi="ar-SA"/>
        </w:rPr>
        <w:t>state dose</w:t>
      </w:r>
    </w:p>
    <w:p w14:paraId="5B90DFE5" w14:textId="77777777"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bidi="ar-SA"/>
        </w:rPr>
        <w:t>DTH</w:t>
      </w:r>
      <w:r w:rsidRPr="00276C1C">
        <w:rPr>
          <w:rFonts w:eastAsiaTheme="minorHAnsi" w:cstheme="minorBidi"/>
          <w:szCs w:val="22"/>
          <w:lang w:bidi="ar-SA"/>
        </w:rPr>
        <w:tab/>
      </w:r>
      <w:r w:rsidRPr="00276C1C">
        <w:rPr>
          <w:rFonts w:eastAsiaTheme="minorHAnsi" w:cstheme="minorBidi"/>
          <w:szCs w:val="22"/>
          <w:lang w:bidi="ar-SA"/>
        </w:rPr>
        <w:tab/>
        <w:t>delayed-type hypersensitivity</w:t>
      </w:r>
    </w:p>
    <w:p w14:paraId="1F7949ED" w14:textId="77777777" w:rsidR="00AB4917" w:rsidRPr="00276C1C" w:rsidRDefault="00AB4917" w:rsidP="00A111E9">
      <w:pPr>
        <w:widowControl/>
        <w:rPr>
          <w:rFonts w:eastAsiaTheme="minorHAnsi" w:cstheme="minorBidi"/>
          <w:szCs w:val="22"/>
          <w:lang w:val="en-AU" w:bidi="ar-SA"/>
        </w:rPr>
      </w:pPr>
      <w:r w:rsidRPr="00276C1C">
        <w:rPr>
          <w:rFonts w:eastAsiaTheme="minorHAnsi" w:cstheme="minorBidi"/>
          <w:szCs w:val="22"/>
          <w:lang w:val="en-AU" w:bidi="ar-SA"/>
        </w:rPr>
        <w:t>EFSA</w:t>
      </w:r>
      <w:r w:rsidRPr="00276C1C">
        <w:rPr>
          <w:rFonts w:eastAsiaTheme="minorHAnsi" w:cstheme="minorBidi"/>
          <w:szCs w:val="22"/>
          <w:lang w:val="en-AU" w:bidi="ar-SA"/>
        </w:rPr>
        <w:tab/>
        <w:t>European Food Safety Authority</w:t>
      </w:r>
    </w:p>
    <w:p w14:paraId="5B748AA2" w14:textId="77777777" w:rsidR="00AB4917" w:rsidRPr="00276C1C" w:rsidRDefault="00AB4917" w:rsidP="00A111E9">
      <w:pPr>
        <w:widowControl/>
        <w:rPr>
          <w:rFonts w:eastAsiaTheme="minorHAnsi" w:cstheme="minorBidi"/>
          <w:szCs w:val="22"/>
          <w:lang w:val="en-AU" w:bidi="ar-SA"/>
        </w:rPr>
      </w:pPr>
      <w:r w:rsidRPr="00276C1C">
        <w:rPr>
          <w:rFonts w:eastAsiaTheme="minorHAnsi" w:cstheme="minorBidi"/>
          <w:szCs w:val="22"/>
          <w:lang w:val="en-AU" w:bidi="ar-SA"/>
        </w:rPr>
        <w:t>EPA</w:t>
      </w:r>
      <w:r w:rsidRPr="00276C1C">
        <w:rPr>
          <w:rFonts w:eastAsiaTheme="minorHAnsi" w:cstheme="minorBidi"/>
          <w:szCs w:val="22"/>
          <w:lang w:val="en-AU" w:bidi="ar-SA"/>
        </w:rPr>
        <w:tab/>
      </w:r>
      <w:r w:rsidRPr="00276C1C">
        <w:rPr>
          <w:rFonts w:eastAsiaTheme="minorHAnsi" w:cstheme="minorBidi"/>
          <w:szCs w:val="22"/>
          <w:lang w:val="en-AU" w:bidi="ar-SA"/>
        </w:rPr>
        <w:tab/>
        <w:t>Environmental Protection Agency</w:t>
      </w:r>
    </w:p>
    <w:p w14:paraId="20F759FF" w14:textId="77777777" w:rsidR="00AB4917" w:rsidRPr="00276C1C" w:rsidRDefault="00AB4917" w:rsidP="00A111E9">
      <w:pPr>
        <w:widowControl/>
        <w:rPr>
          <w:rFonts w:eastAsiaTheme="minorHAnsi" w:cstheme="minorBidi"/>
          <w:szCs w:val="22"/>
          <w:lang w:val="en-AU" w:bidi="ar-SA"/>
        </w:rPr>
      </w:pPr>
      <w:r w:rsidRPr="00276C1C">
        <w:rPr>
          <w:rFonts w:eastAsiaTheme="minorHAnsi" w:cstheme="minorBidi"/>
          <w:szCs w:val="22"/>
          <w:lang w:val="en-AU" w:bidi="ar-SA"/>
        </w:rPr>
        <w:t>F0</w:t>
      </w:r>
      <w:r w:rsidRPr="00276C1C">
        <w:rPr>
          <w:rFonts w:eastAsiaTheme="minorHAnsi" w:cstheme="minorBidi"/>
          <w:szCs w:val="22"/>
          <w:lang w:val="en-AU" w:bidi="ar-SA"/>
        </w:rPr>
        <w:tab/>
      </w:r>
      <w:r w:rsidRPr="00276C1C">
        <w:rPr>
          <w:rFonts w:eastAsiaTheme="minorHAnsi" w:cstheme="minorBidi"/>
          <w:szCs w:val="22"/>
          <w:lang w:val="en-AU" w:bidi="ar-SA"/>
        </w:rPr>
        <w:tab/>
        <w:t>parental generation</w:t>
      </w:r>
    </w:p>
    <w:p w14:paraId="4C4449C0" w14:textId="77777777" w:rsidR="00AB4917" w:rsidRPr="00276C1C" w:rsidRDefault="00AB4917" w:rsidP="00A111E9">
      <w:pPr>
        <w:widowControl/>
        <w:rPr>
          <w:rFonts w:eastAsiaTheme="minorHAnsi" w:cstheme="minorBidi"/>
          <w:szCs w:val="22"/>
          <w:lang w:val="en-AU" w:bidi="ar-SA"/>
        </w:rPr>
      </w:pPr>
      <w:r w:rsidRPr="00276C1C">
        <w:rPr>
          <w:rFonts w:eastAsiaTheme="minorHAnsi" w:cstheme="minorBidi"/>
          <w:szCs w:val="22"/>
          <w:lang w:val="en-AU" w:bidi="ar-SA"/>
        </w:rPr>
        <w:t>F1</w:t>
      </w:r>
      <w:r w:rsidRPr="00276C1C">
        <w:rPr>
          <w:rFonts w:eastAsiaTheme="minorHAnsi" w:cstheme="minorBidi"/>
          <w:szCs w:val="22"/>
          <w:lang w:val="en-AU" w:bidi="ar-SA"/>
        </w:rPr>
        <w:tab/>
      </w:r>
      <w:r w:rsidRPr="00276C1C">
        <w:rPr>
          <w:rFonts w:eastAsiaTheme="minorHAnsi" w:cstheme="minorBidi"/>
          <w:szCs w:val="22"/>
          <w:lang w:val="en-AU" w:bidi="ar-SA"/>
        </w:rPr>
        <w:tab/>
        <w:t>first filial generation, resulting from a cross of the parental generation</w:t>
      </w:r>
    </w:p>
    <w:p w14:paraId="72CE3AD7" w14:textId="77777777" w:rsidR="00AB4917" w:rsidRDefault="00AB4917" w:rsidP="00A111E9">
      <w:pPr>
        <w:widowControl/>
        <w:rPr>
          <w:rFonts w:eastAsiaTheme="minorHAnsi" w:cstheme="minorBidi"/>
          <w:szCs w:val="22"/>
          <w:lang w:val="en-AU" w:bidi="ar-SA"/>
        </w:rPr>
      </w:pPr>
      <w:r w:rsidRPr="00276C1C">
        <w:rPr>
          <w:rFonts w:eastAsiaTheme="minorHAnsi" w:cstheme="minorBidi"/>
          <w:szCs w:val="22"/>
          <w:lang w:val="en-AU" w:bidi="ar-SA"/>
        </w:rPr>
        <w:t>F2</w:t>
      </w:r>
      <w:r w:rsidRPr="00276C1C">
        <w:rPr>
          <w:rFonts w:eastAsiaTheme="minorHAnsi" w:cstheme="minorBidi"/>
          <w:szCs w:val="22"/>
          <w:lang w:val="en-AU" w:bidi="ar-SA"/>
        </w:rPr>
        <w:tab/>
      </w:r>
      <w:r w:rsidRPr="00276C1C">
        <w:rPr>
          <w:rFonts w:eastAsiaTheme="minorHAnsi" w:cstheme="minorBidi"/>
          <w:szCs w:val="22"/>
          <w:lang w:val="en-AU" w:bidi="ar-SA"/>
        </w:rPr>
        <w:tab/>
        <w:t>second filial generation, resulting from a cross of members of F1</w:t>
      </w:r>
    </w:p>
    <w:p w14:paraId="23C40C1B" w14:textId="5960B282" w:rsidR="00855E3C" w:rsidRDefault="00855E3C" w:rsidP="00A111E9">
      <w:pPr>
        <w:widowControl/>
        <w:rPr>
          <w:rFonts w:eastAsiaTheme="minorHAnsi" w:cstheme="minorBidi"/>
          <w:szCs w:val="22"/>
          <w:lang w:val="en-AU" w:bidi="ar-SA"/>
        </w:rPr>
      </w:pPr>
      <w:r>
        <w:rPr>
          <w:rFonts w:eastAsiaTheme="minorHAnsi" w:cstheme="minorBidi"/>
          <w:szCs w:val="22"/>
          <w:lang w:val="en-AU" w:bidi="ar-SA"/>
        </w:rPr>
        <w:t>FABP</w:t>
      </w:r>
      <w:r>
        <w:rPr>
          <w:rFonts w:eastAsiaTheme="minorHAnsi" w:cstheme="minorBidi"/>
          <w:szCs w:val="22"/>
          <w:lang w:val="en-AU" w:bidi="ar-SA"/>
        </w:rPr>
        <w:tab/>
        <w:t>fatty acid binding protein</w:t>
      </w:r>
    </w:p>
    <w:p w14:paraId="4B64742D" w14:textId="77200DF3" w:rsidR="005C2B91" w:rsidRPr="00276C1C" w:rsidRDefault="005C2B91" w:rsidP="00A111E9">
      <w:pPr>
        <w:widowControl/>
        <w:rPr>
          <w:rFonts w:eastAsiaTheme="minorHAnsi" w:cstheme="minorBidi"/>
          <w:szCs w:val="22"/>
          <w:lang w:val="en-AU" w:bidi="ar-SA"/>
        </w:rPr>
      </w:pPr>
      <w:r>
        <w:rPr>
          <w:rFonts w:eastAsiaTheme="minorHAnsi" w:cstheme="minorBidi"/>
          <w:szCs w:val="22"/>
          <w:lang w:val="en-AU" w:bidi="ar-SA"/>
        </w:rPr>
        <w:t>FSANZ</w:t>
      </w:r>
      <w:r>
        <w:rPr>
          <w:rFonts w:eastAsiaTheme="minorHAnsi" w:cstheme="minorBidi"/>
          <w:szCs w:val="22"/>
          <w:lang w:val="en-AU" w:bidi="ar-SA"/>
        </w:rPr>
        <w:tab/>
        <w:t>Food Standards Australia New Zealand</w:t>
      </w:r>
    </w:p>
    <w:p w14:paraId="6CB4401D" w14:textId="77777777" w:rsidR="00AB4917" w:rsidRDefault="00AB4917" w:rsidP="00A111E9">
      <w:pPr>
        <w:widowControl/>
        <w:rPr>
          <w:rFonts w:eastAsiaTheme="minorHAnsi" w:cstheme="minorBidi"/>
          <w:szCs w:val="22"/>
          <w:lang w:bidi="ar-SA"/>
        </w:rPr>
      </w:pPr>
      <w:r w:rsidRPr="00276C1C">
        <w:rPr>
          <w:rFonts w:eastAsiaTheme="minorHAnsi" w:cstheme="minorBidi"/>
          <w:szCs w:val="22"/>
          <w:lang w:val="en-AU" w:bidi="ar-SA"/>
        </w:rPr>
        <w:t>FSH</w:t>
      </w:r>
      <w:r w:rsidRPr="00276C1C">
        <w:rPr>
          <w:rFonts w:eastAsiaTheme="minorHAnsi" w:cstheme="minorBidi"/>
          <w:szCs w:val="22"/>
          <w:lang w:val="en-AU" w:bidi="ar-SA"/>
        </w:rPr>
        <w:tab/>
      </w:r>
      <w:r w:rsidRPr="00276C1C">
        <w:rPr>
          <w:rFonts w:eastAsiaTheme="minorHAnsi" w:cstheme="minorBidi"/>
          <w:szCs w:val="22"/>
          <w:lang w:val="en-AU" w:bidi="ar-SA"/>
        </w:rPr>
        <w:tab/>
      </w:r>
      <w:r w:rsidRPr="00276C1C">
        <w:rPr>
          <w:rFonts w:eastAsiaTheme="minorHAnsi" w:cstheme="minorBidi"/>
          <w:szCs w:val="22"/>
          <w:lang w:bidi="ar-SA"/>
        </w:rPr>
        <w:t>follicle-stimulating hormone</w:t>
      </w:r>
    </w:p>
    <w:p w14:paraId="06B51580" w14:textId="71CD7C2E" w:rsidR="00EC51C3" w:rsidRPr="00276C1C" w:rsidRDefault="00EC51C3" w:rsidP="00A111E9">
      <w:pPr>
        <w:widowControl/>
        <w:rPr>
          <w:rFonts w:eastAsiaTheme="minorHAnsi" w:cstheme="minorBidi"/>
          <w:szCs w:val="22"/>
          <w:lang w:val="en-AU" w:bidi="ar-SA"/>
        </w:rPr>
      </w:pPr>
      <w:r>
        <w:rPr>
          <w:rFonts w:eastAsiaTheme="minorHAnsi" w:cstheme="minorBidi"/>
          <w:szCs w:val="22"/>
          <w:lang w:val="en-AU" w:bidi="ar-SA"/>
        </w:rPr>
        <w:t>gAF</w:t>
      </w:r>
      <w:r>
        <w:rPr>
          <w:rFonts w:eastAsiaTheme="minorHAnsi" w:cstheme="minorBidi"/>
          <w:szCs w:val="22"/>
          <w:lang w:val="en-AU" w:bidi="ar-SA"/>
        </w:rPr>
        <w:tab/>
      </w:r>
      <w:r>
        <w:rPr>
          <w:rFonts w:eastAsiaTheme="minorHAnsi" w:cstheme="minorBidi"/>
          <w:szCs w:val="22"/>
          <w:lang w:val="en-AU" w:bidi="ar-SA"/>
        </w:rPr>
        <w:tab/>
      </w:r>
      <w:r>
        <w:rPr>
          <w:rFonts w:cs="Arial"/>
          <w:lang w:bidi="ar-SA"/>
        </w:rPr>
        <w:t>Gastrointestinal absorption fraction</w:t>
      </w:r>
    </w:p>
    <w:p w14:paraId="5A0C9C08" w14:textId="77777777" w:rsidR="00AB4917" w:rsidRPr="00276C1C" w:rsidRDefault="00AB4917" w:rsidP="00A111E9">
      <w:pPr>
        <w:widowControl/>
        <w:rPr>
          <w:rFonts w:eastAsiaTheme="minorHAnsi" w:cstheme="minorBidi"/>
          <w:szCs w:val="22"/>
          <w:lang w:val="en-AU" w:bidi="ar-SA"/>
        </w:rPr>
      </w:pPr>
      <w:r w:rsidRPr="00276C1C">
        <w:rPr>
          <w:rFonts w:eastAsiaTheme="minorHAnsi" w:cstheme="minorBidi"/>
          <w:szCs w:val="22"/>
          <w:lang w:val="en-AU" w:bidi="ar-SA"/>
        </w:rPr>
        <w:t>GD</w:t>
      </w:r>
      <w:r w:rsidRPr="00276C1C">
        <w:rPr>
          <w:rFonts w:eastAsiaTheme="minorHAnsi" w:cstheme="minorBidi"/>
          <w:szCs w:val="22"/>
          <w:lang w:val="en-AU" w:bidi="ar-SA"/>
        </w:rPr>
        <w:tab/>
      </w:r>
      <w:r w:rsidRPr="00276C1C">
        <w:rPr>
          <w:rFonts w:eastAsiaTheme="minorHAnsi" w:cstheme="minorBidi"/>
          <w:szCs w:val="22"/>
          <w:lang w:val="en-AU" w:bidi="ar-SA"/>
        </w:rPr>
        <w:tab/>
        <w:t>gestation day</w:t>
      </w:r>
    </w:p>
    <w:p w14:paraId="30CAD6B8" w14:textId="77777777" w:rsidR="00AB4917" w:rsidRPr="00276C1C" w:rsidRDefault="00AB4917" w:rsidP="00A111E9">
      <w:pPr>
        <w:widowControl/>
        <w:rPr>
          <w:rFonts w:eastAsiaTheme="minorHAnsi" w:cstheme="minorBidi"/>
          <w:szCs w:val="22"/>
          <w:lang w:val="en-AU" w:bidi="ar-SA"/>
        </w:rPr>
      </w:pPr>
      <w:r w:rsidRPr="00276C1C">
        <w:rPr>
          <w:rFonts w:eastAsiaTheme="minorHAnsi" w:cstheme="minorBidi"/>
          <w:szCs w:val="22"/>
          <w:lang w:val="en-AU" w:bidi="ar-SA"/>
        </w:rPr>
        <w:t>GFR</w:t>
      </w:r>
      <w:r w:rsidRPr="00276C1C">
        <w:rPr>
          <w:rFonts w:eastAsiaTheme="minorHAnsi" w:cstheme="minorBidi"/>
          <w:szCs w:val="22"/>
          <w:lang w:val="en-AU" w:bidi="ar-SA"/>
        </w:rPr>
        <w:tab/>
      </w:r>
      <w:r w:rsidRPr="00276C1C">
        <w:rPr>
          <w:rFonts w:eastAsiaTheme="minorHAnsi" w:cstheme="minorBidi"/>
          <w:szCs w:val="22"/>
          <w:lang w:val="en-AU" w:bidi="ar-SA"/>
        </w:rPr>
        <w:tab/>
      </w:r>
      <w:r w:rsidRPr="00276C1C">
        <w:rPr>
          <w:rFonts w:eastAsiaTheme="minorHAnsi" w:cstheme="minorBidi"/>
          <w:szCs w:val="22"/>
          <w:lang w:eastAsia="en-AU" w:bidi="ar-SA"/>
        </w:rPr>
        <w:t>glomerular filtration rate</w:t>
      </w:r>
    </w:p>
    <w:p w14:paraId="0B226084" w14:textId="77777777" w:rsidR="00AB4917" w:rsidRPr="00276C1C" w:rsidRDefault="00AB4917" w:rsidP="00A111E9">
      <w:pPr>
        <w:widowControl/>
        <w:rPr>
          <w:rFonts w:eastAsiaTheme="minorHAnsi" w:cstheme="minorBidi"/>
          <w:szCs w:val="22"/>
          <w:lang w:val="en-AU" w:bidi="ar-SA"/>
        </w:rPr>
      </w:pPr>
      <w:r w:rsidRPr="00276C1C">
        <w:rPr>
          <w:rFonts w:eastAsiaTheme="minorHAnsi" w:cstheme="minorBidi"/>
          <w:szCs w:val="22"/>
          <w:lang w:val="en-AU" w:bidi="ar-SA"/>
        </w:rPr>
        <w:t>HBGV</w:t>
      </w:r>
      <w:r w:rsidRPr="00276C1C">
        <w:rPr>
          <w:rFonts w:eastAsiaTheme="minorHAnsi" w:cstheme="minorBidi"/>
          <w:szCs w:val="22"/>
          <w:lang w:val="en-AU" w:bidi="ar-SA"/>
        </w:rPr>
        <w:tab/>
        <w:t>health-based guidance value</w:t>
      </w:r>
    </w:p>
    <w:p w14:paraId="40DD5F1A" w14:textId="77777777" w:rsidR="00AB4917" w:rsidRDefault="00AB4917" w:rsidP="00A111E9">
      <w:pPr>
        <w:widowControl/>
        <w:rPr>
          <w:rFonts w:eastAsiaTheme="minorHAnsi" w:cstheme="minorBidi"/>
          <w:szCs w:val="22"/>
          <w:lang w:val="en-AU" w:bidi="ar-SA"/>
        </w:rPr>
      </w:pPr>
      <w:r w:rsidRPr="00276C1C">
        <w:rPr>
          <w:rFonts w:eastAsiaTheme="minorHAnsi" w:cstheme="minorBidi"/>
          <w:szCs w:val="22"/>
          <w:lang w:val="en-AU" w:bidi="ar-SA"/>
        </w:rPr>
        <w:t>HDL</w:t>
      </w:r>
      <w:r w:rsidRPr="00276C1C">
        <w:rPr>
          <w:rFonts w:eastAsiaTheme="minorHAnsi" w:cstheme="minorBidi"/>
          <w:szCs w:val="22"/>
          <w:lang w:val="en-AU" w:bidi="ar-SA"/>
        </w:rPr>
        <w:tab/>
      </w:r>
      <w:r w:rsidRPr="00276C1C">
        <w:rPr>
          <w:rFonts w:eastAsiaTheme="minorHAnsi" w:cstheme="minorBidi"/>
          <w:szCs w:val="22"/>
          <w:lang w:val="en-AU" w:bidi="ar-SA"/>
        </w:rPr>
        <w:tab/>
        <w:t>high density lipoprotein</w:t>
      </w:r>
    </w:p>
    <w:p w14:paraId="0796364D" w14:textId="77777777"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val="en-AU" w:bidi="ar-SA"/>
        </w:rPr>
        <w:t>HED</w:t>
      </w:r>
      <w:r w:rsidRPr="00276C1C">
        <w:rPr>
          <w:rFonts w:eastAsiaTheme="minorHAnsi" w:cstheme="minorBidi"/>
          <w:szCs w:val="22"/>
          <w:lang w:val="en-AU" w:bidi="ar-SA"/>
        </w:rPr>
        <w:tab/>
      </w:r>
      <w:r w:rsidRPr="00276C1C">
        <w:rPr>
          <w:rFonts w:eastAsiaTheme="minorHAnsi" w:cstheme="minorBidi"/>
          <w:szCs w:val="22"/>
          <w:lang w:val="en-AU" w:bidi="ar-SA"/>
        </w:rPr>
        <w:tab/>
        <w:t>h</w:t>
      </w:r>
      <w:r w:rsidRPr="00276C1C">
        <w:rPr>
          <w:rFonts w:eastAsiaTheme="minorHAnsi" w:cstheme="minorBidi"/>
          <w:szCs w:val="22"/>
          <w:lang w:bidi="ar-SA"/>
        </w:rPr>
        <w:t>uman equivalent dose</w:t>
      </w:r>
    </w:p>
    <w:p w14:paraId="28ADD0E3" w14:textId="77777777"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val="en-AU" w:bidi="ar-SA"/>
        </w:rPr>
        <w:t>HMG-CoA</w:t>
      </w:r>
      <w:r w:rsidRPr="00276C1C">
        <w:rPr>
          <w:rFonts w:eastAsiaTheme="minorHAnsi" w:cstheme="minorBidi"/>
          <w:szCs w:val="22"/>
          <w:lang w:val="en-AU" w:bidi="ar-SA"/>
        </w:rPr>
        <w:tab/>
      </w:r>
      <w:r w:rsidRPr="00276C1C">
        <w:rPr>
          <w:rFonts w:eastAsiaTheme="minorHAnsi" w:cstheme="minorBidi"/>
          <w:szCs w:val="22"/>
          <w:lang w:bidi="ar-SA"/>
        </w:rPr>
        <w:t>3-hydroxy-3-methylglutaryl coenzyme A</w:t>
      </w:r>
    </w:p>
    <w:p w14:paraId="5E5E6E95" w14:textId="77777777"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bidi="ar-SA"/>
        </w:rPr>
        <w:t>HVA</w:t>
      </w:r>
      <w:r w:rsidRPr="00276C1C">
        <w:rPr>
          <w:rFonts w:eastAsiaTheme="minorHAnsi" w:cstheme="minorBidi"/>
          <w:szCs w:val="22"/>
          <w:lang w:bidi="ar-SA"/>
        </w:rPr>
        <w:tab/>
      </w:r>
      <w:r w:rsidRPr="00276C1C">
        <w:rPr>
          <w:rFonts w:eastAsiaTheme="minorHAnsi" w:cstheme="minorBidi"/>
          <w:szCs w:val="22"/>
          <w:lang w:bidi="ar-SA"/>
        </w:rPr>
        <w:tab/>
        <w:t>homovanillic acid</w:t>
      </w:r>
    </w:p>
    <w:p w14:paraId="67C53041" w14:textId="77777777"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bidi="ar-SA"/>
        </w:rPr>
        <w:t>GABA</w:t>
      </w:r>
      <w:r w:rsidRPr="00276C1C">
        <w:rPr>
          <w:rFonts w:eastAsiaTheme="minorHAnsi" w:cstheme="minorBidi"/>
          <w:szCs w:val="22"/>
          <w:lang w:bidi="ar-SA"/>
        </w:rPr>
        <w:tab/>
        <w:t>gamma-aminobutyric acid</w:t>
      </w:r>
    </w:p>
    <w:p w14:paraId="12D91D8F" w14:textId="77777777"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bidi="ar-SA"/>
        </w:rPr>
        <w:t>GGT</w:t>
      </w:r>
      <w:r w:rsidRPr="00276C1C">
        <w:rPr>
          <w:rFonts w:eastAsiaTheme="minorHAnsi" w:cstheme="minorBidi"/>
          <w:szCs w:val="22"/>
          <w:lang w:bidi="ar-SA"/>
        </w:rPr>
        <w:tab/>
      </w:r>
      <w:r w:rsidRPr="00276C1C">
        <w:rPr>
          <w:rFonts w:eastAsiaTheme="minorHAnsi" w:cstheme="minorBidi"/>
          <w:szCs w:val="22"/>
          <w:lang w:bidi="ar-SA"/>
        </w:rPr>
        <w:tab/>
      </w:r>
      <w:r w:rsidRPr="00276C1C">
        <w:rPr>
          <w:rFonts w:eastAsiaTheme="minorHAnsi" w:cs="Arial"/>
          <w:szCs w:val="22"/>
          <w:lang w:eastAsia="en-AU" w:bidi="ar-SA"/>
        </w:rPr>
        <w:t>γ</w:t>
      </w:r>
      <w:r w:rsidRPr="00276C1C">
        <w:rPr>
          <w:rFonts w:eastAsiaTheme="minorHAnsi" w:cstheme="minorBidi"/>
          <w:szCs w:val="22"/>
          <w:lang w:eastAsia="en-AU" w:bidi="ar-SA"/>
        </w:rPr>
        <w:t>-glutamyl transpeptidase</w:t>
      </w:r>
    </w:p>
    <w:p w14:paraId="2E4FB8AA" w14:textId="77777777" w:rsidR="00AB4917" w:rsidRPr="00276C1C" w:rsidRDefault="00AB4917" w:rsidP="00A111E9">
      <w:pPr>
        <w:widowControl/>
        <w:rPr>
          <w:rFonts w:eastAsiaTheme="minorHAnsi" w:cstheme="minorBidi"/>
          <w:szCs w:val="22"/>
          <w:lang w:val="en-AU" w:bidi="ar-SA"/>
        </w:rPr>
      </w:pPr>
      <w:r w:rsidRPr="00276C1C">
        <w:rPr>
          <w:rFonts w:eastAsiaTheme="minorHAnsi" w:cstheme="minorBidi"/>
          <w:szCs w:val="22"/>
          <w:lang w:val="en-AU" w:bidi="ar-SA"/>
        </w:rPr>
        <w:lastRenderedPageBreak/>
        <w:t>IgG</w:t>
      </w:r>
      <w:r w:rsidRPr="00276C1C">
        <w:rPr>
          <w:rFonts w:eastAsiaTheme="minorHAnsi" w:cstheme="minorBidi"/>
          <w:szCs w:val="22"/>
          <w:lang w:val="en-AU" w:bidi="ar-SA"/>
        </w:rPr>
        <w:tab/>
      </w:r>
      <w:r w:rsidRPr="00276C1C">
        <w:rPr>
          <w:rFonts w:eastAsiaTheme="minorHAnsi" w:cstheme="minorBidi"/>
          <w:szCs w:val="22"/>
          <w:lang w:val="en-AU" w:bidi="ar-SA"/>
        </w:rPr>
        <w:tab/>
        <w:t>immunoglobulin G</w:t>
      </w:r>
    </w:p>
    <w:p w14:paraId="436C10B3" w14:textId="77777777" w:rsidR="00AB4917" w:rsidRPr="00276C1C" w:rsidRDefault="00AB4917" w:rsidP="00A111E9">
      <w:pPr>
        <w:widowControl/>
        <w:rPr>
          <w:rFonts w:eastAsiaTheme="minorHAnsi" w:cstheme="minorBidi"/>
          <w:szCs w:val="22"/>
          <w:lang w:val="en-AU" w:bidi="ar-SA"/>
        </w:rPr>
      </w:pPr>
      <w:r w:rsidRPr="00276C1C">
        <w:rPr>
          <w:rFonts w:eastAsiaTheme="minorHAnsi" w:cstheme="minorBidi"/>
          <w:szCs w:val="22"/>
          <w:lang w:val="en-AU" w:bidi="ar-SA"/>
        </w:rPr>
        <w:t>IgM</w:t>
      </w:r>
      <w:r w:rsidRPr="00276C1C">
        <w:rPr>
          <w:rFonts w:eastAsiaTheme="minorHAnsi" w:cstheme="minorBidi"/>
          <w:szCs w:val="22"/>
          <w:lang w:val="en-AU" w:bidi="ar-SA"/>
        </w:rPr>
        <w:tab/>
      </w:r>
      <w:r w:rsidRPr="00276C1C">
        <w:rPr>
          <w:rFonts w:eastAsiaTheme="minorHAnsi" w:cstheme="minorBidi"/>
          <w:szCs w:val="22"/>
          <w:lang w:val="en-AU" w:bidi="ar-SA"/>
        </w:rPr>
        <w:tab/>
        <w:t>immunoglobulin M</w:t>
      </w:r>
    </w:p>
    <w:p w14:paraId="23C96CAF" w14:textId="77777777" w:rsidR="00AB4917" w:rsidRDefault="00AB4917" w:rsidP="00A111E9">
      <w:pPr>
        <w:widowControl/>
        <w:rPr>
          <w:rFonts w:eastAsiaTheme="minorHAnsi" w:cstheme="minorBidi"/>
          <w:szCs w:val="22"/>
          <w:lang w:val="en-AU" w:bidi="ar-SA"/>
        </w:rPr>
      </w:pPr>
      <w:r w:rsidRPr="00276C1C">
        <w:rPr>
          <w:rFonts w:eastAsiaTheme="minorHAnsi" w:cstheme="minorBidi"/>
          <w:szCs w:val="22"/>
          <w:lang w:val="en-AU" w:bidi="ar-SA"/>
        </w:rPr>
        <w:t>iv</w:t>
      </w:r>
      <w:r w:rsidRPr="00276C1C">
        <w:rPr>
          <w:rFonts w:eastAsiaTheme="minorHAnsi" w:cstheme="minorBidi"/>
          <w:szCs w:val="22"/>
          <w:lang w:val="en-AU" w:bidi="ar-SA"/>
        </w:rPr>
        <w:tab/>
      </w:r>
      <w:r w:rsidRPr="00276C1C">
        <w:rPr>
          <w:rFonts w:eastAsiaTheme="minorHAnsi" w:cstheme="minorBidi"/>
          <w:szCs w:val="22"/>
          <w:lang w:val="en-AU" w:bidi="ar-SA"/>
        </w:rPr>
        <w:tab/>
        <w:t>intravenous</w:t>
      </w:r>
    </w:p>
    <w:p w14:paraId="190F5A22" w14:textId="70AC6841" w:rsidR="00002E8D" w:rsidRPr="00276C1C" w:rsidRDefault="00002E8D" w:rsidP="00A111E9">
      <w:pPr>
        <w:widowControl/>
        <w:rPr>
          <w:rFonts w:eastAsiaTheme="minorHAnsi" w:cstheme="minorBidi"/>
          <w:szCs w:val="22"/>
          <w:lang w:val="en-AU" w:bidi="ar-SA"/>
        </w:rPr>
      </w:pPr>
      <w:r>
        <w:rPr>
          <w:rFonts w:eastAsiaTheme="minorHAnsi" w:cstheme="minorBidi"/>
          <w:szCs w:val="22"/>
          <w:lang w:val="en-AU" w:bidi="ar-SA"/>
        </w:rPr>
        <w:t>kg</w:t>
      </w:r>
      <w:r>
        <w:rPr>
          <w:rFonts w:eastAsiaTheme="minorHAnsi" w:cstheme="minorBidi"/>
          <w:szCs w:val="22"/>
          <w:lang w:val="en-AU" w:bidi="ar-SA"/>
        </w:rPr>
        <w:tab/>
      </w:r>
      <w:r>
        <w:rPr>
          <w:rFonts w:eastAsiaTheme="minorHAnsi" w:cstheme="minorBidi"/>
          <w:szCs w:val="22"/>
          <w:lang w:val="en-AU" w:bidi="ar-SA"/>
        </w:rPr>
        <w:tab/>
        <w:t>kilogram</w:t>
      </w:r>
    </w:p>
    <w:p w14:paraId="015B3E42" w14:textId="77777777" w:rsidR="00AB4917" w:rsidRPr="00276C1C" w:rsidRDefault="00AB4917" w:rsidP="00A111E9">
      <w:pPr>
        <w:widowControl/>
        <w:rPr>
          <w:rFonts w:eastAsiaTheme="minorHAnsi" w:cstheme="minorBidi"/>
          <w:szCs w:val="22"/>
          <w:lang w:val="en-AU" w:bidi="ar-SA"/>
        </w:rPr>
      </w:pPr>
      <w:r w:rsidRPr="00276C1C">
        <w:rPr>
          <w:rFonts w:eastAsiaTheme="minorHAnsi" w:cstheme="minorBidi"/>
          <w:szCs w:val="22"/>
          <w:lang w:val="en-AU" w:bidi="ar-SA"/>
        </w:rPr>
        <w:t>Kp</w:t>
      </w:r>
      <w:r w:rsidRPr="00276C1C">
        <w:rPr>
          <w:rFonts w:eastAsiaTheme="minorHAnsi" w:cstheme="minorBidi"/>
          <w:szCs w:val="22"/>
          <w:lang w:val="en-AU" w:bidi="ar-SA"/>
        </w:rPr>
        <w:tab/>
      </w:r>
      <w:r w:rsidRPr="00276C1C">
        <w:rPr>
          <w:rFonts w:eastAsiaTheme="minorHAnsi" w:cstheme="minorBidi"/>
          <w:szCs w:val="22"/>
          <w:lang w:val="en-AU" w:bidi="ar-SA"/>
        </w:rPr>
        <w:tab/>
        <w:t>partition coefficient</w:t>
      </w:r>
    </w:p>
    <w:p w14:paraId="247024CC" w14:textId="77777777" w:rsidR="00AB4917" w:rsidRPr="00276C1C" w:rsidRDefault="00AB4917" w:rsidP="00A111E9">
      <w:pPr>
        <w:widowControl/>
        <w:rPr>
          <w:rFonts w:eastAsiaTheme="minorHAnsi" w:cstheme="minorBidi"/>
          <w:szCs w:val="22"/>
          <w:lang w:val="en-AU" w:bidi="ar-SA"/>
        </w:rPr>
      </w:pPr>
      <w:r w:rsidRPr="00276C1C">
        <w:rPr>
          <w:rFonts w:eastAsiaTheme="minorHAnsi" w:cstheme="minorBidi"/>
          <w:szCs w:val="22"/>
          <w:lang w:val="en-AU" w:bidi="ar-SA"/>
        </w:rPr>
        <w:t>K</w:t>
      </w:r>
      <w:r w:rsidRPr="00276C1C">
        <w:rPr>
          <w:rFonts w:eastAsiaTheme="minorHAnsi" w:cstheme="minorBidi"/>
          <w:szCs w:val="22"/>
          <w:vertAlign w:val="subscript"/>
          <w:lang w:val="en-AU" w:bidi="ar-SA"/>
        </w:rPr>
        <w:t>ow</w:t>
      </w:r>
      <w:r w:rsidRPr="00276C1C">
        <w:rPr>
          <w:rFonts w:eastAsiaTheme="minorHAnsi" w:cstheme="minorBidi"/>
          <w:szCs w:val="22"/>
          <w:lang w:val="en-AU" w:bidi="ar-SA"/>
        </w:rPr>
        <w:tab/>
      </w:r>
      <w:r w:rsidRPr="00276C1C">
        <w:rPr>
          <w:rFonts w:eastAsiaTheme="minorHAnsi" w:cstheme="minorBidi"/>
          <w:szCs w:val="22"/>
          <w:lang w:val="en-AU" w:bidi="ar-SA"/>
        </w:rPr>
        <w:tab/>
        <w:t>octanol-water partition coefficient</w:t>
      </w:r>
    </w:p>
    <w:p w14:paraId="1EEC5EDA" w14:textId="77777777" w:rsidR="00AB4917" w:rsidRPr="00276C1C" w:rsidRDefault="00AB4917" w:rsidP="00A111E9">
      <w:pPr>
        <w:widowControl/>
        <w:rPr>
          <w:rFonts w:eastAsiaTheme="minorHAnsi" w:cstheme="minorBidi"/>
          <w:szCs w:val="22"/>
          <w:lang w:val="en-AU" w:bidi="ar-SA"/>
        </w:rPr>
      </w:pPr>
      <w:r w:rsidRPr="00276C1C">
        <w:rPr>
          <w:rFonts w:eastAsiaTheme="minorHAnsi" w:cstheme="minorBidi"/>
          <w:szCs w:val="22"/>
          <w:lang w:val="en-AU" w:bidi="ar-SA"/>
        </w:rPr>
        <w:t>LD</w:t>
      </w:r>
      <w:r w:rsidRPr="00276C1C">
        <w:rPr>
          <w:rFonts w:eastAsiaTheme="minorHAnsi" w:cstheme="minorBidi"/>
          <w:szCs w:val="22"/>
          <w:vertAlign w:val="subscript"/>
          <w:lang w:val="en-AU" w:bidi="ar-SA"/>
        </w:rPr>
        <w:t>50</w:t>
      </w:r>
      <w:r w:rsidRPr="00276C1C">
        <w:rPr>
          <w:rFonts w:eastAsiaTheme="minorHAnsi" w:cstheme="minorBidi"/>
          <w:szCs w:val="22"/>
          <w:lang w:val="en-AU" w:bidi="ar-SA"/>
        </w:rPr>
        <w:tab/>
      </w:r>
      <w:r w:rsidRPr="00276C1C">
        <w:rPr>
          <w:rFonts w:eastAsiaTheme="minorHAnsi" w:cstheme="minorBidi"/>
          <w:szCs w:val="22"/>
          <w:lang w:val="en-AU" w:bidi="ar-SA"/>
        </w:rPr>
        <w:tab/>
        <w:t>lethal dose for 50% of test animals</w:t>
      </w:r>
    </w:p>
    <w:p w14:paraId="6CFF86D7" w14:textId="77777777" w:rsidR="00AB4917" w:rsidRPr="00276C1C" w:rsidRDefault="00AB4917" w:rsidP="00A111E9">
      <w:pPr>
        <w:widowControl/>
        <w:rPr>
          <w:rFonts w:eastAsiaTheme="minorHAnsi" w:cstheme="minorBidi"/>
          <w:szCs w:val="22"/>
          <w:lang w:val="en-AU" w:bidi="ar-SA"/>
        </w:rPr>
      </w:pPr>
      <w:r w:rsidRPr="00276C1C">
        <w:rPr>
          <w:rFonts w:eastAsiaTheme="minorHAnsi" w:cstheme="minorBidi"/>
          <w:szCs w:val="22"/>
          <w:lang w:val="en-AU" w:bidi="ar-SA"/>
        </w:rPr>
        <w:t>LDL</w:t>
      </w:r>
      <w:r w:rsidRPr="00276C1C">
        <w:rPr>
          <w:rFonts w:eastAsiaTheme="minorHAnsi" w:cstheme="minorBidi"/>
          <w:szCs w:val="22"/>
          <w:lang w:val="en-AU" w:bidi="ar-SA"/>
        </w:rPr>
        <w:tab/>
      </w:r>
      <w:r w:rsidRPr="00276C1C">
        <w:rPr>
          <w:rFonts w:eastAsiaTheme="minorHAnsi" w:cstheme="minorBidi"/>
          <w:szCs w:val="22"/>
          <w:lang w:val="en-AU" w:bidi="ar-SA"/>
        </w:rPr>
        <w:tab/>
        <w:t>low density lipoprotein</w:t>
      </w:r>
    </w:p>
    <w:p w14:paraId="65B4B2D3" w14:textId="77777777"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bidi="ar-SA"/>
        </w:rPr>
        <w:t>LH</w:t>
      </w:r>
      <w:r w:rsidRPr="00276C1C">
        <w:rPr>
          <w:rFonts w:eastAsiaTheme="minorHAnsi" w:cstheme="minorBidi"/>
          <w:szCs w:val="22"/>
          <w:lang w:bidi="ar-SA"/>
        </w:rPr>
        <w:tab/>
      </w:r>
      <w:r w:rsidRPr="00276C1C">
        <w:rPr>
          <w:rFonts w:eastAsiaTheme="minorHAnsi" w:cstheme="minorBidi"/>
          <w:szCs w:val="22"/>
          <w:lang w:bidi="ar-SA"/>
        </w:rPr>
        <w:tab/>
        <w:t>luteinising hormone</w:t>
      </w:r>
    </w:p>
    <w:p w14:paraId="603D28B5" w14:textId="77777777" w:rsidR="00AB4917" w:rsidRPr="00276C1C" w:rsidRDefault="00AB4917" w:rsidP="00A111E9">
      <w:pPr>
        <w:widowControl/>
        <w:rPr>
          <w:rFonts w:eastAsiaTheme="minorHAnsi" w:cstheme="minorBidi"/>
          <w:szCs w:val="22"/>
          <w:lang w:val="en-AU" w:bidi="ar-SA"/>
        </w:rPr>
      </w:pPr>
      <w:r w:rsidRPr="00276C1C">
        <w:rPr>
          <w:rFonts w:eastAsiaTheme="minorHAnsi" w:cstheme="minorBidi"/>
          <w:szCs w:val="22"/>
          <w:lang w:val="en-AU" w:bidi="ar-SA"/>
        </w:rPr>
        <w:t>LLOQ</w:t>
      </w:r>
      <w:r w:rsidRPr="00276C1C">
        <w:rPr>
          <w:rFonts w:eastAsiaTheme="minorHAnsi" w:cstheme="minorBidi"/>
          <w:szCs w:val="22"/>
          <w:lang w:val="en-AU" w:bidi="ar-SA"/>
        </w:rPr>
        <w:tab/>
      </w:r>
      <w:r w:rsidRPr="00276C1C">
        <w:rPr>
          <w:rFonts w:eastAsiaTheme="minorHAnsi" w:cstheme="minorBidi"/>
          <w:szCs w:val="22"/>
          <w:lang w:eastAsia="en-AU" w:bidi="ar-SA"/>
        </w:rPr>
        <w:t>lower limit of quantification</w:t>
      </w:r>
    </w:p>
    <w:p w14:paraId="254FA2B7" w14:textId="77777777" w:rsidR="00AB4917" w:rsidRPr="00276C1C" w:rsidRDefault="00AB4917" w:rsidP="00A111E9">
      <w:pPr>
        <w:widowControl/>
        <w:rPr>
          <w:rFonts w:eastAsiaTheme="minorHAnsi" w:cstheme="minorBidi"/>
          <w:szCs w:val="22"/>
          <w:lang w:val="en-AU" w:bidi="ar-SA"/>
        </w:rPr>
      </w:pPr>
      <w:r w:rsidRPr="00276C1C">
        <w:rPr>
          <w:rFonts w:eastAsiaTheme="minorHAnsi" w:cstheme="minorBidi"/>
          <w:szCs w:val="22"/>
          <w:lang w:val="en-AU" w:bidi="ar-SA"/>
        </w:rPr>
        <w:t>LOAEL</w:t>
      </w:r>
      <w:r w:rsidRPr="00276C1C">
        <w:rPr>
          <w:rFonts w:eastAsiaTheme="minorHAnsi" w:cstheme="minorBidi"/>
          <w:szCs w:val="22"/>
          <w:lang w:val="en-AU" w:bidi="ar-SA"/>
        </w:rPr>
        <w:tab/>
        <w:t>lowest observed adverse effect level</w:t>
      </w:r>
    </w:p>
    <w:p w14:paraId="61E958E4" w14:textId="77777777" w:rsidR="00AB4917" w:rsidRDefault="00AB4917" w:rsidP="00A111E9">
      <w:pPr>
        <w:widowControl/>
        <w:rPr>
          <w:rFonts w:eastAsiaTheme="minorHAnsi" w:cstheme="minorBidi"/>
          <w:szCs w:val="22"/>
          <w:lang w:bidi="ar-SA"/>
        </w:rPr>
      </w:pPr>
      <w:r w:rsidRPr="00276C1C">
        <w:rPr>
          <w:rFonts w:eastAsiaTheme="minorHAnsi" w:cstheme="minorBidi"/>
          <w:szCs w:val="22"/>
          <w:lang w:val="en-AU" w:bidi="ar-SA"/>
        </w:rPr>
        <w:t>LPS</w:t>
      </w:r>
      <w:r w:rsidRPr="00276C1C">
        <w:rPr>
          <w:rFonts w:eastAsiaTheme="minorHAnsi" w:cstheme="minorBidi"/>
          <w:szCs w:val="22"/>
          <w:lang w:val="en-AU" w:bidi="ar-SA"/>
        </w:rPr>
        <w:tab/>
      </w:r>
      <w:r w:rsidRPr="00276C1C">
        <w:rPr>
          <w:rFonts w:eastAsiaTheme="minorHAnsi" w:cstheme="minorBidi"/>
          <w:szCs w:val="22"/>
          <w:lang w:val="en-AU" w:bidi="ar-SA"/>
        </w:rPr>
        <w:tab/>
      </w:r>
      <w:r w:rsidRPr="00276C1C">
        <w:rPr>
          <w:rFonts w:eastAsiaTheme="minorHAnsi" w:cstheme="minorBidi"/>
          <w:szCs w:val="22"/>
          <w:lang w:bidi="ar-SA"/>
        </w:rPr>
        <w:t>lipopolysaccharide</w:t>
      </w:r>
    </w:p>
    <w:p w14:paraId="21CE8F80" w14:textId="2F148E1A" w:rsidR="0094109C" w:rsidRDefault="0094109C" w:rsidP="00A111E9">
      <w:pPr>
        <w:widowControl/>
        <w:rPr>
          <w:rFonts w:eastAsiaTheme="minorHAnsi" w:cstheme="minorBidi"/>
          <w:szCs w:val="22"/>
          <w:lang w:bidi="ar-SA"/>
        </w:rPr>
      </w:pPr>
      <w:r>
        <w:rPr>
          <w:rFonts w:eastAsiaTheme="minorHAnsi" w:cstheme="minorBidi"/>
          <w:szCs w:val="22"/>
          <w:lang w:bidi="ar-SA"/>
        </w:rPr>
        <w:t>mg</w:t>
      </w:r>
      <w:r>
        <w:rPr>
          <w:rFonts w:eastAsiaTheme="minorHAnsi" w:cstheme="minorBidi"/>
          <w:szCs w:val="22"/>
          <w:lang w:bidi="ar-SA"/>
        </w:rPr>
        <w:tab/>
      </w:r>
      <w:r>
        <w:rPr>
          <w:rFonts w:eastAsiaTheme="minorHAnsi" w:cstheme="minorBidi"/>
          <w:szCs w:val="22"/>
          <w:lang w:bidi="ar-SA"/>
        </w:rPr>
        <w:tab/>
        <w:t>milligram</w:t>
      </w:r>
      <w:r>
        <w:rPr>
          <w:rFonts w:eastAsiaTheme="minorHAnsi" w:cstheme="minorBidi"/>
          <w:szCs w:val="22"/>
          <w:lang w:bidi="ar-SA"/>
        </w:rPr>
        <w:tab/>
      </w:r>
    </w:p>
    <w:p w14:paraId="04B06263" w14:textId="1AA0B1B8" w:rsidR="0094109C" w:rsidRPr="00276C1C" w:rsidRDefault="0094109C" w:rsidP="00A111E9">
      <w:pPr>
        <w:widowControl/>
        <w:rPr>
          <w:rFonts w:eastAsiaTheme="minorHAnsi" w:cstheme="minorBidi"/>
          <w:szCs w:val="22"/>
          <w:lang w:val="en-AU" w:bidi="ar-SA"/>
        </w:rPr>
      </w:pPr>
      <w:r>
        <w:rPr>
          <w:rFonts w:eastAsiaTheme="minorHAnsi" w:cstheme="minorBidi"/>
          <w:szCs w:val="22"/>
          <w:lang w:val="en-AU" w:bidi="ar-SA"/>
        </w:rPr>
        <w:t>mL</w:t>
      </w:r>
      <w:r>
        <w:rPr>
          <w:rFonts w:eastAsiaTheme="minorHAnsi" w:cstheme="minorBidi"/>
          <w:szCs w:val="22"/>
          <w:lang w:val="en-AU" w:bidi="ar-SA"/>
        </w:rPr>
        <w:tab/>
      </w:r>
      <w:r>
        <w:rPr>
          <w:rFonts w:eastAsiaTheme="minorHAnsi" w:cstheme="minorBidi"/>
          <w:szCs w:val="22"/>
          <w:lang w:val="en-AU" w:bidi="ar-SA"/>
        </w:rPr>
        <w:tab/>
        <w:t>millilitre</w:t>
      </w:r>
    </w:p>
    <w:p w14:paraId="5003FD44" w14:textId="77777777" w:rsidR="00AB4917" w:rsidRPr="00276C1C" w:rsidRDefault="00AB4917" w:rsidP="00A111E9">
      <w:pPr>
        <w:widowControl/>
        <w:rPr>
          <w:rFonts w:eastAsiaTheme="minorHAnsi" w:cstheme="minorBidi"/>
          <w:szCs w:val="22"/>
          <w:lang w:val="en-AU" w:bidi="ar-SA"/>
        </w:rPr>
      </w:pPr>
      <w:r w:rsidRPr="00276C1C">
        <w:rPr>
          <w:rFonts w:eastAsiaTheme="minorHAnsi" w:cstheme="minorBidi"/>
          <w:szCs w:val="22"/>
          <w:lang w:val="en-AU" w:bidi="ar-SA"/>
        </w:rPr>
        <w:t>MOA</w:t>
      </w:r>
      <w:r w:rsidRPr="00276C1C">
        <w:rPr>
          <w:rFonts w:eastAsiaTheme="minorHAnsi" w:cstheme="minorBidi"/>
          <w:szCs w:val="22"/>
          <w:lang w:val="en-AU" w:bidi="ar-SA"/>
        </w:rPr>
        <w:tab/>
      </w:r>
      <w:r w:rsidRPr="00276C1C">
        <w:rPr>
          <w:rFonts w:eastAsiaTheme="minorHAnsi" w:cstheme="minorBidi"/>
          <w:szCs w:val="22"/>
          <w:lang w:val="en-AU" w:bidi="ar-SA"/>
        </w:rPr>
        <w:tab/>
        <w:t>mode of action</w:t>
      </w:r>
    </w:p>
    <w:p w14:paraId="4417FCC2" w14:textId="77777777" w:rsidR="00AB4917" w:rsidRDefault="00AB4917" w:rsidP="00A111E9">
      <w:pPr>
        <w:widowControl/>
        <w:rPr>
          <w:rFonts w:eastAsiaTheme="minorHAnsi" w:cstheme="minorBidi"/>
          <w:szCs w:val="22"/>
          <w:lang w:val="en-AU" w:bidi="ar-SA"/>
        </w:rPr>
      </w:pPr>
      <w:r w:rsidRPr="00276C1C">
        <w:rPr>
          <w:rFonts w:eastAsiaTheme="minorHAnsi" w:cstheme="minorBidi"/>
          <w:szCs w:val="22"/>
          <w:lang w:val="en-AU" w:bidi="ar-SA"/>
        </w:rPr>
        <w:t>MRL</w:t>
      </w:r>
      <w:r w:rsidRPr="00276C1C">
        <w:rPr>
          <w:rFonts w:eastAsiaTheme="minorHAnsi" w:cstheme="minorBidi"/>
          <w:szCs w:val="22"/>
          <w:lang w:val="en-AU" w:bidi="ar-SA"/>
        </w:rPr>
        <w:tab/>
      </w:r>
      <w:r w:rsidRPr="00276C1C">
        <w:rPr>
          <w:rFonts w:eastAsiaTheme="minorHAnsi" w:cstheme="minorBidi"/>
          <w:szCs w:val="22"/>
          <w:lang w:val="en-AU" w:bidi="ar-SA"/>
        </w:rPr>
        <w:tab/>
        <w:t>minimal risk level</w:t>
      </w:r>
    </w:p>
    <w:p w14:paraId="05267B85" w14:textId="37AD088D" w:rsidR="00C75534" w:rsidRDefault="00C75534" w:rsidP="00A111E9">
      <w:pPr>
        <w:widowControl/>
        <w:rPr>
          <w:rFonts w:eastAsiaTheme="minorHAnsi" w:cstheme="minorBidi"/>
          <w:szCs w:val="22"/>
          <w:lang w:val="en-AU" w:bidi="ar-SA"/>
        </w:rPr>
      </w:pPr>
      <w:r>
        <w:rPr>
          <w:rFonts w:eastAsiaTheme="minorHAnsi" w:cstheme="minorBidi"/>
          <w:szCs w:val="22"/>
          <w:lang w:val="en-AU" w:bidi="ar-SA"/>
        </w:rPr>
        <w:t>ng</w:t>
      </w:r>
      <w:r>
        <w:rPr>
          <w:rFonts w:eastAsiaTheme="minorHAnsi" w:cstheme="minorBidi"/>
          <w:szCs w:val="22"/>
          <w:lang w:val="en-AU" w:bidi="ar-SA"/>
        </w:rPr>
        <w:tab/>
      </w:r>
      <w:r>
        <w:rPr>
          <w:rFonts w:eastAsiaTheme="minorHAnsi" w:cstheme="minorBidi"/>
          <w:szCs w:val="22"/>
          <w:lang w:val="en-AU" w:bidi="ar-SA"/>
        </w:rPr>
        <w:tab/>
        <w:t>nanogram</w:t>
      </w:r>
      <w:r>
        <w:rPr>
          <w:rFonts w:eastAsiaTheme="minorHAnsi" w:cstheme="minorBidi"/>
          <w:szCs w:val="22"/>
          <w:lang w:val="en-AU" w:bidi="ar-SA"/>
        </w:rPr>
        <w:tab/>
      </w:r>
    </w:p>
    <w:p w14:paraId="17900631" w14:textId="77777777" w:rsidR="00C75534" w:rsidRPr="00276C1C" w:rsidRDefault="00C75534" w:rsidP="00A111E9">
      <w:pPr>
        <w:widowControl/>
        <w:rPr>
          <w:rFonts w:eastAsiaTheme="minorHAnsi" w:cstheme="minorBidi"/>
          <w:szCs w:val="22"/>
          <w:lang w:val="en-AU" w:bidi="ar-SA"/>
        </w:rPr>
      </w:pPr>
      <w:r w:rsidRPr="00276C1C">
        <w:rPr>
          <w:rFonts w:eastAsiaTheme="minorHAnsi" w:cstheme="minorBidi"/>
          <w:szCs w:val="22"/>
          <w:lang w:val="en-AU" w:bidi="ar-SA"/>
        </w:rPr>
        <w:t>NK</w:t>
      </w:r>
      <w:r w:rsidRPr="00276C1C">
        <w:rPr>
          <w:rFonts w:eastAsiaTheme="minorHAnsi" w:cstheme="minorBidi"/>
          <w:szCs w:val="22"/>
          <w:lang w:val="en-AU" w:bidi="ar-SA"/>
        </w:rPr>
        <w:tab/>
      </w:r>
      <w:r w:rsidRPr="00276C1C">
        <w:rPr>
          <w:rFonts w:eastAsiaTheme="minorHAnsi" w:cstheme="minorBidi"/>
          <w:szCs w:val="22"/>
          <w:lang w:val="en-AU" w:bidi="ar-SA"/>
        </w:rPr>
        <w:tab/>
        <w:t>natural killer</w:t>
      </w:r>
    </w:p>
    <w:p w14:paraId="67487D42" w14:textId="77777777" w:rsidR="00AB4917" w:rsidRPr="00276C1C" w:rsidRDefault="00AB4917" w:rsidP="00A111E9">
      <w:pPr>
        <w:widowControl/>
        <w:rPr>
          <w:rFonts w:eastAsiaTheme="minorHAnsi" w:cstheme="minorBidi"/>
          <w:szCs w:val="22"/>
          <w:lang w:val="en-AU" w:bidi="ar-SA"/>
        </w:rPr>
      </w:pPr>
      <w:r w:rsidRPr="00276C1C">
        <w:rPr>
          <w:rFonts w:eastAsiaTheme="minorHAnsi" w:cstheme="minorBidi"/>
          <w:szCs w:val="22"/>
          <w:lang w:val="en-AU" w:bidi="ar-SA"/>
        </w:rPr>
        <w:t>NOAEL</w:t>
      </w:r>
      <w:r w:rsidRPr="00276C1C">
        <w:rPr>
          <w:rFonts w:eastAsiaTheme="minorHAnsi" w:cstheme="minorBidi"/>
          <w:szCs w:val="22"/>
          <w:lang w:val="en-AU" w:bidi="ar-SA"/>
        </w:rPr>
        <w:tab/>
        <w:t>no observed adverse effect level</w:t>
      </w:r>
    </w:p>
    <w:p w14:paraId="49068A91" w14:textId="77777777" w:rsidR="00AB4917" w:rsidRPr="00276C1C" w:rsidRDefault="00AB4917" w:rsidP="00A111E9">
      <w:pPr>
        <w:widowControl/>
        <w:rPr>
          <w:rFonts w:eastAsiaTheme="minorHAnsi" w:cstheme="minorBidi"/>
          <w:szCs w:val="22"/>
          <w:lang w:val="en-AU" w:bidi="ar-SA"/>
        </w:rPr>
      </w:pPr>
      <w:r w:rsidRPr="00276C1C">
        <w:rPr>
          <w:rFonts w:eastAsiaTheme="minorHAnsi" w:cstheme="minorBidi"/>
          <w:szCs w:val="22"/>
          <w:lang w:val="en-AU" w:bidi="ar-SA"/>
        </w:rPr>
        <w:t>OAT</w:t>
      </w:r>
      <w:r w:rsidRPr="00276C1C">
        <w:rPr>
          <w:rFonts w:eastAsiaTheme="minorHAnsi" w:cstheme="minorBidi"/>
          <w:szCs w:val="22"/>
          <w:lang w:val="en-AU" w:bidi="ar-SA"/>
        </w:rPr>
        <w:tab/>
      </w:r>
      <w:r w:rsidRPr="00276C1C">
        <w:rPr>
          <w:rFonts w:eastAsiaTheme="minorHAnsi" w:cstheme="minorBidi"/>
          <w:szCs w:val="22"/>
          <w:lang w:val="en-AU" w:bidi="ar-SA"/>
        </w:rPr>
        <w:tab/>
        <w:t>organic anion transporter</w:t>
      </w:r>
    </w:p>
    <w:p w14:paraId="1AFEA62F" w14:textId="77777777" w:rsidR="00AB4917" w:rsidRPr="00276C1C" w:rsidRDefault="00AB4917" w:rsidP="00A111E9">
      <w:pPr>
        <w:widowControl/>
        <w:rPr>
          <w:rFonts w:eastAsiaTheme="minorHAnsi" w:cstheme="minorBidi"/>
          <w:szCs w:val="22"/>
          <w:lang w:val="en-AU" w:bidi="ar-SA"/>
        </w:rPr>
      </w:pPr>
      <w:r w:rsidRPr="00276C1C">
        <w:rPr>
          <w:rFonts w:eastAsiaTheme="minorHAnsi" w:cstheme="minorBidi"/>
          <w:szCs w:val="22"/>
          <w:lang w:val="en-AU" w:bidi="ar-SA"/>
        </w:rPr>
        <w:t>PBPK</w:t>
      </w:r>
      <w:r w:rsidRPr="00276C1C">
        <w:rPr>
          <w:rFonts w:eastAsiaTheme="minorHAnsi" w:cstheme="minorBidi"/>
          <w:szCs w:val="22"/>
          <w:lang w:val="en-AU" w:bidi="ar-SA"/>
        </w:rPr>
        <w:tab/>
        <w:t>physiologically based pharmacokinetic</w:t>
      </w:r>
    </w:p>
    <w:p w14:paraId="363A13D2" w14:textId="77777777" w:rsidR="00AB4917" w:rsidRPr="00276C1C" w:rsidRDefault="00AB4917" w:rsidP="00A111E9">
      <w:pPr>
        <w:widowControl/>
        <w:rPr>
          <w:rFonts w:eastAsiaTheme="minorHAnsi" w:cstheme="minorBidi"/>
          <w:szCs w:val="22"/>
          <w:lang w:val="en-AU" w:bidi="ar-SA"/>
        </w:rPr>
      </w:pPr>
      <w:r w:rsidRPr="00276C1C">
        <w:rPr>
          <w:rFonts w:eastAsiaTheme="minorHAnsi" w:cstheme="minorBidi"/>
          <w:szCs w:val="22"/>
          <w:lang w:val="en-AU" w:bidi="ar-SA"/>
        </w:rPr>
        <w:t>PCNA</w:t>
      </w:r>
      <w:r w:rsidRPr="00276C1C">
        <w:rPr>
          <w:rFonts w:eastAsiaTheme="minorHAnsi" w:cstheme="minorBidi"/>
          <w:szCs w:val="22"/>
          <w:lang w:val="en-AU" w:bidi="ar-SA"/>
        </w:rPr>
        <w:tab/>
      </w:r>
      <w:r w:rsidRPr="00276C1C">
        <w:rPr>
          <w:rFonts w:eastAsiaTheme="minorHAnsi" w:cstheme="minorBidi"/>
          <w:szCs w:val="22"/>
          <w:lang w:bidi="ar-SA"/>
        </w:rPr>
        <w:t>proliferating cell nuclear antigen</w:t>
      </w:r>
    </w:p>
    <w:p w14:paraId="6D172259" w14:textId="77777777" w:rsidR="00AB4917" w:rsidRPr="00276C1C" w:rsidRDefault="00AB4917" w:rsidP="00A111E9">
      <w:pPr>
        <w:widowControl/>
        <w:rPr>
          <w:rFonts w:eastAsiaTheme="minorHAnsi" w:cstheme="minorBidi"/>
          <w:szCs w:val="22"/>
          <w:lang w:val="en-AU" w:bidi="ar-SA"/>
        </w:rPr>
      </w:pPr>
      <w:r w:rsidRPr="00276C1C">
        <w:rPr>
          <w:rFonts w:eastAsiaTheme="minorHAnsi" w:cstheme="minorBidi"/>
          <w:szCs w:val="22"/>
          <w:lang w:val="en-AU" w:bidi="ar-SA"/>
        </w:rPr>
        <w:t>PCoAO</w:t>
      </w:r>
      <w:r w:rsidRPr="00276C1C">
        <w:rPr>
          <w:rFonts w:eastAsiaTheme="minorHAnsi" w:cstheme="minorBidi"/>
          <w:szCs w:val="22"/>
          <w:lang w:val="en-AU" w:bidi="ar-SA"/>
        </w:rPr>
        <w:tab/>
      </w:r>
      <w:r w:rsidRPr="00276C1C">
        <w:rPr>
          <w:rFonts w:eastAsiaTheme="minorHAnsi" w:cstheme="minorBidi"/>
          <w:szCs w:val="22"/>
          <w:lang w:bidi="ar-SA"/>
        </w:rPr>
        <w:t>palmitoyl CoA oxidase</w:t>
      </w:r>
    </w:p>
    <w:p w14:paraId="2B8D9FFA" w14:textId="77777777" w:rsidR="00AB4917" w:rsidRPr="00276C1C" w:rsidRDefault="00AB4917" w:rsidP="00A111E9">
      <w:pPr>
        <w:widowControl/>
        <w:rPr>
          <w:rFonts w:eastAsiaTheme="minorHAnsi" w:cstheme="minorBidi"/>
          <w:szCs w:val="22"/>
          <w:lang w:val="en-AU" w:bidi="ar-SA"/>
        </w:rPr>
      </w:pPr>
      <w:r w:rsidRPr="00276C1C">
        <w:rPr>
          <w:rFonts w:eastAsiaTheme="minorHAnsi" w:cstheme="minorBidi"/>
          <w:szCs w:val="22"/>
          <w:lang w:val="en-AU" w:bidi="ar-SA"/>
        </w:rPr>
        <w:t>PFAA</w:t>
      </w:r>
      <w:r w:rsidRPr="00276C1C">
        <w:rPr>
          <w:rFonts w:eastAsiaTheme="minorHAnsi" w:cstheme="minorBidi"/>
          <w:szCs w:val="22"/>
          <w:lang w:val="en-AU" w:bidi="ar-SA"/>
        </w:rPr>
        <w:tab/>
        <w:t>perfluoroalkyl acids</w:t>
      </w:r>
    </w:p>
    <w:p w14:paraId="29F1F95B" w14:textId="74052224" w:rsidR="00F04731" w:rsidRDefault="00AB4917" w:rsidP="00A111E9">
      <w:pPr>
        <w:widowControl/>
        <w:rPr>
          <w:rFonts w:eastAsiaTheme="minorHAnsi" w:cs="Arial"/>
          <w:szCs w:val="22"/>
          <w:lang w:bidi="ar-SA"/>
        </w:rPr>
      </w:pPr>
      <w:r w:rsidRPr="00276C1C">
        <w:rPr>
          <w:rFonts w:eastAsiaTheme="minorHAnsi" w:cstheme="minorBidi"/>
          <w:szCs w:val="22"/>
          <w:lang w:val="en-AU" w:bidi="ar-SA"/>
        </w:rPr>
        <w:t>PFAS</w:t>
      </w:r>
      <w:r w:rsidRPr="00276C1C">
        <w:rPr>
          <w:rFonts w:eastAsiaTheme="minorHAnsi" w:cstheme="minorBidi"/>
          <w:szCs w:val="22"/>
          <w:lang w:val="en-AU" w:bidi="ar-SA"/>
        </w:rPr>
        <w:tab/>
      </w:r>
      <w:r w:rsidR="00F04731" w:rsidRPr="00F8101A">
        <w:rPr>
          <w:rFonts w:eastAsiaTheme="minorHAnsi" w:cs="Arial"/>
          <w:szCs w:val="22"/>
          <w:lang w:bidi="ar-SA"/>
        </w:rPr>
        <w:t>per- and poly-fluoroalkyl substances, overall term including PFOS, PFOA</w:t>
      </w:r>
    </w:p>
    <w:p w14:paraId="53D6E39A" w14:textId="42F7EC0E" w:rsidR="00AB4917" w:rsidRPr="00276C1C" w:rsidRDefault="00AB4917" w:rsidP="00A111E9">
      <w:pPr>
        <w:widowControl/>
        <w:rPr>
          <w:rFonts w:eastAsiaTheme="minorHAnsi" w:cstheme="minorBidi"/>
          <w:szCs w:val="22"/>
          <w:lang w:val="en-AU" w:bidi="ar-SA"/>
        </w:rPr>
      </w:pPr>
      <w:r w:rsidRPr="00276C1C">
        <w:rPr>
          <w:rFonts w:eastAsiaTheme="minorHAnsi" w:cstheme="minorBidi"/>
          <w:szCs w:val="22"/>
          <w:lang w:val="en-AU" w:bidi="ar-SA"/>
        </w:rPr>
        <w:t>PFC</w:t>
      </w:r>
      <w:r w:rsidRPr="00276C1C">
        <w:rPr>
          <w:rFonts w:eastAsiaTheme="minorHAnsi" w:cstheme="minorBidi"/>
          <w:szCs w:val="22"/>
          <w:lang w:val="en-AU" w:bidi="ar-SA"/>
        </w:rPr>
        <w:tab/>
      </w:r>
      <w:r w:rsidRPr="00276C1C">
        <w:rPr>
          <w:rFonts w:eastAsiaTheme="minorHAnsi" w:cstheme="minorBidi"/>
          <w:szCs w:val="22"/>
          <w:lang w:val="en-AU" w:bidi="ar-SA"/>
        </w:rPr>
        <w:tab/>
        <w:t>plaque forming cell</w:t>
      </w:r>
    </w:p>
    <w:p w14:paraId="75E67976" w14:textId="77777777" w:rsidR="00AB4917" w:rsidRPr="00276C1C" w:rsidRDefault="00AB4917" w:rsidP="00A111E9">
      <w:pPr>
        <w:widowControl/>
        <w:rPr>
          <w:rFonts w:eastAsiaTheme="minorHAnsi" w:cstheme="minorBidi"/>
          <w:szCs w:val="22"/>
          <w:lang w:val="en-AU" w:bidi="ar-SA"/>
        </w:rPr>
      </w:pPr>
      <w:r w:rsidRPr="00276C1C">
        <w:rPr>
          <w:rFonts w:eastAsiaTheme="minorHAnsi" w:cstheme="minorBidi"/>
          <w:szCs w:val="22"/>
          <w:lang w:val="en-AU" w:bidi="ar-SA"/>
        </w:rPr>
        <w:t>PFHxS</w:t>
      </w:r>
      <w:r w:rsidRPr="00276C1C">
        <w:rPr>
          <w:rFonts w:eastAsiaTheme="minorHAnsi" w:cstheme="minorBidi"/>
          <w:szCs w:val="22"/>
          <w:lang w:val="en-AU" w:bidi="ar-SA"/>
        </w:rPr>
        <w:tab/>
        <w:t>perfluorohexanesulfonic acid</w:t>
      </w:r>
    </w:p>
    <w:p w14:paraId="25CEA100" w14:textId="77777777" w:rsidR="00AB4917" w:rsidRPr="00276C1C" w:rsidRDefault="00AB4917" w:rsidP="00A111E9">
      <w:pPr>
        <w:widowControl/>
        <w:rPr>
          <w:rFonts w:eastAsiaTheme="minorHAnsi" w:cstheme="minorBidi"/>
          <w:szCs w:val="22"/>
          <w:lang w:val="en-AU" w:bidi="ar-SA"/>
        </w:rPr>
      </w:pPr>
      <w:r w:rsidRPr="00276C1C">
        <w:rPr>
          <w:rFonts w:eastAsiaTheme="minorHAnsi" w:cstheme="minorBidi"/>
          <w:szCs w:val="22"/>
          <w:lang w:val="en-AU" w:bidi="ar-SA"/>
        </w:rPr>
        <w:t>PFOA</w:t>
      </w:r>
      <w:r w:rsidRPr="00276C1C">
        <w:rPr>
          <w:rFonts w:eastAsiaTheme="minorHAnsi" w:cstheme="minorBidi"/>
          <w:szCs w:val="22"/>
          <w:lang w:val="en-AU" w:bidi="ar-SA"/>
        </w:rPr>
        <w:tab/>
        <w:t>perfluorooctanoic acid</w:t>
      </w:r>
    </w:p>
    <w:p w14:paraId="03033D84" w14:textId="77777777"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val="en-AU" w:bidi="ar-SA"/>
        </w:rPr>
        <w:t>PFOS</w:t>
      </w:r>
      <w:r w:rsidRPr="00276C1C">
        <w:rPr>
          <w:rFonts w:eastAsiaTheme="minorHAnsi" w:cstheme="minorBidi"/>
          <w:szCs w:val="22"/>
          <w:lang w:val="en-AU" w:bidi="ar-SA"/>
        </w:rPr>
        <w:tab/>
        <w:t>p</w:t>
      </w:r>
      <w:r w:rsidRPr="00276C1C">
        <w:rPr>
          <w:rFonts w:eastAsiaTheme="minorHAnsi" w:cstheme="minorBidi"/>
          <w:szCs w:val="22"/>
          <w:lang w:bidi="ar-SA"/>
        </w:rPr>
        <w:t>erfluorooctane sulfonate</w:t>
      </w:r>
    </w:p>
    <w:p w14:paraId="2E5BB37E" w14:textId="77777777"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bidi="ar-SA"/>
        </w:rPr>
        <w:t>PFOSA</w:t>
      </w:r>
      <w:r w:rsidRPr="00276C1C">
        <w:rPr>
          <w:rFonts w:eastAsiaTheme="minorHAnsi" w:cstheme="minorBidi"/>
          <w:szCs w:val="22"/>
          <w:lang w:bidi="ar-SA"/>
        </w:rPr>
        <w:tab/>
        <w:t>perfluorooctanesulfonamide</w:t>
      </w:r>
    </w:p>
    <w:p w14:paraId="0F01A7A5" w14:textId="77777777"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bidi="ar-SA"/>
        </w:rPr>
        <w:t>PK</w:t>
      </w:r>
      <w:r w:rsidRPr="00276C1C">
        <w:rPr>
          <w:rFonts w:eastAsiaTheme="minorHAnsi" w:cstheme="minorBidi"/>
          <w:szCs w:val="22"/>
          <w:lang w:bidi="ar-SA"/>
        </w:rPr>
        <w:tab/>
      </w:r>
      <w:r w:rsidRPr="00276C1C">
        <w:rPr>
          <w:rFonts w:eastAsiaTheme="minorHAnsi" w:cstheme="minorBidi"/>
          <w:szCs w:val="22"/>
          <w:lang w:bidi="ar-SA"/>
        </w:rPr>
        <w:tab/>
        <w:t>pharmacokinetic</w:t>
      </w:r>
    </w:p>
    <w:p w14:paraId="4D891844" w14:textId="77777777"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bidi="ar-SA"/>
        </w:rPr>
        <w:t>pK</w:t>
      </w:r>
      <w:r w:rsidRPr="00276C1C">
        <w:rPr>
          <w:rFonts w:eastAsiaTheme="minorHAnsi" w:cstheme="minorBidi"/>
          <w:szCs w:val="22"/>
          <w:vertAlign w:val="subscript"/>
          <w:lang w:bidi="ar-SA"/>
        </w:rPr>
        <w:t>a</w:t>
      </w:r>
      <w:r w:rsidRPr="00276C1C">
        <w:rPr>
          <w:rFonts w:eastAsiaTheme="minorHAnsi" w:cstheme="minorBidi"/>
          <w:szCs w:val="22"/>
          <w:lang w:bidi="ar-SA"/>
        </w:rPr>
        <w:tab/>
      </w:r>
      <w:r w:rsidRPr="00276C1C">
        <w:rPr>
          <w:rFonts w:eastAsiaTheme="minorHAnsi" w:cstheme="minorBidi"/>
          <w:szCs w:val="22"/>
          <w:lang w:bidi="ar-SA"/>
        </w:rPr>
        <w:tab/>
        <w:t>acid dissociation constant</w:t>
      </w:r>
    </w:p>
    <w:p w14:paraId="1F74D2CE" w14:textId="77777777"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bidi="ar-SA"/>
        </w:rPr>
        <w:t>PND</w:t>
      </w:r>
      <w:r w:rsidRPr="00276C1C">
        <w:rPr>
          <w:rFonts w:eastAsiaTheme="minorHAnsi" w:cstheme="minorBidi"/>
          <w:szCs w:val="22"/>
          <w:lang w:bidi="ar-SA"/>
        </w:rPr>
        <w:tab/>
      </w:r>
      <w:r w:rsidRPr="00276C1C">
        <w:rPr>
          <w:rFonts w:eastAsiaTheme="minorHAnsi" w:cstheme="minorBidi"/>
          <w:szCs w:val="22"/>
          <w:lang w:bidi="ar-SA"/>
        </w:rPr>
        <w:tab/>
        <w:t>postnatal day</w:t>
      </w:r>
    </w:p>
    <w:p w14:paraId="5FC7E41A" w14:textId="77777777"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bidi="ar-SA"/>
        </w:rPr>
        <w:t>POD</w:t>
      </w:r>
      <w:r w:rsidRPr="00276C1C">
        <w:rPr>
          <w:rFonts w:eastAsiaTheme="minorHAnsi" w:cstheme="minorBidi"/>
          <w:szCs w:val="22"/>
          <w:lang w:bidi="ar-SA"/>
        </w:rPr>
        <w:tab/>
      </w:r>
      <w:r w:rsidRPr="00276C1C">
        <w:rPr>
          <w:rFonts w:eastAsiaTheme="minorHAnsi" w:cstheme="minorBidi"/>
          <w:szCs w:val="22"/>
          <w:lang w:bidi="ar-SA"/>
        </w:rPr>
        <w:tab/>
        <w:t>point of departure</w:t>
      </w:r>
    </w:p>
    <w:p w14:paraId="1286AD4A" w14:textId="77777777"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bidi="ar-SA"/>
        </w:rPr>
        <w:t>POSF</w:t>
      </w:r>
      <w:r w:rsidRPr="00276C1C">
        <w:rPr>
          <w:rFonts w:eastAsiaTheme="minorHAnsi" w:cstheme="minorBidi"/>
          <w:szCs w:val="22"/>
          <w:lang w:bidi="ar-SA"/>
        </w:rPr>
        <w:tab/>
        <w:t>perfluorooctanesulfonyl fluoride</w:t>
      </w:r>
    </w:p>
    <w:p w14:paraId="53B29C50" w14:textId="77777777"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bidi="ar-SA"/>
        </w:rPr>
        <w:t>PPAR</w:t>
      </w:r>
      <w:r w:rsidRPr="00276C1C">
        <w:rPr>
          <w:rFonts w:eastAsiaTheme="minorHAnsi" w:cstheme="minorBidi"/>
          <w:szCs w:val="22"/>
          <w:lang w:bidi="ar-SA"/>
        </w:rPr>
        <w:tab/>
        <w:t>peroxisome proliferator activated receptor</w:t>
      </w:r>
    </w:p>
    <w:p w14:paraId="06239E41" w14:textId="77777777"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bidi="ar-SA"/>
        </w:rPr>
        <w:t>ppb</w:t>
      </w:r>
      <w:r w:rsidRPr="00276C1C">
        <w:rPr>
          <w:rFonts w:eastAsiaTheme="minorHAnsi" w:cstheme="minorBidi"/>
          <w:szCs w:val="22"/>
          <w:lang w:bidi="ar-SA"/>
        </w:rPr>
        <w:tab/>
      </w:r>
      <w:r w:rsidRPr="00276C1C">
        <w:rPr>
          <w:rFonts w:eastAsiaTheme="minorHAnsi" w:cstheme="minorBidi"/>
          <w:szCs w:val="22"/>
          <w:lang w:bidi="ar-SA"/>
        </w:rPr>
        <w:tab/>
        <w:t>parts per billion</w:t>
      </w:r>
    </w:p>
    <w:p w14:paraId="1F7ADA63" w14:textId="77777777"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bidi="ar-SA"/>
        </w:rPr>
        <w:t>ppm</w:t>
      </w:r>
      <w:r w:rsidRPr="00276C1C">
        <w:rPr>
          <w:rFonts w:eastAsiaTheme="minorHAnsi" w:cstheme="minorBidi"/>
          <w:szCs w:val="22"/>
          <w:lang w:bidi="ar-SA"/>
        </w:rPr>
        <w:tab/>
      </w:r>
      <w:r w:rsidRPr="00276C1C">
        <w:rPr>
          <w:rFonts w:eastAsiaTheme="minorHAnsi" w:cstheme="minorBidi"/>
          <w:szCs w:val="22"/>
          <w:lang w:bidi="ar-SA"/>
        </w:rPr>
        <w:tab/>
        <w:t>parts per million</w:t>
      </w:r>
    </w:p>
    <w:p w14:paraId="4718D956" w14:textId="77777777"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bidi="ar-SA"/>
        </w:rPr>
        <w:t>PT</w:t>
      </w:r>
      <w:r w:rsidRPr="00276C1C">
        <w:rPr>
          <w:rFonts w:eastAsiaTheme="minorHAnsi" w:cstheme="minorBidi"/>
          <w:szCs w:val="22"/>
          <w:lang w:bidi="ar-SA"/>
        </w:rPr>
        <w:tab/>
      </w:r>
      <w:r w:rsidRPr="00276C1C">
        <w:rPr>
          <w:rFonts w:eastAsiaTheme="minorHAnsi" w:cstheme="minorBidi"/>
          <w:szCs w:val="22"/>
          <w:lang w:bidi="ar-SA"/>
        </w:rPr>
        <w:tab/>
        <w:t>prothrombin time</w:t>
      </w:r>
    </w:p>
    <w:p w14:paraId="1F569C20" w14:textId="77777777"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bidi="ar-SA"/>
        </w:rPr>
        <w:t>PXR</w:t>
      </w:r>
      <w:r w:rsidRPr="00276C1C">
        <w:rPr>
          <w:rFonts w:eastAsiaTheme="minorHAnsi" w:cstheme="minorBidi"/>
          <w:szCs w:val="22"/>
          <w:lang w:bidi="ar-SA"/>
        </w:rPr>
        <w:tab/>
      </w:r>
      <w:r w:rsidRPr="00276C1C">
        <w:rPr>
          <w:rFonts w:eastAsiaTheme="minorHAnsi" w:cstheme="minorBidi"/>
          <w:szCs w:val="22"/>
          <w:lang w:bidi="ar-SA"/>
        </w:rPr>
        <w:tab/>
        <w:t>pregnane X receptor</w:t>
      </w:r>
    </w:p>
    <w:p w14:paraId="7A2D2DB5" w14:textId="77777777"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bidi="ar-SA"/>
        </w:rPr>
        <w:t>RfD</w:t>
      </w:r>
      <w:r w:rsidRPr="00276C1C">
        <w:rPr>
          <w:rFonts w:eastAsiaTheme="minorHAnsi" w:cstheme="minorBidi"/>
          <w:szCs w:val="22"/>
          <w:lang w:bidi="ar-SA"/>
        </w:rPr>
        <w:tab/>
      </w:r>
      <w:r w:rsidRPr="00276C1C">
        <w:rPr>
          <w:rFonts w:eastAsiaTheme="minorHAnsi" w:cstheme="minorBidi"/>
          <w:szCs w:val="22"/>
          <w:lang w:bidi="ar-SA"/>
        </w:rPr>
        <w:tab/>
        <w:t>reference dose</w:t>
      </w:r>
    </w:p>
    <w:p w14:paraId="7895A3E8" w14:textId="77777777" w:rsidR="00AB4917" w:rsidRPr="00276C1C" w:rsidRDefault="00AB4917" w:rsidP="00A111E9">
      <w:pPr>
        <w:widowControl/>
        <w:ind w:left="1134" w:hanging="1134"/>
        <w:rPr>
          <w:rFonts w:eastAsiaTheme="minorHAnsi" w:cstheme="minorBidi"/>
          <w:szCs w:val="22"/>
          <w:lang w:bidi="ar-SA"/>
        </w:rPr>
      </w:pPr>
      <w:r w:rsidRPr="00276C1C">
        <w:rPr>
          <w:rFonts w:eastAsiaTheme="minorHAnsi" w:cstheme="minorBidi"/>
          <w:szCs w:val="22"/>
          <w:lang w:bidi="ar-SA"/>
        </w:rPr>
        <w:t>SRBC</w:t>
      </w:r>
      <w:r w:rsidRPr="00276C1C">
        <w:rPr>
          <w:rFonts w:eastAsiaTheme="minorHAnsi" w:cstheme="minorBidi"/>
          <w:szCs w:val="22"/>
          <w:lang w:bidi="ar-SA"/>
        </w:rPr>
        <w:tab/>
        <w:t>sheep red blood cells</w:t>
      </w:r>
    </w:p>
    <w:p w14:paraId="1FBDF0FF" w14:textId="159F5BF9" w:rsidR="00AB4917" w:rsidRPr="00276C1C" w:rsidRDefault="00AB4917" w:rsidP="00A111E9">
      <w:pPr>
        <w:widowControl/>
        <w:ind w:left="1134" w:hanging="1134"/>
        <w:rPr>
          <w:rFonts w:eastAsiaTheme="minorHAnsi" w:cstheme="minorBidi"/>
          <w:szCs w:val="22"/>
          <w:lang w:bidi="ar-SA"/>
        </w:rPr>
      </w:pPr>
      <w:r w:rsidRPr="00276C1C">
        <w:rPr>
          <w:rFonts w:eastAsiaTheme="minorHAnsi" w:cstheme="minorBidi"/>
          <w:szCs w:val="22"/>
          <w:lang w:bidi="ar-SA"/>
        </w:rPr>
        <w:t>t</w:t>
      </w:r>
      <w:r w:rsidRPr="00276C1C">
        <w:rPr>
          <w:rFonts w:eastAsiaTheme="minorHAnsi" w:cstheme="minorBidi"/>
          <w:szCs w:val="22"/>
          <w:vertAlign w:val="subscript"/>
          <w:lang w:bidi="ar-SA"/>
        </w:rPr>
        <w:t>1/2</w:t>
      </w:r>
      <w:r w:rsidRPr="00276C1C">
        <w:rPr>
          <w:rFonts w:eastAsiaTheme="minorHAnsi" w:cstheme="minorBidi"/>
          <w:szCs w:val="22"/>
          <w:lang w:bidi="ar-SA"/>
        </w:rPr>
        <w:t xml:space="preserve"> </w:t>
      </w:r>
      <w:r w:rsidRPr="00276C1C">
        <w:rPr>
          <w:rFonts w:eastAsiaTheme="minorHAnsi" w:cstheme="minorBidi"/>
          <w:szCs w:val="22"/>
          <w:lang w:bidi="ar-SA"/>
        </w:rPr>
        <w:tab/>
        <w:t xml:space="preserve">chemical </w:t>
      </w:r>
      <w:r w:rsidR="00CD705F">
        <w:rPr>
          <w:rFonts w:eastAsiaTheme="minorHAnsi" w:cstheme="minorBidi"/>
          <w:szCs w:val="22"/>
          <w:lang w:bidi="ar-SA"/>
        </w:rPr>
        <w:t>half-life</w:t>
      </w:r>
    </w:p>
    <w:p w14:paraId="54D327E6" w14:textId="77777777" w:rsidR="00AB4917" w:rsidRPr="00276C1C" w:rsidRDefault="00AB4917" w:rsidP="00A111E9">
      <w:pPr>
        <w:widowControl/>
        <w:ind w:left="1134" w:hanging="1134"/>
        <w:rPr>
          <w:rFonts w:eastAsiaTheme="minorHAnsi" w:cstheme="minorBidi"/>
          <w:szCs w:val="22"/>
          <w:lang w:bidi="ar-SA"/>
        </w:rPr>
      </w:pPr>
      <w:r w:rsidRPr="00276C1C">
        <w:rPr>
          <w:rFonts w:eastAsiaTheme="minorHAnsi" w:cstheme="minorBidi"/>
          <w:szCs w:val="22"/>
          <w:lang w:bidi="ar-SA"/>
        </w:rPr>
        <w:t>T3</w:t>
      </w:r>
      <w:r w:rsidRPr="00276C1C">
        <w:rPr>
          <w:rFonts w:eastAsiaTheme="minorHAnsi" w:cstheme="minorBidi"/>
          <w:szCs w:val="22"/>
          <w:lang w:bidi="ar-SA"/>
        </w:rPr>
        <w:tab/>
        <w:t>triiodothyronine</w:t>
      </w:r>
    </w:p>
    <w:p w14:paraId="43AE8469" w14:textId="77777777" w:rsidR="00AB4917" w:rsidRPr="00276C1C" w:rsidRDefault="00AB4917" w:rsidP="00A111E9">
      <w:pPr>
        <w:widowControl/>
        <w:ind w:left="1134" w:hanging="1134"/>
        <w:rPr>
          <w:rFonts w:eastAsiaTheme="minorHAnsi" w:cstheme="minorBidi"/>
          <w:szCs w:val="22"/>
          <w:lang w:bidi="ar-SA"/>
        </w:rPr>
      </w:pPr>
      <w:r w:rsidRPr="00276C1C">
        <w:rPr>
          <w:rFonts w:eastAsiaTheme="minorHAnsi" w:cstheme="minorBidi"/>
          <w:szCs w:val="22"/>
          <w:lang w:bidi="ar-SA"/>
        </w:rPr>
        <w:t>T4</w:t>
      </w:r>
      <w:r w:rsidRPr="00276C1C">
        <w:rPr>
          <w:rFonts w:eastAsiaTheme="minorHAnsi" w:cstheme="minorBidi"/>
          <w:szCs w:val="22"/>
          <w:lang w:bidi="ar-SA"/>
        </w:rPr>
        <w:tab/>
        <w:t>thyroxine</w:t>
      </w:r>
    </w:p>
    <w:p w14:paraId="2B740B7A" w14:textId="77777777" w:rsidR="00AB4917" w:rsidRPr="00276C1C" w:rsidRDefault="00AB4917" w:rsidP="00A111E9">
      <w:pPr>
        <w:widowControl/>
        <w:ind w:left="1134" w:hanging="1134"/>
        <w:rPr>
          <w:rFonts w:eastAsiaTheme="minorHAnsi" w:cstheme="minorBidi"/>
          <w:szCs w:val="22"/>
          <w:lang w:bidi="ar-SA"/>
        </w:rPr>
      </w:pPr>
      <w:r w:rsidRPr="00276C1C">
        <w:rPr>
          <w:rFonts w:eastAsiaTheme="minorHAnsi" w:cstheme="minorBidi"/>
          <w:szCs w:val="22"/>
          <w:lang w:bidi="ar-SA"/>
        </w:rPr>
        <w:t>TDI</w:t>
      </w:r>
      <w:r w:rsidRPr="00276C1C">
        <w:rPr>
          <w:rFonts w:eastAsiaTheme="minorHAnsi" w:cstheme="minorBidi"/>
          <w:szCs w:val="22"/>
          <w:lang w:bidi="ar-SA"/>
        </w:rPr>
        <w:tab/>
        <w:t>tolerable daily intake</w:t>
      </w:r>
    </w:p>
    <w:p w14:paraId="62576CB6" w14:textId="77777777" w:rsidR="00B5419D" w:rsidRDefault="00B5419D" w:rsidP="00B5419D">
      <w:pPr>
        <w:widowControl/>
        <w:rPr>
          <w:rFonts w:eastAsiaTheme="minorHAnsi" w:cstheme="minorBidi"/>
          <w:szCs w:val="22"/>
          <w:lang w:bidi="ar-SA"/>
        </w:rPr>
      </w:pPr>
      <w:r>
        <w:rPr>
          <w:rFonts w:eastAsiaTheme="minorHAnsi" w:cstheme="minorBidi"/>
          <w:szCs w:val="22"/>
          <w:lang w:bidi="ar-SA"/>
        </w:rPr>
        <w:t>TL/CD</w:t>
      </w:r>
      <w:r>
        <w:rPr>
          <w:rFonts w:eastAsiaTheme="minorHAnsi" w:cstheme="minorBidi"/>
          <w:szCs w:val="22"/>
          <w:lang w:bidi="ar-SA"/>
        </w:rPr>
        <w:tab/>
        <w:t>treated litter/control dam</w:t>
      </w:r>
    </w:p>
    <w:p w14:paraId="4EF27582" w14:textId="77777777" w:rsidR="00B5419D" w:rsidRPr="00276C1C" w:rsidRDefault="00B5419D" w:rsidP="00B5419D">
      <w:pPr>
        <w:widowControl/>
        <w:rPr>
          <w:rFonts w:eastAsiaTheme="minorHAnsi" w:cstheme="minorBidi"/>
          <w:szCs w:val="22"/>
          <w:lang w:bidi="ar-SA"/>
        </w:rPr>
      </w:pPr>
      <w:r>
        <w:rPr>
          <w:rFonts w:eastAsiaTheme="minorHAnsi" w:cstheme="minorBidi"/>
          <w:szCs w:val="22"/>
          <w:lang w:bidi="ar-SA"/>
        </w:rPr>
        <w:t>TL/TD</w:t>
      </w:r>
      <w:r>
        <w:rPr>
          <w:rFonts w:eastAsiaTheme="minorHAnsi" w:cstheme="minorBidi"/>
          <w:szCs w:val="22"/>
          <w:lang w:bidi="ar-SA"/>
        </w:rPr>
        <w:tab/>
        <w:t>treated litter/control dam</w:t>
      </w:r>
    </w:p>
    <w:p w14:paraId="122E84A4" w14:textId="718CF428" w:rsidR="00AB4917" w:rsidRPr="00276C1C" w:rsidRDefault="00AB4917" w:rsidP="00A111E9">
      <w:pPr>
        <w:widowControl/>
        <w:ind w:left="1134" w:hanging="1134"/>
        <w:rPr>
          <w:rFonts w:eastAsiaTheme="minorHAnsi" w:cstheme="minorBidi"/>
          <w:szCs w:val="22"/>
          <w:lang w:bidi="ar-SA"/>
        </w:rPr>
      </w:pPr>
      <w:r w:rsidRPr="00276C1C">
        <w:rPr>
          <w:rFonts w:eastAsiaTheme="minorHAnsi" w:cstheme="minorBidi"/>
          <w:szCs w:val="22"/>
          <w:lang w:bidi="ar-SA"/>
        </w:rPr>
        <w:t>T</w:t>
      </w:r>
      <w:r w:rsidRPr="00276C1C">
        <w:rPr>
          <w:rFonts w:eastAsiaTheme="minorHAnsi" w:cstheme="minorBidi"/>
          <w:szCs w:val="22"/>
          <w:vertAlign w:val="subscript"/>
          <w:lang w:bidi="ar-SA"/>
        </w:rPr>
        <w:t>max</w:t>
      </w:r>
      <w:r w:rsidRPr="00276C1C">
        <w:rPr>
          <w:rFonts w:eastAsiaTheme="minorHAnsi" w:cstheme="minorBidi"/>
          <w:szCs w:val="22"/>
          <w:vertAlign w:val="superscript"/>
          <w:lang w:bidi="ar-SA"/>
        </w:rPr>
        <w:tab/>
      </w:r>
      <w:r w:rsidRPr="00276C1C">
        <w:rPr>
          <w:rFonts w:eastAsiaTheme="minorHAnsi" w:cstheme="minorBidi"/>
          <w:szCs w:val="22"/>
          <w:lang w:bidi="ar-SA"/>
        </w:rPr>
        <w:t>time to reach</w:t>
      </w:r>
      <w:r w:rsidRPr="00276C1C">
        <w:rPr>
          <w:rFonts w:eastAsiaTheme="minorHAnsi" w:cstheme="minorBidi"/>
          <w:szCs w:val="22"/>
          <w:vertAlign w:val="superscript"/>
          <w:lang w:bidi="ar-SA"/>
        </w:rPr>
        <w:t xml:space="preserve"> </w:t>
      </w:r>
      <w:r w:rsidRPr="00276C1C">
        <w:rPr>
          <w:rFonts w:eastAsiaTheme="minorHAnsi" w:cstheme="minorBidi"/>
          <w:szCs w:val="22"/>
          <w:lang w:bidi="ar-SA"/>
        </w:rPr>
        <w:t>C</w:t>
      </w:r>
      <w:r w:rsidRPr="00276C1C">
        <w:rPr>
          <w:rFonts w:eastAsiaTheme="minorHAnsi" w:cstheme="minorBidi"/>
          <w:szCs w:val="22"/>
          <w:vertAlign w:val="subscript"/>
          <w:lang w:bidi="ar-SA"/>
        </w:rPr>
        <w:t>max</w:t>
      </w:r>
    </w:p>
    <w:p w14:paraId="1DA34180" w14:textId="77777777" w:rsidR="00AB4917" w:rsidRPr="00276C1C" w:rsidRDefault="00AB4917" w:rsidP="00A111E9">
      <w:pPr>
        <w:widowControl/>
        <w:ind w:left="1134" w:hanging="1134"/>
        <w:rPr>
          <w:rFonts w:eastAsiaTheme="minorHAnsi" w:cstheme="minorBidi"/>
          <w:szCs w:val="22"/>
          <w:lang w:bidi="ar-SA"/>
        </w:rPr>
      </w:pPr>
      <w:r w:rsidRPr="00276C1C">
        <w:rPr>
          <w:rFonts w:eastAsiaTheme="minorHAnsi" w:cstheme="minorBidi"/>
          <w:szCs w:val="22"/>
          <w:lang w:bidi="ar-SA"/>
        </w:rPr>
        <w:t>TNP</w:t>
      </w:r>
      <w:r w:rsidRPr="00276C1C">
        <w:rPr>
          <w:rFonts w:eastAsiaTheme="minorHAnsi" w:cstheme="minorBidi"/>
          <w:szCs w:val="22"/>
          <w:lang w:bidi="ar-SA"/>
        </w:rPr>
        <w:tab/>
        <w:t>trinitrophenyl</w:t>
      </w:r>
    </w:p>
    <w:p w14:paraId="1B148EA3" w14:textId="77777777" w:rsidR="00AB4917" w:rsidRPr="00276C1C" w:rsidRDefault="00AB4917" w:rsidP="00A111E9">
      <w:pPr>
        <w:widowControl/>
        <w:ind w:left="1134" w:hanging="1134"/>
        <w:rPr>
          <w:rFonts w:eastAsiaTheme="minorHAnsi" w:cstheme="minorBidi"/>
          <w:szCs w:val="22"/>
          <w:lang w:bidi="ar-SA"/>
        </w:rPr>
      </w:pPr>
      <w:r w:rsidRPr="00276C1C">
        <w:rPr>
          <w:rFonts w:eastAsiaTheme="minorHAnsi" w:cstheme="minorBidi"/>
          <w:szCs w:val="22"/>
          <w:lang w:bidi="ar-SA"/>
        </w:rPr>
        <w:t>TSH</w:t>
      </w:r>
      <w:r w:rsidRPr="00276C1C">
        <w:rPr>
          <w:rFonts w:eastAsiaTheme="minorHAnsi" w:cstheme="minorBidi"/>
          <w:szCs w:val="22"/>
          <w:lang w:bidi="ar-SA"/>
        </w:rPr>
        <w:tab/>
        <w:t>thyroid stimulating hormone</w:t>
      </w:r>
    </w:p>
    <w:p w14:paraId="7EB0D376" w14:textId="77777777" w:rsidR="00AB4917" w:rsidRPr="00276C1C" w:rsidRDefault="00AB4917" w:rsidP="00A111E9">
      <w:pPr>
        <w:widowControl/>
        <w:ind w:left="1134" w:hanging="1134"/>
        <w:rPr>
          <w:rFonts w:eastAsiaTheme="minorHAnsi" w:cstheme="minorBidi"/>
          <w:szCs w:val="22"/>
          <w:lang w:bidi="ar-SA"/>
        </w:rPr>
      </w:pPr>
      <w:r w:rsidRPr="00276C1C">
        <w:rPr>
          <w:rFonts w:eastAsiaTheme="minorHAnsi" w:cstheme="minorBidi"/>
          <w:szCs w:val="22"/>
          <w:lang w:bidi="ar-SA"/>
        </w:rPr>
        <w:t>TTR</w:t>
      </w:r>
      <w:r w:rsidRPr="00276C1C">
        <w:rPr>
          <w:rFonts w:eastAsiaTheme="minorHAnsi" w:cstheme="minorBidi"/>
          <w:szCs w:val="22"/>
          <w:lang w:bidi="ar-SA"/>
        </w:rPr>
        <w:tab/>
        <w:t>t</w:t>
      </w:r>
      <w:r w:rsidRPr="00276C1C">
        <w:rPr>
          <w:rFonts w:eastAsiaTheme="minorHAnsi" w:cstheme="minorBidi"/>
          <w:szCs w:val="22"/>
          <w:lang w:eastAsia="en-AU" w:bidi="ar-SA"/>
        </w:rPr>
        <w:t>hyroid hormone transport protein, transthyretin</w:t>
      </w:r>
    </w:p>
    <w:p w14:paraId="60AD444F" w14:textId="77777777" w:rsidR="00AB4917" w:rsidRDefault="00AB4917" w:rsidP="00A111E9">
      <w:pPr>
        <w:widowControl/>
        <w:ind w:left="1134" w:hanging="1134"/>
        <w:rPr>
          <w:rFonts w:eastAsiaTheme="minorHAnsi" w:cstheme="minorBidi"/>
          <w:szCs w:val="22"/>
          <w:lang w:bidi="ar-SA"/>
        </w:rPr>
      </w:pPr>
      <w:r w:rsidRPr="00276C1C">
        <w:rPr>
          <w:rFonts w:eastAsiaTheme="minorHAnsi" w:cstheme="minorBidi"/>
          <w:szCs w:val="22"/>
          <w:lang w:bidi="ar-SA"/>
        </w:rPr>
        <w:t>UF</w:t>
      </w:r>
      <w:r w:rsidRPr="00276C1C">
        <w:rPr>
          <w:rFonts w:eastAsiaTheme="minorHAnsi" w:cstheme="minorBidi"/>
          <w:szCs w:val="22"/>
          <w:lang w:bidi="ar-SA"/>
        </w:rPr>
        <w:tab/>
        <w:t>uncertainty factor</w:t>
      </w:r>
    </w:p>
    <w:p w14:paraId="3C695A39" w14:textId="56B1B33A" w:rsidR="00492125" w:rsidRPr="00276C1C" w:rsidRDefault="00492125" w:rsidP="00A111E9">
      <w:pPr>
        <w:widowControl/>
        <w:ind w:left="1134" w:hanging="1134"/>
        <w:rPr>
          <w:rFonts w:eastAsiaTheme="minorHAnsi" w:cstheme="minorBidi"/>
          <w:szCs w:val="22"/>
          <w:lang w:bidi="ar-SA"/>
        </w:rPr>
      </w:pPr>
      <w:r>
        <w:rPr>
          <w:rFonts w:eastAsiaTheme="minorHAnsi" w:cs="Arial"/>
          <w:szCs w:val="22"/>
          <w:lang w:bidi="ar-SA"/>
        </w:rPr>
        <w:t>µ</w:t>
      </w:r>
      <w:r>
        <w:rPr>
          <w:rFonts w:eastAsiaTheme="minorHAnsi" w:cstheme="minorBidi"/>
          <w:szCs w:val="22"/>
          <w:lang w:bidi="ar-SA"/>
        </w:rPr>
        <w:t>g</w:t>
      </w:r>
      <w:r>
        <w:rPr>
          <w:rFonts w:eastAsiaTheme="minorHAnsi" w:cstheme="minorBidi"/>
          <w:szCs w:val="22"/>
          <w:lang w:bidi="ar-SA"/>
        </w:rPr>
        <w:tab/>
        <w:t>microgram</w:t>
      </w:r>
    </w:p>
    <w:p w14:paraId="722280DC" w14:textId="0ED01C33" w:rsidR="00AB4917" w:rsidRPr="00276C1C" w:rsidRDefault="00476BF7" w:rsidP="00A111E9">
      <w:pPr>
        <w:widowControl/>
        <w:ind w:left="1134" w:hanging="1134"/>
        <w:rPr>
          <w:rFonts w:eastAsiaTheme="minorHAnsi" w:cstheme="minorBidi"/>
          <w:szCs w:val="22"/>
          <w:lang w:bidi="ar-SA"/>
        </w:rPr>
      </w:pPr>
      <w:r>
        <w:rPr>
          <w:rFonts w:eastAsiaTheme="minorHAnsi" w:cstheme="minorBidi"/>
          <w:szCs w:val="22"/>
          <w:lang w:bidi="ar-SA"/>
        </w:rPr>
        <w:lastRenderedPageBreak/>
        <w:t>UK</w:t>
      </w:r>
      <w:r w:rsidR="00AB4917" w:rsidRPr="00276C1C">
        <w:rPr>
          <w:rFonts w:eastAsiaTheme="minorHAnsi" w:cstheme="minorBidi"/>
          <w:szCs w:val="22"/>
          <w:lang w:bidi="ar-SA"/>
        </w:rPr>
        <w:t>COC</w:t>
      </w:r>
      <w:r w:rsidR="00AB4917" w:rsidRPr="00276C1C">
        <w:rPr>
          <w:rFonts w:eastAsiaTheme="minorHAnsi" w:cstheme="minorBidi"/>
          <w:szCs w:val="22"/>
          <w:lang w:bidi="ar-SA"/>
        </w:rPr>
        <w:tab/>
        <w:t>United Kingdom Committee on Carcinogenicity of Chemicals in Food, Consumer Products and the Environment</w:t>
      </w:r>
    </w:p>
    <w:p w14:paraId="30B662EC" w14:textId="77777777" w:rsidR="00AB4917" w:rsidRPr="00276C1C" w:rsidRDefault="00AB4917" w:rsidP="00A111E9">
      <w:pPr>
        <w:widowControl/>
        <w:ind w:left="1134" w:hanging="1134"/>
        <w:rPr>
          <w:rFonts w:eastAsiaTheme="minorHAnsi" w:cstheme="minorBidi"/>
          <w:szCs w:val="22"/>
          <w:lang w:bidi="ar-SA"/>
        </w:rPr>
      </w:pPr>
      <w:r w:rsidRPr="00276C1C">
        <w:rPr>
          <w:rFonts w:eastAsiaTheme="minorHAnsi" w:cstheme="minorBidi"/>
          <w:szCs w:val="22"/>
          <w:lang w:bidi="ar-SA"/>
        </w:rPr>
        <w:t>UKCOM</w:t>
      </w:r>
      <w:r w:rsidRPr="00276C1C">
        <w:rPr>
          <w:rFonts w:eastAsiaTheme="minorHAnsi" w:cstheme="minorBidi"/>
          <w:szCs w:val="22"/>
          <w:lang w:bidi="ar-SA"/>
        </w:rPr>
        <w:tab/>
        <w:t>United Kingdom Committee on Mutagenicity of Chemicals in Food, Consumer Products and the Environment</w:t>
      </w:r>
    </w:p>
    <w:p w14:paraId="5FFDB9E5" w14:textId="77777777" w:rsidR="00AB4917" w:rsidRPr="00276C1C" w:rsidRDefault="00AB4917" w:rsidP="00A111E9">
      <w:pPr>
        <w:widowControl/>
        <w:ind w:left="1134" w:hanging="1134"/>
        <w:rPr>
          <w:rFonts w:eastAsiaTheme="minorHAnsi" w:cstheme="minorBidi"/>
          <w:szCs w:val="22"/>
          <w:lang w:bidi="ar-SA"/>
        </w:rPr>
      </w:pPr>
      <w:r w:rsidRPr="00276C1C">
        <w:rPr>
          <w:rFonts w:eastAsiaTheme="minorHAnsi" w:cstheme="minorBidi"/>
          <w:szCs w:val="22"/>
          <w:lang w:bidi="ar-SA"/>
        </w:rPr>
        <w:t>UKCOT</w:t>
      </w:r>
      <w:r w:rsidRPr="00276C1C">
        <w:rPr>
          <w:rFonts w:eastAsiaTheme="minorHAnsi" w:cstheme="minorBidi"/>
          <w:szCs w:val="22"/>
          <w:lang w:bidi="ar-SA"/>
        </w:rPr>
        <w:tab/>
        <w:t>United Kingdom Committee on Toxicity of Chemicals in Food, Consumer Products and the Environment</w:t>
      </w:r>
    </w:p>
    <w:p w14:paraId="23D16EF1" w14:textId="77777777" w:rsidR="00AB4917" w:rsidRPr="00276C1C" w:rsidRDefault="00AB4917" w:rsidP="00A111E9">
      <w:pPr>
        <w:widowControl/>
        <w:ind w:left="1134" w:hanging="1134"/>
        <w:rPr>
          <w:rFonts w:eastAsiaTheme="minorHAnsi" w:cstheme="minorBidi"/>
          <w:szCs w:val="22"/>
          <w:lang w:bidi="ar-SA"/>
        </w:rPr>
      </w:pPr>
      <w:r w:rsidRPr="00276C1C">
        <w:rPr>
          <w:rFonts w:eastAsiaTheme="minorHAnsi" w:cstheme="minorBidi"/>
          <w:szCs w:val="22"/>
          <w:lang w:bidi="ar-SA"/>
        </w:rPr>
        <w:t>UN</w:t>
      </w:r>
      <w:r w:rsidRPr="00276C1C">
        <w:rPr>
          <w:rFonts w:eastAsiaTheme="minorHAnsi" w:cstheme="minorBidi"/>
          <w:szCs w:val="22"/>
          <w:lang w:bidi="ar-SA"/>
        </w:rPr>
        <w:tab/>
        <w:t>urea nitrogen</w:t>
      </w:r>
    </w:p>
    <w:p w14:paraId="3499EAD8" w14:textId="77777777" w:rsidR="00AB4917" w:rsidRDefault="00AB4917" w:rsidP="00A111E9">
      <w:pPr>
        <w:widowControl/>
        <w:rPr>
          <w:rFonts w:eastAsiaTheme="minorHAnsi" w:cstheme="minorBidi"/>
          <w:szCs w:val="22"/>
          <w:lang w:bidi="ar-SA"/>
        </w:rPr>
      </w:pPr>
      <w:r w:rsidRPr="00276C1C">
        <w:rPr>
          <w:rFonts w:eastAsiaTheme="minorHAnsi" w:cstheme="minorBidi"/>
          <w:szCs w:val="22"/>
          <w:lang w:bidi="ar-SA"/>
        </w:rPr>
        <w:t>US EPA</w:t>
      </w:r>
      <w:r w:rsidRPr="00276C1C">
        <w:rPr>
          <w:rFonts w:eastAsiaTheme="minorHAnsi" w:cstheme="minorBidi"/>
          <w:szCs w:val="22"/>
          <w:lang w:bidi="ar-SA"/>
        </w:rPr>
        <w:tab/>
        <w:t>United States Environmental Protection Agency</w:t>
      </w:r>
    </w:p>
    <w:p w14:paraId="50904613" w14:textId="4A7F8CA1" w:rsidR="00E839E2" w:rsidRPr="00276C1C" w:rsidRDefault="00E839E2" w:rsidP="00A111E9">
      <w:pPr>
        <w:widowControl/>
        <w:rPr>
          <w:rFonts w:eastAsiaTheme="minorHAnsi" w:cstheme="minorBidi"/>
          <w:szCs w:val="22"/>
          <w:lang w:bidi="ar-SA"/>
        </w:rPr>
      </w:pPr>
      <w:r>
        <w:rPr>
          <w:rFonts w:eastAsiaTheme="minorHAnsi" w:cstheme="minorBidi"/>
          <w:szCs w:val="22"/>
          <w:lang w:bidi="ar-SA"/>
        </w:rPr>
        <w:t>US NTP</w:t>
      </w:r>
      <w:r>
        <w:rPr>
          <w:rFonts w:eastAsiaTheme="minorHAnsi" w:cstheme="minorBidi"/>
          <w:szCs w:val="22"/>
          <w:lang w:bidi="ar-SA"/>
        </w:rPr>
        <w:tab/>
        <w:t>United States National Toxicology Programme</w:t>
      </w:r>
    </w:p>
    <w:p w14:paraId="0FD32B66" w14:textId="77777777"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bidi="ar-SA"/>
        </w:rPr>
        <w:t>Vd</w:t>
      </w:r>
      <w:r w:rsidRPr="00276C1C">
        <w:rPr>
          <w:rFonts w:eastAsiaTheme="minorHAnsi" w:cstheme="minorBidi"/>
          <w:szCs w:val="22"/>
          <w:lang w:bidi="ar-SA"/>
        </w:rPr>
        <w:tab/>
      </w:r>
      <w:r w:rsidRPr="00276C1C">
        <w:rPr>
          <w:rFonts w:eastAsiaTheme="minorHAnsi" w:cstheme="minorBidi"/>
          <w:szCs w:val="22"/>
          <w:lang w:bidi="ar-SA"/>
        </w:rPr>
        <w:tab/>
        <w:t>volume of distribution</w:t>
      </w:r>
    </w:p>
    <w:p w14:paraId="3334B41C" w14:textId="03FBA8CE"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bidi="ar-SA"/>
        </w:rPr>
        <w:t>Vd</w:t>
      </w:r>
      <w:r w:rsidRPr="00276C1C">
        <w:rPr>
          <w:rFonts w:eastAsiaTheme="minorHAnsi" w:cstheme="minorBidi"/>
          <w:szCs w:val="22"/>
          <w:vertAlign w:val="subscript"/>
          <w:lang w:bidi="ar-SA"/>
        </w:rPr>
        <w:t>ss</w:t>
      </w:r>
      <w:r w:rsidRPr="00276C1C">
        <w:rPr>
          <w:rFonts w:eastAsiaTheme="minorHAnsi" w:cstheme="minorBidi"/>
          <w:szCs w:val="22"/>
          <w:lang w:bidi="ar-SA"/>
        </w:rPr>
        <w:tab/>
      </w:r>
      <w:r w:rsidRPr="00276C1C">
        <w:rPr>
          <w:rFonts w:eastAsiaTheme="minorHAnsi" w:cstheme="minorBidi"/>
          <w:szCs w:val="22"/>
          <w:lang w:bidi="ar-SA"/>
        </w:rPr>
        <w:tab/>
        <w:t>volume of distribution at steady</w:t>
      </w:r>
      <w:r w:rsidR="00032CF6">
        <w:rPr>
          <w:rFonts w:eastAsiaTheme="minorHAnsi" w:cstheme="minorBidi"/>
          <w:szCs w:val="22"/>
          <w:lang w:bidi="ar-SA"/>
        </w:rPr>
        <w:t>-</w:t>
      </w:r>
      <w:r w:rsidRPr="00276C1C">
        <w:rPr>
          <w:rFonts w:eastAsiaTheme="minorHAnsi" w:cstheme="minorBidi"/>
          <w:szCs w:val="22"/>
          <w:lang w:bidi="ar-SA"/>
        </w:rPr>
        <w:t>state</w:t>
      </w:r>
    </w:p>
    <w:p w14:paraId="07EE57AA" w14:textId="77777777" w:rsidR="00AB4917" w:rsidRPr="00276C1C" w:rsidRDefault="00AB4917" w:rsidP="00A111E9">
      <w:pPr>
        <w:widowControl/>
        <w:rPr>
          <w:rFonts w:eastAsiaTheme="minorHAnsi" w:cstheme="minorBidi"/>
          <w:szCs w:val="22"/>
          <w:lang w:bidi="ar-SA"/>
        </w:rPr>
      </w:pPr>
      <w:r w:rsidRPr="00276C1C">
        <w:rPr>
          <w:rFonts w:eastAsiaTheme="minorHAnsi" w:cstheme="minorBidi"/>
          <w:szCs w:val="22"/>
          <w:lang w:bidi="ar-SA"/>
        </w:rPr>
        <w:t>VLDL</w:t>
      </w:r>
      <w:r w:rsidRPr="00276C1C">
        <w:rPr>
          <w:rFonts w:eastAsiaTheme="minorHAnsi" w:cstheme="minorBidi"/>
          <w:szCs w:val="22"/>
          <w:lang w:bidi="ar-SA"/>
        </w:rPr>
        <w:tab/>
      </w:r>
      <w:r w:rsidRPr="00276C1C">
        <w:rPr>
          <w:rFonts w:eastAsiaTheme="minorHAnsi" w:cstheme="minorBidi"/>
          <w:szCs w:val="22"/>
          <w:lang w:bidi="ar-SA"/>
        </w:rPr>
        <w:tab/>
        <w:t>very low density lipoprotein</w:t>
      </w:r>
    </w:p>
    <w:p w14:paraId="0BEEF1C3" w14:textId="6796996E" w:rsidR="00AB4917" w:rsidRPr="00E65CE2" w:rsidRDefault="00AB4917" w:rsidP="004264B6">
      <w:pPr>
        <w:pStyle w:val="Heading4"/>
      </w:pPr>
      <w:r w:rsidRPr="00E65CE2">
        <w:t>L</w:t>
      </w:r>
      <w:r w:rsidR="000328C0">
        <w:t>i</w:t>
      </w:r>
      <w:r w:rsidRPr="00E65CE2">
        <w:t>st of Abbreviations for Appendi</w:t>
      </w:r>
      <w:r w:rsidR="0016265B">
        <w:t>ces</w:t>
      </w:r>
      <w:r w:rsidRPr="00E65CE2">
        <w:t xml:space="preserve"> 1</w:t>
      </w:r>
      <w:r w:rsidR="0016265B">
        <w:t xml:space="preserve"> and 2</w:t>
      </w:r>
    </w:p>
    <w:p w14:paraId="4A92EB30" w14:textId="77777777" w:rsidR="00AB4917" w:rsidRPr="00F8101A" w:rsidRDefault="00AB4917" w:rsidP="00A111E9">
      <w:pPr>
        <w:widowControl/>
        <w:ind w:left="1134" w:hanging="1134"/>
        <w:rPr>
          <w:rFonts w:eastAsiaTheme="minorHAnsi" w:cs="Arial"/>
          <w:szCs w:val="22"/>
          <w:lang w:bidi="ar-SA"/>
        </w:rPr>
      </w:pPr>
      <w:r w:rsidRPr="00F8101A">
        <w:rPr>
          <w:rFonts w:eastAsiaTheme="minorHAnsi" w:cs="Arial"/>
          <w:szCs w:val="22"/>
          <w:lang w:bidi="ar-SA"/>
        </w:rPr>
        <w:t>C8</w:t>
      </w:r>
      <w:r w:rsidRPr="00F8101A">
        <w:rPr>
          <w:rFonts w:eastAsiaTheme="minorHAnsi" w:cs="Arial"/>
          <w:szCs w:val="22"/>
          <w:lang w:bidi="ar-SA"/>
        </w:rPr>
        <w:tab/>
        <w:t>refers to a group of studies conducted in water districts in Ohio and West Virginia, US, around the DuPont Washington Works facility</w:t>
      </w:r>
    </w:p>
    <w:p w14:paraId="46A9C2A5" w14:textId="77777777" w:rsidR="00AB4917" w:rsidRPr="00F8101A" w:rsidRDefault="00AB4917" w:rsidP="00A111E9">
      <w:pPr>
        <w:widowControl/>
        <w:ind w:left="1134" w:hanging="1134"/>
        <w:rPr>
          <w:rFonts w:eastAsiaTheme="minorHAnsi" w:cs="Arial"/>
          <w:szCs w:val="22"/>
          <w:lang w:bidi="ar-SA"/>
        </w:rPr>
      </w:pPr>
      <w:r w:rsidRPr="00F8101A">
        <w:rPr>
          <w:rFonts w:eastAsiaTheme="minorHAnsi" w:cs="Arial"/>
          <w:szCs w:val="22"/>
          <w:lang w:bidi="ar-SA"/>
        </w:rPr>
        <w:t>EFSA</w:t>
      </w:r>
      <w:r w:rsidRPr="00F8101A">
        <w:rPr>
          <w:rFonts w:eastAsiaTheme="minorHAnsi" w:cs="Arial"/>
          <w:szCs w:val="22"/>
          <w:lang w:bidi="ar-SA"/>
        </w:rPr>
        <w:tab/>
        <w:t>European Food Safety Authority</w:t>
      </w:r>
    </w:p>
    <w:p w14:paraId="799D0204" w14:textId="77777777" w:rsidR="00AB4917" w:rsidRPr="00F8101A" w:rsidRDefault="00AB4917" w:rsidP="00A111E9">
      <w:pPr>
        <w:widowControl/>
        <w:ind w:left="1134" w:hanging="1134"/>
        <w:rPr>
          <w:rFonts w:eastAsiaTheme="minorHAnsi" w:cs="Arial"/>
          <w:szCs w:val="22"/>
          <w:lang w:bidi="ar-SA"/>
        </w:rPr>
      </w:pPr>
      <w:r w:rsidRPr="00F8101A">
        <w:rPr>
          <w:rFonts w:eastAsiaTheme="minorHAnsi" w:cs="Arial"/>
          <w:szCs w:val="22"/>
          <w:lang w:bidi="ar-SA"/>
        </w:rPr>
        <w:t>EPA</w:t>
      </w:r>
      <w:r w:rsidRPr="00F8101A">
        <w:rPr>
          <w:rFonts w:eastAsiaTheme="minorHAnsi" w:cs="Arial"/>
          <w:szCs w:val="22"/>
          <w:lang w:bidi="ar-SA"/>
        </w:rPr>
        <w:tab/>
        <w:t>US Environmental Protection Agency</w:t>
      </w:r>
    </w:p>
    <w:p w14:paraId="17634319" w14:textId="77777777" w:rsidR="00AB4917" w:rsidRPr="00F8101A" w:rsidRDefault="00AB4917" w:rsidP="00A111E9">
      <w:pPr>
        <w:widowControl/>
        <w:ind w:left="1134" w:hanging="1134"/>
        <w:rPr>
          <w:rFonts w:eastAsiaTheme="minorHAnsi" w:cs="Arial"/>
          <w:szCs w:val="22"/>
          <w:lang w:bidi="ar-SA"/>
        </w:rPr>
      </w:pPr>
      <w:r w:rsidRPr="00F8101A">
        <w:rPr>
          <w:rFonts w:eastAsiaTheme="minorHAnsi" w:cs="Arial"/>
          <w:szCs w:val="22"/>
          <w:lang w:bidi="ar-SA"/>
        </w:rPr>
        <w:t>FSANZ</w:t>
      </w:r>
      <w:r w:rsidRPr="00F8101A">
        <w:rPr>
          <w:rFonts w:eastAsiaTheme="minorHAnsi" w:cs="Arial"/>
          <w:szCs w:val="22"/>
          <w:lang w:bidi="ar-SA"/>
        </w:rPr>
        <w:tab/>
        <w:t>Food Standards Australia New Zealand</w:t>
      </w:r>
    </w:p>
    <w:p w14:paraId="1B738A34" w14:textId="77777777" w:rsidR="00AB4917" w:rsidRPr="00F8101A" w:rsidRDefault="00AB4917" w:rsidP="00A111E9">
      <w:pPr>
        <w:widowControl/>
        <w:rPr>
          <w:rFonts w:eastAsiaTheme="minorHAnsi" w:cs="Arial"/>
          <w:szCs w:val="22"/>
          <w:lang w:bidi="ar-SA"/>
        </w:rPr>
      </w:pPr>
      <w:r w:rsidRPr="00F8101A">
        <w:rPr>
          <w:rFonts w:eastAsiaTheme="minorHAnsi" w:cs="Arial"/>
          <w:szCs w:val="22"/>
          <w:lang w:bidi="ar-SA"/>
        </w:rPr>
        <w:t>HDL-C</w:t>
      </w:r>
      <w:r w:rsidRPr="00F8101A">
        <w:rPr>
          <w:rFonts w:eastAsiaTheme="minorHAnsi" w:cs="Arial"/>
          <w:szCs w:val="22"/>
          <w:lang w:bidi="ar-SA"/>
        </w:rPr>
        <w:tab/>
        <w:t>high density lipoprotein cholesterol (in the blood)</w:t>
      </w:r>
    </w:p>
    <w:p w14:paraId="3A89A9E2" w14:textId="77777777" w:rsidR="00AB4917" w:rsidRPr="00F8101A" w:rsidRDefault="00AB4917" w:rsidP="00A111E9">
      <w:pPr>
        <w:widowControl/>
        <w:ind w:left="1134" w:hanging="1134"/>
        <w:rPr>
          <w:rFonts w:eastAsiaTheme="minorHAnsi" w:cs="Arial"/>
          <w:szCs w:val="22"/>
          <w:lang w:bidi="ar-SA"/>
        </w:rPr>
      </w:pPr>
      <w:r w:rsidRPr="00F8101A">
        <w:rPr>
          <w:rFonts w:eastAsiaTheme="minorHAnsi" w:cs="Arial"/>
          <w:szCs w:val="22"/>
          <w:lang w:bidi="ar-SA"/>
        </w:rPr>
        <w:t>HR</w:t>
      </w:r>
      <w:r w:rsidRPr="00F8101A">
        <w:rPr>
          <w:rFonts w:eastAsiaTheme="minorHAnsi" w:cs="Arial"/>
          <w:szCs w:val="22"/>
          <w:lang w:bidi="ar-SA"/>
        </w:rPr>
        <w:tab/>
        <w:t>hazard ratio</w:t>
      </w:r>
    </w:p>
    <w:p w14:paraId="7CF07732" w14:textId="36A15DFC" w:rsidR="00A90BDB" w:rsidRDefault="00A90BDB" w:rsidP="00A111E9">
      <w:pPr>
        <w:widowControl/>
        <w:ind w:left="1134" w:hanging="1134"/>
        <w:rPr>
          <w:rFonts w:eastAsiaTheme="minorHAnsi" w:cs="Arial"/>
          <w:szCs w:val="22"/>
          <w:lang w:bidi="ar-SA"/>
        </w:rPr>
      </w:pPr>
      <w:r>
        <w:rPr>
          <w:rFonts w:eastAsiaTheme="minorHAnsi" w:cs="Arial"/>
          <w:szCs w:val="22"/>
          <w:lang w:bidi="ar-SA"/>
        </w:rPr>
        <w:t>IQR</w:t>
      </w:r>
      <w:r>
        <w:rPr>
          <w:rFonts w:eastAsiaTheme="minorHAnsi" w:cs="Arial"/>
          <w:szCs w:val="22"/>
          <w:lang w:bidi="ar-SA"/>
        </w:rPr>
        <w:tab/>
        <w:t xml:space="preserve">interquartile range, the range between the </w:t>
      </w:r>
      <w:r w:rsidR="001B6877">
        <w:rPr>
          <w:rFonts w:eastAsiaTheme="minorHAnsi" w:cs="Arial"/>
          <w:szCs w:val="22"/>
          <w:lang w:bidi="ar-SA"/>
        </w:rPr>
        <w:t>twenty-fifth</w:t>
      </w:r>
      <w:r>
        <w:rPr>
          <w:rFonts w:eastAsiaTheme="minorHAnsi" w:cs="Arial"/>
          <w:szCs w:val="22"/>
          <w:lang w:bidi="ar-SA"/>
        </w:rPr>
        <w:t xml:space="preserve"> and </w:t>
      </w:r>
      <w:r w:rsidR="001B6877">
        <w:rPr>
          <w:rFonts w:eastAsiaTheme="minorHAnsi" w:cs="Arial"/>
          <w:szCs w:val="22"/>
          <w:lang w:bidi="ar-SA"/>
        </w:rPr>
        <w:t>seventy-fifth</w:t>
      </w:r>
      <w:r>
        <w:rPr>
          <w:rFonts w:eastAsiaTheme="minorHAnsi" w:cs="Arial"/>
          <w:szCs w:val="22"/>
          <w:lang w:bidi="ar-SA"/>
        </w:rPr>
        <w:t xml:space="preserve"> centiles</w:t>
      </w:r>
    </w:p>
    <w:p w14:paraId="5AF11511" w14:textId="77777777" w:rsidR="0016265B" w:rsidRPr="00F8101A" w:rsidRDefault="0016265B" w:rsidP="00A111E9">
      <w:pPr>
        <w:widowControl/>
        <w:ind w:left="1134" w:hanging="1134"/>
        <w:rPr>
          <w:rFonts w:eastAsiaTheme="minorHAnsi" w:cs="Arial"/>
          <w:szCs w:val="22"/>
          <w:lang w:bidi="ar-SA"/>
        </w:rPr>
      </w:pPr>
      <w:r w:rsidRPr="00F8101A">
        <w:rPr>
          <w:rFonts w:eastAsiaTheme="minorHAnsi" w:cs="Arial"/>
          <w:szCs w:val="22"/>
          <w:lang w:bidi="ar-SA"/>
        </w:rPr>
        <w:t>LBW</w:t>
      </w:r>
      <w:r w:rsidRPr="00F8101A">
        <w:rPr>
          <w:rFonts w:eastAsiaTheme="minorHAnsi" w:cs="Arial"/>
          <w:szCs w:val="22"/>
          <w:lang w:bidi="ar-SA"/>
        </w:rPr>
        <w:tab/>
        <w:t>low birthweight</w:t>
      </w:r>
    </w:p>
    <w:p w14:paraId="4E471765" w14:textId="77777777" w:rsidR="00AB4917" w:rsidRPr="00F8101A" w:rsidRDefault="00AB4917" w:rsidP="00A111E9">
      <w:pPr>
        <w:widowControl/>
        <w:tabs>
          <w:tab w:val="left" w:pos="1200"/>
          <w:tab w:val="left" w:pos="1245"/>
          <w:tab w:val="left" w:pos="6450"/>
        </w:tabs>
        <w:ind w:left="1134" w:hanging="1134"/>
        <w:rPr>
          <w:rFonts w:eastAsiaTheme="minorHAnsi" w:cs="Arial"/>
          <w:szCs w:val="22"/>
          <w:lang w:bidi="ar-SA"/>
        </w:rPr>
      </w:pPr>
      <w:r w:rsidRPr="00F8101A">
        <w:rPr>
          <w:rFonts w:eastAsiaTheme="minorHAnsi" w:cs="Arial"/>
          <w:szCs w:val="22"/>
          <w:lang w:bidi="ar-SA"/>
        </w:rPr>
        <w:t>LDL-C</w:t>
      </w:r>
      <w:r w:rsidRPr="00F8101A">
        <w:rPr>
          <w:rFonts w:eastAsiaTheme="minorHAnsi" w:cs="Arial"/>
          <w:szCs w:val="22"/>
          <w:lang w:bidi="ar-SA"/>
        </w:rPr>
        <w:tab/>
        <w:t>low density lipoprotein cholesterol (in the blood)</w:t>
      </w:r>
      <w:r w:rsidRPr="00F8101A">
        <w:rPr>
          <w:rFonts w:eastAsiaTheme="minorHAnsi" w:cs="Arial"/>
          <w:szCs w:val="22"/>
          <w:lang w:bidi="ar-SA"/>
        </w:rPr>
        <w:tab/>
      </w:r>
    </w:p>
    <w:p w14:paraId="185964CC" w14:textId="77777777" w:rsidR="00AB4917" w:rsidRPr="00F8101A" w:rsidRDefault="00AB4917" w:rsidP="00A111E9">
      <w:pPr>
        <w:widowControl/>
        <w:tabs>
          <w:tab w:val="left" w:pos="1200"/>
          <w:tab w:val="left" w:pos="1245"/>
          <w:tab w:val="left" w:pos="6450"/>
        </w:tabs>
        <w:ind w:left="1134" w:hanging="1134"/>
        <w:rPr>
          <w:rFonts w:eastAsiaTheme="minorHAnsi" w:cs="Arial"/>
          <w:szCs w:val="22"/>
          <w:lang w:bidi="ar-SA"/>
        </w:rPr>
      </w:pPr>
      <w:r w:rsidRPr="00F8101A">
        <w:rPr>
          <w:rFonts w:eastAsiaTheme="minorHAnsi" w:cs="Arial"/>
          <w:szCs w:val="22"/>
          <w:lang w:bidi="ar-SA"/>
        </w:rPr>
        <w:t>ln</w:t>
      </w:r>
      <w:r w:rsidRPr="00F8101A">
        <w:rPr>
          <w:rFonts w:eastAsiaTheme="minorHAnsi" w:cs="Arial"/>
          <w:szCs w:val="22"/>
          <w:lang w:bidi="ar-SA"/>
        </w:rPr>
        <w:tab/>
        <w:t>natural logarithm</w:t>
      </w:r>
    </w:p>
    <w:p w14:paraId="387C9730" w14:textId="77777777" w:rsidR="00AB4917" w:rsidRPr="00F8101A" w:rsidRDefault="00AB4917" w:rsidP="00A111E9">
      <w:pPr>
        <w:widowControl/>
        <w:ind w:left="1134" w:hanging="1134"/>
        <w:rPr>
          <w:rFonts w:eastAsiaTheme="minorHAnsi" w:cs="Arial"/>
          <w:szCs w:val="22"/>
          <w:lang w:bidi="ar-SA"/>
        </w:rPr>
      </w:pPr>
      <w:r w:rsidRPr="00F8101A">
        <w:rPr>
          <w:rFonts w:eastAsiaTheme="minorHAnsi" w:cs="Arial"/>
          <w:szCs w:val="22"/>
          <w:lang w:bidi="ar-SA"/>
        </w:rPr>
        <w:t>NHANES</w:t>
      </w:r>
      <w:r w:rsidRPr="00F8101A">
        <w:rPr>
          <w:rFonts w:eastAsiaTheme="minorHAnsi" w:cs="Arial"/>
          <w:szCs w:val="22"/>
          <w:lang w:bidi="ar-SA"/>
        </w:rPr>
        <w:tab/>
        <w:t>US National Health and Nutrition Examination Survey</w:t>
      </w:r>
    </w:p>
    <w:p w14:paraId="1EC0E54E" w14:textId="77777777" w:rsidR="00AB4917" w:rsidRPr="00F8101A" w:rsidRDefault="00AB4917" w:rsidP="00A111E9">
      <w:pPr>
        <w:widowControl/>
        <w:tabs>
          <w:tab w:val="left" w:pos="1170"/>
        </w:tabs>
        <w:ind w:left="1134" w:hanging="1134"/>
        <w:rPr>
          <w:rFonts w:eastAsiaTheme="minorHAnsi" w:cs="Arial"/>
          <w:szCs w:val="22"/>
          <w:lang w:bidi="ar-SA"/>
        </w:rPr>
      </w:pPr>
      <w:r w:rsidRPr="00F8101A">
        <w:rPr>
          <w:rFonts w:eastAsiaTheme="minorHAnsi" w:cs="Arial"/>
          <w:szCs w:val="22"/>
          <w:lang w:bidi="ar-SA"/>
        </w:rPr>
        <w:t>OR</w:t>
      </w:r>
      <w:r w:rsidRPr="00F8101A">
        <w:rPr>
          <w:rFonts w:eastAsiaTheme="minorHAnsi" w:cs="Arial"/>
          <w:szCs w:val="22"/>
          <w:lang w:bidi="ar-SA"/>
        </w:rPr>
        <w:tab/>
        <w:t>odds ratio</w:t>
      </w:r>
    </w:p>
    <w:p w14:paraId="74335F35" w14:textId="679F5A18" w:rsidR="000E74DC" w:rsidRPr="00F8101A" w:rsidRDefault="000E74DC" w:rsidP="00A111E9">
      <w:pPr>
        <w:widowControl/>
        <w:tabs>
          <w:tab w:val="left" w:pos="1170"/>
        </w:tabs>
        <w:ind w:left="1134" w:hanging="1134"/>
        <w:rPr>
          <w:rFonts w:eastAsiaTheme="minorHAnsi" w:cs="Arial"/>
          <w:szCs w:val="22"/>
          <w:lang w:bidi="ar-SA"/>
        </w:rPr>
      </w:pPr>
      <w:r>
        <w:rPr>
          <w:rFonts w:eastAsiaTheme="minorHAnsi" w:cs="Arial"/>
          <w:szCs w:val="22"/>
          <w:lang w:bidi="ar-SA"/>
        </w:rPr>
        <w:t>PECO</w:t>
      </w:r>
      <w:r>
        <w:rPr>
          <w:rFonts w:eastAsiaTheme="minorHAnsi" w:cs="Arial"/>
          <w:szCs w:val="22"/>
          <w:lang w:bidi="ar-SA"/>
        </w:rPr>
        <w:tab/>
        <w:t xml:space="preserve">population, exposure, comparator, outcome – </w:t>
      </w:r>
      <w:r w:rsidR="00457930">
        <w:rPr>
          <w:rFonts w:eastAsiaTheme="minorHAnsi" w:cs="Arial"/>
          <w:szCs w:val="22"/>
          <w:lang w:bidi="ar-SA"/>
        </w:rPr>
        <w:t>the pre</w:t>
      </w:r>
      <w:r w:rsidR="00032CF6">
        <w:rPr>
          <w:rFonts w:eastAsiaTheme="minorHAnsi" w:cs="Arial"/>
          <w:szCs w:val="22"/>
          <w:lang w:bidi="ar-SA"/>
        </w:rPr>
        <w:t>defined</w:t>
      </w:r>
      <w:r w:rsidR="00457930">
        <w:rPr>
          <w:rFonts w:eastAsiaTheme="minorHAnsi" w:cs="Arial"/>
          <w:szCs w:val="22"/>
          <w:lang w:bidi="ar-SA"/>
        </w:rPr>
        <w:t xml:space="preserve"> </w:t>
      </w:r>
      <w:r>
        <w:rPr>
          <w:rFonts w:eastAsiaTheme="minorHAnsi" w:cs="Arial"/>
          <w:szCs w:val="22"/>
          <w:lang w:bidi="ar-SA"/>
        </w:rPr>
        <w:t xml:space="preserve">essential features </w:t>
      </w:r>
      <w:r w:rsidR="00457930">
        <w:rPr>
          <w:rFonts w:eastAsiaTheme="minorHAnsi" w:cs="Arial"/>
          <w:szCs w:val="22"/>
          <w:lang w:bidi="ar-SA"/>
        </w:rPr>
        <w:t>of studies which will be included to answer a question; other paramenters (such as study design) can also be specified</w:t>
      </w:r>
    </w:p>
    <w:p w14:paraId="6929A525" w14:textId="67504AD8" w:rsidR="00AB4917" w:rsidRPr="00F8101A" w:rsidRDefault="00AB4917" w:rsidP="00A111E9">
      <w:pPr>
        <w:widowControl/>
        <w:tabs>
          <w:tab w:val="left" w:pos="1170"/>
        </w:tabs>
        <w:ind w:left="1134" w:hanging="1134"/>
        <w:rPr>
          <w:rFonts w:eastAsiaTheme="minorHAnsi" w:cs="Arial"/>
          <w:szCs w:val="22"/>
          <w:lang w:bidi="ar-SA"/>
        </w:rPr>
      </w:pPr>
      <w:r w:rsidRPr="00F8101A">
        <w:rPr>
          <w:rFonts w:eastAsiaTheme="minorHAnsi" w:cs="Arial"/>
          <w:szCs w:val="22"/>
          <w:lang w:bidi="ar-SA"/>
        </w:rPr>
        <w:t>PFAS</w:t>
      </w:r>
      <w:r w:rsidRPr="00F8101A">
        <w:rPr>
          <w:rFonts w:eastAsiaTheme="minorHAnsi" w:cs="Arial"/>
          <w:szCs w:val="22"/>
          <w:lang w:bidi="ar-SA"/>
        </w:rPr>
        <w:tab/>
        <w:t>per- and poly-fluoroalkyl substances, overall term including PFOS, PFOA</w:t>
      </w:r>
    </w:p>
    <w:p w14:paraId="7DB1650A" w14:textId="77777777" w:rsidR="00AB4917" w:rsidRPr="00F8101A" w:rsidRDefault="00AB4917" w:rsidP="00A111E9">
      <w:pPr>
        <w:widowControl/>
        <w:tabs>
          <w:tab w:val="left" w:pos="1170"/>
        </w:tabs>
        <w:ind w:left="1134" w:hanging="1134"/>
        <w:rPr>
          <w:rFonts w:eastAsia="Calibri+FPEF" w:cs="Arial"/>
          <w:szCs w:val="22"/>
          <w:lang w:bidi="ar-SA"/>
        </w:rPr>
      </w:pPr>
      <w:r w:rsidRPr="00F8101A">
        <w:rPr>
          <w:rFonts w:eastAsiaTheme="minorHAnsi" w:cs="Arial"/>
          <w:szCs w:val="22"/>
          <w:lang w:bidi="ar-SA"/>
        </w:rPr>
        <w:t>PFOA</w:t>
      </w:r>
      <w:r w:rsidRPr="00F8101A">
        <w:rPr>
          <w:rFonts w:eastAsiaTheme="minorHAnsi" w:cs="Arial"/>
          <w:szCs w:val="22"/>
          <w:lang w:bidi="ar-SA"/>
        </w:rPr>
        <w:tab/>
      </w:r>
      <w:r w:rsidRPr="00F8101A">
        <w:rPr>
          <w:rFonts w:eastAsia="Calibri+FPEF" w:cs="Arial"/>
          <w:szCs w:val="22"/>
          <w:lang w:bidi="ar-SA"/>
        </w:rPr>
        <w:t>perfluorooctanoic acid</w:t>
      </w:r>
    </w:p>
    <w:p w14:paraId="197E205B" w14:textId="77777777" w:rsidR="00AB4917" w:rsidRPr="00F8101A" w:rsidRDefault="00AB4917" w:rsidP="00A111E9">
      <w:pPr>
        <w:widowControl/>
        <w:ind w:left="1134" w:hanging="1134"/>
        <w:rPr>
          <w:rFonts w:eastAsia="Calibri+FPEF" w:cs="Arial"/>
          <w:szCs w:val="22"/>
          <w:lang w:bidi="ar-SA"/>
        </w:rPr>
      </w:pPr>
      <w:r w:rsidRPr="00F8101A">
        <w:rPr>
          <w:rFonts w:eastAsiaTheme="minorHAnsi" w:cs="Arial"/>
          <w:szCs w:val="22"/>
          <w:lang w:bidi="ar-SA"/>
        </w:rPr>
        <w:t>PFOS</w:t>
      </w:r>
      <w:r w:rsidRPr="00F8101A">
        <w:rPr>
          <w:rFonts w:eastAsiaTheme="minorHAnsi" w:cs="Arial"/>
          <w:szCs w:val="22"/>
          <w:lang w:bidi="ar-SA"/>
        </w:rPr>
        <w:tab/>
      </w:r>
      <w:r w:rsidRPr="00F8101A">
        <w:rPr>
          <w:rFonts w:eastAsia="Calibri+FPEF" w:cs="Arial"/>
          <w:szCs w:val="22"/>
          <w:lang w:bidi="ar-SA"/>
        </w:rPr>
        <w:t>perfluorooctane sulfonate</w:t>
      </w:r>
    </w:p>
    <w:p w14:paraId="16ABEFF2" w14:textId="77777777" w:rsidR="00AB4917" w:rsidRPr="00F8101A" w:rsidRDefault="00AB4917" w:rsidP="00A111E9">
      <w:pPr>
        <w:widowControl/>
        <w:ind w:left="1134" w:hanging="1134"/>
        <w:rPr>
          <w:rFonts w:eastAsiaTheme="minorHAnsi" w:cs="Arial"/>
          <w:szCs w:val="22"/>
          <w:lang w:bidi="ar-SA"/>
        </w:rPr>
      </w:pPr>
      <w:r w:rsidRPr="00F8101A">
        <w:rPr>
          <w:rFonts w:eastAsiaTheme="minorHAnsi" w:cs="Arial"/>
          <w:szCs w:val="22"/>
          <w:lang w:bidi="ar-SA"/>
        </w:rPr>
        <w:t>Total-C</w:t>
      </w:r>
      <w:r w:rsidRPr="00F8101A">
        <w:rPr>
          <w:rFonts w:eastAsiaTheme="minorHAnsi" w:cs="Arial"/>
          <w:szCs w:val="22"/>
          <w:lang w:bidi="ar-SA"/>
        </w:rPr>
        <w:tab/>
        <w:t>total cholesterol (in the blood)</w:t>
      </w:r>
    </w:p>
    <w:p w14:paraId="10512AFB" w14:textId="26DD02F8" w:rsidR="00A90BDB" w:rsidRPr="00F8101A" w:rsidRDefault="00A90BDB" w:rsidP="00A111E9">
      <w:pPr>
        <w:widowControl/>
        <w:ind w:left="1134" w:hanging="1134"/>
        <w:rPr>
          <w:rFonts w:eastAsiaTheme="minorHAnsi" w:cs="Arial"/>
          <w:szCs w:val="22"/>
          <w:lang w:bidi="ar-SA"/>
        </w:rPr>
      </w:pPr>
      <w:r>
        <w:rPr>
          <w:rFonts w:eastAsiaTheme="minorHAnsi" w:cs="Arial"/>
          <w:szCs w:val="22"/>
          <w:lang w:bidi="ar-SA"/>
        </w:rPr>
        <w:t>SD</w:t>
      </w:r>
      <w:r>
        <w:rPr>
          <w:rFonts w:eastAsiaTheme="minorHAnsi" w:cs="Arial"/>
          <w:szCs w:val="22"/>
          <w:lang w:bidi="ar-SA"/>
        </w:rPr>
        <w:tab/>
        <w:t>standard deviation</w:t>
      </w:r>
    </w:p>
    <w:p w14:paraId="5D20C2D2" w14:textId="77777777" w:rsidR="00AB4917" w:rsidRPr="00F8101A" w:rsidRDefault="00AB4917" w:rsidP="00A111E9">
      <w:pPr>
        <w:widowControl/>
        <w:ind w:left="1134" w:hanging="1134"/>
        <w:rPr>
          <w:rFonts w:eastAsiaTheme="minorHAnsi" w:cs="Arial"/>
          <w:szCs w:val="22"/>
          <w:lang w:bidi="ar-SA"/>
        </w:rPr>
      </w:pPr>
      <w:r w:rsidRPr="00F8101A">
        <w:rPr>
          <w:rFonts w:eastAsiaTheme="minorHAnsi" w:cs="Arial"/>
          <w:szCs w:val="22"/>
          <w:lang w:bidi="ar-SA"/>
        </w:rPr>
        <w:t>3M</w:t>
      </w:r>
      <w:r w:rsidRPr="00F8101A">
        <w:rPr>
          <w:rFonts w:eastAsiaTheme="minorHAnsi" w:cs="Arial"/>
          <w:szCs w:val="22"/>
          <w:lang w:bidi="ar-SA"/>
        </w:rPr>
        <w:tab/>
        <w:t>refers to the 3M company and studies conducted in any or all of its three facilities in Decatur, AL and Cottage Grove, MN in the US and Antwerp, Belgium</w:t>
      </w:r>
    </w:p>
    <w:p w14:paraId="1D915476" w14:textId="3F8232DE" w:rsidR="00AB4917" w:rsidRDefault="00AB4917" w:rsidP="00A111E9">
      <w:pPr>
        <w:widowControl/>
        <w:rPr>
          <w:b/>
          <w:szCs w:val="22"/>
        </w:rPr>
      </w:pPr>
      <w:r w:rsidRPr="00F8101A">
        <w:rPr>
          <w:rFonts w:eastAsiaTheme="minorHAnsi" w:cstheme="minorBidi"/>
          <w:szCs w:val="22"/>
          <w:lang w:bidi="ar-SA"/>
        </w:rPr>
        <w:t>95% CI</w:t>
      </w:r>
      <w:r w:rsidRPr="00F8101A">
        <w:rPr>
          <w:rFonts w:eastAsiaTheme="minorHAnsi" w:cstheme="minorBidi"/>
          <w:szCs w:val="22"/>
          <w:lang w:bidi="ar-SA"/>
        </w:rPr>
        <w:tab/>
        <w:t>95% confidence interval</w:t>
      </w:r>
      <w:r>
        <w:rPr>
          <w:b/>
          <w:szCs w:val="22"/>
        </w:rPr>
        <w:br w:type="page"/>
      </w:r>
    </w:p>
    <w:p w14:paraId="7D90D9ED" w14:textId="5204E5EE" w:rsidR="000328C0" w:rsidRPr="000328C0" w:rsidRDefault="003F04A9" w:rsidP="000328C0">
      <w:pPr>
        <w:pStyle w:val="Heading2"/>
      </w:pPr>
      <w:bookmarkStart w:id="5" w:name="_Toc468699208"/>
      <w:bookmarkStart w:id="6" w:name="_Toc468712737"/>
      <w:bookmarkStart w:id="7" w:name="_Toc468716439"/>
      <w:bookmarkStart w:id="8" w:name="_Toc468709426"/>
      <w:bookmarkStart w:id="9" w:name="_Toc468717725"/>
      <w:bookmarkStart w:id="10" w:name="_Toc468718369"/>
      <w:bookmarkStart w:id="11" w:name="_Toc468719359"/>
      <w:bookmarkStart w:id="12" w:name="_Toc468722164"/>
      <w:bookmarkStart w:id="13" w:name="_Toc468799234"/>
      <w:bookmarkStart w:id="14" w:name="_Toc468806557"/>
      <w:bookmarkStart w:id="15" w:name="_Toc468980971"/>
      <w:bookmarkStart w:id="16" w:name="_Toc482805092"/>
      <w:r>
        <w:lastRenderedPageBreak/>
        <w:t>1</w:t>
      </w:r>
      <w:r>
        <w:tab/>
      </w:r>
      <w:r w:rsidR="009A51A2" w:rsidRPr="00374738">
        <w:t>Introduction</w:t>
      </w:r>
      <w:bookmarkEnd w:id="5"/>
      <w:bookmarkEnd w:id="6"/>
      <w:bookmarkEnd w:id="7"/>
      <w:bookmarkEnd w:id="8"/>
      <w:bookmarkEnd w:id="9"/>
      <w:bookmarkEnd w:id="10"/>
      <w:bookmarkEnd w:id="11"/>
      <w:bookmarkEnd w:id="12"/>
      <w:bookmarkEnd w:id="13"/>
      <w:bookmarkEnd w:id="14"/>
      <w:bookmarkEnd w:id="15"/>
      <w:bookmarkEnd w:id="16"/>
    </w:p>
    <w:p w14:paraId="46BF03FD" w14:textId="54D920D5" w:rsidR="009A51A2" w:rsidRDefault="003F04A9" w:rsidP="005F1486">
      <w:pPr>
        <w:pStyle w:val="Heading3"/>
      </w:pPr>
      <w:bookmarkStart w:id="17" w:name="_Toc468699209"/>
      <w:bookmarkStart w:id="18" w:name="_Toc468712738"/>
      <w:bookmarkStart w:id="19" w:name="_Toc468716440"/>
      <w:bookmarkStart w:id="20" w:name="_Toc468709427"/>
      <w:bookmarkStart w:id="21" w:name="_Toc468717726"/>
      <w:bookmarkStart w:id="22" w:name="_Toc468718370"/>
      <w:bookmarkStart w:id="23" w:name="_Toc468719360"/>
      <w:bookmarkStart w:id="24" w:name="_Toc468722165"/>
      <w:bookmarkStart w:id="25" w:name="_Toc468799235"/>
      <w:bookmarkStart w:id="26" w:name="_Toc468806558"/>
      <w:bookmarkStart w:id="27" w:name="_Toc468980972"/>
      <w:bookmarkStart w:id="28" w:name="_Toc482805093"/>
      <w:r>
        <w:t>1.1</w:t>
      </w:r>
      <w:r>
        <w:tab/>
      </w:r>
      <w:r w:rsidR="00071CEE">
        <w:t>Background</w:t>
      </w:r>
      <w:bookmarkEnd w:id="17"/>
      <w:bookmarkEnd w:id="18"/>
      <w:bookmarkEnd w:id="19"/>
      <w:bookmarkEnd w:id="20"/>
      <w:bookmarkEnd w:id="21"/>
      <w:bookmarkEnd w:id="22"/>
      <w:bookmarkEnd w:id="23"/>
      <w:bookmarkEnd w:id="24"/>
      <w:bookmarkEnd w:id="25"/>
      <w:bookmarkEnd w:id="26"/>
      <w:bookmarkEnd w:id="27"/>
      <w:bookmarkEnd w:id="28"/>
    </w:p>
    <w:p w14:paraId="06506256" w14:textId="6571D2E2" w:rsidR="00071CEE" w:rsidRDefault="00071CEE" w:rsidP="00A111E9">
      <w:pPr>
        <w:rPr>
          <w:lang w:bidi="ar-SA"/>
        </w:rPr>
      </w:pPr>
      <w:r w:rsidRPr="00071CEE">
        <w:rPr>
          <w:lang w:bidi="ar-SA"/>
        </w:rPr>
        <w:t>This report has been prepared by F</w:t>
      </w:r>
      <w:r w:rsidR="00AB35CC">
        <w:rPr>
          <w:lang w:bidi="ar-SA"/>
        </w:rPr>
        <w:t>SANZ</w:t>
      </w:r>
      <w:r w:rsidRPr="00071CEE">
        <w:rPr>
          <w:lang w:bidi="ar-SA"/>
        </w:rPr>
        <w:t xml:space="preserve"> in response to a request from the Department of Health to </w:t>
      </w:r>
      <w:r>
        <w:rPr>
          <w:lang w:bidi="ar-SA"/>
        </w:rPr>
        <w:t>provide advice on appropriate</w:t>
      </w:r>
      <w:r w:rsidRPr="00071CEE">
        <w:rPr>
          <w:lang w:bidi="ar-SA"/>
        </w:rPr>
        <w:t xml:space="preserve"> health-based guidance values (HBGV) for </w:t>
      </w:r>
      <w:r w:rsidR="00BD74C8">
        <w:rPr>
          <w:lang w:bidi="ar-SA"/>
        </w:rPr>
        <w:t>perfluorooctane</w:t>
      </w:r>
      <w:r w:rsidRPr="00071CEE">
        <w:rPr>
          <w:lang w:bidi="ar-SA"/>
        </w:rPr>
        <w:t xml:space="preserve"> sulfonate (PFOS) and perfluorooctanoic acid (PFOA), and to consider whether either a group or separate HBGV can be established for perfluorohexane sulfonate (PFHxS).</w:t>
      </w:r>
      <w:r w:rsidR="00EB5EFD">
        <w:rPr>
          <w:lang w:bidi="ar-SA"/>
        </w:rPr>
        <w:t xml:space="preserve"> These chemicals belong to a </w:t>
      </w:r>
      <w:r w:rsidR="00020164" w:rsidRPr="00020164">
        <w:rPr>
          <w:lang w:bidi="ar-SA"/>
        </w:rPr>
        <w:t xml:space="preserve">group </w:t>
      </w:r>
      <w:r w:rsidR="00BB2F6F">
        <w:rPr>
          <w:lang w:bidi="ar-SA"/>
        </w:rPr>
        <w:t>of compounds collectively referred to as</w:t>
      </w:r>
      <w:r w:rsidR="00020164" w:rsidRPr="00020164">
        <w:rPr>
          <w:lang w:bidi="ar-SA"/>
        </w:rPr>
        <w:t xml:space="preserve"> per</w:t>
      </w:r>
      <w:r w:rsidR="00B5419D">
        <w:rPr>
          <w:lang w:bidi="ar-SA"/>
        </w:rPr>
        <w:t>- and poly-</w:t>
      </w:r>
      <w:r w:rsidR="00BB2F6F">
        <w:rPr>
          <w:lang w:bidi="ar-SA"/>
        </w:rPr>
        <w:t>fluoroalkylated (PFAS) substances</w:t>
      </w:r>
      <w:r w:rsidR="00AA1C43">
        <w:rPr>
          <w:lang w:bidi="ar-SA"/>
        </w:rPr>
        <w:t>.</w:t>
      </w:r>
    </w:p>
    <w:p w14:paraId="7F4EE79D" w14:textId="77777777" w:rsidR="00071CEE" w:rsidRDefault="00071CEE" w:rsidP="00A111E9">
      <w:pPr>
        <w:rPr>
          <w:lang w:bidi="ar-SA"/>
        </w:rPr>
      </w:pPr>
    </w:p>
    <w:p w14:paraId="11187131" w14:textId="4EFD3248" w:rsidR="00071CEE" w:rsidRDefault="00EB5EFD" w:rsidP="00A111E9">
      <w:pPr>
        <w:rPr>
          <w:lang w:bidi="ar-SA"/>
        </w:rPr>
      </w:pPr>
      <w:r>
        <w:rPr>
          <w:lang w:bidi="ar-SA"/>
        </w:rPr>
        <w:t xml:space="preserve">In March 2016, the Australian Health Protection Principal Committee endorsed the </w:t>
      </w:r>
      <w:r w:rsidRPr="00BE205C">
        <w:rPr>
          <w:i/>
          <w:lang w:bidi="ar-SA"/>
        </w:rPr>
        <w:t>Standing Committee on Environmental Health (enHealth) Guidance Statements on Perfluorinated Chemicals</w:t>
      </w:r>
      <w:r>
        <w:rPr>
          <w:lang w:bidi="ar-SA"/>
        </w:rPr>
        <w:t xml:space="preserve"> to support jurisdictional responses to incidents of environmental contamination with </w:t>
      </w:r>
      <w:r w:rsidR="00641B9F" w:rsidRPr="00641B9F">
        <w:rPr>
          <w:lang w:bidi="ar-SA"/>
        </w:rPr>
        <w:t>PFAS</w:t>
      </w:r>
      <w:r w:rsidR="00BC611C">
        <w:rPr>
          <w:lang w:bidi="ar-SA"/>
        </w:rPr>
        <w:t xml:space="preserve"> </w:t>
      </w:r>
      <w:r w:rsidR="00641B9F" w:rsidRPr="00641B9F">
        <w:rPr>
          <w:lang w:bidi="ar-SA"/>
        </w:rPr>
        <w:t>compounds</w:t>
      </w:r>
      <w:r>
        <w:rPr>
          <w:lang w:bidi="ar-SA"/>
        </w:rPr>
        <w:t>. Guidance Statement 3 concerned the develo</w:t>
      </w:r>
      <w:r w:rsidR="00641B9F">
        <w:rPr>
          <w:lang w:bidi="ar-SA"/>
        </w:rPr>
        <w:t xml:space="preserve">pment of human health reference </w:t>
      </w:r>
      <w:r>
        <w:rPr>
          <w:lang w:bidi="ar-SA"/>
        </w:rPr>
        <w:t xml:space="preserve">values for </w:t>
      </w:r>
      <w:r w:rsidR="009B2116">
        <w:rPr>
          <w:lang w:bidi="ar-SA"/>
        </w:rPr>
        <w:t>PFOS</w:t>
      </w:r>
      <w:r>
        <w:rPr>
          <w:lang w:bidi="ar-SA"/>
        </w:rPr>
        <w:t xml:space="preserve"> and </w:t>
      </w:r>
      <w:r w:rsidR="00641B9F">
        <w:rPr>
          <w:lang w:bidi="ar-SA"/>
        </w:rPr>
        <w:t xml:space="preserve">PFOA for </w:t>
      </w:r>
      <w:r>
        <w:rPr>
          <w:lang w:bidi="ar-SA"/>
        </w:rPr>
        <w:t>consistent use in the undertaking of human health risk assessments in Australia.</w:t>
      </w:r>
    </w:p>
    <w:p w14:paraId="1BE51174" w14:textId="77777777" w:rsidR="00EB5EFD" w:rsidRDefault="00EB5EFD" w:rsidP="00A111E9">
      <w:pPr>
        <w:rPr>
          <w:lang w:bidi="ar-SA"/>
        </w:rPr>
      </w:pPr>
    </w:p>
    <w:p w14:paraId="3DDB5294" w14:textId="33E59600" w:rsidR="00EB5EFD" w:rsidRDefault="00EB5EFD" w:rsidP="00A111E9">
      <w:pPr>
        <w:rPr>
          <w:lang w:bidi="ar-SA"/>
        </w:rPr>
      </w:pPr>
      <w:r>
        <w:rPr>
          <w:lang w:bidi="ar-SA"/>
        </w:rPr>
        <w:t>In April 2016, enHealth convened a national workshop to review overseas standards and draft Australian human health toxicity reference values for PFOS and PFOA. The workshop was attended by toxicologists, enHealth members, representatives of the Cooperative Research Centre for Contamination Assessment and Remediation of the Environment (CRC CARE), F</w:t>
      </w:r>
      <w:r w:rsidR="00185513">
        <w:rPr>
          <w:lang w:bidi="ar-SA"/>
        </w:rPr>
        <w:t>SANZ</w:t>
      </w:r>
      <w:r>
        <w:rPr>
          <w:lang w:bidi="ar-SA"/>
        </w:rPr>
        <w:t>, and the Australian Government Department of Health and Australian Government Department of the Environment.</w:t>
      </w:r>
    </w:p>
    <w:p w14:paraId="6634999E" w14:textId="77777777" w:rsidR="00EB5EFD" w:rsidRDefault="00EB5EFD" w:rsidP="00A111E9">
      <w:pPr>
        <w:rPr>
          <w:lang w:bidi="ar-SA"/>
        </w:rPr>
      </w:pPr>
    </w:p>
    <w:p w14:paraId="6C882915" w14:textId="2B7D8062" w:rsidR="00071CEE" w:rsidRDefault="00071CEE" w:rsidP="00A111E9">
      <w:pPr>
        <w:rPr>
          <w:lang w:bidi="ar-SA"/>
        </w:rPr>
      </w:pPr>
      <w:r>
        <w:rPr>
          <w:lang w:bidi="ar-SA"/>
        </w:rPr>
        <w:t xml:space="preserve">The </w:t>
      </w:r>
      <w:r w:rsidR="00EB5EFD">
        <w:rPr>
          <w:lang w:bidi="ar-SA"/>
        </w:rPr>
        <w:t>workshop considered various international approaches and concluded</w:t>
      </w:r>
      <w:r>
        <w:rPr>
          <w:lang w:bidi="ar-SA"/>
        </w:rPr>
        <w:t xml:space="preserve"> that the 2008 </w:t>
      </w:r>
      <w:r w:rsidR="00B5419D">
        <w:rPr>
          <w:lang w:bidi="ar-SA"/>
        </w:rPr>
        <w:t>European Food Safety Authority (</w:t>
      </w:r>
      <w:r>
        <w:rPr>
          <w:lang w:bidi="ar-SA"/>
        </w:rPr>
        <w:t>E</w:t>
      </w:r>
      <w:r w:rsidR="00AB35CC">
        <w:rPr>
          <w:lang w:bidi="ar-SA"/>
        </w:rPr>
        <w:t>FSA</w:t>
      </w:r>
      <w:r w:rsidR="00B5419D">
        <w:rPr>
          <w:lang w:bidi="ar-SA"/>
        </w:rPr>
        <w:t>)</w:t>
      </w:r>
      <w:r>
        <w:rPr>
          <w:lang w:bidi="ar-SA"/>
        </w:rPr>
        <w:t xml:space="preserve"> derivation of </w:t>
      </w:r>
      <w:r w:rsidR="00B5419D">
        <w:rPr>
          <w:lang w:bidi="ar-SA"/>
        </w:rPr>
        <w:t>tolerable daily intake (</w:t>
      </w:r>
      <w:r>
        <w:rPr>
          <w:lang w:bidi="ar-SA"/>
        </w:rPr>
        <w:t>T</w:t>
      </w:r>
      <w:r w:rsidR="000C6F4B">
        <w:rPr>
          <w:lang w:bidi="ar-SA"/>
        </w:rPr>
        <w:t>DI</w:t>
      </w:r>
      <w:r w:rsidR="00B5419D">
        <w:rPr>
          <w:lang w:bidi="ar-SA"/>
        </w:rPr>
        <w:t>)</w:t>
      </w:r>
      <w:r>
        <w:rPr>
          <w:lang w:bidi="ar-SA"/>
        </w:rPr>
        <w:t xml:space="preserve"> values for PFOS and PFOA were appropriate as interim national guidance for use in site investigations in Australia. For PFHxS, enHealth agreed that the EFSA TDI for PFOS </w:t>
      </w:r>
      <w:r w:rsidR="00B5419D">
        <w:rPr>
          <w:lang w:bidi="ar-SA"/>
        </w:rPr>
        <w:t xml:space="preserve">should </w:t>
      </w:r>
      <w:r>
        <w:rPr>
          <w:lang w:bidi="ar-SA"/>
        </w:rPr>
        <w:t xml:space="preserve">also be applied to PFHxS exposures. In practice this means PFOS and PFHxS exposures should be summed and the total compared </w:t>
      </w:r>
      <w:r w:rsidR="00CA4D98">
        <w:rPr>
          <w:lang w:bidi="ar-SA"/>
        </w:rPr>
        <w:t xml:space="preserve">with </w:t>
      </w:r>
      <w:r>
        <w:rPr>
          <w:lang w:bidi="ar-SA"/>
        </w:rPr>
        <w:t xml:space="preserve">the TDI for PFOS. The enHealth June 2016 statement further recommended that FSANZ should undertake an assessment of the available toxicity </w:t>
      </w:r>
      <w:r w:rsidR="00EB5EFD">
        <w:rPr>
          <w:lang w:bidi="ar-SA"/>
        </w:rPr>
        <w:t>data for PFOS, PFOA and PFHxS</w:t>
      </w:r>
      <w:r w:rsidR="007F49C4">
        <w:rPr>
          <w:lang w:bidi="ar-SA"/>
        </w:rPr>
        <w:t>,</w:t>
      </w:r>
      <w:r w:rsidR="00EB5EFD">
        <w:rPr>
          <w:lang w:bidi="ar-SA"/>
        </w:rPr>
        <w:t xml:space="preserve"> and noted that the values published by FSANZ will immediately replace the interim toxicity values published by </w:t>
      </w:r>
      <w:r w:rsidR="00196D0E">
        <w:rPr>
          <w:lang w:bidi="ar-SA"/>
        </w:rPr>
        <w:t>enHealth.</w:t>
      </w:r>
    </w:p>
    <w:p w14:paraId="3E9CF5ED" w14:textId="77777777" w:rsidR="00071CEE" w:rsidRDefault="00071CEE" w:rsidP="00A111E9">
      <w:pPr>
        <w:rPr>
          <w:lang w:bidi="ar-SA"/>
        </w:rPr>
      </w:pPr>
    </w:p>
    <w:p w14:paraId="28CD6FEF" w14:textId="5450777A" w:rsidR="000328C0" w:rsidRDefault="00641B9F" w:rsidP="00A111E9">
      <w:pPr>
        <w:rPr>
          <w:lang w:bidi="ar-SA"/>
        </w:rPr>
      </w:pPr>
      <w:r>
        <w:rPr>
          <w:lang w:bidi="ar-SA"/>
        </w:rPr>
        <w:t>In August 2016 a</w:t>
      </w:r>
      <w:r w:rsidR="00071CEE">
        <w:rPr>
          <w:lang w:bidi="ar-SA"/>
        </w:rPr>
        <w:t xml:space="preserve">n independent review of </w:t>
      </w:r>
      <w:r w:rsidR="00C046DD">
        <w:rPr>
          <w:lang w:bidi="ar-SA"/>
        </w:rPr>
        <w:t xml:space="preserve">the </w:t>
      </w:r>
      <w:r w:rsidR="00071CEE">
        <w:rPr>
          <w:lang w:bidi="ar-SA"/>
        </w:rPr>
        <w:t xml:space="preserve">enHealth decision considered the adoption of the EFSA health TDI values to be appropriate as an interim measure. </w:t>
      </w:r>
      <w:r w:rsidR="00EB5EFD">
        <w:rPr>
          <w:lang w:bidi="ar-SA"/>
        </w:rPr>
        <w:t xml:space="preserve">The review noted that </w:t>
      </w:r>
      <w:r w:rsidR="00071CEE">
        <w:rPr>
          <w:lang w:bidi="ar-SA"/>
        </w:rPr>
        <w:t>international assessments have considered the same pivotal toxicological studies and that the key sour</w:t>
      </w:r>
      <w:r w:rsidR="00EB5EFD">
        <w:rPr>
          <w:lang w:bidi="ar-SA"/>
        </w:rPr>
        <w:t>ces of variation in the EFSA</w:t>
      </w:r>
      <w:r w:rsidR="00020164">
        <w:rPr>
          <w:lang w:bidi="ar-SA"/>
        </w:rPr>
        <w:t xml:space="preserve"> and </w:t>
      </w:r>
      <w:r w:rsidR="00B945C6">
        <w:rPr>
          <w:lang w:bidi="ar-SA"/>
        </w:rPr>
        <w:t>United States Environment Protection Agency (</w:t>
      </w:r>
      <w:r w:rsidR="00020164">
        <w:rPr>
          <w:lang w:bidi="ar-SA"/>
        </w:rPr>
        <w:t>US EPA</w:t>
      </w:r>
      <w:r w:rsidR="00B945C6">
        <w:rPr>
          <w:lang w:bidi="ar-SA"/>
        </w:rPr>
        <w:t>)</w:t>
      </w:r>
      <w:r w:rsidR="00020164">
        <w:rPr>
          <w:lang w:bidi="ar-SA"/>
        </w:rPr>
        <w:t xml:space="preserve"> and </w:t>
      </w:r>
      <w:r w:rsidR="00B945C6" w:rsidRPr="00B945C6">
        <w:rPr>
          <w:lang w:bidi="ar-SA"/>
        </w:rPr>
        <w:t xml:space="preserve">the </w:t>
      </w:r>
      <w:r w:rsidR="007146B9" w:rsidRPr="007146B9">
        <w:rPr>
          <w:lang w:bidi="ar-SA"/>
        </w:rPr>
        <w:t xml:space="preserve">Agency for Toxic Substances and Disease Registry </w:t>
      </w:r>
      <w:r w:rsidR="007146B9">
        <w:rPr>
          <w:lang w:bidi="ar-SA"/>
        </w:rPr>
        <w:t>(</w:t>
      </w:r>
      <w:r w:rsidR="00B945C6" w:rsidRPr="00B945C6">
        <w:rPr>
          <w:lang w:bidi="ar-SA"/>
        </w:rPr>
        <w:t>A</w:t>
      </w:r>
      <w:r w:rsidR="00AB35CC">
        <w:rPr>
          <w:lang w:bidi="ar-SA"/>
        </w:rPr>
        <w:t>TSDR</w:t>
      </w:r>
      <w:r w:rsidR="007146B9">
        <w:rPr>
          <w:lang w:bidi="ar-SA"/>
        </w:rPr>
        <w:t>)</w:t>
      </w:r>
      <w:r w:rsidR="00020164">
        <w:rPr>
          <w:lang w:bidi="ar-SA"/>
        </w:rPr>
        <w:t xml:space="preserve"> </w:t>
      </w:r>
      <w:r w:rsidR="00071CEE">
        <w:rPr>
          <w:lang w:bidi="ar-SA"/>
        </w:rPr>
        <w:t>reports relate</w:t>
      </w:r>
      <w:r w:rsidR="00020164">
        <w:rPr>
          <w:lang w:bidi="ar-SA"/>
        </w:rPr>
        <w:t>d</w:t>
      </w:r>
      <w:r w:rsidR="00071CEE">
        <w:rPr>
          <w:lang w:bidi="ar-SA"/>
        </w:rPr>
        <w:t xml:space="preserve"> to the use of</w:t>
      </w:r>
      <w:r w:rsidR="006F3B93" w:rsidRPr="006F3B93">
        <w:rPr>
          <w:rFonts w:eastAsiaTheme="minorHAnsi" w:cstheme="minorBidi"/>
          <w:szCs w:val="22"/>
          <w:lang w:val="en-AU" w:bidi="ar-SA"/>
        </w:rPr>
        <w:t xml:space="preserve"> </w:t>
      </w:r>
      <w:r w:rsidR="006F3B93" w:rsidRPr="00276C1C">
        <w:rPr>
          <w:rFonts w:eastAsiaTheme="minorHAnsi" w:cstheme="minorBidi"/>
          <w:szCs w:val="22"/>
          <w:lang w:val="en-AU" w:bidi="ar-SA"/>
        </w:rPr>
        <w:t>physiologically based pharmacokinetic</w:t>
      </w:r>
      <w:r w:rsidR="00071CEE">
        <w:rPr>
          <w:lang w:bidi="ar-SA"/>
        </w:rPr>
        <w:t xml:space="preserve"> </w:t>
      </w:r>
      <w:r w:rsidR="006F3B93">
        <w:rPr>
          <w:lang w:bidi="ar-SA"/>
        </w:rPr>
        <w:t>(</w:t>
      </w:r>
      <w:r w:rsidR="00071CEE">
        <w:rPr>
          <w:lang w:bidi="ar-SA"/>
        </w:rPr>
        <w:t>PBPK</w:t>
      </w:r>
      <w:r w:rsidR="006F3B93">
        <w:rPr>
          <w:lang w:bidi="ar-SA"/>
        </w:rPr>
        <w:t>)</w:t>
      </w:r>
      <w:r w:rsidR="00071CEE">
        <w:rPr>
          <w:lang w:bidi="ar-SA"/>
        </w:rPr>
        <w:t xml:space="preserve"> modelling by the US EPA and ATSDR, and differences in selection of uncertainty </w:t>
      </w:r>
      <w:r w:rsidR="00020164">
        <w:rPr>
          <w:lang w:bidi="ar-SA"/>
        </w:rPr>
        <w:t xml:space="preserve">factors. The review </w:t>
      </w:r>
      <w:r>
        <w:rPr>
          <w:lang w:bidi="ar-SA"/>
        </w:rPr>
        <w:t xml:space="preserve">also </w:t>
      </w:r>
      <w:r w:rsidR="00020164">
        <w:rPr>
          <w:lang w:bidi="ar-SA"/>
        </w:rPr>
        <w:t>contained a number of recommendations for FSANZ to consider</w:t>
      </w:r>
      <w:r>
        <w:rPr>
          <w:lang w:bidi="ar-SA"/>
        </w:rPr>
        <w:t xml:space="preserve"> as a part of its assessment, including that the </w:t>
      </w:r>
      <w:r w:rsidR="00071CEE">
        <w:rPr>
          <w:lang w:bidi="ar-SA"/>
        </w:rPr>
        <w:t xml:space="preserve">FSANZ </w:t>
      </w:r>
      <w:r>
        <w:rPr>
          <w:lang w:bidi="ar-SA"/>
        </w:rPr>
        <w:t xml:space="preserve">review </w:t>
      </w:r>
      <w:r w:rsidR="00071CEE">
        <w:rPr>
          <w:lang w:bidi="ar-SA"/>
        </w:rPr>
        <w:t xml:space="preserve">should consider the strengths, weaknesses and validity of the PBPK approach to establishing the </w:t>
      </w:r>
      <w:r w:rsidR="00C046DD">
        <w:rPr>
          <w:lang w:bidi="ar-SA"/>
        </w:rPr>
        <w:t>human equivalent dose (</w:t>
      </w:r>
      <w:r w:rsidR="00AB35CC">
        <w:rPr>
          <w:lang w:bidi="ar-SA"/>
        </w:rPr>
        <w:t>HED</w:t>
      </w:r>
      <w:r w:rsidR="00C046DD">
        <w:rPr>
          <w:lang w:bidi="ar-SA"/>
        </w:rPr>
        <w:t>)</w:t>
      </w:r>
      <w:r>
        <w:rPr>
          <w:lang w:bidi="ar-SA"/>
        </w:rPr>
        <w:t>.</w:t>
      </w:r>
    </w:p>
    <w:p w14:paraId="2E046D7F" w14:textId="77777777" w:rsidR="000328C0" w:rsidRDefault="000328C0">
      <w:pPr>
        <w:widowControl/>
        <w:rPr>
          <w:lang w:bidi="ar-SA"/>
        </w:rPr>
      </w:pPr>
      <w:r>
        <w:rPr>
          <w:lang w:bidi="ar-SA"/>
        </w:rPr>
        <w:br w:type="page"/>
      </w:r>
    </w:p>
    <w:p w14:paraId="4A346682" w14:textId="3BB3ADB6" w:rsidR="00641B9F" w:rsidRDefault="00641B9F" w:rsidP="005F1486">
      <w:pPr>
        <w:pStyle w:val="Heading3"/>
      </w:pPr>
      <w:bookmarkStart w:id="29" w:name="_Toc468699210"/>
      <w:bookmarkStart w:id="30" w:name="_Toc468712739"/>
      <w:bookmarkStart w:id="31" w:name="_Toc468716441"/>
      <w:bookmarkStart w:id="32" w:name="_Toc468709428"/>
      <w:bookmarkStart w:id="33" w:name="_Toc468717727"/>
      <w:bookmarkStart w:id="34" w:name="_Toc468718371"/>
      <w:bookmarkStart w:id="35" w:name="_Toc468719361"/>
      <w:bookmarkStart w:id="36" w:name="_Toc468722166"/>
      <w:bookmarkStart w:id="37" w:name="_Toc468799236"/>
      <w:bookmarkStart w:id="38" w:name="_Toc468806559"/>
      <w:bookmarkStart w:id="39" w:name="_Toc468980973"/>
      <w:bookmarkStart w:id="40" w:name="_Toc482805094"/>
      <w:r>
        <w:lastRenderedPageBreak/>
        <w:t>1.2</w:t>
      </w:r>
      <w:r>
        <w:tab/>
        <w:t>Scope of the assessment</w:t>
      </w:r>
      <w:bookmarkEnd w:id="29"/>
      <w:bookmarkEnd w:id="30"/>
      <w:bookmarkEnd w:id="31"/>
      <w:bookmarkEnd w:id="32"/>
      <w:bookmarkEnd w:id="33"/>
      <w:bookmarkEnd w:id="34"/>
      <w:bookmarkEnd w:id="35"/>
      <w:bookmarkEnd w:id="36"/>
      <w:bookmarkEnd w:id="37"/>
      <w:bookmarkEnd w:id="38"/>
      <w:bookmarkEnd w:id="39"/>
      <w:bookmarkEnd w:id="40"/>
    </w:p>
    <w:p w14:paraId="12F888DF" w14:textId="1AB099E6" w:rsidR="00FA180D" w:rsidRDefault="00906DFA" w:rsidP="00A111E9">
      <w:pPr>
        <w:rPr>
          <w:lang w:bidi="ar-SA"/>
        </w:rPr>
      </w:pPr>
      <w:r w:rsidRPr="00906DFA">
        <w:rPr>
          <w:lang w:bidi="ar-SA"/>
        </w:rPr>
        <w:t xml:space="preserve">The mammalian toxicology of PFOS and PFOA has been considered by the </w:t>
      </w:r>
      <w:r w:rsidR="00537B58">
        <w:rPr>
          <w:lang w:bidi="ar-SA"/>
        </w:rPr>
        <w:t>UK Committee on Toxicity of Chemicals in Food, Consumer Products and the Envrionment (</w:t>
      </w:r>
      <w:r w:rsidRPr="00906DFA">
        <w:rPr>
          <w:lang w:bidi="ar-SA"/>
        </w:rPr>
        <w:t>U</w:t>
      </w:r>
      <w:r w:rsidR="000C6F4B">
        <w:rPr>
          <w:lang w:bidi="ar-SA"/>
        </w:rPr>
        <w:t>KCOT</w:t>
      </w:r>
      <w:r w:rsidR="00537B58">
        <w:rPr>
          <w:lang w:bidi="ar-SA"/>
        </w:rPr>
        <w:t>)</w:t>
      </w:r>
      <w:r w:rsidRPr="00906DFA">
        <w:rPr>
          <w:lang w:bidi="ar-SA"/>
        </w:rPr>
        <w:t xml:space="preserve">, </w:t>
      </w:r>
      <w:r w:rsidR="00B945C6">
        <w:rPr>
          <w:lang w:bidi="ar-SA"/>
        </w:rPr>
        <w:t>EFSA</w:t>
      </w:r>
      <w:r w:rsidRPr="00906DFA">
        <w:rPr>
          <w:lang w:bidi="ar-SA"/>
        </w:rPr>
        <w:t>, the Swedish Environmental Protection Agency (Swedish EPA)</w:t>
      </w:r>
      <w:r w:rsidR="00665657">
        <w:rPr>
          <w:rStyle w:val="FootnoteReference"/>
          <w:lang w:bidi="ar-SA"/>
        </w:rPr>
        <w:footnoteReference w:id="5"/>
      </w:r>
      <w:r w:rsidRPr="00906DFA">
        <w:rPr>
          <w:lang w:bidi="ar-SA"/>
        </w:rPr>
        <w:t>, the Danish Environmental Protection Agency (Danish EPA)</w:t>
      </w:r>
      <w:r w:rsidR="00B945C6">
        <w:rPr>
          <w:lang w:bidi="ar-SA"/>
        </w:rPr>
        <w:t>,</w:t>
      </w:r>
      <w:r w:rsidRPr="00906DFA">
        <w:rPr>
          <w:lang w:bidi="ar-SA"/>
        </w:rPr>
        <w:t xml:space="preserve"> </w:t>
      </w:r>
      <w:r w:rsidR="00B945C6">
        <w:rPr>
          <w:lang w:bidi="ar-SA"/>
        </w:rPr>
        <w:t>ATSDR</w:t>
      </w:r>
      <w:r w:rsidRPr="00906DFA">
        <w:rPr>
          <w:lang w:bidi="ar-SA"/>
        </w:rPr>
        <w:t xml:space="preserve"> and mo</w:t>
      </w:r>
      <w:r w:rsidR="00B945C6">
        <w:rPr>
          <w:lang w:bidi="ar-SA"/>
        </w:rPr>
        <w:t>st recently, the US EPA</w:t>
      </w:r>
      <w:r w:rsidRPr="00906DFA">
        <w:rPr>
          <w:lang w:bidi="ar-SA"/>
        </w:rPr>
        <w:t>.</w:t>
      </w:r>
    </w:p>
    <w:p w14:paraId="2EF378BA" w14:textId="77777777" w:rsidR="00FA180D" w:rsidRDefault="00FA180D" w:rsidP="00A111E9">
      <w:pPr>
        <w:rPr>
          <w:lang w:bidi="ar-SA"/>
        </w:rPr>
      </w:pPr>
    </w:p>
    <w:p w14:paraId="1DB47C6A" w14:textId="26504E16" w:rsidR="00906DFA" w:rsidRDefault="00FA180D" w:rsidP="00A111E9">
      <w:pPr>
        <w:rPr>
          <w:lang w:bidi="ar-SA"/>
        </w:rPr>
      </w:pPr>
      <w:r w:rsidRPr="00FA180D">
        <w:rPr>
          <w:lang w:bidi="ar-SA"/>
        </w:rPr>
        <w:t xml:space="preserve">FSANZ has used information </w:t>
      </w:r>
      <w:r w:rsidR="00B945C6">
        <w:rPr>
          <w:lang w:bidi="ar-SA"/>
        </w:rPr>
        <w:t>from</w:t>
      </w:r>
      <w:r w:rsidRPr="00FA180D">
        <w:rPr>
          <w:lang w:bidi="ar-SA"/>
        </w:rPr>
        <w:t xml:space="preserve"> these comprehensive international assessments for the purpose of determining HBGVs for PFOS and PFOA, and in the consideration of whether there </w:t>
      </w:r>
      <w:r w:rsidR="00CA4D98">
        <w:rPr>
          <w:lang w:bidi="ar-SA"/>
        </w:rPr>
        <w:t>are</w:t>
      </w:r>
      <w:r w:rsidR="00CA4D98" w:rsidRPr="00FA180D">
        <w:rPr>
          <w:lang w:bidi="ar-SA"/>
        </w:rPr>
        <w:t xml:space="preserve"> </w:t>
      </w:r>
      <w:r w:rsidRPr="00FA180D">
        <w:rPr>
          <w:lang w:bidi="ar-SA"/>
        </w:rPr>
        <w:t>sufficient data to establish a HBGV for PFHxS. This approach was considered justified on the basis that these evaluations have, to a large extent, considered the same extensive toxicological databases</w:t>
      </w:r>
      <w:r w:rsidR="00BE205C">
        <w:rPr>
          <w:lang w:bidi="ar-SA"/>
        </w:rPr>
        <w:t>,</w:t>
      </w:r>
      <w:r w:rsidRPr="00FA180D">
        <w:rPr>
          <w:lang w:bidi="ar-SA"/>
        </w:rPr>
        <w:t xml:space="preserve"> and pivotal, or supporting studies for PFOS and PFOA relevant to the establishment of HBGVs. A number of these assessments have also summarised, to the extent possible, the limited available toxicological information on PFHxS.</w:t>
      </w:r>
    </w:p>
    <w:p w14:paraId="5A27EDCF" w14:textId="77777777" w:rsidR="00EB5B30" w:rsidRDefault="00EB5B30" w:rsidP="00A111E9">
      <w:pPr>
        <w:rPr>
          <w:lang w:bidi="ar-SA"/>
        </w:rPr>
      </w:pPr>
    </w:p>
    <w:p w14:paraId="58BB5A2F" w14:textId="1D8525B8" w:rsidR="00480FDB" w:rsidRDefault="00641B9F" w:rsidP="00A111E9">
      <w:pPr>
        <w:rPr>
          <w:lang w:bidi="ar-SA"/>
        </w:rPr>
      </w:pPr>
      <w:r>
        <w:rPr>
          <w:lang w:bidi="ar-SA"/>
        </w:rPr>
        <w:t>HBGVs</w:t>
      </w:r>
      <w:r w:rsidR="00CF173D">
        <w:rPr>
          <w:lang w:bidi="ar-SA"/>
        </w:rPr>
        <w:t xml:space="preserve"> for PFOS</w:t>
      </w:r>
      <w:r>
        <w:rPr>
          <w:lang w:bidi="ar-SA"/>
        </w:rPr>
        <w:t>, typically expressed on a daily basis, range from 20 ng/kg bw/day established by the US EPA in 2016 to 300 ng/kg bw/day set by the UKCOT in 2006. The difference between the EFSA value established in 2008 and the US EPA HBGV is 7</w:t>
      </w:r>
      <w:r w:rsidR="00EB5B30">
        <w:rPr>
          <w:lang w:bidi="ar-SA"/>
        </w:rPr>
        <w:t>.5</w:t>
      </w:r>
      <w:r>
        <w:rPr>
          <w:lang w:bidi="ar-SA"/>
        </w:rPr>
        <w:t>-fold (20 ng/kg bw/day compared with 150 ng/kg bw/day</w:t>
      </w:r>
      <w:r w:rsidR="00EB5B30">
        <w:rPr>
          <w:lang w:bidi="ar-SA"/>
        </w:rPr>
        <w:t>)</w:t>
      </w:r>
      <w:r>
        <w:rPr>
          <w:lang w:bidi="ar-SA"/>
        </w:rPr>
        <w:t>. Notably the Swedish EPA assessment established serum PFOS levels defined as a Derived No</w:t>
      </w:r>
      <w:r w:rsidR="001012A5">
        <w:rPr>
          <w:lang w:bidi="ar-SA"/>
        </w:rPr>
        <w:t xml:space="preserve"> </w:t>
      </w:r>
      <w:r>
        <w:rPr>
          <w:lang w:bidi="ar-SA"/>
        </w:rPr>
        <w:t xml:space="preserve">Effect Level (DNEL), rather than a </w:t>
      </w:r>
      <w:r w:rsidR="00185513">
        <w:rPr>
          <w:lang w:bidi="ar-SA"/>
        </w:rPr>
        <w:t>TDI</w:t>
      </w:r>
      <w:r>
        <w:rPr>
          <w:lang w:bidi="ar-SA"/>
        </w:rPr>
        <w:t xml:space="preserve">. </w:t>
      </w:r>
      <w:r w:rsidR="00CF173D">
        <w:rPr>
          <w:lang w:bidi="ar-SA"/>
        </w:rPr>
        <w:t xml:space="preserve">For PFOA, established </w:t>
      </w:r>
      <w:r w:rsidR="00CF173D" w:rsidRPr="00CF173D">
        <w:rPr>
          <w:lang w:bidi="ar-SA"/>
        </w:rPr>
        <w:t xml:space="preserve">HBGVs </w:t>
      </w:r>
      <w:r w:rsidR="00CF173D">
        <w:rPr>
          <w:lang w:bidi="ar-SA"/>
        </w:rPr>
        <w:t>range</w:t>
      </w:r>
      <w:r w:rsidR="00CF173D" w:rsidRPr="00CF173D">
        <w:rPr>
          <w:lang w:bidi="ar-SA"/>
        </w:rPr>
        <w:t xml:space="preserve"> from 20 ng/kg bw/day established by US EPA and ATSDR, to </w:t>
      </w:r>
      <w:r w:rsidR="00B5419D" w:rsidRPr="00CF173D">
        <w:rPr>
          <w:lang w:bidi="ar-SA"/>
        </w:rPr>
        <w:t>1</w:t>
      </w:r>
      <w:r w:rsidR="00B5419D">
        <w:rPr>
          <w:lang w:bidi="ar-SA"/>
        </w:rPr>
        <w:t>,</w:t>
      </w:r>
      <w:r w:rsidR="00CC26CA">
        <w:rPr>
          <w:lang w:bidi="ar-SA"/>
        </w:rPr>
        <w:t>500</w:t>
      </w:r>
      <w:r w:rsidR="00CF173D" w:rsidRPr="00CF173D">
        <w:rPr>
          <w:lang w:bidi="ar-SA"/>
        </w:rPr>
        <w:t xml:space="preserve"> ng/kg bw/day set by EFSA in 2008</w:t>
      </w:r>
      <w:r w:rsidR="00EB5B30">
        <w:rPr>
          <w:lang w:bidi="ar-SA"/>
        </w:rPr>
        <w:t>, a 75-fold difference</w:t>
      </w:r>
      <w:r w:rsidR="00CF173D" w:rsidRPr="00CF173D">
        <w:rPr>
          <w:lang w:bidi="ar-SA"/>
        </w:rPr>
        <w:t>.</w:t>
      </w:r>
    </w:p>
    <w:p w14:paraId="0890D7E4" w14:textId="77777777" w:rsidR="00480FDB" w:rsidRDefault="00480FDB" w:rsidP="00A111E9">
      <w:pPr>
        <w:rPr>
          <w:lang w:bidi="ar-SA"/>
        </w:rPr>
      </w:pPr>
    </w:p>
    <w:p w14:paraId="572C9143" w14:textId="72F3019E" w:rsidR="00EB5B30" w:rsidRDefault="00641B9F" w:rsidP="00A111E9">
      <w:pPr>
        <w:rPr>
          <w:lang w:bidi="ar-SA"/>
        </w:rPr>
      </w:pPr>
      <w:r>
        <w:rPr>
          <w:lang w:bidi="ar-SA"/>
        </w:rPr>
        <w:t>Sources of variation in the HBGVs between different agencies arise as a result of the use (or not) of modelling techniques such as Benchmark Dose</w:t>
      </w:r>
      <w:r w:rsidR="00B5419D">
        <w:rPr>
          <w:lang w:bidi="ar-SA"/>
        </w:rPr>
        <w:t xml:space="preserve"> </w:t>
      </w:r>
      <w:r w:rsidR="002133CE" w:rsidRPr="00EB5B30">
        <w:rPr>
          <w:lang w:bidi="ar-SA"/>
        </w:rPr>
        <w:t>(BMD)</w:t>
      </w:r>
      <w:r w:rsidR="002133CE">
        <w:rPr>
          <w:lang w:bidi="ar-SA"/>
        </w:rPr>
        <w:t xml:space="preserve"> m</w:t>
      </w:r>
      <w:r>
        <w:rPr>
          <w:lang w:bidi="ar-SA"/>
        </w:rPr>
        <w:t>odelling</w:t>
      </w:r>
      <w:r w:rsidR="00EB5B30">
        <w:rPr>
          <w:lang w:bidi="ar-SA"/>
        </w:rPr>
        <w:t xml:space="preserve"> </w:t>
      </w:r>
      <w:r>
        <w:rPr>
          <w:lang w:bidi="ar-SA"/>
        </w:rPr>
        <w:t>and pharmacokinetic modelling to establish the</w:t>
      </w:r>
      <w:r w:rsidR="00B5419D">
        <w:rPr>
          <w:lang w:bidi="ar-SA"/>
        </w:rPr>
        <w:t xml:space="preserve"> </w:t>
      </w:r>
      <w:r>
        <w:rPr>
          <w:lang w:bidi="ar-SA"/>
        </w:rPr>
        <w:t>HED. Each HBGV also involves a range of uncertainties and a number of assumptions to account for extrapolation between laboratory animals and humans, intra</w:t>
      </w:r>
      <w:r w:rsidR="00032CF6">
        <w:rPr>
          <w:lang w:bidi="ar-SA"/>
        </w:rPr>
        <w:t>species</w:t>
      </w:r>
      <w:r>
        <w:rPr>
          <w:lang w:bidi="ar-SA"/>
        </w:rPr>
        <w:t xml:space="preserve"> differences</w:t>
      </w:r>
      <w:r w:rsidR="00CF173D">
        <w:rPr>
          <w:lang w:bidi="ar-SA"/>
        </w:rPr>
        <w:t>, uncertainty factors to extrapolate between short term and long term studies,</w:t>
      </w:r>
      <w:r>
        <w:rPr>
          <w:lang w:bidi="ar-SA"/>
        </w:rPr>
        <w:t xml:space="preserve"> and may also include a consideration of the adequacy of the database.</w:t>
      </w:r>
    </w:p>
    <w:p w14:paraId="5EFFB220" w14:textId="77777777" w:rsidR="00EB5B30" w:rsidRDefault="00EB5B30" w:rsidP="00A111E9"/>
    <w:p w14:paraId="12615875" w14:textId="5F76FEF4" w:rsidR="00EB5B30" w:rsidRDefault="00EB5B30" w:rsidP="00A111E9">
      <w:r>
        <w:t>No agency has established an oral HBGV for PFHxS.</w:t>
      </w:r>
    </w:p>
    <w:p w14:paraId="69B16F2F" w14:textId="77777777" w:rsidR="00EB5B30" w:rsidRDefault="00EB5B30" w:rsidP="00A111E9">
      <w:pPr>
        <w:rPr>
          <w:highlight w:val="yellow"/>
          <w:lang w:bidi="ar-SA"/>
        </w:rPr>
      </w:pPr>
    </w:p>
    <w:p w14:paraId="6F072978" w14:textId="55C08E2A" w:rsidR="00071CEE" w:rsidRPr="00A32F9A" w:rsidRDefault="000641C5" w:rsidP="00A111E9">
      <w:pPr>
        <w:rPr>
          <w:lang w:bidi="ar-SA"/>
        </w:rPr>
      </w:pPr>
      <w:r w:rsidRPr="00A32F9A">
        <w:rPr>
          <w:lang w:bidi="ar-SA"/>
        </w:rPr>
        <w:t>Internationally established HBGVs for PFOS</w:t>
      </w:r>
      <w:r w:rsidR="00EB5B30" w:rsidRPr="00A32F9A">
        <w:rPr>
          <w:lang w:bidi="ar-SA"/>
        </w:rPr>
        <w:t xml:space="preserve"> and PFOA</w:t>
      </w:r>
      <w:r w:rsidR="00A32F9A" w:rsidRPr="00A32F9A">
        <w:rPr>
          <w:lang w:bidi="ar-SA"/>
        </w:rPr>
        <w:t xml:space="preserve"> </w:t>
      </w:r>
      <w:r w:rsidRPr="00A32F9A">
        <w:rPr>
          <w:lang w:bidi="ar-SA"/>
        </w:rPr>
        <w:t xml:space="preserve">are shown in Table 1 and summarised in Sections </w:t>
      </w:r>
      <w:r w:rsidR="00EB5B30" w:rsidRPr="00A32F9A">
        <w:rPr>
          <w:lang w:bidi="ar-SA"/>
        </w:rPr>
        <w:t>2.2 and 3.2. Considerat</w:t>
      </w:r>
      <w:r w:rsidR="00BE205C">
        <w:rPr>
          <w:lang w:bidi="ar-SA"/>
        </w:rPr>
        <w:t xml:space="preserve">ions of </w:t>
      </w:r>
      <w:r w:rsidR="00B945C6">
        <w:rPr>
          <w:lang w:bidi="ar-SA"/>
        </w:rPr>
        <w:t xml:space="preserve">hazard assessments by </w:t>
      </w:r>
      <w:r w:rsidR="00BE205C">
        <w:rPr>
          <w:lang w:bidi="ar-SA"/>
        </w:rPr>
        <w:t>other agencies for PFHxS</w:t>
      </w:r>
      <w:r w:rsidR="00EB5B30" w:rsidRPr="00A32F9A">
        <w:rPr>
          <w:lang w:bidi="ar-SA"/>
        </w:rPr>
        <w:t xml:space="preserve"> are summarised in Section 4.2.</w:t>
      </w:r>
    </w:p>
    <w:p w14:paraId="729EF4AD" w14:textId="77777777" w:rsidR="00071CEE" w:rsidRDefault="00071CEE" w:rsidP="00A111E9">
      <w:pPr>
        <w:rPr>
          <w:lang w:bidi="ar-SA"/>
        </w:rPr>
      </w:pPr>
    </w:p>
    <w:p w14:paraId="75998DD5" w14:textId="77777777" w:rsidR="006D287C" w:rsidRDefault="006D287C" w:rsidP="00A111E9">
      <w:pPr>
        <w:widowControl/>
        <w:rPr>
          <w:rFonts w:cs="Arial"/>
          <w:b/>
        </w:rPr>
      </w:pPr>
      <w:r>
        <w:br w:type="page"/>
      </w:r>
    </w:p>
    <w:p w14:paraId="50022853" w14:textId="119E1D6F" w:rsidR="00900C86" w:rsidRDefault="00900C86" w:rsidP="006F1600">
      <w:pPr>
        <w:pStyle w:val="FSTableTitle"/>
      </w:pPr>
      <w:r>
        <w:lastRenderedPageBreak/>
        <w:t xml:space="preserve">Table </w:t>
      </w:r>
      <w:r w:rsidR="00BC19E6">
        <w:fldChar w:fldCharType="begin"/>
      </w:r>
      <w:r w:rsidR="00BC19E6">
        <w:instrText xml:space="preserve"> SEQ Table \* ARABIC </w:instrText>
      </w:r>
      <w:r w:rsidR="00BC19E6">
        <w:fldChar w:fldCharType="separate"/>
      </w:r>
      <w:r w:rsidR="00F4394A">
        <w:rPr>
          <w:noProof/>
        </w:rPr>
        <w:t>1</w:t>
      </w:r>
      <w:r w:rsidR="00BC19E6">
        <w:rPr>
          <w:noProof/>
        </w:rPr>
        <w:fldChar w:fldCharType="end"/>
      </w:r>
      <w:r w:rsidR="00BE256E">
        <w:t>:</w:t>
      </w:r>
      <w:r>
        <w:t xml:space="preserve"> HBGVs for PFOS and PFOA</w:t>
      </w:r>
    </w:p>
    <w:tbl>
      <w:tblPr>
        <w:tblStyle w:val="TableGrid"/>
        <w:tblW w:w="0" w:type="auto"/>
        <w:jc w:val="center"/>
        <w:tblCellMar>
          <w:right w:w="142" w:type="dxa"/>
        </w:tblCellMar>
        <w:tblLook w:val="04A0" w:firstRow="1" w:lastRow="0" w:firstColumn="1" w:lastColumn="0" w:noHBand="0" w:noVBand="1"/>
        <w:tblCaption w:val="Table 1: HBGVs for PFOS and PFOA"/>
        <w:tblDescription w:val="This table contains the Health-based guidance value for Perfluorooctane sulfonate (PFOS) and Perfluorooctanoic acid (PFOA)."/>
      </w:tblPr>
      <w:tblGrid>
        <w:gridCol w:w="2096"/>
        <w:gridCol w:w="1980"/>
        <w:gridCol w:w="2375"/>
        <w:gridCol w:w="851"/>
        <w:gridCol w:w="1984"/>
      </w:tblGrid>
      <w:tr w:rsidR="00900C86" w14:paraId="31C61577" w14:textId="77777777" w:rsidTr="00A24D2A">
        <w:trPr>
          <w:tblHeader/>
          <w:jc w:val="center"/>
        </w:trPr>
        <w:tc>
          <w:tcPr>
            <w:tcW w:w="2096" w:type="dxa"/>
            <w:shd w:val="clear" w:color="auto" w:fill="auto"/>
          </w:tcPr>
          <w:p w14:paraId="7DA95293" w14:textId="77777777" w:rsidR="00900C86" w:rsidRPr="00900C86" w:rsidRDefault="00900C86" w:rsidP="00A111E9">
            <w:pPr>
              <w:pStyle w:val="FSTableTitle"/>
              <w:spacing w:before="40" w:after="40"/>
              <w:rPr>
                <w:rFonts w:ascii="Arial" w:hAnsi="Arial"/>
                <w:szCs w:val="20"/>
                <w:lang w:bidi="ar-SA"/>
              </w:rPr>
            </w:pPr>
            <w:r w:rsidRPr="00900C86">
              <w:rPr>
                <w:rFonts w:ascii="Arial" w:hAnsi="Arial"/>
                <w:szCs w:val="20"/>
                <w:lang w:bidi="ar-SA"/>
              </w:rPr>
              <w:t>Agency, year</w:t>
            </w:r>
          </w:p>
        </w:tc>
        <w:tc>
          <w:tcPr>
            <w:tcW w:w="1980" w:type="dxa"/>
            <w:shd w:val="clear" w:color="auto" w:fill="auto"/>
          </w:tcPr>
          <w:p w14:paraId="63D1BC40" w14:textId="77777777" w:rsidR="00900C86" w:rsidRPr="00900C86" w:rsidRDefault="00900C86" w:rsidP="00A111E9">
            <w:pPr>
              <w:pStyle w:val="FSTableTitle"/>
              <w:spacing w:before="40" w:after="40"/>
              <w:rPr>
                <w:rFonts w:ascii="Arial" w:hAnsi="Arial"/>
                <w:szCs w:val="20"/>
                <w:lang w:bidi="ar-SA"/>
              </w:rPr>
            </w:pPr>
            <w:r w:rsidRPr="00900C86">
              <w:rPr>
                <w:rFonts w:ascii="Arial" w:hAnsi="Arial"/>
                <w:szCs w:val="20"/>
                <w:lang w:bidi="ar-SA"/>
              </w:rPr>
              <w:t>HBGV</w:t>
            </w:r>
          </w:p>
        </w:tc>
        <w:tc>
          <w:tcPr>
            <w:tcW w:w="2375" w:type="dxa"/>
            <w:shd w:val="clear" w:color="auto" w:fill="auto"/>
          </w:tcPr>
          <w:p w14:paraId="002FBDD8" w14:textId="77777777" w:rsidR="00900C86" w:rsidRPr="00900C86" w:rsidRDefault="00900C86" w:rsidP="00A111E9">
            <w:pPr>
              <w:pStyle w:val="FSTableTitle"/>
              <w:spacing w:before="40" w:after="40"/>
              <w:rPr>
                <w:rFonts w:ascii="Arial" w:hAnsi="Arial"/>
                <w:szCs w:val="20"/>
                <w:lang w:bidi="ar-SA"/>
              </w:rPr>
            </w:pPr>
            <w:r w:rsidRPr="00900C86">
              <w:rPr>
                <w:rFonts w:ascii="Arial" w:hAnsi="Arial"/>
                <w:szCs w:val="20"/>
                <w:lang w:bidi="ar-SA"/>
              </w:rPr>
              <w:t>PoD</w:t>
            </w:r>
          </w:p>
        </w:tc>
        <w:tc>
          <w:tcPr>
            <w:tcW w:w="851" w:type="dxa"/>
            <w:shd w:val="clear" w:color="auto" w:fill="auto"/>
          </w:tcPr>
          <w:p w14:paraId="4292ABBC" w14:textId="77777777" w:rsidR="00900C86" w:rsidRPr="00900C86" w:rsidRDefault="00900C86" w:rsidP="00A111E9">
            <w:pPr>
              <w:pStyle w:val="FSTableTitle"/>
              <w:spacing w:before="40" w:after="40"/>
              <w:rPr>
                <w:rFonts w:ascii="Arial" w:hAnsi="Arial"/>
                <w:szCs w:val="20"/>
                <w:lang w:bidi="ar-SA"/>
              </w:rPr>
            </w:pPr>
            <w:r w:rsidRPr="00900C86">
              <w:rPr>
                <w:rFonts w:ascii="Arial" w:hAnsi="Arial"/>
                <w:szCs w:val="20"/>
                <w:lang w:bidi="ar-SA"/>
              </w:rPr>
              <w:t>UF</w:t>
            </w:r>
          </w:p>
        </w:tc>
        <w:tc>
          <w:tcPr>
            <w:tcW w:w="1984" w:type="dxa"/>
            <w:shd w:val="clear" w:color="auto" w:fill="auto"/>
          </w:tcPr>
          <w:p w14:paraId="0FD321D8" w14:textId="77777777" w:rsidR="00900C86" w:rsidRPr="00900C86" w:rsidRDefault="00900C86" w:rsidP="00A111E9">
            <w:pPr>
              <w:pStyle w:val="FSTableTitle"/>
              <w:spacing w:before="40" w:after="40"/>
              <w:rPr>
                <w:rFonts w:ascii="Arial" w:hAnsi="Arial"/>
                <w:szCs w:val="20"/>
                <w:lang w:bidi="ar-SA"/>
              </w:rPr>
            </w:pPr>
            <w:r w:rsidRPr="00900C86">
              <w:rPr>
                <w:rFonts w:ascii="Arial" w:hAnsi="Arial"/>
                <w:szCs w:val="20"/>
                <w:lang w:bidi="ar-SA"/>
              </w:rPr>
              <w:t>Value of HBGV</w:t>
            </w:r>
          </w:p>
        </w:tc>
      </w:tr>
      <w:tr w:rsidR="00900C86" w14:paraId="61466350" w14:textId="77777777" w:rsidTr="00F6284E">
        <w:trPr>
          <w:jc w:val="center"/>
        </w:trPr>
        <w:tc>
          <w:tcPr>
            <w:tcW w:w="9286" w:type="dxa"/>
            <w:gridSpan w:val="5"/>
          </w:tcPr>
          <w:p w14:paraId="3ABF8B0E" w14:textId="33975A46" w:rsidR="00900C86" w:rsidRPr="00B444B3" w:rsidRDefault="00900C86" w:rsidP="00A111E9">
            <w:pPr>
              <w:pStyle w:val="FSTableText"/>
              <w:spacing w:before="40" w:after="40"/>
              <w:rPr>
                <w:rFonts w:ascii="Arial" w:hAnsi="Arial"/>
                <w:b/>
                <w:lang w:bidi="ar-SA"/>
              </w:rPr>
            </w:pPr>
            <w:r w:rsidRPr="00B444B3">
              <w:rPr>
                <w:rFonts w:ascii="Arial" w:hAnsi="Arial"/>
                <w:b/>
                <w:lang w:bidi="ar-SA"/>
              </w:rPr>
              <w:t>PFOS</w:t>
            </w:r>
          </w:p>
        </w:tc>
      </w:tr>
      <w:tr w:rsidR="00900C86" w14:paraId="525CD535" w14:textId="77777777" w:rsidTr="00F6284E">
        <w:trPr>
          <w:jc w:val="center"/>
        </w:trPr>
        <w:tc>
          <w:tcPr>
            <w:tcW w:w="2096" w:type="dxa"/>
            <w:vAlign w:val="center"/>
          </w:tcPr>
          <w:p w14:paraId="17324056" w14:textId="06D5E886" w:rsidR="00900C86" w:rsidRPr="00900C86" w:rsidRDefault="00900C86" w:rsidP="00A111E9">
            <w:pPr>
              <w:pStyle w:val="FSTableText"/>
              <w:rPr>
                <w:rFonts w:ascii="Arial" w:hAnsi="Arial"/>
                <w:lang w:bidi="ar-SA"/>
              </w:rPr>
            </w:pPr>
            <w:r w:rsidRPr="00900C86">
              <w:rPr>
                <w:rFonts w:ascii="Arial" w:hAnsi="Arial"/>
                <w:lang w:bidi="ar-SA"/>
              </w:rPr>
              <w:t>UKCOT, 2006</w:t>
            </w:r>
          </w:p>
        </w:tc>
        <w:tc>
          <w:tcPr>
            <w:tcW w:w="1980" w:type="dxa"/>
            <w:vAlign w:val="center"/>
          </w:tcPr>
          <w:p w14:paraId="7DDAEF5E" w14:textId="77777777" w:rsidR="00900C86" w:rsidRPr="00F6284E" w:rsidRDefault="00900C86" w:rsidP="00A111E9">
            <w:pPr>
              <w:pStyle w:val="FSTableText"/>
              <w:rPr>
                <w:rFonts w:ascii="Arial" w:hAnsi="Arial"/>
                <w:sz w:val="18"/>
              </w:rPr>
            </w:pPr>
            <w:r w:rsidRPr="000B3C14">
              <w:rPr>
                <w:sz w:val="18"/>
              </w:rPr>
              <w:t>Tolerable daily intake</w:t>
            </w:r>
            <w:r w:rsidRPr="00F6284E">
              <w:rPr>
                <w:sz w:val="18"/>
                <w:vertAlign w:val="superscript"/>
              </w:rPr>
              <w:t>1</w:t>
            </w:r>
            <w:r w:rsidRPr="00F6284E">
              <w:rPr>
                <w:sz w:val="18"/>
              </w:rPr>
              <w:t xml:space="preserve"> (provisional)</w:t>
            </w:r>
          </w:p>
        </w:tc>
        <w:tc>
          <w:tcPr>
            <w:tcW w:w="2375" w:type="dxa"/>
            <w:vAlign w:val="center"/>
          </w:tcPr>
          <w:p w14:paraId="531DD7F7" w14:textId="77777777" w:rsidR="00900C86" w:rsidRPr="00900C86" w:rsidRDefault="00900C86" w:rsidP="00A111E9">
            <w:pPr>
              <w:pStyle w:val="FSTableText"/>
              <w:rPr>
                <w:rFonts w:ascii="Arial" w:hAnsi="Arial"/>
                <w:lang w:bidi="ar-SA"/>
              </w:rPr>
            </w:pPr>
            <w:r w:rsidRPr="00900C86">
              <w:rPr>
                <w:rFonts w:ascii="Arial" w:hAnsi="Arial"/>
                <w:lang w:bidi="ar-SA"/>
              </w:rPr>
              <w:t>0.03 mg/kg bw/day</w:t>
            </w:r>
          </w:p>
        </w:tc>
        <w:tc>
          <w:tcPr>
            <w:tcW w:w="851" w:type="dxa"/>
            <w:vAlign w:val="center"/>
          </w:tcPr>
          <w:p w14:paraId="3AF31172" w14:textId="77777777" w:rsidR="00900C86" w:rsidRPr="00900C86" w:rsidRDefault="00900C86" w:rsidP="00A111E9">
            <w:pPr>
              <w:pStyle w:val="FSTableText"/>
              <w:rPr>
                <w:rFonts w:ascii="Arial" w:hAnsi="Arial"/>
                <w:lang w:bidi="ar-SA"/>
              </w:rPr>
            </w:pPr>
            <w:r w:rsidRPr="00900C86">
              <w:rPr>
                <w:rFonts w:ascii="Arial" w:hAnsi="Arial"/>
                <w:lang w:bidi="ar-SA"/>
              </w:rPr>
              <w:t>100</w:t>
            </w:r>
          </w:p>
        </w:tc>
        <w:tc>
          <w:tcPr>
            <w:tcW w:w="1984" w:type="dxa"/>
            <w:vAlign w:val="center"/>
          </w:tcPr>
          <w:p w14:paraId="19F11FC7" w14:textId="77777777" w:rsidR="00900C86" w:rsidRPr="00900C86" w:rsidRDefault="00900C86" w:rsidP="00A111E9">
            <w:pPr>
              <w:pStyle w:val="FSTableText"/>
              <w:rPr>
                <w:rFonts w:ascii="Arial" w:hAnsi="Arial"/>
                <w:lang w:bidi="ar-SA"/>
              </w:rPr>
            </w:pPr>
            <w:r w:rsidRPr="00900C86">
              <w:rPr>
                <w:rFonts w:ascii="Arial" w:hAnsi="Arial"/>
                <w:lang w:bidi="ar-SA"/>
              </w:rPr>
              <w:t>300 ng/kg bw/day</w:t>
            </w:r>
          </w:p>
        </w:tc>
      </w:tr>
      <w:tr w:rsidR="00900C86" w14:paraId="33D04D20" w14:textId="77777777" w:rsidTr="00F6284E">
        <w:trPr>
          <w:jc w:val="center"/>
        </w:trPr>
        <w:tc>
          <w:tcPr>
            <w:tcW w:w="2096" w:type="dxa"/>
            <w:vAlign w:val="center"/>
          </w:tcPr>
          <w:p w14:paraId="4E6C29C5" w14:textId="5746152D" w:rsidR="00900C86" w:rsidRPr="00900C86" w:rsidRDefault="00900C86" w:rsidP="00A111E9">
            <w:pPr>
              <w:pStyle w:val="FSTableText"/>
              <w:rPr>
                <w:rFonts w:ascii="Arial" w:hAnsi="Arial"/>
                <w:lang w:bidi="ar-SA"/>
              </w:rPr>
            </w:pPr>
            <w:r w:rsidRPr="00900C86">
              <w:rPr>
                <w:rFonts w:ascii="Arial" w:hAnsi="Arial"/>
                <w:lang w:bidi="ar-SA"/>
              </w:rPr>
              <w:t>EFSA, 2008</w:t>
            </w:r>
          </w:p>
        </w:tc>
        <w:tc>
          <w:tcPr>
            <w:tcW w:w="1980" w:type="dxa"/>
            <w:vAlign w:val="center"/>
          </w:tcPr>
          <w:p w14:paraId="268B4A67" w14:textId="77777777" w:rsidR="00900C86" w:rsidRPr="00F6284E" w:rsidRDefault="00900C86" w:rsidP="00A111E9">
            <w:pPr>
              <w:pStyle w:val="FSTableText"/>
              <w:rPr>
                <w:rFonts w:ascii="Arial" w:hAnsi="Arial"/>
                <w:sz w:val="18"/>
              </w:rPr>
            </w:pPr>
            <w:r w:rsidRPr="000B3C14">
              <w:rPr>
                <w:sz w:val="18"/>
              </w:rPr>
              <w:t>Tolerable daily intake</w:t>
            </w:r>
            <w:r w:rsidRPr="00F6284E">
              <w:rPr>
                <w:sz w:val="18"/>
                <w:vertAlign w:val="superscript"/>
              </w:rPr>
              <w:t>1</w:t>
            </w:r>
          </w:p>
        </w:tc>
        <w:tc>
          <w:tcPr>
            <w:tcW w:w="2375" w:type="dxa"/>
            <w:vAlign w:val="center"/>
          </w:tcPr>
          <w:p w14:paraId="48B2111B" w14:textId="77777777" w:rsidR="00900C86" w:rsidRPr="00900C86" w:rsidRDefault="00900C86" w:rsidP="00A111E9">
            <w:pPr>
              <w:pStyle w:val="FSTableText"/>
              <w:rPr>
                <w:rFonts w:ascii="Arial" w:hAnsi="Arial"/>
                <w:lang w:bidi="ar-SA"/>
              </w:rPr>
            </w:pPr>
            <w:r w:rsidRPr="00900C86">
              <w:rPr>
                <w:rFonts w:ascii="Arial" w:hAnsi="Arial"/>
                <w:lang w:bidi="ar-SA"/>
              </w:rPr>
              <w:t>0.03 mg/kg bw/day</w:t>
            </w:r>
          </w:p>
        </w:tc>
        <w:tc>
          <w:tcPr>
            <w:tcW w:w="851" w:type="dxa"/>
            <w:vAlign w:val="center"/>
          </w:tcPr>
          <w:p w14:paraId="724721C8" w14:textId="77777777" w:rsidR="00900C86" w:rsidRPr="00900C86" w:rsidRDefault="00900C86" w:rsidP="00A111E9">
            <w:pPr>
              <w:pStyle w:val="FSTableText"/>
              <w:rPr>
                <w:rFonts w:ascii="Arial" w:hAnsi="Arial"/>
                <w:lang w:bidi="ar-SA"/>
              </w:rPr>
            </w:pPr>
            <w:r w:rsidRPr="00900C86">
              <w:rPr>
                <w:rFonts w:ascii="Arial" w:hAnsi="Arial"/>
                <w:lang w:bidi="ar-SA"/>
              </w:rPr>
              <w:t>200</w:t>
            </w:r>
          </w:p>
        </w:tc>
        <w:tc>
          <w:tcPr>
            <w:tcW w:w="1984" w:type="dxa"/>
            <w:vAlign w:val="center"/>
          </w:tcPr>
          <w:p w14:paraId="2DE7E1DB" w14:textId="77777777" w:rsidR="00900C86" w:rsidRPr="00900C86" w:rsidRDefault="00900C86" w:rsidP="00A111E9">
            <w:pPr>
              <w:pStyle w:val="FSTableText"/>
              <w:rPr>
                <w:rFonts w:ascii="Arial" w:hAnsi="Arial"/>
                <w:lang w:bidi="ar-SA"/>
              </w:rPr>
            </w:pPr>
            <w:r w:rsidRPr="00900C86">
              <w:rPr>
                <w:rFonts w:ascii="Arial" w:hAnsi="Arial"/>
                <w:lang w:bidi="ar-SA"/>
              </w:rPr>
              <w:t>150 ng/kg bw/day</w:t>
            </w:r>
          </w:p>
        </w:tc>
      </w:tr>
      <w:tr w:rsidR="00900C86" w14:paraId="137CE1FD" w14:textId="77777777" w:rsidTr="00F6284E">
        <w:trPr>
          <w:jc w:val="center"/>
        </w:trPr>
        <w:tc>
          <w:tcPr>
            <w:tcW w:w="2096" w:type="dxa"/>
            <w:vAlign w:val="center"/>
          </w:tcPr>
          <w:p w14:paraId="592B91CD" w14:textId="1804D06D" w:rsidR="00900C86" w:rsidRPr="00900C86" w:rsidRDefault="00900C86" w:rsidP="00A111E9">
            <w:pPr>
              <w:pStyle w:val="FSTableText"/>
              <w:rPr>
                <w:rFonts w:ascii="Arial" w:hAnsi="Arial"/>
                <w:lang w:bidi="ar-SA"/>
              </w:rPr>
            </w:pPr>
            <w:r w:rsidRPr="00900C86">
              <w:rPr>
                <w:rFonts w:ascii="Arial" w:hAnsi="Arial"/>
                <w:lang w:bidi="ar-SA"/>
              </w:rPr>
              <w:t>Swedish EPA 2012</w:t>
            </w:r>
          </w:p>
        </w:tc>
        <w:tc>
          <w:tcPr>
            <w:tcW w:w="1980" w:type="dxa"/>
            <w:vAlign w:val="center"/>
          </w:tcPr>
          <w:p w14:paraId="778542C1" w14:textId="3C45C835" w:rsidR="00900C86" w:rsidRPr="00F6284E" w:rsidRDefault="00900C86" w:rsidP="00A111E9">
            <w:pPr>
              <w:pStyle w:val="FSTableText"/>
              <w:rPr>
                <w:rFonts w:ascii="Arial" w:hAnsi="Arial"/>
                <w:sz w:val="18"/>
              </w:rPr>
            </w:pPr>
            <w:r w:rsidRPr="000B3C14">
              <w:rPr>
                <w:sz w:val="18"/>
              </w:rPr>
              <w:t>Derived no effect level</w:t>
            </w:r>
            <w:r w:rsidRPr="00F6284E">
              <w:rPr>
                <w:sz w:val="18"/>
                <w:vertAlign w:val="superscript"/>
              </w:rPr>
              <w:t>2</w:t>
            </w:r>
            <w:r w:rsidRPr="00F6284E">
              <w:rPr>
                <w:sz w:val="18"/>
              </w:rPr>
              <w:t xml:space="preserve"> </w:t>
            </w:r>
            <w:r w:rsidR="00C14A97">
              <w:rPr>
                <w:rFonts w:ascii="Arial" w:hAnsi="Arial"/>
                <w:sz w:val="18"/>
                <w:lang w:bidi="ar-SA"/>
              </w:rPr>
              <w:t>(</w:t>
            </w:r>
            <w:r w:rsidRPr="00D711DD">
              <w:rPr>
                <w:sz w:val="18"/>
              </w:rPr>
              <w:t>immunotoxicty)</w:t>
            </w:r>
            <w:r w:rsidRPr="000B3C14">
              <w:rPr>
                <w:sz w:val="18"/>
                <w:vertAlign w:val="superscript"/>
              </w:rPr>
              <w:t>a</w:t>
            </w:r>
          </w:p>
        </w:tc>
        <w:tc>
          <w:tcPr>
            <w:tcW w:w="2375" w:type="dxa"/>
            <w:vAlign w:val="center"/>
          </w:tcPr>
          <w:p w14:paraId="4E5EEBC9" w14:textId="09406169" w:rsidR="00900C86" w:rsidRPr="00900C86" w:rsidRDefault="00D60FEF" w:rsidP="00A111E9">
            <w:pPr>
              <w:pStyle w:val="FSTableText"/>
              <w:rPr>
                <w:rFonts w:ascii="Arial" w:hAnsi="Arial"/>
                <w:lang w:bidi="ar-SA"/>
              </w:rPr>
            </w:pPr>
            <w:r>
              <w:rPr>
                <w:rFonts w:ascii="Arial" w:hAnsi="Arial"/>
                <w:lang w:bidi="ar-SA"/>
              </w:rPr>
              <w:t>17.8 ng/mL</w:t>
            </w:r>
            <w:r w:rsidR="00900C86" w:rsidRPr="00900C86">
              <w:rPr>
                <w:rFonts w:ascii="Arial" w:hAnsi="Arial"/>
                <w:lang w:bidi="ar-SA"/>
              </w:rPr>
              <w:t xml:space="preserve"> serum</w:t>
            </w:r>
          </w:p>
        </w:tc>
        <w:tc>
          <w:tcPr>
            <w:tcW w:w="851" w:type="dxa"/>
            <w:vAlign w:val="center"/>
          </w:tcPr>
          <w:p w14:paraId="2A8859A9" w14:textId="77777777" w:rsidR="00900C86" w:rsidRPr="00900C86" w:rsidRDefault="00900C86" w:rsidP="00A111E9">
            <w:pPr>
              <w:pStyle w:val="FSTableText"/>
              <w:rPr>
                <w:rFonts w:ascii="Arial" w:hAnsi="Arial"/>
                <w:lang w:bidi="ar-SA"/>
              </w:rPr>
            </w:pPr>
            <w:r w:rsidRPr="00900C86">
              <w:rPr>
                <w:rFonts w:ascii="Arial" w:hAnsi="Arial"/>
                <w:lang w:bidi="ar-SA"/>
              </w:rPr>
              <w:t>150</w:t>
            </w:r>
          </w:p>
        </w:tc>
        <w:tc>
          <w:tcPr>
            <w:tcW w:w="1984" w:type="dxa"/>
            <w:vAlign w:val="center"/>
          </w:tcPr>
          <w:p w14:paraId="4BE4617D" w14:textId="0FE61899" w:rsidR="00900C86" w:rsidRPr="00900C86" w:rsidRDefault="00D60FEF" w:rsidP="00A111E9">
            <w:pPr>
              <w:pStyle w:val="FSTableText"/>
              <w:rPr>
                <w:rFonts w:ascii="Arial" w:hAnsi="Arial"/>
                <w:lang w:bidi="ar-SA"/>
              </w:rPr>
            </w:pPr>
            <w:r>
              <w:rPr>
                <w:rFonts w:ascii="Arial" w:hAnsi="Arial"/>
                <w:lang w:bidi="ar-SA"/>
              </w:rPr>
              <w:t>0.12 ng/mL</w:t>
            </w:r>
            <w:r w:rsidR="00900C86" w:rsidRPr="00900C86">
              <w:rPr>
                <w:rFonts w:ascii="Arial" w:hAnsi="Arial"/>
                <w:lang w:bidi="ar-SA"/>
              </w:rPr>
              <w:t xml:space="preserve"> serum</w:t>
            </w:r>
          </w:p>
        </w:tc>
      </w:tr>
      <w:tr w:rsidR="00900C86" w14:paraId="301D30EF" w14:textId="77777777" w:rsidTr="00F6284E">
        <w:trPr>
          <w:jc w:val="center"/>
        </w:trPr>
        <w:tc>
          <w:tcPr>
            <w:tcW w:w="2096" w:type="dxa"/>
            <w:vAlign w:val="center"/>
          </w:tcPr>
          <w:p w14:paraId="38F657C4" w14:textId="0BBCA225" w:rsidR="00900C86" w:rsidRPr="00900C86" w:rsidRDefault="00900C86" w:rsidP="00A111E9">
            <w:pPr>
              <w:pStyle w:val="FSTableText"/>
              <w:rPr>
                <w:rFonts w:ascii="Arial" w:hAnsi="Arial"/>
                <w:lang w:bidi="ar-SA"/>
              </w:rPr>
            </w:pPr>
            <w:r w:rsidRPr="00900C86">
              <w:rPr>
                <w:rFonts w:ascii="Arial" w:hAnsi="Arial"/>
                <w:lang w:bidi="ar-SA"/>
              </w:rPr>
              <w:t>Danish EPA 2015</w:t>
            </w:r>
          </w:p>
        </w:tc>
        <w:tc>
          <w:tcPr>
            <w:tcW w:w="1980" w:type="dxa"/>
            <w:vAlign w:val="center"/>
          </w:tcPr>
          <w:p w14:paraId="5D91BE29" w14:textId="77777777" w:rsidR="00900C86" w:rsidRPr="00F6284E" w:rsidRDefault="00900C86" w:rsidP="00A111E9">
            <w:pPr>
              <w:pStyle w:val="FSTableText"/>
              <w:rPr>
                <w:rFonts w:ascii="Arial" w:hAnsi="Arial"/>
                <w:sz w:val="18"/>
              </w:rPr>
            </w:pPr>
            <w:r w:rsidRPr="000B3C14">
              <w:rPr>
                <w:sz w:val="18"/>
              </w:rPr>
              <w:t>Tolerable daily intake</w:t>
            </w:r>
            <w:r w:rsidRPr="00F6284E">
              <w:rPr>
                <w:sz w:val="18"/>
                <w:vertAlign w:val="superscript"/>
              </w:rPr>
              <w:t>1</w:t>
            </w:r>
          </w:p>
        </w:tc>
        <w:tc>
          <w:tcPr>
            <w:tcW w:w="2375" w:type="dxa"/>
            <w:vAlign w:val="center"/>
          </w:tcPr>
          <w:p w14:paraId="3B39216F" w14:textId="5C1E6754" w:rsidR="00900C86" w:rsidRPr="00900C86" w:rsidRDefault="00900C86" w:rsidP="00A111E9">
            <w:pPr>
              <w:pStyle w:val="FSTableText"/>
              <w:rPr>
                <w:rFonts w:ascii="Arial" w:hAnsi="Arial"/>
                <w:lang w:bidi="ar-SA"/>
              </w:rPr>
            </w:pPr>
            <w:r w:rsidRPr="00900C86">
              <w:rPr>
                <w:rFonts w:ascii="Arial" w:hAnsi="Arial"/>
                <w:lang w:bidi="ar-SA"/>
              </w:rPr>
              <w:t xml:space="preserve">0.033 mg/kg </w:t>
            </w:r>
            <w:r w:rsidR="00C14A97">
              <w:rPr>
                <w:rFonts w:ascii="Arial" w:hAnsi="Arial"/>
                <w:lang w:bidi="ar-SA"/>
              </w:rPr>
              <w:t>b</w:t>
            </w:r>
            <w:r w:rsidRPr="00900C86">
              <w:rPr>
                <w:rFonts w:ascii="Arial" w:hAnsi="Arial"/>
                <w:lang w:bidi="ar-SA"/>
              </w:rPr>
              <w:t>w/day</w:t>
            </w:r>
          </w:p>
        </w:tc>
        <w:tc>
          <w:tcPr>
            <w:tcW w:w="851" w:type="dxa"/>
            <w:vAlign w:val="center"/>
          </w:tcPr>
          <w:p w14:paraId="19C46071" w14:textId="77777777" w:rsidR="00900C86" w:rsidRPr="00900C86" w:rsidRDefault="00900C86" w:rsidP="00A111E9">
            <w:pPr>
              <w:pStyle w:val="FSTableText"/>
              <w:rPr>
                <w:rFonts w:ascii="Arial" w:hAnsi="Arial"/>
                <w:lang w:bidi="ar-SA"/>
              </w:rPr>
            </w:pPr>
            <w:r w:rsidRPr="00900C86">
              <w:rPr>
                <w:rFonts w:ascii="Arial" w:hAnsi="Arial"/>
                <w:lang w:bidi="ar-SA"/>
              </w:rPr>
              <w:t>1230</w:t>
            </w:r>
          </w:p>
        </w:tc>
        <w:tc>
          <w:tcPr>
            <w:tcW w:w="1984" w:type="dxa"/>
            <w:vAlign w:val="center"/>
          </w:tcPr>
          <w:p w14:paraId="1DB47C9C" w14:textId="77777777" w:rsidR="00900C86" w:rsidRPr="00900C86" w:rsidRDefault="00900C86" w:rsidP="00A111E9">
            <w:pPr>
              <w:pStyle w:val="FSTableText"/>
              <w:rPr>
                <w:rFonts w:ascii="Arial" w:hAnsi="Arial"/>
                <w:lang w:bidi="ar-SA"/>
              </w:rPr>
            </w:pPr>
            <w:r w:rsidRPr="00900C86">
              <w:rPr>
                <w:rFonts w:ascii="Arial" w:hAnsi="Arial"/>
                <w:lang w:bidi="ar-SA"/>
              </w:rPr>
              <w:t>30 ng/kg bw/day</w:t>
            </w:r>
          </w:p>
        </w:tc>
      </w:tr>
      <w:tr w:rsidR="00900C86" w14:paraId="39FC7EC2" w14:textId="77777777" w:rsidTr="00F6284E">
        <w:trPr>
          <w:jc w:val="center"/>
        </w:trPr>
        <w:tc>
          <w:tcPr>
            <w:tcW w:w="2096" w:type="dxa"/>
            <w:vAlign w:val="center"/>
          </w:tcPr>
          <w:p w14:paraId="6AEB0681" w14:textId="3309CCC5" w:rsidR="00900C86" w:rsidRPr="00900C86" w:rsidRDefault="00900C86" w:rsidP="00A111E9">
            <w:pPr>
              <w:pStyle w:val="FSTableText"/>
              <w:rPr>
                <w:rFonts w:ascii="Arial" w:hAnsi="Arial"/>
                <w:lang w:bidi="ar-SA"/>
              </w:rPr>
            </w:pPr>
            <w:r w:rsidRPr="00900C86">
              <w:rPr>
                <w:rFonts w:ascii="Arial" w:hAnsi="Arial"/>
                <w:lang w:bidi="ar-SA"/>
              </w:rPr>
              <w:t>ATSDR, 2015</w:t>
            </w:r>
          </w:p>
        </w:tc>
        <w:tc>
          <w:tcPr>
            <w:tcW w:w="1980" w:type="dxa"/>
            <w:vAlign w:val="center"/>
          </w:tcPr>
          <w:p w14:paraId="55658038" w14:textId="77777777" w:rsidR="00900C86" w:rsidRPr="00F6284E" w:rsidRDefault="00900C86" w:rsidP="00A111E9">
            <w:pPr>
              <w:pStyle w:val="FSTableText"/>
              <w:rPr>
                <w:rFonts w:ascii="Arial" w:hAnsi="Arial"/>
                <w:sz w:val="18"/>
              </w:rPr>
            </w:pPr>
            <w:r w:rsidRPr="000B3C14">
              <w:rPr>
                <w:sz w:val="18"/>
              </w:rPr>
              <w:t>Minimal risk level</w:t>
            </w:r>
            <w:r w:rsidRPr="00F6284E">
              <w:rPr>
                <w:sz w:val="18"/>
                <w:vertAlign w:val="superscript"/>
              </w:rPr>
              <w:t>3</w:t>
            </w:r>
          </w:p>
        </w:tc>
        <w:tc>
          <w:tcPr>
            <w:tcW w:w="2375" w:type="dxa"/>
            <w:vAlign w:val="center"/>
          </w:tcPr>
          <w:p w14:paraId="31F4B9D7" w14:textId="77777777" w:rsidR="00900C86" w:rsidRPr="00900C86" w:rsidRDefault="00900C86" w:rsidP="00A111E9">
            <w:pPr>
              <w:pStyle w:val="FSTableText"/>
              <w:rPr>
                <w:rFonts w:ascii="Arial" w:hAnsi="Arial"/>
                <w:lang w:bidi="ar-SA"/>
              </w:rPr>
            </w:pPr>
            <w:r w:rsidRPr="00900C86">
              <w:rPr>
                <w:rFonts w:ascii="Arial" w:hAnsi="Arial"/>
                <w:lang w:bidi="ar-SA"/>
              </w:rPr>
              <w:t>2.52 x 10</w:t>
            </w:r>
            <w:r w:rsidRPr="00900C86">
              <w:rPr>
                <w:rFonts w:ascii="Arial" w:hAnsi="Arial"/>
                <w:vertAlign w:val="superscript"/>
                <w:lang w:bidi="ar-SA"/>
              </w:rPr>
              <w:t>-3</w:t>
            </w:r>
            <w:r w:rsidRPr="00900C86">
              <w:rPr>
                <w:rFonts w:ascii="Arial" w:hAnsi="Arial"/>
                <w:lang w:bidi="ar-SA"/>
              </w:rPr>
              <w:t xml:space="preserve"> mg/kg bw/day</w:t>
            </w:r>
            <w:r w:rsidRPr="00900C86">
              <w:rPr>
                <w:rFonts w:ascii="Arial" w:hAnsi="Arial"/>
                <w:vertAlign w:val="superscript"/>
                <w:lang w:bidi="ar-SA"/>
              </w:rPr>
              <w:t>b</w:t>
            </w:r>
          </w:p>
        </w:tc>
        <w:tc>
          <w:tcPr>
            <w:tcW w:w="851" w:type="dxa"/>
            <w:vAlign w:val="center"/>
          </w:tcPr>
          <w:p w14:paraId="148A2A40" w14:textId="77777777" w:rsidR="00900C86" w:rsidRPr="00900C86" w:rsidRDefault="00900C86" w:rsidP="00A111E9">
            <w:pPr>
              <w:pStyle w:val="FSTableText"/>
              <w:rPr>
                <w:rFonts w:ascii="Arial" w:hAnsi="Arial"/>
                <w:lang w:bidi="ar-SA"/>
              </w:rPr>
            </w:pPr>
            <w:r w:rsidRPr="00900C86">
              <w:rPr>
                <w:rFonts w:ascii="Arial" w:hAnsi="Arial"/>
                <w:lang w:bidi="ar-SA"/>
              </w:rPr>
              <w:t>90</w:t>
            </w:r>
          </w:p>
        </w:tc>
        <w:tc>
          <w:tcPr>
            <w:tcW w:w="1984" w:type="dxa"/>
            <w:vAlign w:val="center"/>
          </w:tcPr>
          <w:p w14:paraId="1383951F" w14:textId="77777777" w:rsidR="00900C86" w:rsidRPr="00900C86" w:rsidRDefault="00900C86" w:rsidP="00A111E9">
            <w:pPr>
              <w:pStyle w:val="FSTableText"/>
              <w:rPr>
                <w:rFonts w:ascii="Arial" w:hAnsi="Arial"/>
                <w:lang w:bidi="ar-SA"/>
              </w:rPr>
            </w:pPr>
            <w:r w:rsidRPr="00900C86">
              <w:rPr>
                <w:rFonts w:ascii="Arial" w:hAnsi="Arial"/>
                <w:lang w:bidi="ar-SA"/>
              </w:rPr>
              <w:t>30 ng/kg bw/day</w:t>
            </w:r>
          </w:p>
        </w:tc>
      </w:tr>
      <w:tr w:rsidR="00900C86" w14:paraId="0A03C60E" w14:textId="77777777" w:rsidTr="00F6284E">
        <w:trPr>
          <w:jc w:val="center"/>
        </w:trPr>
        <w:tc>
          <w:tcPr>
            <w:tcW w:w="2096" w:type="dxa"/>
            <w:vAlign w:val="center"/>
          </w:tcPr>
          <w:p w14:paraId="2697B0AB" w14:textId="44F4D209" w:rsidR="00900C86" w:rsidRPr="00900C86" w:rsidRDefault="00900C86" w:rsidP="00A111E9">
            <w:pPr>
              <w:pStyle w:val="FSTableText"/>
              <w:spacing w:before="20" w:after="20"/>
              <w:rPr>
                <w:rFonts w:ascii="Arial" w:hAnsi="Arial"/>
                <w:lang w:bidi="ar-SA"/>
              </w:rPr>
            </w:pPr>
            <w:r w:rsidRPr="00900C86">
              <w:rPr>
                <w:rFonts w:ascii="Arial" w:hAnsi="Arial"/>
                <w:lang w:bidi="ar-SA"/>
              </w:rPr>
              <w:t>US EPA, 2016</w:t>
            </w:r>
          </w:p>
        </w:tc>
        <w:tc>
          <w:tcPr>
            <w:tcW w:w="1980" w:type="dxa"/>
            <w:vAlign w:val="center"/>
          </w:tcPr>
          <w:p w14:paraId="246161F2" w14:textId="77777777" w:rsidR="00900C86" w:rsidRPr="00F6284E" w:rsidRDefault="00900C86" w:rsidP="00A111E9">
            <w:pPr>
              <w:pStyle w:val="FSTableText"/>
              <w:spacing w:before="20" w:after="20"/>
              <w:rPr>
                <w:rFonts w:ascii="Arial" w:hAnsi="Arial"/>
                <w:sz w:val="18"/>
              </w:rPr>
            </w:pPr>
            <w:r w:rsidRPr="00D711DD">
              <w:rPr>
                <w:sz w:val="18"/>
              </w:rPr>
              <w:t>Reference dose</w:t>
            </w:r>
            <w:r w:rsidRPr="000B3C14">
              <w:rPr>
                <w:sz w:val="18"/>
                <w:vertAlign w:val="superscript"/>
              </w:rPr>
              <w:t>4</w:t>
            </w:r>
          </w:p>
        </w:tc>
        <w:tc>
          <w:tcPr>
            <w:tcW w:w="2375" w:type="dxa"/>
            <w:vAlign w:val="center"/>
          </w:tcPr>
          <w:p w14:paraId="46F741E0" w14:textId="77777777" w:rsidR="00900C86" w:rsidRPr="00900C86" w:rsidRDefault="00900C86" w:rsidP="00A111E9">
            <w:pPr>
              <w:pStyle w:val="FSTableText"/>
              <w:spacing w:before="20" w:after="20"/>
              <w:rPr>
                <w:rFonts w:ascii="Arial" w:hAnsi="Arial"/>
                <w:lang w:bidi="ar-SA"/>
              </w:rPr>
            </w:pPr>
            <w:r w:rsidRPr="00900C86">
              <w:rPr>
                <w:rFonts w:ascii="Arial" w:hAnsi="Arial"/>
                <w:lang w:bidi="ar-SA"/>
              </w:rPr>
              <w:t>0.00051 mg/kg bw/day</w:t>
            </w:r>
            <w:r w:rsidRPr="00900C86">
              <w:rPr>
                <w:rFonts w:ascii="Arial" w:hAnsi="Arial"/>
                <w:vertAlign w:val="superscript"/>
                <w:lang w:bidi="ar-SA"/>
              </w:rPr>
              <w:t>b</w:t>
            </w:r>
          </w:p>
        </w:tc>
        <w:tc>
          <w:tcPr>
            <w:tcW w:w="851" w:type="dxa"/>
            <w:vAlign w:val="center"/>
          </w:tcPr>
          <w:p w14:paraId="16A71AB9" w14:textId="77777777" w:rsidR="00900C86" w:rsidRPr="00900C86" w:rsidRDefault="00900C86" w:rsidP="00A111E9">
            <w:pPr>
              <w:pStyle w:val="FSTableText"/>
              <w:spacing w:before="20" w:after="20"/>
              <w:rPr>
                <w:rFonts w:ascii="Arial" w:hAnsi="Arial"/>
                <w:lang w:bidi="ar-SA"/>
              </w:rPr>
            </w:pPr>
            <w:r w:rsidRPr="00900C86">
              <w:rPr>
                <w:rFonts w:ascii="Arial" w:hAnsi="Arial"/>
                <w:lang w:bidi="ar-SA"/>
              </w:rPr>
              <w:t>30</w:t>
            </w:r>
          </w:p>
        </w:tc>
        <w:tc>
          <w:tcPr>
            <w:tcW w:w="1984" w:type="dxa"/>
            <w:vAlign w:val="center"/>
          </w:tcPr>
          <w:p w14:paraId="23B8F7B6" w14:textId="77777777" w:rsidR="00900C86" w:rsidRPr="00900C86" w:rsidRDefault="00900C86" w:rsidP="00A111E9">
            <w:pPr>
              <w:pStyle w:val="FSTableText"/>
              <w:spacing w:before="20" w:after="20"/>
              <w:rPr>
                <w:rFonts w:ascii="Arial" w:hAnsi="Arial"/>
                <w:lang w:bidi="ar-SA"/>
              </w:rPr>
            </w:pPr>
            <w:r w:rsidRPr="00900C86">
              <w:rPr>
                <w:rFonts w:ascii="Arial" w:hAnsi="Arial"/>
                <w:lang w:bidi="ar-SA"/>
              </w:rPr>
              <w:t>20 ng/kg bw/day</w:t>
            </w:r>
          </w:p>
        </w:tc>
      </w:tr>
      <w:tr w:rsidR="00900C86" w14:paraId="5A373E15" w14:textId="77777777" w:rsidTr="00F6284E">
        <w:trPr>
          <w:jc w:val="center"/>
        </w:trPr>
        <w:tc>
          <w:tcPr>
            <w:tcW w:w="9286" w:type="dxa"/>
            <w:gridSpan w:val="5"/>
            <w:vAlign w:val="center"/>
          </w:tcPr>
          <w:p w14:paraId="574A58A3" w14:textId="24047D8A" w:rsidR="00900C86" w:rsidRPr="00B91457" w:rsidRDefault="00900C86" w:rsidP="00A111E9">
            <w:pPr>
              <w:pStyle w:val="FSTableText"/>
              <w:spacing w:before="40" w:after="40"/>
              <w:rPr>
                <w:rFonts w:ascii="Arial" w:hAnsi="Arial"/>
                <w:b/>
              </w:rPr>
            </w:pPr>
            <w:r w:rsidRPr="00B91457">
              <w:rPr>
                <w:rFonts w:ascii="Arial" w:hAnsi="Arial"/>
                <w:b/>
              </w:rPr>
              <w:t>PFOA</w:t>
            </w:r>
          </w:p>
        </w:tc>
      </w:tr>
      <w:tr w:rsidR="00900C86" w14:paraId="2BDB8F57" w14:textId="77777777" w:rsidTr="00F6284E">
        <w:trPr>
          <w:jc w:val="center"/>
        </w:trPr>
        <w:tc>
          <w:tcPr>
            <w:tcW w:w="2096" w:type="dxa"/>
            <w:vAlign w:val="center"/>
          </w:tcPr>
          <w:p w14:paraId="7EA30261" w14:textId="3C3CDA33" w:rsidR="00900C86" w:rsidRPr="00900C86" w:rsidRDefault="00900C86" w:rsidP="00A111E9">
            <w:pPr>
              <w:pStyle w:val="FSTableText"/>
              <w:rPr>
                <w:rFonts w:ascii="Arial" w:hAnsi="Arial"/>
                <w:lang w:bidi="ar-SA"/>
              </w:rPr>
            </w:pPr>
            <w:r w:rsidRPr="00900C86">
              <w:rPr>
                <w:rFonts w:ascii="Arial" w:hAnsi="Arial"/>
                <w:lang w:bidi="ar-SA"/>
              </w:rPr>
              <w:t>UKCOT, 2006</w:t>
            </w:r>
          </w:p>
        </w:tc>
        <w:tc>
          <w:tcPr>
            <w:tcW w:w="1980" w:type="dxa"/>
            <w:vAlign w:val="center"/>
          </w:tcPr>
          <w:p w14:paraId="4E9F4DA1" w14:textId="058BA74E" w:rsidR="00900C86" w:rsidRPr="00F6284E" w:rsidRDefault="00900C86" w:rsidP="00A111E9">
            <w:pPr>
              <w:pStyle w:val="FSTableText"/>
              <w:rPr>
                <w:rFonts w:ascii="Arial" w:hAnsi="Arial"/>
                <w:sz w:val="18"/>
              </w:rPr>
            </w:pPr>
            <w:r w:rsidRPr="00F6284E">
              <w:rPr>
                <w:sz w:val="18"/>
              </w:rPr>
              <w:t>Tolerable Daily Intake</w:t>
            </w:r>
            <w:r w:rsidRPr="00F6284E">
              <w:rPr>
                <w:sz w:val="18"/>
                <w:vertAlign w:val="superscript"/>
              </w:rPr>
              <w:t>1</w:t>
            </w:r>
            <w:r w:rsidRPr="00F6284E">
              <w:rPr>
                <w:sz w:val="18"/>
              </w:rPr>
              <w:t xml:space="preserve"> (provisional)</w:t>
            </w:r>
          </w:p>
        </w:tc>
        <w:tc>
          <w:tcPr>
            <w:tcW w:w="2375" w:type="dxa"/>
            <w:vAlign w:val="center"/>
          </w:tcPr>
          <w:p w14:paraId="50720635" w14:textId="599E0778" w:rsidR="00900C86" w:rsidRPr="00900C86" w:rsidRDefault="00900C86" w:rsidP="00A111E9">
            <w:pPr>
              <w:pStyle w:val="FSTableText"/>
              <w:rPr>
                <w:rFonts w:ascii="Arial" w:hAnsi="Arial"/>
                <w:lang w:bidi="ar-SA"/>
              </w:rPr>
            </w:pPr>
            <w:r w:rsidRPr="00900C86">
              <w:rPr>
                <w:rFonts w:ascii="Arial" w:hAnsi="Arial"/>
                <w:lang w:bidi="ar-SA"/>
              </w:rPr>
              <w:t>0.3 mg/kg bw/day</w:t>
            </w:r>
          </w:p>
        </w:tc>
        <w:tc>
          <w:tcPr>
            <w:tcW w:w="851" w:type="dxa"/>
            <w:vAlign w:val="center"/>
          </w:tcPr>
          <w:p w14:paraId="41650E99" w14:textId="1E915FE9" w:rsidR="00900C86" w:rsidRPr="00900C86" w:rsidRDefault="00900C86" w:rsidP="00A111E9">
            <w:pPr>
              <w:pStyle w:val="FSTableText"/>
              <w:rPr>
                <w:rFonts w:ascii="Arial" w:hAnsi="Arial"/>
                <w:lang w:bidi="ar-SA"/>
              </w:rPr>
            </w:pPr>
            <w:r w:rsidRPr="00900C86">
              <w:rPr>
                <w:rFonts w:ascii="Arial" w:hAnsi="Arial"/>
                <w:lang w:bidi="ar-SA"/>
              </w:rPr>
              <w:t>200</w:t>
            </w:r>
          </w:p>
        </w:tc>
        <w:tc>
          <w:tcPr>
            <w:tcW w:w="1984" w:type="dxa"/>
            <w:vAlign w:val="center"/>
          </w:tcPr>
          <w:p w14:paraId="5CEDDA46" w14:textId="4A1934E7" w:rsidR="00900C86" w:rsidRPr="00900C86" w:rsidRDefault="00900C86" w:rsidP="00A111E9">
            <w:pPr>
              <w:pStyle w:val="FSTableText"/>
              <w:rPr>
                <w:rFonts w:ascii="Arial" w:hAnsi="Arial"/>
                <w:lang w:bidi="ar-SA"/>
              </w:rPr>
            </w:pPr>
            <w:r w:rsidRPr="00900C86">
              <w:rPr>
                <w:rFonts w:ascii="Arial" w:hAnsi="Arial"/>
                <w:lang w:bidi="ar-SA"/>
              </w:rPr>
              <w:t>1.5 μg/kg bw/day</w:t>
            </w:r>
          </w:p>
        </w:tc>
      </w:tr>
      <w:tr w:rsidR="00900C86" w14:paraId="13EE88A5" w14:textId="77777777" w:rsidTr="00F6284E">
        <w:trPr>
          <w:jc w:val="center"/>
        </w:trPr>
        <w:tc>
          <w:tcPr>
            <w:tcW w:w="2096" w:type="dxa"/>
            <w:vAlign w:val="center"/>
          </w:tcPr>
          <w:p w14:paraId="2116C344" w14:textId="6898A963" w:rsidR="00900C86" w:rsidRPr="00900C86" w:rsidRDefault="00900C86" w:rsidP="00A111E9">
            <w:pPr>
              <w:pStyle w:val="FSTableText"/>
              <w:rPr>
                <w:rFonts w:ascii="Arial" w:hAnsi="Arial"/>
                <w:lang w:bidi="ar-SA"/>
              </w:rPr>
            </w:pPr>
            <w:r w:rsidRPr="00900C86">
              <w:rPr>
                <w:rFonts w:ascii="Arial" w:hAnsi="Arial"/>
                <w:lang w:bidi="ar-SA"/>
              </w:rPr>
              <w:t>EFSA, 2008</w:t>
            </w:r>
          </w:p>
        </w:tc>
        <w:tc>
          <w:tcPr>
            <w:tcW w:w="1980" w:type="dxa"/>
            <w:vAlign w:val="center"/>
          </w:tcPr>
          <w:p w14:paraId="014DC633" w14:textId="1AC1A45A" w:rsidR="00900C86" w:rsidRPr="00F6284E" w:rsidRDefault="00900C86" w:rsidP="00A111E9">
            <w:pPr>
              <w:pStyle w:val="FSTableText"/>
              <w:rPr>
                <w:rFonts w:ascii="Arial" w:hAnsi="Arial"/>
                <w:sz w:val="18"/>
              </w:rPr>
            </w:pPr>
            <w:r w:rsidRPr="000B3C14">
              <w:rPr>
                <w:sz w:val="18"/>
              </w:rPr>
              <w:t>Tolerable Daily Intake</w:t>
            </w:r>
            <w:r w:rsidRPr="00F6284E">
              <w:rPr>
                <w:sz w:val="18"/>
                <w:vertAlign w:val="superscript"/>
              </w:rPr>
              <w:t>1</w:t>
            </w:r>
          </w:p>
        </w:tc>
        <w:tc>
          <w:tcPr>
            <w:tcW w:w="2375" w:type="dxa"/>
            <w:vAlign w:val="center"/>
          </w:tcPr>
          <w:p w14:paraId="1FB93260" w14:textId="11CACEBD" w:rsidR="00900C86" w:rsidRPr="00900C86" w:rsidRDefault="00900C86" w:rsidP="00A111E9">
            <w:pPr>
              <w:pStyle w:val="FSTableText"/>
              <w:rPr>
                <w:rFonts w:ascii="Arial" w:hAnsi="Arial"/>
                <w:lang w:bidi="ar-SA"/>
              </w:rPr>
            </w:pPr>
            <w:r w:rsidRPr="00900C86">
              <w:rPr>
                <w:rFonts w:ascii="Arial" w:hAnsi="Arial"/>
                <w:lang w:bidi="ar-SA"/>
              </w:rPr>
              <w:t>0.3 mg/kg bw/day</w:t>
            </w:r>
          </w:p>
        </w:tc>
        <w:tc>
          <w:tcPr>
            <w:tcW w:w="851" w:type="dxa"/>
            <w:vAlign w:val="center"/>
          </w:tcPr>
          <w:p w14:paraId="1ECE47EC" w14:textId="2C69EB6C" w:rsidR="00900C86" w:rsidRPr="00900C86" w:rsidRDefault="00900C86" w:rsidP="00A111E9">
            <w:pPr>
              <w:pStyle w:val="FSTableText"/>
              <w:rPr>
                <w:rFonts w:ascii="Arial" w:hAnsi="Arial"/>
                <w:lang w:bidi="ar-SA"/>
              </w:rPr>
            </w:pPr>
            <w:r w:rsidRPr="00900C86">
              <w:rPr>
                <w:rFonts w:ascii="Arial" w:hAnsi="Arial"/>
                <w:lang w:bidi="ar-SA"/>
              </w:rPr>
              <w:t>200</w:t>
            </w:r>
          </w:p>
        </w:tc>
        <w:tc>
          <w:tcPr>
            <w:tcW w:w="1984" w:type="dxa"/>
            <w:vAlign w:val="center"/>
          </w:tcPr>
          <w:p w14:paraId="6AA9ECCE" w14:textId="76796200" w:rsidR="00900C86" w:rsidRPr="00900C86" w:rsidRDefault="00900C86" w:rsidP="00A111E9">
            <w:pPr>
              <w:pStyle w:val="FSTableText"/>
              <w:rPr>
                <w:rFonts w:ascii="Arial" w:hAnsi="Arial"/>
                <w:lang w:bidi="ar-SA"/>
              </w:rPr>
            </w:pPr>
            <w:r w:rsidRPr="00900C86">
              <w:rPr>
                <w:rFonts w:ascii="Arial" w:hAnsi="Arial"/>
                <w:lang w:bidi="ar-SA"/>
              </w:rPr>
              <w:t>1.5 µg/kg bw/day</w:t>
            </w:r>
          </w:p>
        </w:tc>
      </w:tr>
      <w:tr w:rsidR="00900C86" w14:paraId="1C1727C2" w14:textId="77777777" w:rsidTr="00F6284E">
        <w:trPr>
          <w:jc w:val="center"/>
        </w:trPr>
        <w:tc>
          <w:tcPr>
            <w:tcW w:w="2096" w:type="dxa"/>
            <w:vAlign w:val="center"/>
          </w:tcPr>
          <w:p w14:paraId="40FCF018" w14:textId="29B19D0D" w:rsidR="00900C86" w:rsidRPr="00900C86" w:rsidRDefault="00900C86" w:rsidP="00A111E9">
            <w:pPr>
              <w:pStyle w:val="FSTableText"/>
              <w:rPr>
                <w:rFonts w:ascii="Arial" w:hAnsi="Arial"/>
                <w:lang w:bidi="ar-SA"/>
              </w:rPr>
            </w:pPr>
            <w:r w:rsidRPr="00900C86">
              <w:rPr>
                <w:rFonts w:ascii="Arial" w:hAnsi="Arial"/>
                <w:lang w:bidi="ar-SA"/>
              </w:rPr>
              <w:t>Swedish EPA, 2012</w:t>
            </w:r>
          </w:p>
        </w:tc>
        <w:tc>
          <w:tcPr>
            <w:tcW w:w="1980" w:type="dxa"/>
            <w:vAlign w:val="center"/>
          </w:tcPr>
          <w:p w14:paraId="42938D81" w14:textId="22F619FC" w:rsidR="00900C86" w:rsidRPr="00F6284E" w:rsidRDefault="00900C86" w:rsidP="00A111E9">
            <w:pPr>
              <w:pStyle w:val="FSTableText"/>
              <w:rPr>
                <w:rFonts w:ascii="Arial" w:hAnsi="Arial"/>
                <w:sz w:val="18"/>
              </w:rPr>
            </w:pPr>
            <w:r w:rsidRPr="000B3C14">
              <w:rPr>
                <w:sz w:val="18"/>
              </w:rPr>
              <w:t>Derived No Effect Level</w:t>
            </w:r>
            <w:r w:rsidR="00B5419D" w:rsidRPr="00BC19E6">
              <w:rPr>
                <w:sz w:val="18"/>
                <w:vertAlign w:val="superscript"/>
              </w:rPr>
              <w:t>2</w:t>
            </w:r>
          </w:p>
        </w:tc>
        <w:tc>
          <w:tcPr>
            <w:tcW w:w="2375" w:type="dxa"/>
            <w:vAlign w:val="center"/>
          </w:tcPr>
          <w:p w14:paraId="31A85DF6" w14:textId="20619B6C" w:rsidR="00900C86" w:rsidRPr="00900C86" w:rsidRDefault="00900C86" w:rsidP="00A111E9">
            <w:pPr>
              <w:pStyle w:val="FSTableText"/>
              <w:rPr>
                <w:rFonts w:ascii="Arial" w:hAnsi="Arial"/>
                <w:lang w:bidi="ar-SA"/>
              </w:rPr>
            </w:pPr>
            <w:r w:rsidRPr="00900C86">
              <w:rPr>
                <w:rFonts w:ascii="Arial" w:hAnsi="Arial"/>
                <w:lang w:bidi="ar-SA"/>
              </w:rPr>
              <w:t>150 ng per mL serum</w:t>
            </w:r>
          </w:p>
        </w:tc>
        <w:tc>
          <w:tcPr>
            <w:tcW w:w="851" w:type="dxa"/>
            <w:vAlign w:val="center"/>
          </w:tcPr>
          <w:p w14:paraId="232986E0" w14:textId="5B943036" w:rsidR="00900C86" w:rsidRPr="00900C86" w:rsidRDefault="00900C86" w:rsidP="00A111E9">
            <w:pPr>
              <w:pStyle w:val="FSTableText"/>
              <w:rPr>
                <w:rFonts w:ascii="Arial" w:hAnsi="Arial"/>
                <w:lang w:bidi="ar-SA"/>
              </w:rPr>
            </w:pPr>
            <w:r w:rsidRPr="00900C86">
              <w:rPr>
                <w:rFonts w:ascii="Arial" w:hAnsi="Arial"/>
                <w:lang w:bidi="ar-SA"/>
              </w:rPr>
              <w:t>75</w:t>
            </w:r>
          </w:p>
        </w:tc>
        <w:tc>
          <w:tcPr>
            <w:tcW w:w="1984" w:type="dxa"/>
            <w:vAlign w:val="center"/>
          </w:tcPr>
          <w:p w14:paraId="0B28176B" w14:textId="5F0A6760" w:rsidR="00900C86" w:rsidRPr="00900C86" w:rsidRDefault="00900C86" w:rsidP="00A111E9">
            <w:pPr>
              <w:pStyle w:val="FSTableText"/>
              <w:rPr>
                <w:rFonts w:ascii="Arial" w:hAnsi="Arial"/>
                <w:lang w:bidi="ar-SA"/>
              </w:rPr>
            </w:pPr>
            <w:r w:rsidRPr="00900C86">
              <w:rPr>
                <w:rFonts w:ascii="Arial" w:hAnsi="Arial"/>
                <w:lang w:bidi="ar-SA"/>
              </w:rPr>
              <w:t>2.0 ng/mL serum</w:t>
            </w:r>
          </w:p>
        </w:tc>
      </w:tr>
      <w:tr w:rsidR="00900C86" w14:paraId="73506BA7" w14:textId="77777777" w:rsidTr="00F6284E">
        <w:trPr>
          <w:jc w:val="center"/>
        </w:trPr>
        <w:tc>
          <w:tcPr>
            <w:tcW w:w="2096" w:type="dxa"/>
            <w:vAlign w:val="center"/>
          </w:tcPr>
          <w:p w14:paraId="3F5D06AF" w14:textId="2D2CACF6" w:rsidR="00900C86" w:rsidRPr="00900C86" w:rsidRDefault="00900C86" w:rsidP="00A111E9">
            <w:pPr>
              <w:pStyle w:val="FSTableText"/>
              <w:rPr>
                <w:rFonts w:ascii="Arial" w:hAnsi="Arial"/>
                <w:lang w:bidi="ar-SA"/>
              </w:rPr>
            </w:pPr>
            <w:r w:rsidRPr="00900C86">
              <w:rPr>
                <w:rFonts w:ascii="Arial" w:hAnsi="Arial"/>
                <w:lang w:bidi="ar-SA"/>
              </w:rPr>
              <w:t>Danish EPA, 2015</w:t>
            </w:r>
          </w:p>
        </w:tc>
        <w:tc>
          <w:tcPr>
            <w:tcW w:w="1980" w:type="dxa"/>
            <w:vAlign w:val="center"/>
          </w:tcPr>
          <w:p w14:paraId="6ED62CCE" w14:textId="25F4201A" w:rsidR="00900C86" w:rsidRPr="00F6284E" w:rsidRDefault="00900C86" w:rsidP="00A111E9">
            <w:pPr>
              <w:pStyle w:val="FSTableText"/>
              <w:rPr>
                <w:rFonts w:ascii="Arial" w:hAnsi="Arial"/>
                <w:sz w:val="18"/>
              </w:rPr>
            </w:pPr>
            <w:r w:rsidRPr="000B3C14">
              <w:rPr>
                <w:sz w:val="18"/>
              </w:rPr>
              <w:t>Tolerable Daily Intake</w:t>
            </w:r>
            <w:r w:rsidRPr="00F6284E">
              <w:rPr>
                <w:sz w:val="18"/>
                <w:vertAlign w:val="superscript"/>
              </w:rPr>
              <w:t>1</w:t>
            </w:r>
          </w:p>
        </w:tc>
        <w:tc>
          <w:tcPr>
            <w:tcW w:w="2375" w:type="dxa"/>
            <w:vAlign w:val="center"/>
          </w:tcPr>
          <w:p w14:paraId="2981D4BF" w14:textId="5EA50FED" w:rsidR="00900C86" w:rsidRPr="00900C86" w:rsidRDefault="00900C86" w:rsidP="00537B58">
            <w:pPr>
              <w:pStyle w:val="FSTableText"/>
              <w:rPr>
                <w:rFonts w:ascii="Arial" w:hAnsi="Arial"/>
                <w:lang w:bidi="ar-SA"/>
              </w:rPr>
            </w:pPr>
            <w:r w:rsidRPr="00900C86">
              <w:rPr>
                <w:rFonts w:ascii="Arial" w:hAnsi="Arial"/>
                <w:lang w:bidi="ar-SA"/>
              </w:rPr>
              <w:t>0.003 mg/kg bw/day</w:t>
            </w:r>
          </w:p>
        </w:tc>
        <w:tc>
          <w:tcPr>
            <w:tcW w:w="851" w:type="dxa"/>
            <w:vAlign w:val="center"/>
          </w:tcPr>
          <w:p w14:paraId="74CB6B3D" w14:textId="51C6685E" w:rsidR="00900C86" w:rsidRPr="00900C86" w:rsidRDefault="00900C86" w:rsidP="00A111E9">
            <w:pPr>
              <w:pStyle w:val="FSTableText"/>
              <w:rPr>
                <w:rFonts w:ascii="Arial" w:hAnsi="Arial"/>
                <w:lang w:bidi="ar-SA"/>
              </w:rPr>
            </w:pPr>
            <w:r w:rsidRPr="00900C86">
              <w:rPr>
                <w:rFonts w:ascii="Arial" w:hAnsi="Arial"/>
                <w:lang w:bidi="ar-SA"/>
              </w:rPr>
              <w:t>30</w:t>
            </w:r>
          </w:p>
        </w:tc>
        <w:tc>
          <w:tcPr>
            <w:tcW w:w="1984" w:type="dxa"/>
            <w:vAlign w:val="center"/>
          </w:tcPr>
          <w:p w14:paraId="3ADE0AC8" w14:textId="439EBFEE" w:rsidR="00900C86" w:rsidRPr="00900C86" w:rsidRDefault="00900C86" w:rsidP="00A111E9">
            <w:pPr>
              <w:pStyle w:val="FSTableText"/>
              <w:rPr>
                <w:rFonts w:ascii="Arial" w:hAnsi="Arial"/>
                <w:lang w:bidi="ar-SA"/>
              </w:rPr>
            </w:pPr>
            <w:r w:rsidRPr="00900C86">
              <w:rPr>
                <w:rFonts w:ascii="Arial" w:hAnsi="Arial"/>
                <w:lang w:bidi="ar-SA"/>
              </w:rPr>
              <w:t>100 ng/kg/day</w:t>
            </w:r>
          </w:p>
        </w:tc>
      </w:tr>
      <w:tr w:rsidR="00900C86" w14:paraId="4F0C56A0" w14:textId="77777777" w:rsidTr="00F6284E">
        <w:trPr>
          <w:jc w:val="center"/>
        </w:trPr>
        <w:tc>
          <w:tcPr>
            <w:tcW w:w="2096" w:type="dxa"/>
            <w:vAlign w:val="center"/>
          </w:tcPr>
          <w:p w14:paraId="6F3ECD11" w14:textId="7B02AF3C" w:rsidR="00900C86" w:rsidRPr="00900C86" w:rsidRDefault="00900C86" w:rsidP="00A111E9">
            <w:pPr>
              <w:pStyle w:val="FSTableText"/>
              <w:rPr>
                <w:rFonts w:ascii="Arial" w:hAnsi="Arial"/>
                <w:lang w:bidi="ar-SA"/>
              </w:rPr>
            </w:pPr>
            <w:r w:rsidRPr="00900C86">
              <w:rPr>
                <w:rFonts w:ascii="Arial" w:hAnsi="Arial"/>
                <w:lang w:bidi="ar-SA"/>
              </w:rPr>
              <w:t>ATSDR, 2015</w:t>
            </w:r>
          </w:p>
        </w:tc>
        <w:tc>
          <w:tcPr>
            <w:tcW w:w="1980" w:type="dxa"/>
            <w:vAlign w:val="center"/>
          </w:tcPr>
          <w:p w14:paraId="574DF87D" w14:textId="062DF983" w:rsidR="00900C86" w:rsidRPr="00F6284E" w:rsidRDefault="00900C86" w:rsidP="00B5419D">
            <w:pPr>
              <w:pStyle w:val="FSTableText"/>
              <w:rPr>
                <w:rFonts w:ascii="Arial" w:hAnsi="Arial"/>
                <w:sz w:val="18"/>
              </w:rPr>
            </w:pPr>
            <w:r w:rsidRPr="000B3C14">
              <w:rPr>
                <w:sz w:val="18"/>
              </w:rPr>
              <w:t xml:space="preserve">Minimal Risk </w:t>
            </w:r>
            <w:r w:rsidR="00B5419D" w:rsidRPr="000B3C14">
              <w:rPr>
                <w:sz w:val="18"/>
              </w:rPr>
              <w:t>Level</w:t>
            </w:r>
            <w:r w:rsidR="00B5419D">
              <w:rPr>
                <w:sz w:val="18"/>
                <w:vertAlign w:val="superscript"/>
              </w:rPr>
              <w:t>3</w:t>
            </w:r>
          </w:p>
        </w:tc>
        <w:tc>
          <w:tcPr>
            <w:tcW w:w="2375" w:type="dxa"/>
            <w:vAlign w:val="center"/>
          </w:tcPr>
          <w:p w14:paraId="6542C23A" w14:textId="0724B10A" w:rsidR="00900C86" w:rsidRPr="00900C86" w:rsidRDefault="00900C86" w:rsidP="00A111E9">
            <w:pPr>
              <w:pStyle w:val="FSTableText"/>
              <w:rPr>
                <w:rFonts w:ascii="Arial" w:hAnsi="Arial"/>
                <w:lang w:bidi="ar-SA"/>
              </w:rPr>
            </w:pPr>
            <w:r w:rsidRPr="00900C86">
              <w:rPr>
                <w:rFonts w:ascii="Arial" w:hAnsi="Arial"/>
                <w:lang w:bidi="ar-SA"/>
              </w:rPr>
              <w:t>1.54 x 10-3 mg/kg bw/day</w:t>
            </w:r>
            <w:r w:rsidRPr="00900C86">
              <w:rPr>
                <w:rFonts w:ascii="Arial" w:hAnsi="Arial"/>
                <w:vertAlign w:val="superscript"/>
                <w:lang w:bidi="ar-SA"/>
              </w:rPr>
              <w:t>b</w:t>
            </w:r>
          </w:p>
        </w:tc>
        <w:tc>
          <w:tcPr>
            <w:tcW w:w="851" w:type="dxa"/>
            <w:vAlign w:val="center"/>
          </w:tcPr>
          <w:p w14:paraId="4D221DB6" w14:textId="25A87C5D" w:rsidR="00900C86" w:rsidRPr="00900C86" w:rsidRDefault="00900C86" w:rsidP="00A111E9">
            <w:pPr>
              <w:pStyle w:val="FSTableText"/>
              <w:rPr>
                <w:rFonts w:ascii="Arial" w:hAnsi="Arial"/>
                <w:lang w:bidi="ar-SA"/>
              </w:rPr>
            </w:pPr>
            <w:r w:rsidRPr="00900C86">
              <w:rPr>
                <w:rFonts w:ascii="Arial" w:hAnsi="Arial"/>
                <w:lang w:bidi="ar-SA"/>
              </w:rPr>
              <w:t>90</w:t>
            </w:r>
          </w:p>
        </w:tc>
        <w:tc>
          <w:tcPr>
            <w:tcW w:w="1984" w:type="dxa"/>
            <w:vAlign w:val="center"/>
          </w:tcPr>
          <w:p w14:paraId="30DAA583" w14:textId="4BB7CA4F" w:rsidR="00900C86" w:rsidRPr="00900C86" w:rsidRDefault="00900C86" w:rsidP="00A111E9">
            <w:pPr>
              <w:pStyle w:val="FSTableText"/>
              <w:rPr>
                <w:rFonts w:ascii="Arial" w:hAnsi="Arial"/>
                <w:lang w:bidi="ar-SA"/>
              </w:rPr>
            </w:pPr>
            <w:r w:rsidRPr="00900C86">
              <w:rPr>
                <w:rFonts w:ascii="Arial" w:hAnsi="Arial"/>
                <w:lang w:bidi="ar-SA"/>
              </w:rPr>
              <w:t>20 ng/kg/day</w:t>
            </w:r>
          </w:p>
        </w:tc>
      </w:tr>
      <w:tr w:rsidR="00900C86" w14:paraId="10B2920B" w14:textId="77777777" w:rsidTr="00F6284E">
        <w:trPr>
          <w:jc w:val="center"/>
        </w:trPr>
        <w:tc>
          <w:tcPr>
            <w:tcW w:w="2096" w:type="dxa"/>
            <w:vAlign w:val="center"/>
          </w:tcPr>
          <w:p w14:paraId="27640F45" w14:textId="4EFD61BC" w:rsidR="00900C86" w:rsidRPr="00900C86" w:rsidRDefault="00900C86" w:rsidP="00A111E9">
            <w:pPr>
              <w:pStyle w:val="FSTableText"/>
              <w:spacing w:before="20" w:after="20"/>
              <w:rPr>
                <w:rFonts w:ascii="Arial" w:hAnsi="Arial"/>
                <w:lang w:bidi="ar-SA"/>
              </w:rPr>
            </w:pPr>
            <w:r w:rsidRPr="00900C86">
              <w:rPr>
                <w:rFonts w:ascii="Arial" w:hAnsi="Arial"/>
                <w:lang w:bidi="ar-SA"/>
              </w:rPr>
              <w:t>US EPA, 2016</w:t>
            </w:r>
          </w:p>
        </w:tc>
        <w:tc>
          <w:tcPr>
            <w:tcW w:w="1980" w:type="dxa"/>
            <w:vAlign w:val="center"/>
          </w:tcPr>
          <w:p w14:paraId="44AA870F" w14:textId="51A21F25" w:rsidR="00900C86" w:rsidRPr="00F6284E" w:rsidRDefault="00900C86" w:rsidP="00B5419D">
            <w:pPr>
              <w:pStyle w:val="FSTableText"/>
              <w:spacing w:before="20" w:after="20"/>
              <w:rPr>
                <w:rFonts w:ascii="Arial" w:hAnsi="Arial"/>
                <w:sz w:val="18"/>
              </w:rPr>
            </w:pPr>
            <w:r w:rsidRPr="00D711DD">
              <w:rPr>
                <w:sz w:val="18"/>
              </w:rPr>
              <w:t xml:space="preserve">Reference </w:t>
            </w:r>
            <w:r w:rsidR="00B5419D" w:rsidRPr="00D711DD">
              <w:rPr>
                <w:sz w:val="18"/>
              </w:rPr>
              <w:t>Dose</w:t>
            </w:r>
            <w:r w:rsidR="00B5419D">
              <w:rPr>
                <w:sz w:val="18"/>
                <w:vertAlign w:val="superscript"/>
              </w:rPr>
              <w:t>4</w:t>
            </w:r>
          </w:p>
        </w:tc>
        <w:tc>
          <w:tcPr>
            <w:tcW w:w="2375" w:type="dxa"/>
            <w:vAlign w:val="center"/>
          </w:tcPr>
          <w:p w14:paraId="5D0C1EBE" w14:textId="1086191C" w:rsidR="00900C86" w:rsidRPr="00900C86" w:rsidRDefault="00900C86" w:rsidP="00A111E9">
            <w:pPr>
              <w:pStyle w:val="FSTableText"/>
              <w:spacing w:before="20" w:after="20"/>
              <w:rPr>
                <w:rFonts w:ascii="Arial" w:hAnsi="Arial"/>
                <w:lang w:bidi="ar-SA"/>
              </w:rPr>
            </w:pPr>
            <w:r w:rsidRPr="00900C86">
              <w:rPr>
                <w:rFonts w:ascii="Arial" w:hAnsi="Arial"/>
                <w:lang w:bidi="ar-SA"/>
              </w:rPr>
              <w:t>0.0053 mg/kg bw/day</w:t>
            </w:r>
            <w:r w:rsidRPr="00900C86">
              <w:rPr>
                <w:rFonts w:ascii="Arial" w:hAnsi="Arial"/>
                <w:vertAlign w:val="superscript"/>
                <w:lang w:bidi="ar-SA"/>
              </w:rPr>
              <w:t>b</w:t>
            </w:r>
          </w:p>
        </w:tc>
        <w:tc>
          <w:tcPr>
            <w:tcW w:w="851" w:type="dxa"/>
            <w:vAlign w:val="center"/>
          </w:tcPr>
          <w:p w14:paraId="35044620" w14:textId="037E0DAF" w:rsidR="00900C86" w:rsidRPr="00900C86" w:rsidRDefault="00900C86" w:rsidP="00A111E9">
            <w:pPr>
              <w:pStyle w:val="FSTableText"/>
              <w:spacing w:before="20" w:after="20"/>
              <w:rPr>
                <w:rFonts w:ascii="Arial" w:hAnsi="Arial"/>
                <w:lang w:bidi="ar-SA"/>
              </w:rPr>
            </w:pPr>
            <w:r w:rsidRPr="00900C86">
              <w:rPr>
                <w:rFonts w:ascii="Arial" w:hAnsi="Arial"/>
                <w:lang w:bidi="ar-SA"/>
              </w:rPr>
              <w:t>300</w:t>
            </w:r>
          </w:p>
        </w:tc>
        <w:tc>
          <w:tcPr>
            <w:tcW w:w="1984" w:type="dxa"/>
            <w:vAlign w:val="center"/>
          </w:tcPr>
          <w:p w14:paraId="00031112" w14:textId="15DFA321" w:rsidR="00900C86" w:rsidRPr="00900C86" w:rsidRDefault="00900C86" w:rsidP="00A111E9">
            <w:pPr>
              <w:pStyle w:val="FSTableText"/>
              <w:spacing w:before="20" w:after="20"/>
              <w:rPr>
                <w:rFonts w:ascii="Arial" w:hAnsi="Arial"/>
                <w:lang w:bidi="ar-SA"/>
              </w:rPr>
            </w:pPr>
            <w:r w:rsidRPr="00900C86">
              <w:rPr>
                <w:rFonts w:ascii="Arial" w:hAnsi="Arial"/>
                <w:lang w:bidi="ar-SA"/>
              </w:rPr>
              <w:t>20 ng/kg/day</w:t>
            </w:r>
          </w:p>
        </w:tc>
      </w:tr>
    </w:tbl>
    <w:p w14:paraId="028FF0BF" w14:textId="731FBFE9" w:rsidR="00900C86" w:rsidRPr="008F034E" w:rsidRDefault="00900C86" w:rsidP="00A111E9">
      <w:pPr>
        <w:spacing w:before="120"/>
        <w:rPr>
          <w:sz w:val="16"/>
          <w:szCs w:val="16"/>
          <w:lang w:bidi="ar-SA"/>
        </w:rPr>
      </w:pPr>
      <w:r w:rsidRPr="008F034E">
        <w:rPr>
          <w:sz w:val="16"/>
          <w:szCs w:val="16"/>
          <w:lang w:bidi="ar-SA"/>
        </w:rPr>
        <w:t>HBGV = health-based guidance value; PoD = Point of Departure; UF = Uncertainty Factor</w:t>
      </w:r>
    </w:p>
    <w:p w14:paraId="7267EBC4" w14:textId="38754FC6" w:rsidR="00900C86" w:rsidRPr="008F034E" w:rsidRDefault="00900C86" w:rsidP="00A111E9">
      <w:pPr>
        <w:rPr>
          <w:sz w:val="16"/>
          <w:szCs w:val="16"/>
          <w:lang w:bidi="ar-SA"/>
        </w:rPr>
      </w:pPr>
      <w:r w:rsidRPr="008F034E">
        <w:rPr>
          <w:sz w:val="16"/>
          <w:szCs w:val="16"/>
          <w:vertAlign w:val="superscript"/>
          <w:lang w:bidi="ar-SA"/>
        </w:rPr>
        <w:t>a</w:t>
      </w:r>
      <w:r w:rsidRPr="008F034E">
        <w:rPr>
          <w:sz w:val="16"/>
          <w:szCs w:val="16"/>
          <w:lang w:bidi="ar-SA"/>
        </w:rPr>
        <w:t xml:space="preserve"> Higher Derived</w:t>
      </w:r>
      <w:r w:rsidR="001012A5">
        <w:rPr>
          <w:sz w:val="16"/>
          <w:szCs w:val="16"/>
          <w:lang w:bidi="ar-SA"/>
        </w:rPr>
        <w:t>-</w:t>
      </w:r>
      <w:r w:rsidRPr="008F034E">
        <w:rPr>
          <w:sz w:val="16"/>
          <w:szCs w:val="16"/>
          <w:lang w:bidi="ar-SA"/>
        </w:rPr>
        <w:t>No</w:t>
      </w:r>
      <w:r w:rsidR="001012A5">
        <w:rPr>
          <w:sz w:val="16"/>
          <w:szCs w:val="16"/>
          <w:lang w:bidi="ar-SA"/>
        </w:rPr>
        <w:t>-</w:t>
      </w:r>
      <w:r w:rsidRPr="008F034E">
        <w:rPr>
          <w:sz w:val="16"/>
          <w:szCs w:val="16"/>
          <w:lang w:bidi="ar-SA"/>
        </w:rPr>
        <w:t>Effect</w:t>
      </w:r>
      <w:r w:rsidR="001012A5">
        <w:rPr>
          <w:sz w:val="16"/>
          <w:szCs w:val="16"/>
          <w:lang w:bidi="ar-SA"/>
        </w:rPr>
        <w:t>-</w:t>
      </w:r>
      <w:r w:rsidRPr="008F034E">
        <w:rPr>
          <w:sz w:val="16"/>
          <w:szCs w:val="16"/>
          <w:lang w:bidi="ar-SA"/>
        </w:rPr>
        <w:t>Levels were also calculated by the Swedish EPA for hepatotoxicity and reproductive toxicity</w:t>
      </w:r>
    </w:p>
    <w:p w14:paraId="25388760" w14:textId="17FF3746" w:rsidR="00900C86" w:rsidRPr="008F034E" w:rsidRDefault="00900C86" w:rsidP="00A111E9">
      <w:pPr>
        <w:rPr>
          <w:sz w:val="16"/>
          <w:szCs w:val="16"/>
          <w:lang w:bidi="ar-SA"/>
        </w:rPr>
      </w:pPr>
      <w:r w:rsidRPr="008F034E">
        <w:rPr>
          <w:rFonts w:cs="Arial"/>
          <w:sz w:val="16"/>
          <w:szCs w:val="16"/>
          <w:vertAlign w:val="superscript"/>
          <w:lang w:bidi="ar-SA"/>
        </w:rPr>
        <w:t>b</w:t>
      </w:r>
      <w:r w:rsidRPr="008F034E">
        <w:rPr>
          <w:rFonts w:cs="Arial"/>
          <w:sz w:val="16"/>
          <w:szCs w:val="16"/>
          <w:lang w:bidi="ar-SA"/>
        </w:rPr>
        <w:t xml:space="preserve">Human Equivalent Dose (HED) using </w:t>
      </w:r>
      <w:r w:rsidR="00C14F4B">
        <w:rPr>
          <w:rFonts w:cs="Arial"/>
          <w:sz w:val="16"/>
          <w:szCs w:val="16"/>
          <w:lang w:bidi="ar-SA"/>
        </w:rPr>
        <w:t>PB</w:t>
      </w:r>
      <w:r w:rsidRPr="008F034E">
        <w:rPr>
          <w:rFonts w:cs="Arial"/>
          <w:sz w:val="16"/>
          <w:szCs w:val="16"/>
          <w:lang w:bidi="ar-SA"/>
        </w:rPr>
        <w:t>PK modelling</w:t>
      </w:r>
    </w:p>
    <w:p w14:paraId="3E5D67A9" w14:textId="07822E48" w:rsidR="00900C86" w:rsidRPr="008F034E" w:rsidRDefault="00900C86" w:rsidP="00A111E9">
      <w:pPr>
        <w:spacing w:after="120"/>
        <w:rPr>
          <w:sz w:val="16"/>
          <w:szCs w:val="16"/>
          <w:lang w:bidi="ar-SA"/>
        </w:rPr>
      </w:pPr>
      <w:r w:rsidRPr="008F034E">
        <w:rPr>
          <w:sz w:val="16"/>
          <w:szCs w:val="16"/>
          <w:vertAlign w:val="superscript"/>
          <w:lang w:bidi="ar-SA"/>
        </w:rPr>
        <w:t>1</w:t>
      </w:r>
      <w:r w:rsidRPr="008F034E">
        <w:rPr>
          <w:sz w:val="16"/>
          <w:szCs w:val="16"/>
          <w:lang w:bidi="ar-SA"/>
        </w:rPr>
        <w:t>A Tolerable Daily Intake is an estimate of the amount of a chemical in food or drinking</w:t>
      </w:r>
      <w:r w:rsidR="001012A5">
        <w:rPr>
          <w:sz w:val="16"/>
          <w:szCs w:val="16"/>
          <w:lang w:bidi="ar-SA"/>
        </w:rPr>
        <w:t xml:space="preserve"> </w:t>
      </w:r>
      <w:r w:rsidRPr="008F034E">
        <w:rPr>
          <w:sz w:val="16"/>
          <w:szCs w:val="16"/>
          <w:lang w:bidi="ar-SA"/>
        </w:rPr>
        <w:t>water, expressed on a body weight basis, that can be ingested daily over a lifetime without appreciable health risk to the consumer (FAO/WHO, 2009).</w:t>
      </w:r>
      <w:r w:rsidR="00B444B3">
        <w:rPr>
          <w:sz w:val="16"/>
          <w:szCs w:val="16"/>
          <w:lang w:bidi="ar-SA"/>
        </w:rPr>
        <w:br/>
      </w:r>
      <w:r w:rsidRPr="008F034E">
        <w:rPr>
          <w:sz w:val="16"/>
          <w:szCs w:val="16"/>
          <w:vertAlign w:val="superscript"/>
          <w:lang w:bidi="ar-SA"/>
        </w:rPr>
        <w:t>2</w:t>
      </w:r>
      <w:r w:rsidRPr="008F034E">
        <w:rPr>
          <w:sz w:val="16"/>
          <w:szCs w:val="16"/>
          <w:lang w:bidi="ar-SA"/>
        </w:rPr>
        <w:t>A Derived No Effect Level is the level of exposure to the substance above which humans sho</w:t>
      </w:r>
      <w:r w:rsidR="00B444B3">
        <w:rPr>
          <w:sz w:val="16"/>
          <w:szCs w:val="16"/>
          <w:lang w:bidi="ar-SA"/>
        </w:rPr>
        <w:t>uld not be exposed (ECHA, 2009)</w:t>
      </w:r>
      <w:r w:rsidR="00B444B3">
        <w:rPr>
          <w:sz w:val="16"/>
          <w:szCs w:val="16"/>
          <w:lang w:bidi="ar-SA"/>
        </w:rPr>
        <w:br/>
      </w:r>
      <w:r w:rsidRPr="008F034E">
        <w:rPr>
          <w:sz w:val="16"/>
          <w:szCs w:val="16"/>
          <w:vertAlign w:val="superscript"/>
          <w:lang w:bidi="ar-SA"/>
        </w:rPr>
        <w:t>3</w:t>
      </w:r>
      <w:r w:rsidRPr="008F034E">
        <w:rPr>
          <w:sz w:val="16"/>
          <w:szCs w:val="16"/>
          <w:lang w:bidi="ar-SA"/>
        </w:rPr>
        <w:t>A Minimal Risk Level is an estimate of the daily human exposure to a hazardous substance that is likely to be without appreciable risk of adverse noncancer health effects over a specified duration of exposure (ATSDR 2015).</w:t>
      </w:r>
      <w:r w:rsidR="00B444B3">
        <w:rPr>
          <w:sz w:val="16"/>
          <w:szCs w:val="16"/>
          <w:lang w:bidi="ar-SA"/>
        </w:rPr>
        <w:br/>
      </w:r>
      <w:r w:rsidRPr="008F034E">
        <w:rPr>
          <w:rFonts w:cs="Arial"/>
          <w:sz w:val="16"/>
          <w:szCs w:val="16"/>
          <w:vertAlign w:val="superscript"/>
          <w:lang w:bidi="ar-SA"/>
        </w:rPr>
        <w:t>4</w:t>
      </w:r>
      <w:r w:rsidRPr="008F034E">
        <w:rPr>
          <w:rFonts w:cs="Arial"/>
          <w:sz w:val="16"/>
          <w:szCs w:val="16"/>
          <w:lang w:bidi="ar-SA"/>
        </w:rPr>
        <w:t>A Reference Dose is an estimate, with uncertainty spanning perhaps an order of magnitude, of a daily oral exposure to the human population (including sensitive subgroups) that is likely to be without an appreciable risk of deleterious effects during a lifetime (US EPA, 2002).</w:t>
      </w:r>
    </w:p>
    <w:p w14:paraId="06ACB998" w14:textId="77777777" w:rsidR="00931B97" w:rsidRDefault="00931B97" w:rsidP="00A111E9">
      <w:pPr>
        <w:sectPr w:rsidR="00931B97" w:rsidSect="00F14DD2">
          <w:headerReference w:type="default" r:id="rId20"/>
          <w:footerReference w:type="even" r:id="rId21"/>
          <w:footerReference w:type="default" r:id="rId22"/>
          <w:headerReference w:type="first" r:id="rId23"/>
          <w:pgSz w:w="11906" w:h="16838"/>
          <w:pgMar w:top="1418" w:right="1418" w:bottom="1418" w:left="1418" w:header="709" w:footer="709" w:gutter="0"/>
          <w:cols w:space="708"/>
          <w:docGrid w:linePitch="360"/>
        </w:sectPr>
      </w:pPr>
    </w:p>
    <w:p w14:paraId="7DF6C5D8" w14:textId="76F5149F" w:rsidR="009A51A2" w:rsidRDefault="00AD236D" w:rsidP="00A111E9">
      <w:pPr>
        <w:pStyle w:val="Heading2"/>
      </w:pPr>
      <w:bookmarkStart w:id="41" w:name="_Toc468699211"/>
      <w:bookmarkStart w:id="42" w:name="_Toc468712740"/>
      <w:bookmarkStart w:id="43" w:name="_Toc468716442"/>
      <w:bookmarkStart w:id="44" w:name="_Toc468709429"/>
      <w:bookmarkStart w:id="45" w:name="_Toc468717728"/>
      <w:bookmarkStart w:id="46" w:name="_Toc468718372"/>
      <w:bookmarkStart w:id="47" w:name="_Toc468719362"/>
      <w:bookmarkStart w:id="48" w:name="_Toc468722167"/>
      <w:bookmarkStart w:id="49" w:name="_Toc468799237"/>
      <w:bookmarkStart w:id="50" w:name="_Toc468806560"/>
      <w:bookmarkStart w:id="51" w:name="_Toc468980974"/>
      <w:bookmarkStart w:id="52" w:name="_Toc482805095"/>
      <w:r>
        <w:lastRenderedPageBreak/>
        <w:t>2</w:t>
      </w:r>
      <w:r w:rsidR="003F04A9">
        <w:tab/>
      </w:r>
      <w:r w:rsidR="009A51A2">
        <w:t xml:space="preserve">Hazard </w:t>
      </w:r>
      <w:r w:rsidR="00A96ABD">
        <w:t>a</w:t>
      </w:r>
      <w:r w:rsidR="009A51A2">
        <w:t>ssessment</w:t>
      </w:r>
      <w:r w:rsidR="00C95940">
        <w:t xml:space="preserve"> P</w:t>
      </w:r>
      <w:r w:rsidR="00D95238">
        <w:t>F</w:t>
      </w:r>
      <w:r w:rsidR="00C95940">
        <w:t>OS</w:t>
      </w:r>
      <w:bookmarkEnd w:id="41"/>
      <w:bookmarkEnd w:id="42"/>
      <w:bookmarkEnd w:id="43"/>
      <w:bookmarkEnd w:id="44"/>
      <w:bookmarkEnd w:id="45"/>
      <w:bookmarkEnd w:id="46"/>
      <w:bookmarkEnd w:id="47"/>
      <w:bookmarkEnd w:id="48"/>
      <w:bookmarkEnd w:id="49"/>
      <w:bookmarkEnd w:id="50"/>
      <w:bookmarkEnd w:id="51"/>
      <w:bookmarkEnd w:id="52"/>
    </w:p>
    <w:p w14:paraId="7F10DF1C" w14:textId="147CB649" w:rsidR="009A51A2" w:rsidRDefault="00AD236D" w:rsidP="005F1486">
      <w:pPr>
        <w:pStyle w:val="Heading3"/>
      </w:pPr>
      <w:bookmarkStart w:id="53" w:name="_Toc468699212"/>
      <w:bookmarkStart w:id="54" w:name="_Toc468712741"/>
      <w:bookmarkStart w:id="55" w:name="_Toc468716443"/>
      <w:bookmarkStart w:id="56" w:name="_Toc468709430"/>
      <w:bookmarkStart w:id="57" w:name="_Toc468717729"/>
      <w:bookmarkStart w:id="58" w:name="_Toc468718373"/>
      <w:bookmarkStart w:id="59" w:name="_Toc468719363"/>
      <w:bookmarkStart w:id="60" w:name="_Toc468722168"/>
      <w:bookmarkStart w:id="61" w:name="_Toc468799238"/>
      <w:bookmarkStart w:id="62" w:name="_Toc468806561"/>
      <w:bookmarkStart w:id="63" w:name="_Toc468980975"/>
      <w:bookmarkStart w:id="64" w:name="_Toc482805096"/>
      <w:r>
        <w:t>2</w:t>
      </w:r>
      <w:r w:rsidR="003F04A9">
        <w:t>.1</w:t>
      </w:r>
      <w:r w:rsidR="003F04A9">
        <w:tab/>
      </w:r>
      <w:r w:rsidRPr="00AD236D">
        <w:t>Introduction</w:t>
      </w:r>
      <w:bookmarkEnd w:id="53"/>
      <w:bookmarkEnd w:id="54"/>
      <w:bookmarkEnd w:id="55"/>
      <w:bookmarkEnd w:id="56"/>
      <w:bookmarkEnd w:id="57"/>
      <w:bookmarkEnd w:id="58"/>
      <w:bookmarkEnd w:id="59"/>
      <w:bookmarkEnd w:id="60"/>
      <w:bookmarkEnd w:id="61"/>
      <w:bookmarkEnd w:id="62"/>
      <w:bookmarkEnd w:id="63"/>
      <w:bookmarkEnd w:id="64"/>
    </w:p>
    <w:p w14:paraId="6F22C89D" w14:textId="2511B335" w:rsidR="00AE751F" w:rsidRPr="00AA1C43" w:rsidRDefault="007F46CB" w:rsidP="000328C0">
      <w:pPr>
        <w:pStyle w:val="Heading4"/>
      </w:pPr>
      <w:bookmarkStart w:id="65" w:name="_Toc468699213"/>
      <w:bookmarkStart w:id="66" w:name="_Toc468712742"/>
      <w:bookmarkStart w:id="67" w:name="_Toc468716444"/>
      <w:bookmarkStart w:id="68" w:name="_Toc468709431"/>
      <w:bookmarkStart w:id="69" w:name="_Toc468717730"/>
      <w:bookmarkStart w:id="70" w:name="_Toc468718374"/>
      <w:bookmarkStart w:id="71" w:name="_Toc468719364"/>
      <w:bookmarkStart w:id="72" w:name="_Toc468722169"/>
      <w:bookmarkStart w:id="73" w:name="_Toc468799239"/>
      <w:bookmarkStart w:id="74" w:name="_Toc468806562"/>
      <w:bookmarkStart w:id="75" w:name="_Toc468980976"/>
      <w:r>
        <w:t>2.1.1</w:t>
      </w:r>
      <w:r w:rsidR="00AE751F" w:rsidRPr="00AA1C43">
        <w:t xml:space="preserve"> </w:t>
      </w:r>
      <w:r w:rsidR="006158C7">
        <w:tab/>
        <w:t>Overview</w:t>
      </w:r>
      <w:r w:rsidR="006D287C">
        <w:t xml:space="preserve"> </w:t>
      </w:r>
      <w:r w:rsidR="00AE751F" w:rsidRPr="00AA1C43">
        <w:t>P</w:t>
      </w:r>
      <w:r w:rsidR="00AE751F">
        <w:t>erfluorooctane sulfonate</w:t>
      </w:r>
      <w:bookmarkEnd w:id="65"/>
      <w:bookmarkEnd w:id="66"/>
      <w:bookmarkEnd w:id="67"/>
      <w:bookmarkEnd w:id="68"/>
      <w:bookmarkEnd w:id="69"/>
      <w:bookmarkEnd w:id="70"/>
      <w:bookmarkEnd w:id="71"/>
      <w:bookmarkEnd w:id="72"/>
      <w:bookmarkEnd w:id="73"/>
      <w:bookmarkEnd w:id="74"/>
      <w:bookmarkEnd w:id="75"/>
    </w:p>
    <w:p w14:paraId="5FC2228E" w14:textId="28364158" w:rsidR="00E5412F" w:rsidRDefault="003A5C51" w:rsidP="00A111E9">
      <w:pPr>
        <w:rPr>
          <w:lang w:bidi="ar-SA"/>
        </w:rPr>
      </w:pPr>
      <w:r>
        <w:t xml:space="preserve">PFOS, CAS number 1763-23-1, is a </w:t>
      </w:r>
      <w:r w:rsidRPr="00D31BFE">
        <w:t xml:space="preserve">completely fluorinated </w:t>
      </w:r>
      <w:r>
        <w:t xml:space="preserve">compound containing eight carbon atoms and a sulfonate group. </w:t>
      </w:r>
      <w:r w:rsidR="00AE751F" w:rsidRPr="00405E83">
        <w:rPr>
          <w:lang w:bidi="ar-SA"/>
        </w:rPr>
        <w:t>PFOS</w:t>
      </w:r>
      <w:r w:rsidR="002B4FBD">
        <w:rPr>
          <w:lang w:bidi="ar-SA"/>
        </w:rPr>
        <w:t xml:space="preserve"> </w:t>
      </w:r>
      <w:r w:rsidR="00E42F82">
        <w:rPr>
          <w:lang w:bidi="ar-SA"/>
        </w:rPr>
        <w:t xml:space="preserve">and its salts are part of the </w:t>
      </w:r>
      <w:r w:rsidR="002B4FBD">
        <w:rPr>
          <w:lang w:bidi="ar-SA"/>
        </w:rPr>
        <w:t xml:space="preserve">PFAS </w:t>
      </w:r>
      <w:r w:rsidR="00E42F82">
        <w:rPr>
          <w:lang w:bidi="ar-SA"/>
        </w:rPr>
        <w:t xml:space="preserve">group of substances </w:t>
      </w:r>
      <w:r w:rsidR="002B4FBD">
        <w:rPr>
          <w:lang w:bidi="ar-SA"/>
        </w:rPr>
        <w:t xml:space="preserve">that are or have been used </w:t>
      </w:r>
      <w:r w:rsidR="00E42F82">
        <w:rPr>
          <w:lang w:bidi="ar-SA"/>
        </w:rPr>
        <w:t xml:space="preserve">in surface coating and protectant formulations due to their surfactant properties. Major applications of PFAS have included surface treatment of paper and cardboard packaging products, carpets, leather products and textiles to repel water, grease and soil. PFAS have also been used as processing aids in the manufacture of </w:t>
      </w:r>
      <w:r w:rsidR="00BE205C">
        <w:rPr>
          <w:lang w:bidi="ar-SA"/>
        </w:rPr>
        <w:t>non-stick</w:t>
      </w:r>
      <w:r w:rsidR="00E42F82">
        <w:rPr>
          <w:lang w:bidi="ar-SA"/>
        </w:rPr>
        <w:t xml:space="preserve"> coatings on cookware as well as in firefighting foams (ATSDR 2015; US EPA 2016). </w:t>
      </w:r>
      <w:r>
        <w:rPr>
          <w:lang w:bidi="ar-SA"/>
        </w:rPr>
        <w:t xml:space="preserve">PFOS </w:t>
      </w:r>
      <w:r>
        <w:t>may occur in food as a result of contamination of plants and animals, and/or via transfer from food-packaging materials.</w:t>
      </w:r>
    </w:p>
    <w:p w14:paraId="2D3B8B2A" w14:textId="77777777" w:rsidR="00E5412F" w:rsidRDefault="00E5412F" w:rsidP="00A111E9">
      <w:pPr>
        <w:rPr>
          <w:lang w:bidi="ar-SA"/>
        </w:rPr>
      </w:pPr>
    </w:p>
    <w:p w14:paraId="6056952F" w14:textId="4475A7DB" w:rsidR="00E5412F" w:rsidRDefault="00E5412F" w:rsidP="00A111E9">
      <w:pPr>
        <w:rPr>
          <w:lang w:bidi="ar-SA"/>
        </w:rPr>
      </w:pPr>
      <w:r>
        <w:rPr>
          <w:lang w:bidi="ar-SA"/>
        </w:rPr>
        <w:t>PFOS is produced commercially from perfluorooctanesulfonyl fluoride (POSF), which is mainly used as an intermediate to produce other fluorochemicals. PFOS can be manufactured through a process known as Simons Elect</w:t>
      </w:r>
      <w:r w:rsidR="00033B7E">
        <w:rPr>
          <w:lang w:bidi="ar-SA"/>
        </w:rPr>
        <w:t>ro-Chemical Fluorination</w:t>
      </w:r>
      <w:r>
        <w:rPr>
          <w:lang w:bidi="ar-SA"/>
        </w:rPr>
        <w:t xml:space="preserve">, which yields a mixture of linear and branched chain isomers, with an isomer ratio of about 70% linear and 30% branched chain. PFOS can also be produced by telomerisation, which produces linear chains. </w:t>
      </w:r>
      <w:r w:rsidR="003A5C51">
        <w:rPr>
          <w:lang w:bidi="ar-SA"/>
        </w:rPr>
        <w:t>PFOS is a major impurity in other POSF-derived fluorochemicals, and can also be formed in the environment by the degradation of POSF-based products (EFSA 2008; US EPA 2016).</w:t>
      </w:r>
    </w:p>
    <w:p w14:paraId="74A61E7D" w14:textId="77777777" w:rsidR="00E5412F" w:rsidRDefault="00E5412F" w:rsidP="00A111E9">
      <w:pPr>
        <w:rPr>
          <w:lang w:bidi="ar-SA"/>
        </w:rPr>
      </w:pPr>
    </w:p>
    <w:p w14:paraId="37E083C1" w14:textId="2F817EAB" w:rsidR="003A5C51" w:rsidRDefault="003A5C51" w:rsidP="00A111E9">
      <w:pPr>
        <w:rPr>
          <w:lang w:bidi="ar-SA"/>
        </w:rPr>
      </w:pPr>
      <w:r>
        <w:rPr>
          <w:lang w:bidi="ar-SA"/>
        </w:rPr>
        <w:t xml:space="preserve">Because of its strong carbon-fluorine bonds, PFOS is stable to metabolic and environmental degradation. PFOS is considered to have a low </w:t>
      </w:r>
      <w:r w:rsidR="003D2712">
        <w:rPr>
          <w:lang w:bidi="ar-SA"/>
        </w:rPr>
        <w:t>acid dissociation constant (</w:t>
      </w:r>
      <w:r>
        <w:rPr>
          <w:lang w:bidi="ar-SA"/>
        </w:rPr>
        <w:t>pKa</w:t>
      </w:r>
      <w:r w:rsidR="003D2712">
        <w:rPr>
          <w:lang w:bidi="ar-SA"/>
        </w:rPr>
        <w:t>)</w:t>
      </w:r>
      <w:r>
        <w:rPr>
          <w:lang w:bidi="ar-SA"/>
        </w:rPr>
        <w:t xml:space="preserve"> and exist</w:t>
      </w:r>
      <w:r w:rsidR="00B5419D">
        <w:rPr>
          <w:lang w:bidi="ar-SA"/>
        </w:rPr>
        <w:t>s</w:t>
      </w:r>
      <w:r>
        <w:rPr>
          <w:lang w:bidi="ar-SA"/>
        </w:rPr>
        <w:t xml:space="preserve"> as a highly dissociated anion.</w:t>
      </w:r>
    </w:p>
    <w:p w14:paraId="59E24C34" w14:textId="77777777" w:rsidR="003A5C51" w:rsidRDefault="003A5C51" w:rsidP="00A111E9">
      <w:pPr>
        <w:rPr>
          <w:lang w:bidi="ar-SA"/>
        </w:rPr>
      </w:pPr>
    </w:p>
    <w:p w14:paraId="7438793B" w14:textId="79A622DE" w:rsidR="003A5C51" w:rsidRDefault="003A5C51" w:rsidP="00A111E9">
      <w:r>
        <w:t xml:space="preserve">The IUPAC name for PFOS is </w:t>
      </w:r>
      <w:r w:rsidRPr="00007DEC">
        <w:t>1,1,2,2,3,3,4,4,5,5,6,6,7,7,8,8,8-Heptadecafluoro-1-octanesulfonic acid</w:t>
      </w:r>
      <w:r>
        <w:t>. Synonyms for PFOS include p</w:t>
      </w:r>
      <w:r w:rsidRPr="00374481">
        <w:t>erfluorooctanesulfonic acid</w:t>
      </w:r>
      <w:r>
        <w:t>. A number of toxicological studies of PFOS that have been conducted in experimental animals used the potassium salt of PFOS, which has the CAS number 2795-39-3.</w:t>
      </w:r>
    </w:p>
    <w:p w14:paraId="6303E5CF" w14:textId="4772745B" w:rsidR="00AE751F" w:rsidRDefault="003E4DA2" w:rsidP="000328C0">
      <w:pPr>
        <w:pStyle w:val="Heading5"/>
        <w:ind w:left="567"/>
      </w:pPr>
      <w:r>
        <w:t xml:space="preserve">2.1.1.1 </w:t>
      </w:r>
      <w:r w:rsidR="006158C7">
        <w:tab/>
      </w:r>
      <w:r w:rsidR="003A5C51" w:rsidRPr="003E4DA2">
        <w:t>Chemical structure</w:t>
      </w:r>
    </w:p>
    <w:p w14:paraId="2E8116EE" w14:textId="7594988E" w:rsidR="00AE751F" w:rsidRDefault="00AE751F" w:rsidP="00A111E9">
      <w:r>
        <w:rPr>
          <w:lang w:eastAsia="en-AU" w:bidi="ar-SA"/>
        </w:rPr>
        <w:t xml:space="preserve">PFOS has the empirical formula </w:t>
      </w:r>
      <w:r>
        <w:t>C</w:t>
      </w:r>
      <w:r w:rsidRPr="00014538">
        <w:rPr>
          <w:vertAlign w:val="subscript"/>
        </w:rPr>
        <w:t>8</w:t>
      </w:r>
      <w:r w:rsidRPr="00007DEC">
        <w:t>H</w:t>
      </w:r>
      <w:r>
        <w:t>F</w:t>
      </w:r>
      <w:r w:rsidRPr="00014538">
        <w:rPr>
          <w:vertAlign w:val="subscript"/>
        </w:rPr>
        <w:t>17</w:t>
      </w:r>
      <w:r>
        <w:t>O</w:t>
      </w:r>
      <w:r w:rsidRPr="00014538">
        <w:rPr>
          <w:vertAlign w:val="subscript"/>
        </w:rPr>
        <w:t>3</w:t>
      </w:r>
      <w:r>
        <w:t xml:space="preserve">S, and a molecular mass of 500.13 g/mol. The structure of the PFOS anion is illustrated </w:t>
      </w:r>
      <w:r w:rsidRPr="00065627">
        <w:t>below</w:t>
      </w:r>
      <w:r>
        <w:t>:</w:t>
      </w:r>
    </w:p>
    <w:p w14:paraId="75F21670" w14:textId="77777777" w:rsidR="00237D67" w:rsidRDefault="00237D67" w:rsidP="00A111E9"/>
    <w:p w14:paraId="7D536348" w14:textId="3ADE2404" w:rsidR="00237D67" w:rsidRDefault="00987233" w:rsidP="00A111E9">
      <w:r>
        <w:rPr>
          <w:noProof/>
          <w:lang w:eastAsia="en-GB" w:bidi="ar-SA"/>
        </w:rPr>
        <mc:AlternateContent>
          <mc:Choice Requires="wpc">
            <w:drawing>
              <wp:inline distT="0" distB="0" distL="0" distR="0" wp14:anchorId="7F7F5F5D" wp14:editId="116BD894">
                <wp:extent cx="2620645" cy="999490"/>
                <wp:effectExtent l="0" t="0" r="0" b="635"/>
                <wp:docPr id="174" name="Canvas 174" descr="Graphic depicting the structure of the PFOS anion."/>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8" name="Line 76"/>
                        <wps:cNvCnPr/>
                        <wps:spPr bwMode="auto">
                          <a:xfrm flipV="1">
                            <a:off x="332740" y="396875"/>
                            <a:ext cx="246380" cy="132080"/>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Line 77" descr="Graphic depicting the structure of the PFOS anion."/>
                        <wps:cNvCnPr/>
                        <wps:spPr bwMode="auto">
                          <a:xfrm>
                            <a:off x="579120" y="396875"/>
                            <a:ext cx="231775" cy="132080"/>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78"/>
                        <wps:cNvCnPr/>
                        <wps:spPr bwMode="auto">
                          <a:xfrm flipV="1">
                            <a:off x="810895" y="396875"/>
                            <a:ext cx="245745" cy="132080"/>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Line 79"/>
                        <wps:cNvCnPr/>
                        <wps:spPr bwMode="auto">
                          <a:xfrm>
                            <a:off x="1056640" y="396875"/>
                            <a:ext cx="246380" cy="132080"/>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80"/>
                        <wps:cNvCnPr/>
                        <wps:spPr bwMode="auto">
                          <a:xfrm flipV="1">
                            <a:off x="1303020" y="396875"/>
                            <a:ext cx="231775" cy="132080"/>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Line 81"/>
                        <wps:cNvCnPr/>
                        <wps:spPr bwMode="auto">
                          <a:xfrm>
                            <a:off x="1534795" y="396875"/>
                            <a:ext cx="245745" cy="132080"/>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82"/>
                        <wps:cNvCnPr/>
                        <wps:spPr bwMode="auto">
                          <a:xfrm flipV="1">
                            <a:off x="1780540" y="396875"/>
                            <a:ext cx="231775" cy="132080"/>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Rectangle 83"/>
                        <wps:cNvSpPr>
                          <a:spLocks noChangeArrowheads="1"/>
                        </wps:cNvSpPr>
                        <wps:spPr bwMode="auto">
                          <a:xfrm>
                            <a:off x="2200275" y="426085"/>
                            <a:ext cx="27559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C2F4D" w14:textId="77777777" w:rsidR="000328C0" w:rsidRDefault="000328C0">
                              <w:r>
                                <w:rPr>
                                  <w:rFonts w:cs="Arial"/>
                                  <w:color w:val="000000"/>
                                  <w:sz w:val="30"/>
                                  <w:szCs w:val="30"/>
                                  <w:lang w:val="en-US"/>
                                </w:rPr>
                                <w:t>SO</w:t>
                              </w:r>
                            </w:p>
                          </w:txbxContent>
                        </wps:txbx>
                        <wps:bodyPr rot="0" vert="horz" wrap="none" lIns="0" tIns="0" rIns="0" bIns="0" anchor="t" anchorCtr="0">
                          <a:spAutoFit/>
                        </wps:bodyPr>
                      </wps:wsp>
                      <wps:wsp>
                        <wps:cNvPr id="116" name="Rectangle 84"/>
                        <wps:cNvSpPr>
                          <a:spLocks noChangeArrowheads="1"/>
                        </wps:cNvSpPr>
                        <wps:spPr bwMode="auto">
                          <a:xfrm>
                            <a:off x="2475865" y="51435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F6D4C" w14:textId="77777777" w:rsidR="000328C0" w:rsidRDefault="000328C0">
                              <w:r>
                                <w:rPr>
                                  <w:rFonts w:cs="Arial"/>
                                  <w:color w:val="000000"/>
                                  <w:sz w:val="24"/>
                                  <w:lang w:val="en-US"/>
                                </w:rPr>
                                <w:t>3</w:t>
                              </w:r>
                            </w:p>
                          </w:txbxContent>
                        </wps:txbx>
                        <wps:bodyPr rot="0" vert="horz" wrap="none" lIns="0" tIns="0" rIns="0" bIns="0" anchor="t" anchorCtr="0">
                          <a:spAutoFit/>
                        </wps:bodyPr>
                      </wps:wsp>
                      <wps:wsp>
                        <wps:cNvPr id="117" name="Line 85" descr="Graphic depicting the structure of the PFOS anion.&#10;"/>
                        <wps:cNvCnPr/>
                        <wps:spPr bwMode="auto">
                          <a:xfrm>
                            <a:off x="2012315" y="396875"/>
                            <a:ext cx="159385" cy="88265"/>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Rectangle 86"/>
                        <wps:cNvSpPr>
                          <a:spLocks noChangeArrowheads="1"/>
                        </wps:cNvSpPr>
                        <wps:spPr bwMode="auto">
                          <a:xfrm>
                            <a:off x="2461260" y="426085"/>
                            <a:ext cx="72390" cy="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87"/>
                        <wps:cNvSpPr>
                          <a:spLocks noChangeArrowheads="1"/>
                        </wps:cNvSpPr>
                        <wps:spPr bwMode="auto">
                          <a:xfrm>
                            <a:off x="274955" y="705485"/>
                            <a:ext cx="1168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0CBA8" w14:textId="77777777" w:rsidR="000328C0" w:rsidRDefault="000328C0">
                              <w:r>
                                <w:rPr>
                                  <w:rFonts w:cs="Arial"/>
                                  <w:color w:val="000000"/>
                                  <w:sz w:val="30"/>
                                  <w:szCs w:val="30"/>
                                  <w:lang w:val="en-US"/>
                                </w:rPr>
                                <w:t>F</w:t>
                              </w:r>
                            </w:p>
                          </w:txbxContent>
                        </wps:txbx>
                        <wps:bodyPr rot="0" vert="horz" wrap="none" lIns="0" tIns="0" rIns="0" bIns="0" anchor="t" anchorCtr="0">
                          <a:spAutoFit/>
                        </wps:bodyPr>
                      </wps:wsp>
                      <wps:wsp>
                        <wps:cNvPr id="120" name="Line 88"/>
                        <wps:cNvCnPr/>
                        <wps:spPr bwMode="auto">
                          <a:xfrm>
                            <a:off x="332740" y="528955"/>
                            <a:ext cx="0" cy="191135"/>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Rectangle 89"/>
                        <wps:cNvSpPr>
                          <a:spLocks noChangeArrowheads="1"/>
                        </wps:cNvSpPr>
                        <wps:spPr bwMode="auto">
                          <a:xfrm>
                            <a:off x="29210" y="279400"/>
                            <a:ext cx="1168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1DE12" w14:textId="77777777" w:rsidR="000328C0" w:rsidRDefault="000328C0">
                              <w:r>
                                <w:rPr>
                                  <w:rFonts w:cs="Arial"/>
                                  <w:color w:val="000000"/>
                                  <w:sz w:val="30"/>
                                  <w:szCs w:val="30"/>
                                  <w:lang w:val="en-US"/>
                                </w:rPr>
                                <w:t>F</w:t>
                              </w:r>
                            </w:p>
                          </w:txbxContent>
                        </wps:txbx>
                        <wps:bodyPr rot="0" vert="horz" wrap="none" lIns="0" tIns="0" rIns="0" bIns="0" anchor="t" anchorCtr="0">
                          <a:spAutoFit/>
                        </wps:bodyPr>
                      </wps:wsp>
                      <wps:wsp>
                        <wps:cNvPr id="122" name="Line 90"/>
                        <wps:cNvCnPr/>
                        <wps:spPr bwMode="auto">
                          <a:xfrm>
                            <a:off x="159385" y="426085"/>
                            <a:ext cx="173355" cy="1028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Freeform 91"/>
                        <wps:cNvSpPr>
                          <a:spLocks/>
                        </wps:cNvSpPr>
                        <wps:spPr bwMode="auto">
                          <a:xfrm>
                            <a:off x="130175" y="396875"/>
                            <a:ext cx="202565" cy="146685"/>
                          </a:xfrm>
                          <a:custGeom>
                            <a:avLst/>
                            <a:gdLst>
                              <a:gd name="T0" fmla="*/ 0 w 319"/>
                              <a:gd name="T1" fmla="*/ 92 h 231"/>
                              <a:gd name="T2" fmla="*/ 46 w 319"/>
                              <a:gd name="T3" fmla="*/ 0 h 231"/>
                              <a:gd name="T4" fmla="*/ 297 w 319"/>
                              <a:gd name="T5" fmla="*/ 185 h 231"/>
                              <a:gd name="T6" fmla="*/ 319 w 319"/>
                              <a:gd name="T7" fmla="*/ 208 h 231"/>
                              <a:gd name="T8" fmla="*/ 319 w 319"/>
                              <a:gd name="T9" fmla="*/ 231 h 231"/>
                              <a:gd name="T10" fmla="*/ 0 w 319"/>
                              <a:gd name="T11" fmla="*/ 92 h 231"/>
                            </a:gdLst>
                            <a:ahLst/>
                            <a:cxnLst>
                              <a:cxn ang="0">
                                <a:pos x="T0" y="T1"/>
                              </a:cxn>
                              <a:cxn ang="0">
                                <a:pos x="T2" y="T3"/>
                              </a:cxn>
                              <a:cxn ang="0">
                                <a:pos x="T4" y="T5"/>
                              </a:cxn>
                              <a:cxn ang="0">
                                <a:pos x="T6" y="T7"/>
                              </a:cxn>
                              <a:cxn ang="0">
                                <a:pos x="T8" y="T9"/>
                              </a:cxn>
                              <a:cxn ang="0">
                                <a:pos x="T10" y="T11"/>
                              </a:cxn>
                            </a:cxnLst>
                            <a:rect l="0" t="0" r="r" b="b"/>
                            <a:pathLst>
                              <a:path w="319" h="231">
                                <a:moveTo>
                                  <a:pt x="0" y="92"/>
                                </a:moveTo>
                                <a:lnTo>
                                  <a:pt x="46" y="0"/>
                                </a:lnTo>
                                <a:lnTo>
                                  <a:pt x="297" y="185"/>
                                </a:lnTo>
                                <a:lnTo>
                                  <a:pt x="319" y="208"/>
                                </a:lnTo>
                                <a:lnTo>
                                  <a:pt x="319" y="231"/>
                                </a:lnTo>
                                <a:lnTo>
                                  <a:pt x="0"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Rectangle 92"/>
                        <wps:cNvSpPr>
                          <a:spLocks noChangeArrowheads="1"/>
                        </wps:cNvSpPr>
                        <wps:spPr bwMode="auto">
                          <a:xfrm>
                            <a:off x="187960" y="132080"/>
                            <a:ext cx="1168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143E8" w14:textId="77777777" w:rsidR="000328C0" w:rsidRDefault="000328C0">
                              <w:r>
                                <w:rPr>
                                  <w:rFonts w:cs="Arial"/>
                                  <w:color w:val="000000"/>
                                  <w:sz w:val="30"/>
                                  <w:szCs w:val="30"/>
                                  <w:lang w:val="en-US"/>
                                </w:rPr>
                                <w:t>F</w:t>
                              </w:r>
                            </w:p>
                          </w:txbxContent>
                        </wps:txbx>
                        <wps:bodyPr rot="0" vert="horz" wrap="none" lIns="0" tIns="0" rIns="0" bIns="0" anchor="t" anchorCtr="0">
                          <a:spAutoFit/>
                        </wps:bodyPr>
                      </wps:wsp>
                      <wps:wsp>
                        <wps:cNvPr id="125" name="Line 93"/>
                        <wps:cNvCnPr/>
                        <wps:spPr bwMode="auto">
                          <a:xfrm flipH="1" flipV="1">
                            <a:off x="260350" y="294005"/>
                            <a:ext cx="14605" cy="43815"/>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94"/>
                        <wps:cNvCnPr/>
                        <wps:spPr bwMode="auto">
                          <a:xfrm flipH="1" flipV="1">
                            <a:off x="289560" y="396875"/>
                            <a:ext cx="14605" cy="43815"/>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Line 95"/>
                        <wps:cNvCnPr/>
                        <wps:spPr bwMode="auto">
                          <a:xfrm flipH="1" flipV="1">
                            <a:off x="318770" y="485140"/>
                            <a:ext cx="13970" cy="43815"/>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Rectangle 96"/>
                        <wps:cNvSpPr>
                          <a:spLocks noChangeArrowheads="1"/>
                        </wps:cNvSpPr>
                        <wps:spPr bwMode="auto">
                          <a:xfrm>
                            <a:off x="391160" y="14605"/>
                            <a:ext cx="1168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726BA" w14:textId="77777777" w:rsidR="000328C0" w:rsidRDefault="000328C0">
                              <w:r>
                                <w:rPr>
                                  <w:rFonts w:cs="Arial"/>
                                  <w:color w:val="000000"/>
                                  <w:sz w:val="30"/>
                                  <w:szCs w:val="30"/>
                                  <w:lang w:val="en-US"/>
                                </w:rPr>
                                <w:t>F</w:t>
                              </w:r>
                            </w:p>
                          </w:txbxContent>
                        </wps:txbx>
                        <wps:bodyPr rot="0" vert="horz" wrap="none" lIns="0" tIns="0" rIns="0" bIns="0" anchor="t" anchorCtr="0">
                          <a:spAutoFit/>
                        </wps:bodyPr>
                      </wps:wsp>
                      <wps:wsp>
                        <wps:cNvPr id="129" name="Line 97"/>
                        <wps:cNvCnPr/>
                        <wps:spPr bwMode="auto">
                          <a:xfrm flipH="1" flipV="1">
                            <a:off x="463550" y="176530"/>
                            <a:ext cx="28575" cy="43815"/>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98"/>
                        <wps:cNvCnPr/>
                        <wps:spPr bwMode="auto">
                          <a:xfrm flipH="1" flipV="1">
                            <a:off x="506730" y="264795"/>
                            <a:ext cx="29210" cy="43815"/>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Line 99"/>
                        <wps:cNvCnPr/>
                        <wps:spPr bwMode="auto">
                          <a:xfrm flipH="1" flipV="1">
                            <a:off x="549910" y="352425"/>
                            <a:ext cx="29210" cy="44450"/>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Rectangle 100"/>
                        <wps:cNvSpPr>
                          <a:spLocks noChangeArrowheads="1"/>
                        </wps:cNvSpPr>
                        <wps:spPr bwMode="auto">
                          <a:xfrm>
                            <a:off x="651510" y="43815"/>
                            <a:ext cx="1168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56265" w14:textId="77777777" w:rsidR="000328C0" w:rsidRDefault="000328C0">
                              <w:r>
                                <w:rPr>
                                  <w:rFonts w:cs="Arial"/>
                                  <w:color w:val="000000"/>
                                  <w:sz w:val="30"/>
                                  <w:szCs w:val="30"/>
                                  <w:lang w:val="en-US"/>
                                </w:rPr>
                                <w:t>F</w:t>
                              </w:r>
                            </w:p>
                          </w:txbxContent>
                        </wps:txbx>
                        <wps:bodyPr rot="0" vert="horz" wrap="none" lIns="0" tIns="0" rIns="0" bIns="0" anchor="t" anchorCtr="0">
                          <a:spAutoFit/>
                        </wps:bodyPr>
                      </wps:wsp>
                      <wps:wsp>
                        <wps:cNvPr id="133" name="Line 101"/>
                        <wps:cNvCnPr/>
                        <wps:spPr bwMode="auto">
                          <a:xfrm flipH="1">
                            <a:off x="579120" y="249555"/>
                            <a:ext cx="72390" cy="1473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Freeform 102"/>
                        <wps:cNvSpPr>
                          <a:spLocks/>
                        </wps:cNvSpPr>
                        <wps:spPr bwMode="auto">
                          <a:xfrm>
                            <a:off x="579120" y="234950"/>
                            <a:ext cx="101600" cy="161925"/>
                          </a:xfrm>
                          <a:custGeom>
                            <a:avLst/>
                            <a:gdLst>
                              <a:gd name="T0" fmla="*/ 91 w 160"/>
                              <a:gd name="T1" fmla="*/ 0 h 255"/>
                              <a:gd name="T2" fmla="*/ 160 w 160"/>
                              <a:gd name="T3" fmla="*/ 47 h 255"/>
                              <a:gd name="T4" fmla="*/ 0 w 160"/>
                              <a:gd name="T5" fmla="*/ 255 h 255"/>
                              <a:gd name="T6" fmla="*/ 0 w 160"/>
                              <a:gd name="T7" fmla="*/ 255 h 255"/>
                              <a:gd name="T8" fmla="*/ 0 w 160"/>
                              <a:gd name="T9" fmla="*/ 232 h 255"/>
                              <a:gd name="T10" fmla="*/ 91 w 160"/>
                              <a:gd name="T11" fmla="*/ 0 h 255"/>
                            </a:gdLst>
                            <a:ahLst/>
                            <a:cxnLst>
                              <a:cxn ang="0">
                                <a:pos x="T0" y="T1"/>
                              </a:cxn>
                              <a:cxn ang="0">
                                <a:pos x="T2" y="T3"/>
                              </a:cxn>
                              <a:cxn ang="0">
                                <a:pos x="T4" y="T5"/>
                              </a:cxn>
                              <a:cxn ang="0">
                                <a:pos x="T6" y="T7"/>
                              </a:cxn>
                              <a:cxn ang="0">
                                <a:pos x="T8" y="T9"/>
                              </a:cxn>
                              <a:cxn ang="0">
                                <a:pos x="T10" y="T11"/>
                              </a:cxn>
                            </a:cxnLst>
                            <a:rect l="0" t="0" r="r" b="b"/>
                            <a:pathLst>
                              <a:path w="160" h="255">
                                <a:moveTo>
                                  <a:pt x="91" y="0"/>
                                </a:moveTo>
                                <a:lnTo>
                                  <a:pt x="160" y="47"/>
                                </a:lnTo>
                                <a:lnTo>
                                  <a:pt x="0" y="255"/>
                                </a:lnTo>
                                <a:lnTo>
                                  <a:pt x="0" y="255"/>
                                </a:lnTo>
                                <a:lnTo>
                                  <a:pt x="0" y="232"/>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Rectangle 103"/>
                        <wps:cNvSpPr>
                          <a:spLocks noChangeArrowheads="1"/>
                        </wps:cNvSpPr>
                        <wps:spPr bwMode="auto">
                          <a:xfrm>
                            <a:off x="622300" y="690245"/>
                            <a:ext cx="1168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C98B5" w14:textId="77777777" w:rsidR="000328C0" w:rsidRDefault="000328C0">
                              <w:r>
                                <w:rPr>
                                  <w:rFonts w:cs="Arial"/>
                                  <w:color w:val="000000"/>
                                  <w:sz w:val="30"/>
                                  <w:szCs w:val="30"/>
                                  <w:lang w:val="en-US"/>
                                </w:rPr>
                                <w:t>F</w:t>
                              </w:r>
                            </w:p>
                          </w:txbxContent>
                        </wps:txbx>
                        <wps:bodyPr rot="0" vert="horz" wrap="none" lIns="0" tIns="0" rIns="0" bIns="0" anchor="t" anchorCtr="0">
                          <a:spAutoFit/>
                        </wps:bodyPr>
                      </wps:wsp>
                      <wps:wsp>
                        <wps:cNvPr id="136" name="Line 104"/>
                        <wps:cNvCnPr/>
                        <wps:spPr bwMode="auto">
                          <a:xfrm flipH="1">
                            <a:off x="738505" y="646430"/>
                            <a:ext cx="14605" cy="59055"/>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Line 105"/>
                        <wps:cNvCnPr/>
                        <wps:spPr bwMode="auto">
                          <a:xfrm flipH="1">
                            <a:off x="781685" y="528955"/>
                            <a:ext cx="29210" cy="59055"/>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Rectangle 106"/>
                        <wps:cNvSpPr>
                          <a:spLocks noChangeArrowheads="1"/>
                        </wps:cNvSpPr>
                        <wps:spPr bwMode="auto">
                          <a:xfrm>
                            <a:off x="897890" y="675640"/>
                            <a:ext cx="1168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B1BB7" w14:textId="77777777" w:rsidR="000328C0" w:rsidRDefault="000328C0">
                              <w:r>
                                <w:rPr>
                                  <w:rFonts w:cs="Arial"/>
                                  <w:color w:val="000000"/>
                                  <w:sz w:val="30"/>
                                  <w:szCs w:val="30"/>
                                  <w:lang w:val="en-US"/>
                                </w:rPr>
                                <w:t>F</w:t>
                              </w:r>
                            </w:p>
                          </w:txbxContent>
                        </wps:txbx>
                        <wps:bodyPr rot="0" vert="horz" wrap="none" lIns="0" tIns="0" rIns="0" bIns="0" anchor="t" anchorCtr="0">
                          <a:spAutoFit/>
                        </wps:bodyPr>
                      </wps:wsp>
                      <wps:wsp>
                        <wps:cNvPr id="139" name="Line 107"/>
                        <wps:cNvCnPr/>
                        <wps:spPr bwMode="auto">
                          <a:xfrm flipH="1" flipV="1">
                            <a:off x="825500" y="543560"/>
                            <a:ext cx="72390" cy="1473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Freeform 108"/>
                        <wps:cNvSpPr>
                          <a:spLocks/>
                        </wps:cNvSpPr>
                        <wps:spPr bwMode="auto">
                          <a:xfrm>
                            <a:off x="810895" y="528955"/>
                            <a:ext cx="115570" cy="191135"/>
                          </a:xfrm>
                          <a:custGeom>
                            <a:avLst/>
                            <a:gdLst>
                              <a:gd name="T0" fmla="*/ 182 w 182"/>
                              <a:gd name="T1" fmla="*/ 255 h 301"/>
                              <a:gd name="T2" fmla="*/ 114 w 182"/>
                              <a:gd name="T3" fmla="*/ 301 h 301"/>
                              <a:gd name="T4" fmla="*/ 0 w 182"/>
                              <a:gd name="T5" fmla="*/ 23 h 301"/>
                              <a:gd name="T6" fmla="*/ 0 w 182"/>
                              <a:gd name="T7" fmla="*/ 0 h 301"/>
                              <a:gd name="T8" fmla="*/ 23 w 182"/>
                              <a:gd name="T9" fmla="*/ 23 h 301"/>
                              <a:gd name="T10" fmla="*/ 182 w 182"/>
                              <a:gd name="T11" fmla="*/ 255 h 301"/>
                            </a:gdLst>
                            <a:ahLst/>
                            <a:cxnLst>
                              <a:cxn ang="0">
                                <a:pos x="T0" y="T1"/>
                              </a:cxn>
                              <a:cxn ang="0">
                                <a:pos x="T2" y="T3"/>
                              </a:cxn>
                              <a:cxn ang="0">
                                <a:pos x="T4" y="T5"/>
                              </a:cxn>
                              <a:cxn ang="0">
                                <a:pos x="T6" y="T7"/>
                              </a:cxn>
                              <a:cxn ang="0">
                                <a:pos x="T8" y="T9"/>
                              </a:cxn>
                              <a:cxn ang="0">
                                <a:pos x="T10" y="T11"/>
                              </a:cxn>
                            </a:cxnLst>
                            <a:rect l="0" t="0" r="r" b="b"/>
                            <a:pathLst>
                              <a:path w="182" h="301">
                                <a:moveTo>
                                  <a:pt x="182" y="255"/>
                                </a:moveTo>
                                <a:lnTo>
                                  <a:pt x="114" y="301"/>
                                </a:lnTo>
                                <a:lnTo>
                                  <a:pt x="0" y="23"/>
                                </a:lnTo>
                                <a:lnTo>
                                  <a:pt x="0" y="0"/>
                                </a:lnTo>
                                <a:lnTo>
                                  <a:pt x="23" y="23"/>
                                </a:lnTo>
                                <a:lnTo>
                                  <a:pt x="182" y="2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Rectangle 109"/>
                        <wps:cNvSpPr>
                          <a:spLocks noChangeArrowheads="1"/>
                        </wps:cNvSpPr>
                        <wps:spPr bwMode="auto">
                          <a:xfrm>
                            <a:off x="926465" y="14605"/>
                            <a:ext cx="1168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30BA8" w14:textId="77777777" w:rsidR="000328C0" w:rsidRDefault="000328C0">
                              <w:r>
                                <w:rPr>
                                  <w:rFonts w:cs="Arial"/>
                                  <w:color w:val="000000"/>
                                  <w:sz w:val="30"/>
                                  <w:szCs w:val="30"/>
                                  <w:lang w:val="en-US"/>
                                </w:rPr>
                                <w:t>F</w:t>
                              </w:r>
                            </w:p>
                          </w:txbxContent>
                        </wps:txbx>
                        <wps:bodyPr rot="0" vert="horz" wrap="none" lIns="0" tIns="0" rIns="0" bIns="0" anchor="t" anchorCtr="0">
                          <a:spAutoFit/>
                        </wps:bodyPr>
                      </wps:wsp>
                      <wps:wsp>
                        <wps:cNvPr id="142" name="Line 110"/>
                        <wps:cNvCnPr/>
                        <wps:spPr bwMode="auto">
                          <a:xfrm flipH="1" flipV="1">
                            <a:off x="998855" y="191135"/>
                            <a:ext cx="14605" cy="29210"/>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Line 111"/>
                        <wps:cNvCnPr/>
                        <wps:spPr bwMode="auto">
                          <a:xfrm flipV="1">
                            <a:off x="1028065" y="264795"/>
                            <a:ext cx="0" cy="43815"/>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112"/>
                        <wps:cNvCnPr/>
                        <wps:spPr bwMode="auto">
                          <a:xfrm flipH="1" flipV="1">
                            <a:off x="1042670" y="352425"/>
                            <a:ext cx="13970" cy="44450"/>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Rectangle 113"/>
                        <wps:cNvSpPr>
                          <a:spLocks noChangeArrowheads="1"/>
                        </wps:cNvSpPr>
                        <wps:spPr bwMode="auto">
                          <a:xfrm>
                            <a:off x="1129030" y="43815"/>
                            <a:ext cx="1168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2ED25" w14:textId="77777777" w:rsidR="000328C0" w:rsidRDefault="000328C0">
                              <w:r>
                                <w:rPr>
                                  <w:rFonts w:cs="Arial"/>
                                  <w:color w:val="000000"/>
                                  <w:sz w:val="30"/>
                                  <w:szCs w:val="30"/>
                                  <w:lang w:val="en-US"/>
                                </w:rPr>
                                <w:t>F</w:t>
                              </w:r>
                            </w:p>
                          </w:txbxContent>
                        </wps:txbx>
                        <wps:bodyPr rot="0" vert="horz" wrap="none" lIns="0" tIns="0" rIns="0" bIns="0" anchor="t" anchorCtr="0">
                          <a:spAutoFit/>
                        </wps:bodyPr>
                      </wps:wsp>
                      <wps:wsp>
                        <wps:cNvPr id="146" name="Line 114"/>
                        <wps:cNvCnPr/>
                        <wps:spPr bwMode="auto">
                          <a:xfrm flipH="1">
                            <a:off x="1056640" y="249555"/>
                            <a:ext cx="72390" cy="1473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Freeform 115"/>
                        <wps:cNvSpPr>
                          <a:spLocks/>
                        </wps:cNvSpPr>
                        <wps:spPr bwMode="auto">
                          <a:xfrm>
                            <a:off x="1056640" y="234950"/>
                            <a:ext cx="101600" cy="161925"/>
                          </a:xfrm>
                          <a:custGeom>
                            <a:avLst/>
                            <a:gdLst>
                              <a:gd name="T0" fmla="*/ 92 w 160"/>
                              <a:gd name="T1" fmla="*/ 0 h 255"/>
                              <a:gd name="T2" fmla="*/ 160 w 160"/>
                              <a:gd name="T3" fmla="*/ 47 h 255"/>
                              <a:gd name="T4" fmla="*/ 23 w 160"/>
                              <a:gd name="T5" fmla="*/ 255 h 255"/>
                              <a:gd name="T6" fmla="*/ 0 w 160"/>
                              <a:gd name="T7" fmla="*/ 255 h 255"/>
                              <a:gd name="T8" fmla="*/ 0 w 160"/>
                              <a:gd name="T9" fmla="*/ 232 h 255"/>
                              <a:gd name="T10" fmla="*/ 92 w 160"/>
                              <a:gd name="T11" fmla="*/ 0 h 255"/>
                            </a:gdLst>
                            <a:ahLst/>
                            <a:cxnLst>
                              <a:cxn ang="0">
                                <a:pos x="T0" y="T1"/>
                              </a:cxn>
                              <a:cxn ang="0">
                                <a:pos x="T2" y="T3"/>
                              </a:cxn>
                              <a:cxn ang="0">
                                <a:pos x="T4" y="T5"/>
                              </a:cxn>
                              <a:cxn ang="0">
                                <a:pos x="T6" y="T7"/>
                              </a:cxn>
                              <a:cxn ang="0">
                                <a:pos x="T8" y="T9"/>
                              </a:cxn>
                              <a:cxn ang="0">
                                <a:pos x="T10" y="T11"/>
                              </a:cxn>
                            </a:cxnLst>
                            <a:rect l="0" t="0" r="r" b="b"/>
                            <a:pathLst>
                              <a:path w="160" h="255">
                                <a:moveTo>
                                  <a:pt x="92" y="0"/>
                                </a:moveTo>
                                <a:lnTo>
                                  <a:pt x="160" y="47"/>
                                </a:lnTo>
                                <a:lnTo>
                                  <a:pt x="23" y="255"/>
                                </a:lnTo>
                                <a:lnTo>
                                  <a:pt x="0" y="255"/>
                                </a:lnTo>
                                <a:lnTo>
                                  <a:pt x="0" y="232"/>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Rectangle 116"/>
                        <wps:cNvSpPr>
                          <a:spLocks noChangeArrowheads="1"/>
                        </wps:cNvSpPr>
                        <wps:spPr bwMode="auto">
                          <a:xfrm>
                            <a:off x="1100455" y="661035"/>
                            <a:ext cx="1168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0785C" w14:textId="77777777" w:rsidR="000328C0" w:rsidRDefault="000328C0">
                              <w:r>
                                <w:rPr>
                                  <w:rFonts w:cs="Arial"/>
                                  <w:color w:val="000000"/>
                                  <w:sz w:val="30"/>
                                  <w:szCs w:val="30"/>
                                  <w:lang w:val="en-US"/>
                                </w:rPr>
                                <w:t>F</w:t>
                              </w:r>
                            </w:p>
                          </w:txbxContent>
                        </wps:txbx>
                        <wps:bodyPr rot="0" vert="horz" wrap="none" lIns="0" tIns="0" rIns="0" bIns="0" anchor="t" anchorCtr="0">
                          <a:spAutoFit/>
                        </wps:bodyPr>
                      </wps:wsp>
                      <wps:wsp>
                        <wps:cNvPr id="149" name="Line 117"/>
                        <wps:cNvCnPr/>
                        <wps:spPr bwMode="auto">
                          <a:xfrm flipH="1">
                            <a:off x="1216025" y="631825"/>
                            <a:ext cx="29210" cy="59055"/>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Line 118"/>
                        <wps:cNvCnPr/>
                        <wps:spPr bwMode="auto">
                          <a:xfrm flipH="1">
                            <a:off x="1273810" y="528955"/>
                            <a:ext cx="29210" cy="59055"/>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Rectangle 119"/>
                        <wps:cNvSpPr>
                          <a:spLocks noChangeArrowheads="1"/>
                        </wps:cNvSpPr>
                        <wps:spPr bwMode="auto">
                          <a:xfrm>
                            <a:off x="1331595" y="720090"/>
                            <a:ext cx="1168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64C0B" w14:textId="77777777" w:rsidR="000328C0" w:rsidRDefault="000328C0">
                              <w:r>
                                <w:rPr>
                                  <w:rFonts w:cs="Arial"/>
                                  <w:color w:val="000000"/>
                                  <w:sz w:val="30"/>
                                  <w:szCs w:val="30"/>
                                  <w:lang w:val="en-US"/>
                                </w:rPr>
                                <w:t>F</w:t>
                              </w:r>
                            </w:p>
                          </w:txbxContent>
                        </wps:txbx>
                        <wps:bodyPr rot="0" vert="horz" wrap="none" lIns="0" tIns="0" rIns="0" bIns="0" anchor="t" anchorCtr="0">
                          <a:spAutoFit/>
                        </wps:bodyPr>
                      </wps:wsp>
                      <wps:wsp>
                        <wps:cNvPr id="152" name="Line 120"/>
                        <wps:cNvCnPr/>
                        <wps:spPr bwMode="auto">
                          <a:xfrm flipH="1" flipV="1">
                            <a:off x="1303020" y="543560"/>
                            <a:ext cx="57785" cy="1911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Freeform 121"/>
                        <wps:cNvSpPr>
                          <a:spLocks/>
                        </wps:cNvSpPr>
                        <wps:spPr bwMode="auto">
                          <a:xfrm>
                            <a:off x="1288415" y="528955"/>
                            <a:ext cx="101600" cy="220345"/>
                          </a:xfrm>
                          <a:custGeom>
                            <a:avLst/>
                            <a:gdLst>
                              <a:gd name="T0" fmla="*/ 160 w 160"/>
                              <a:gd name="T1" fmla="*/ 324 h 347"/>
                              <a:gd name="T2" fmla="*/ 68 w 160"/>
                              <a:gd name="T3" fmla="*/ 347 h 347"/>
                              <a:gd name="T4" fmla="*/ 0 w 160"/>
                              <a:gd name="T5" fmla="*/ 23 h 347"/>
                              <a:gd name="T6" fmla="*/ 23 w 160"/>
                              <a:gd name="T7" fmla="*/ 0 h 347"/>
                              <a:gd name="T8" fmla="*/ 23 w 160"/>
                              <a:gd name="T9" fmla="*/ 23 h 347"/>
                              <a:gd name="T10" fmla="*/ 160 w 160"/>
                              <a:gd name="T11" fmla="*/ 324 h 347"/>
                            </a:gdLst>
                            <a:ahLst/>
                            <a:cxnLst>
                              <a:cxn ang="0">
                                <a:pos x="T0" y="T1"/>
                              </a:cxn>
                              <a:cxn ang="0">
                                <a:pos x="T2" y="T3"/>
                              </a:cxn>
                              <a:cxn ang="0">
                                <a:pos x="T4" y="T5"/>
                              </a:cxn>
                              <a:cxn ang="0">
                                <a:pos x="T6" y="T7"/>
                              </a:cxn>
                              <a:cxn ang="0">
                                <a:pos x="T8" y="T9"/>
                              </a:cxn>
                              <a:cxn ang="0">
                                <a:pos x="T10" y="T11"/>
                              </a:cxn>
                            </a:cxnLst>
                            <a:rect l="0" t="0" r="r" b="b"/>
                            <a:pathLst>
                              <a:path w="160" h="347">
                                <a:moveTo>
                                  <a:pt x="160" y="324"/>
                                </a:moveTo>
                                <a:lnTo>
                                  <a:pt x="68" y="347"/>
                                </a:lnTo>
                                <a:lnTo>
                                  <a:pt x="0" y="23"/>
                                </a:lnTo>
                                <a:lnTo>
                                  <a:pt x="23" y="0"/>
                                </a:lnTo>
                                <a:lnTo>
                                  <a:pt x="23" y="23"/>
                                </a:lnTo>
                                <a:lnTo>
                                  <a:pt x="160" y="3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Rectangle 122"/>
                        <wps:cNvSpPr>
                          <a:spLocks noChangeArrowheads="1"/>
                        </wps:cNvSpPr>
                        <wps:spPr bwMode="auto">
                          <a:xfrm>
                            <a:off x="1403985" y="14605"/>
                            <a:ext cx="1168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02E1F" w14:textId="77777777" w:rsidR="000328C0" w:rsidRDefault="000328C0">
                              <w:r>
                                <w:rPr>
                                  <w:rFonts w:cs="Arial"/>
                                  <w:color w:val="000000"/>
                                  <w:sz w:val="30"/>
                                  <w:szCs w:val="30"/>
                                  <w:lang w:val="en-US"/>
                                </w:rPr>
                                <w:t>F</w:t>
                              </w:r>
                            </w:p>
                          </w:txbxContent>
                        </wps:txbx>
                        <wps:bodyPr rot="0" vert="horz" wrap="none" lIns="0" tIns="0" rIns="0" bIns="0" anchor="t" anchorCtr="0">
                          <a:spAutoFit/>
                        </wps:bodyPr>
                      </wps:wsp>
                      <wps:wsp>
                        <wps:cNvPr id="155" name="Line 123"/>
                        <wps:cNvCnPr/>
                        <wps:spPr bwMode="auto">
                          <a:xfrm flipH="1" flipV="1">
                            <a:off x="1476375" y="191135"/>
                            <a:ext cx="14605" cy="29210"/>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Line 124"/>
                        <wps:cNvCnPr/>
                        <wps:spPr bwMode="auto">
                          <a:xfrm flipH="1" flipV="1">
                            <a:off x="1505585" y="264795"/>
                            <a:ext cx="14605" cy="43815"/>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Line 125"/>
                        <wps:cNvCnPr/>
                        <wps:spPr bwMode="auto">
                          <a:xfrm flipH="1" flipV="1">
                            <a:off x="1520190" y="352425"/>
                            <a:ext cx="14605" cy="44450"/>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Rectangle 126"/>
                        <wps:cNvSpPr>
                          <a:spLocks noChangeArrowheads="1"/>
                        </wps:cNvSpPr>
                        <wps:spPr bwMode="auto">
                          <a:xfrm>
                            <a:off x="1621155" y="43815"/>
                            <a:ext cx="1168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612DC" w14:textId="77777777" w:rsidR="000328C0" w:rsidRDefault="000328C0">
                              <w:r>
                                <w:rPr>
                                  <w:rFonts w:cs="Arial"/>
                                  <w:color w:val="000000"/>
                                  <w:sz w:val="30"/>
                                  <w:szCs w:val="30"/>
                                  <w:lang w:val="en-US"/>
                                </w:rPr>
                                <w:t>F</w:t>
                              </w:r>
                            </w:p>
                          </w:txbxContent>
                        </wps:txbx>
                        <wps:bodyPr rot="0" vert="horz" wrap="none" lIns="0" tIns="0" rIns="0" bIns="0" anchor="t" anchorCtr="0">
                          <a:spAutoFit/>
                        </wps:bodyPr>
                      </wps:wsp>
                      <wps:wsp>
                        <wps:cNvPr id="159" name="Line 127"/>
                        <wps:cNvCnPr/>
                        <wps:spPr bwMode="auto">
                          <a:xfrm flipH="1">
                            <a:off x="1534795" y="249555"/>
                            <a:ext cx="86360" cy="1473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Freeform 128"/>
                        <wps:cNvSpPr>
                          <a:spLocks/>
                        </wps:cNvSpPr>
                        <wps:spPr bwMode="auto">
                          <a:xfrm>
                            <a:off x="1534795" y="234950"/>
                            <a:ext cx="115570" cy="161925"/>
                          </a:xfrm>
                          <a:custGeom>
                            <a:avLst/>
                            <a:gdLst>
                              <a:gd name="T0" fmla="*/ 91 w 182"/>
                              <a:gd name="T1" fmla="*/ 0 h 255"/>
                              <a:gd name="T2" fmla="*/ 182 w 182"/>
                              <a:gd name="T3" fmla="*/ 47 h 255"/>
                              <a:gd name="T4" fmla="*/ 22 w 182"/>
                              <a:gd name="T5" fmla="*/ 255 h 255"/>
                              <a:gd name="T6" fmla="*/ 0 w 182"/>
                              <a:gd name="T7" fmla="*/ 255 h 255"/>
                              <a:gd name="T8" fmla="*/ 0 w 182"/>
                              <a:gd name="T9" fmla="*/ 232 h 255"/>
                              <a:gd name="T10" fmla="*/ 91 w 182"/>
                              <a:gd name="T11" fmla="*/ 0 h 255"/>
                            </a:gdLst>
                            <a:ahLst/>
                            <a:cxnLst>
                              <a:cxn ang="0">
                                <a:pos x="T0" y="T1"/>
                              </a:cxn>
                              <a:cxn ang="0">
                                <a:pos x="T2" y="T3"/>
                              </a:cxn>
                              <a:cxn ang="0">
                                <a:pos x="T4" y="T5"/>
                              </a:cxn>
                              <a:cxn ang="0">
                                <a:pos x="T6" y="T7"/>
                              </a:cxn>
                              <a:cxn ang="0">
                                <a:pos x="T8" y="T9"/>
                              </a:cxn>
                              <a:cxn ang="0">
                                <a:pos x="T10" y="T11"/>
                              </a:cxn>
                            </a:cxnLst>
                            <a:rect l="0" t="0" r="r" b="b"/>
                            <a:pathLst>
                              <a:path w="182" h="255">
                                <a:moveTo>
                                  <a:pt x="91" y="0"/>
                                </a:moveTo>
                                <a:lnTo>
                                  <a:pt x="182" y="47"/>
                                </a:lnTo>
                                <a:lnTo>
                                  <a:pt x="22" y="255"/>
                                </a:lnTo>
                                <a:lnTo>
                                  <a:pt x="0" y="255"/>
                                </a:lnTo>
                                <a:lnTo>
                                  <a:pt x="0" y="232"/>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Rectangle 129"/>
                        <wps:cNvSpPr>
                          <a:spLocks noChangeArrowheads="1"/>
                        </wps:cNvSpPr>
                        <wps:spPr bwMode="auto">
                          <a:xfrm>
                            <a:off x="1577975" y="661035"/>
                            <a:ext cx="1168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E5339" w14:textId="77777777" w:rsidR="000328C0" w:rsidRDefault="000328C0">
                              <w:r>
                                <w:rPr>
                                  <w:rFonts w:cs="Arial"/>
                                  <w:color w:val="000000"/>
                                  <w:sz w:val="30"/>
                                  <w:szCs w:val="30"/>
                                  <w:lang w:val="en-US"/>
                                </w:rPr>
                                <w:t>F</w:t>
                              </w:r>
                            </w:p>
                          </w:txbxContent>
                        </wps:txbx>
                        <wps:bodyPr rot="0" vert="horz" wrap="none" lIns="0" tIns="0" rIns="0" bIns="0" anchor="t" anchorCtr="0">
                          <a:spAutoFit/>
                        </wps:bodyPr>
                      </wps:wsp>
                      <wps:wsp>
                        <wps:cNvPr id="162" name="Line 130"/>
                        <wps:cNvCnPr/>
                        <wps:spPr bwMode="auto">
                          <a:xfrm flipH="1">
                            <a:off x="1693545" y="631825"/>
                            <a:ext cx="29210" cy="59055"/>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131"/>
                        <wps:cNvCnPr/>
                        <wps:spPr bwMode="auto">
                          <a:xfrm flipH="1">
                            <a:off x="1751965" y="528955"/>
                            <a:ext cx="28575" cy="59055"/>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Rectangle 132"/>
                        <wps:cNvSpPr>
                          <a:spLocks noChangeArrowheads="1"/>
                        </wps:cNvSpPr>
                        <wps:spPr bwMode="auto">
                          <a:xfrm>
                            <a:off x="1852930" y="661035"/>
                            <a:ext cx="1168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B76A5" w14:textId="77777777" w:rsidR="000328C0" w:rsidRDefault="000328C0">
                              <w:r>
                                <w:rPr>
                                  <w:rFonts w:cs="Arial"/>
                                  <w:color w:val="000000"/>
                                  <w:sz w:val="30"/>
                                  <w:szCs w:val="30"/>
                                  <w:lang w:val="en-US"/>
                                </w:rPr>
                                <w:t>F</w:t>
                              </w:r>
                            </w:p>
                          </w:txbxContent>
                        </wps:txbx>
                        <wps:bodyPr rot="0" vert="horz" wrap="none" lIns="0" tIns="0" rIns="0" bIns="0" anchor="t" anchorCtr="0">
                          <a:spAutoFit/>
                        </wps:bodyPr>
                      </wps:wsp>
                      <wps:wsp>
                        <wps:cNvPr id="165" name="Line 133"/>
                        <wps:cNvCnPr/>
                        <wps:spPr bwMode="auto">
                          <a:xfrm flipH="1" flipV="1">
                            <a:off x="1780540" y="543560"/>
                            <a:ext cx="86995" cy="1320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Freeform 134"/>
                        <wps:cNvSpPr>
                          <a:spLocks/>
                        </wps:cNvSpPr>
                        <wps:spPr bwMode="auto">
                          <a:xfrm>
                            <a:off x="1780540" y="528955"/>
                            <a:ext cx="101600" cy="176530"/>
                          </a:xfrm>
                          <a:custGeom>
                            <a:avLst/>
                            <a:gdLst>
                              <a:gd name="T0" fmla="*/ 160 w 160"/>
                              <a:gd name="T1" fmla="*/ 231 h 278"/>
                              <a:gd name="T2" fmla="*/ 91 w 160"/>
                              <a:gd name="T3" fmla="*/ 278 h 278"/>
                              <a:gd name="T4" fmla="*/ 0 w 160"/>
                              <a:gd name="T5" fmla="*/ 23 h 278"/>
                              <a:gd name="T6" fmla="*/ 0 w 160"/>
                              <a:gd name="T7" fmla="*/ 0 h 278"/>
                              <a:gd name="T8" fmla="*/ 0 w 160"/>
                              <a:gd name="T9" fmla="*/ 23 h 278"/>
                              <a:gd name="T10" fmla="*/ 160 w 160"/>
                              <a:gd name="T11" fmla="*/ 231 h 278"/>
                            </a:gdLst>
                            <a:ahLst/>
                            <a:cxnLst>
                              <a:cxn ang="0">
                                <a:pos x="T0" y="T1"/>
                              </a:cxn>
                              <a:cxn ang="0">
                                <a:pos x="T2" y="T3"/>
                              </a:cxn>
                              <a:cxn ang="0">
                                <a:pos x="T4" y="T5"/>
                              </a:cxn>
                              <a:cxn ang="0">
                                <a:pos x="T6" y="T7"/>
                              </a:cxn>
                              <a:cxn ang="0">
                                <a:pos x="T8" y="T9"/>
                              </a:cxn>
                              <a:cxn ang="0">
                                <a:pos x="T10" y="T11"/>
                              </a:cxn>
                            </a:cxnLst>
                            <a:rect l="0" t="0" r="r" b="b"/>
                            <a:pathLst>
                              <a:path w="160" h="278">
                                <a:moveTo>
                                  <a:pt x="160" y="231"/>
                                </a:moveTo>
                                <a:lnTo>
                                  <a:pt x="91" y="278"/>
                                </a:lnTo>
                                <a:lnTo>
                                  <a:pt x="0" y="23"/>
                                </a:lnTo>
                                <a:lnTo>
                                  <a:pt x="0" y="0"/>
                                </a:lnTo>
                                <a:lnTo>
                                  <a:pt x="0" y="23"/>
                                </a:lnTo>
                                <a:lnTo>
                                  <a:pt x="160" y="2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Rectangle 135"/>
                        <wps:cNvSpPr>
                          <a:spLocks noChangeArrowheads="1"/>
                        </wps:cNvSpPr>
                        <wps:spPr bwMode="auto">
                          <a:xfrm>
                            <a:off x="1882140" y="14605"/>
                            <a:ext cx="1168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34F9C" w14:textId="77777777" w:rsidR="000328C0" w:rsidRDefault="000328C0">
                              <w:r>
                                <w:rPr>
                                  <w:rFonts w:cs="Arial"/>
                                  <w:color w:val="000000"/>
                                  <w:sz w:val="30"/>
                                  <w:szCs w:val="30"/>
                                  <w:lang w:val="en-US"/>
                                </w:rPr>
                                <w:t>F</w:t>
                              </w:r>
                            </w:p>
                          </w:txbxContent>
                        </wps:txbx>
                        <wps:bodyPr rot="0" vert="horz" wrap="none" lIns="0" tIns="0" rIns="0" bIns="0" anchor="t" anchorCtr="0">
                          <a:spAutoFit/>
                        </wps:bodyPr>
                      </wps:wsp>
                      <wps:wsp>
                        <wps:cNvPr id="168" name="Line 136"/>
                        <wps:cNvCnPr/>
                        <wps:spPr bwMode="auto">
                          <a:xfrm flipV="1">
                            <a:off x="1969135" y="191135"/>
                            <a:ext cx="0" cy="29210"/>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137"/>
                        <wps:cNvCnPr/>
                        <wps:spPr bwMode="auto">
                          <a:xfrm flipH="1" flipV="1">
                            <a:off x="1983105" y="264795"/>
                            <a:ext cx="14605" cy="43815"/>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Line 138"/>
                        <wps:cNvCnPr/>
                        <wps:spPr bwMode="auto">
                          <a:xfrm flipV="1">
                            <a:off x="2012315" y="352425"/>
                            <a:ext cx="0" cy="44450"/>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Rectangle 139"/>
                        <wps:cNvSpPr>
                          <a:spLocks noChangeArrowheads="1"/>
                        </wps:cNvSpPr>
                        <wps:spPr bwMode="auto">
                          <a:xfrm>
                            <a:off x="2099310" y="43815"/>
                            <a:ext cx="1168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2124D" w14:textId="77777777" w:rsidR="000328C0" w:rsidRDefault="000328C0">
                              <w:r>
                                <w:rPr>
                                  <w:rFonts w:cs="Arial"/>
                                  <w:color w:val="000000"/>
                                  <w:sz w:val="30"/>
                                  <w:szCs w:val="30"/>
                                  <w:lang w:val="en-US"/>
                                </w:rPr>
                                <w:t>F</w:t>
                              </w:r>
                            </w:p>
                          </w:txbxContent>
                        </wps:txbx>
                        <wps:bodyPr rot="0" vert="horz" wrap="none" lIns="0" tIns="0" rIns="0" bIns="0" anchor="t" anchorCtr="0">
                          <a:spAutoFit/>
                        </wps:bodyPr>
                      </wps:wsp>
                      <wps:wsp>
                        <wps:cNvPr id="172" name="Line 140"/>
                        <wps:cNvCnPr/>
                        <wps:spPr bwMode="auto">
                          <a:xfrm flipH="1">
                            <a:off x="2026920" y="249555"/>
                            <a:ext cx="72390" cy="1473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Freeform 141"/>
                        <wps:cNvSpPr>
                          <a:spLocks/>
                        </wps:cNvSpPr>
                        <wps:spPr bwMode="auto">
                          <a:xfrm>
                            <a:off x="2012315" y="234950"/>
                            <a:ext cx="115570" cy="161925"/>
                          </a:xfrm>
                          <a:custGeom>
                            <a:avLst/>
                            <a:gdLst>
                              <a:gd name="T0" fmla="*/ 91 w 182"/>
                              <a:gd name="T1" fmla="*/ 0 h 255"/>
                              <a:gd name="T2" fmla="*/ 182 w 182"/>
                              <a:gd name="T3" fmla="*/ 47 h 255"/>
                              <a:gd name="T4" fmla="*/ 23 w 182"/>
                              <a:gd name="T5" fmla="*/ 255 h 255"/>
                              <a:gd name="T6" fmla="*/ 0 w 182"/>
                              <a:gd name="T7" fmla="*/ 255 h 255"/>
                              <a:gd name="T8" fmla="*/ 23 w 182"/>
                              <a:gd name="T9" fmla="*/ 232 h 255"/>
                              <a:gd name="T10" fmla="*/ 91 w 182"/>
                              <a:gd name="T11" fmla="*/ 0 h 255"/>
                            </a:gdLst>
                            <a:ahLst/>
                            <a:cxnLst>
                              <a:cxn ang="0">
                                <a:pos x="T0" y="T1"/>
                              </a:cxn>
                              <a:cxn ang="0">
                                <a:pos x="T2" y="T3"/>
                              </a:cxn>
                              <a:cxn ang="0">
                                <a:pos x="T4" y="T5"/>
                              </a:cxn>
                              <a:cxn ang="0">
                                <a:pos x="T6" y="T7"/>
                              </a:cxn>
                              <a:cxn ang="0">
                                <a:pos x="T8" y="T9"/>
                              </a:cxn>
                              <a:cxn ang="0">
                                <a:pos x="T10" y="T11"/>
                              </a:cxn>
                            </a:cxnLst>
                            <a:rect l="0" t="0" r="r" b="b"/>
                            <a:pathLst>
                              <a:path w="182" h="255">
                                <a:moveTo>
                                  <a:pt x="91" y="0"/>
                                </a:moveTo>
                                <a:lnTo>
                                  <a:pt x="182" y="47"/>
                                </a:lnTo>
                                <a:lnTo>
                                  <a:pt x="23" y="255"/>
                                </a:lnTo>
                                <a:lnTo>
                                  <a:pt x="0" y="255"/>
                                </a:lnTo>
                                <a:lnTo>
                                  <a:pt x="23" y="232"/>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Canvas 174" o:spid="_x0000_s1026" editas="canvas" alt="Graphic depicting the structure of the PFOS anion." style="width:206.35pt;height:78.7pt;mso-position-horizontal-relative:char;mso-position-vertical-relative:line" coordsize="26206,9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Graphic depicting the structure of the PFOS anion." style="position:absolute;width:26206;height:9994;visibility:visible;mso-wrap-style:square">
                  <v:fill o:detectmouseclick="t"/>
                  <v:path o:connecttype="none"/>
                </v:shape>
                <v:line id="Line 76" o:spid="_x0000_s1028" style="position:absolute;flip:y;visibility:visible;mso-wrap-style:square" from="3327,3968" to="5791,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3/BcAAAADcAAAADwAAAGRycy9kb3ducmV2LnhtbESPTWvDMAyG74P+B6PBbou9FrYuq1vK&#10;YNDrukKvIlY+qC2H2EmTfz8dBrtJ6P14tDvMwauJhtRFtvBSGFDEVXQdNxYuP1/PW1ApIzv0kcnC&#10;QgkO+9XDDksX7/xN0zk3SkI4lWihzbkvtU5VSwFTEXtiudVxCJhlHRrtBrxLePB6bcyrDtixNLTY&#10;02dL1e08Buld8lKvrwZHf3n35vY2mc1YW/v0OB8/QGWa87/4z31ygm+EVp6RCfT+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Ld/wXAAAAA3AAAAA8AAAAAAAAAAAAAAAAA&#10;oQIAAGRycy9kb3ducmV2LnhtbFBLBQYAAAAABAAEAPkAAACOAwAAAAA=&#10;" strokeweight="1.15pt"/>
                <v:line id="Line 77" o:spid="_x0000_s1029" alt="Graphic depicting the structure of the PFOS anion." style="position:absolute;visibility:visible;mso-wrap-style:square" from="5791,3968" to="8108,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LazMMAAADcAAAADwAAAGRycy9kb3ducmV2LnhtbERPTWvCQBC9C/6HZQq96aYepKZuQhBL&#10;vViobUFvQ3ZMgtnZkJ2a+O+7hYK3ebzPWeeja9WV+tB4NvA0T0ARl942XBn4+nydPYMKgmyx9UwG&#10;bhQgz6aTNabWD/xB14NUKoZwSNFALdKlWoeyJodh7jviyJ1971Ai7CttexxiuGv1IkmW2mHDsaHG&#10;jjY1lZfDjzMwbM8XL7J83xXHfTF+HxfN6c0Z8/gwFi+ghEa5i//dOxvnJyv4eyZeo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i2szDAAAA3AAAAA8AAAAAAAAAAAAA&#10;AAAAoQIAAGRycy9kb3ducmV2LnhtbFBLBQYAAAAABAAEAPkAAACRAwAAAAA=&#10;" strokeweight="1.15pt"/>
                <v:line id="Line 78" o:spid="_x0000_s1030" style="position:absolute;flip:y;visibility:visible;mso-wrap-style:square" from="8108,3968" to="10566,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Jl3sAAAADcAAAADwAAAGRycy9kb3ducmV2LnhtbESPS2vDMAzH74N+B6NBb6vdFvbI6pYy&#10;GPTartCriJUHteUQO2ny7afDYDcJ/R8/7Q5T8GqkPrWRLaxXBhRxGV3LtYXrz/fLO6iUkR36yGRh&#10;pgSH/eJph4WLDz7TeMm1khBOBVpocu4KrVPZUMC0ih2x3KrYB8yy9rV2PT4kPHi9MeZVB2xZGhrs&#10;6Kuh8n4ZgvTOea42N4ODv354c38bzXaorF0+T8dPUJmm/C/+c5+c4K8FX56RCfT+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lyZd7AAAAA3AAAAA8AAAAAAAAAAAAAAAAA&#10;oQIAAGRycy9kb3ducmV2LnhtbFBLBQYAAAAABAAEAPkAAACOAwAAAAA=&#10;" strokeweight="1.15pt"/>
                <v:line id="Line 79" o:spid="_x0000_s1031" style="position:absolute;visibility:visible;mso-wrap-style:square" from="10566,3968" to="13030,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1AF8IAAADcAAAADwAAAGRycy9kb3ducmV2LnhtbERPTWvCQBC9F/wPywje6iYepERXCaWi&#10;lxaqLehtyI5JMDsbslMT/31XELzN433Ocj24Rl2pC7VnA+k0AUVceFtzaeDnsHl9AxUE2WLjmQzc&#10;KMB6NXpZYmZ9z9903UupYgiHDA1UIm2mdSgqchimviWO3Nl3DiXCrtS2wz6Gu0bPkmSuHdYcGyps&#10;6b2i4rL/cwb6j/PFi8y/dvnxMx9+j7P6tHXGTMZDvgAlNMhT/HDvbJyfpnB/Jl6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o1AF8IAAADcAAAADwAAAAAAAAAAAAAA&#10;AAChAgAAZHJzL2Rvd25yZXYueG1sUEsFBgAAAAAEAAQA+QAAAJADAAAAAA==&#10;" strokeweight="1.15pt"/>
                <v:line id="Line 80" o:spid="_x0000_s1032" style="position:absolute;flip:y;visibility:visible;mso-wrap-style:square" from="13030,3968" to="15347,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xeMsIAAADcAAAADwAAAGRycy9kb3ducmV2LnhtbESPT2sCMRDF7wW/Qxiht5q4Qq2rUUQQ&#10;vFaFXofN7B9MJssmu+5+e1Mo9DbDe/N+b3aH0VkxUBcazxqWCwWCuPCm4UrD/Xb++AIRIrJB65k0&#10;TBTgsJ+97TA3/snfNFxjJVIIhxw11DG2uZShqMlhWPiWOGml7xzGtHaVNB0+U7izMlPqUzpsOBFq&#10;bOlUU/G49i5xpziV2Y/C3t43Vj3Wg1r1pdbv8/G4BRFpjP/mv+uLSfWXGfw+kya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xeMsIAAADcAAAADwAAAAAAAAAAAAAA&#10;AAChAgAAZHJzL2Rvd25yZXYueG1sUEsFBgAAAAAEAAQA+QAAAJADAAAAAA==&#10;" strokeweight="1.15pt"/>
                <v:line id="Line 81" o:spid="_x0000_s1033" style="position:absolute;visibility:visible;mso-wrap-style:square" from="15347,3968" to="17805,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N7+8IAAADcAAAADwAAAGRycy9kb3ducmV2LnhtbERPS2vCQBC+C/6HZQredKOClNRVQlH0&#10;YqE+wN6G7JgEs7MhO5r033cLhd7m43vOct27Wj2pDZVnA9NJAoo497biwsD5tB2/ggqCbLH2TAa+&#10;KcB6NRwsMbW+4096HqVQMYRDigZKkSbVOuQlOQwT3xBH7uZbhxJhW2jbYhfDXa1nSbLQDiuODSU2&#10;9F5Sfj8+nIFuc7t7kcXHPrsesv5ynVVfO2fM6KXP3kAJ9fIv/nPvbZw/ncPvM/ECv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N7+8IAAADcAAAADwAAAAAAAAAAAAAA&#10;AAChAgAAZHJzL2Rvd25yZXYueG1sUEsFBgAAAAAEAAQA+QAAAJADAAAAAA==&#10;" strokeweight="1.15pt"/>
                <v:line id="Line 82" o:spid="_x0000_s1034" style="position:absolute;flip:y;visibility:visible;mso-wrap-style:square" from="17805,3968" to="20123,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lj3cIAAADcAAAADwAAAGRycy9kb3ducmV2LnhtbESPT2sCMRDF74V+hzAFbzXRitqtUUQo&#10;eNUKXofN7B9MJssmu+5+eyMIvc3w3rzfm81ucFb01Ibas4bZVIEgzr2pudRw+fv9XIMIEdmg9Uwa&#10;Rgqw276/bTAz/s4n6s+xFCmEQ4YaqhibTMqQV+QwTH1DnLTCtw5jWttSmhbvKdxZOVdqKR3WnAgV&#10;NnSoKL+dO5e4YxyL+VVhZy/fVt1WvfrqCq0nH8P+B0SkIf6bX9dHk+rPFvB8Jk0gt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lj3cIAAADcAAAADwAAAAAAAAAAAAAA&#10;AAChAgAAZHJzL2Rvd25yZXYueG1sUEsFBgAAAAAEAAQA+QAAAJADAAAAAA==&#10;" strokeweight="1.15pt"/>
                <v:rect id="Rectangle 83" o:spid="_x0000_s1035" style="position:absolute;left:22002;top:4260;width:2756;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14:paraId="421C2F4D" w14:textId="77777777" w:rsidR="000328C0" w:rsidRDefault="000328C0">
                        <w:r>
                          <w:rPr>
                            <w:rFonts w:cs="Arial"/>
                            <w:color w:val="000000"/>
                            <w:sz w:val="30"/>
                            <w:szCs w:val="30"/>
                            <w:lang w:val="en-US"/>
                          </w:rPr>
                          <w:t>SO</w:t>
                        </w:r>
                      </w:p>
                    </w:txbxContent>
                  </v:textbox>
                </v:rect>
                <v:rect id="Rectangle 84" o:spid="_x0000_s1036" style="position:absolute;left:24758;top:5143;width:85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14:paraId="4E4F6D4C" w14:textId="77777777" w:rsidR="000328C0" w:rsidRDefault="000328C0">
                        <w:r>
                          <w:rPr>
                            <w:rFonts w:cs="Arial"/>
                            <w:color w:val="000000"/>
                            <w:sz w:val="24"/>
                            <w:lang w:val="en-US"/>
                          </w:rPr>
                          <w:t>3</w:t>
                        </w:r>
                      </w:p>
                    </w:txbxContent>
                  </v:textbox>
                </v:rect>
                <v:line id="Line 85" o:spid="_x0000_s1037" alt="Graphic depicting the structure of the PFOS anion.&#10;" style="position:absolute;visibility:visible;mso-wrap-style:square" from="20123,3968" to="21717,4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h9+MIAAADcAAAADwAAAGRycy9kb3ducmV2LnhtbERPS2vCQBC+F/wPyxS81Y0etKSuEoql&#10;Xiz4AnsbsmMSzM6G7Gjiv+8KQm/z8T1nvuxdrW7UhsqzgfEoAUWce1txYeCw/3p7BxUE2WLtmQzc&#10;KcByMXiZY2p9x1u67aRQMYRDigZKkSbVOuQlOQwj3xBH7uxbhxJhW2jbYhfDXa0nSTLVDiuODSU2&#10;9FlSftldnYFudb54kenPOjttsv54mlS/386Y4WuffYAS6uVf/HSvbZw/nsHjmXiBXv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h9+MIAAADcAAAADwAAAAAAAAAAAAAA&#10;AAChAgAAZHJzL2Rvd25yZXYueG1sUEsFBgAAAAAEAAQA+QAAAJADAAAAAA==&#10;" strokeweight="1.15pt"/>
                <v:rect id="Rectangle 86" o:spid="_x0000_s1038" style="position:absolute;left:24612;top:4260;width:724;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J9s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rT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CyfbHAAAA3AAAAA8AAAAAAAAAAAAAAAAAmAIAAGRy&#10;cy9kb3ducmV2LnhtbFBLBQYAAAAABAAEAPUAAACMAwAAAAA=&#10;" fillcolor="black" stroked="f"/>
                <v:rect id="Rectangle 87" o:spid="_x0000_s1039" style="position:absolute;left:2749;top:7054;width:1168;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14:paraId="5820CBA8" w14:textId="77777777" w:rsidR="000328C0" w:rsidRDefault="000328C0">
                        <w:r>
                          <w:rPr>
                            <w:rFonts w:cs="Arial"/>
                            <w:color w:val="000000"/>
                            <w:sz w:val="30"/>
                            <w:szCs w:val="30"/>
                            <w:lang w:val="en-US"/>
                          </w:rPr>
                          <w:t>F</w:t>
                        </w:r>
                      </w:p>
                    </w:txbxContent>
                  </v:textbox>
                </v:rect>
                <v:line id="Line 88" o:spid="_x0000_s1040" style="position:absolute;visibility:visible;mso-wrap-style:square" from="3327,5289" to="3327,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0vMcUAAADcAAAADwAAAGRycy9kb3ducmV2LnhtbESPQUvDQBCF74L/YZlCb3bTHIrEbkso&#10;FXupYFWotyE7TUKzsyE7NvHfOwfB2wzvzXvfrLdT6MyNhtRGdrBcZGCIq+hbrh18vD8/PIJJguyx&#10;i0wOfijBdnN/t8bCx5Hf6HaS2mgIpwIdNCJ9YW2qGgqYFrEnVu0Sh4Ci61BbP+Co4aGzeZatbMCW&#10;taHBnnYNVdfTd3Aw7i/XKLJ6PZTnYzl9nvP26yU4N59N5RMYoUn+zX/XB6/4ueLrMzqB3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0vMcUAAADcAAAADwAAAAAAAAAA&#10;AAAAAAChAgAAZHJzL2Rvd25yZXYueG1sUEsFBgAAAAAEAAQA+QAAAJMDAAAAAA==&#10;" strokeweight="1.15pt"/>
                <v:rect id="Rectangle 89" o:spid="_x0000_s1041" style="position:absolute;left:292;top:2794;width:1168;height:21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14:paraId="7D31DE12" w14:textId="77777777" w:rsidR="000328C0" w:rsidRDefault="000328C0">
                        <w:r>
                          <w:rPr>
                            <w:rFonts w:cs="Arial"/>
                            <w:color w:val="000000"/>
                            <w:sz w:val="30"/>
                            <w:szCs w:val="30"/>
                            <w:lang w:val="en-US"/>
                          </w:rPr>
                          <w:t>F</w:t>
                        </w:r>
                      </w:p>
                    </w:txbxContent>
                  </v:textbox>
                </v:rect>
                <v:line id="Line 90" o:spid="_x0000_s1042" style="position:absolute;visibility:visible;mso-wrap-style:square" from="1593,4260" to="3327,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0ZDMMAAADcAAAADwAAAGRycy9kb3ducmV2LnhtbERPTWvCQBC9C/0PywjedGNAm0Y3UkqL&#10;9tamCh6H7Jgsyc6G7Fbjv+8WCr3N433OdjfaTlxp8MaxguUiAUFcOW24VnD8eptnIHxA1tg5JgV3&#10;8rArHiZbzLW78Sddy1CLGMI+RwVNCH0upa8asugXrieO3MUNFkOEQy31gLcYbjuZJslaWjQcGxrs&#10;6aWhqi2/rQLzsd6v3h9PTyf5ug/Lc9Zmxh6Vmk3H5w2IQGP4F/+5DzrOT1P4fSZeI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tGQzDAAAA3AAAAA8AAAAAAAAAAAAA&#10;AAAAoQIAAGRycy9kb3ducmV2LnhtbFBLBQYAAAAABAAEAPkAAACRAwAAAAA=&#10;" strokeweight="0"/>
                <v:shape id="Freeform 91" o:spid="_x0000_s1043" style="position:absolute;left:1301;top:3968;width:2026;height:1467;visibility:visible;mso-wrap-style:square;v-text-anchor:top" coordsize="319,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qI7sYA&#10;AADcAAAADwAAAGRycy9kb3ducmV2LnhtbESPQWvCQBCF74L/YZmCN93URpHoKhJpK4gH0168jdlp&#10;kpqdDdlV03/fFQRvM7z3vXmzWHWmFldqXWVZwesoAkGcW11xoeD76304A+E8ssbaMin4IwerZb+3&#10;wETbGx/omvlChBB2CSoovW8SKV1ekkE3sg1x0H5sa9CHtS2kbvEWwk0tx1E0lQYrDhdKbCgtKT9n&#10;FxNqpNvdKZ99xKfPzf43jeP9MZ14pQYv3XoOwlPnn+YHvdWBG7/B/ZkwgV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qI7sYAAADcAAAADwAAAAAAAAAAAAAAAACYAgAAZHJz&#10;L2Rvd25yZXYueG1sUEsFBgAAAAAEAAQA9QAAAIsDAAAAAA==&#10;" path="m,92l46,,297,185r22,23l319,231,,92xe" fillcolor="black" stroked="f">
                  <v:path arrowok="t" o:connecttype="custom" o:connectlocs="0,58420;29210,0;188595,117475;202565,132080;202565,146685;0,58420" o:connectangles="0,0,0,0,0,0"/>
                </v:shape>
                <v:rect id="Rectangle 92" o:spid="_x0000_s1044" style="position:absolute;left:1879;top:1320;width:1169;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14:paraId="7D2143E8" w14:textId="77777777" w:rsidR="000328C0" w:rsidRDefault="000328C0">
                        <w:r>
                          <w:rPr>
                            <w:rFonts w:cs="Arial"/>
                            <w:color w:val="000000"/>
                            <w:sz w:val="30"/>
                            <w:szCs w:val="30"/>
                            <w:lang w:val="en-US"/>
                          </w:rPr>
                          <w:t>F</w:t>
                        </w:r>
                      </w:p>
                    </w:txbxContent>
                  </v:textbox>
                </v:rect>
                <v:line id="Line 93" o:spid="_x0000_s1045" style="position:absolute;flip:x y;visibility:visible;mso-wrap-style:square" from="2603,2940" to="2749,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f6fMMAAADcAAAADwAAAGRycy9kb3ducmV2LnhtbERPTWvCQBC9C/6HZQq9iG4UG2p0FS0U&#10;xEtR66G3aXZMQrOzITvV+O/dQsHbPN7nLFadq9WF2lB5NjAeJaCIc28rLgx8Ht+Hr6CCIFusPZOB&#10;GwVYLfu9BWbWX3lPl4MUKoZwyNBAKdJkWoe8JIdh5BviyJ1961AibAttW7zGcFfrSZKk2mHFsaHE&#10;ht5Kyn8Ov85A00139Tad6Y/Tt6RfMtvIerAx5vmpW89BCXXyEP+7tzbOn7zA3zPxAr2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3+nzDAAAA3AAAAA8AAAAAAAAAAAAA&#10;AAAAoQIAAGRycy9kb3ducmV2LnhtbFBLBQYAAAAABAAEAPkAAACRAwAAAAA=&#10;" strokeweight="1.15pt"/>
                <v:line id="Line 94" o:spid="_x0000_s1046" style="position:absolute;flip:x y;visibility:visible;mso-wrap-style:square" from="2895,3968" to="3041,4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VkC8IAAADcAAAADwAAAGRycy9kb3ducmV2LnhtbERPTWvCQBC9F/wPywheim6UEjS6igqC&#10;9FJq9eBtzI5JMDsbsqOm/75bKPQ2j/c5i1XnavWgNlSeDYxHCSji3NuKCwPHr91wCioIssXaMxn4&#10;pgCrZe9lgZn1T/6kx0EKFUM4ZGigFGkyrUNeksMw8g1x5K6+dSgRtoW2LT5juKv1JElS7bDi2FBi&#10;Q9uS8tvh7gw03dt7vU9n+uN0kfQss42sXzfGDPrdeg5KqJN/8Z97b+P8SQq/z8QL9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VkC8IAAADcAAAADwAAAAAAAAAAAAAA&#10;AAChAgAAZHJzL2Rvd25yZXYueG1sUEsFBgAAAAAEAAQA+QAAAJADAAAAAA==&#10;" strokeweight="1.15pt"/>
                <v:line id="Line 95" o:spid="_x0000_s1047" style="position:absolute;flip:x y;visibility:visible;mso-wrap-style:square" from="3187,4851" to="3327,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BkMMAAADcAAAADwAAAGRycy9kb3ducmV2LnhtbERPTWvCQBC9C/6HZQq9FN0oEmt0FS0U&#10;xEtR66G3aXZMQrOzITvV+O/dQsHbPN7nLFadq9WF2lB5NjAaJqCIc28rLgx8Ht8Hr6CCIFusPZOB&#10;GwVYLfu9BWbWX3lPl4MUKoZwyNBAKdJkWoe8JIdh6BviyJ1961AibAttW7zGcFfrcZKk2mHFsaHE&#10;ht5Kyn8Ov85A00129Tad6Y/Tt6RfMtvI+mVjzPNTt56DEurkIf53b22cP57C3zPxAr2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pwZDDAAAA3AAAAA8AAAAAAAAAAAAA&#10;AAAAoQIAAGRycy9kb3ducmV2LnhtbFBLBQYAAAAABAAEAPkAAACRAwAAAAA=&#10;" strokeweight="1.15pt"/>
                <v:rect id="Rectangle 96" o:spid="_x0000_s1048" style="position:absolute;left:3911;top:146;width:1169;height:21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14:paraId="003726BA" w14:textId="77777777" w:rsidR="000328C0" w:rsidRDefault="000328C0">
                        <w:r>
                          <w:rPr>
                            <w:rFonts w:cs="Arial"/>
                            <w:color w:val="000000"/>
                            <w:sz w:val="30"/>
                            <w:szCs w:val="30"/>
                            <w:lang w:val="en-US"/>
                          </w:rPr>
                          <w:t>F</w:t>
                        </w:r>
                      </w:p>
                    </w:txbxContent>
                  </v:textbox>
                </v:rect>
                <v:line id="Line 97" o:spid="_x0000_s1049" style="position:absolute;flip:x y;visibility:visible;mso-wrap-style:square" from="4635,1765" to="4921,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rwecMAAADcAAAADwAAAGRycy9kb3ducmV2LnhtbERPTWvCQBC9F/wPyxR6KbpRSmiiq6hQ&#10;kF6kWg/exuyYhGZnQ3bU9N93hYK3ebzPmS1616grdaH2bGA8SkARF97WXBr43n8M30EFQbbYeCYD&#10;vxRgMR88zTC3/sZfdN1JqWIIhxwNVCJtrnUoKnIYRr4ljtzZdw4lwq7UtsNbDHeNniRJqh3WHBsq&#10;bGldUfGzuzgDbf/22WzSTG8PJ0mPkq1k+boy5uW5X05BCfXyEP+7NzbOn2RwfyZeo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68HnDAAAA3AAAAA8AAAAAAAAAAAAA&#10;AAAAoQIAAGRycy9kb3ducmV2LnhtbFBLBQYAAAAABAAEAPkAAACRAwAAAAA=&#10;" strokeweight="1.15pt"/>
                <v:line id="Line 98" o:spid="_x0000_s1050" style="position:absolute;flip:x y;visibility:visible;mso-wrap-style:square" from="5067,2647" to="5359,3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nPOcYAAADcAAAADwAAAGRycy9kb3ducmV2LnhtbESPQU/CQBCF7yb+h82QcDGyVUwjlYWA&#10;CQnxYgA9eBu7Y9vQnW26A9R/7xxMuM3kvXnvm/lyCK05U5+ayA4eJhkY4jL6hisHH4fN/TOYJMge&#10;28jk4JcSLBe3N3MsfLzwjs57qYyGcCrQQS3SFdamsqaAaRI7YtV+Yh9QdO0r63u8aHho7WOW5TZg&#10;w9pQY0evNZXH/Sk46Iant3abz+z757fkXzJby+pu7dx4NKxewAgNcjX/X2+94k8VX5/RCez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ZzznGAAAA3AAAAA8AAAAAAAAA&#10;AAAAAAAAoQIAAGRycy9kb3ducmV2LnhtbFBLBQYAAAAABAAEAPkAAACUAwAAAAA=&#10;" strokeweight="1.15pt"/>
                <v:line id="Line 99" o:spid="_x0000_s1051" style="position:absolute;flip:x y;visibility:visible;mso-wrap-style:square" from="5499,3524" to="579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VqosMAAADcAAAADwAAAGRycy9kb3ducmV2LnhtbERPTWvCQBC9F/wPyxS8FN1oJdToKioU&#10;pBdpWg+9TbNjEpqdDdmppv++Kwje5vE+Z7nuXaPO1IXas4HJOAFFXHhbc2ng8+N19AIqCLLFxjMZ&#10;+KMA69XgYYmZ9Rd+p3MupYohHDI0UIm0mdahqMhhGPuWOHIn3zmUCLtS2w4vMdw1epokqXZYc2yo&#10;sKVdRcVP/usMtP3srdmnc304fkv6JfOtbJ62xgwf+80ClFAvd/HNvbdx/vMErs/EC/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VaqLDAAAA3AAAAA8AAAAAAAAAAAAA&#10;AAAAoQIAAGRycy9kb3ducmV2LnhtbFBLBQYAAAAABAAEAPkAAACRAwAAAAA=&#10;" strokeweight="1.15pt"/>
                <v:rect id="Rectangle 100" o:spid="_x0000_s1052" style="position:absolute;left:6515;top:438;width:1168;height:21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14:paraId="5ED56265" w14:textId="77777777" w:rsidR="000328C0" w:rsidRDefault="000328C0">
                        <w:r>
                          <w:rPr>
                            <w:rFonts w:cs="Arial"/>
                            <w:color w:val="000000"/>
                            <w:sz w:val="30"/>
                            <w:szCs w:val="30"/>
                            <w:lang w:val="en-US"/>
                          </w:rPr>
                          <w:t>F</w:t>
                        </w:r>
                      </w:p>
                    </w:txbxContent>
                  </v:textbox>
                </v:rect>
                <v:line id="Line 101" o:spid="_x0000_s1053" style="position:absolute;flip:x;visibility:visible;mso-wrap-style:square" from="5791,2495" to="6515,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wZj8QAAADcAAAADwAAAGRycy9kb3ducmV2LnhtbERPS2sCMRC+F/wPYYTearYKraxGkRaL&#10;CK34OngbN9Pdxc1kSaKb/vumUPA2H99zpvNoGnEj52vLCp4HGQjiwuqaSwWH/fJpDMIHZI2NZVLw&#10;Qx7ms97DFHNtO97SbRdKkULY56igCqHNpfRFRQb9wLbEifu2zmBI0JVSO+xSuGnkMMtepMGaU0OF&#10;Lb1VVFx2V6Ng+/XKZ/dxjZd47j43p2O5Pr4vlHrsx8UERKAY7uJ/90qn+aMR/D2TLp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3BmPxAAAANwAAAAPAAAAAAAAAAAA&#10;AAAAAKECAABkcnMvZG93bnJldi54bWxQSwUGAAAAAAQABAD5AAAAkgMAAAAA&#10;" strokeweight="0"/>
                <v:shape id="Freeform 102" o:spid="_x0000_s1054" style="position:absolute;left:5791;top:2349;width:1016;height:1619;visibility:visible;mso-wrap-style:square;v-text-anchor:top" coordsize="16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vXcMA&#10;AADcAAAADwAAAGRycy9kb3ducmV2LnhtbERPTWvCQBC9C/0PyxR6kbprW4KkrlKkFhF6MHrocciO&#10;ydLsbMiuSfrvu4LgbR7vc5br0TWipy5YzxrmMwWCuPTGcqXhdNw+L0CEiGyw8Uwa/ijAevUwWWJu&#10;/MAH6otYiRTCIUcNdYxtLmUoa3IYZr4lTtzZdw5jgl0lTYdDCneNfFEqkw4tp4YaW9rUVP4WF6dh&#10;UFbNN7vT93T/Yz+LXp6/KJNaPz2OH+8gIo3xLr65dybNf32D6zPpAr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IvXcMAAADcAAAADwAAAAAAAAAAAAAAAACYAgAAZHJzL2Rv&#10;d25yZXYueG1sUEsFBgAAAAAEAAQA9QAAAIgDAAAAAA==&#10;" path="m91,r69,47l,255r,l,232,91,xe" fillcolor="black" stroked="f">
                  <v:path arrowok="t" o:connecttype="custom" o:connectlocs="57785,0;101600,29845;0,161925;0,161925;0,147320;57785,0" o:connectangles="0,0,0,0,0,0"/>
                </v:shape>
                <v:rect id="Rectangle 103" o:spid="_x0000_s1055" style="position:absolute;left:6223;top:6902;width:1168;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14:paraId="3B2C98B5" w14:textId="77777777" w:rsidR="000328C0" w:rsidRDefault="000328C0">
                        <w:r>
                          <w:rPr>
                            <w:rFonts w:cs="Arial"/>
                            <w:color w:val="000000"/>
                            <w:sz w:val="30"/>
                            <w:szCs w:val="30"/>
                            <w:lang w:val="en-US"/>
                          </w:rPr>
                          <w:t>F</w:t>
                        </w:r>
                      </w:p>
                    </w:txbxContent>
                  </v:textbox>
                </v:rect>
                <v:line id="Line 104" o:spid="_x0000_s1056" style="position:absolute;flip:x;visibility:visible;mso-wrap-style:square" from="7385,6464" to="7531,7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IEUcEAAADcAAAADwAAAGRycy9kb3ducmV2LnhtbESPT4vCMBDF7wt+hzCCtzVRwdVqFBEW&#10;vOoKXodm+geTSWnS2n77jbCwtxnem/d7sz8Ozoqe2lB71rCYKxDEuTc1lxruP9+fGxAhIhu0nknD&#10;SAGOh8nHHjPjX3yl/hZLkUI4ZKihirHJpAx5RQ7D3DfESSt86zCmtS2lafGVwp2VS6XW0mHNiVBh&#10;Q+eK8uetc4k7xrFYPhR29r616vnVq1VXaD2bDqcdiEhD/Df/XV9Mqr9aw/uZNIE8/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YgRRwQAAANwAAAAPAAAAAAAAAAAAAAAA&#10;AKECAABkcnMvZG93bnJldi54bWxQSwUGAAAAAAQABAD5AAAAjwMAAAAA&#10;" strokeweight="1.15pt"/>
                <v:line id="Line 105" o:spid="_x0000_s1057" style="position:absolute;flip:x;visibility:visible;mso-wrap-style:square" from="7816,5289" to="8108,5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6hysEAAADcAAAADwAAAGRycy9kb3ducmV2LnhtbESPT4vCMBDF7wt+hzCCtzVRYdVqFBEW&#10;vOoKXodm+geTSWnS2n77jbCwtxnem/d7sz8Ozoqe2lB71rCYKxDEuTc1lxruP9+fGxAhIhu0nknD&#10;SAGOh8nHHjPjX3yl/hZLkUI4ZKihirHJpAx5RQ7D3DfESSt86zCmtS2lafGVwp2VS6W+pMOaE6HC&#10;hs4V5c9b5xJ3jGOxfCjs7H1r1XPdq1VXaD2bDqcdiEhD/Df/XV9Mqr9aw/uZNIE8/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LqHKwQAAANwAAAAPAAAAAAAAAAAAAAAA&#10;AKECAABkcnMvZG93bnJldi54bWxQSwUGAAAAAAQABAD5AAAAjwMAAAAA&#10;" strokeweight="1.15pt"/>
                <v:rect id="Rectangle 106" o:spid="_x0000_s1058" style="position:absolute;left:8978;top:6756;width:1169;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14:paraId="38EB1BB7" w14:textId="77777777" w:rsidR="000328C0" w:rsidRDefault="000328C0">
                        <w:r>
                          <w:rPr>
                            <w:rFonts w:cs="Arial"/>
                            <w:color w:val="000000"/>
                            <w:sz w:val="30"/>
                            <w:szCs w:val="30"/>
                            <w:lang w:val="en-US"/>
                          </w:rPr>
                          <w:t>F</w:t>
                        </w:r>
                      </w:p>
                    </w:txbxContent>
                  </v:textbox>
                </v:rect>
                <v:line id="Line 107" o:spid="_x0000_s1059" style="position:absolute;flip:x y;visibility:visible;mso-wrap-style:square" from="8255,5435" to="8978,6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2ib8EAAADcAAAADwAAAGRycy9kb3ducmV2LnhtbERPTWsCMRC9F/wPYQQvpWarYO1qFCkq&#10;0ltXex82081iMlmSqOu/N4VCb/N4n7Nc986KK4XYelbwOi5AENdet9woOB13L3MQMSFrtJ5JwZ0i&#10;rFeDpyWW2t/4i65VakQO4ViiApNSV0oZa0MO49h3xJn78cFhyjA0Uge85XBn5aQoZtJhy7nBYEcf&#10;hupzdXEKpm/fx8PZPpvPXXRmu7dVPQt3pUbDfrMAkahP/+I/90Hn+dN3+H0mX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baJvwQAAANwAAAAPAAAAAAAAAAAAAAAA&#10;AKECAABkcnMvZG93bnJldi54bWxQSwUGAAAAAAQABAD5AAAAjwMAAAAA&#10;" strokeweight="0"/>
                <v:shape id="Freeform 108" o:spid="_x0000_s1060" style="position:absolute;left:8108;top:5289;width:1156;height:1911;visibility:visible;mso-wrap-style:square;v-text-anchor:top" coordsize="18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3fV8MA&#10;AADcAAAADwAAAGRycy9kb3ducmV2LnhtbESPQYvCQAyF74L/YYiwF1mnLiLSdVpEkPUmVcFr6MS2&#10;2MmUzmi7/35zWPCW8F7e+7LNR9eqF/Wh8WxguUhAEZfeNlwZuF4OnxtQISJbbD2TgV8KkGfTyRZT&#10;6wcu6HWOlZIQDikaqGPsUq1DWZPDsPAdsWh33zuMsvaVtj0OEu5a/ZUka+2wYWmosaN9TeXj/HQG&#10;5j+n+e1Q6qEo2ma1Pl4e9+KUGPMxG3ffoCKN8W3+vz5awV8JvjwjE+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3fV8MAAADcAAAADwAAAAAAAAAAAAAAAACYAgAAZHJzL2Rv&#10;d25yZXYueG1sUEsFBgAAAAAEAAQA9QAAAIgDAAAAAA==&#10;" path="m182,255r-68,46l,23,,,23,23,182,255xe" fillcolor="black" stroked="f">
                  <v:path arrowok="t" o:connecttype="custom" o:connectlocs="115570,161925;72390,191135;0,14605;0,0;14605,14605;115570,161925" o:connectangles="0,0,0,0,0,0"/>
                </v:shape>
                <v:rect id="Rectangle 109" o:spid="_x0000_s1061" style="position:absolute;left:9264;top:146;width:1169;height:21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14:paraId="2E930BA8" w14:textId="77777777" w:rsidR="000328C0" w:rsidRDefault="000328C0">
                        <w:r>
                          <w:rPr>
                            <w:rFonts w:cs="Arial"/>
                            <w:color w:val="000000"/>
                            <w:sz w:val="30"/>
                            <w:szCs w:val="30"/>
                            <w:lang w:val="en-US"/>
                          </w:rPr>
                          <w:t>F</w:t>
                        </w:r>
                      </w:p>
                    </w:txbxContent>
                  </v:textbox>
                </v:rect>
                <v:line id="Line 110" o:spid="_x0000_s1062" style="position:absolute;flip:x y;visibility:visible;mso-wrap-style:square" from="9988,1911" to="10134,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GHqMMAAADcAAAADwAAAGRycy9kb3ducmV2LnhtbERPS2vCQBC+F/oflil4KbqpSNDoKloo&#10;iJdSHwdvY3ZMgtnZkJ1q/PduoeBtPr7nzBadq9WV2lB5NvAxSEAR595WXBjY7776Y1BBkC3WnsnA&#10;nQIs5q8vM8ysv/EPXbdSqBjCIUMDpUiTaR3ykhyGgW+II3f2rUOJsC20bfEWw12th0mSaocVx4YS&#10;G/osKb9sf52Bphtt6nU60d+Hk6RHmaxk+b4ypvfWLaeghDp5iv/daxvnj4bw90y8QM8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Bh6jDAAAA3AAAAA8AAAAAAAAAAAAA&#10;AAAAoQIAAGRycy9kb3ducmV2LnhtbFBLBQYAAAAABAAEAPkAAACRAwAAAAA=&#10;" strokeweight="1.15pt"/>
                <v:line id="Line 111" o:spid="_x0000_s1063" style="position:absolute;flip:y;visibility:visible;mso-wrap-style:square" from="10280,2647" to="10280,3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PUtMIAAADcAAAADwAAAGRycy9kb3ducmV2LnhtbESPT2sCMRDF7wW/QxjBW03UUnU1ihQK&#10;XmsFr8Nm9g8mk2WTXXe/vREKvc3w3rzfm/1xcFb01Ibas4bFXIEgzr2pudRw/f1+34AIEdmg9Uwa&#10;RgpwPEze9pgZ/+Af6i+xFCmEQ4YaqhibTMqQV+QwzH1DnLTCtw5jWttSmhYfKdxZuVTqUzqsOREq&#10;bOirovx+6VzijnEsljeFnb1urbqve7XqCq1n0+G0AxFpiP/mv+uzSfU/VvB6Jk0gD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PUtMIAAADcAAAADwAAAAAAAAAAAAAA&#10;AAChAgAAZHJzL2Rvd25yZXYueG1sUEsFBgAAAAAEAAQA+QAAAJADAAAAAA==&#10;" strokeweight="1.15pt"/>
                <v:line id="Line 112" o:spid="_x0000_s1064" style="position:absolute;flip:x y;visibility:visible;mso-wrap-style:square" from="10426,3524" to="10566,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S6R8MAAADcAAAADwAAAGRycy9kb3ducmV2LnhtbERPTWvCQBC9F/wPywi9lLpRQtDUVVQQ&#10;pBeptQdvY3aaBLOzITtq+u+7QqG3ebzPmS9716gbdaH2bGA8SkARF97WXBo4fm5fp6CCIFtsPJOB&#10;HwqwXAye5phbf+cPuh2kVDGEQ44GKpE21zoUFTkMI98SR+7bdw4lwq7UtsN7DHeNniRJph3WHBsq&#10;bGlTUXE5XJ2Btk/fm1020/uvs2Qnma1l9bI25nnYr95ACfXyL/5z72ycn6bweCZeo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kukfDAAAA3AAAAA8AAAAAAAAAAAAA&#10;AAAAoQIAAGRycy9kb3ducmV2LnhtbFBLBQYAAAAABAAEAPkAAACRAwAAAAA=&#10;" strokeweight="1.15pt"/>
                <v:rect id="Rectangle 113" o:spid="_x0000_s1065" style="position:absolute;left:11290;top:438;width:1168;height:21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14:paraId="5A32ED25" w14:textId="77777777" w:rsidR="000328C0" w:rsidRDefault="000328C0">
                        <w:r>
                          <w:rPr>
                            <w:rFonts w:cs="Arial"/>
                            <w:color w:val="000000"/>
                            <w:sz w:val="30"/>
                            <w:szCs w:val="30"/>
                            <w:lang w:val="en-US"/>
                          </w:rPr>
                          <w:t>F</w:t>
                        </w:r>
                      </w:p>
                    </w:txbxContent>
                  </v:textbox>
                </v:rect>
                <v:line id="Line 114" o:spid="_x0000_s1066" style="position:absolute;flip:x;visibility:visible;mso-wrap-style:square" from="10566,2495" to="11290,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3JasQAAADcAAAADwAAAGRycy9kb3ducmV2LnhtbERPTWsCMRC9F/wPYQRvNVsRK1ujSIsi&#10;BSvaeuht3Ex3FzeTJYlu+u9NoeBtHu9zZotoGnEl52vLCp6GGQjiwuqaSwVfn6vHKQgfkDU2lknB&#10;L3lYzHsPM8y17XhP10MoRQphn6OCKoQ2l9IXFRn0Q9sSJ+7HOoMhQVdK7bBL4aaRoyybSIM1p4YK&#10;W3qtqDgfLkbB/uOZT259ied46ra772P5fnxbKjXox+ULiEAx3MX/7o1O88cT+HsmXS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clqxAAAANwAAAAPAAAAAAAAAAAA&#10;AAAAAKECAABkcnMvZG93bnJldi54bWxQSwUGAAAAAAQABAD5AAAAkgMAAAAA&#10;" strokeweight="0"/>
                <v:shape id="Freeform 115" o:spid="_x0000_s1067" style="position:absolute;left:10566;top:2349;width:1016;height:1619;visibility:visible;mso-wrap-style:square;v-text-anchor:top" coordsize="16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CV8MA&#10;AADcAAAADwAAAGRycy9kb3ducmV2LnhtbERPTWsCMRC9C/0PYYRepCZK0bIapUgtUvDg6sHjsBl3&#10;g5vJskl3t/++KRS8zeN9zno7uFp01AbrWcNsqkAQF95YLjVczvuXNxAhIhusPZOGHwqw3TyN1pgZ&#10;3/OJujyWIoVwyFBDFWOTSRmKihyGqW+IE3fzrcOYYFtK02Kfwl0t50otpEPLqaHChnYVFff822no&#10;lVWz3eFynHxd7UfeydsnLaTWz+PhfQUi0hAf4n/3waT5r0v4eyZ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bCV8MAAADcAAAADwAAAAAAAAAAAAAAAACYAgAAZHJzL2Rv&#10;d25yZXYueG1sUEsFBgAAAAAEAAQA9QAAAIgDAAAAAA==&#10;" path="m92,r68,47l23,255,,255,,232,92,xe" fillcolor="black" stroked="f">
                  <v:path arrowok="t" o:connecttype="custom" o:connectlocs="58420,0;101600,29845;14605,161925;0,161925;0,147320;58420,0" o:connectangles="0,0,0,0,0,0"/>
                </v:shape>
                <v:rect id="Rectangle 116" o:spid="_x0000_s1068" style="position:absolute;left:11004;top:6610;width:1168;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14:paraId="6EC0785C" w14:textId="77777777" w:rsidR="000328C0" w:rsidRDefault="000328C0">
                        <w:r>
                          <w:rPr>
                            <w:rFonts w:cs="Arial"/>
                            <w:color w:val="000000"/>
                            <w:sz w:val="30"/>
                            <w:szCs w:val="30"/>
                            <w:lang w:val="en-US"/>
                          </w:rPr>
                          <w:t>F</w:t>
                        </w:r>
                      </w:p>
                    </w:txbxContent>
                  </v:textbox>
                </v:rect>
                <v:line id="Line 117" o:spid="_x0000_s1069" style="position:absolute;flip:x;visibility:visible;mso-wrap-style:square" from="12160,6318" to="12452,6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jXsIAAADcAAAADwAAAGRycy9kb3ducmV2LnhtbESPT2sCMRDF7wW/QxjBW020pepqFBEK&#10;XmsFr8Nm9g8mk2WTXXe/vREKvc3w3rzfm91hcFb01Ibas4bFXIEgzr2pudRw/f1+X4MIEdmg9Uwa&#10;Rgpw2E/edpgZ/+Af6i+xFCmEQ4YaqhibTMqQV+QwzH1DnLTCtw5jWttSmhYfKdxZuVTqSzqsOREq&#10;bOhUUX6/dC5xxzgWy5vCzl43Vt1XvfroCq1n0+G4BRFpiP/mv+uzSfU/N/B6Jk0g9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jXsIAAADcAAAADwAAAAAAAAAAAAAA&#10;AAChAgAAZHJzL2Rvd25yZXYueG1sUEsFBgAAAAAEAAQA+QAAAJADAAAAAA==&#10;" strokeweight="1.15pt"/>
                <v:line id="Line 118" o:spid="_x0000_s1070" style="position:absolute;flip:x;visibility:visible;mso-wrap-style:square" from="12738,5289" to="13030,5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jcHsEAAADcAAAADwAAAGRycy9kb3ducmV2LnhtbESPTWvDMAyG74P9B6NCb6vdlq1dVreM&#10;wWDXdYVeRax8UFsOsZMm/346DHaT0Pvx6HCaglcj9amNbGG9MqCIy+hari1cfj6f9qBSRnboI5OF&#10;mRKcjo8PByxcvPM3jedcKwnhVKCFJueu0DqVDQVMq9gRy62KfcAsa19r1+NdwoPXG2NedMCWpaHB&#10;jj4aKm/nIUjvnOdqczU4+MurN7fdaLZDZe1yMb2/gco05X/xn/vLCf6z4MszMo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NwewQAAANwAAAAPAAAAAAAAAAAAAAAA&#10;AKECAABkcnMvZG93bnJldi54bWxQSwUGAAAAAAQABAD5AAAAjwMAAAAA&#10;" strokeweight="1.15pt"/>
                <v:rect id="Rectangle 119" o:spid="_x0000_s1071" style="position:absolute;left:13315;top:7200;width:1169;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14:paraId="68D64C0B" w14:textId="77777777" w:rsidR="000328C0" w:rsidRDefault="000328C0">
                        <w:r>
                          <w:rPr>
                            <w:rFonts w:cs="Arial"/>
                            <w:color w:val="000000"/>
                            <w:sz w:val="30"/>
                            <w:szCs w:val="30"/>
                            <w:lang w:val="en-US"/>
                          </w:rPr>
                          <w:t>F</w:t>
                        </w:r>
                      </w:p>
                    </w:txbxContent>
                  </v:textbox>
                </v:rect>
                <v:line id="Line 120" o:spid="_x0000_s1072" style="position:absolute;flip:x y;visibility:visible;mso-wrap-style:square" from="13030,5435" to="13608,7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bVvsEAAADcAAAADwAAAGRycy9kb3ducmV2LnhtbERPTWsCMRC9F/wPYQQvpWardCurUUrR&#10;Ir11rfdhM24Wk8mSpLr++0Yo9DaP9zmrzeCsuFCInWcFz9MCBHHjdcetgu/D7mkBIiZkjdYzKbhR&#10;hM169LDCSvsrf9GlTq3IIRwrVGBS6ispY2PIYZz6njhzJx8cpgxDK3XAaw53Vs6KopQOO84NBnt6&#10;N9Sc6x+nYP56POzP9tF87qIz2w9bN2W4KTUZD29LEImG9C/+c+91nv8yg/sz+QK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FtW+wQAAANwAAAAPAAAAAAAAAAAAAAAA&#10;AKECAABkcnMvZG93bnJldi54bWxQSwUGAAAAAAQABAD5AAAAjwMAAAAA&#10;" strokeweight="0"/>
                <v:shape id="Freeform 121" o:spid="_x0000_s1073" style="position:absolute;left:12884;top:5289;width:1016;height:2204;visibility:visible;mso-wrap-style:square;v-text-anchor:top" coordsize="160,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l188AA&#10;AADcAAAADwAAAGRycy9kb3ducmV2LnhtbERPTWvCQBC9C/6HZYTezKYt1pK6ihWE6q0qOQ/ZaTZt&#10;djZkR03/vSsUepvH+5zFavCtulAfm8AGHrMcFHEVbMO1gdNxO30FFQXZYhuYDPxShNVyPFpgYcOV&#10;P+lykFqlEI4FGnAiXaF1rBx5jFnoiBP3FXqPkmBfa9vjNYX7Vj/l+Yv22HBqcNjRxlH1czh7A9/5&#10;vHwX1hL8bjeUbov1er435mEyrN9ACQ3yL/5zf9g0f/YM92fSBXp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l188AAAADcAAAADwAAAAAAAAAAAAAAAACYAgAAZHJzL2Rvd25y&#10;ZXYueG1sUEsFBgAAAAAEAAQA9QAAAIUDAAAAAA==&#10;" path="m160,324l68,347,,23,23,r,23l160,324xe" fillcolor="black" stroked="f">
                  <v:path arrowok="t" o:connecttype="custom" o:connectlocs="101600,205740;43180,220345;0,14605;14605,0;14605,14605;101600,205740" o:connectangles="0,0,0,0,0,0"/>
                </v:shape>
                <v:rect id="Rectangle 122" o:spid="_x0000_s1074" style="position:absolute;left:14039;top:146;width:1169;height:21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14:paraId="00302E1F" w14:textId="77777777" w:rsidR="000328C0" w:rsidRDefault="000328C0">
                        <w:r>
                          <w:rPr>
                            <w:rFonts w:cs="Arial"/>
                            <w:color w:val="000000"/>
                            <w:sz w:val="30"/>
                            <w:szCs w:val="30"/>
                            <w:lang w:val="en-US"/>
                          </w:rPr>
                          <w:t>F</w:t>
                        </w:r>
                      </w:p>
                    </w:txbxContent>
                  </v:textbox>
                </v:rect>
                <v:line id="Line 123" o:spid="_x0000_s1075" style="position:absolute;flip:x y;visibility:visible;mso-wrap-style:square" from="14763,1911" to="14909,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GJAcMAAADcAAAADwAAAGRycy9kb3ducmV2LnhtbERPTWvCQBC9F/oflhG8FN20aKjRVbQg&#10;iJdSWw+9TbNjEszOhuyo8d+7QsHbPN7nzBadq9WZ2lB5NvA6TEAR595WXBj4+V4P3kEFQbZYeyYD&#10;VwqwmD8/zTCz/sJfdN5JoWIIhwwNlCJNpnXIS3IYhr4hjtzBtw4lwrbQtsVLDHe1fkuSVDusODaU&#10;2NBHSflxd3IGmm60rTfpRH/u/yT9lclKli8rY/q9bjkFJdTJQ/zv3tg4fzyG+zPxAj2/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xiQHDAAAA3AAAAA8AAAAAAAAAAAAA&#10;AAAAoQIAAGRycy9kb3ducmV2LnhtbFBLBQYAAAAABAAEAPkAAACRAwAAAAA=&#10;" strokeweight="1.15pt"/>
                <v:line id="Line 124" o:spid="_x0000_s1076" style="position:absolute;flip:x y;visibility:visible;mso-wrap-style:square" from="15055,2647" to="15201,3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MXdsMAAADcAAAADwAAAGRycy9kb3ducmV2LnhtbERPS2vCQBC+F/wPywi9FN1Y2qDRVVQQ&#10;pJdSHwdvY3ZMgtnZkB01/ffdQqG3+fieM1t0rlZ3akPl2cBomIAizr2tuDBw2G8GY1BBkC3WnsnA&#10;NwVYzHtPM8ysf/AX3XdSqBjCIUMDpUiTaR3ykhyGoW+II3fxrUOJsC20bfERw12tX5Mk1Q4rjg0l&#10;NrQuKb/ubs5A07191Nt0oj+PZ0lPMlnJ8mVlzHO/W05BCXXyL/5zb22c/57C7zPxAj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jF3bDAAAA3AAAAA8AAAAAAAAAAAAA&#10;AAAAoQIAAGRycy9kb3ducmV2LnhtbFBLBQYAAAAABAAEAPkAAACRAwAAAAA=&#10;" strokeweight="1.15pt"/>
                <v:line id="Line 125" o:spid="_x0000_s1077" style="position:absolute;flip:x y;visibility:visible;mso-wrap-style:square" from="15201,3524" to="15347,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y7cQAAADcAAAADwAAAGRycy9kb3ducmV2LnhtbERPS2vCQBC+F/oflin0UnTT0kaNrqKF&#10;gniR+jh4G7NjEpqdDdmpxn/vCoXe5uN7zmTWuVqdqQ2VZwOv/QQUce5txYWB3farNwQVBNli7ZkM&#10;XCnAbPr4MMHM+gt/03kjhYohHDI0UIo0mdYhL8lh6PuGOHIn3zqUCNtC2xYvMdzV+i1JUu2w4thQ&#10;YkOfJeU/m19noOneV/UyHen1/ijpQUYLmb8sjHl+6uZjUEKd/Iv/3Esb538M4P5MvEBP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7LtxAAAANwAAAAPAAAAAAAAAAAA&#10;AAAAAKECAABkcnMvZG93bnJldi54bWxQSwUGAAAAAAQABAD5AAAAkgMAAAAA&#10;" strokeweight="1.15pt"/>
                <v:rect id="Rectangle 126" o:spid="_x0000_s1078" style="position:absolute;left:16211;top:438;width:1168;height:21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14:paraId="536612DC" w14:textId="77777777" w:rsidR="000328C0" w:rsidRDefault="000328C0">
                        <w:r>
                          <w:rPr>
                            <w:rFonts w:cs="Arial"/>
                            <w:color w:val="000000"/>
                            <w:sz w:val="30"/>
                            <w:szCs w:val="30"/>
                            <w:lang w:val="en-US"/>
                          </w:rPr>
                          <w:t>F</w:t>
                        </w:r>
                      </w:p>
                    </w:txbxContent>
                  </v:textbox>
                </v:rect>
                <v:line id="Line 127" o:spid="_x0000_s1079" style="position:absolute;flip:x;visibility:visible;mso-wrap-style:square" from="15347,2495" to="1621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vLxcQAAADcAAAADwAAAGRycy9kb3ducmV2LnhtbERPTWsCMRC9F/wPYQrearZCbbs1iigV&#10;EbRo66G3cTPdXdxMliS68d+bQqG3ebzPGU+jacSFnK8tK3gcZCCIC6trLhV8fb4/vIDwAVljY5kU&#10;XMnDdNK7G2Oubcc7uuxDKVII+xwVVCG0uZS+qMigH9iWOHE/1hkMCbpSaoddCjeNHGbZSBqsOTVU&#10;2NK8ouK0PxsFu+0zH93yHE/x2G0+vg/l+rCYKdW/j7M3EIFi+Bf/uVc6zX96hd9n0gV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68vFxAAAANwAAAAPAAAAAAAAAAAA&#10;AAAAAKECAABkcnMvZG93bnJldi54bWxQSwUGAAAAAAQABAD5AAAAkgMAAAAA&#10;" strokeweight="0"/>
                <v:shape id="Freeform 128" o:spid="_x0000_s1080" style="position:absolute;left:15347;top:2349;width:1156;height:1619;visibility:visible;mso-wrap-style:square;v-text-anchor:top" coordsize="18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pL7cQA&#10;AADcAAAADwAAAGRycy9kb3ducmV2LnhtbESPTWvCQBCG7wX/wzJCb3WjBSmpq4iglh7EpqV4HLLT&#10;bGh2NmZXTf69cyj0NsO8H88sVr1v1JW6WAc2MJ1koIjLYGuuDHx9bp9eQMWEbLEJTAYGirBajh4W&#10;mNtw4w+6FqlSEsIxRwMupTbXOpaOPMZJaInl9hM6j0nWrtK2w5uE+0bPsmyuPdYsDQ5b2jgqf4uL&#10;l97+fXtyz+Xxu9gPvHPD8XA6V8Y8jvv1K6hEffoX/7nfrODPBV+ekQn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6S+3EAAAA3AAAAA8AAAAAAAAAAAAAAAAAmAIAAGRycy9k&#10;b3ducmV2LnhtbFBLBQYAAAAABAAEAPUAAACJAwAAAAA=&#10;" path="m91,r91,47l22,255,,255,,232,91,xe" fillcolor="black" stroked="f">
                  <v:path arrowok="t" o:connecttype="custom" o:connectlocs="57785,0;115570,29845;13970,161925;0,161925;0,147320;57785,0" o:connectangles="0,0,0,0,0,0"/>
                </v:shape>
                <v:rect id="Rectangle 129" o:spid="_x0000_s1081" style="position:absolute;left:15779;top:6610;width:1169;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14:paraId="0DEE5339" w14:textId="77777777" w:rsidR="000328C0" w:rsidRDefault="000328C0">
                        <w:r>
                          <w:rPr>
                            <w:rFonts w:cs="Arial"/>
                            <w:color w:val="000000"/>
                            <w:sz w:val="30"/>
                            <w:szCs w:val="30"/>
                            <w:lang w:val="en-US"/>
                          </w:rPr>
                          <w:t>F</w:t>
                        </w:r>
                      </w:p>
                    </w:txbxContent>
                  </v:textbox>
                </v:rect>
                <v:line id="Line 130" o:spid="_x0000_s1082" style="position:absolute;flip:x;visibility:visible;mso-wrap-style:square" from="16935,6318" to="17227,6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otT8IAAADcAAAADwAAAGRycy9kb3ducmV2LnhtbESPS2vDMBCE74H8B7GF3BKpDiStGyWE&#10;QiHXPKDXxVo/iLQyluzY/z4KFHrbZWbnm90dRmfFQF1oPGt4XykQxIU3DVcabtef5QeIEJENWs+k&#10;YaIAh/18tsPc+AefabjESqQQDjlqqGNscylDUZPDsPItcdJK3zmMae0qaTp8pHBnZabURjpsOBFq&#10;bOm7puJ+6V3iTnEqs1+Fvb19WnXfDmrdl1ov3sbjF4hIY/w3/12fTKq/yeD1TJpA7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otT8IAAADcAAAADwAAAAAAAAAAAAAA&#10;AAChAgAAZHJzL2Rvd25yZXYueG1sUEsFBgAAAAAEAAQA+QAAAJADAAAAAA==&#10;" strokeweight="1.15pt"/>
                <v:line id="Line 131" o:spid="_x0000_s1083" style="position:absolute;flip:x;visibility:visible;mso-wrap-style:square" from="17519,5289" to="17805,5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aI1MEAAADcAAAADwAAAGRycy9kb3ducmV2LnhtbESPT4vCMBDF7wt+hzCCtzVRwdVqFBEW&#10;vOoKXodm+geTSWnS2n77jbCwtxnem/d7sz8Ozoqe2lB71rCYKxDEuTc1lxruP9+fGxAhIhu0nknD&#10;SAGOh8nHHjPjX3yl/hZLkUI4ZKihirHJpAx5RQ7D3DfESSt86zCmtS2lafGVwp2VS6XW0mHNiVBh&#10;Q+eK8uetc4k7xrFYPhR29r616vnVq1VXaD2bDqcdiEhD/Df/XV9Mqr9ewfuZNIE8/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pojUwQAAANwAAAAPAAAAAAAAAAAAAAAA&#10;AKECAABkcnMvZG93bnJldi54bWxQSwUGAAAAAAQABAD5AAAAjwMAAAAA&#10;" strokeweight="1.15pt"/>
                <v:rect id="Rectangle 132" o:spid="_x0000_s1084" style="position:absolute;left:18529;top:6610;width:1168;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14:paraId="0AFB76A5" w14:textId="77777777" w:rsidR="000328C0" w:rsidRDefault="000328C0">
                        <w:r>
                          <w:rPr>
                            <w:rFonts w:cs="Arial"/>
                            <w:color w:val="000000"/>
                            <w:sz w:val="30"/>
                            <w:szCs w:val="30"/>
                            <w:lang w:val="en-US"/>
                          </w:rPr>
                          <w:t>F</w:t>
                        </w:r>
                      </w:p>
                    </w:txbxContent>
                  </v:textbox>
                </v:rect>
                <v:line id="Line 133" o:spid="_x0000_s1085" style="position:absolute;flip:x y;visibility:visible;mso-wrap-style:square" from="17805,5435" to="18675,6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OHd8EAAADcAAAADwAAAGRycy9kb3ducmV2LnhtbERPTWsCMRC9F/ofwgi9FM22xa2sRiml&#10;FvHmWu/DZtwsJpMlSXX9901B8DaP9zmL1eCsOFOInWcFL5MCBHHjdcetgp/9ejwDEROyRuuZFFwp&#10;wmr5+LDASvsL7+hcp1bkEI4VKjAp9ZWUsTHkME58T5y5ow8OU4ahlTrgJYc7K1+LopQOO84NBnv6&#10;NNSc6l+n4O39sN+c7LPZrqMzX9+2bspwVeppNHzMQSQa0l18c290nl9O4f+ZfIF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k4d3wQAAANwAAAAPAAAAAAAAAAAAAAAA&#10;AKECAABkcnMvZG93bnJldi54bWxQSwUGAAAAAAQABAD5AAAAjwMAAAAA&#10;" strokeweight="0"/>
                <v:shape id="Freeform 134" o:spid="_x0000_s1086" style="position:absolute;left:17805;top:5289;width:1016;height:1765;visibility:visible;mso-wrap-style:square;v-text-anchor:top" coordsize="160,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IG1cAA&#10;AADcAAAADwAAAGRycy9kb3ducmV2LnhtbERPTYvCMBC9C/6HMII3m1qkq9UoIgiCp+3u3odmbGub&#10;SWlirf/eLCzsbR7vc3aH0bRioN7VlhUsoxgEcWF1zaWC76/zYg3CeWSNrWVS8CIHh/10ssNM2yd/&#10;0pD7UoQQdhkqqLzvMildUZFBF9mOOHA32xv0Afal1D0+Q7hpZRLHqTRYc2iosKNTRUWTP4yCwa4+&#10;9C3pNlr/XJM4OTd5fW+Ums/G4xaEp9H/i//cFx3mpyn8PhMukP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IG1cAAAADcAAAADwAAAAAAAAAAAAAAAACYAgAAZHJzL2Rvd25y&#10;ZXYueG1sUEsFBgAAAAAEAAQA9QAAAIUDAAAAAA==&#10;" path="m160,231l91,278,,23,,,,23,160,231xe" fillcolor="black" stroked="f">
                  <v:path arrowok="t" o:connecttype="custom" o:connectlocs="101600,146685;57785,176530;0,14605;0,0;0,14605;101600,146685" o:connectangles="0,0,0,0,0,0"/>
                </v:shape>
                <v:rect id="Rectangle 135" o:spid="_x0000_s1087" style="position:absolute;left:18821;top:146;width:1168;height:21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14:paraId="6C034F9C" w14:textId="77777777" w:rsidR="000328C0" w:rsidRDefault="000328C0">
                        <w:r>
                          <w:rPr>
                            <w:rFonts w:cs="Arial"/>
                            <w:color w:val="000000"/>
                            <w:sz w:val="30"/>
                            <w:szCs w:val="30"/>
                            <w:lang w:val="en-US"/>
                          </w:rPr>
                          <w:t>F</w:t>
                        </w:r>
                      </w:p>
                    </w:txbxContent>
                  </v:textbox>
                </v:rect>
                <v:line id="Line 136" o:spid="_x0000_s1088" style="position:absolute;flip:y;visibility:visible;mso-wrap-style:square" from="19691,1911" to="19691,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IapcEAAADcAAAADwAAAGRycy9kb3ducmV2LnhtbESPTWvDMAyG74P+B6PCbqu9Fro2q1vG&#10;YNDrukKvIlY+qC2H2EmTfz8dBrtJ6P14dDhNwauR+tRGtvC6MqCIy+hari1cf75edqBSRnboI5OF&#10;mRKcjounAxYuPvibxkuulYRwKtBCk3NXaJ3KhgKmVeyI5VbFPmCWta+16/Eh4cHrtTFbHbBlaWiw&#10;o8+GyvtlCNI757la3wwO/rr35v42ms1QWfu8nD7eQWWa8r/4z312gr8VWnlGJtDH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AhqlwQAAANwAAAAPAAAAAAAAAAAAAAAA&#10;AKECAABkcnMvZG93bnJldi54bWxQSwUGAAAAAAQABAD5AAAAjwMAAAAA&#10;" strokeweight="1.15pt"/>
                <v:line id="Line 137" o:spid="_x0000_s1089" style="position:absolute;flip:x y;visibility:visible;mso-wrap-style:square" from="19831,2647" to="19977,3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BJucMAAADcAAAADwAAAGRycy9kb3ducmV2LnhtbERPS2vCQBC+C/0PyxR6Ed1YSjDRVVQo&#10;SC/F18HbmJ0modnZkJ1q+u+7BcHbfHzPmS9716grdaH2bGAyTkARF97WXBo4Ht5HU1BBkC02nsnA&#10;LwVYLp4Gc8ytv/GOrnspVQzhkKOBSqTNtQ5FRQ7D2LfEkfvynUOJsCu17fAWw12jX5Mk1Q5rjg0V&#10;trSpqPje/zgDbf/20WzTTH+eLpKeJVvLarg25uW5X81ACfXyEN/dWxvnpxn8PxMv0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QSbnDAAAA3AAAAA8AAAAAAAAAAAAA&#10;AAAAoQIAAGRycy9kb3ducmV2LnhtbFBLBQYAAAAABAAEAPkAAACRAwAAAAA=&#10;" strokeweight="1.15pt"/>
                <v:line id="Line 138" o:spid="_x0000_s1090" style="position:absolute;flip:y;visibility:visible;mso-wrap-style:square" from="20123,3524" to="20123,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2AfsEAAADcAAAADwAAAGRycy9kb3ducmV2LnhtbESPTWvDMAyG74P+B6PCbqu9FtY2q1vG&#10;YNDrukKvIlY+qC2H2EmTfz8dBrtJ6P14dDhNwauR+tRGtvC6MqCIy+hari1cf75edqBSRnboI5OF&#10;mRKcjounAxYuPvibxkuulYRwKtBCk3NXaJ3KhgKmVeyI5VbFPmCWta+16/Eh4cHrtTFvOmDL0tBg&#10;R58NlffLEKR3znO1vhkc/HXvzX07ms1QWfu8nD7eQWWa8r/4z312gr8VfHlGJtDH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rYB+wQAAANwAAAAPAAAAAAAAAAAAAAAA&#10;AKECAABkcnMvZG93bnJldi54bWxQSwUGAAAAAAQABAD5AAAAjwMAAAAA&#10;" strokeweight="1.15pt"/>
                <v:rect id="Rectangle 139" o:spid="_x0000_s1091" style="position:absolute;left:20993;top:438;width:1168;height:21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14:paraId="5612124D" w14:textId="77777777" w:rsidR="000328C0" w:rsidRDefault="000328C0">
                        <w:r>
                          <w:rPr>
                            <w:rFonts w:cs="Arial"/>
                            <w:color w:val="000000"/>
                            <w:sz w:val="30"/>
                            <w:szCs w:val="30"/>
                            <w:lang w:val="en-US"/>
                          </w:rPr>
                          <w:t>F</w:t>
                        </w:r>
                      </w:p>
                    </w:txbxContent>
                  </v:textbox>
                </v:rect>
                <v:line id="Line 140" o:spid="_x0000_s1092" style="position:absolute;flip:x;visibility:visible;mso-wrap-style:square" from="20269,2495" to="20993,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F1MMAAADcAAAADwAAAGRycy9kb3ducmV2LnhtbERPS2sCMRC+F/wPYQRvNVsPWlajSMVS&#10;CrX4OvQ2bqa7i5vJkkQ3/feNIHibj+85s0U0jbiS87VlBS/DDARxYXXNpYLDfv38CsIHZI2NZVLw&#10;Rx4W897TDHNtO97SdRdKkULY56igCqHNpfRFRQb90LbEifu1zmBI0JVSO+xSuGnkKMvG0mDNqaHC&#10;lt4qKs67i1Gw3Uz45N4v8RxP3df3z7H8PK6WSg36cTkFESiGh/ju/tBp/mQEt2fSB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6BdTDAAAA3AAAAA8AAAAAAAAAAAAA&#10;AAAAoQIAAGRycy9kb3ducmV2LnhtbFBLBQYAAAAABAAEAPkAAACRAwAAAAA=&#10;" strokeweight="0"/>
                <v:shape id="Freeform 141" o:spid="_x0000_s1093" style="position:absolute;left:20123;top:2349;width:1155;height:1619;visibility:visible;mso-wrap-style:square;v-text-anchor:top" coordsize="18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DR8YA&#10;AADcAAAADwAAAGRycy9kb3ducmV2LnhtbESPQWvCQBCF74X+h2UKvemmFWyJrqEUYosHsVHE45Ad&#10;s8HsbMxuNfn3bkHobYb35n1v5llvG3GhzteOFbyMExDEpdM1Vwp223z0DsIHZI2NY1IwkIds8fgw&#10;x1S7K//QpQiViCHsU1RgQmhTKX1pyKIfu5Y4akfXWQxx7SqpO7zGcNvI1ySZSos1R4LBlj4Nlafi&#10;10Zuv8oPZlJu9sXXwEszbNaHc6XU81P/MQMRqA//5vv1t4713ybw90yc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FDR8YAAADcAAAADwAAAAAAAAAAAAAAAACYAgAAZHJz&#10;L2Rvd25yZXYueG1sUEsFBgAAAAAEAAQA9QAAAIsDAAAAAA==&#10;" path="m91,r91,47l23,255,,255,23,232,91,xe" fillcolor="black" stroked="f">
                  <v:path arrowok="t" o:connecttype="custom" o:connectlocs="57785,0;115570,29845;14605,161925;0,161925;14605,147320;57785,0" o:connectangles="0,0,0,0,0,0"/>
                </v:shape>
                <w10:anchorlock/>
              </v:group>
            </w:pict>
          </mc:Fallback>
        </mc:AlternateContent>
      </w:r>
    </w:p>
    <w:p w14:paraId="29F34B9B" w14:textId="7DFA2469" w:rsidR="00AE751F" w:rsidRDefault="003E4DA2" w:rsidP="000328C0">
      <w:pPr>
        <w:pStyle w:val="Heading5"/>
        <w:ind w:left="567"/>
      </w:pPr>
      <w:r>
        <w:t>2.1.1.2</w:t>
      </w:r>
      <w:r w:rsidR="00AE751F">
        <w:tab/>
      </w:r>
      <w:r w:rsidR="00EF3009">
        <w:t>P</w:t>
      </w:r>
      <w:r w:rsidR="00AE751F">
        <w:t>hysicochemical properties</w:t>
      </w:r>
    </w:p>
    <w:p w14:paraId="547996C3" w14:textId="77777777" w:rsidR="00AE751F" w:rsidRDefault="00AE751F" w:rsidP="00A111E9">
      <w:pPr>
        <w:rPr>
          <w:lang w:eastAsia="en-AU" w:bidi="ar-SA"/>
        </w:rPr>
      </w:pPr>
      <w:r>
        <w:rPr>
          <w:lang w:eastAsia="en-AU" w:bidi="ar-SA"/>
        </w:rPr>
        <w:t>Appearance:</w:t>
      </w:r>
      <w:r>
        <w:rPr>
          <w:lang w:eastAsia="en-AU" w:bidi="ar-SA"/>
        </w:rPr>
        <w:tab/>
      </w:r>
      <w:r>
        <w:rPr>
          <w:lang w:eastAsia="en-AU" w:bidi="ar-SA"/>
        </w:rPr>
        <w:tab/>
      </w:r>
      <w:r>
        <w:rPr>
          <w:lang w:eastAsia="en-AU" w:bidi="ar-SA"/>
        </w:rPr>
        <w:tab/>
        <w:t>White powder (potassium salt)</w:t>
      </w:r>
      <w:r w:rsidRPr="00B35C49">
        <w:rPr>
          <w:lang w:eastAsia="en-AU" w:bidi="ar-SA"/>
        </w:rPr>
        <w:tab/>
      </w:r>
    </w:p>
    <w:p w14:paraId="5799982C" w14:textId="77777777" w:rsidR="00AE751F" w:rsidRPr="00AA7068" w:rsidRDefault="00AE751F" w:rsidP="00A111E9">
      <w:pPr>
        <w:rPr>
          <w:lang w:eastAsia="en-AU" w:bidi="ar-SA"/>
        </w:rPr>
      </w:pPr>
      <w:r w:rsidRPr="00AA7068">
        <w:rPr>
          <w:lang w:eastAsia="en-AU" w:bidi="ar-SA"/>
        </w:rPr>
        <w:t>Melting point:</w:t>
      </w:r>
      <w:r w:rsidRPr="00AA7068">
        <w:rPr>
          <w:lang w:eastAsia="en-AU" w:bidi="ar-SA"/>
        </w:rPr>
        <w:tab/>
      </w:r>
      <w:r w:rsidRPr="00AA7068">
        <w:rPr>
          <w:lang w:eastAsia="en-AU" w:bidi="ar-SA"/>
        </w:rPr>
        <w:tab/>
      </w:r>
      <w:r w:rsidRPr="00AA7068">
        <w:rPr>
          <w:lang w:eastAsia="en-AU" w:bidi="ar-SA"/>
        </w:rPr>
        <w:tab/>
      </w:r>
      <w:r>
        <w:rPr>
          <w:lang w:eastAsia="en-AU" w:bidi="ar-SA"/>
        </w:rPr>
        <w:t xml:space="preserve">&gt; 400 </w:t>
      </w:r>
      <w:r>
        <w:rPr>
          <w:rFonts w:cs="Arial"/>
          <w:lang w:eastAsia="en-AU" w:bidi="ar-SA"/>
        </w:rPr>
        <w:t>°</w:t>
      </w:r>
      <w:r>
        <w:rPr>
          <w:lang w:eastAsia="en-AU" w:bidi="ar-SA"/>
        </w:rPr>
        <w:t>C (potassium salt)</w:t>
      </w:r>
    </w:p>
    <w:p w14:paraId="3A6FA7F3" w14:textId="77777777" w:rsidR="00AE751F" w:rsidRDefault="00AE751F" w:rsidP="00A111E9">
      <w:pPr>
        <w:rPr>
          <w:lang w:eastAsia="en-AU" w:bidi="ar-SA"/>
        </w:rPr>
      </w:pPr>
      <w:r w:rsidRPr="00AA7068">
        <w:rPr>
          <w:lang w:eastAsia="en-AU" w:bidi="ar-SA"/>
        </w:rPr>
        <w:t>Boiling point:</w:t>
      </w:r>
      <w:r w:rsidRPr="00AA7068">
        <w:rPr>
          <w:lang w:eastAsia="en-AU" w:bidi="ar-SA"/>
        </w:rPr>
        <w:tab/>
      </w:r>
      <w:r w:rsidRPr="00AA7068">
        <w:rPr>
          <w:lang w:eastAsia="en-AU" w:bidi="ar-SA"/>
        </w:rPr>
        <w:tab/>
      </w:r>
      <w:r w:rsidRPr="00AA7068">
        <w:rPr>
          <w:lang w:eastAsia="en-AU" w:bidi="ar-SA"/>
        </w:rPr>
        <w:tab/>
      </w:r>
      <w:r>
        <w:rPr>
          <w:lang w:eastAsia="en-AU" w:bidi="ar-SA"/>
        </w:rPr>
        <w:t xml:space="preserve">258 – 260 </w:t>
      </w:r>
      <w:r>
        <w:rPr>
          <w:rFonts w:cs="Arial"/>
          <w:lang w:eastAsia="en-AU" w:bidi="ar-SA"/>
        </w:rPr>
        <w:t>°</w:t>
      </w:r>
      <w:r>
        <w:rPr>
          <w:lang w:eastAsia="en-AU" w:bidi="ar-SA"/>
        </w:rPr>
        <w:t>C</w:t>
      </w:r>
    </w:p>
    <w:p w14:paraId="688AF88E" w14:textId="3B8CBB30" w:rsidR="00AE751F" w:rsidRPr="00AA7068" w:rsidRDefault="00AE751F" w:rsidP="00A111E9">
      <w:pPr>
        <w:rPr>
          <w:lang w:eastAsia="en-AU" w:bidi="ar-SA"/>
        </w:rPr>
      </w:pPr>
      <w:r>
        <w:rPr>
          <w:lang w:eastAsia="en-AU" w:bidi="ar-SA"/>
        </w:rPr>
        <w:t>Density:</w:t>
      </w:r>
      <w:r w:rsidR="00064C40">
        <w:rPr>
          <w:rFonts w:cs="Arial"/>
          <w:lang w:eastAsia="en-AU" w:bidi="ar-SA"/>
        </w:rPr>
        <w:t xml:space="preserve"> </w:t>
      </w:r>
      <w:r>
        <w:rPr>
          <w:rFonts w:cs="Arial"/>
          <w:lang w:eastAsia="en-AU" w:bidi="ar-SA"/>
        </w:rPr>
        <w:t>~</w:t>
      </w:r>
      <w:r>
        <w:rPr>
          <w:lang w:eastAsia="en-AU" w:bidi="ar-SA"/>
        </w:rPr>
        <w:t xml:space="preserve"> 0.6 (potassium salt)</w:t>
      </w:r>
    </w:p>
    <w:p w14:paraId="366E5347" w14:textId="77777777" w:rsidR="00AE751F" w:rsidRPr="009119CF" w:rsidRDefault="00AE751F" w:rsidP="00A111E9">
      <w:pPr>
        <w:rPr>
          <w:lang w:eastAsia="en-AU" w:bidi="ar-SA"/>
        </w:rPr>
      </w:pPr>
      <w:r w:rsidRPr="009119CF">
        <w:rPr>
          <w:lang w:eastAsia="en-AU" w:bidi="ar-SA"/>
        </w:rPr>
        <w:t>Water solubility:</w:t>
      </w:r>
      <w:r w:rsidRPr="00B35C49">
        <w:rPr>
          <w:color w:val="00B050"/>
          <w:lang w:eastAsia="en-AU" w:bidi="ar-SA"/>
        </w:rPr>
        <w:tab/>
      </w:r>
      <w:r w:rsidRPr="00B35C49">
        <w:rPr>
          <w:color w:val="00B050"/>
          <w:lang w:eastAsia="en-AU" w:bidi="ar-SA"/>
        </w:rPr>
        <w:tab/>
      </w:r>
      <w:r w:rsidRPr="00EE0565">
        <w:rPr>
          <w:lang w:eastAsia="en-AU" w:bidi="ar-SA"/>
        </w:rPr>
        <w:tab/>
        <w:t xml:space="preserve">519 mg/L at 20 </w:t>
      </w:r>
      <w:r>
        <w:rPr>
          <w:rFonts w:cs="Arial"/>
          <w:lang w:eastAsia="en-AU" w:bidi="ar-SA"/>
        </w:rPr>
        <w:t>°</w:t>
      </w:r>
      <w:r>
        <w:rPr>
          <w:lang w:eastAsia="en-AU" w:bidi="ar-SA"/>
        </w:rPr>
        <w:t>C;</w:t>
      </w:r>
      <w:r w:rsidRPr="00374481">
        <w:rPr>
          <w:lang w:eastAsia="en-AU" w:bidi="ar-SA"/>
        </w:rPr>
        <w:t xml:space="preserve"> 680 mg/L</w:t>
      </w:r>
      <w:r>
        <w:rPr>
          <w:lang w:eastAsia="en-AU" w:bidi="ar-SA"/>
        </w:rPr>
        <w:t xml:space="preserve"> at 24 – 25 </w:t>
      </w:r>
      <w:r>
        <w:rPr>
          <w:rFonts w:cs="Arial"/>
          <w:lang w:eastAsia="en-AU" w:bidi="ar-SA"/>
        </w:rPr>
        <w:t>°</w:t>
      </w:r>
      <w:r>
        <w:rPr>
          <w:lang w:eastAsia="en-AU" w:bidi="ar-SA"/>
        </w:rPr>
        <w:t>C</w:t>
      </w:r>
    </w:p>
    <w:p w14:paraId="417D8FA7" w14:textId="77777777" w:rsidR="00AE751F" w:rsidRPr="004F1AED" w:rsidRDefault="00AE751F" w:rsidP="00A111E9">
      <w:pPr>
        <w:rPr>
          <w:lang w:eastAsia="en-AU" w:bidi="ar-SA"/>
        </w:rPr>
      </w:pPr>
      <w:r w:rsidRPr="004F1AED">
        <w:rPr>
          <w:lang w:eastAsia="en-AU" w:bidi="ar-SA"/>
        </w:rPr>
        <w:t>Organic solvent solubility:</w:t>
      </w:r>
      <w:r w:rsidRPr="004F1AED">
        <w:rPr>
          <w:lang w:eastAsia="en-AU" w:bidi="ar-SA"/>
        </w:rPr>
        <w:tab/>
      </w:r>
      <w:r>
        <w:rPr>
          <w:lang w:eastAsia="en-AU" w:bidi="ar-SA"/>
        </w:rPr>
        <w:t>56 mg/L</w:t>
      </w:r>
    </w:p>
    <w:p w14:paraId="08FCD0BD" w14:textId="73FFDE93" w:rsidR="00AE751F" w:rsidRPr="0009480F" w:rsidRDefault="00AE751F" w:rsidP="00A111E9">
      <w:pPr>
        <w:ind w:left="1134" w:hanging="1134"/>
        <w:rPr>
          <w:lang w:eastAsia="en-AU" w:bidi="ar-SA"/>
        </w:rPr>
      </w:pPr>
      <w:r w:rsidRPr="00F87E82">
        <w:rPr>
          <w:lang w:eastAsia="en-AU" w:bidi="ar-SA"/>
        </w:rPr>
        <w:lastRenderedPageBreak/>
        <w:t>Log K</w:t>
      </w:r>
      <w:r w:rsidRPr="00F87E82">
        <w:rPr>
          <w:vertAlign w:val="subscript"/>
          <w:lang w:eastAsia="en-AU" w:bidi="ar-SA"/>
        </w:rPr>
        <w:t>ow</w:t>
      </w:r>
      <w:r w:rsidRPr="00F87E82">
        <w:rPr>
          <w:lang w:eastAsia="en-AU" w:bidi="ar-SA"/>
        </w:rPr>
        <w:t>:</w:t>
      </w:r>
      <w:r w:rsidR="00064C40">
        <w:rPr>
          <w:lang w:eastAsia="en-AU" w:bidi="ar-SA"/>
        </w:rPr>
        <w:t xml:space="preserve"> </w:t>
      </w:r>
      <w:r>
        <w:rPr>
          <w:lang w:eastAsia="en-AU" w:bidi="ar-SA"/>
        </w:rPr>
        <w:t>Not measurable</w:t>
      </w:r>
    </w:p>
    <w:p w14:paraId="65E098AE" w14:textId="057C3F6A" w:rsidR="00AE751F" w:rsidRPr="0009480F" w:rsidRDefault="00AE751F" w:rsidP="00A111E9">
      <w:pPr>
        <w:rPr>
          <w:lang w:eastAsia="en-AU" w:bidi="ar-SA"/>
        </w:rPr>
      </w:pPr>
      <w:r w:rsidRPr="0009480F">
        <w:rPr>
          <w:lang w:eastAsia="en-AU" w:bidi="ar-SA"/>
        </w:rPr>
        <w:t>pK</w:t>
      </w:r>
      <w:r w:rsidRPr="0009480F">
        <w:rPr>
          <w:vertAlign w:val="subscript"/>
          <w:lang w:eastAsia="en-AU" w:bidi="ar-SA"/>
        </w:rPr>
        <w:t>a</w:t>
      </w:r>
      <w:r w:rsidRPr="00EE0565">
        <w:rPr>
          <w:lang w:eastAsia="en-AU" w:bidi="ar-SA"/>
        </w:rPr>
        <w:t>:</w:t>
      </w:r>
      <w:r w:rsidR="00064C40" w:rsidRPr="00EE0565">
        <w:rPr>
          <w:lang w:eastAsia="en-AU" w:bidi="ar-SA"/>
        </w:rPr>
        <w:t xml:space="preserve"> </w:t>
      </w:r>
      <w:r w:rsidRPr="00EE0565">
        <w:rPr>
          <w:lang w:eastAsia="en-AU" w:bidi="ar-SA"/>
        </w:rPr>
        <w:t>-</w:t>
      </w:r>
      <w:r w:rsidRPr="00374481">
        <w:rPr>
          <w:lang w:eastAsia="en-AU" w:bidi="ar-SA"/>
        </w:rPr>
        <w:t>3.3</w:t>
      </w:r>
      <w:r>
        <w:rPr>
          <w:lang w:eastAsia="en-AU" w:bidi="ar-SA"/>
        </w:rPr>
        <w:t xml:space="preserve"> (estimated)</w:t>
      </w:r>
    </w:p>
    <w:p w14:paraId="4A9D436C" w14:textId="785A592A" w:rsidR="000B4025" w:rsidRPr="00B444B3" w:rsidRDefault="0054687A" w:rsidP="005F1486">
      <w:pPr>
        <w:pStyle w:val="Heading3"/>
      </w:pPr>
      <w:bookmarkStart w:id="76" w:name="_Toc468699214"/>
      <w:bookmarkStart w:id="77" w:name="_Toc468712743"/>
      <w:bookmarkStart w:id="78" w:name="_Toc468716445"/>
      <w:bookmarkStart w:id="79" w:name="_Toc468709432"/>
      <w:bookmarkStart w:id="80" w:name="_Toc468717731"/>
      <w:bookmarkStart w:id="81" w:name="_Toc468718375"/>
      <w:bookmarkStart w:id="82" w:name="_Toc468719365"/>
      <w:bookmarkStart w:id="83" w:name="_Toc468722170"/>
      <w:bookmarkStart w:id="84" w:name="_Toc468799240"/>
      <w:bookmarkStart w:id="85" w:name="_Toc468806563"/>
      <w:bookmarkStart w:id="86" w:name="_Toc468980977"/>
      <w:bookmarkStart w:id="87" w:name="_Toc482805097"/>
      <w:r w:rsidRPr="00B444B3">
        <w:t>2.2</w:t>
      </w:r>
      <w:r w:rsidR="00AC7054" w:rsidRPr="00B444B3">
        <w:rPr>
          <w:rStyle w:val="Heading2Char"/>
          <w:b/>
          <w:bCs w:val="0"/>
        </w:rPr>
        <w:tab/>
      </w:r>
      <w:r w:rsidR="00C95940" w:rsidRPr="00B444B3">
        <w:rPr>
          <w:rStyle w:val="Heading2Char"/>
          <w:b/>
          <w:bCs w:val="0"/>
        </w:rPr>
        <w:t xml:space="preserve">Summary of International </w:t>
      </w:r>
      <w:r w:rsidR="00D95238" w:rsidRPr="00B444B3">
        <w:rPr>
          <w:rStyle w:val="Heading2Char"/>
          <w:b/>
          <w:bCs w:val="0"/>
        </w:rPr>
        <w:t xml:space="preserve">hazard </w:t>
      </w:r>
      <w:r w:rsidR="00C95940" w:rsidRPr="00B444B3">
        <w:rPr>
          <w:rStyle w:val="Heading2Char"/>
          <w:b/>
          <w:bCs w:val="0"/>
        </w:rPr>
        <w:t>reviews of PFOS</w:t>
      </w:r>
      <w:bookmarkEnd w:id="76"/>
      <w:bookmarkEnd w:id="77"/>
      <w:bookmarkEnd w:id="78"/>
      <w:bookmarkEnd w:id="79"/>
      <w:bookmarkEnd w:id="80"/>
      <w:bookmarkEnd w:id="81"/>
      <w:bookmarkEnd w:id="82"/>
      <w:bookmarkEnd w:id="83"/>
      <w:bookmarkEnd w:id="84"/>
      <w:bookmarkEnd w:id="85"/>
      <w:bookmarkEnd w:id="86"/>
      <w:bookmarkEnd w:id="87"/>
    </w:p>
    <w:p w14:paraId="13F91AAE" w14:textId="529F76BB" w:rsidR="00F009CD" w:rsidRPr="008A0854" w:rsidRDefault="008A0854" w:rsidP="005F1486">
      <w:pPr>
        <w:pStyle w:val="Heading4"/>
      </w:pPr>
      <w:r w:rsidRPr="008A0854">
        <w:t>UK</w:t>
      </w:r>
      <w:r w:rsidR="00F009CD" w:rsidRPr="008A0854">
        <w:t>COT</w:t>
      </w:r>
      <w:r w:rsidR="004A3EED">
        <w:t>, 2006</w:t>
      </w:r>
    </w:p>
    <w:p w14:paraId="4C34A181" w14:textId="3C734363" w:rsidR="00A10BEB" w:rsidRDefault="00A10BEB" w:rsidP="00A111E9">
      <w:pPr>
        <w:rPr>
          <w:lang w:bidi="ar-SA"/>
        </w:rPr>
      </w:pPr>
      <w:r w:rsidRPr="00766292">
        <w:rPr>
          <w:rFonts w:cs="Arial"/>
          <w:szCs w:val="22"/>
          <w:lang w:bidi="ar-SA"/>
        </w:rPr>
        <w:t xml:space="preserve">In 2006, </w:t>
      </w:r>
      <w:r w:rsidR="000A32B3">
        <w:rPr>
          <w:rFonts w:cs="Arial"/>
          <w:szCs w:val="22"/>
          <w:lang w:bidi="ar-SA"/>
        </w:rPr>
        <w:t xml:space="preserve">the </w:t>
      </w:r>
      <w:r w:rsidR="00A559F7">
        <w:rPr>
          <w:rFonts w:cs="Arial"/>
          <w:szCs w:val="22"/>
          <w:lang w:bidi="ar-SA"/>
        </w:rPr>
        <w:t>UKCOT recommended a provisional TDI for PFOS</w:t>
      </w:r>
      <w:r w:rsidR="008F100B" w:rsidRPr="00766292">
        <w:rPr>
          <w:rFonts w:cs="Arial"/>
          <w:szCs w:val="22"/>
          <w:lang w:bidi="ar-SA"/>
        </w:rPr>
        <w:t xml:space="preserve"> of </w:t>
      </w:r>
      <w:r w:rsidR="000A32B3">
        <w:rPr>
          <w:rFonts w:cs="Arial"/>
          <w:szCs w:val="22"/>
          <w:lang w:bidi="ar-SA"/>
        </w:rPr>
        <w:t>300 n</w:t>
      </w:r>
      <w:r w:rsidR="008F100B" w:rsidRPr="00766292">
        <w:rPr>
          <w:rFonts w:cs="Arial"/>
          <w:szCs w:val="22"/>
          <w:lang w:bidi="ar-SA"/>
        </w:rPr>
        <w:t>g/kg bw/day</w:t>
      </w:r>
      <w:r w:rsidR="00AB0C99">
        <w:rPr>
          <w:rFonts w:cs="Arial"/>
          <w:szCs w:val="22"/>
          <w:lang w:bidi="ar-SA"/>
        </w:rPr>
        <w:t xml:space="preserve"> (UKCOT 2006)</w:t>
      </w:r>
      <w:r>
        <w:rPr>
          <w:lang w:bidi="ar-SA"/>
        </w:rPr>
        <w:t>.</w:t>
      </w:r>
      <w:r w:rsidR="00822F76">
        <w:rPr>
          <w:lang w:bidi="ar-SA"/>
        </w:rPr>
        <w:t xml:space="preserve"> This was derived from the lowest </w:t>
      </w:r>
      <w:r w:rsidR="00AB35CC">
        <w:rPr>
          <w:lang w:bidi="ar-SA"/>
        </w:rPr>
        <w:t>NOAEL</w:t>
      </w:r>
      <w:r w:rsidR="00822F76">
        <w:rPr>
          <w:lang w:bidi="ar-SA"/>
        </w:rPr>
        <w:t xml:space="preserve"> </w:t>
      </w:r>
      <w:r w:rsidR="00AB0C99">
        <w:rPr>
          <w:lang w:bidi="ar-SA"/>
        </w:rPr>
        <w:t>from the sub</w:t>
      </w:r>
      <w:r w:rsidR="00CC26CA">
        <w:rPr>
          <w:lang w:bidi="ar-SA"/>
        </w:rPr>
        <w:t>chronic</w:t>
      </w:r>
      <w:r w:rsidR="00AB0C99">
        <w:rPr>
          <w:lang w:bidi="ar-SA"/>
        </w:rPr>
        <w:t xml:space="preserve">, chronic, developmental and reproductive toxicity studies with PFOS. This NOAEL was 0.03 mg/kg bw/day for decreased serum </w:t>
      </w:r>
      <w:r w:rsidR="00C70DD4">
        <w:rPr>
          <w:lang w:bidi="ar-SA"/>
        </w:rPr>
        <w:t>triiodothyronine (</w:t>
      </w:r>
      <w:r w:rsidR="00AB0C99">
        <w:rPr>
          <w:lang w:bidi="ar-SA"/>
        </w:rPr>
        <w:t>T3</w:t>
      </w:r>
      <w:r w:rsidR="00C70DD4">
        <w:rPr>
          <w:lang w:bidi="ar-SA"/>
        </w:rPr>
        <w:t>)</w:t>
      </w:r>
      <w:r w:rsidR="00AB0C99">
        <w:rPr>
          <w:lang w:bidi="ar-SA"/>
        </w:rPr>
        <w:t xml:space="preserve"> </w:t>
      </w:r>
      <w:r w:rsidR="00FE010A">
        <w:rPr>
          <w:lang w:bidi="ar-SA"/>
        </w:rPr>
        <w:t xml:space="preserve">levels </w:t>
      </w:r>
      <w:r w:rsidR="00AB0C99">
        <w:rPr>
          <w:lang w:bidi="ar-SA"/>
        </w:rPr>
        <w:t>in a 26-week study</w:t>
      </w:r>
      <w:r w:rsidR="00E518CE">
        <w:rPr>
          <w:lang w:bidi="ar-SA"/>
        </w:rPr>
        <w:t xml:space="preserve"> in </w:t>
      </w:r>
      <w:r w:rsidR="00B5419D">
        <w:rPr>
          <w:lang w:bidi="ar-SA"/>
        </w:rPr>
        <w:t xml:space="preserve">cynomolgus </w:t>
      </w:r>
      <w:r w:rsidR="00AB0C99">
        <w:rPr>
          <w:lang w:bidi="ar-SA"/>
        </w:rPr>
        <w:t>monkeys</w:t>
      </w:r>
      <w:r w:rsidR="00CC6D63">
        <w:rPr>
          <w:lang w:bidi="ar-SA"/>
        </w:rPr>
        <w:t xml:space="preserve"> (Seacat </w:t>
      </w:r>
      <w:r w:rsidR="00180A32" w:rsidRPr="00180A32">
        <w:rPr>
          <w:i/>
          <w:lang w:bidi="ar-SA"/>
        </w:rPr>
        <w:t xml:space="preserve">et al. </w:t>
      </w:r>
      <w:r w:rsidR="00F22DA6">
        <w:rPr>
          <w:lang w:bidi="ar-SA"/>
        </w:rPr>
        <w:t xml:space="preserve"> </w:t>
      </w:r>
      <w:r w:rsidR="00CC6D63">
        <w:rPr>
          <w:lang w:bidi="ar-SA"/>
        </w:rPr>
        <w:t>2002)</w:t>
      </w:r>
      <w:r w:rsidR="00AB0C99">
        <w:rPr>
          <w:lang w:bidi="ar-SA"/>
        </w:rPr>
        <w:t>. An uncertainty factor of 100 was applied to the NOAEL to allow for inter- and intra</w:t>
      </w:r>
      <w:r w:rsidR="00032CF6">
        <w:rPr>
          <w:lang w:bidi="ar-SA"/>
        </w:rPr>
        <w:t>species</w:t>
      </w:r>
      <w:r w:rsidR="00AB0C99">
        <w:rPr>
          <w:lang w:bidi="ar-SA"/>
        </w:rPr>
        <w:t xml:space="preserve"> variability.</w:t>
      </w:r>
    </w:p>
    <w:p w14:paraId="705188ED" w14:textId="77777777" w:rsidR="00AB0C99" w:rsidRDefault="00AB0C99" w:rsidP="00A111E9">
      <w:pPr>
        <w:rPr>
          <w:lang w:bidi="ar-SA"/>
        </w:rPr>
      </w:pPr>
    </w:p>
    <w:p w14:paraId="1CEA46AA" w14:textId="75429F7B" w:rsidR="00AB0C99" w:rsidRDefault="00AB0C99" w:rsidP="00A111E9">
      <w:pPr>
        <w:rPr>
          <w:lang w:bidi="ar-SA"/>
        </w:rPr>
      </w:pPr>
      <w:r>
        <w:rPr>
          <w:lang w:bidi="ar-SA"/>
        </w:rPr>
        <w:t>The Committee considered whether there was a need to apply an additiona</w:t>
      </w:r>
      <w:r w:rsidR="00E858DB">
        <w:rPr>
          <w:lang w:bidi="ar-SA"/>
        </w:rPr>
        <w:t>l</w:t>
      </w:r>
      <w:r>
        <w:rPr>
          <w:lang w:bidi="ar-SA"/>
        </w:rPr>
        <w:t xml:space="preserve"> uncertainty factor to allow for incomplete attainment of steady</w:t>
      </w:r>
      <w:r w:rsidR="00032CF6">
        <w:rPr>
          <w:lang w:bidi="ar-SA"/>
        </w:rPr>
        <w:t>-</w:t>
      </w:r>
      <w:r>
        <w:rPr>
          <w:lang w:bidi="ar-SA"/>
        </w:rPr>
        <w:t>state PFOS levels in the pivotal study. However</w:t>
      </w:r>
      <w:r w:rsidR="007F02A2">
        <w:rPr>
          <w:lang w:bidi="ar-SA"/>
        </w:rPr>
        <w:t>,</w:t>
      </w:r>
      <w:r>
        <w:rPr>
          <w:lang w:bidi="ar-SA"/>
        </w:rPr>
        <w:t xml:space="preserve"> this w</w:t>
      </w:r>
      <w:r w:rsidR="00CC6D63">
        <w:rPr>
          <w:lang w:bidi="ar-SA"/>
        </w:rPr>
        <w:t>as considered unnecessary, taking</w:t>
      </w:r>
      <w:r>
        <w:rPr>
          <w:lang w:bidi="ar-SA"/>
        </w:rPr>
        <w:t xml:space="preserve"> into account that the study was conducted in primates and the effects were mild.</w:t>
      </w:r>
    </w:p>
    <w:p w14:paraId="3E1DCD4A" w14:textId="4887212C" w:rsidR="00365BDC" w:rsidRDefault="00365BDC" w:rsidP="00A111E9">
      <w:pPr>
        <w:rPr>
          <w:lang w:bidi="ar-SA"/>
        </w:rPr>
      </w:pPr>
    </w:p>
    <w:p w14:paraId="7EFCEFC4" w14:textId="17ED186A" w:rsidR="00365BDC" w:rsidRDefault="00365BDC" w:rsidP="00A111E9">
      <w:pPr>
        <w:rPr>
          <w:lang w:bidi="ar-SA"/>
        </w:rPr>
      </w:pPr>
      <w:r>
        <w:rPr>
          <w:lang w:bidi="ar-SA"/>
        </w:rPr>
        <w:t>The UKCOT’s sister committees, the Committee on Mutagenicity (UKCOM) an</w:t>
      </w:r>
      <w:r w:rsidR="00B444B3">
        <w:rPr>
          <w:lang w:bidi="ar-SA"/>
        </w:rPr>
        <w:t xml:space="preserve">d Committee on Carcinogenicity </w:t>
      </w:r>
      <w:r>
        <w:rPr>
          <w:lang w:bidi="ar-SA"/>
        </w:rPr>
        <w:t>(UKCOC), also evaluated PFOS</w:t>
      </w:r>
      <w:r w:rsidR="00760561">
        <w:rPr>
          <w:lang w:bidi="ar-SA"/>
        </w:rPr>
        <w:t xml:space="preserve"> and provided advice to the UKCOT</w:t>
      </w:r>
      <w:r>
        <w:rPr>
          <w:lang w:bidi="ar-SA"/>
        </w:rPr>
        <w:t>. The UKCOM concluded that PFOS should be regarded as not mutagenic, while the UKCOC concluded that there was equivocal evidence for carcinogenicity, limited to hepatocellular adenoma in the animal studies.</w:t>
      </w:r>
    </w:p>
    <w:p w14:paraId="3B52F053" w14:textId="1DC0B2CC" w:rsidR="000A32B3" w:rsidRDefault="000A32B3" w:rsidP="00A111E9">
      <w:pPr>
        <w:rPr>
          <w:lang w:bidi="ar-SA"/>
        </w:rPr>
      </w:pPr>
    </w:p>
    <w:p w14:paraId="5AA241BC" w14:textId="7DCE4F2E" w:rsidR="000A32B3" w:rsidRDefault="000A32B3" w:rsidP="00A111E9">
      <w:pPr>
        <w:rPr>
          <w:lang w:bidi="ar-SA"/>
        </w:rPr>
      </w:pPr>
      <w:r>
        <w:rPr>
          <w:lang w:bidi="ar-SA"/>
        </w:rPr>
        <w:t xml:space="preserve">In 2009, as part of a reconsideration of the provisional TDI for PFOA following publication of the EFSA opinion on PFOS, PFOA and their salts, the UKCOT confirmed its TDI of </w:t>
      </w:r>
      <w:r w:rsidRPr="00BC19E6">
        <w:rPr>
          <w:b/>
          <w:lang w:bidi="ar-SA"/>
        </w:rPr>
        <w:t>300 ng/kg bw/day</w:t>
      </w:r>
      <w:r>
        <w:rPr>
          <w:lang w:bidi="ar-SA"/>
        </w:rPr>
        <w:t xml:space="preserve"> for PFOS (UKCOT 2009).</w:t>
      </w:r>
    </w:p>
    <w:p w14:paraId="4D510F4A" w14:textId="571ABB65" w:rsidR="00F009CD" w:rsidRPr="008A0854" w:rsidRDefault="00F009CD" w:rsidP="005F1486">
      <w:pPr>
        <w:pStyle w:val="Heading4"/>
      </w:pPr>
      <w:r w:rsidRPr="008A0854">
        <w:t>EFSA</w:t>
      </w:r>
      <w:r w:rsidR="00B945C6">
        <w:t>,</w:t>
      </w:r>
      <w:r w:rsidR="004A3EED">
        <w:t xml:space="preserve"> 2008</w:t>
      </w:r>
    </w:p>
    <w:p w14:paraId="7E64D40E" w14:textId="18878869" w:rsidR="00760561" w:rsidRDefault="00403B8C" w:rsidP="00A111E9">
      <w:pPr>
        <w:rPr>
          <w:lang w:bidi="ar-SA"/>
        </w:rPr>
      </w:pPr>
      <w:r>
        <w:rPr>
          <w:lang w:bidi="ar-SA"/>
        </w:rPr>
        <w:t>The current EFSA TDI for PFO</w:t>
      </w:r>
      <w:r w:rsidR="003A4192">
        <w:rPr>
          <w:lang w:bidi="ar-SA"/>
        </w:rPr>
        <w:t>S</w:t>
      </w:r>
      <w:r>
        <w:rPr>
          <w:lang w:bidi="ar-SA"/>
        </w:rPr>
        <w:t xml:space="preserve"> was </w:t>
      </w:r>
      <w:r w:rsidR="00766292">
        <w:rPr>
          <w:lang w:bidi="ar-SA"/>
        </w:rPr>
        <w:t xml:space="preserve">established in </w:t>
      </w:r>
      <w:r>
        <w:rPr>
          <w:lang w:bidi="ar-SA"/>
        </w:rPr>
        <w:t>2008</w:t>
      </w:r>
      <w:r w:rsidR="00A559F7">
        <w:rPr>
          <w:lang w:bidi="ar-SA"/>
        </w:rPr>
        <w:t>.</w:t>
      </w:r>
      <w:r w:rsidR="007B197F">
        <w:rPr>
          <w:lang w:bidi="ar-SA"/>
        </w:rPr>
        <w:t xml:space="preserve"> </w:t>
      </w:r>
      <w:r w:rsidR="003A4192">
        <w:rPr>
          <w:lang w:bidi="ar-SA"/>
        </w:rPr>
        <w:t xml:space="preserve">The TDI was based on the </w:t>
      </w:r>
      <w:r w:rsidR="00E518CE">
        <w:rPr>
          <w:lang w:bidi="ar-SA"/>
        </w:rPr>
        <w:t xml:space="preserve">lowest NOAEL identified from the available toxicity studies with PFOS, 0.03 mg/kg bw/day in the 26-week study with </w:t>
      </w:r>
      <w:r w:rsidR="00B5419D">
        <w:rPr>
          <w:lang w:bidi="ar-SA"/>
        </w:rPr>
        <w:t xml:space="preserve">cynomolgus </w:t>
      </w:r>
      <w:r w:rsidR="00E518CE">
        <w:rPr>
          <w:lang w:bidi="ar-SA"/>
        </w:rPr>
        <w:t>monkeys</w:t>
      </w:r>
      <w:r w:rsidR="009A60FA">
        <w:rPr>
          <w:lang w:bidi="ar-SA"/>
        </w:rPr>
        <w:t xml:space="preserve"> based on changes in serum lipids and thyroid hormones at the next highest dose</w:t>
      </w:r>
      <w:r w:rsidR="00AD3773">
        <w:rPr>
          <w:lang w:bidi="ar-SA"/>
        </w:rPr>
        <w:t xml:space="preserve"> (Seacat </w:t>
      </w:r>
      <w:r w:rsidR="00180A32" w:rsidRPr="00180A32">
        <w:rPr>
          <w:i/>
          <w:lang w:bidi="ar-SA"/>
        </w:rPr>
        <w:t xml:space="preserve">et al. </w:t>
      </w:r>
      <w:r w:rsidR="00CC50B8">
        <w:rPr>
          <w:lang w:bidi="ar-SA"/>
        </w:rPr>
        <w:t xml:space="preserve"> </w:t>
      </w:r>
      <w:r w:rsidR="00AD3773">
        <w:rPr>
          <w:lang w:bidi="ar-SA"/>
        </w:rPr>
        <w:t>2002)</w:t>
      </w:r>
      <w:r w:rsidR="00E518CE">
        <w:rPr>
          <w:lang w:bidi="ar-SA"/>
        </w:rPr>
        <w:t>.</w:t>
      </w:r>
    </w:p>
    <w:p w14:paraId="3F907699" w14:textId="77777777" w:rsidR="00760561" w:rsidRDefault="00760561" w:rsidP="00A111E9">
      <w:pPr>
        <w:rPr>
          <w:lang w:bidi="ar-SA"/>
        </w:rPr>
      </w:pPr>
    </w:p>
    <w:p w14:paraId="3F30B72E" w14:textId="7B3F870F" w:rsidR="00A559F7" w:rsidRDefault="0011603C" w:rsidP="00A111E9">
      <w:pPr>
        <w:rPr>
          <w:lang w:bidi="ar-SA"/>
        </w:rPr>
      </w:pPr>
      <w:r>
        <w:rPr>
          <w:lang w:bidi="ar-SA"/>
        </w:rPr>
        <w:t>An overall uncertainty factor of 200 was applied to the NOAEL. A factor of 100 was used for inter- and intra</w:t>
      </w:r>
      <w:r w:rsidR="00032CF6">
        <w:rPr>
          <w:lang w:bidi="ar-SA"/>
        </w:rPr>
        <w:t>species</w:t>
      </w:r>
      <w:r>
        <w:rPr>
          <w:lang w:bidi="ar-SA"/>
        </w:rPr>
        <w:t xml:space="preserve"> differences, with an additional uncertainty factor of 2 applied to compensate for uncertainties in relation to the relatively short duration of the key study and the internal dose kinetics. The TDI was </w:t>
      </w:r>
      <w:r w:rsidRPr="00BC19E6">
        <w:rPr>
          <w:b/>
          <w:lang w:bidi="ar-SA"/>
        </w:rPr>
        <w:t>150 ng/kg bw/day</w:t>
      </w:r>
      <w:r>
        <w:rPr>
          <w:lang w:bidi="ar-SA"/>
        </w:rPr>
        <w:t>.</w:t>
      </w:r>
    </w:p>
    <w:p w14:paraId="1769E9A8" w14:textId="77777777" w:rsidR="00AD3773" w:rsidRDefault="00AD3773" w:rsidP="00A111E9">
      <w:pPr>
        <w:rPr>
          <w:lang w:bidi="ar-SA"/>
        </w:rPr>
      </w:pPr>
    </w:p>
    <w:p w14:paraId="6D64DE71" w14:textId="4F2D4FF9" w:rsidR="00AD3773" w:rsidRDefault="00AD3773" w:rsidP="00A111E9">
      <w:pPr>
        <w:rPr>
          <w:lang w:bidi="ar-SA"/>
        </w:rPr>
      </w:pPr>
      <w:r>
        <w:rPr>
          <w:lang w:bidi="ar-SA"/>
        </w:rPr>
        <w:t>EFSA concluded that epidemiology studies in workers exposed to PFOS have not shown convincing evidence of increased cancer risk. Liver tumours observed in rats were considered to be due to a non-genotoxic mode of action.</w:t>
      </w:r>
    </w:p>
    <w:p w14:paraId="765B4B35" w14:textId="1861D14F" w:rsidR="004A3EED" w:rsidRDefault="004A3EED" w:rsidP="005F1486">
      <w:pPr>
        <w:pStyle w:val="Heading4"/>
      </w:pPr>
      <w:r w:rsidRPr="004A3EED">
        <w:t>Swe</w:t>
      </w:r>
      <w:r w:rsidRPr="000328C0">
        <w:rPr>
          <w:rStyle w:val="Heading3Char"/>
        </w:rPr>
        <w:t>d</w:t>
      </w:r>
      <w:r w:rsidRPr="004A3EED">
        <w:t>ish EPA, 2012</w:t>
      </w:r>
    </w:p>
    <w:p w14:paraId="40E80C2E" w14:textId="7BA792F8" w:rsidR="00EA1E5F" w:rsidRDefault="004A3EED" w:rsidP="00A111E9">
      <w:pPr>
        <w:rPr>
          <w:lang w:bidi="ar-SA"/>
        </w:rPr>
      </w:pPr>
      <w:r>
        <w:rPr>
          <w:lang w:bidi="ar-SA"/>
        </w:rPr>
        <w:t xml:space="preserve">The </w:t>
      </w:r>
      <w:r w:rsidR="00EA1E5F">
        <w:rPr>
          <w:lang w:bidi="ar-SA"/>
        </w:rPr>
        <w:t xml:space="preserve">Swedish EPA assessed the </w:t>
      </w:r>
      <w:r>
        <w:rPr>
          <w:lang w:bidi="ar-SA"/>
        </w:rPr>
        <w:t>human and environmental risks of a number of PFASs.</w:t>
      </w:r>
    </w:p>
    <w:p w14:paraId="1B97D900" w14:textId="77777777" w:rsidR="00EA1E5F" w:rsidRDefault="00EA1E5F" w:rsidP="00A111E9">
      <w:pPr>
        <w:rPr>
          <w:lang w:bidi="ar-SA"/>
        </w:rPr>
      </w:pPr>
    </w:p>
    <w:p w14:paraId="6A8F802D" w14:textId="2AEBCDB8" w:rsidR="00556330" w:rsidRDefault="004A3EED" w:rsidP="00A111E9">
      <w:pPr>
        <w:rPr>
          <w:lang w:bidi="ar-SA"/>
        </w:rPr>
      </w:pPr>
      <w:r>
        <w:rPr>
          <w:lang w:bidi="ar-SA"/>
        </w:rPr>
        <w:t>The human hazard assessment was principally based on existing assessments, although additional relevant data were also considered. Two toxicological endpoints, hepatotoxicity and reproductive toxicity, were selected, because these are common to a number of PFASs. Other endpoints showing lower effect levels were also considered.</w:t>
      </w:r>
    </w:p>
    <w:p w14:paraId="7882DD5C" w14:textId="77777777" w:rsidR="00556330" w:rsidRDefault="00556330" w:rsidP="00A111E9">
      <w:pPr>
        <w:rPr>
          <w:lang w:bidi="ar-SA"/>
        </w:rPr>
      </w:pPr>
    </w:p>
    <w:p w14:paraId="0E74E2E5" w14:textId="525971F5" w:rsidR="00766292" w:rsidRDefault="00766292" w:rsidP="00A111E9">
      <w:pPr>
        <w:rPr>
          <w:lang w:bidi="ar-SA"/>
        </w:rPr>
      </w:pPr>
      <w:r>
        <w:rPr>
          <w:lang w:bidi="ar-SA"/>
        </w:rPr>
        <w:t>T</w:t>
      </w:r>
      <w:r w:rsidR="00CF5E17">
        <w:rPr>
          <w:lang w:bidi="ar-SA"/>
        </w:rPr>
        <w:t xml:space="preserve">he existing assessments </w:t>
      </w:r>
      <w:r w:rsidR="00EA1E5F">
        <w:rPr>
          <w:lang w:bidi="ar-SA"/>
        </w:rPr>
        <w:t xml:space="preserve">of PFOS </w:t>
      </w:r>
      <w:r w:rsidR="00CF5E17">
        <w:rPr>
          <w:lang w:bidi="ar-SA"/>
        </w:rPr>
        <w:t xml:space="preserve">considered </w:t>
      </w:r>
      <w:r>
        <w:rPr>
          <w:lang w:bidi="ar-SA"/>
        </w:rPr>
        <w:t xml:space="preserve">in the Swedish EPA report </w:t>
      </w:r>
      <w:r w:rsidR="00CF5E17">
        <w:rPr>
          <w:lang w:bidi="ar-SA"/>
        </w:rPr>
        <w:t>included</w:t>
      </w:r>
      <w:r>
        <w:rPr>
          <w:lang w:bidi="ar-SA"/>
        </w:rPr>
        <w:t>:</w:t>
      </w:r>
    </w:p>
    <w:p w14:paraId="622B6E72" w14:textId="789CF125" w:rsidR="00766292" w:rsidRDefault="00EA1E5F" w:rsidP="000328C0">
      <w:pPr>
        <w:pStyle w:val="FSBullet1"/>
      </w:pPr>
      <w:r>
        <w:lastRenderedPageBreak/>
        <w:t>2004 Swedish Chemicals Agency risk assessment</w:t>
      </w:r>
    </w:p>
    <w:p w14:paraId="513B3C4D" w14:textId="4FD9F286" w:rsidR="00766292" w:rsidRDefault="00CF5E17" w:rsidP="000328C0">
      <w:pPr>
        <w:pStyle w:val="FSBullet1"/>
      </w:pPr>
      <w:r>
        <w:t>2008 EFSA risk assessment</w:t>
      </w:r>
    </w:p>
    <w:p w14:paraId="5C0BC7C1" w14:textId="60922101" w:rsidR="00766292" w:rsidRDefault="00CF5E17" w:rsidP="000328C0">
      <w:pPr>
        <w:pStyle w:val="FSBullet1"/>
      </w:pPr>
      <w:r>
        <w:t>2008 Minnesota Department of Health risk assessment</w:t>
      </w:r>
    </w:p>
    <w:p w14:paraId="442DC648" w14:textId="1B01F61B" w:rsidR="00766292" w:rsidRDefault="00EA1E5F" w:rsidP="000328C0">
      <w:pPr>
        <w:pStyle w:val="FSBullet1"/>
      </w:pPr>
      <w:r>
        <w:t>2</w:t>
      </w:r>
      <w:r w:rsidR="00CF5E17">
        <w:t>009 ATSDR draft toxicological profile</w:t>
      </w:r>
    </w:p>
    <w:p w14:paraId="04C8B667" w14:textId="333FD294" w:rsidR="00766292" w:rsidRDefault="00EA1E5F" w:rsidP="000328C0">
      <w:pPr>
        <w:pStyle w:val="FSBullet1"/>
      </w:pPr>
      <w:r>
        <w:t>2</w:t>
      </w:r>
      <w:r w:rsidR="00556330">
        <w:t>009 U</w:t>
      </w:r>
      <w:r w:rsidR="003C208B">
        <w:t>S</w:t>
      </w:r>
      <w:r w:rsidR="00556330">
        <w:t xml:space="preserve"> EPA risk assessment</w:t>
      </w:r>
    </w:p>
    <w:p w14:paraId="5D372E0A" w14:textId="66C0ABAA" w:rsidR="00766292" w:rsidRDefault="00556330" w:rsidP="000328C0">
      <w:pPr>
        <w:pStyle w:val="FSBullet1"/>
      </w:pPr>
      <w:r>
        <w:t xml:space="preserve">2010 </w:t>
      </w:r>
      <w:r w:rsidR="00A1431B">
        <w:t>National Institute for Public Health and the Environment (RIVM) in the Netherlands report on environmental risk limits for PFOS</w:t>
      </w:r>
    </w:p>
    <w:p w14:paraId="53D0D8B8" w14:textId="2FFF9C29" w:rsidR="00766292" w:rsidRDefault="00EA1E5F" w:rsidP="000328C0">
      <w:pPr>
        <w:pStyle w:val="FSBullet1"/>
      </w:pPr>
      <w:r>
        <w:t>a</w:t>
      </w:r>
      <w:r w:rsidR="00556330">
        <w:t xml:space="preserve"> draft screening assessment published by Health Canada in </w:t>
      </w:r>
      <w:r w:rsidR="0007229B">
        <w:t>2010</w:t>
      </w:r>
    </w:p>
    <w:p w14:paraId="3829EBD0" w14:textId="551AB48A" w:rsidR="00780793" w:rsidRDefault="00986779" w:rsidP="000328C0">
      <w:pPr>
        <w:pStyle w:val="FSBullet1"/>
      </w:pPr>
      <w:r>
        <w:t>i</w:t>
      </w:r>
      <w:r w:rsidR="00556330">
        <w:t xml:space="preserve">n addition, the Swedish EPA considered </w:t>
      </w:r>
      <w:r w:rsidR="00A1431B">
        <w:t>an immunotoxicity study</w:t>
      </w:r>
      <w:r w:rsidR="00556330">
        <w:t xml:space="preserve"> conducted in mice by </w:t>
      </w:r>
      <w:r w:rsidR="00A1431B">
        <w:t xml:space="preserve">Peden-Adams </w:t>
      </w:r>
      <w:r w:rsidR="00180A32" w:rsidRPr="00180A32">
        <w:rPr>
          <w:i/>
        </w:rPr>
        <w:t xml:space="preserve">et al. </w:t>
      </w:r>
      <w:r w:rsidR="00F22DA6">
        <w:t xml:space="preserve"> </w:t>
      </w:r>
      <w:r w:rsidR="00A1431B">
        <w:t>(2008</w:t>
      </w:r>
      <w:r w:rsidR="0007229B">
        <w:t>)</w:t>
      </w:r>
    </w:p>
    <w:p w14:paraId="43EC2FD1" w14:textId="77777777" w:rsidR="00780793" w:rsidRDefault="00780793" w:rsidP="00A111E9">
      <w:pPr>
        <w:rPr>
          <w:lang w:bidi="ar-SA"/>
        </w:rPr>
      </w:pPr>
    </w:p>
    <w:p w14:paraId="555405F4" w14:textId="5FF1C65E" w:rsidR="004A3EED" w:rsidRDefault="004A3EED" w:rsidP="00A111E9">
      <w:pPr>
        <w:rPr>
          <w:lang w:bidi="ar-SA"/>
        </w:rPr>
      </w:pPr>
      <w:r>
        <w:rPr>
          <w:lang w:bidi="ar-SA"/>
        </w:rPr>
        <w:t xml:space="preserve">The Swedish EPA </w:t>
      </w:r>
      <w:r w:rsidR="00CF5E17">
        <w:rPr>
          <w:lang w:bidi="ar-SA"/>
        </w:rPr>
        <w:t xml:space="preserve">noted </w:t>
      </w:r>
      <w:r>
        <w:rPr>
          <w:lang w:bidi="ar-SA"/>
        </w:rPr>
        <w:t>that epidemiological studies of PFASs showed inconsistent results.</w:t>
      </w:r>
    </w:p>
    <w:p w14:paraId="0A99CB5B" w14:textId="77777777" w:rsidR="00556330" w:rsidRDefault="00556330" w:rsidP="00A111E9">
      <w:pPr>
        <w:rPr>
          <w:lang w:bidi="ar-SA"/>
        </w:rPr>
      </w:pPr>
    </w:p>
    <w:p w14:paraId="1F234F34" w14:textId="5953F909" w:rsidR="00556330" w:rsidRDefault="00556330" w:rsidP="00A111E9">
      <w:pPr>
        <w:rPr>
          <w:lang w:bidi="ar-SA"/>
        </w:rPr>
      </w:pPr>
      <w:r>
        <w:rPr>
          <w:lang w:bidi="ar-SA"/>
        </w:rPr>
        <w:t xml:space="preserve">The points of departure </w:t>
      </w:r>
      <w:r w:rsidR="00664117">
        <w:rPr>
          <w:lang w:bidi="ar-SA"/>
        </w:rPr>
        <w:t xml:space="preserve">(PODs) </w:t>
      </w:r>
      <w:r>
        <w:rPr>
          <w:lang w:bidi="ar-SA"/>
        </w:rPr>
        <w:t>selected by the Swedish EPA were as follows:</w:t>
      </w:r>
    </w:p>
    <w:p w14:paraId="6F0AEE52" w14:textId="77777777" w:rsidR="00AD3773" w:rsidRDefault="00AD3773" w:rsidP="00A111E9">
      <w:pPr>
        <w:rPr>
          <w:lang w:bidi="ar-SA"/>
        </w:rPr>
      </w:pPr>
    </w:p>
    <w:p w14:paraId="008A3A3F" w14:textId="45623FD6" w:rsidR="004E1F92" w:rsidRDefault="00902827" w:rsidP="000328C0">
      <w:pPr>
        <w:pStyle w:val="FSBullet1"/>
      </w:pPr>
      <w:r>
        <w:t>Hepatotoxicity</w:t>
      </w:r>
      <w:r w:rsidR="00A1431B">
        <w:t xml:space="preserve"> (rat, chronic exposure, NOAEL, hepatocellular hypertrophy</w:t>
      </w:r>
      <w:r w:rsidR="0077496C">
        <w:t>)</w:t>
      </w:r>
      <w:r w:rsidR="004E1F92">
        <w:t xml:space="preserve">: </w:t>
      </w:r>
      <w:r w:rsidR="00A1431B">
        <w:t xml:space="preserve">0.025 mg/kg bw/day; 4.04 </w:t>
      </w:r>
      <w:r w:rsidR="00CB500B">
        <w:t>µg/mL</w:t>
      </w:r>
      <w:r w:rsidR="00A1431B">
        <w:t xml:space="preserve"> serum; 19.2 µ</w:t>
      </w:r>
      <w:r w:rsidR="0077496C">
        <w:t>g/g liver (</w:t>
      </w:r>
      <w:r w:rsidR="00743739">
        <w:t xml:space="preserve">Thomford 2002/Butenhoff </w:t>
      </w:r>
      <w:r w:rsidR="00180A32" w:rsidRPr="00180A32">
        <w:rPr>
          <w:i/>
        </w:rPr>
        <w:t xml:space="preserve">et al. </w:t>
      </w:r>
      <w:r w:rsidR="000203C4">
        <w:t xml:space="preserve"> </w:t>
      </w:r>
      <w:r w:rsidR="00B945C6">
        <w:t>2012)</w:t>
      </w:r>
    </w:p>
    <w:p w14:paraId="45C7D171" w14:textId="287E817E" w:rsidR="00902827" w:rsidRDefault="00986779" w:rsidP="000328C0">
      <w:pPr>
        <w:pStyle w:val="FSBullet1"/>
      </w:pPr>
      <w:r>
        <w:t>r</w:t>
      </w:r>
      <w:r w:rsidR="004E1F92">
        <w:t>eproductive toxicity</w:t>
      </w:r>
      <w:r w:rsidR="00A1431B">
        <w:t xml:space="preserve"> (rat, decreased F2 viability, NOAEL)</w:t>
      </w:r>
      <w:r w:rsidR="004E1F92">
        <w:t xml:space="preserve">: </w:t>
      </w:r>
      <w:r w:rsidR="00A1431B">
        <w:t xml:space="preserve">0.1 mg/kg bw/day; 4.9 </w:t>
      </w:r>
      <w:r w:rsidR="00CB500B">
        <w:t>µg/mL</w:t>
      </w:r>
      <w:r w:rsidR="00A1431B">
        <w:t xml:space="preserve"> serum; 9.2 µg/g liver</w:t>
      </w:r>
      <w:r w:rsidR="00743739">
        <w:t xml:space="preserve"> (Luebker </w:t>
      </w:r>
      <w:r w:rsidR="00180A32" w:rsidRPr="00180A32">
        <w:rPr>
          <w:i/>
        </w:rPr>
        <w:t xml:space="preserve">et al. </w:t>
      </w:r>
      <w:r w:rsidR="00CC50B8">
        <w:t xml:space="preserve"> </w:t>
      </w:r>
      <w:r w:rsidR="00743739">
        <w:t>2005b)</w:t>
      </w:r>
    </w:p>
    <w:p w14:paraId="6CED4291" w14:textId="1959E397" w:rsidR="00902827" w:rsidRDefault="00986779" w:rsidP="000328C0">
      <w:pPr>
        <w:pStyle w:val="FSBullet1"/>
      </w:pPr>
      <w:r>
        <w:t>o</w:t>
      </w:r>
      <w:r w:rsidR="00902827">
        <w:t>ther endpoint</w:t>
      </w:r>
      <w:r w:rsidR="004E1F92">
        <w:t xml:space="preserve">: </w:t>
      </w:r>
      <w:r w:rsidR="00A1431B">
        <w:t>Immunotoxicity (mouse, subacute exposure, NOAEL): 0.166 µ</w:t>
      </w:r>
      <w:r w:rsidR="00D60FEF">
        <w:t>g/kg bw/day; 17.8 ng/mL</w:t>
      </w:r>
      <w:r w:rsidR="00A1431B">
        <w:t xml:space="preserve"> serum</w:t>
      </w:r>
      <w:r w:rsidR="00743739">
        <w:t xml:space="preserve"> (Peden-Adams </w:t>
      </w:r>
      <w:r w:rsidR="00180A32" w:rsidRPr="00180A32">
        <w:rPr>
          <w:i/>
        </w:rPr>
        <w:t xml:space="preserve">et al. </w:t>
      </w:r>
      <w:r w:rsidR="00F22DA6">
        <w:t xml:space="preserve"> </w:t>
      </w:r>
      <w:r w:rsidR="00743739">
        <w:t>2008)</w:t>
      </w:r>
      <w:r w:rsidR="007D5FBE">
        <w:t>.</w:t>
      </w:r>
    </w:p>
    <w:p w14:paraId="3E9C498F" w14:textId="77777777" w:rsidR="00664117" w:rsidRDefault="00664117" w:rsidP="00A111E9">
      <w:pPr>
        <w:rPr>
          <w:lang w:bidi="ar-SA"/>
        </w:rPr>
      </w:pPr>
    </w:p>
    <w:p w14:paraId="20B29D7A" w14:textId="06D2004A" w:rsidR="00982CE1" w:rsidRDefault="00982CE1" w:rsidP="00A111E9">
      <w:pPr>
        <w:rPr>
          <w:lang w:bidi="ar-SA"/>
        </w:rPr>
      </w:pPr>
      <w:r>
        <w:rPr>
          <w:lang w:bidi="ar-SA"/>
        </w:rPr>
        <w:t>The Swedish EPA used the</w:t>
      </w:r>
      <w:r w:rsidR="007D5FBE">
        <w:rPr>
          <w:lang w:bidi="ar-SA"/>
        </w:rPr>
        <w:t>se</w:t>
      </w:r>
      <w:r>
        <w:rPr>
          <w:lang w:bidi="ar-SA"/>
        </w:rPr>
        <w:t xml:space="preserve"> PODs to </w:t>
      </w:r>
      <w:r w:rsidR="00780793">
        <w:rPr>
          <w:lang w:bidi="ar-SA"/>
        </w:rPr>
        <w:t xml:space="preserve">establish </w:t>
      </w:r>
      <w:r w:rsidR="00664117">
        <w:rPr>
          <w:lang w:bidi="ar-SA"/>
        </w:rPr>
        <w:t>DNELs according to REACH guidelines, by dividing the PODs with the following</w:t>
      </w:r>
      <w:r w:rsidR="00B5419D">
        <w:rPr>
          <w:lang w:bidi="ar-SA"/>
        </w:rPr>
        <w:t xml:space="preserve"> assessment factors</w:t>
      </w:r>
      <w:r w:rsidR="00664117">
        <w:rPr>
          <w:lang w:bidi="ar-SA"/>
        </w:rPr>
        <w:t xml:space="preserve"> </w:t>
      </w:r>
      <w:r w:rsidR="00B5419D">
        <w:rPr>
          <w:lang w:bidi="ar-SA"/>
        </w:rPr>
        <w:t>(</w:t>
      </w:r>
      <w:r w:rsidR="00060C53">
        <w:rPr>
          <w:lang w:bidi="ar-SA"/>
        </w:rPr>
        <w:t>AFs</w:t>
      </w:r>
      <w:r w:rsidR="00B5419D">
        <w:rPr>
          <w:lang w:bidi="ar-SA"/>
        </w:rPr>
        <w:t>)</w:t>
      </w:r>
      <w:r>
        <w:rPr>
          <w:lang w:bidi="ar-SA"/>
        </w:rPr>
        <w:t>, as applicable</w:t>
      </w:r>
      <w:r w:rsidR="00664117">
        <w:rPr>
          <w:lang w:bidi="ar-SA"/>
        </w:rPr>
        <w:t>:</w:t>
      </w:r>
      <w:r>
        <w:rPr>
          <w:lang w:bidi="ar-SA"/>
        </w:rPr>
        <w:br/>
      </w:r>
    </w:p>
    <w:p w14:paraId="2757399D" w14:textId="785BA799" w:rsidR="00D640DD" w:rsidRDefault="00D640DD" w:rsidP="000328C0">
      <w:pPr>
        <w:pStyle w:val="FSBullet1"/>
      </w:pPr>
      <w:r>
        <w:t>Extrapolation for exposure duration. The default factor for subchronic to chronic exposure is 2, and the default factor for s</w:t>
      </w:r>
      <w:r w:rsidR="00B945C6">
        <w:t xml:space="preserve">ubacute to chronic exposure is </w:t>
      </w:r>
      <w:r w:rsidR="0007229B">
        <w:t>6.</w:t>
      </w:r>
    </w:p>
    <w:p w14:paraId="2A562528" w14:textId="1542F517" w:rsidR="00D640DD" w:rsidRDefault="00D640DD" w:rsidP="000328C0">
      <w:pPr>
        <w:pStyle w:val="FSBullet1"/>
      </w:pPr>
      <w:r>
        <w:t>Species differences. Because internal (serum) doses are compared between animals and humans, no assessment factor was used for differences in toxicokinetics, but an assessment factor of 2.5 was applied fo</w:t>
      </w:r>
      <w:r w:rsidR="00B945C6">
        <w:t>r differences in toxicodynamics</w:t>
      </w:r>
      <w:r w:rsidR="0007229B">
        <w:t>.</w:t>
      </w:r>
    </w:p>
    <w:p w14:paraId="45DC35BD" w14:textId="6F399F9A" w:rsidR="00D640DD" w:rsidRDefault="00D640DD" w:rsidP="000328C0">
      <w:pPr>
        <w:pStyle w:val="FSBullet1"/>
      </w:pPr>
      <w:r>
        <w:t xml:space="preserve">Intraspecies differences within human populations, </w:t>
      </w:r>
      <w:r w:rsidR="007F02A2">
        <w:t>that is</w:t>
      </w:r>
      <w:r>
        <w:t xml:space="preserve"> sensitive subpopulations. An assessment factor of 10 was used for the general population and 5 for workers.</w:t>
      </w:r>
    </w:p>
    <w:p w14:paraId="4D8D2550" w14:textId="5B3E7688" w:rsidR="004235A6" w:rsidRDefault="004235A6" w:rsidP="00A111E9">
      <w:pPr>
        <w:rPr>
          <w:lang w:bidi="ar-SA"/>
        </w:rPr>
      </w:pPr>
    </w:p>
    <w:p w14:paraId="03D34659" w14:textId="5577F8B5" w:rsidR="004235A6" w:rsidRDefault="004235A6" w:rsidP="00A111E9">
      <w:pPr>
        <w:rPr>
          <w:lang w:bidi="ar-SA"/>
        </w:rPr>
      </w:pPr>
      <w:r>
        <w:rPr>
          <w:lang w:bidi="ar-SA"/>
        </w:rPr>
        <w:t>The resulting DNEL for hepat</w:t>
      </w:r>
      <w:r w:rsidR="007B1633">
        <w:rPr>
          <w:lang w:bidi="ar-SA"/>
        </w:rPr>
        <w:t>ot</w:t>
      </w:r>
      <w:r>
        <w:rPr>
          <w:lang w:bidi="ar-SA"/>
        </w:rPr>
        <w:t>oxicity of P</w:t>
      </w:r>
      <w:r w:rsidR="004E1F92">
        <w:rPr>
          <w:lang w:bidi="ar-SA"/>
        </w:rPr>
        <w:t>FOS</w:t>
      </w:r>
      <w:r>
        <w:rPr>
          <w:lang w:bidi="ar-SA"/>
        </w:rPr>
        <w:t xml:space="preserve"> to the general population was as follows:</w:t>
      </w:r>
    </w:p>
    <w:p w14:paraId="1F36830C" w14:textId="77777777" w:rsidR="004235A6" w:rsidRDefault="004235A6" w:rsidP="00A111E9">
      <w:pPr>
        <w:rPr>
          <w:lang w:bidi="ar-SA"/>
        </w:rPr>
      </w:pPr>
    </w:p>
    <w:p w14:paraId="597CA7C6" w14:textId="407E82AC" w:rsidR="004235A6" w:rsidRDefault="004235A6" w:rsidP="00A111E9">
      <w:pPr>
        <w:rPr>
          <w:lang w:bidi="ar-SA"/>
        </w:rPr>
      </w:pPr>
      <w:r>
        <w:rPr>
          <w:lang w:bidi="ar-SA"/>
        </w:rPr>
        <w:t>DNEL</w:t>
      </w:r>
      <w:r>
        <w:rPr>
          <w:lang w:bidi="ar-SA"/>
        </w:rPr>
        <w:tab/>
        <w:t>= POD / (inter</w:t>
      </w:r>
      <w:r w:rsidR="000203C4">
        <w:rPr>
          <w:lang w:bidi="ar-SA"/>
        </w:rPr>
        <w:t>species</w:t>
      </w:r>
      <w:r>
        <w:rPr>
          <w:lang w:bidi="ar-SA"/>
        </w:rPr>
        <w:t xml:space="preserve"> AF x intra</w:t>
      </w:r>
      <w:r w:rsidR="00032CF6">
        <w:rPr>
          <w:lang w:bidi="ar-SA"/>
        </w:rPr>
        <w:t>species</w:t>
      </w:r>
      <w:r>
        <w:rPr>
          <w:lang w:bidi="ar-SA"/>
        </w:rPr>
        <w:t xml:space="preserve"> AF)</w:t>
      </w:r>
    </w:p>
    <w:p w14:paraId="241B8959" w14:textId="1A089005" w:rsidR="00D640DD" w:rsidRDefault="00D60FEF" w:rsidP="00A111E9">
      <w:pPr>
        <w:rPr>
          <w:lang w:bidi="ar-SA"/>
        </w:rPr>
      </w:pPr>
      <w:r>
        <w:rPr>
          <w:lang w:bidi="ar-SA"/>
        </w:rPr>
        <w:tab/>
      </w:r>
      <w:r>
        <w:rPr>
          <w:lang w:bidi="ar-SA"/>
        </w:rPr>
        <w:tab/>
        <w:t>= 4040 ng/mL</w:t>
      </w:r>
      <w:r w:rsidR="00D640DD">
        <w:rPr>
          <w:lang w:bidi="ar-SA"/>
        </w:rPr>
        <w:t xml:space="preserve"> serum / (2.5 x 10)</w:t>
      </w:r>
    </w:p>
    <w:p w14:paraId="604795AA" w14:textId="3D69EC6C" w:rsidR="00D640DD" w:rsidRDefault="00D60FEF" w:rsidP="00A111E9">
      <w:pPr>
        <w:rPr>
          <w:lang w:bidi="ar-SA"/>
        </w:rPr>
      </w:pPr>
      <w:r>
        <w:rPr>
          <w:lang w:bidi="ar-SA"/>
        </w:rPr>
        <w:tab/>
      </w:r>
      <w:r>
        <w:rPr>
          <w:lang w:bidi="ar-SA"/>
        </w:rPr>
        <w:tab/>
        <w:t>= 4040 ng/mL</w:t>
      </w:r>
      <w:r w:rsidR="00DA0414">
        <w:rPr>
          <w:lang w:bidi="ar-SA"/>
        </w:rPr>
        <w:t xml:space="preserve"> serum</w:t>
      </w:r>
      <w:r w:rsidR="00D640DD">
        <w:rPr>
          <w:lang w:bidi="ar-SA"/>
        </w:rPr>
        <w:t xml:space="preserve"> / 25</w:t>
      </w:r>
    </w:p>
    <w:p w14:paraId="0E02193B" w14:textId="73FEDC45" w:rsidR="00D640DD" w:rsidRDefault="00D60FEF" w:rsidP="00A111E9">
      <w:pPr>
        <w:rPr>
          <w:lang w:bidi="ar-SA"/>
        </w:rPr>
      </w:pPr>
      <w:r>
        <w:rPr>
          <w:lang w:bidi="ar-SA"/>
        </w:rPr>
        <w:tab/>
      </w:r>
      <w:r>
        <w:rPr>
          <w:lang w:bidi="ar-SA"/>
        </w:rPr>
        <w:tab/>
        <w:t>= 162 ng/mL</w:t>
      </w:r>
      <w:r w:rsidR="00D640DD">
        <w:rPr>
          <w:lang w:bidi="ar-SA"/>
        </w:rPr>
        <w:t xml:space="preserve"> serum</w:t>
      </w:r>
    </w:p>
    <w:p w14:paraId="11E56A70" w14:textId="12E342A2" w:rsidR="004235A6" w:rsidRDefault="004235A6" w:rsidP="00A111E9">
      <w:pPr>
        <w:rPr>
          <w:lang w:bidi="ar-SA"/>
        </w:rPr>
      </w:pPr>
      <w:r>
        <w:rPr>
          <w:lang w:bidi="ar-SA"/>
        </w:rPr>
        <w:tab/>
      </w:r>
    </w:p>
    <w:p w14:paraId="77FFBEF8" w14:textId="29483C70" w:rsidR="004235A6" w:rsidRDefault="004235A6" w:rsidP="00A111E9">
      <w:pPr>
        <w:rPr>
          <w:lang w:bidi="ar-SA"/>
        </w:rPr>
      </w:pPr>
      <w:r>
        <w:rPr>
          <w:lang w:bidi="ar-SA"/>
        </w:rPr>
        <w:t>The DNEL f</w:t>
      </w:r>
      <w:r w:rsidR="004E1F92">
        <w:rPr>
          <w:lang w:bidi="ar-SA"/>
        </w:rPr>
        <w:t>or reproductive toxicity of PFOS</w:t>
      </w:r>
      <w:r>
        <w:rPr>
          <w:lang w:bidi="ar-SA"/>
        </w:rPr>
        <w:t xml:space="preserve"> to the general population was:</w:t>
      </w:r>
      <w:r>
        <w:rPr>
          <w:lang w:bidi="ar-SA"/>
        </w:rPr>
        <w:br/>
      </w:r>
      <w:r>
        <w:rPr>
          <w:lang w:bidi="ar-SA"/>
        </w:rPr>
        <w:br/>
        <w:t>DNEL</w:t>
      </w:r>
      <w:r>
        <w:rPr>
          <w:lang w:bidi="ar-SA"/>
        </w:rPr>
        <w:tab/>
        <w:t>= POD / (inter</w:t>
      </w:r>
      <w:r w:rsidR="000203C4">
        <w:rPr>
          <w:lang w:bidi="ar-SA"/>
        </w:rPr>
        <w:t>species</w:t>
      </w:r>
      <w:r>
        <w:rPr>
          <w:lang w:bidi="ar-SA"/>
        </w:rPr>
        <w:t xml:space="preserve"> AF x </w:t>
      </w:r>
      <w:r w:rsidR="005F08BD">
        <w:rPr>
          <w:lang w:bidi="ar-SA"/>
        </w:rPr>
        <w:t>intra</w:t>
      </w:r>
      <w:r w:rsidR="00032CF6">
        <w:rPr>
          <w:lang w:bidi="ar-SA"/>
        </w:rPr>
        <w:t>species</w:t>
      </w:r>
      <w:r w:rsidR="005F08BD">
        <w:rPr>
          <w:lang w:bidi="ar-SA"/>
        </w:rPr>
        <w:t xml:space="preserve"> AF)</w:t>
      </w:r>
    </w:p>
    <w:p w14:paraId="2F5CADB4" w14:textId="05213226" w:rsidR="00D640DD" w:rsidRDefault="005F08BD" w:rsidP="00A111E9">
      <w:pPr>
        <w:rPr>
          <w:lang w:bidi="ar-SA"/>
        </w:rPr>
      </w:pPr>
      <w:r>
        <w:rPr>
          <w:lang w:bidi="ar-SA"/>
        </w:rPr>
        <w:tab/>
      </w:r>
      <w:r>
        <w:rPr>
          <w:lang w:bidi="ar-SA"/>
        </w:rPr>
        <w:tab/>
      </w:r>
      <w:r w:rsidR="00D640DD">
        <w:rPr>
          <w:lang w:bidi="ar-SA"/>
        </w:rPr>
        <w:t>= 4900 ng/m</w:t>
      </w:r>
      <w:r w:rsidR="00D60FEF">
        <w:rPr>
          <w:lang w:bidi="ar-SA"/>
        </w:rPr>
        <w:t>L</w:t>
      </w:r>
      <w:r w:rsidR="00D640DD">
        <w:rPr>
          <w:lang w:bidi="ar-SA"/>
        </w:rPr>
        <w:t xml:space="preserve"> serum / (2.5 x 10)</w:t>
      </w:r>
    </w:p>
    <w:p w14:paraId="11809E85" w14:textId="1724D51F" w:rsidR="00D640DD" w:rsidRDefault="00D60FEF" w:rsidP="00A111E9">
      <w:pPr>
        <w:rPr>
          <w:lang w:bidi="ar-SA"/>
        </w:rPr>
      </w:pPr>
      <w:r>
        <w:rPr>
          <w:lang w:bidi="ar-SA"/>
        </w:rPr>
        <w:tab/>
      </w:r>
      <w:r>
        <w:rPr>
          <w:lang w:bidi="ar-SA"/>
        </w:rPr>
        <w:tab/>
        <w:t>= 4900 ng/mL</w:t>
      </w:r>
      <w:r w:rsidR="00D640DD">
        <w:rPr>
          <w:lang w:bidi="ar-SA"/>
        </w:rPr>
        <w:t xml:space="preserve"> </w:t>
      </w:r>
      <w:r w:rsidR="00DA0414">
        <w:rPr>
          <w:lang w:bidi="ar-SA"/>
        </w:rPr>
        <w:t xml:space="preserve">serum </w:t>
      </w:r>
      <w:r w:rsidR="00D640DD">
        <w:rPr>
          <w:lang w:bidi="ar-SA"/>
        </w:rPr>
        <w:t>/ 25</w:t>
      </w:r>
    </w:p>
    <w:p w14:paraId="0E4E1CC7" w14:textId="210B7A0B" w:rsidR="00D640DD" w:rsidRDefault="00D640DD" w:rsidP="00A111E9">
      <w:pPr>
        <w:rPr>
          <w:lang w:bidi="ar-SA"/>
        </w:rPr>
      </w:pPr>
      <w:r>
        <w:rPr>
          <w:lang w:bidi="ar-SA"/>
        </w:rPr>
        <w:tab/>
      </w:r>
      <w:r>
        <w:rPr>
          <w:lang w:bidi="ar-SA"/>
        </w:rPr>
        <w:tab/>
        <w:t>= 196 ng/m</w:t>
      </w:r>
      <w:r w:rsidR="00D60FEF">
        <w:rPr>
          <w:lang w:bidi="ar-SA"/>
        </w:rPr>
        <w:t xml:space="preserve">L </w:t>
      </w:r>
      <w:r>
        <w:rPr>
          <w:lang w:bidi="ar-SA"/>
        </w:rPr>
        <w:t>serum</w:t>
      </w:r>
    </w:p>
    <w:p w14:paraId="2717E021" w14:textId="49A653EF" w:rsidR="000328C0" w:rsidRDefault="000328C0">
      <w:pPr>
        <w:widowControl/>
        <w:rPr>
          <w:lang w:bidi="ar-SA"/>
        </w:rPr>
      </w:pPr>
      <w:r>
        <w:rPr>
          <w:lang w:bidi="ar-SA"/>
        </w:rPr>
        <w:br w:type="page"/>
      </w:r>
    </w:p>
    <w:p w14:paraId="76F27CC6" w14:textId="15692C71" w:rsidR="00657E1E" w:rsidRDefault="00657E1E" w:rsidP="00A111E9">
      <w:pPr>
        <w:rPr>
          <w:lang w:bidi="ar-SA"/>
        </w:rPr>
      </w:pPr>
      <w:r>
        <w:rPr>
          <w:lang w:bidi="ar-SA"/>
        </w:rPr>
        <w:lastRenderedPageBreak/>
        <w:t>The DNEL for</w:t>
      </w:r>
      <w:r w:rsidR="007B1633">
        <w:rPr>
          <w:lang w:bidi="ar-SA"/>
        </w:rPr>
        <w:t xml:space="preserve"> other effects, specifically </w:t>
      </w:r>
      <w:r w:rsidR="00D640DD">
        <w:rPr>
          <w:lang w:bidi="ar-SA"/>
        </w:rPr>
        <w:t>immunotoxicity</w:t>
      </w:r>
      <w:r w:rsidR="004E1F92">
        <w:rPr>
          <w:lang w:bidi="ar-SA"/>
        </w:rPr>
        <w:t>, of PFOS</w:t>
      </w:r>
      <w:r>
        <w:rPr>
          <w:lang w:bidi="ar-SA"/>
        </w:rPr>
        <w:t xml:space="preserve"> to the general population was:</w:t>
      </w:r>
      <w:r>
        <w:rPr>
          <w:lang w:bidi="ar-SA"/>
        </w:rPr>
        <w:br/>
      </w:r>
      <w:r>
        <w:rPr>
          <w:lang w:bidi="ar-SA"/>
        </w:rPr>
        <w:br/>
        <w:t>DNEL</w:t>
      </w:r>
      <w:r>
        <w:rPr>
          <w:lang w:bidi="ar-SA"/>
        </w:rPr>
        <w:tab/>
        <w:t xml:space="preserve">= POD / </w:t>
      </w:r>
      <w:r w:rsidR="00D640DD">
        <w:rPr>
          <w:lang w:bidi="ar-SA"/>
        </w:rPr>
        <w:t>(exposure duration</w:t>
      </w:r>
      <w:r>
        <w:rPr>
          <w:lang w:bidi="ar-SA"/>
        </w:rPr>
        <w:t xml:space="preserve"> AF x </w:t>
      </w:r>
      <w:r w:rsidR="00D640DD">
        <w:rPr>
          <w:lang w:bidi="ar-SA"/>
        </w:rPr>
        <w:t>i</w:t>
      </w:r>
      <w:r>
        <w:rPr>
          <w:lang w:bidi="ar-SA"/>
        </w:rPr>
        <w:t>nter</w:t>
      </w:r>
      <w:r w:rsidR="000203C4">
        <w:rPr>
          <w:lang w:bidi="ar-SA"/>
        </w:rPr>
        <w:t>species</w:t>
      </w:r>
      <w:r>
        <w:rPr>
          <w:lang w:bidi="ar-SA"/>
        </w:rPr>
        <w:t xml:space="preserve"> AF x intra</w:t>
      </w:r>
      <w:r w:rsidR="00032CF6">
        <w:rPr>
          <w:lang w:bidi="ar-SA"/>
        </w:rPr>
        <w:t>species</w:t>
      </w:r>
      <w:r>
        <w:rPr>
          <w:lang w:bidi="ar-SA"/>
        </w:rPr>
        <w:t xml:space="preserve"> AF)</w:t>
      </w:r>
    </w:p>
    <w:p w14:paraId="08751166" w14:textId="2396D495" w:rsidR="00403B8C" w:rsidRDefault="00D60FEF" w:rsidP="00A111E9">
      <w:pPr>
        <w:rPr>
          <w:lang w:bidi="ar-SA"/>
        </w:rPr>
      </w:pPr>
      <w:r>
        <w:rPr>
          <w:lang w:bidi="ar-SA"/>
        </w:rPr>
        <w:tab/>
      </w:r>
      <w:r>
        <w:rPr>
          <w:lang w:bidi="ar-SA"/>
        </w:rPr>
        <w:tab/>
        <w:t>= 17.8 ng/mL</w:t>
      </w:r>
      <w:r w:rsidR="00D640DD">
        <w:rPr>
          <w:lang w:bidi="ar-SA"/>
        </w:rPr>
        <w:t xml:space="preserve"> serum / (6 </w:t>
      </w:r>
      <w:r w:rsidR="00DA0414">
        <w:rPr>
          <w:lang w:bidi="ar-SA"/>
        </w:rPr>
        <w:t>x 2.5 x 10)</w:t>
      </w:r>
    </w:p>
    <w:p w14:paraId="21EE7451" w14:textId="11125609" w:rsidR="00DA0414" w:rsidRDefault="00DA0414" w:rsidP="00A111E9">
      <w:pPr>
        <w:rPr>
          <w:lang w:bidi="ar-SA"/>
        </w:rPr>
      </w:pPr>
      <w:r>
        <w:rPr>
          <w:lang w:bidi="ar-SA"/>
        </w:rPr>
        <w:tab/>
      </w:r>
      <w:r>
        <w:rPr>
          <w:lang w:bidi="ar-SA"/>
        </w:rPr>
        <w:tab/>
        <w:t>= 17.8 ng/m</w:t>
      </w:r>
      <w:r w:rsidR="00D60FEF">
        <w:rPr>
          <w:lang w:bidi="ar-SA"/>
        </w:rPr>
        <w:t>L</w:t>
      </w:r>
      <w:r>
        <w:rPr>
          <w:lang w:bidi="ar-SA"/>
        </w:rPr>
        <w:t xml:space="preserve"> serum / 150</w:t>
      </w:r>
    </w:p>
    <w:p w14:paraId="4BE5737B" w14:textId="00E3369A" w:rsidR="00DA0414" w:rsidRPr="007141BB" w:rsidRDefault="00DA0414" w:rsidP="00A111E9">
      <w:pPr>
        <w:rPr>
          <w:b/>
          <w:lang w:bidi="ar-SA"/>
        </w:rPr>
      </w:pPr>
      <w:r>
        <w:rPr>
          <w:lang w:bidi="ar-SA"/>
        </w:rPr>
        <w:tab/>
      </w:r>
      <w:r>
        <w:rPr>
          <w:lang w:bidi="ar-SA"/>
        </w:rPr>
        <w:tab/>
      </w:r>
      <w:r w:rsidR="00D60FEF">
        <w:rPr>
          <w:b/>
          <w:lang w:bidi="ar-SA"/>
        </w:rPr>
        <w:t>= 0.12 ng/mL</w:t>
      </w:r>
      <w:r w:rsidRPr="007141BB">
        <w:rPr>
          <w:b/>
          <w:lang w:bidi="ar-SA"/>
        </w:rPr>
        <w:t xml:space="preserve"> serum</w:t>
      </w:r>
    </w:p>
    <w:p w14:paraId="372ADCB3" w14:textId="325A5B5E" w:rsidR="004A3EED" w:rsidRPr="00565856" w:rsidRDefault="000328C0" w:rsidP="005F1486">
      <w:pPr>
        <w:pStyle w:val="Heading4"/>
      </w:pPr>
      <w:r>
        <w:t>D</w:t>
      </w:r>
      <w:r w:rsidR="004A3EED" w:rsidRPr="00565856">
        <w:t>anish EPA, 2015</w:t>
      </w:r>
    </w:p>
    <w:p w14:paraId="7582CAB2" w14:textId="7EDAB347" w:rsidR="004A3EED" w:rsidRDefault="004A3EED" w:rsidP="00A111E9">
      <w:pPr>
        <w:rPr>
          <w:lang w:bidi="ar-SA"/>
        </w:rPr>
      </w:pPr>
      <w:r>
        <w:rPr>
          <w:lang w:bidi="ar-SA"/>
        </w:rPr>
        <w:t>The Danish EPA eval</w:t>
      </w:r>
      <w:r w:rsidR="004E1F92">
        <w:rPr>
          <w:lang w:bidi="ar-SA"/>
        </w:rPr>
        <w:t xml:space="preserve">uated the </w:t>
      </w:r>
      <w:r w:rsidR="00C95D87">
        <w:rPr>
          <w:lang w:bidi="ar-SA"/>
        </w:rPr>
        <w:t xml:space="preserve">human </w:t>
      </w:r>
      <w:r w:rsidR="004E1F92">
        <w:rPr>
          <w:lang w:bidi="ar-SA"/>
        </w:rPr>
        <w:t>health hazards of PFOS</w:t>
      </w:r>
      <w:r>
        <w:rPr>
          <w:lang w:bidi="ar-SA"/>
        </w:rPr>
        <w:t xml:space="preserve"> and two related perfluoroalkylated substances, </w:t>
      </w:r>
      <w:r w:rsidR="004E1F92">
        <w:rPr>
          <w:lang w:bidi="ar-SA"/>
        </w:rPr>
        <w:t>PFOA</w:t>
      </w:r>
      <w:r>
        <w:rPr>
          <w:lang w:bidi="ar-SA"/>
        </w:rPr>
        <w:t xml:space="preserve"> and perfluorooctanesulfonamide (PFOSA), TDIs</w:t>
      </w:r>
      <w:r w:rsidR="00780793">
        <w:rPr>
          <w:lang w:bidi="ar-SA"/>
        </w:rPr>
        <w:t xml:space="preserve"> were established</w:t>
      </w:r>
      <w:r w:rsidR="0077496C">
        <w:rPr>
          <w:lang w:bidi="ar-SA"/>
        </w:rPr>
        <w:t xml:space="preserve"> for PFOS and PFOA</w:t>
      </w:r>
      <w:r>
        <w:rPr>
          <w:lang w:bidi="ar-SA"/>
        </w:rPr>
        <w:t>, and health-based quality criteria in drinking water, ground water and soil</w:t>
      </w:r>
      <w:r w:rsidR="00780793">
        <w:rPr>
          <w:lang w:bidi="ar-SA"/>
        </w:rPr>
        <w:t xml:space="preserve"> were</w:t>
      </w:r>
      <w:r w:rsidR="00A2685F">
        <w:rPr>
          <w:lang w:bidi="ar-SA"/>
        </w:rPr>
        <w:t xml:space="preserve"> also</w:t>
      </w:r>
      <w:r w:rsidR="00780793">
        <w:rPr>
          <w:lang w:bidi="ar-SA"/>
        </w:rPr>
        <w:t xml:space="preserve"> proposed</w:t>
      </w:r>
      <w:r>
        <w:rPr>
          <w:lang w:bidi="ar-SA"/>
        </w:rPr>
        <w:t>.</w:t>
      </w:r>
    </w:p>
    <w:p w14:paraId="35A70E1F" w14:textId="77777777" w:rsidR="004A3EED" w:rsidRDefault="004A3EED" w:rsidP="00A111E9">
      <w:pPr>
        <w:rPr>
          <w:lang w:bidi="ar-SA"/>
        </w:rPr>
      </w:pPr>
    </w:p>
    <w:p w14:paraId="687B053E" w14:textId="5A6E2110" w:rsidR="00903811" w:rsidRDefault="004E1F92" w:rsidP="00A111E9">
      <w:pPr>
        <w:rPr>
          <w:lang w:bidi="ar-SA"/>
        </w:rPr>
      </w:pPr>
      <w:r>
        <w:rPr>
          <w:lang w:bidi="ar-SA"/>
        </w:rPr>
        <w:t>To establish a TDI for PFOS</w:t>
      </w:r>
      <w:r w:rsidR="004A3EED">
        <w:rPr>
          <w:lang w:bidi="ar-SA"/>
        </w:rPr>
        <w:t xml:space="preserve">, </w:t>
      </w:r>
      <w:r w:rsidR="00A2685F">
        <w:rPr>
          <w:lang w:bidi="ar-SA"/>
        </w:rPr>
        <w:t xml:space="preserve">the Danish EPA </w:t>
      </w:r>
      <w:r w:rsidR="004A3EED">
        <w:rPr>
          <w:lang w:bidi="ar-SA"/>
        </w:rPr>
        <w:t xml:space="preserve">used </w:t>
      </w:r>
      <w:r w:rsidR="00416451">
        <w:rPr>
          <w:lang w:bidi="ar-SA"/>
        </w:rPr>
        <w:t>a</w:t>
      </w:r>
      <w:r w:rsidR="004A3EED">
        <w:rPr>
          <w:lang w:bidi="ar-SA"/>
        </w:rPr>
        <w:t xml:space="preserve"> </w:t>
      </w:r>
      <w:r w:rsidR="00903811">
        <w:rPr>
          <w:lang w:bidi="ar-SA"/>
        </w:rPr>
        <w:t>BMDL</w:t>
      </w:r>
      <w:r w:rsidR="00903811" w:rsidRPr="00903811">
        <w:rPr>
          <w:vertAlign w:val="subscript"/>
          <w:lang w:bidi="ar-SA"/>
        </w:rPr>
        <w:t>10</w:t>
      </w:r>
      <w:r w:rsidR="00C70DD4">
        <w:rPr>
          <w:rStyle w:val="FootnoteReference"/>
          <w:lang w:bidi="ar-SA"/>
        </w:rPr>
        <w:footnoteReference w:id="6"/>
      </w:r>
      <w:r w:rsidR="00903811">
        <w:rPr>
          <w:lang w:bidi="ar-SA"/>
        </w:rPr>
        <w:t xml:space="preserve"> value of 0.033 mg/kg bw/day calculated by the US EPA</w:t>
      </w:r>
      <w:r w:rsidR="00416451">
        <w:rPr>
          <w:lang w:bidi="ar-SA"/>
        </w:rPr>
        <w:t xml:space="preserve"> (2014)</w:t>
      </w:r>
      <w:r w:rsidR="00903811">
        <w:rPr>
          <w:lang w:bidi="ar-SA"/>
        </w:rPr>
        <w:t xml:space="preserve"> for hepatotoxicity in a chronic toxicity/carcinogenicity study in rats</w:t>
      </w:r>
      <w:r w:rsidR="0077496C">
        <w:rPr>
          <w:lang w:bidi="ar-SA"/>
        </w:rPr>
        <w:t xml:space="preserve"> (Thomford 2002/Butenhoff </w:t>
      </w:r>
      <w:r w:rsidR="00180A32" w:rsidRPr="00180A32">
        <w:rPr>
          <w:i/>
          <w:lang w:bidi="ar-SA"/>
        </w:rPr>
        <w:t xml:space="preserve">et al. </w:t>
      </w:r>
      <w:r w:rsidR="00F22DA6">
        <w:rPr>
          <w:lang w:bidi="ar-SA"/>
        </w:rPr>
        <w:t xml:space="preserve"> </w:t>
      </w:r>
      <w:r w:rsidR="0077496C">
        <w:rPr>
          <w:lang w:bidi="ar-SA"/>
        </w:rPr>
        <w:t>2012)</w:t>
      </w:r>
      <w:r>
        <w:rPr>
          <w:lang w:bidi="ar-SA"/>
        </w:rPr>
        <w:t>.</w:t>
      </w:r>
    </w:p>
    <w:p w14:paraId="56FB8673" w14:textId="77777777" w:rsidR="00903811" w:rsidRDefault="00903811" w:rsidP="00A111E9">
      <w:pPr>
        <w:rPr>
          <w:lang w:bidi="ar-SA"/>
        </w:rPr>
      </w:pPr>
    </w:p>
    <w:p w14:paraId="06EF4B29" w14:textId="3AE09146" w:rsidR="00903811" w:rsidRDefault="00416451" w:rsidP="00A111E9">
      <w:pPr>
        <w:rPr>
          <w:lang w:bidi="ar-SA"/>
        </w:rPr>
      </w:pPr>
      <w:r>
        <w:rPr>
          <w:lang w:bidi="ar-SA"/>
        </w:rPr>
        <w:t>An uncertainty factor</w:t>
      </w:r>
      <w:r w:rsidR="004A1440">
        <w:rPr>
          <w:lang w:bidi="ar-SA"/>
        </w:rPr>
        <w:t xml:space="preserve"> (UF)</w:t>
      </w:r>
      <w:r>
        <w:rPr>
          <w:lang w:bidi="ar-SA"/>
        </w:rPr>
        <w:t xml:space="preserve"> of 10 was applied to the BMDL</w:t>
      </w:r>
      <w:r w:rsidRPr="00416451">
        <w:rPr>
          <w:vertAlign w:val="subscript"/>
          <w:lang w:bidi="ar-SA"/>
        </w:rPr>
        <w:t>10</w:t>
      </w:r>
      <w:r>
        <w:rPr>
          <w:lang w:bidi="ar-SA"/>
        </w:rPr>
        <w:t xml:space="preserve"> to account for intra</w:t>
      </w:r>
      <w:r w:rsidR="00032CF6">
        <w:rPr>
          <w:lang w:bidi="ar-SA"/>
        </w:rPr>
        <w:t>species</w:t>
      </w:r>
      <w:r>
        <w:rPr>
          <w:lang w:bidi="ar-SA"/>
        </w:rPr>
        <w:t xml:space="preserve"> differences. For inter</w:t>
      </w:r>
      <w:r w:rsidR="000203C4">
        <w:rPr>
          <w:lang w:bidi="ar-SA"/>
        </w:rPr>
        <w:t>species</w:t>
      </w:r>
      <w:r>
        <w:rPr>
          <w:lang w:bidi="ar-SA"/>
        </w:rPr>
        <w:t xml:space="preserve"> differences, the </w:t>
      </w:r>
      <w:r w:rsidR="004A1440">
        <w:rPr>
          <w:lang w:bidi="ar-SA"/>
        </w:rPr>
        <w:t>UF</w:t>
      </w:r>
      <w:r>
        <w:rPr>
          <w:lang w:bidi="ar-SA"/>
        </w:rPr>
        <w:t xml:space="preserve"> consisted of a factor of 3 for possible differences in </w:t>
      </w:r>
      <w:r w:rsidR="00BE205C">
        <w:rPr>
          <w:lang w:bidi="ar-SA"/>
        </w:rPr>
        <w:t>pharmacodynamics</w:t>
      </w:r>
      <w:r>
        <w:rPr>
          <w:lang w:bidi="ar-SA"/>
        </w:rPr>
        <w:t xml:space="preserve">, plus a factor </w:t>
      </w:r>
      <w:r w:rsidR="00903811">
        <w:rPr>
          <w:lang w:bidi="ar-SA"/>
        </w:rPr>
        <w:t xml:space="preserve">of 41 </w:t>
      </w:r>
      <w:r>
        <w:rPr>
          <w:lang w:bidi="ar-SA"/>
        </w:rPr>
        <w:t xml:space="preserve">for pharmacokinetic differences. The pharmacokinetic uncertainty factor was calculated based on the ratio between the clearance rate </w:t>
      </w:r>
      <w:r w:rsidR="00D25FA1">
        <w:rPr>
          <w:lang w:bidi="ar-SA"/>
        </w:rPr>
        <w:t xml:space="preserve">(CL) </w:t>
      </w:r>
      <w:r>
        <w:rPr>
          <w:lang w:bidi="ar-SA"/>
        </w:rPr>
        <w:t>of PFOS in the rat and the human, using the following equation:</w:t>
      </w:r>
    </w:p>
    <w:p w14:paraId="1F516C19" w14:textId="77777777" w:rsidR="007108D4" w:rsidRDefault="007108D4" w:rsidP="00A111E9">
      <w:pPr>
        <w:rPr>
          <w:lang w:bidi="ar-SA"/>
        </w:rPr>
      </w:pPr>
    </w:p>
    <w:p w14:paraId="732A81E8" w14:textId="344A9911" w:rsidR="00416451" w:rsidRDefault="00416451" w:rsidP="00A111E9">
      <w:pPr>
        <w:rPr>
          <w:lang w:bidi="ar-SA"/>
        </w:rPr>
      </w:pPr>
      <w:r>
        <w:rPr>
          <w:lang w:bidi="ar-SA"/>
        </w:rPr>
        <w:t xml:space="preserve">CL </w:t>
      </w:r>
      <w:r>
        <w:rPr>
          <w:lang w:bidi="ar-SA"/>
        </w:rPr>
        <w:tab/>
      </w:r>
      <w:r w:rsidR="007108D4">
        <w:rPr>
          <w:lang w:bidi="ar-SA"/>
        </w:rPr>
        <w:tab/>
      </w:r>
      <w:r>
        <w:rPr>
          <w:lang w:bidi="ar-SA"/>
        </w:rPr>
        <w:t>= Vd x (ln 2 / t</w:t>
      </w:r>
      <w:r w:rsidRPr="00416451">
        <w:rPr>
          <w:vertAlign w:val="subscript"/>
          <w:lang w:bidi="ar-SA"/>
        </w:rPr>
        <w:t>1/2</w:t>
      </w:r>
      <w:r>
        <w:rPr>
          <w:lang w:bidi="ar-SA"/>
        </w:rPr>
        <w:t>)</w:t>
      </w:r>
    </w:p>
    <w:p w14:paraId="4C0D81D8" w14:textId="77777777" w:rsidR="00416451" w:rsidRDefault="00416451" w:rsidP="00A111E9">
      <w:pPr>
        <w:rPr>
          <w:lang w:bidi="ar-SA"/>
        </w:rPr>
      </w:pPr>
    </w:p>
    <w:p w14:paraId="4E686F5D" w14:textId="77777777" w:rsidR="00416451" w:rsidRDefault="00416451" w:rsidP="00A111E9">
      <w:pPr>
        <w:rPr>
          <w:lang w:bidi="ar-SA"/>
        </w:rPr>
      </w:pPr>
      <w:r>
        <w:rPr>
          <w:lang w:bidi="ar-SA"/>
        </w:rPr>
        <w:t>Where:</w:t>
      </w:r>
    </w:p>
    <w:p w14:paraId="6A544486" w14:textId="77777777" w:rsidR="00416451" w:rsidRDefault="00416451" w:rsidP="00A111E9">
      <w:pPr>
        <w:rPr>
          <w:lang w:bidi="ar-SA"/>
        </w:rPr>
      </w:pPr>
    </w:p>
    <w:p w14:paraId="6EDD2F18" w14:textId="2222674E" w:rsidR="00416451" w:rsidRDefault="00416451" w:rsidP="00A111E9">
      <w:pPr>
        <w:ind w:firstLine="567"/>
        <w:rPr>
          <w:lang w:bidi="ar-SA"/>
        </w:rPr>
      </w:pPr>
      <w:r>
        <w:rPr>
          <w:lang w:bidi="ar-SA"/>
        </w:rPr>
        <w:t>Vd (volume of distribution) = 0.23 L/kg</w:t>
      </w:r>
    </w:p>
    <w:p w14:paraId="4D6E78F0" w14:textId="29436AC0" w:rsidR="00416451" w:rsidRDefault="00416451" w:rsidP="00A111E9">
      <w:pPr>
        <w:ind w:firstLine="567"/>
        <w:rPr>
          <w:lang w:bidi="ar-SA"/>
        </w:rPr>
      </w:pPr>
      <w:r>
        <w:rPr>
          <w:lang w:bidi="ar-SA"/>
        </w:rPr>
        <w:t>Ln 2 = 0.693</w:t>
      </w:r>
    </w:p>
    <w:p w14:paraId="0C4AB661" w14:textId="46BBCF88" w:rsidR="00416451" w:rsidRDefault="00AC4F2A" w:rsidP="00A111E9">
      <w:pPr>
        <w:ind w:firstLine="567"/>
        <w:rPr>
          <w:lang w:bidi="ar-SA"/>
        </w:rPr>
      </w:pPr>
      <w:r w:rsidRPr="00AC4F2A">
        <w:rPr>
          <w:lang w:bidi="ar-SA"/>
        </w:rPr>
        <w:t>t</w:t>
      </w:r>
      <w:r w:rsidR="00416451" w:rsidRPr="00416451">
        <w:rPr>
          <w:vertAlign w:val="subscript"/>
          <w:lang w:bidi="ar-SA"/>
        </w:rPr>
        <w:t>1/2</w:t>
      </w:r>
      <w:r w:rsidR="00416451">
        <w:rPr>
          <w:lang w:bidi="ar-SA"/>
        </w:rPr>
        <w:t xml:space="preserve"> (</w:t>
      </w:r>
      <w:r w:rsidR="00CD705F">
        <w:rPr>
          <w:lang w:bidi="ar-SA"/>
        </w:rPr>
        <w:t>half-life</w:t>
      </w:r>
      <w:r w:rsidR="00416451">
        <w:rPr>
          <w:lang w:bidi="ar-SA"/>
        </w:rPr>
        <w:t>) = 48 days for rats and 1971 days for humans</w:t>
      </w:r>
    </w:p>
    <w:p w14:paraId="11ACB8C0" w14:textId="77777777" w:rsidR="007108D4" w:rsidRDefault="007108D4" w:rsidP="00A111E9">
      <w:pPr>
        <w:rPr>
          <w:lang w:bidi="ar-SA"/>
        </w:rPr>
      </w:pPr>
    </w:p>
    <w:p w14:paraId="65E7E9A5" w14:textId="3AD83916" w:rsidR="00416451" w:rsidRDefault="00416451" w:rsidP="00A111E9">
      <w:pPr>
        <w:rPr>
          <w:lang w:bidi="ar-SA"/>
        </w:rPr>
      </w:pPr>
      <w:r>
        <w:rPr>
          <w:lang w:bidi="ar-SA"/>
        </w:rPr>
        <w:t>CL</w:t>
      </w:r>
      <w:r w:rsidRPr="007108D4">
        <w:rPr>
          <w:vertAlign w:val="subscript"/>
          <w:lang w:bidi="ar-SA"/>
        </w:rPr>
        <w:t>rat</w:t>
      </w:r>
      <w:r>
        <w:rPr>
          <w:lang w:bidi="ar-SA"/>
        </w:rPr>
        <w:t xml:space="preserve"> </w:t>
      </w:r>
      <w:r w:rsidR="007108D4">
        <w:rPr>
          <w:lang w:bidi="ar-SA"/>
        </w:rPr>
        <w:tab/>
      </w:r>
      <w:r w:rsidR="007108D4">
        <w:rPr>
          <w:lang w:bidi="ar-SA"/>
        </w:rPr>
        <w:tab/>
      </w:r>
      <w:r>
        <w:rPr>
          <w:lang w:bidi="ar-SA"/>
        </w:rPr>
        <w:t>= 0.23 L/kg x (0.693 / 48 days)</w:t>
      </w:r>
    </w:p>
    <w:p w14:paraId="49458AA0" w14:textId="2A386409" w:rsidR="007108D4" w:rsidRDefault="007108D4" w:rsidP="00A111E9">
      <w:pPr>
        <w:ind w:firstLine="567"/>
        <w:rPr>
          <w:lang w:bidi="ar-SA"/>
        </w:rPr>
      </w:pPr>
      <w:r>
        <w:rPr>
          <w:lang w:bidi="ar-SA"/>
        </w:rPr>
        <w:tab/>
        <w:t>= 0.23 L/kg x (0.0144)</w:t>
      </w:r>
    </w:p>
    <w:p w14:paraId="4D657789" w14:textId="5142DDB8" w:rsidR="007108D4" w:rsidRDefault="007108D4" w:rsidP="00A111E9">
      <w:pPr>
        <w:ind w:firstLine="567"/>
        <w:rPr>
          <w:lang w:bidi="ar-SA"/>
        </w:rPr>
      </w:pPr>
      <w:r>
        <w:rPr>
          <w:lang w:bidi="ar-SA"/>
        </w:rPr>
        <w:tab/>
        <w:t>= 0.0</w:t>
      </w:r>
      <w:r w:rsidR="00537B58">
        <w:rPr>
          <w:lang w:bidi="ar-SA"/>
        </w:rPr>
        <w:t>0</w:t>
      </w:r>
      <w:r>
        <w:rPr>
          <w:lang w:bidi="ar-SA"/>
        </w:rPr>
        <w:t>33 L/kg/day</w:t>
      </w:r>
    </w:p>
    <w:p w14:paraId="6B53F7F8" w14:textId="77777777" w:rsidR="007108D4" w:rsidRDefault="007108D4" w:rsidP="00A111E9">
      <w:pPr>
        <w:rPr>
          <w:lang w:bidi="ar-SA"/>
        </w:rPr>
      </w:pPr>
    </w:p>
    <w:p w14:paraId="11B9857C" w14:textId="4B2A31EC" w:rsidR="007108D4" w:rsidRDefault="007108D4" w:rsidP="00A111E9">
      <w:pPr>
        <w:rPr>
          <w:lang w:bidi="ar-SA"/>
        </w:rPr>
      </w:pPr>
      <w:r>
        <w:rPr>
          <w:lang w:bidi="ar-SA"/>
        </w:rPr>
        <w:t>CL</w:t>
      </w:r>
      <w:r w:rsidRPr="007108D4">
        <w:rPr>
          <w:vertAlign w:val="subscript"/>
          <w:lang w:bidi="ar-SA"/>
        </w:rPr>
        <w:t>human</w:t>
      </w:r>
      <w:r>
        <w:rPr>
          <w:lang w:bidi="ar-SA"/>
        </w:rPr>
        <w:tab/>
        <w:t>= 0.23 L/kg x (0.693 / 1971 days)</w:t>
      </w:r>
    </w:p>
    <w:p w14:paraId="1542A909" w14:textId="0F5CC4A1" w:rsidR="007108D4" w:rsidRDefault="007108D4" w:rsidP="00A111E9">
      <w:pPr>
        <w:ind w:firstLine="567"/>
        <w:rPr>
          <w:lang w:bidi="ar-SA"/>
        </w:rPr>
      </w:pPr>
      <w:r>
        <w:rPr>
          <w:lang w:bidi="ar-SA"/>
        </w:rPr>
        <w:tab/>
        <w:t>= 0.23 L/kg x (0.00035)</w:t>
      </w:r>
    </w:p>
    <w:p w14:paraId="3021A3B4" w14:textId="74F01EBD" w:rsidR="007108D4" w:rsidRDefault="007108D4" w:rsidP="00A111E9">
      <w:pPr>
        <w:ind w:firstLine="567"/>
        <w:rPr>
          <w:lang w:bidi="ar-SA"/>
        </w:rPr>
      </w:pPr>
      <w:r>
        <w:rPr>
          <w:lang w:bidi="ar-SA"/>
        </w:rPr>
        <w:tab/>
        <w:t>= 0.000081 L/kg/day</w:t>
      </w:r>
    </w:p>
    <w:p w14:paraId="5B53EDD1" w14:textId="77777777" w:rsidR="007108D4" w:rsidRDefault="007108D4" w:rsidP="00A111E9">
      <w:pPr>
        <w:rPr>
          <w:lang w:bidi="ar-SA"/>
        </w:rPr>
      </w:pPr>
    </w:p>
    <w:p w14:paraId="3DD75F4A" w14:textId="77601D20" w:rsidR="007108D4" w:rsidRDefault="007108D4" w:rsidP="00A111E9">
      <w:pPr>
        <w:rPr>
          <w:lang w:bidi="ar-SA"/>
        </w:rPr>
      </w:pPr>
      <w:r>
        <w:rPr>
          <w:lang w:bidi="ar-SA"/>
        </w:rPr>
        <w:t>The ratio between clearance in the rat and the human is therefore 41 (0.0</w:t>
      </w:r>
      <w:r w:rsidR="00537B58">
        <w:rPr>
          <w:lang w:bidi="ar-SA"/>
        </w:rPr>
        <w:t>0</w:t>
      </w:r>
      <w:r>
        <w:rPr>
          <w:lang w:bidi="ar-SA"/>
        </w:rPr>
        <w:t>33 L/kg/day / 0.000081 L/kg/day).</w:t>
      </w:r>
    </w:p>
    <w:p w14:paraId="2937E074" w14:textId="77777777" w:rsidR="007108D4" w:rsidRPr="00903811" w:rsidRDefault="007108D4" w:rsidP="00A111E9">
      <w:pPr>
        <w:ind w:firstLine="567"/>
        <w:rPr>
          <w:lang w:bidi="ar-SA"/>
        </w:rPr>
      </w:pPr>
    </w:p>
    <w:p w14:paraId="414A1489" w14:textId="7172492F" w:rsidR="00BC58F5" w:rsidRDefault="007108D4" w:rsidP="00A111E9">
      <w:pPr>
        <w:rPr>
          <w:lang w:bidi="ar-SA"/>
        </w:rPr>
      </w:pPr>
      <w:r>
        <w:rPr>
          <w:lang w:bidi="ar-SA"/>
        </w:rPr>
        <w:t>The TDI for PFOS was calculated as follows:</w:t>
      </w:r>
    </w:p>
    <w:p w14:paraId="1FED6617" w14:textId="77777777" w:rsidR="007108D4" w:rsidRDefault="007108D4" w:rsidP="00A111E9">
      <w:pPr>
        <w:rPr>
          <w:lang w:bidi="ar-SA"/>
        </w:rPr>
      </w:pPr>
    </w:p>
    <w:p w14:paraId="5DE180A5" w14:textId="002364B7" w:rsidR="007108D4" w:rsidRDefault="007108D4" w:rsidP="00A111E9">
      <w:pPr>
        <w:ind w:left="1134" w:hanging="1134"/>
        <w:rPr>
          <w:lang w:bidi="ar-SA"/>
        </w:rPr>
      </w:pPr>
      <w:r>
        <w:rPr>
          <w:lang w:bidi="ar-SA"/>
        </w:rPr>
        <w:t>TDI</w:t>
      </w:r>
      <w:r>
        <w:rPr>
          <w:lang w:bidi="ar-SA"/>
        </w:rPr>
        <w:tab/>
        <w:t>= POD / (UF intra</w:t>
      </w:r>
      <w:r w:rsidR="00032CF6">
        <w:rPr>
          <w:lang w:bidi="ar-SA"/>
        </w:rPr>
        <w:t>species</w:t>
      </w:r>
      <w:r>
        <w:rPr>
          <w:lang w:bidi="ar-SA"/>
        </w:rPr>
        <w:t xml:space="preserve"> toxicokinetics x UF intra</w:t>
      </w:r>
      <w:r w:rsidR="00032CF6">
        <w:rPr>
          <w:lang w:bidi="ar-SA"/>
        </w:rPr>
        <w:t>species</w:t>
      </w:r>
      <w:r>
        <w:rPr>
          <w:lang w:bidi="ar-SA"/>
        </w:rPr>
        <w:t xml:space="preserve"> pharmacodynamics x UF intra</w:t>
      </w:r>
      <w:r w:rsidR="00032CF6">
        <w:rPr>
          <w:lang w:bidi="ar-SA"/>
        </w:rPr>
        <w:t>species</w:t>
      </w:r>
      <w:r>
        <w:rPr>
          <w:lang w:bidi="ar-SA"/>
        </w:rPr>
        <w:t xml:space="preserve"> differences)</w:t>
      </w:r>
    </w:p>
    <w:p w14:paraId="77BF46DE" w14:textId="347D45BC" w:rsidR="007108D4" w:rsidRDefault="007108D4" w:rsidP="00A111E9">
      <w:pPr>
        <w:ind w:left="1134" w:hanging="1134"/>
        <w:rPr>
          <w:lang w:bidi="ar-SA"/>
        </w:rPr>
      </w:pPr>
      <w:r>
        <w:rPr>
          <w:lang w:bidi="ar-SA"/>
        </w:rPr>
        <w:tab/>
        <w:t>= 0.033 mg/kg bw/day / (41 x 3 x 10)</w:t>
      </w:r>
    </w:p>
    <w:p w14:paraId="5FB16BB1" w14:textId="4D88D846" w:rsidR="007108D4" w:rsidRDefault="007108D4" w:rsidP="00A111E9">
      <w:pPr>
        <w:ind w:left="1134" w:hanging="1134"/>
        <w:rPr>
          <w:lang w:bidi="ar-SA"/>
        </w:rPr>
      </w:pPr>
      <w:r>
        <w:rPr>
          <w:lang w:bidi="ar-SA"/>
        </w:rPr>
        <w:tab/>
        <w:t>= 0.033 mg/kg bw/day / 1230</w:t>
      </w:r>
    </w:p>
    <w:p w14:paraId="7215E897" w14:textId="763E6F51" w:rsidR="007108D4" w:rsidRPr="002A671B" w:rsidRDefault="007108D4" w:rsidP="00A111E9">
      <w:pPr>
        <w:ind w:left="1134" w:hanging="1134"/>
        <w:rPr>
          <w:b/>
          <w:lang w:bidi="ar-SA"/>
        </w:rPr>
      </w:pPr>
      <w:r>
        <w:rPr>
          <w:lang w:bidi="ar-SA"/>
        </w:rPr>
        <w:tab/>
      </w:r>
      <w:r w:rsidRPr="002A671B">
        <w:rPr>
          <w:b/>
          <w:lang w:bidi="ar-SA"/>
        </w:rPr>
        <w:t xml:space="preserve">= </w:t>
      </w:r>
      <w:r w:rsidR="002A671B" w:rsidRPr="002A671B">
        <w:rPr>
          <w:b/>
          <w:lang w:bidi="ar-SA"/>
        </w:rPr>
        <w:t>0.00003 mg/kg bw/day, or 30 ng/kg bw/day</w:t>
      </w:r>
    </w:p>
    <w:p w14:paraId="35987F46" w14:textId="470B6004" w:rsidR="007108D4" w:rsidRDefault="007108D4" w:rsidP="00A111E9">
      <w:pPr>
        <w:rPr>
          <w:lang w:bidi="ar-SA"/>
        </w:rPr>
      </w:pPr>
    </w:p>
    <w:p w14:paraId="4E800A80" w14:textId="310301D5" w:rsidR="00BC58F5" w:rsidRPr="007C0680" w:rsidRDefault="00BC58F5" w:rsidP="005F1486">
      <w:pPr>
        <w:pStyle w:val="Heading4"/>
        <w:rPr>
          <w:color w:val="4F81BD" w:themeColor="accent1"/>
        </w:rPr>
      </w:pPr>
      <w:r w:rsidRPr="001C47E9">
        <w:lastRenderedPageBreak/>
        <w:t>ATSDR</w:t>
      </w:r>
      <w:r w:rsidR="008C0831">
        <w:t>,</w:t>
      </w:r>
      <w:r w:rsidRPr="006867E7">
        <w:t xml:space="preserve"> 2015</w:t>
      </w:r>
    </w:p>
    <w:p w14:paraId="43FE3277" w14:textId="7B53CBED" w:rsidR="00BC58F5" w:rsidRDefault="00BC58F5" w:rsidP="00A111E9">
      <w:pPr>
        <w:rPr>
          <w:lang w:bidi="ar-SA"/>
        </w:rPr>
      </w:pPr>
      <w:r>
        <w:rPr>
          <w:lang w:bidi="ar-SA"/>
        </w:rPr>
        <w:t>The ATSDR published a draft toxicological profile for perfluoroalkyls in 2015. A Minimal Risk Level</w:t>
      </w:r>
      <w:r w:rsidR="00474122">
        <w:rPr>
          <w:rStyle w:val="FootnoteReference"/>
          <w:lang w:bidi="ar-SA"/>
        </w:rPr>
        <w:footnoteReference w:id="7"/>
      </w:r>
      <w:r>
        <w:rPr>
          <w:lang w:bidi="ar-SA"/>
        </w:rPr>
        <w:t xml:space="preserve"> (MRL) was calculated for PFO</w:t>
      </w:r>
      <w:r w:rsidR="00F14089">
        <w:rPr>
          <w:lang w:bidi="ar-SA"/>
        </w:rPr>
        <w:t>S</w:t>
      </w:r>
      <w:r>
        <w:rPr>
          <w:lang w:bidi="ar-SA"/>
        </w:rPr>
        <w:t xml:space="preserve">, </w:t>
      </w:r>
      <w:r w:rsidR="00AE05B0">
        <w:rPr>
          <w:lang w:bidi="ar-SA"/>
        </w:rPr>
        <w:t xml:space="preserve">based on findings of increased liver weight in the 26-week study in </w:t>
      </w:r>
      <w:r w:rsidR="00E5397E">
        <w:rPr>
          <w:lang w:bidi="ar-SA"/>
        </w:rPr>
        <w:t xml:space="preserve">cynomolgus </w:t>
      </w:r>
      <w:r w:rsidR="00AE05B0">
        <w:rPr>
          <w:lang w:bidi="ar-SA"/>
        </w:rPr>
        <w:t>monkeys</w:t>
      </w:r>
      <w:r w:rsidR="00AC4F2A">
        <w:rPr>
          <w:lang w:bidi="ar-SA"/>
        </w:rPr>
        <w:t xml:space="preserve"> (Seacat </w:t>
      </w:r>
      <w:r w:rsidR="00180A32" w:rsidRPr="00180A32">
        <w:rPr>
          <w:i/>
          <w:lang w:bidi="ar-SA"/>
        </w:rPr>
        <w:t xml:space="preserve">et al. </w:t>
      </w:r>
      <w:r w:rsidR="00F22DA6">
        <w:rPr>
          <w:lang w:bidi="ar-SA"/>
        </w:rPr>
        <w:t xml:space="preserve"> </w:t>
      </w:r>
      <w:r w:rsidR="00AC4F2A">
        <w:rPr>
          <w:lang w:bidi="ar-SA"/>
        </w:rPr>
        <w:t>2002)</w:t>
      </w:r>
      <w:r w:rsidR="00F14089">
        <w:rPr>
          <w:lang w:bidi="ar-SA"/>
        </w:rPr>
        <w:t>.</w:t>
      </w:r>
      <w:r w:rsidR="00AE05B0">
        <w:rPr>
          <w:lang w:bidi="ar-SA"/>
        </w:rPr>
        <w:t xml:space="preserve"> </w:t>
      </w:r>
      <w:r w:rsidR="00AB3549">
        <w:rPr>
          <w:lang w:bidi="ar-SA"/>
        </w:rPr>
        <w:t>The ATSDR considered that peroxisome proliferation via activation of</w:t>
      </w:r>
      <w:r w:rsidR="009C1383">
        <w:rPr>
          <w:lang w:bidi="ar-SA"/>
        </w:rPr>
        <w:t xml:space="preserve"> nuclear </w:t>
      </w:r>
      <w:r w:rsidR="00537B58">
        <w:rPr>
          <w:lang w:bidi="ar-SA"/>
        </w:rPr>
        <w:t>peroxisome proliferator activated receptor (</w:t>
      </w:r>
      <w:r w:rsidR="00AB3549">
        <w:rPr>
          <w:lang w:bidi="ar-SA"/>
        </w:rPr>
        <w:t>PPAR</w:t>
      </w:r>
      <w:r w:rsidR="00537B58">
        <w:rPr>
          <w:lang w:bidi="ar-SA"/>
        </w:rPr>
        <w:t xml:space="preserve">) </w:t>
      </w:r>
      <w:r w:rsidR="00AB3549">
        <w:rPr>
          <w:rFonts w:cs="Arial"/>
          <w:lang w:bidi="ar-SA"/>
        </w:rPr>
        <w:t>α</w:t>
      </w:r>
      <w:r w:rsidR="00AB3549">
        <w:rPr>
          <w:lang w:bidi="ar-SA"/>
        </w:rPr>
        <w:t xml:space="preserve"> is a major contributing factor to the effects of PFOS on the liver as well as some of the developmental effects. As nonhuman primates are less responsive to PPAR</w:t>
      </w:r>
      <w:r w:rsidR="00AB3549">
        <w:rPr>
          <w:rFonts w:cs="Arial"/>
          <w:lang w:bidi="ar-SA"/>
        </w:rPr>
        <w:t>α</w:t>
      </w:r>
      <w:r w:rsidR="00AB3549">
        <w:rPr>
          <w:lang w:bidi="ar-SA"/>
        </w:rPr>
        <w:t xml:space="preserve"> agonists (as with humans) than rodent</w:t>
      </w:r>
      <w:r w:rsidR="00AC4F2A">
        <w:rPr>
          <w:lang w:bidi="ar-SA"/>
        </w:rPr>
        <w:t>s, the ATSDR concluded that monkeys</w:t>
      </w:r>
      <w:r w:rsidR="00AB3549">
        <w:rPr>
          <w:lang w:bidi="ar-SA"/>
        </w:rPr>
        <w:t xml:space="preserve"> may be a more suitable model for human exposure to PFOS.</w:t>
      </w:r>
    </w:p>
    <w:p w14:paraId="73C7AED2" w14:textId="77777777" w:rsidR="00AB3549" w:rsidRDefault="00AB3549" w:rsidP="00A111E9">
      <w:pPr>
        <w:rPr>
          <w:lang w:bidi="ar-SA"/>
        </w:rPr>
      </w:pPr>
    </w:p>
    <w:p w14:paraId="2291F35B" w14:textId="44F6BB72" w:rsidR="009E6EF9" w:rsidRDefault="00544B02" w:rsidP="00A111E9">
      <w:pPr>
        <w:rPr>
          <w:lang w:bidi="ar-SA"/>
        </w:rPr>
      </w:pPr>
      <w:r>
        <w:rPr>
          <w:lang w:bidi="ar-SA"/>
        </w:rPr>
        <w:t>Due to the species differences in toxicokinetics of PFOS, serum concentrations were used as an internal dosimetric, based on the assumption that a serum concentration that produce</w:t>
      </w:r>
      <w:r w:rsidR="00AC4F2A">
        <w:rPr>
          <w:lang w:bidi="ar-SA"/>
        </w:rPr>
        <w:t>s</w:t>
      </w:r>
      <w:r>
        <w:rPr>
          <w:lang w:bidi="ar-SA"/>
        </w:rPr>
        <w:t xml:space="preserve"> an effect in monkeys would have a similar effect in humans.</w:t>
      </w:r>
    </w:p>
    <w:p w14:paraId="10EAE61F" w14:textId="77777777" w:rsidR="009E6EF9" w:rsidRDefault="009E6EF9" w:rsidP="00A111E9">
      <w:pPr>
        <w:rPr>
          <w:lang w:bidi="ar-SA"/>
        </w:rPr>
      </w:pPr>
    </w:p>
    <w:p w14:paraId="1E8AF87F" w14:textId="4881E393" w:rsidR="009E6EF9" w:rsidRDefault="009E6EF9" w:rsidP="00A111E9">
      <w:pPr>
        <w:rPr>
          <w:lang w:bidi="ar-SA"/>
        </w:rPr>
      </w:pPr>
      <w:r>
        <w:rPr>
          <w:lang w:bidi="ar-SA"/>
        </w:rPr>
        <w:t>Absolute and relative liver weight data were fit</w:t>
      </w:r>
      <w:r w:rsidR="008C0831">
        <w:rPr>
          <w:lang w:bidi="ar-SA"/>
        </w:rPr>
        <w:t>ted</w:t>
      </w:r>
      <w:r>
        <w:rPr>
          <w:lang w:bidi="ar-SA"/>
        </w:rPr>
        <w:t xml:space="preserve"> to all available continuous models in the US EPA’s BMDS</w:t>
      </w:r>
      <w:r>
        <w:rPr>
          <w:rStyle w:val="FootnoteReference"/>
          <w:lang w:bidi="ar-SA"/>
        </w:rPr>
        <w:footnoteReference w:id="8"/>
      </w:r>
      <w:r>
        <w:rPr>
          <w:lang w:bidi="ar-SA"/>
        </w:rPr>
        <w:t xml:space="preserve"> (version 2.4.0).</w:t>
      </w:r>
      <w:r w:rsidR="005500D2">
        <w:rPr>
          <w:lang w:bidi="ar-SA"/>
        </w:rPr>
        <w:t xml:space="preserve"> </w:t>
      </w:r>
      <w:r w:rsidR="00AC4F2A">
        <w:rPr>
          <w:lang w:bidi="ar-SA"/>
        </w:rPr>
        <w:t>B</w:t>
      </w:r>
      <w:r w:rsidR="005500D2">
        <w:rPr>
          <w:lang w:bidi="ar-SA"/>
        </w:rPr>
        <w:t>ecause body weights were also decreased, increased absolute liver weight was selected as the critical effect. Three benchmark responses (BMRs) were considered: 1 standard deviation from controls, 2 standard deviations from controls and a 10% increase in liver weight</w:t>
      </w:r>
      <w:r w:rsidR="001404D7">
        <w:rPr>
          <w:lang w:bidi="ar-SA"/>
        </w:rPr>
        <w:t xml:space="preserve">. </w:t>
      </w:r>
      <w:r>
        <w:rPr>
          <w:lang w:bidi="ar-SA"/>
        </w:rPr>
        <w:t>HEDs were calculated for each POD from the absolute and relative liver weights, assuming parameter values for humans of:</w:t>
      </w:r>
    </w:p>
    <w:p w14:paraId="0878814D" w14:textId="77777777" w:rsidR="009E6EF9" w:rsidRDefault="009E6EF9" w:rsidP="00A111E9">
      <w:pPr>
        <w:rPr>
          <w:lang w:bidi="ar-SA"/>
        </w:rPr>
      </w:pPr>
    </w:p>
    <w:p w14:paraId="546BF3AE" w14:textId="20F5EA8B" w:rsidR="009E6EF9" w:rsidRDefault="009E6EF9" w:rsidP="00A111E9">
      <w:pPr>
        <w:rPr>
          <w:rFonts w:cs="Arial"/>
          <w:lang w:bidi="ar-SA"/>
        </w:rPr>
      </w:pPr>
      <w:r>
        <w:rPr>
          <w:lang w:bidi="ar-SA"/>
        </w:rPr>
        <w:t>t</w:t>
      </w:r>
      <w:r w:rsidRPr="004809AD">
        <w:rPr>
          <w:rFonts w:cs="Arial"/>
          <w:vertAlign w:val="subscript"/>
          <w:lang w:bidi="ar-SA"/>
        </w:rPr>
        <w:t>½</w:t>
      </w:r>
      <w:r>
        <w:rPr>
          <w:rFonts w:cs="Arial"/>
          <w:lang w:bidi="ar-SA"/>
        </w:rPr>
        <w:t>= 2,000 days</w:t>
      </w:r>
    </w:p>
    <w:p w14:paraId="4C70485B" w14:textId="2458E8A3" w:rsidR="009E6EF9" w:rsidRDefault="009E6EF9" w:rsidP="00A111E9">
      <w:pPr>
        <w:rPr>
          <w:rFonts w:cs="Arial"/>
          <w:lang w:bidi="ar-SA"/>
        </w:rPr>
      </w:pPr>
      <w:r>
        <w:rPr>
          <w:rFonts w:cs="Arial"/>
          <w:lang w:bidi="ar-SA"/>
        </w:rPr>
        <w:t>Serum elimination rate constant (k</w:t>
      </w:r>
      <w:r w:rsidRPr="004809AD">
        <w:rPr>
          <w:rFonts w:cs="Arial"/>
          <w:vertAlign w:val="subscript"/>
          <w:lang w:bidi="ar-SA"/>
        </w:rPr>
        <w:t>e</w:t>
      </w:r>
      <w:r>
        <w:rPr>
          <w:rFonts w:cs="Arial"/>
          <w:lang w:bidi="ar-SA"/>
        </w:rPr>
        <w:t>)</w:t>
      </w:r>
      <w:r>
        <w:rPr>
          <w:rFonts w:cs="Arial"/>
          <w:lang w:bidi="ar-SA"/>
        </w:rPr>
        <w:tab/>
      </w:r>
      <w:r w:rsidR="00537B58">
        <w:rPr>
          <w:rFonts w:cs="Arial"/>
          <w:lang w:bidi="ar-SA"/>
        </w:rPr>
        <w:tab/>
      </w:r>
      <w:r>
        <w:rPr>
          <w:rFonts w:cs="Arial"/>
          <w:lang w:bidi="ar-SA"/>
        </w:rPr>
        <w:t>= 3.47 x 10</w:t>
      </w:r>
      <w:r>
        <w:rPr>
          <w:rFonts w:cs="Arial"/>
          <w:vertAlign w:val="superscript"/>
          <w:lang w:bidi="ar-SA"/>
        </w:rPr>
        <w:t>-4</w:t>
      </w:r>
      <w:r>
        <w:rPr>
          <w:rFonts w:cs="Arial"/>
          <w:lang w:bidi="ar-SA"/>
        </w:rPr>
        <w:t xml:space="preserve"> day</w:t>
      </w:r>
      <w:r>
        <w:rPr>
          <w:rFonts w:cs="Arial"/>
          <w:vertAlign w:val="superscript"/>
          <w:lang w:bidi="ar-SA"/>
        </w:rPr>
        <w:t>-1</w:t>
      </w:r>
    </w:p>
    <w:p w14:paraId="0A94A55A" w14:textId="43D14DA2" w:rsidR="009E6EF9" w:rsidRDefault="009E6EF9" w:rsidP="00A111E9">
      <w:pPr>
        <w:rPr>
          <w:rFonts w:cs="Arial"/>
          <w:lang w:bidi="ar-SA"/>
        </w:rPr>
      </w:pPr>
      <w:r>
        <w:rPr>
          <w:rFonts w:cs="Arial"/>
          <w:lang w:bidi="ar-SA"/>
        </w:rPr>
        <w:t>Gastrointestinal absorption fraction (</w:t>
      </w:r>
      <w:r w:rsidR="00EC51C3">
        <w:rPr>
          <w:rFonts w:cs="Arial"/>
          <w:lang w:bidi="ar-SA"/>
        </w:rPr>
        <w:t>g</w:t>
      </w:r>
      <w:r>
        <w:rPr>
          <w:rFonts w:cs="Arial"/>
          <w:lang w:bidi="ar-SA"/>
        </w:rPr>
        <w:t>AF)</w:t>
      </w:r>
      <w:r>
        <w:rPr>
          <w:rFonts w:cs="Arial"/>
          <w:lang w:bidi="ar-SA"/>
        </w:rPr>
        <w:tab/>
        <w:t>= 1</w:t>
      </w:r>
    </w:p>
    <w:p w14:paraId="03981C74" w14:textId="4A561EAC" w:rsidR="009E6EF9" w:rsidRDefault="009E6EF9" w:rsidP="00A111E9">
      <w:pPr>
        <w:rPr>
          <w:lang w:bidi="ar-SA"/>
        </w:rPr>
      </w:pPr>
      <w:r>
        <w:rPr>
          <w:rFonts w:cs="Arial"/>
          <w:lang w:bidi="ar-SA"/>
        </w:rPr>
        <w:t>Apparent volume of distribution (V</w:t>
      </w:r>
      <w:r>
        <w:rPr>
          <w:rFonts w:cs="Arial"/>
          <w:vertAlign w:val="subscript"/>
          <w:lang w:bidi="ar-SA"/>
        </w:rPr>
        <w:t>d</w:t>
      </w:r>
      <w:r>
        <w:rPr>
          <w:rFonts w:cs="Arial"/>
          <w:lang w:bidi="ar-SA"/>
        </w:rPr>
        <w:t>)</w:t>
      </w:r>
      <w:r>
        <w:rPr>
          <w:rFonts w:cs="Arial"/>
          <w:lang w:bidi="ar-SA"/>
        </w:rPr>
        <w:tab/>
      </w:r>
      <w:r w:rsidR="00537B58">
        <w:rPr>
          <w:rFonts w:cs="Arial"/>
          <w:lang w:bidi="ar-SA"/>
        </w:rPr>
        <w:tab/>
      </w:r>
      <w:r>
        <w:rPr>
          <w:rFonts w:cs="Arial"/>
          <w:lang w:bidi="ar-SA"/>
        </w:rPr>
        <w:t>= 0.2 L/kg</w:t>
      </w:r>
    </w:p>
    <w:p w14:paraId="7D884ECD" w14:textId="77777777" w:rsidR="009E6EF9" w:rsidRDefault="009E6EF9" w:rsidP="00A111E9">
      <w:pPr>
        <w:rPr>
          <w:lang w:bidi="ar-SA"/>
        </w:rPr>
      </w:pPr>
    </w:p>
    <w:p w14:paraId="7144054E" w14:textId="77777777" w:rsidR="009E6EF9" w:rsidRDefault="009E6EF9" w:rsidP="00A111E9">
      <w:pPr>
        <w:rPr>
          <w:lang w:bidi="ar-SA"/>
        </w:rPr>
      </w:pPr>
      <w:r>
        <w:rPr>
          <w:lang w:bidi="ar-SA"/>
        </w:rPr>
        <w:t>according to the equation</w:t>
      </w:r>
    </w:p>
    <w:p w14:paraId="6733B233" w14:textId="77777777" w:rsidR="009E6EF9" w:rsidRDefault="009E6EF9" w:rsidP="00A111E9">
      <w:pPr>
        <w:rPr>
          <w:lang w:bidi="ar-SA"/>
        </w:rPr>
      </w:pPr>
    </w:p>
    <w:p w14:paraId="598C84AF" w14:textId="77777777" w:rsidR="009E6EF9" w:rsidRDefault="009E6EF9" w:rsidP="00A111E9">
      <w:pPr>
        <w:rPr>
          <w:lang w:bidi="ar-SA"/>
        </w:rPr>
      </w:pPr>
      <w:r>
        <w:rPr>
          <w:lang w:bidi="ar-SA"/>
        </w:rPr>
        <w:t>D</w:t>
      </w:r>
      <w:r>
        <w:rPr>
          <w:vertAlign w:val="subscript"/>
          <w:lang w:bidi="ar-SA"/>
        </w:rPr>
        <w:t>SS</w:t>
      </w:r>
      <w:r>
        <w:rPr>
          <w:lang w:bidi="ar-SA"/>
        </w:rPr>
        <w:tab/>
        <w:t>= (C</w:t>
      </w:r>
      <w:r>
        <w:rPr>
          <w:vertAlign w:val="subscript"/>
          <w:lang w:bidi="ar-SA"/>
        </w:rPr>
        <w:t>SS</w:t>
      </w:r>
      <w:r>
        <w:rPr>
          <w:lang w:bidi="ar-SA"/>
        </w:rPr>
        <w:t>.k</w:t>
      </w:r>
      <w:r>
        <w:rPr>
          <w:vertAlign w:val="subscript"/>
          <w:lang w:bidi="ar-SA"/>
        </w:rPr>
        <w:t>e</w:t>
      </w:r>
      <w:r>
        <w:rPr>
          <w:lang w:bidi="ar-SA"/>
        </w:rPr>
        <w:t>.V</w:t>
      </w:r>
      <w:r>
        <w:rPr>
          <w:vertAlign w:val="subscript"/>
          <w:lang w:bidi="ar-SA"/>
        </w:rPr>
        <w:t>d</w:t>
      </w:r>
      <w:r>
        <w:rPr>
          <w:lang w:bidi="ar-SA"/>
        </w:rPr>
        <w:t>)/AF</w:t>
      </w:r>
    </w:p>
    <w:p w14:paraId="7ECB1772" w14:textId="77777777" w:rsidR="009E6EF9" w:rsidRDefault="009E6EF9" w:rsidP="00A111E9">
      <w:pPr>
        <w:rPr>
          <w:lang w:bidi="ar-SA"/>
        </w:rPr>
      </w:pPr>
    </w:p>
    <w:p w14:paraId="504F6381" w14:textId="6A02A3F6" w:rsidR="009E6EF9" w:rsidRPr="00BD1E8E" w:rsidRDefault="009E6EF9" w:rsidP="00A111E9">
      <w:pPr>
        <w:rPr>
          <w:lang w:bidi="ar-SA"/>
        </w:rPr>
      </w:pPr>
      <w:r>
        <w:rPr>
          <w:lang w:bidi="ar-SA"/>
        </w:rPr>
        <w:t>in which D</w:t>
      </w:r>
      <w:r>
        <w:rPr>
          <w:vertAlign w:val="subscript"/>
          <w:lang w:bidi="ar-SA"/>
        </w:rPr>
        <w:t>ss</w:t>
      </w:r>
      <w:r>
        <w:rPr>
          <w:lang w:bidi="ar-SA"/>
        </w:rPr>
        <w:t xml:space="preserve"> is the external steady-state dosage and C</w:t>
      </w:r>
      <w:r w:rsidR="00AB35CC">
        <w:rPr>
          <w:vertAlign w:val="subscript"/>
          <w:lang w:bidi="ar-SA"/>
        </w:rPr>
        <w:t>ss</w:t>
      </w:r>
      <w:r>
        <w:rPr>
          <w:lang w:bidi="ar-SA"/>
        </w:rPr>
        <w:t xml:space="preserve"> is the steady-state serum concentration.</w:t>
      </w:r>
    </w:p>
    <w:p w14:paraId="6342D8D2" w14:textId="5431ADF1" w:rsidR="009E6EF9" w:rsidRDefault="009E6EF9" w:rsidP="00A111E9">
      <w:pPr>
        <w:rPr>
          <w:lang w:bidi="ar-SA"/>
        </w:rPr>
      </w:pPr>
    </w:p>
    <w:p w14:paraId="57F60AAF" w14:textId="3B066D48" w:rsidR="00363894" w:rsidRDefault="009C1E81" w:rsidP="00A111E9">
      <w:pPr>
        <w:rPr>
          <w:lang w:bidi="ar-SA"/>
        </w:rPr>
      </w:pPr>
      <w:r>
        <w:rPr>
          <w:lang w:bidi="ar-SA"/>
        </w:rPr>
        <w:t xml:space="preserve">The lowest HED was estimated from the BMDL </w:t>
      </w:r>
      <w:r w:rsidR="00F74243">
        <w:rPr>
          <w:lang w:bidi="ar-SA"/>
        </w:rPr>
        <w:t xml:space="preserve">(benchmark dose – lower </w:t>
      </w:r>
      <w:r w:rsidR="001B6877">
        <w:rPr>
          <w:lang w:bidi="ar-SA"/>
        </w:rPr>
        <w:t>ninety-fifth</w:t>
      </w:r>
      <w:r w:rsidR="00F74243">
        <w:rPr>
          <w:lang w:bidi="ar-SA"/>
        </w:rPr>
        <w:t xml:space="preserve"> percentile confidence bound), </w:t>
      </w:r>
      <w:r w:rsidR="00AC4F2A">
        <w:rPr>
          <w:lang w:bidi="ar-SA"/>
        </w:rPr>
        <w:t xml:space="preserve">for a </w:t>
      </w:r>
      <w:r w:rsidR="00204E75">
        <w:rPr>
          <w:lang w:bidi="ar-SA"/>
        </w:rPr>
        <w:t>10% change in absolute liver weight</w:t>
      </w:r>
      <w:r w:rsidR="00AF526A">
        <w:rPr>
          <w:lang w:bidi="ar-SA"/>
        </w:rPr>
        <w:t xml:space="preserve"> in male monkeys</w:t>
      </w:r>
      <w:r w:rsidR="00204E75">
        <w:rPr>
          <w:lang w:bidi="ar-SA"/>
        </w:rPr>
        <w:t xml:space="preserve"> compared with controls</w:t>
      </w:r>
      <w:r w:rsidR="00230F5B">
        <w:rPr>
          <w:lang w:bidi="ar-SA"/>
        </w:rPr>
        <w:t xml:space="preserve">. The HED was </w:t>
      </w:r>
      <w:r w:rsidR="00AF526A">
        <w:rPr>
          <w:lang w:bidi="ar-SA"/>
        </w:rPr>
        <w:t>1.61 x 10</w:t>
      </w:r>
      <w:r w:rsidR="00AF526A" w:rsidRPr="00AF526A">
        <w:rPr>
          <w:vertAlign w:val="superscript"/>
          <w:lang w:bidi="ar-SA"/>
        </w:rPr>
        <w:t>-3</w:t>
      </w:r>
      <w:r w:rsidR="00AF526A">
        <w:rPr>
          <w:lang w:bidi="ar-SA"/>
        </w:rPr>
        <w:t xml:space="preserve"> mg/kg bw/day. However, this value was lower than the HEDs calculated from the </w:t>
      </w:r>
      <w:r w:rsidR="00230F5B">
        <w:rPr>
          <w:lang w:bidi="ar-SA"/>
        </w:rPr>
        <w:t xml:space="preserve">empirical </w:t>
      </w:r>
      <w:r w:rsidR="00AF526A">
        <w:rPr>
          <w:lang w:bidi="ar-SA"/>
        </w:rPr>
        <w:t>NOAEL</w:t>
      </w:r>
      <w:r w:rsidR="00230F5B">
        <w:rPr>
          <w:lang w:bidi="ar-SA"/>
        </w:rPr>
        <w:t>s</w:t>
      </w:r>
      <w:r w:rsidR="00AF526A">
        <w:rPr>
          <w:lang w:bidi="ar-SA"/>
        </w:rPr>
        <w:t xml:space="preserve"> </w:t>
      </w:r>
      <w:r w:rsidR="00230F5B">
        <w:rPr>
          <w:lang w:bidi="ar-SA"/>
        </w:rPr>
        <w:t xml:space="preserve">for increases in absolute liver weight </w:t>
      </w:r>
      <w:r w:rsidR="00AF526A">
        <w:rPr>
          <w:lang w:bidi="ar-SA"/>
        </w:rPr>
        <w:t xml:space="preserve">in </w:t>
      </w:r>
      <w:r w:rsidR="00230F5B">
        <w:rPr>
          <w:lang w:bidi="ar-SA"/>
        </w:rPr>
        <w:t>male and female monkeys</w:t>
      </w:r>
      <w:r w:rsidR="00AF526A">
        <w:rPr>
          <w:lang w:bidi="ar-SA"/>
        </w:rPr>
        <w:t xml:space="preserve"> (</w:t>
      </w:r>
      <w:r w:rsidR="00230F5B">
        <w:rPr>
          <w:lang w:bidi="ar-SA"/>
        </w:rPr>
        <w:t xml:space="preserve">HEDs of </w:t>
      </w:r>
      <w:r w:rsidR="00AF526A">
        <w:rPr>
          <w:lang w:bidi="ar-SA"/>
        </w:rPr>
        <w:t>9.07 x 10</w:t>
      </w:r>
      <w:r w:rsidR="00AF526A" w:rsidRPr="00AF526A">
        <w:rPr>
          <w:vertAlign w:val="superscript"/>
          <w:lang w:bidi="ar-SA"/>
        </w:rPr>
        <w:t>-3</w:t>
      </w:r>
      <w:r w:rsidR="00AF526A">
        <w:rPr>
          <w:lang w:bidi="ar-SA"/>
        </w:rPr>
        <w:t xml:space="preserve"> mg/kg bw/day and 2.52 x 10</w:t>
      </w:r>
      <w:r w:rsidR="00AF526A" w:rsidRPr="00AF526A">
        <w:rPr>
          <w:vertAlign w:val="superscript"/>
          <w:lang w:bidi="ar-SA"/>
        </w:rPr>
        <w:t>-3</w:t>
      </w:r>
      <w:r w:rsidR="00AF526A">
        <w:rPr>
          <w:lang w:bidi="ar-SA"/>
        </w:rPr>
        <w:t xml:space="preserve"> mg/kg bw/day for </w:t>
      </w:r>
      <w:r w:rsidR="00230F5B">
        <w:rPr>
          <w:lang w:bidi="ar-SA"/>
        </w:rPr>
        <w:t xml:space="preserve">males and </w:t>
      </w:r>
      <w:r w:rsidR="00AF526A">
        <w:rPr>
          <w:lang w:bidi="ar-SA"/>
        </w:rPr>
        <w:t>females</w:t>
      </w:r>
      <w:r w:rsidR="00230F5B">
        <w:rPr>
          <w:lang w:bidi="ar-SA"/>
        </w:rPr>
        <w:t>, respectively</w:t>
      </w:r>
      <w:r w:rsidR="00AF526A">
        <w:rPr>
          <w:lang w:bidi="ar-SA"/>
        </w:rPr>
        <w:t xml:space="preserve">). </w:t>
      </w:r>
      <w:r w:rsidR="00001327">
        <w:rPr>
          <w:lang w:bidi="ar-SA"/>
        </w:rPr>
        <w:t>Therefore, the HED calculated from the</w:t>
      </w:r>
      <w:r w:rsidR="002F0A5A">
        <w:rPr>
          <w:lang w:bidi="ar-SA"/>
        </w:rPr>
        <w:t xml:space="preserve"> NOAEL in female monkeys for </w:t>
      </w:r>
      <w:r w:rsidR="00001327">
        <w:rPr>
          <w:lang w:bidi="ar-SA"/>
        </w:rPr>
        <w:t>increased absolute liver weight</w:t>
      </w:r>
      <w:r w:rsidR="00CA655F">
        <w:rPr>
          <w:lang w:bidi="ar-SA"/>
        </w:rPr>
        <w:t xml:space="preserve"> (2.52 x 10</w:t>
      </w:r>
      <w:r w:rsidR="00CA655F" w:rsidRPr="00AF526A">
        <w:rPr>
          <w:vertAlign w:val="superscript"/>
          <w:lang w:bidi="ar-SA"/>
        </w:rPr>
        <w:t>-3</w:t>
      </w:r>
      <w:r w:rsidR="00CA655F">
        <w:rPr>
          <w:lang w:bidi="ar-SA"/>
        </w:rPr>
        <w:t xml:space="preserve"> mg/kg bw/day)</w:t>
      </w:r>
      <w:r w:rsidR="00001327">
        <w:rPr>
          <w:lang w:bidi="ar-SA"/>
        </w:rPr>
        <w:t xml:space="preserve"> was used as the </w:t>
      </w:r>
      <w:r w:rsidR="00EE4036">
        <w:rPr>
          <w:lang w:bidi="ar-SA"/>
        </w:rPr>
        <w:t>POD</w:t>
      </w:r>
      <w:r w:rsidR="00001327">
        <w:rPr>
          <w:lang w:bidi="ar-SA"/>
        </w:rPr>
        <w:t xml:space="preserve"> to derive the MRL for PFOS.</w:t>
      </w:r>
    </w:p>
    <w:p w14:paraId="3FBAA8F6" w14:textId="374E6E33" w:rsidR="00B86627" w:rsidRDefault="00B86627" w:rsidP="00A111E9">
      <w:pPr>
        <w:rPr>
          <w:lang w:bidi="ar-SA"/>
        </w:rPr>
      </w:pPr>
    </w:p>
    <w:p w14:paraId="1BE83BE5" w14:textId="009B35F5" w:rsidR="00B86627" w:rsidRDefault="00B86627" w:rsidP="00A111E9">
      <w:pPr>
        <w:rPr>
          <w:lang w:bidi="ar-SA"/>
        </w:rPr>
      </w:pPr>
      <w:r>
        <w:rPr>
          <w:lang w:bidi="ar-SA"/>
        </w:rPr>
        <w:t>An overall uncertainty factor of 90 was applied to the HED, comprising of 3 for extrapolation from animals to humans, 10 for human variability, and 3 for def</w:t>
      </w:r>
      <w:r w:rsidR="00CA655F">
        <w:rPr>
          <w:lang w:bidi="ar-SA"/>
        </w:rPr>
        <w:t>iciencies in the database. The</w:t>
      </w:r>
      <w:r>
        <w:rPr>
          <w:lang w:bidi="ar-SA"/>
        </w:rPr>
        <w:t xml:space="preserve"> database deficiencies related to a lack of developmental and immune toxicity studies in monkeys.</w:t>
      </w:r>
    </w:p>
    <w:p w14:paraId="407FAB86" w14:textId="77777777" w:rsidR="00B86627" w:rsidRDefault="00B86627" w:rsidP="00A111E9">
      <w:pPr>
        <w:rPr>
          <w:lang w:bidi="ar-SA"/>
        </w:rPr>
      </w:pPr>
    </w:p>
    <w:p w14:paraId="7ABD87E3" w14:textId="5D71A077" w:rsidR="00B86627" w:rsidRDefault="00B86627" w:rsidP="00A111E9">
      <w:pPr>
        <w:rPr>
          <w:lang w:bidi="ar-SA"/>
        </w:rPr>
      </w:pPr>
      <w:r>
        <w:rPr>
          <w:lang w:bidi="ar-SA"/>
        </w:rPr>
        <w:t xml:space="preserve">The resulting MRL was </w:t>
      </w:r>
      <w:r w:rsidRPr="00C76D78">
        <w:rPr>
          <w:b/>
          <w:lang w:bidi="ar-SA"/>
        </w:rPr>
        <w:t>30 ng/kg bw/day</w:t>
      </w:r>
      <w:r>
        <w:rPr>
          <w:lang w:bidi="ar-SA"/>
        </w:rPr>
        <w:t>.</w:t>
      </w:r>
    </w:p>
    <w:p w14:paraId="5DE4EA95" w14:textId="4B384798" w:rsidR="00F009CD" w:rsidRPr="008A0854" w:rsidRDefault="008A0854" w:rsidP="005F1486">
      <w:pPr>
        <w:pStyle w:val="Heading4"/>
      </w:pPr>
      <w:r w:rsidRPr="008A0854">
        <w:lastRenderedPageBreak/>
        <w:t>US</w:t>
      </w:r>
      <w:r w:rsidR="00A061F4">
        <w:t xml:space="preserve"> </w:t>
      </w:r>
      <w:r w:rsidR="00F009CD" w:rsidRPr="008A0854">
        <w:t>EPA</w:t>
      </w:r>
      <w:r w:rsidR="008C0831">
        <w:t>,</w:t>
      </w:r>
      <w:r w:rsidR="00BC58F5">
        <w:t xml:space="preserve"> 2016</w:t>
      </w:r>
    </w:p>
    <w:p w14:paraId="414BC484" w14:textId="6B25D25D" w:rsidR="00F14089" w:rsidRDefault="00A12CD1" w:rsidP="00A111E9">
      <w:pPr>
        <w:rPr>
          <w:lang w:bidi="ar-SA"/>
        </w:rPr>
      </w:pPr>
      <w:r>
        <w:rPr>
          <w:lang w:bidi="ar-SA"/>
        </w:rPr>
        <w:t xml:space="preserve">The US EPA calculated </w:t>
      </w:r>
      <w:r w:rsidR="00C0141E">
        <w:rPr>
          <w:lang w:bidi="ar-SA"/>
        </w:rPr>
        <w:t>a reference dose</w:t>
      </w:r>
      <w:r w:rsidR="005146D0">
        <w:rPr>
          <w:lang w:bidi="ar-SA"/>
        </w:rPr>
        <w:t xml:space="preserve"> (RfD</w:t>
      </w:r>
      <w:r>
        <w:rPr>
          <w:lang w:bidi="ar-SA"/>
        </w:rPr>
        <w:t>) for noncancer effects</w:t>
      </w:r>
      <w:r w:rsidR="00F14089">
        <w:rPr>
          <w:lang w:bidi="ar-SA"/>
        </w:rPr>
        <w:t xml:space="preserve"> of PFOS</w:t>
      </w:r>
      <w:r>
        <w:rPr>
          <w:lang w:bidi="ar-SA"/>
        </w:rPr>
        <w:t>.</w:t>
      </w:r>
    </w:p>
    <w:p w14:paraId="73D1D81A" w14:textId="775A5224" w:rsidR="00983D58" w:rsidRPr="00983D58" w:rsidRDefault="00B64219" w:rsidP="005F1486">
      <w:pPr>
        <w:pStyle w:val="Heading5"/>
      </w:pPr>
      <w:r>
        <w:t>RfD for n</w:t>
      </w:r>
      <w:r w:rsidR="00983D58" w:rsidRPr="00983D58">
        <w:t>oncancer effects</w:t>
      </w:r>
    </w:p>
    <w:p w14:paraId="2FA286B0" w14:textId="25043CFD" w:rsidR="00DF2BC2" w:rsidRDefault="00C062C2" w:rsidP="00A111E9">
      <w:pPr>
        <w:rPr>
          <w:lang w:bidi="ar-SA"/>
        </w:rPr>
      </w:pPr>
      <w:r>
        <w:rPr>
          <w:lang w:bidi="ar-SA"/>
        </w:rPr>
        <w:t xml:space="preserve">Because of the complex pharmacokinetic differences between animals and humans and across animal species, average serum PFOS concentrations based on pharmacokinetic modelling were considered more appropriate </w:t>
      </w:r>
      <w:r w:rsidR="0036572F">
        <w:rPr>
          <w:lang w:bidi="ar-SA"/>
        </w:rPr>
        <w:t xml:space="preserve">for RfD derivation </w:t>
      </w:r>
      <w:r>
        <w:rPr>
          <w:lang w:bidi="ar-SA"/>
        </w:rPr>
        <w:t>than external doses.</w:t>
      </w:r>
    </w:p>
    <w:p w14:paraId="20453DA9" w14:textId="77777777" w:rsidR="00DF2BC2" w:rsidRDefault="00DF2BC2" w:rsidP="00A111E9">
      <w:pPr>
        <w:rPr>
          <w:lang w:bidi="ar-SA"/>
        </w:rPr>
      </w:pPr>
    </w:p>
    <w:p w14:paraId="27912C70" w14:textId="2EA46B7C" w:rsidR="00B7580E" w:rsidRDefault="00DF2BC2" w:rsidP="00A111E9">
      <w:pPr>
        <w:rPr>
          <w:lang w:bidi="ar-SA"/>
        </w:rPr>
      </w:pPr>
      <w:r>
        <w:rPr>
          <w:lang w:bidi="ar-SA"/>
        </w:rPr>
        <w:t>Modelling was performed on a range of subchronic, developmental</w:t>
      </w:r>
      <w:r w:rsidR="00B7580E">
        <w:rPr>
          <w:lang w:bidi="ar-SA"/>
        </w:rPr>
        <w:t>/neurodevelopmental</w:t>
      </w:r>
      <w:r>
        <w:rPr>
          <w:lang w:bidi="ar-SA"/>
        </w:rPr>
        <w:t xml:space="preserve"> and reproductive toxicity studies for which measured serum PFOS concentrations were available. The predicted area under the curve (AUC)</w:t>
      </w:r>
      <w:r w:rsidR="00B7580E">
        <w:rPr>
          <w:lang w:bidi="ar-SA"/>
        </w:rPr>
        <w:t xml:space="preserve"> and</w:t>
      </w:r>
      <w:r>
        <w:rPr>
          <w:lang w:bidi="ar-SA"/>
        </w:rPr>
        <w:t xml:space="preserve"> </w:t>
      </w:r>
      <w:r w:rsidR="00B7580E">
        <w:rPr>
          <w:lang w:bidi="ar-SA"/>
        </w:rPr>
        <w:t xml:space="preserve">final serum concentration were calculated for all doses in these studies. The AUC for the </w:t>
      </w:r>
      <w:r w:rsidR="00D17B09">
        <w:rPr>
          <w:lang w:bidi="ar-SA"/>
        </w:rPr>
        <w:t xml:space="preserve">lowest </w:t>
      </w:r>
      <w:r w:rsidR="00EE4036">
        <w:rPr>
          <w:lang w:bidi="ar-SA"/>
        </w:rPr>
        <w:t xml:space="preserve">observed </w:t>
      </w:r>
      <w:r w:rsidR="00D17B09">
        <w:rPr>
          <w:lang w:bidi="ar-SA"/>
        </w:rPr>
        <w:t>adverse effect level (</w:t>
      </w:r>
      <w:r w:rsidR="00B7580E">
        <w:rPr>
          <w:lang w:bidi="ar-SA"/>
        </w:rPr>
        <w:t>LOAEL</w:t>
      </w:r>
      <w:r w:rsidR="00D17B09">
        <w:rPr>
          <w:lang w:bidi="ar-SA"/>
        </w:rPr>
        <w:t>)</w:t>
      </w:r>
      <w:r w:rsidR="00B7580E">
        <w:rPr>
          <w:lang w:bidi="ar-SA"/>
        </w:rPr>
        <w:t xml:space="preserve"> and/or NOAEL for each study was then used to determine the average serum concentration at these exposure levels. </w:t>
      </w:r>
      <w:r w:rsidR="006B121A">
        <w:rPr>
          <w:lang w:bidi="ar-SA"/>
        </w:rPr>
        <w:t>Use of average serum concentrations was considered necessary</w:t>
      </w:r>
      <w:r w:rsidR="00225CC9">
        <w:rPr>
          <w:lang w:bidi="ar-SA"/>
        </w:rPr>
        <w:t xml:space="preserve"> to normalise the </w:t>
      </w:r>
      <w:r w:rsidR="00B7580E">
        <w:rPr>
          <w:lang w:bidi="ar-SA"/>
        </w:rPr>
        <w:t xml:space="preserve">data </w:t>
      </w:r>
      <w:r w:rsidR="006B121A">
        <w:rPr>
          <w:lang w:bidi="ar-SA"/>
        </w:rPr>
        <w:t>because of the variability in exposure duration in the various studies</w:t>
      </w:r>
      <w:r w:rsidR="00225CC9">
        <w:rPr>
          <w:lang w:bidi="ar-SA"/>
        </w:rPr>
        <w:t xml:space="preserve"> (17 – 182 days)</w:t>
      </w:r>
      <w:r w:rsidR="006B121A">
        <w:rPr>
          <w:lang w:bidi="ar-SA"/>
        </w:rPr>
        <w:t>.</w:t>
      </w:r>
    </w:p>
    <w:p w14:paraId="6B5A6A61" w14:textId="77777777" w:rsidR="00B7580E" w:rsidRDefault="00B7580E" w:rsidP="00A111E9">
      <w:pPr>
        <w:rPr>
          <w:lang w:bidi="ar-SA"/>
        </w:rPr>
      </w:pPr>
    </w:p>
    <w:p w14:paraId="28AB7722" w14:textId="74BC4903" w:rsidR="00B7580E" w:rsidRDefault="00B7580E" w:rsidP="00A111E9">
      <w:pPr>
        <w:rPr>
          <w:lang w:bidi="ar-SA"/>
        </w:rPr>
      </w:pPr>
      <w:r>
        <w:rPr>
          <w:lang w:bidi="ar-SA"/>
        </w:rPr>
        <w:t xml:space="preserve">The average serum PFOS concentrations at the LOAELs for developmental and liver toxicity in the various studies differed by less than an order of magnitude (19.9 – 157 </w:t>
      </w:r>
      <w:r w:rsidR="00CB500B">
        <w:rPr>
          <w:rFonts w:cs="Arial"/>
          <w:lang w:bidi="ar-SA"/>
        </w:rPr>
        <w:t>µg/mL</w:t>
      </w:r>
      <w:r>
        <w:rPr>
          <w:lang w:bidi="ar-SA"/>
        </w:rPr>
        <w:t xml:space="preserve">). </w:t>
      </w:r>
      <w:r w:rsidR="008C5A34">
        <w:rPr>
          <w:lang w:bidi="ar-SA"/>
        </w:rPr>
        <w:t>A</w:t>
      </w:r>
      <w:r>
        <w:rPr>
          <w:lang w:bidi="ar-SA"/>
        </w:rPr>
        <w:t xml:space="preserve">verage serum concentrations associated with no adverse effects were also similar with overlapping ranges (6.26 – 19.9 </w:t>
      </w:r>
      <w:r w:rsidR="00CB500B">
        <w:rPr>
          <w:rFonts w:cs="Arial"/>
          <w:lang w:bidi="ar-SA"/>
        </w:rPr>
        <w:t>µg/mL</w:t>
      </w:r>
      <w:r>
        <w:rPr>
          <w:lang w:bidi="ar-SA"/>
        </w:rPr>
        <w:t xml:space="preserve"> for developmental/neurodevelopmental endpoints and 16.5 – 38 </w:t>
      </w:r>
      <w:r w:rsidR="00CB500B">
        <w:rPr>
          <w:rFonts w:cs="Arial"/>
          <w:lang w:bidi="ar-SA"/>
        </w:rPr>
        <w:t>µg/mL</w:t>
      </w:r>
      <w:r>
        <w:rPr>
          <w:lang w:bidi="ar-SA"/>
        </w:rPr>
        <w:t xml:space="preserve"> for liver effects</w:t>
      </w:r>
      <w:r w:rsidR="008C5A34">
        <w:rPr>
          <w:lang w:bidi="ar-SA"/>
        </w:rPr>
        <w:t>)</w:t>
      </w:r>
      <w:r>
        <w:rPr>
          <w:lang w:bidi="ar-SA"/>
        </w:rPr>
        <w:t xml:space="preserve">. In contrast, the AUC values differed by an order of magnitude. </w:t>
      </w:r>
      <w:r w:rsidR="006F7D1C">
        <w:rPr>
          <w:lang w:bidi="ar-SA"/>
        </w:rPr>
        <w:t xml:space="preserve">Given that the average serum concentrations at the NOAELs are consistent across gender, species and treatment, the US EPA concluded that it is reasonable to expect that similar serum concentrations would cause similar effects in humans. This is based on </w:t>
      </w:r>
      <w:r w:rsidR="002E0A92">
        <w:rPr>
          <w:lang w:bidi="ar-SA"/>
        </w:rPr>
        <w:t>an</w:t>
      </w:r>
      <w:r w:rsidR="006F7D1C">
        <w:rPr>
          <w:lang w:bidi="ar-SA"/>
        </w:rPr>
        <w:t xml:space="preserve"> assumption that mode of action</w:t>
      </w:r>
      <w:r w:rsidR="0073429E">
        <w:rPr>
          <w:lang w:bidi="ar-SA"/>
        </w:rPr>
        <w:t xml:space="preserve"> (MOA)</w:t>
      </w:r>
      <w:r w:rsidR="006F7D1C">
        <w:rPr>
          <w:lang w:bidi="ar-SA"/>
        </w:rPr>
        <w:t xml:space="preserve"> and susceptibility to toxicity do not vary between species and that pharmacokinetic differences alone result in variability.</w:t>
      </w:r>
    </w:p>
    <w:p w14:paraId="58631BFC" w14:textId="77777777" w:rsidR="00B7580E" w:rsidRDefault="00B7580E" w:rsidP="00A111E9">
      <w:pPr>
        <w:rPr>
          <w:lang w:bidi="ar-SA"/>
        </w:rPr>
      </w:pPr>
    </w:p>
    <w:p w14:paraId="357204CD" w14:textId="66B8D4CC" w:rsidR="00B7580E" w:rsidRDefault="00A25CCA" w:rsidP="00A111E9">
      <w:pPr>
        <w:rPr>
          <w:lang w:bidi="ar-SA"/>
        </w:rPr>
      </w:pPr>
      <w:r>
        <w:rPr>
          <w:lang w:bidi="ar-SA"/>
        </w:rPr>
        <w:t>Steady</w:t>
      </w:r>
      <w:r w:rsidR="00032CF6">
        <w:rPr>
          <w:lang w:bidi="ar-SA"/>
        </w:rPr>
        <w:t>-</w:t>
      </w:r>
      <w:r>
        <w:rPr>
          <w:lang w:bidi="ar-SA"/>
        </w:rPr>
        <w:t>state concentrations (C</w:t>
      </w:r>
      <w:r w:rsidRPr="00A25CCA">
        <w:rPr>
          <w:vertAlign w:val="subscript"/>
          <w:lang w:bidi="ar-SA"/>
        </w:rPr>
        <w:t>ss</w:t>
      </w:r>
      <w:r>
        <w:rPr>
          <w:lang w:bidi="ar-SA"/>
        </w:rPr>
        <w:t>) resulting from a</w:t>
      </w:r>
      <w:r w:rsidR="002E0A92">
        <w:rPr>
          <w:lang w:bidi="ar-SA"/>
        </w:rPr>
        <w:t xml:space="preserve"> constant infusion dose rate at the LOAEL were</w:t>
      </w:r>
      <w:r>
        <w:rPr>
          <w:lang w:bidi="ar-SA"/>
        </w:rPr>
        <w:t xml:space="preserve"> then calculated</w:t>
      </w:r>
      <w:r w:rsidR="006A592C">
        <w:rPr>
          <w:lang w:bidi="ar-SA"/>
        </w:rPr>
        <w:t>,</w:t>
      </w:r>
      <w:r>
        <w:rPr>
          <w:lang w:bidi="ar-SA"/>
        </w:rPr>
        <w:t xml:space="preserve"> and the C</w:t>
      </w:r>
      <w:r w:rsidRPr="00103FB7">
        <w:rPr>
          <w:vertAlign w:val="subscript"/>
          <w:lang w:bidi="ar-SA"/>
        </w:rPr>
        <w:t>ss</w:t>
      </w:r>
      <w:r>
        <w:rPr>
          <w:vertAlign w:val="subscript"/>
          <w:lang w:bidi="ar-SA"/>
        </w:rPr>
        <w:t xml:space="preserve"> </w:t>
      </w:r>
      <w:r w:rsidR="006A592C" w:rsidRPr="006A592C">
        <w:rPr>
          <w:lang w:bidi="ar-SA"/>
        </w:rPr>
        <w:t>was</w:t>
      </w:r>
      <w:r w:rsidR="006A592C">
        <w:rPr>
          <w:vertAlign w:val="subscript"/>
          <w:lang w:bidi="ar-SA"/>
        </w:rPr>
        <w:t xml:space="preserve"> </w:t>
      </w:r>
      <w:r>
        <w:rPr>
          <w:lang w:bidi="ar-SA"/>
        </w:rPr>
        <w:t xml:space="preserve">compared to the </w:t>
      </w:r>
      <w:r w:rsidR="006A592C">
        <w:rPr>
          <w:lang w:bidi="ar-SA"/>
        </w:rPr>
        <w:t xml:space="preserve">predicted </w:t>
      </w:r>
      <w:r>
        <w:rPr>
          <w:lang w:bidi="ar-SA"/>
        </w:rPr>
        <w:t>average serum concentration. It was found that none of the studies represented C</w:t>
      </w:r>
      <w:r w:rsidRPr="00103FB7">
        <w:rPr>
          <w:vertAlign w:val="subscript"/>
          <w:lang w:bidi="ar-SA"/>
        </w:rPr>
        <w:t>ss</w:t>
      </w:r>
      <w:r>
        <w:rPr>
          <w:lang w:bidi="ar-SA"/>
        </w:rPr>
        <w:t>, with the average serum concentrations ranging from 9 – 69% of C</w:t>
      </w:r>
      <w:r w:rsidRPr="00A25CCA">
        <w:rPr>
          <w:vertAlign w:val="subscript"/>
          <w:lang w:bidi="ar-SA"/>
        </w:rPr>
        <w:t>ss</w:t>
      </w:r>
      <w:r>
        <w:rPr>
          <w:lang w:bidi="ar-SA"/>
        </w:rPr>
        <w:t xml:space="preserve">. </w:t>
      </w:r>
      <w:r w:rsidR="00391890">
        <w:rPr>
          <w:lang w:bidi="ar-SA"/>
        </w:rPr>
        <w:t>As the average serum concentrations were lower than the steady</w:t>
      </w:r>
      <w:r w:rsidR="00032CF6">
        <w:rPr>
          <w:lang w:bidi="ar-SA"/>
        </w:rPr>
        <w:t>-</w:t>
      </w:r>
      <w:r w:rsidR="00391890">
        <w:rPr>
          <w:lang w:bidi="ar-SA"/>
        </w:rPr>
        <w:t xml:space="preserve">state values, </w:t>
      </w:r>
      <w:r w:rsidR="00D41D48">
        <w:rPr>
          <w:lang w:bidi="ar-SA"/>
        </w:rPr>
        <w:t xml:space="preserve">use of the average values was considered likely to be more </w:t>
      </w:r>
      <w:r>
        <w:rPr>
          <w:lang w:bidi="ar-SA"/>
        </w:rPr>
        <w:t>protective than using steady</w:t>
      </w:r>
      <w:r w:rsidR="00032CF6">
        <w:rPr>
          <w:lang w:bidi="ar-SA"/>
        </w:rPr>
        <w:t>-</w:t>
      </w:r>
      <w:r w:rsidR="00D41D48">
        <w:rPr>
          <w:lang w:bidi="ar-SA"/>
        </w:rPr>
        <w:t xml:space="preserve">state </w:t>
      </w:r>
      <w:r>
        <w:rPr>
          <w:lang w:bidi="ar-SA"/>
        </w:rPr>
        <w:t>concentrations.</w:t>
      </w:r>
    </w:p>
    <w:p w14:paraId="06AFFDE2" w14:textId="77777777" w:rsidR="00B7580E" w:rsidRDefault="00B7580E" w:rsidP="00A111E9">
      <w:pPr>
        <w:rPr>
          <w:lang w:bidi="ar-SA"/>
        </w:rPr>
      </w:pPr>
    </w:p>
    <w:p w14:paraId="773B4736" w14:textId="41B1049A" w:rsidR="00B43AF2" w:rsidRDefault="006B121A" w:rsidP="00A111E9">
      <w:pPr>
        <w:rPr>
          <w:lang w:bidi="ar-SA"/>
        </w:rPr>
      </w:pPr>
      <w:r>
        <w:rPr>
          <w:lang w:bidi="ar-SA"/>
        </w:rPr>
        <w:t>The</w:t>
      </w:r>
      <w:r w:rsidR="005146D0">
        <w:rPr>
          <w:lang w:bidi="ar-SA"/>
        </w:rPr>
        <w:t xml:space="preserve"> average serum values were then used to calculate HEDs</w:t>
      </w:r>
      <w:r w:rsidR="00643432">
        <w:rPr>
          <w:lang w:bidi="ar-SA"/>
        </w:rPr>
        <w:t xml:space="preserve"> at the NOAEL and/or LOAEL</w:t>
      </w:r>
      <w:r w:rsidR="006F6DD9">
        <w:rPr>
          <w:lang w:bidi="ar-SA"/>
        </w:rPr>
        <w:t xml:space="preserve"> b</w:t>
      </w:r>
      <w:r w:rsidR="006A592C">
        <w:rPr>
          <w:lang w:bidi="ar-SA"/>
        </w:rPr>
        <w:t xml:space="preserve">y taking clearance into account. </w:t>
      </w:r>
      <w:r w:rsidR="0073429E">
        <w:rPr>
          <w:lang w:bidi="ar-SA"/>
        </w:rPr>
        <w:t xml:space="preserve">CL </w:t>
      </w:r>
      <w:r w:rsidR="006F6DD9">
        <w:rPr>
          <w:lang w:bidi="ar-SA"/>
        </w:rPr>
        <w:t xml:space="preserve">was calculated based on the rate of elimination and </w:t>
      </w:r>
      <w:r w:rsidR="0073429E">
        <w:rPr>
          <w:lang w:bidi="ar-SA"/>
        </w:rPr>
        <w:t xml:space="preserve">Vd </w:t>
      </w:r>
      <w:r w:rsidR="006F6DD9">
        <w:rPr>
          <w:lang w:bidi="ar-SA"/>
        </w:rPr>
        <w:t>in humans. A reliable measure of the t</w:t>
      </w:r>
      <w:r w:rsidR="006F6DD9" w:rsidRPr="006F6DD9">
        <w:rPr>
          <w:vertAlign w:val="subscript"/>
          <w:lang w:bidi="ar-SA"/>
        </w:rPr>
        <w:t>1/2</w:t>
      </w:r>
      <w:r w:rsidR="006F6DD9">
        <w:rPr>
          <w:lang w:bidi="ar-SA"/>
        </w:rPr>
        <w:t xml:space="preserve"> of PFOS in humans is available from a retired worker population, and has been calculated as 5.4 years (1971 days). The volume of distribution has been calculated as 0.23 L/kg. </w:t>
      </w:r>
      <w:r w:rsidR="00B43AF2">
        <w:rPr>
          <w:lang w:bidi="ar-SA"/>
        </w:rPr>
        <w:t>These values were used to calculate the CL for PFOA, assuming first order kinetics:</w:t>
      </w:r>
    </w:p>
    <w:p w14:paraId="3827E78A" w14:textId="77777777" w:rsidR="00B43AF2" w:rsidRDefault="00B43AF2" w:rsidP="00A111E9">
      <w:pPr>
        <w:rPr>
          <w:lang w:bidi="ar-SA"/>
        </w:rPr>
      </w:pPr>
    </w:p>
    <w:p w14:paraId="6DEA7BD0" w14:textId="77777777" w:rsidR="00B43AF2" w:rsidRDefault="00B43AF2" w:rsidP="00A111E9">
      <w:pPr>
        <w:rPr>
          <w:lang w:bidi="ar-SA"/>
        </w:rPr>
      </w:pPr>
      <w:r>
        <w:rPr>
          <w:lang w:bidi="ar-SA"/>
        </w:rPr>
        <w:t>CL</w:t>
      </w:r>
      <w:r>
        <w:rPr>
          <w:lang w:bidi="ar-SA"/>
        </w:rPr>
        <w:tab/>
        <w:t>= V</w:t>
      </w:r>
      <w:r>
        <w:rPr>
          <w:vertAlign w:val="subscript"/>
          <w:lang w:bidi="ar-SA"/>
        </w:rPr>
        <w:t>d</w:t>
      </w:r>
      <w:r>
        <w:rPr>
          <w:lang w:bidi="ar-SA"/>
        </w:rPr>
        <w:t xml:space="preserve"> x (ln 2 </w:t>
      </w:r>
      <w:r>
        <w:rPr>
          <w:rFonts w:cs="Arial"/>
          <w:lang w:bidi="ar-SA"/>
        </w:rPr>
        <w:t>÷</w:t>
      </w:r>
      <w:r>
        <w:rPr>
          <w:lang w:bidi="ar-SA"/>
        </w:rPr>
        <w:t xml:space="preserve"> t</w:t>
      </w:r>
      <w:r>
        <w:rPr>
          <w:rFonts w:cs="Arial"/>
          <w:lang w:bidi="ar-SA"/>
        </w:rPr>
        <w:t>½</w:t>
      </w:r>
      <w:r>
        <w:rPr>
          <w:lang w:bidi="ar-SA"/>
        </w:rPr>
        <w:t>)</w:t>
      </w:r>
    </w:p>
    <w:p w14:paraId="579CBCDE" w14:textId="493DAFAF" w:rsidR="00B43AF2" w:rsidRDefault="00B43AF2" w:rsidP="00A111E9">
      <w:pPr>
        <w:rPr>
          <w:lang w:bidi="ar-SA"/>
        </w:rPr>
      </w:pPr>
      <w:r>
        <w:rPr>
          <w:lang w:bidi="ar-SA"/>
        </w:rPr>
        <w:t xml:space="preserve"> </w:t>
      </w:r>
      <w:r>
        <w:rPr>
          <w:lang w:bidi="ar-SA"/>
        </w:rPr>
        <w:tab/>
        <w:t xml:space="preserve">= 0.23 L/kg </w:t>
      </w:r>
      <w:r w:rsidRPr="00936689">
        <w:rPr>
          <w:lang w:bidi="ar-SA"/>
        </w:rPr>
        <w:t>bw</w:t>
      </w:r>
      <w:r>
        <w:rPr>
          <w:lang w:bidi="ar-SA"/>
        </w:rPr>
        <w:t xml:space="preserve"> x (0.693 </w:t>
      </w:r>
      <w:r>
        <w:rPr>
          <w:rFonts w:cs="Arial"/>
          <w:lang w:bidi="ar-SA"/>
        </w:rPr>
        <w:t>÷</w:t>
      </w:r>
      <w:r>
        <w:rPr>
          <w:lang w:bidi="ar-SA"/>
        </w:rPr>
        <w:t xml:space="preserve"> 1971 days)</w:t>
      </w:r>
    </w:p>
    <w:p w14:paraId="3306767A" w14:textId="033DA591" w:rsidR="00B43AF2" w:rsidRDefault="00B43AF2" w:rsidP="00A111E9">
      <w:pPr>
        <w:rPr>
          <w:lang w:bidi="ar-SA"/>
        </w:rPr>
      </w:pPr>
      <w:r>
        <w:rPr>
          <w:lang w:bidi="ar-SA"/>
        </w:rPr>
        <w:tab/>
        <w:t>= 0.000081 L/kg bw/d</w:t>
      </w:r>
    </w:p>
    <w:p w14:paraId="4CA97DF2" w14:textId="7E4674BF" w:rsidR="00C062C2" w:rsidRDefault="00C062C2" w:rsidP="00A111E9">
      <w:pPr>
        <w:rPr>
          <w:lang w:bidi="ar-SA"/>
        </w:rPr>
      </w:pPr>
    </w:p>
    <w:p w14:paraId="6F054B5E" w14:textId="4BC9D446" w:rsidR="00B43AF2" w:rsidRDefault="00B43AF2" w:rsidP="00A111E9">
      <w:pPr>
        <w:rPr>
          <w:lang w:bidi="ar-SA"/>
        </w:rPr>
      </w:pPr>
      <w:r>
        <w:rPr>
          <w:lang w:bidi="ar-SA"/>
        </w:rPr>
        <w:t>The HED was then calculated using the following equation:</w:t>
      </w:r>
    </w:p>
    <w:p w14:paraId="50865077" w14:textId="77777777" w:rsidR="00B43AF2" w:rsidRDefault="00B43AF2" w:rsidP="00A111E9">
      <w:pPr>
        <w:rPr>
          <w:lang w:bidi="ar-SA"/>
        </w:rPr>
      </w:pPr>
    </w:p>
    <w:p w14:paraId="1AF79FD2" w14:textId="706568A0" w:rsidR="00B43AF2" w:rsidRDefault="00B43AF2" w:rsidP="00A111E9">
      <w:pPr>
        <w:rPr>
          <w:lang w:bidi="ar-SA"/>
        </w:rPr>
      </w:pPr>
      <w:r>
        <w:rPr>
          <w:lang w:bidi="ar-SA"/>
        </w:rPr>
        <w:t>HED</w:t>
      </w:r>
      <w:r>
        <w:rPr>
          <w:lang w:bidi="ar-SA"/>
        </w:rPr>
        <w:tab/>
        <w:t>= average serum concentration (</w:t>
      </w:r>
      <w:r w:rsidR="00CB500B">
        <w:rPr>
          <w:rFonts w:cs="Arial"/>
          <w:lang w:bidi="ar-SA"/>
        </w:rPr>
        <w:t>µg/mL</w:t>
      </w:r>
      <w:r>
        <w:rPr>
          <w:lang w:bidi="ar-SA"/>
        </w:rPr>
        <w:t>) x CL</w:t>
      </w:r>
    </w:p>
    <w:p w14:paraId="268A1A1E" w14:textId="77777777" w:rsidR="00B43AF2" w:rsidRDefault="00B43AF2" w:rsidP="00A111E9">
      <w:pPr>
        <w:rPr>
          <w:lang w:bidi="ar-SA"/>
        </w:rPr>
      </w:pPr>
    </w:p>
    <w:p w14:paraId="7EEDD4A7" w14:textId="15F7D04E" w:rsidR="00B43AF2" w:rsidRDefault="00B43AF2" w:rsidP="00A111E9">
      <w:pPr>
        <w:rPr>
          <w:lang w:bidi="ar-SA"/>
        </w:rPr>
      </w:pPr>
      <w:r>
        <w:rPr>
          <w:lang w:bidi="ar-SA"/>
        </w:rPr>
        <w:t>The scaling assumed linear first</w:t>
      </w:r>
      <w:r w:rsidR="001012A5">
        <w:rPr>
          <w:lang w:bidi="ar-SA"/>
        </w:rPr>
        <w:t xml:space="preserve"> </w:t>
      </w:r>
      <w:r>
        <w:rPr>
          <w:lang w:bidi="ar-SA"/>
        </w:rPr>
        <w:t>order human kinetics. Linear first order kinetics are observed in animals at the doses at which NOAELs and LOAELs occur, although non</w:t>
      </w:r>
      <w:r w:rsidR="000203C4">
        <w:rPr>
          <w:lang w:bidi="ar-SA"/>
        </w:rPr>
        <w:t>linear</w:t>
      </w:r>
      <w:r>
        <w:rPr>
          <w:lang w:bidi="ar-SA"/>
        </w:rPr>
        <w:t xml:space="preserve"> kinetics are observed at higher doses.</w:t>
      </w:r>
    </w:p>
    <w:p w14:paraId="5B76C4E2" w14:textId="77777777" w:rsidR="00B43AF2" w:rsidRDefault="00B43AF2" w:rsidP="00A111E9">
      <w:pPr>
        <w:rPr>
          <w:lang w:bidi="ar-SA"/>
        </w:rPr>
      </w:pPr>
    </w:p>
    <w:p w14:paraId="1EE38F5A" w14:textId="10668684" w:rsidR="006A592C" w:rsidRDefault="00B71D60" w:rsidP="00A111E9">
      <w:pPr>
        <w:rPr>
          <w:lang w:bidi="ar-SA"/>
        </w:rPr>
      </w:pPr>
      <w:r>
        <w:rPr>
          <w:lang w:bidi="ar-SA"/>
        </w:rPr>
        <w:t>U</w:t>
      </w:r>
      <w:r w:rsidR="000C6F4B">
        <w:rPr>
          <w:lang w:bidi="ar-SA"/>
        </w:rPr>
        <w:t>F</w:t>
      </w:r>
      <w:r>
        <w:rPr>
          <w:lang w:bidi="ar-SA"/>
        </w:rPr>
        <w:t xml:space="preserve"> were then applied to the HEDs to derive several candidate RfD values. One study for which pharmacokinetic modelling had been performed was excluded from RfD</w:t>
      </w:r>
      <w:r w:rsidR="0036572F">
        <w:rPr>
          <w:lang w:bidi="ar-SA"/>
        </w:rPr>
        <w:t xml:space="preserve"> derivation</w:t>
      </w:r>
      <w:r w:rsidR="00C95D87">
        <w:rPr>
          <w:lang w:bidi="ar-SA"/>
        </w:rPr>
        <w:t>.</w:t>
      </w:r>
      <w:r>
        <w:rPr>
          <w:lang w:bidi="ar-SA"/>
        </w:rPr>
        <w:t xml:space="preserve"> </w:t>
      </w:r>
      <w:r w:rsidR="00C95D87">
        <w:rPr>
          <w:lang w:bidi="ar-SA"/>
        </w:rPr>
        <w:t>T</w:t>
      </w:r>
      <w:r>
        <w:rPr>
          <w:lang w:bidi="ar-SA"/>
        </w:rPr>
        <w:t xml:space="preserve">his was the 26-week study in monkeys (Seacat </w:t>
      </w:r>
      <w:r w:rsidR="00180A32" w:rsidRPr="00180A32">
        <w:rPr>
          <w:i/>
          <w:lang w:bidi="ar-SA"/>
        </w:rPr>
        <w:t xml:space="preserve">et al. </w:t>
      </w:r>
      <w:r w:rsidR="00F22DA6">
        <w:rPr>
          <w:lang w:bidi="ar-SA"/>
        </w:rPr>
        <w:t xml:space="preserve"> </w:t>
      </w:r>
      <w:r>
        <w:rPr>
          <w:lang w:bidi="ar-SA"/>
        </w:rPr>
        <w:t>2002), which was not used because two of the six male monkeys died at the LOAEL</w:t>
      </w:r>
      <w:r w:rsidR="0036572F">
        <w:rPr>
          <w:lang w:bidi="ar-SA"/>
        </w:rPr>
        <w:t xml:space="preserve"> identified by the US EPA</w:t>
      </w:r>
      <w:r>
        <w:rPr>
          <w:lang w:bidi="ar-SA"/>
        </w:rPr>
        <w:t>.</w:t>
      </w:r>
    </w:p>
    <w:p w14:paraId="6D1D9067" w14:textId="77777777" w:rsidR="00B71D60" w:rsidRDefault="00B71D60" w:rsidP="00A111E9">
      <w:pPr>
        <w:rPr>
          <w:lang w:bidi="ar-SA"/>
        </w:rPr>
      </w:pPr>
    </w:p>
    <w:p w14:paraId="44A6DC6F" w14:textId="6489D8B8" w:rsidR="00B71D60" w:rsidRDefault="00B71D60" w:rsidP="00A111E9">
      <w:pPr>
        <w:rPr>
          <w:lang w:bidi="ar-SA"/>
        </w:rPr>
      </w:pPr>
      <w:r>
        <w:rPr>
          <w:lang w:bidi="ar-SA"/>
        </w:rPr>
        <w:t>An uncertainty factor of 10 was applied in all cases to account for intra</w:t>
      </w:r>
      <w:r w:rsidR="00032CF6">
        <w:rPr>
          <w:lang w:bidi="ar-SA"/>
        </w:rPr>
        <w:t>species</w:t>
      </w:r>
      <w:r>
        <w:rPr>
          <w:lang w:bidi="ar-SA"/>
        </w:rPr>
        <w:t xml:space="preserve"> variability in the human population (UF</w:t>
      </w:r>
      <w:r w:rsidRPr="00B71D60">
        <w:rPr>
          <w:vertAlign w:val="subscript"/>
          <w:lang w:bidi="ar-SA"/>
        </w:rPr>
        <w:t>H</w:t>
      </w:r>
      <w:r>
        <w:rPr>
          <w:lang w:bidi="ar-SA"/>
        </w:rPr>
        <w:t xml:space="preserve">), as was an uncertainty factor of 3 for </w:t>
      </w:r>
      <w:r w:rsidR="00007132">
        <w:rPr>
          <w:lang w:bidi="ar-SA"/>
        </w:rPr>
        <w:t>inter</w:t>
      </w:r>
      <w:r w:rsidR="000203C4">
        <w:rPr>
          <w:lang w:bidi="ar-SA"/>
        </w:rPr>
        <w:t>species</w:t>
      </w:r>
      <w:r w:rsidR="00007132">
        <w:rPr>
          <w:lang w:bidi="ar-SA"/>
        </w:rPr>
        <w:t xml:space="preserve"> differences (UF</w:t>
      </w:r>
      <w:r w:rsidR="00007132" w:rsidRPr="00007132">
        <w:rPr>
          <w:vertAlign w:val="subscript"/>
          <w:lang w:bidi="ar-SA"/>
        </w:rPr>
        <w:t>A</w:t>
      </w:r>
      <w:r w:rsidR="00007132">
        <w:rPr>
          <w:lang w:bidi="ar-SA"/>
        </w:rPr>
        <w:t xml:space="preserve">) in toxicodynamics. An uncertainty factor </w:t>
      </w:r>
      <w:r w:rsidR="00FA6B10">
        <w:rPr>
          <w:lang w:bidi="ar-SA"/>
        </w:rPr>
        <w:t>for LOAEL to NOAEL extrapolation (UF</w:t>
      </w:r>
      <w:r w:rsidR="00FA6B10" w:rsidRPr="00FA6B10">
        <w:rPr>
          <w:vertAlign w:val="subscript"/>
          <w:lang w:bidi="ar-SA"/>
        </w:rPr>
        <w:t>L</w:t>
      </w:r>
      <w:r w:rsidR="00FA6B10">
        <w:rPr>
          <w:lang w:bidi="ar-SA"/>
        </w:rPr>
        <w:t>) of 1 was applied to all but one of the PODs</w:t>
      </w:r>
      <w:r w:rsidR="00E3110F">
        <w:rPr>
          <w:lang w:bidi="ar-SA"/>
        </w:rPr>
        <w:t xml:space="preserve"> as NOAELs were identified in these studies</w:t>
      </w:r>
      <w:r w:rsidR="00FA6B10">
        <w:rPr>
          <w:lang w:bidi="ar-SA"/>
        </w:rPr>
        <w:t>. A UF</w:t>
      </w:r>
      <w:r w:rsidR="00FA6B10" w:rsidRPr="00FA6B10">
        <w:rPr>
          <w:vertAlign w:val="subscript"/>
          <w:lang w:bidi="ar-SA"/>
        </w:rPr>
        <w:t>L</w:t>
      </w:r>
      <w:r w:rsidR="00FA6B10">
        <w:rPr>
          <w:lang w:bidi="ar-SA"/>
        </w:rPr>
        <w:t xml:space="preserve"> of 3 was applied to the HED at the LOAEL (0.4 mg/kg bw/day) for effects on pup body weight in a one-generation reproductive toxicity study</w:t>
      </w:r>
      <w:r w:rsidR="00E3110F">
        <w:rPr>
          <w:lang w:bidi="ar-SA"/>
        </w:rPr>
        <w:t xml:space="preserve"> in rats</w:t>
      </w:r>
      <w:r w:rsidR="00FA6B10">
        <w:rPr>
          <w:lang w:bidi="ar-SA"/>
        </w:rPr>
        <w:t xml:space="preserve"> (Luebker </w:t>
      </w:r>
      <w:r w:rsidR="00180A32" w:rsidRPr="00180A32">
        <w:rPr>
          <w:i/>
          <w:lang w:bidi="ar-SA"/>
        </w:rPr>
        <w:t xml:space="preserve">et al. </w:t>
      </w:r>
      <w:r w:rsidR="00F22DA6">
        <w:rPr>
          <w:lang w:bidi="ar-SA"/>
        </w:rPr>
        <w:t xml:space="preserve"> </w:t>
      </w:r>
      <w:r w:rsidR="00FA6B10">
        <w:rPr>
          <w:lang w:bidi="ar-SA"/>
        </w:rPr>
        <w:t xml:space="preserve">2005a); this value was considered appropriate given that the NOAEL for pup body weight </w:t>
      </w:r>
      <w:r w:rsidR="00C0410F">
        <w:rPr>
          <w:lang w:bidi="ar-SA"/>
        </w:rPr>
        <w:t xml:space="preserve">effects </w:t>
      </w:r>
      <w:r w:rsidR="00FA6B10">
        <w:rPr>
          <w:lang w:bidi="ar-SA"/>
        </w:rPr>
        <w:t xml:space="preserve">was identified as 0.1 mg/kg bw/day in a two-generation study (Luebker </w:t>
      </w:r>
      <w:r w:rsidR="00180A32" w:rsidRPr="00180A32">
        <w:rPr>
          <w:i/>
          <w:lang w:bidi="ar-SA"/>
        </w:rPr>
        <w:t xml:space="preserve">et al. </w:t>
      </w:r>
      <w:r w:rsidR="00F22DA6">
        <w:rPr>
          <w:lang w:bidi="ar-SA"/>
        </w:rPr>
        <w:t xml:space="preserve"> </w:t>
      </w:r>
      <w:r w:rsidR="00FA6B10">
        <w:rPr>
          <w:lang w:bidi="ar-SA"/>
        </w:rPr>
        <w:t>2005b).</w:t>
      </w:r>
    </w:p>
    <w:p w14:paraId="2E4682F5" w14:textId="77777777" w:rsidR="00FA6B10" w:rsidRDefault="00FA6B10" w:rsidP="00A111E9">
      <w:pPr>
        <w:rPr>
          <w:lang w:bidi="ar-SA"/>
        </w:rPr>
      </w:pPr>
    </w:p>
    <w:p w14:paraId="1A8F6222" w14:textId="58BB7AC6" w:rsidR="00FA6B10" w:rsidRDefault="00FA6B10" w:rsidP="00A111E9">
      <w:pPr>
        <w:rPr>
          <w:lang w:bidi="ar-SA"/>
        </w:rPr>
      </w:pPr>
      <w:r>
        <w:rPr>
          <w:lang w:bidi="ar-SA"/>
        </w:rPr>
        <w:t xml:space="preserve">An uncertainty factor of </w:t>
      </w:r>
      <w:r w:rsidR="00E14E22">
        <w:rPr>
          <w:lang w:bidi="ar-SA"/>
        </w:rPr>
        <w:t>1 was applied for extrapolation from a subchronic to a chronic exposure duration (UF</w:t>
      </w:r>
      <w:r w:rsidR="00E14E22" w:rsidRPr="00D45A3D">
        <w:rPr>
          <w:vertAlign w:val="subscript"/>
          <w:lang w:bidi="ar-SA"/>
        </w:rPr>
        <w:t>S</w:t>
      </w:r>
      <w:r w:rsidR="00E14E22">
        <w:rPr>
          <w:lang w:bidi="ar-SA"/>
        </w:rPr>
        <w:t>)</w:t>
      </w:r>
      <w:r w:rsidR="00D45A3D">
        <w:rPr>
          <w:lang w:bidi="ar-SA"/>
        </w:rPr>
        <w:t xml:space="preserve"> because the PODs are based on average serum concentrations. The US EPA noted that although some of the animals in the 14 week toxicity study in rats (Seacat </w:t>
      </w:r>
      <w:r w:rsidR="00180A32" w:rsidRPr="00180A32">
        <w:rPr>
          <w:i/>
          <w:lang w:bidi="ar-SA"/>
        </w:rPr>
        <w:t xml:space="preserve">et al. </w:t>
      </w:r>
      <w:r w:rsidR="00F22DA6">
        <w:rPr>
          <w:lang w:bidi="ar-SA"/>
        </w:rPr>
        <w:t xml:space="preserve"> </w:t>
      </w:r>
      <w:r w:rsidR="00D45A3D">
        <w:rPr>
          <w:lang w:bidi="ar-SA"/>
        </w:rPr>
        <w:t>2003) continued to be dosed for a total of 105 weeks, the effects observed at the LOAEL did not increase in magnitude, plus serum and liver PFOS concentrations were higher at 14 weeks than they were at 105 weeks. Therefore it was not considered necessary to apply an additional UF</w:t>
      </w:r>
      <w:r w:rsidR="00D45A3D" w:rsidRPr="00D45A3D">
        <w:rPr>
          <w:vertAlign w:val="subscript"/>
          <w:lang w:bidi="ar-SA"/>
        </w:rPr>
        <w:t>S</w:t>
      </w:r>
      <w:r w:rsidR="00D45A3D">
        <w:rPr>
          <w:lang w:bidi="ar-SA"/>
        </w:rPr>
        <w:t xml:space="preserve"> to the POD for this study.</w:t>
      </w:r>
    </w:p>
    <w:p w14:paraId="2D806525" w14:textId="77777777" w:rsidR="00D45A3D" w:rsidRDefault="00D45A3D" w:rsidP="00A111E9">
      <w:pPr>
        <w:rPr>
          <w:lang w:bidi="ar-SA"/>
        </w:rPr>
      </w:pPr>
    </w:p>
    <w:p w14:paraId="239F1A01" w14:textId="70883A08" w:rsidR="00D45A3D" w:rsidRDefault="00D45A3D" w:rsidP="00A111E9">
      <w:pPr>
        <w:rPr>
          <w:lang w:bidi="ar-SA"/>
        </w:rPr>
      </w:pPr>
      <w:r>
        <w:rPr>
          <w:lang w:bidi="ar-SA"/>
        </w:rPr>
        <w:t>An uncertainty factor for database deficiencies (UF</w:t>
      </w:r>
      <w:r w:rsidR="00C0410F" w:rsidRPr="00C0410F">
        <w:rPr>
          <w:vertAlign w:val="subscript"/>
          <w:lang w:bidi="ar-SA"/>
        </w:rPr>
        <w:t>D</w:t>
      </w:r>
      <w:r>
        <w:rPr>
          <w:lang w:bidi="ar-SA"/>
        </w:rPr>
        <w:t>) of 1 was applied in all cases, based on the availability of comprehensive oral short term, subchronic and chronic studies in three species as well as several neurotoxicity, developmental, reproductive and immune toxicity studies.</w:t>
      </w:r>
    </w:p>
    <w:p w14:paraId="46E45755" w14:textId="77777777" w:rsidR="00D45A3D" w:rsidRDefault="00D45A3D" w:rsidP="00A111E9">
      <w:pPr>
        <w:rPr>
          <w:lang w:bidi="ar-SA"/>
        </w:rPr>
      </w:pPr>
    </w:p>
    <w:p w14:paraId="3DB573E5" w14:textId="27EB0F8F" w:rsidR="00D45A3D" w:rsidRDefault="00D45A3D" w:rsidP="00A111E9">
      <w:pPr>
        <w:rPr>
          <w:lang w:bidi="ar-SA"/>
        </w:rPr>
      </w:pPr>
      <w:r>
        <w:rPr>
          <w:lang w:bidi="ar-SA"/>
        </w:rPr>
        <w:t xml:space="preserve">The Candidate RfDs are shown in </w:t>
      </w:r>
      <w:r>
        <w:rPr>
          <w:lang w:bidi="ar-SA"/>
        </w:rPr>
        <w:fldChar w:fldCharType="begin"/>
      </w:r>
      <w:r>
        <w:rPr>
          <w:lang w:bidi="ar-SA"/>
        </w:rPr>
        <w:instrText xml:space="preserve"> REF _Ref466531748 \h </w:instrText>
      </w:r>
      <w:r>
        <w:rPr>
          <w:lang w:bidi="ar-SA"/>
        </w:rPr>
      </w:r>
      <w:r>
        <w:rPr>
          <w:lang w:bidi="ar-SA"/>
        </w:rPr>
        <w:fldChar w:fldCharType="separate"/>
      </w:r>
      <w:r w:rsidR="00F4394A">
        <w:t xml:space="preserve">Table </w:t>
      </w:r>
      <w:r w:rsidR="00F4394A">
        <w:rPr>
          <w:noProof/>
        </w:rPr>
        <w:t>2</w:t>
      </w:r>
      <w:r>
        <w:rPr>
          <w:lang w:bidi="ar-SA"/>
        </w:rPr>
        <w:fldChar w:fldCharType="end"/>
      </w:r>
      <w:r>
        <w:rPr>
          <w:lang w:bidi="ar-SA"/>
        </w:rPr>
        <w:t>.</w:t>
      </w:r>
    </w:p>
    <w:p w14:paraId="4CA1F439" w14:textId="77777777" w:rsidR="006F1600" w:rsidRDefault="006F1600">
      <w:pPr>
        <w:widowControl/>
        <w:rPr>
          <w:rFonts w:cs="Arial"/>
          <w:b/>
        </w:rPr>
      </w:pPr>
      <w:bookmarkStart w:id="88" w:name="_Ref466531748"/>
      <w:r>
        <w:br w:type="page"/>
      </w:r>
    </w:p>
    <w:p w14:paraId="712D0993" w14:textId="1225BBCA" w:rsidR="006A592C" w:rsidRPr="006A592C" w:rsidRDefault="006A592C" w:rsidP="006F1600">
      <w:pPr>
        <w:pStyle w:val="FSTableTitle"/>
      </w:pPr>
      <w:r>
        <w:lastRenderedPageBreak/>
        <w:t xml:space="preserve">Table </w:t>
      </w:r>
      <w:r w:rsidR="00BC19E6">
        <w:fldChar w:fldCharType="begin"/>
      </w:r>
      <w:r w:rsidR="00BC19E6">
        <w:instrText xml:space="preserve"> SEQ Table \* ARABIC </w:instrText>
      </w:r>
      <w:r w:rsidR="00BC19E6">
        <w:fldChar w:fldCharType="separate"/>
      </w:r>
      <w:r w:rsidR="00F4394A">
        <w:rPr>
          <w:noProof/>
        </w:rPr>
        <w:t>2</w:t>
      </w:r>
      <w:r w:rsidR="00BC19E6">
        <w:rPr>
          <w:noProof/>
        </w:rPr>
        <w:fldChar w:fldCharType="end"/>
      </w:r>
      <w:bookmarkEnd w:id="88"/>
      <w:r w:rsidR="00BE256E">
        <w:t>:</w:t>
      </w:r>
      <w:r>
        <w:t xml:space="preserve"> Candidate RfDs </w:t>
      </w:r>
      <w:r w:rsidR="00AD7215">
        <w:t xml:space="preserve">for PFOS </w:t>
      </w:r>
      <w:r>
        <w:t xml:space="preserve">based on </w:t>
      </w:r>
      <w:r w:rsidR="00185513">
        <w:t>HEDs</w:t>
      </w:r>
    </w:p>
    <w:tbl>
      <w:tblPr>
        <w:tblStyle w:val="TableGrid"/>
        <w:tblW w:w="9606" w:type="dxa"/>
        <w:tblLayout w:type="fixed"/>
        <w:tblLook w:val="04A0" w:firstRow="1" w:lastRow="0" w:firstColumn="1" w:lastColumn="0" w:noHBand="0" w:noVBand="1"/>
        <w:tblCaption w:val="Table 2: Candidate RfDs for PFOS based on HEDs"/>
        <w:tblDescription w:val="This table contains the Candidate Reference Doses for PFOS based on HEDS."/>
      </w:tblPr>
      <w:tblGrid>
        <w:gridCol w:w="3174"/>
        <w:gridCol w:w="1317"/>
        <w:gridCol w:w="560"/>
        <w:gridCol w:w="560"/>
        <w:gridCol w:w="557"/>
        <w:gridCol w:w="558"/>
        <w:gridCol w:w="647"/>
        <w:gridCol w:w="706"/>
        <w:gridCol w:w="1527"/>
      </w:tblGrid>
      <w:tr w:rsidR="00D45A3D" w14:paraId="1CFF6259" w14:textId="77777777" w:rsidTr="00A24D2A">
        <w:trPr>
          <w:tblHeader/>
        </w:trPr>
        <w:tc>
          <w:tcPr>
            <w:tcW w:w="3174" w:type="dxa"/>
            <w:shd w:val="clear" w:color="auto" w:fill="auto"/>
            <w:vAlign w:val="center"/>
          </w:tcPr>
          <w:p w14:paraId="11CC5E43" w14:textId="30EF1FD3" w:rsidR="00D45A3D" w:rsidRPr="00A24D2A" w:rsidRDefault="00D45A3D" w:rsidP="00A111E9">
            <w:pPr>
              <w:pStyle w:val="FSTableText"/>
              <w:spacing w:before="40" w:after="40"/>
              <w:rPr>
                <w:rFonts w:ascii="Arial" w:hAnsi="Arial"/>
                <w:b/>
              </w:rPr>
            </w:pPr>
            <w:r w:rsidRPr="00A24D2A">
              <w:rPr>
                <w:b/>
              </w:rPr>
              <w:t>Study; endpoint</w:t>
            </w:r>
          </w:p>
        </w:tc>
        <w:tc>
          <w:tcPr>
            <w:tcW w:w="1317" w:type="dxa"/>
            <w:shd w:val="clear" w:color="auto" w:fill="auto"/>
            <w:vAlign w:val="center"/>
          </w:tcPr>
          <w:p w14:paraId="6848E11E" w14:textId="77777777" w:rsidR="00D45A3D" w:rsidRPr="00A24D2A" w:rsidRDefault="00D45A3D" w:rsidP="00326B55">
            <w:pPr>
              <w:pStyle w:val="FSTableText"/>
              <w:spacing w:before="40" w:after="40"/>
              <w:jc w:val="right"/>
              <w:rPr>
                <w:rFonts w:ascii="Arial" w:hAnsi="Arial"/>
                <w:b/>
              </w:rPr>
            </w:pPr>
            <w:r w:rsidRPr="00A24D2A">
              <w:rPr>
                <w:b/>
              </w:rPr>
              <w:t>PK-HED</w:t>
            </w:r>
          </w:p>
          <w:p w14:paraId="4EF11F41" w14:textId="4E587909" w:rsidR="00D45A3D" w:rsidRPr="00A24D2A" w:rsidRDefault="00D45A3D" w:rsidP="00326B55">
            <w:pPr>
              <w:pStyle w:val="FSTableText"/>
              <w:spacing w:before="40" w:after="40"/>
              <w:jc w:val="right"/>
              <w:rPr>
                <w:rFonts w:ascii="Arial" w:hAnsi="Arial"/>
                <w:b/>
              </w:rPr>
            </w:pPr>
            <w:r w:rsidRPr="00A24D2A">
              <w:rPr>
                <w:b/>
              </w:rPr>
              <w:t>mg/kg/d</w:t>
            </w:r>
            <w:r w:rsidR="00AD7215" w:rsidRPr="00A24D2A">
              <w:rPr>
                <w:b/>
              </w:rPr>
              <w:t>ay</w:t>
            </w:r>
          </w:p>
        </w:tc>
        <w:tc>
          <w:tcPr>
            <w:tcW w:w="560" w:type="dxa"/>
            <w:shd w:val="clear" w:color="auto" w:fill="auto"/>
            <w:vAlign w:val="center"/>
          </w:tcPr>
          <w:p w14:paraId="1348D4E9" w14:textId="77777777" w:rsidR="00D45A3D" w:rsidRPr="00A24D2A" w:rsidRDefault="00D45A3D" w:rsidP="00326B55">
            <w:pPr>
              <w:pStyle w:val="FSTableText"/>
              <w:spacing w:before="40" w:after="40"/>
              <w:jc w:val="right"/>
              <w:rPr>
                <w:rFonts w:ascii="Arial" w:hAnsi="Arial"/>
                <w:b/>
              </w:rPr>
            </w:pPr>
            <w:r w:rsidRPr="00A24D2A">
              <w:rPr>
                <w:b/>
              </w:rPr>
              <w:t>UF</w:t>
            </w:r>
            <w:r w:rsidRPr="00A24D2A">
              <w:rPr>
                <w:b/>
                <w:vertAlign w:val="subscript"/>
              </w:rPr>
              <w:t>H</w:t>
            </w:r>
          </w:p>
        </w:tc>
        <w:tc>
          <w:tcPr>
            <w:tcW w:w="560" w:type="dxa"/>
            <w:shd w:val="clear" w:color="auto" w:fill="auto"/>
            <w:vAlign w:val="center"/>
          </w:tcPr>
          <w:p w14:paraId="6C1CAF61" w14:textId="77777777" w:rsidR="00D45A3D" w:rsidRPr="00A24D2A" w:rsidRDefault="00D45A3D" w:rsidP="00326B55">
            <w:pPr>
              <w:pStyle w:val="FSTableText"/>
              <w:spacing w:before="40" w:after="40"/>
              <w:jc w:val="right"/>
              <w:rPr>
                <w:rFonts w:ascii="Arial" w:hAnsi="Arial"/>
                <w:b/>
              </w:rPr>
            </w:pPr>
            <w:r w:rsidRPr="00A24D2A">
              <w:rPr>
                <w:b/>
              </w:rPr>
              <w:t>UF</w:t>
            </w:r>
            <w:r w:rsidRPr="00A24D2A">
              <w:rPr>
                <w:b/>
                <w:vertAlign w:val="subscript"/>
              </w:rPr>
              <w:t>A</w:t>
            </w:r>
          </w:p>
        </w:tc>
        <w:tc>
          <w:tcPr>
            <w:tcW w:w="557" w:type="dxa"/>
            <w:shd w:val="clear" w:color="auto" w:fill="auto"/>
            <w:vAlign w:val="center"/>
          </w:tcPr>
          <w:p w14:paraId="23811A0C" w14:textId="77777777" w:rsidR="00D45A3D" w:rsidRPr="00A24D2A" w:rsidRDefault="00D45A3D" w:rsidP="00326B55">
            <w:pPr>
              <w:pStyle w:val="FSTableText"/>
              <w:spacing w:before="40" w:after="40"/>
              <w:jc w:val="right"/>
              <w:rPr>
                <w:rFonts w:ascii="Arial" w:hAnsi="Arial"/>
                <w:b/>
              </w:rPr>
            </w:pPr>
            <w:r w:rsidRPr="00A24D2A">
              <w:rPr>
                <w:b/>
              </w:rPr>
              <w:t>UF</w:t>
            </w:r>
            <w:r w:rsidRPr="00A24D2A">
              <w:rPr>
                <w:b/>
                <w:vertAlign w:val="subscript"/>
              </w:rPr>
              <w:t>L</w:t>
            </w:r>
          </w:p>
        </w:tc>
        <w:tc>
          <w:tcPr>
            <w:tcW w:w="558" w:type="dxa"/>
            <w:shd w:val="clear" w:color="auto" w:fill="auto"/>
            <w:vAlign w:val="center"/>
          </w:tcPr>
          <w:p w14:paraId="2AD0F0F0" w14:textId="77777777" w:rsidR="00D45A3D" w:rsidRPr="00A24D2A" w:rsidRDefault="00D45A3D" w:rsidP="00326B55">
            <w:pPr>
              <w:pStyle w:val="FSTableText"/>
              <w:spacing w:before="40" w:after="40"/>
              <w:jc w:val="right"/>
              <w:rPr>
                <w:rFonts w:ascii="Arial" w:hAnsi="Arial"/>
                <w:b/>
              </w:rPr>
            </w:pPr>
            <w:r w:rsidRPr="00A24D2A">
              <w:rPr>
                <w:b/>
              </w:rPr>
              <w:t>UF</w:t>
            </w:r>
            <w:r w:rsidRPr="00A24D2A">
              <w:rPr>
                <w:b/>
                <w:vertAlign w:val="subscript"/>
              </w:rPr>
              <w:t>S</w:t>
            </w:r>
          </w:p>
        </w:tc>
        <w:tc>
          <w:tcPr>
            <w:tcW w:w="647" w:type="dxa"/>
            <w:shd w:val="clear" w:color="auto" w:fill="auto"/>
            <w:vAlign w:val="center"/>
          </w:tcPr>
          <w:p w14:paraId="2CECBA7D" w14:textId="529AABAF" w:rsidR="00D45A3D" w:rsidRPr="00A24D2A" w:rsidRDefault="00D45A3D" w:rsidP="00326B55">
            <w:pPr>
              <w:pStyle w:val="FSTableText"/>
              <w:spacing w:before="40" w:after="40"/>
              <w:jc w:val="right"/>
              <w:rPr>
                <w:rFonts w:ascii="Arial" w:hAnsi="Arial"/>
                <w:b/>
              </w:rPr>
            </w:pPr>
            <w:r w:rsidRPr="00A24D2A">
              <w:rPr>
                <w:b/>
              </w:rPr>
              <w:t>UF</w:t>
            </w:r>
            <w:r w:rsidRPr="00A24D2A">
              <w:rPr>
                <w:b/>
                <w:vertAlign w:val="subscript"/>
              </w:rPr>
              <w:t>D</w:t>
            </w:r>
          </w:p>
        </w:tc>
        <w:tc>
          <w:tcPr>
            <w:tcW w:w="706" w:type="dxa"/>
            <w:shd w:val="clear" w:color="auto" w:fill="auto"/>
            <w:vAlign w:val="center"/>
          </w:tcPr>
          <w:p w14:paraId="2CB7F1F8" w14:textId="5C39B54A" w:rsidR="00D45A3D" w:rsidRPr="00A24D2A" w:rsidRDefault="00D45A3D" w:rsidP="00326B55">
            <w:pPr>
              <w:pStyle w:val="FSTableText"/>
              <w:spacing w:before="40" w:after="40"/>
              <w:jc w:val="right"/>
              <w:rPr>
                <w:rFonts w:ascii="Arial" w:hAnsi="Arial"/>
                <w:b/>
              </w:rPr>
            </w:pPr>
            <w:r w:rsidRPr="00A24D2A">
              <w:rPr>
                <w:b/>
              </w:rPr>
              <w:t>UF</w:t>
            </w:r>
            <w:r w:rsidRPr="00A24D2A">
              <w:rPr>
                <w:b/>
                <w:vertAlign w:val="subscript"/>
              </w:rPr>
              <w:t>total</w:t>
            </w:r>
          </w:p>
        </w:tc>
        <w:tc>
          <w:tcPr>
            <w:tcW w:w="1527" w:type="dxa"/>
            <w:shd w:val="clear" w:color="auto" w:fill="auto"/>
            <w:vAlign w:val="center"/>
          </w:tcPr>
          <w:p w14:paraId="27CA7536" w14:textId="33281A3F" w:rsidR="00D45A3D" w:rsidRPr="00F6284E" w:rsidRDefault="00D45A3D" w:rsidP="00326B55">
            <w:pPr>
              <w:pStyle w:val="FSTableText"/>
              <w:spacing w:before="40" w:after="40"/>
              <w:jc w:val="right"/>
              <w:rPr>
                <w:rFonts w:ascii="Arial" w:hAnsi="Arial"/>
                <w:b/>
              </w:rPr>
            </w:pPr>
            <w:r w:rsidRPr="00A24D2A">
              <w:rPr>
                <w:b/>
              </w:rPr>
              <w:t>RfD (mg/kg bw/d</w:t>
            </w:r>
            <w:r w:rsidR="00AD7215" w:rsidRPr="00A24D2A">
              <w:rPr>
                <w:b/>
              </w:rPr>
              <w:t>ay</w:t>
            </w:r>
            <w:r w:rsidRPr="00A24D2A">
              <w:rPr>
                <w:b/>
              </w:rPr>
              <w:t>)</w:t>
            </w:r>
          </w:p>
        </w:tc>
      </w:tr>
      <w:tr w:rsidR="00D45A3D" w14:paraId="36B4C1E1" w14:textId="77777777" w:rsidTr="00F6284E">
        <w:tc>
          <w:tcPr>
            <w:tcW w:w="3174" w:type="dxa"/>
            <w:vAlign w:val="center"/>
          </w:tcPr>
          <w:p w14:paraId="0C6CBFFC" w14:textId="679EC432" w:rsidR="00D45A3D" w:rsidRPr="00F6284E" w:rsidRDefault="00D45A3D" w:rsidP="00A111E9">
            <w:pPr>
              <w:pStyle w:val="FSTableText"/>
              <w:rPr>
                <w:rFonts w:ascii="Arial" w:hAnsi="Arial"/>
              </w:rPr>
            </w:pPr>
            <w:r>
              <w:rPr>
                <w:lang w:bidi="ar-SA"/>
              </w:rPr>
              <w:t xml:space="preserve">Seacat </w:t>
            </w:r>
            <w:r w:rsidR="00180A32" w:rsidRPr="00180A32">
              <w:rPr>
                <w:i/>
                <w:lang w:bidi="ar-SA"/>
              </w:rPr>
              <w:t xml:space="preserve">et al. </w:t>
            </w:r>
            <w:r w:rsidR="00F22DA6">
              <w:rPr>
                <w:lang w:bidi="ar-SA"/>
              </w:rPr>
              <w:t xml:space="preserve"> </w:t>
            </w:r>
            <w:r w:rsidR="00D11BAB">
              <w:rPr>
                <w:lang w:bidi="ar-SA"/>
              </w:rPr>
              <w:t>2003; NOAEL for ↑ ALT, ↑ BUN in rats (14 week study)</w:t>
            </w:r>
          </w:p>
        </w:tc>
        <w:tc>
          <w:tcPr>
            <w:tcW w:w="1317" w:type="dxa"/>
            <w:vAlign w:val="center"/>
          </w:tcPr>
          <w:p w14:paraId="430DDD3F" w14:textId="20BDDBD3" w:rsidR="00D45A3D" w:rsidRPr="00D711DD" w:rsidRDefault="00D11BAB" w:rsidP="00326B55">
            <w:pPr>
              <w:pStyle w:val="FSTableText"/>
              <w:ind w:right="113"/>
              <w:jc w:val="right"/>
              <w:rPr>
                <w:rFonts w:ascii="Arial" w:hAnsi="Arial"/>
              </w:rPr>
            </w:pPr>
            <w:r>
              <w:rPr>
                <w:lang w:bidi="ar-SA"/>
              </w:rPr>
              <w:t>0.0013</w:t>
            </w:r>
          </w:p>
        </w:tc>
        <w:tc>
          <w:tcPr>
            <w:tcW w:w="560" w:type="dxa"/>
            <w:vAlign w:val="center"/>
          </w:tcPr>
          <w:p w14:paraId="05ED844B" w14:textId="636DD2A5" w:rsidR="00D45A3D" w:rsidRPr="00D711DD" w:rsidRDefault="00D11BAB" w:rsidP="00326B55">
            <w:pPr>
              <w:pStyle w:val="FSTableText"/>
              <w:jc w:val="right"/>
              <w:rPr>
                <w:rFonts w:ascii="Arial" w:hAnsi="Arial"/>
              </w:rPr>
            </w:pPr>
            <w:r>
              <w:rPr>
                <w:lang w:bidi="ar-SA"/>
              </w:rPr>
              <w:t>10</w:t>
            </w:r>
          </w:p>
        </w:tc>
        <w:tc>
          <w:tcPr>
            <w:tcW w:w="560" w:type="dxa"/>
            <w:vAlign w:val="center"/>
          </w:tcPr>
          <w:p w14:paraId="03F8F2E3" w14:textId="0736ED38" w:rsidR="00D45A3D" w:rsidRPr="00D711DD" w:rsidRDefault="00D11BAB" w:rsidP="00326B55">
            <w:pPr>
              <w:pStyle w:val="FSTableText"/>
              <w:jc w:val="right"/>
              <w:rPr>
                <w:rFonts w:ascii="Arial" w:hAnsi="Arial"/>
              </w:rPr>
            </w:pPr>
            <w:r>
              <w:rPr>
                <w:lang w:bidi="ar-SA"/>
              </w:rPr>
              <w:t>3</w:t>
            </w:r>
          </w:p>
        </w:tc>
        <w:tc>
          <w:tcPr>
            <w:tcW w:w="557" w:type="dxa"/>
            <w:vAlign w:val="center"/>
          </w:tcPr>
          <w:p w14:paraId="008AA671" w14:textId="2AC45A47" w:rsidR="00D45A3D" w:rsidRPr="00D711DD" w:rsidRDefault="00D11BAB" w:rsidP="00326B55">
            <w:pPr>
              <w:pStyle w:val="FSTableText"/>
              <w:jc w:val="right"/>
              <w:rPr>
                <w:rFonts w:ascii="Arial" w:hAnsi="Arial"/>
              </w:rPr>
            </w:pPr>
            <w:r>
              <w:rPr>
                <w:lang w:bidi="ar-SA"/>
              </w:rPr>
              <w:t>1</w:t>
            </w:r>
          </w:p>
        </w:tc>
        <w:tc>
          <w:tcPr>
            <w:tcW w:w="558" w:type="dxa"/>
            <w:vAlign w:val="center"/>
          </w:tcPr>
          <w:p w14:paraId="621FE476" w14:textId="17FBD099" w:rsidR="00D45A3D" w:rsidRPr="00D711DD" w:rsidRDefault="00D11BAB" w:rsidP="00326B55">
            <w:pPr>
              <w:pStyle w:val="FSTableText"/>
              <w:jc w:val="right"/>
              <w:rPr>
                <w:rFonts w:ascii="Arial" w:hAnsi="Arial"/>
              </w:rPr>
            </w:pPr>
            <w:r>
              <w:rPr>
                <w:lang w:bidi="ar-SA"/>
              </w:rPr>
              <w:t>1</w:t>
            </w:r>
          </w:p>
        </w:tc>
        <w:tc>
          <w:tcPr>
            <w:tcW w:w="647" w:type="dxa"/>
            <w:vAlign w:val="center"/>
          </w:tcPr>
          <w:p w14:paraId="7C3543FA" w14:textId="080DE945" w:rsidR="00D45A3D" w:rsidRPr="00D711DD" w:rsidRDefault="00D11BAB" w:rsidP="00326B55">
            <w:pPr>
              <w:pStyle w:val="FSTableText"/>
              <w:jc w:val="right"/>
              <w:rPr>
                <w:rFonts w:ascii="Arial" w:hAnsi="Arial"/>
              </w:rPr>
            </w:pPr>
            <w:r>
              <w:rPr>
                <w:lang w:bidi="ar-SA"/>
              </w:rPr>
              <w:t>1</w:t>
            </w:r>
          </w:p>
        </w:tc>
        <w:tc>
          <w:tcPr>
            <w:tcW w:w="706" w:type="dxa"/>
            <w:vAlign w:val="center"/>
          </w:tcPr>
          <w:p w14:paraId="7C8C7189" w14:textId="29B600B7" w:rsidR="00D45A3D" w:rsidRPr="00D711DD" w:rsidRDefault="00D11BAB" w:rsidP="00326B55">
            <w:pPr>
              <w:pStyle w:val="FSTableText"/>
              <w:jc w:val="right"/>
              <w:rPr>
                <w:rFonts w:ascii="Arial" w:hAnsi="Arial"/>
              </w:rPr>
            </w:pPr>
            <w:r>
              <w:rPr>
                <w:lang w:bidi="ar-SA"/>
              </w:rPr>
              <w:t>30</w:t>
            </w:r>
          </w:p>
        </w:tc>
        <w:tc>
          <w:tcPr>
            <w:tcW w:w="1527" w:type="dxa"/>
            <w:vAlign w:val="center"/>
          </w:tcPr>
          <w:p w14:paraId="32EC84F0" w14:textId="2D9FD067" w:rsidR="00D45A3D" w:rsidRPr="00D711DD" w:rsidRDefault="00D11BAB" w:rsidP="00326B55">
            <w:pPr>
              <w:pStyle w:val="FSTableText"/>
              <w:ind w:right="113"/>
              <w:jc w:val="right"/>
              <w:rPr>
                <w:rFonts w:ascii="Arial" w:hAnsi="Arial"/>
              </w:rPr>
            </w:pPr>
            <w:r>
              <w:rPr>
                <w:lang w:bidi="ar-SA"/>
              </w:rPr>
              <w:t>0.00004</w:t>
            </w:r>
          </w:p>
        </w:tc>
      </w:tr>
      <w:tr w:rsidR="00D45A3D" w14:paraId="22DC2534" w14:textId="77777777" w:rsidTr="00F6284E">
        <w:tc>
          <w:tcPr>
            <w:tcW w:w="3174" w:type="dxa"/>
            <w:vAlign w:val="center"/>
          </w:tcPr>
          <w:p w14:paraId="4F7EB4A5" w14:textId="4926E2A2" w:rsidR="00D45A3D" w:rsidRPr="00F6284E" w:rsidRDefault="00EA10A5" w:rsidP="00A111E9">
            <w:pPr>
              <w:pStyle w:val="FSTableText"/>
              <w:rPr>
                <w:rFonts w:ascii="Arial" w:hAnsi="Arial"/>
              </w:rPr>
            </w:pPr>
            <w:r>
              <w:rPr>
                <w:lang w:bidi="ar-SA"/>
              </w:rPr>
              <w:t xml:space="preserve">Lau </w:t>
            </w:r>
            <w:r w:rsidR="00180A32" w:rsidRPr="00180A32">
              <w:rPr>
                <w:i/>
                <w:lang w:bidi="ar-SA"/>
              </w:rPr>
              <w:t xml:space="preserve">et al. </w:t>
            </w:r>
            <w:r w:rsidR="00F22DA6">
              <w:rPr>
                <w:lang w:bidi="ar-SA"/>
              </w:rPr>
              <w:t xml:space="preserve"> </w:t>
            </w:r>
            <w:r>
              <w:rPr>
                <w:lang w:bidi="ar-SA"/>
              </w:rPr>
              <w:t>2003; NOAEL for ↓ pup survival in rats (developmental study)</w:t>
            </w:r>
          </w:p>
        </w:tc>
        <w:tc>
          <w:tcPr>
            <w:tcW w:w="1317" w:type="dxa"/>
            <w:vAlign w:val="center"/>
          </w:tcPr>
          <w:p w14:paraId="4AE50AF6" w14:textId="14789FF9" w:rsidR="00D45A3D" w:rsidRPr="00D711DD" w:rsidRDefault="00EA10A5" w:rsidP="00326B55">
            <w:pPr>
              <w:pStyle w:val="FSTableText"/>
              <w:ind w:right="113"/>
              <w:jc w:val="right"/>
              <w:rPr>
                <w:rFonts w:ascii="Arial" w:hAnsi="Arial"/>
              </w:rPr>
            </w:pPr>
            <w:r>
              <w:rPr>
                <w:lang w:bidi="ar-SA"/>
              </w:rPr>
              <w:t>0.0014</w:t>
            </w:r>
          </w:p>
        </w:tc>
        <w:tc>
          <w:tcPr>
            <w:tcW w:w="560" w:type="dxa"/>
            <w:vAlign w:val="center"/>
          </w:tcPr>
          <w:p w14:paraId="4FE26438" w14:textId="4A0D8211" w:rsidR="00D45A3D" w:rsidRPr="00D711DD" w:rsidRDefault="00EA10A5" w:rsidP="00326B55">
            <w:pPr>
              <w:pStyle w:val="FSTableText"/>
              <w:jc w:val="right"/>
              <w:rPr>
                <w:rFonts w:ascii="Arial" w:hAnsi="Arial"/>
              </w:rPr>
            </w:pPr>
            <w:r>
              <w:rPr>
                <w:lang w:bidi="ar-SA"/>
              </w:rPr>
              <w:t>10</w:t>
            </w:r>
          </w:p>
        </w:tc>
        <w:tc>
          <w:tcPr>
            <w:tcW w:w="560" w:type="dxa"/>
            <w:vAlign w:val="center"/>
          </w:tcPr>
          <w:p w14:paraId="3B2BA4EA" w14:textId="03439887" w:rsidR="00D45A3D" w:rsidRPr="00D711DD" w:rsidRDefault="00EA10A5" w:rsidP="00326B55">
            <w:pPr>
              <w:pStyle w:val="FSTableText"/>
              <w:jc w:val="right"/>
              <w:rPr>
                <w:rFonts w:ascii="Arial" w:hAnsi="Arial"/>
              </w:rPr>
            </w:pPr>
            <w:r>
              <w:rPr>
                <w:lang w:bidi="ar-SA"/>
              </w:rPr>
              <w:t>3</w:t>
            </w:r>
          </w:p>
        </w:tc>
        <w:tc>
          <w:tcPr>
            <w:tcW w:w="557" w:type="dxa"/>
            <w:vAlign w:val="center"/>
          </w:tcPr>
          <w:p w14:paraId="1462866B" w14:textId="04FF3E69" w:rsidR="00D45A3D" w:rsidRPr="00D711DD" w:rsidRDefault="00EA10A5" w:rsidP="00326B55">
            <w:pPr>
              <w:pStyle w:val="FSTableText"/>
              <w:jc w:val="right"/>
              <w:rPr>
                <w:rFonts w:ascii="Arial" w:hAnsi="Arial"/>
              </w:rPr>
            </w:pPr>
            <w:r>
              <w:rPr>
                <w:lang w:bidi="ar-SA"/>
              </w:rPr>
              <w:t>1</w:t>
            </w:r>
          </w:p>
        </w:tc>
        <w:tc>
          <w:tcPr>
            <w:tcW w:w="558" w:type="dxa"/>
            <w:vAlign w:val="center"/>
          </w:tcPr>
          <w:p w14:paraId="22CB6F72" w14:textId="21EE0771" w:rsidR="00D45A3D" w:rsidRPr="00D711DD" w:rsidRDefault="00EA10A5" w:rsidP="00326B55">
            <w:pPr>
              <w:pStyle w:val="FSTableText"/>
              <w:jc w:val="right"/>
              <w:rPr>
                <w:rFonts w:ascii="Arial" w:hAnsi="Arial"/>
              </w:rPr>
            </w:pPr>
            <w:r>
              <w:rPr>
                <w:lang w:bidi="ar-SA"/>
              </w:rPr>
              <w:t>1</w:t>
            </w:r>
          </w:p>
        </w:tc>
        <w:tc>
          <w:tcPr>
            <w:tcW w:w="647" w:type="dxa"/>
            <w:vAlign w:val="center"/>
          </w:tcPr>
          <w:p w14:paraId="3E417F7D" w14:textId="4C586681" w:rsidR="00D45A3D" w:rsidRPr="00D711DD" w:rsidRDefault="00EA10A5" w:rsidP="00326B55">
            <w:pPr>
              <w:pStyle w:val="FSTableText"/>
              <w:jc w:val="right"/>
              <w:rPr>
                <w:rFonts w:ascii="Arial" w:hAnsi="Arial"/>
              </w:rPr>
            </w:pPr>
            <w:r>
              <w:rPr>
                <w:lang w:bidi="ar-SA"/>
              </w:rPr>
              <w:t>1</w:t>
            </w:r>
          </w:p>
        </w:tc>
        <w:tc>
          <w:tcPr>
            <w:tcW w:w="706" w:type="dxa"/>
            <w:vAlign w:val="center"/>
          </w:tcPr>
          <w:p w14:paraId="717F2135" w14:textId="3CF04577" w:rsidR="00D45A3D" w:rsidRPr="00D711DD" w:rsidRDefault="00EA10A5" w:rsidP="00326B55">
            <w:pPr>
              <w:pStyle w:val="FSTableText"/>
              <w:jc w:val="right"/>
              <w:rPr>
                <w:rFonts w:ascii="Arial" w:hAnsi="Arial"/>
              </w:rPr>
            </w:pPr>
            <w:r>
              <w:rPr>
                <w:lang w:bidi="ar-SA"/>
              </w:rPr>
              <w:t>30</w:t>
            </w:r>
          </w:p>
        </w:tc>
        <w:tc>
          <w:tcPr>
            <w:tcW w:w="1527" w:type="dxa"/>
            <w:vAlign w:val="center"/>
          </w:tcPr>
          <w:p w14:paraId="3529E252" w14:textId="424BE782" w:rsidR="00D45A3D" w:rsidRPr="00D711DD" w:rsidRDefault="00EA10A5" w:rsidP="00326B55">
            <w:pPr>
              <w:pStyle w:val="FSTableText"/>
              <w:ind w:right="113"/>
              <w:jc w:val="right"/>
              <w:rPr>
                <w:rFonts w:ascii="Arial" w:hAnsi="Arial"/>
              </w:rPr>
            </w:pPr>
            <w:r>
              <w:rPr>
                <w:lang w:bidi="ar-SA"/>
              </w:rPr>
              <w:t>0.00005</w:t>
            </w:r>
          </w:p>
        </w:tc>
      </w:tr>
      <w:tr w:rsidR="00D45A3D" w14:paraId="773A18EA" w14:textId="77777777" w:rsidTr="00F6284E">
        <w:tc>
          <w:tcPr>
            <w:tcW w:w="3174" w:type="dxa"/>
            <w:vAlign w:val="center"/>
          </w:tcPr>
          <w:p w14:paraId="728C0551" w14:textId="3C806D14" w:rsidR="00D45A3D" w:rsidRPr="00F6284E" w:rsidRDefault="00EA10A5" w:rsidP="00A111E9">
            <w:pPr>
              <w:pStyle w:val="FSTableText"/>
              <w:rPr>
                <w:rFonts w:ascii="Arial" w:hAnsi="Arial"/>
              </w:rPr>
            </w:pPr>
            <w:r>
              <w:rPr>
                <w:lang w:bidi="ar-SA"/>
              </w:rPr>
              <w:t xml:space="preserve">Butenhoff </w:t>
            </w:r>
            <w:r w:rsidR="00180A32" w:rsidRPr="00180A32">
              <w:rPr>
                <w:i/>
                <w:lang w:bidi="ar-SA"/>
              </w:rPr>
              <w:t xml:space="preserve">et al. </w:t>
            </w:r>
            <w:r w:rsidR="000203C4">
              <w:rPr>
                <w:lang w:bidi="ar-SA"/>
              </w:rPr>
              <w:t xml:space="preserve"> </w:t>
            </w:r>
            <w:r>
              <w:rPr>
                <w:lang w:bidi="ar-SA"/>
              </w:rPr>
              <w:t>2009; NOAEL for ↑ motor activity, ↓ habituation in rats (developmental neurotoxicity study)</w:t>
            </w:r>
          </w:p>
        </w:tc>
        <w:tc>
          <w:tcPr>
            <w:tcW w:w="1317" w:type="dxa"/>
            <w:vAlign w:val="center"/>
          </w:tcPr>
          <w:p w14:paraId="00B4F4EF" w14:textId="177D7D04" w:rsidR="00D45A3D" w:rsidRPr="00D711DD" w:rsidRDefault="00EA10A5" w:rsidP="00326B55">
            <w:pPr>
              <w:pStyle w:val="FSTableText"/>
              <w:ind w:right="113"/>
              <w:jc w:val="right"/>
              <w:rPr>
                <w:rFonts w:ascii="Arial" w:hAnsi="Arial"/>
              </w:rPr>
            </w:pPr>
            <w:r>
              <w:rPr>
                <w:lang w:bidi="ar-SA"/>
              </w:rPr>
              <w:t>0.00084</w:t>
            </w:r>
          </w:p>
        </w:tc>
        <w:tc>
          <w:tcPr>
            <w:tcW w:w="560" w:type="dxa"/>
            <w:vAlign w:val="center"/>
          </w:tcPr>
          <w:p w14:paraId="392515B8" w14:textId="45E62368" w:rsidR="00D45A3D" w:rsidRPr="00D711DD" w:rsidRDefault="00EA10A5" w:rsidP="00326B55">
            <w:pPr>
              <w:pStyle w:val="FSTableText"/>
              <w:jc w:val="right"/>
              <w:rPr>
                <w:rFonts w:ascii="Arial" w:hAnsi="Arial"/>
              </w:rPr>
            </w:pPr>
            <w:r>
              <w:rPr>
                <w:lang w:bidi="ar-SA"/>
              </w:rPr>
              <w:t>10</w:t>
            </w:r>
          </w:p>
        </w:tc>
        <w:tc>
          <w:tcPr>
            <w:tcW w:w="560" w:type="dxa"/>
            <w:vAlign w:val="center"/>
          </w:tcPr>
          <w:p w14:paraId="5EBF03B8" w14:textId="28E91E9B" w:rsidR="00D45A3D" w:rsidRPr="00D711DD" w:rsidRDefault="00EA10A5" w:rsidP="00326B55">
            <w:pPr>
              <w:pStyle w:val="FSTableText"/>
              <w:jc w:val="right"/>
              <w:rPr>
                <w:rFonts w:ascii="Arial" w:hAnsi="Arial"/>
              </w:rPr>
            </w:pPr>
            <w:r>
              <w:rPr>
                <w:lang w:bidi="ar-SA"/>
              </w:rPr>
              <w:t>3</w:t>
            </w:r>
          </w:p>
        </w:tc>
        <w:tc>
          <w:tcPr>
            <w:tcW w:w="557" w:type="dxa"/>
            <w:vAlign w:val="center"/>
          </w:tcPr>
          <w:p w14:paraId="60FE80E9" w14:textId="310EAF03" w:rsidR="00D45A3D" w:rsidRPr="00D711DD" w:rsidRDefault="00EA10A5" w:rsidP="00326B55">
            <w:pPr>
              <w:pStyle w:val="FSTableText"/>
              <w:jc w:val="right"/>
              <w:rPr>
                <w:rFonts w:ascii="Arial" w:hAnsi="Arial"/>
              </w:rPr>
            </w:pPr>
            <w:r>
              <w:rPr>
                <w:lang w:bidi="ar-SA"/>
              </w:rPr>
              <w:t>1</w:t>
            </w:r>
          </w:p>
        </w:tc>
        <w:tc>
          <w:tcPr>
            <w:tcW w:w="558" w:type="dxa"/>
            <w:vAlign w:val="center"/>
          </w:tcPr>
          <w:p w14:paraId="1EA44709" w14:textId="6CE7AD3E" w:rsidR="00D45A3D" w:rsidRPr="00D711DD" w:rsidRDefault="00EA10A5" w:rsidP="00326B55">
            <w:pPr>
              <w:pStyle w:val="FSTableText"/>
              <w:jc w:val="right"/>
              <w:rPr>
                <w:rFonts w:ascii="Arial" w:hAnsi="Arial"/>
              </w:rPr>
            </w:pPr>
            <w:r>
              <w:rPr>
                <w:lang w:bidi="ar-SA"/>
              </w:rPr>
              <w:t>1</w:t>
            </w:r>
          </w:p>
        </w:tc>
        <w:tc>
          <w:tcPr>
            <w:tcW w:w="647" w:type="dxa"/>
            <w:vAlign w:val="center"/>
          </w:tcPr>
          <w:p w14:paraId="402C5F9D" w14:textId="211E0151" w:rsidR="00D45A3D" w:rsidRPr="00D711DD" w:rsidRDefault="00EA10A5" w:rsidP="00326B55">
            <w:pPr>
              <w:pStyle w:val="FSTableText"/>
              <w:jc w:val="right"/>
              <w:rPr>
                <w:rFonts w:ascii="Arial" w:hAnsi="Arial"/>
              </w:rPr>
            </w:pPr>
            <w:r>
              <w:rPr>
                <w:lang w:bidi="ar-SA"/>
              </w:rPr>
              <w:t>1</w:t>
            </w:r>
          </w:p>
        </w:tc>
        <w:tc>
          <w:tcPr>
            <w:tcW w:w="706" w:type="dxa"/>
            <w:vAlign w:val="center"/>
          </w:tcPr>
          <w:p w14:paraId="1F45D653" w14:textId="2799483B" w:rsidR="00D45A3D" w:rsidRPr="00D711DD" w:rsidRDefault="00EA10A5" w:rsidP="00326B55">
            <w:pPr>
              <w:pStyle w:val="FSTableText"/>
              <w:jc w:val="right"/>
              <w:rPr>
                <w:rFonts w:ascii="Arial" w:hAnsi="Arial"/>
              </w:rPr>
            </w:pPr>
            <w:r>
              <w:rPr>
                <w:lang w:bidi="ar-SA"/>
              </w:rPr>
              <w:t>30</w:t>
            </w:r>
          </w:p>
        </w:tc>
        <w:tc>
          <w:tcPr>
            <w:tcW w:w="1527" w:type="dxa"/>
            <w:vAlign w:val="center"/>
          </w:tcPr>
          <w:p w14:paraId="553BEE84" w14:textId="2F18FA22" w:rsidR="00D45A3D" w:rsidRPr="00D711DD" w:rsidRDefault="00EA10A5" w:rsidP="00326B55">
            <w:pPr>
              <w:pStyle w:val="FSTableText"/>
              <w:ind w:right="113"/>
              <w:jc w:val="right"/>
              <w:rPr>
                <w:rFonts w:ascii="Arial" w:hAnsi="Arial"/>
              </w:rPr>
            </w:pPr>
            <w:r>
              <w:rPr>
                <w:lang w:bidi="ar-SA"/>
              </w:rPr>
              <w:t>0.00003</w:t>
            </w:r>
          </w:p>
        </w:tc>
      </w:tr>
      <w:tr w:rsidR="00D45A3D" w14:paraId="598622DA" w14:textId="77777777" w:rsidTr="00F6284E">
        <w:tc>
          <w:tcPr>
            <w:tcW w:w="3174" w:type="dxa"/>
            <w:vAlign w:val="center"/>
          </w:tcPr>
          <w:p w14:paraId="0ADAB67B" w14:textId="6BDEE3EE" w:rsidR="00D45A3D" w:rsidRPr="00F6284E" w:rsidRDefault="00EA10A5" w:rsidP="00A111E9">
            <w:pPr>
              <w:pStyle w:val="FSTableText"/>
              <w:rPr>
                <w:rFonts w:ascii="Arial" w:hAnsi="Arial"/>
              </w:rPr>
            </w:pPr>
            <w:r>
              <w:rPr>
                <w:lang w:bidi="ar-SA"/>
              </w:rPr>
              <w:t xml:space="preserve">Luebker </w:t>
            </w:r>
            <w:r w:rsidR="00180A32" w:rsidRPr="00180A32">
              <w:rPr>
                <w:i/>
                <w:lang w:bidi="ar-SA"/>
              </w:rPr>
              <w:t xml:space="preserve">et al. </w:t>
            </w:r>
            <w:r w:rsidR="00F22DA6">
              <w:rPr>
                <w:lang w:bidi="ar-SA"/>
              </w:rPr>
              <w:t xml:space="preserve"> </w:t>
            </w:r>
            <w:r>
              <w:rPr>
                <w:lang w:bidi="ar-SA"/>
              </w:rPr>
              <w:t xml:space="preserve">2005b; NOAEL for ↓ pup body weight </w:t>
            </w:r>
            <w:r w:rsidR="004E5F5F">
              <w:rPr>
                <w:lang w:bidi="ar-SA"/>
              </w:rPr>
              <w:t xml:space="preserve">in rats </w:t>
            </w:r>
            <w:r>
              <w:rPr>
                <w:lang w:bidi="ar-SA"/>
              </w:rPr>
              <w:t>(two</w:t>
            </w:r>
            <w:r w:rsidR="006D15AE">
              <w:rPr>
                <w:lang w:bidi="ar-SA"/>
              </w:rPr>
              <w:t>-</w:t>
            </w:r>
            <w:r>
              <w:rPr>
                <w:lang w:bidi="ar-SA"/>
              </w:rPr>
              <w:t>generation study)</w:t>
            </w:r>
          </w:p>
        </w:tc>
        <w:tc>
          <w:tcPr>
            <w:tcW w:w="1317" w:type="dxa"/>
            <w:vAlign w:val="center"/>
          </w:tcPr>
          <w:p w14:paraId="03974EB3" w14:textId="6E569E14" w:rsidR="00D45A3D" w:rsidRPr="00D711DD" w:rsidRDefault="00EA10A5" w:rsidP="00326B55">
            <w:pPr>
              <w:pStyle w:val="FSTableText"/>
              <w:ind w:right="113"/>
              <w:jc w:val="right"/>
              <w:rPr>
                <w:rFonts w:ascii="Arial" w:hAnsi="Arial"/>
              </w:rPr>
            </w:pPr>
            <w:r>
              <w:rPr>
                <w:lang w:bidi="ar-SA"/>
              </w:rPr>
              <w:t>0.00051</w:t>
            </w:r>
          </w:p>
        </w:tc>
        <w:tc>
          <w:tcPr>
            <w:tcW w:w="560" w:type="dxa"/>
            <w:vAlign w:val="center"/>
          </w:tcPr>
          <w:p w14:paraId="5EB2DD7A" w14:textId="78AD7AFA" w:rsidR="00D45A3D" w:rsidRPr="00D711DD" w:rsidRDefault="00EA10A5" w:rsidP="00326B55">
            <w:pPr>
              <w:pStyle w:val="FSTableText"/>
              <w:jc w:val="right"/>
              <w:rPr>
                <w:rFonts w:ascii="Arial" w:hAnsi="Arial"/>
              </w:rPr>
            </w:pPr>
            <w:r>
              <w:rPr>
                <w:lang w:bidi="ar-SA"/>
              </w:rPr>
              <w:t>10</w:t>
            </w:r>
          </w:p>
        </w:tc>
        <w:tc>
          <w:tcPr>
            <w:tcW w:w="560" w:type="dxa"/>
            <w:vAlign w:val="center"/>
          </w:tcPr>
          <w:p w14:paraId="0EE770DB" w14:textId="3253CAF9" w:rsidR="00D45A3D" w:rsidRPr="00D711DD" w:rsidRDefault="00EA10A5" w:rsidP="00326B55">
            <w:pPr>
              <w:pStyle w:val="FSTableText"/>
              <w:jc w:val="right"/>
              <w:rPr>
                <w:rFonts w:ascii="Arial" w:hAnsi="Arial"/>
              </w:rPr>
            </w:pPr>
            <w:r>
              <w:rPr>
                <w:lang w:bidi="ar-SA"/>
              </w:rPr>
              <w:t>3</w:t>
            </w:r>
          </w:p>
        </w:tc>
        <w:tc>
          <w:tcPr>
            <w:tcW w:w="557" w:type="dxa"/>
            <w:vAlign w:val="center"/>
          </w:tcPr>
          <w:p w14:paraId="5FE14BBC" w14:textId="02D567E2" w:rsidR="00D45A3D" w:rsidRPr="00D711DD" w:rsidRDefault="00EA10A5" w:rsidP="00326B55">
            <w:pPr>
              <w:pStyle w:val="FSTableText"/>
              <w:jc w:val="right"/>
              <w:rPr>
                <w:rFonts w:ascii="Arial" w:hAnsi="Arial"/>
              </w:rPr>
            </w:pPr>
            <w:r>
              <w:rPr>
                <w:lang w:bidi="ar-SA"/>
              </w:rPr>
              <w:t>1</w:t>
            </w:r>
          </w:p>
        </w:tc>
        <w:tc>
          <w:tcPr>
            <w:tcW w:w="558" w:type="dxa"/>
            <w:vAlign w:val="center"/>
          </w:tcPr>
          <w:p w14:paraId="612364C1" w14:textId="2D689B0C" w:rsidR="00D45A3D" w:rsidRPr="00D711DD" w:rsidRDefault="00EA10A5" w:rsidP="00326B55">
            <w:pPr>
              <w:pStyle w:val="FSTableText"/>
              <w:jc w:val="right"/>
              <w:rPr>
                <w:rFonts w:ascii="Arial" w:hAnsi="Arial"/>
              </w:rPr>
            </w:pPr>
            <w:r>
              <w:rPr>
                <w:lang w:bidi="ar-SA"/>
              </w:rPr>
              <w:t>1</w:t>
            </w:r>
          </w:p>
        </w:tc>
        <w:tc>
          <w:tcPr>
            <w:tcW w:w="647" w:type="dxa"/>
            <w:vAlign w:val="center"/>
          </w:tcPr>
          <w:p w14:paraId="6420BC19" w14:textId="04AEA08D" w:rsidR="00D45A3D" w:rsidRPr="00D711DD" w:rsidRDefault="00EA10A5" w:rsidP="00326B55">
            <w:pPr>
              <w:pStyle w:val="FSTableText"/>
              <w:jc w:val="right"/>
              <w:rPr>
                <w:rFonts w:ascii="Arial" w:hAnsi="Arial"/>
              </w:rPr>
            </w:pPr>
            <w:r>
              <w:rPr>
                <w:lang w:bidi="ar-SA"/>
              </w:rPr>
              <w:t>1</w:t>
            </w:r>
          </w:p>
        </w:tc>
        <w:tc>
          <w:tcPr>
            <w:tcW w:w="706" w:type="dxa"/>
            <w:vAlign w:val="center"/>
          </w:tcPr>
          <w:p w14:paraId="25DD2AD0" w14:textId="1842282E" w:rsidR="00D45A3D" w:rsidRPr="00D711DD" w:rsidRDefault="00EA10A5" w:rsidP="00326B55">
            <w:pPr>
              <w:pStyle w:val="FSTableText"/>
              <w:jc w:val="right"/>
              <w:rPr>
                <w:rFonts w:ascii="Arial" w:hAnsi="Arial"/>
              </w:rPr>
            </w:pPr>
            <w:r>
              <w:rPr>
                <w:lang w:bidi="ar-SA"/>
              </w:rPr>
              <w:t>30</w:t>
            </w:r>
          </w:p>
        </w:tc>
        <w:tc>
          <w:tcPr>
            <w:tcW w:w="1527" w:type="dxa"/>
            <w:vAlign w:val="center"/>
          </w:tcPr>
          <w:p w14:paraId="30C03A37" w14:textId="55C59C98" w:rsidR="00D45A3D" w:rsidRPr="00D711DD" w:rsidRDefault="00EA10A5" w:rsidP="00326B55">
            <w:pPr>
              <w:pStyle w:val="FSTableText"/>
              <w:ind w:right="113"/>
              <w:jc w:val="right"/>
              <w:rPr>
                <w:rFonts w:ascii="Arial" w:hAnsi="Arial"/>
              </w:rPr>
            </w:pPr>
            <w:r>
              <w:rPr>
                <w:lang w:bidi="ar-SA"/>
              </w:rPr>
              <w:t>0.00002</w:t>
            </w:r>
          </w:p>
        </w:tc>
      </w:tr>
      <w:tr w:rsidR="00D45A3D" w14:paraId="3A886AE9" w14:textId="77777777" w:rsidTr="00F6284E">
        <w:tc>
          <w:tcPr>
            <w:tcW w:w="3174" w:type="dxa"/>
            <w:vAlign w:val="center"/>
          </w:tcPr>
          <w:p w14:paraId="09F3DAFE" w14:textId="4F79A198" w:rsidR="00D45A3D" w:rsidRPr="00F6284E" w:rsidRDefault="004E5F5F" w:rsidP="00A111E9">
            <w:pPr>
              <w:pStyle w:val="FSTableText"/>
              <w:rPr>
                <w:rFonts w:ascii="Arial" w:hAnsi="Arial"/>
              </w:rPr>
            </w:pPr>
            <w:r>
              <w:rPr>
                <w:lang w:bidi="ar-SA"/>
              </w:rPr>
              <w:t xml:space="preserve">Luebker </w:t>
            </w:r>
            <w:r w:rsidR="00180A32" w:rsidRPr="00180A32">
              <w:rPr>
                <w:i/>
                <w:lang w:bidi="ar-SA"/>
              </w:rPr>
              <w:t xml:space="preserve">et al. </w:t>
            </w:r>
            <w:r w:rsidR="000203C4">
              <w:rPr>
                <w:lang w:bidi="ar-SA"/>
              </w:rPr>
              <w:t xml:space="preserve"> </w:t>
            </w:r>
            <w:r>
              <w:rPr>
                <w:lang w:bidi="ar-SA"/>
              </w:rPr>
              <w:t xml:space="preserve">2005a; </w:t>
            </w:r>
            <w:r w:rsidR="001E18A5">
              <w:rPr>
                <w:lang w:bidi="ar-SA"/>
              </w:rPr>
              <w:t>L</w:t>
            </w:r>
            <w:r>
              <w:rPr>
                <w:lang w:bidi="ar-SA"/>
              </w:rPr>
              <w:t>OAEL for ↓ pup body weight in rats (one</w:t>
            </w:r>
            <w:r w:rsidR="006D15AE">
              <w:rPr>
                <w:lang w:bidi="ar-SA"/>
              </w:rPr>
              <w:t>-</w:t>
            </w:r>
            <w:r>
              <w:rPr>
                <w:lang w:bidi="ar-SA"/>
              </w:rPr>
              <w:t>generation study)</w:t>
            </w:r>
          </w:p>
        </w:tc>
        <w:tc>
          <w:tcPr>
            <w:tcW w:w="1317" w:type="dxa"/>
            <w:vAlign w:val="center"/>
          </w:tcPr>
          <w:p w14:paraId="6B24F4EC" w14:textId="7806BDFA" w:rsidR="00D45A3D" w:rsidRPr="00D711DD" w:rsidRDefault="004E5F5F" w:rsidP="00326B55">
            <w:pPr>
              <w:pStyle w:val="FSTableText"/>
              <w:ind w:right="113"/>
              <w:jc w:val="right"/>
              <w:rPr>
                <w:rFonts w:ascii="Arial" w:hAnsi="Arial"/>
              </w:rPr>
            </w:pPr>
            <w:r>
              <w:rPr>
                <w:lang w:bidi="ar-SA"/>
              </w:rPr>
              <w:t>0.0016</w:t>
            </w:r>
          </w:p>
        </w:tc>
        <w:tc>
          <w:tcPr>
            <w:tcW w:w="560" w:type="dxa"/>
            <w:vAlign w:val="center"/>
          </w:tcPr>
          <w:p w14:paraId="03D4F9D9" w14:textId="5B201464" w:rsidR="00D45A3D" w:rsidRPr="00D711DD" w:rsidRDefault="004E5F5F" w:rsidP="00326B55">
            <w:pPr>
              <w:pStyle w:val="FSTableText"/>
              <w:jc w:val="right"/>
              <w:rPr>
                <w:rFonts w:ascii="Arial" w:hAnsi="Arial"/>
              </w:rPr>
            </w:pPr>
            <w:r>
              <w:rPr>
                <w:lang w:bidi="ar-SA"/>
              </w:rPr>
              <w:t>10</w:t>
            </w:r>
          </w:p>
        </w:tc>
        <w:tc>
          <w:tcPr>
            <w:tcW w:w="560" w:type="dxa"/>
            <w:vAlign w:val="center"/>
          </w:tcPr>
          <w:p w14:paraId="1C81B3E7" w14:textId="78BB2195" w:rsidR="00D45A3D" w:rsidRPr="00D711DD" w:rsidRDefault="004E5F5F" w:rsidP="00326B55">
            <w:pPr>
              <w:pStyle w:val="FSTableText"/>
              <w:jc w:val="right"/>
              <w:rPr>
                <w:rFonts w:ascii="Arial" w:hAnsi="Arial"/>
              </w:rPr>
            </w:pPr>
            <w:r>
              <w:rPr>
                <w:lang w:bidi="ar-SA"/>
              </w:rPr>
              <w:t>3</w:t>
            </w:r>
          </w:p>
        </w:tc>
        <w:tc>
          <w:tcPr>
            <w:tcW w:w="557" w:type="dxa"/>
            <w:vAlign w:val="center"/>
          </w:tcPr>
          <w:p w14:paraId="36DF75FE" w14:textId="432C9446" w:rsidR="00D45A3D" w:rsidRPr="00D711DD" w:rsidRDefault="004E5F5F" w:rsidP="00326B55">
            <w:pPr>
              <w:pStyle w:val="FSTableText"/>
              <w:jc w:val="right"/>
              <w:rPr>
                <w:rFonts w:ascii="Arial" w:hAnsi="Arial"/>
              </w:rPr>
            </w:pPr>
            <w:r>
              <w:rPr>
                <w:lang w:bidi="ar-SA"/>
              </w:rPr>
              <w:t>3</w:t>
            </w:r>
          </w:p>
        </w:tc>
        <w:tc>
          <w:tcPr>
            <w:tcW w:w="558" w:type="dxa"/>
            <w:vAlign w:val="center"/>
          </w:tcPr>
          <w:p w14:paraId="35BE5948" w14:textId="7759AD1A" w:rsidR="00D45A3D" w:rsidRPr="00D711DD" w:rsidRDefault="004E5F5F" w:rsidP="00326B55">
            <w:pPr>
              <w:pStyle w:val="FSTableText"/>
              <w:jc w:val="right"/>
              <w:rPr>
                <w:rFonts w:ascii="Arial" w:hAnsi="Arial"/>
              </w:rPr>
            </w:pPr>
            <w:r>
              <w:rPr>
                <w:lang w:bidi="ar-SA"/>
              </w:rPr>
              <w:t>1</w:t>
            </w:r>
          </w:p>
        </w:tc>
        <w:tc>
          <w:tcPr>
            <w:tcW w:w="647" w:type="dxa"/>
            <w:vAlign w:val="center"/>
          </w:tcPr>
          <w:p w14:paraId="132BD77A" w14:textId="352C63A9" w:rsidR="00D45A3D" w:rsidRPr="00D711DD" w:rsidRDefault="004E5F5F" w:rsidP="00326B55">
            <w:pPr>
              <w:pStyle w:val="FSTableText"/>
              <w:jc w:val="right"/>
              <w:rPr>
                <w:rFonts w:ascii="Arial" w:hAnsi="Arial"/>
              </w:rPr>
            </w:pPr>
            <w:r>
              <w:rPr>
                <w:lang w:bidi="ar-SA"/>
              </w:rPr>
              <w:t>1</w:t>
            </w:r>
          </w:p>
        </w:tc>
        <w:tc>
          <w:tcPr>
            <w:tcW w:w="706" w:type="dxa"/>
            <w:vAlign w:val="center"/>
          </w:tcPr>
          <w:p w14:paraId="6273E7FC" w14:textId="34E3AB6C" w:rsidR="00D45A3D" w:rsidRPr="00D711DD" w:rsidRDefault="004E5F5F" w:rsidP="00326B55">
            <w:pPr>
              <w:pStyle w:val="FSTableText"/>
              <w:jc w:val="right"/>
              <w:rPr>
                <w:rFonts w:ascii="Arial" w:hAnsi="Arial"/>
              </w:rPr>
            </w:pPr>
            <w:r>
              <w:rPr>
                <w:lang w:bidi="ar-SA"/>
              </w:rPr>
              <w:t>100</w:t>
            </w:r>
            <w:r w:rsidR="008B466E">
              <w:rPr>
                <w:lang w:bidi="ar-SA"/>
              </w:rPr>
              <w:t>*</w:t>
            </w:r>
          </w:p>
        </w:tc>
        <w:tc>
          <w:tcPr>
            <w:tcW w:w="1527" w:type="dxa"/>
            <w:vAlign w:val="center"/>
          </w:tcPr>
          <w:p w14:paraId="13979DAB" w14:textId="00BABB58" w:rsidR="00D45A3D" w:rsidRPr="00D711DD" w:rsidRDefault="004E5F5F" w:rsidP="00326B55">
            <w:pPr>
              <w:pStyle w:val="FSTableText"/>
              <w:ind w:right="113"/>
              <w:jc w:val="right"/>
              <w:rPr>
                <w:rFonts w:ascii="Arial" w:hAnsi="Arial"/>
              </w:rPr>
            </w:pPr>
            <w:r>
              <w:rPr>
                <w:lang w:bidi="ar-SA"/>
              </w:rPr>
              <w:t>0.00002</w:t>
            </w:r>
          </w:p>
        </w:tc>
      </w:tr>
      <w:tr w:rsidR="00D45A3D" w14:paraId="718B1055" w14:textId="77777777" w:rsidTr="00F6284E">
        <w:tc>
          <w:tcPr>
            <w:tcW w:w="3174" w:type="dxa"/>
            <w:vAlign w:val="center"/>
          </w:tcPr>
          <w:p w14:paraId="50F2371E" w14:textId="1251567A" w:rsidR="00D45A3D" w:rsidRPr="00F6284E" w:rsidRDefault="001E18A5" w:rsidP="00A111E9">
            <w:pPr>
              <w:pStyle w:val="FSTableText"/>
              <w:rPr>
                <w:rFonts w:ascii="Arial" w:hAnsi="Arial"/>
              </w:rPr>
            </w:pPr>
            <w:r w:rsidRPr="00FE3E6A">
              <w:t xml:space="preserve">Luebker </w:t>
            </w:r>
            <w:r w:rsidR="00180A32" w:rsidRPr="00180A32">
              <w:rPr>
                <w:i/>
              </w:rPr>
              <w:t xml:space="preserve">et al. </w:t>
            </w:r>
            <w:r w:rsidR="00F22DA6">
              <w:t xml:space="preserve"> </w:t>
            </w:r>
            <w:r w:rsidRPr="00FE3E6A">
              <w:t>2005a; NOAEL for ↓ pup survival in rats (o</w:t>
            </w:r>
            <w:r w:rsidR="006D15AE" w:rsidRPr="00FE3E6A">
              <w:t>ne-</w:t>
            </w:r>
            <w:r w:rsidRPr="00FE3E6A">
              <w:t>generation study)</w:t>
            </w:r>
          </w:p>
        </w:tc>
        <w:tc>
          <w:tcPr>
            <w:tcW w:w="1317" w:type="dxa"/>
            <w:vAlign w:val="center"/>
          </w:tcPr>
          <w:p w14:paraId="77396950" w14:textId="7F380EDF" w:rsidR="00D45A3D" w:rsidRPr="00D711DD" w:rsidRDefault="001E18A5" w:rsidP="00326B55">
            <w:pPr>
              <w:pStyle w:val="FSTableText"/>
              <w:ind w:right="113"/>
              <w:jc w:val="right"/>
              <w:rPr>
                <w:rFonts w:ascii="Arial" w:hAnsi="Arial"/>
              </w:rPr>
            </w:pPr>
            <w:r w:rsidRPr="00FE3E6A">
              <w:t>0.0016</w:t>
            </w:r>
          </w:p>
        </w:tc>
        <w:tc>
          <w:tcPr>
            <w:tcW w:w="560" w:type="dxa"/>
            <w:vAlign w:val="center"/>
          </w:tcPr>
          <w:p w14:paraId="708A2615" w14:textId="7D67E630" w:rsidR="00D45A3D" w:rsidRPr="00D711DD" w:rsidRDefault="001E18A5" w:rsidP="00326B55">
            <w:pPr>
              <w:pStyle w:val="FSTableText"/>
              <w:jc w:val="right"/>
              <w:rPr>
                <w:rFonts w:ascii="Arial" w:hAnsi="Arial"/>
              </w:rPr>
            </w:pPr>
            <w:r w:rsidRPr="00FE3E6A">
              <w:t>10</w:t>
            </w:r>
          </w:p>
        </w:tc>
        <w:tc>
          <w:tcPr>
            <w:tcW w:w="560" w:type="dxa"/>
            <w:vAlign w:val="center"/>
          </w:tcPr>
          <w:p w14:paraId="7EE3F5C7" w14:textId="15F6B41B" w:rsidR="00D45A3D" w:rsidRPr="00D711DD" w:rsidRDefault="001E18A5" w:rsidP="00326B55">
            <w:pPr>
              <w:pStyle w:val="FSTableText"/>
              <w:jc w:val="right"/>
              <w:rPr>
                <w:rFonts w:ascii="Arial" w:hAnsi="Arial"/>
              </w:rPr>
            </w:pPr>
            <w:r w:rsidRPr="00FE3E6A">
              <w:t>3</w:t>
            </w:r>
          </w:p>
        </w:tc>
        <w:tc>
          <w:tcPr>
            <w:tcW w:w="557" w:type="dxa"/>
            <w:vAlign w:val="center"/>
          </w:tcPr>
          <w:p w14:paraId="0A58C0C4" w14:textId="20414478" w:rsidR="00D45A3D" w:rsidRPr="00D711DD" w:rsidRDefault="001E18A5" w:rsidP="00326B55">
            <w:pPr>
              <w:pStyle w:val="FSTableText"/>
              <w:jc w:val="right"/>
              <w:rPr>
                <w:rFonts w:ascii="Arial" w:hAnsi="Arial"/>
              </w:rPr>
            </w:pPr>
            <w:r w:rsidRPr="00FE3E6A">
              <w:t>1</w:t>
            </w:r>
          </w:p>
        </w:tc>
        <w:tc>
          <w:tcPr>
            <w:tcW w:w="558" w:type="dxa"/>
            <w:vAlign w:val="center"/>
          </w:tcPr>
          <w:p w14:paraId="09E7E138" w14:textId="4ABFAA62" w:rsidR="00D45A3D" w:rsidRPr="00D711DD" w:rsidRDefault="001E18A5" w:rsidP="00326B55">
            <w:pPr>
              <w:pStyle w:val="FSTableText"/>
              <w:jc w:val="right"/>
              <w:rPr>
                <w:rFonts w:ascii="Arial" w:hAnsi="Arial"/>
              </w:rPr>
            </w:pPr>
            <w:r w:rsidRPr="00FE3E6A">
              <w:t>1</w:t>
            </w:r>
          </w:p>
        </w:tc>
        <w:tc>
          <w:tcPr>
            <w:tcW w:w="647" w:type="dxa"/>
            <w:vAlign w:val="center"/>
          </w:tcPr>
          <w:p w14:paraId="44D144AA" w14:textId="290428C6" w:rsidR="00D45A3D" w:rsidRPr="00D711DD" w:rsidRDefault="001E18A5" w:rsidP="00326B55">
            <w:pPr>
              <w:pStyle w:val="FSTableText"/>
              <w:jc w:val="right"/>
              <w:rPr>
                <w:rFonts w:ascii="Arial" w:hAnsi="Arial"/>
              </w:rPr>
            </w:pPr>
            <w:r w:rsidRPr="00FE3E6A">
              <w:t>1</w:t>
            </w:r>
          </w:p>
        </w:tc>
        <w:tc>
          <w:tcPr>
            <w:tcW w:w="706" w:type="dxa"/>
            <w:vAlign w:val="center"/>
          </w:tcPr>
          <w:p w14:paraId="1FB7D5CC" w14:textId="340F6C7A" w:rsidR="00D45A3D" w:rsidRPr="00D711DD" w:rsidRDefault="001E18A5" w:rsidP="00326B55">
            <w:pPr>
              <w:pStyle w:val="FSTableText"/>
              <w:jc w:val="right"/>
              <w:rPr>
                <w:rFonts w:ascii="Arial" w:hAnsi="Arial"/>
              </w:rPr>
            </w:pPr>
            <w:r w:rsidRPr="00FE3E6A">
              <w:t>30</w:t>
            </w:r>
          </w:p>
        </w:tc>
        <w:tc>
          <w:tcPr>
            <w:tcW w:w="1527" w:type="dxa"/>
            <w:vAlign w:val="center"/>
          </w:tcPr>
          <w:p w14:paraId="6A91AC47" w14:textId="0E84A41A" w:rsidR="00D45A3D" w:rsidRPr="00D711DD" w:rsidRDefault="001E18A5" w:rsidP="00326B55">
            <w:pPr>
              <w:pStyle w:val="FSTableText"/>
              <w:ind w:right="113"/>
              <w:jc w:val="right"/>
              <w:rPr>
                <w:rFonts w:ascii="Arial" w:hAnsi="Arial"/>
              </w:rPr>
            </w:pPr>
            <w:r w:rsidRPr="00FE3E6A">
              <w:t>0.00005</w:t>
            </w:r>
          </w:p>
        </w:tc>
      </w:tr>
    </w:tbl>
    <w:p w14:paraId="5937E0E0" w14:textId="4CBC6706" w:rsidR="008B466E" w:rsidRDefault="008B466E" w:rsidP="00A111E9">
      <w:pPr>
        <w:spacing w:before="120"/>
        <w:rPr>
          <w:sz w:val="16"/>
          <w:szCs w:val="16"/>
          <w:lang w:bidi="ar-SA"/>
        </w:rPr>
      </w:pPr>
      <w:r>
        <w:rPr>
          <w:sz w:val="16"/>
          <w:szCs w:val="16"/>
          <w:lang w:bidi="ar-SA"/>
        </w:rPr>
        <w:t xml:space="preserve">* Although multiplication of the uncertainty factors for this study provides a value of 90, the US EPA rounded this to 100 in their evaluation. </w:t>
      </w:r>
    </w:p>
    <w:p w14:paraId="5A37F674" w14:textId="0A2886C9" w:rsidR="00B51C34" w:rsidRPr="00B51C34" w:rsidRDefault="00AB35CC" w:rsidP="00A111E9">
      <w:pPr>
        <w:spacing w:before="120"/>
        <w:rPr>
          <w:sz w:val="16"/>
          <w:szCs w:val="16"/>
          <w:lang w:bidi="ar-SA"/>
        </w:rPr>
      </w:pPr>
      <w:r>
        <w:rPr>
          <w:sz w:val="16"/>
          <w:szCs w:val="16"/>
          <w:lang w:bidi="ar-SA"/>
        </w:rPr>
        <w:t>NOAEL – No observed adverse effect level</w:t>
      </w:r>
      <w:r w:rsidR="00B51C34">
        <w:rPr>
          <w:sz w:val="16"/>
          <w:szCs w:val="16"/>
          <w:lang w:bidi="ar-SA"/>
        </w:rPr>
        <w:t>; LOAEL – Lowest observed adverse effect level</w:t>
      </w:r>
      <w:r w:rsidR="00E15370">
        <w:rPr>
          <w:sz w:val="16"/>
          <w:szCs w:val="16"/>
          <w:lang w:bidi="ar-SA"/>
        </w:rPr>
        <w:t>; RfD – Reference Dose</w:t>
      </w:r>
      <w:r w:rsidR="00B51C34">
        <w:rPr>
          <w:sz w:val="16"/>
          <w:szCs w:val="16"/>
          <w:lang w:bidi="ar-SA"/>
        </w:rPr>
        <w:br/>
        <w:t>ALT</w:t>
      </w:r>
      <w:r w:rsidR="00537B58">
        <w:rPr>
          <w:sz w:val="16"/>
          <w:szCs w:val="16"/>
          <w:lang w:bidi="ar-SA"/>
        </w:rPr>
        <w:t xml:space="preserve"> –</w:t>
      </w:r>
      <w:r w:rsidR="00B51C34">
        <w:rPr>
          <w:sz w:val="16"/>
          <w:szCs w:val="16"/>
          <w:lang w:bidi="ar-SA"/>
        </w:rPr>
        <w:t xml:space="preserve"> Alanine aminotransferase; BUN</w:t>
      </w:r>
      <w:r w:rsidR="00537B58">
        <w:rPr>
          <w:sz w:val="16"/>
          <w:szCs w:val="16"/>
          <w:lang w:bidi="ar-SA"/>
        </w:rPr>
        <w:t xml:space="preserve"> –</w:t>
      </w:r>
      <w:r w:rsidR="00B51C34">
        <w:rPr>
          <w:sz w:val="16"/>
          <w:szCs w:val="16"/>
          <w:lang w:bidi="ar-SA"/>
        </w:rPr>
        <w:t xml:space="preserve"> Blood urea nitrogen</w:t>
      </w:r>
      <w:r w:rsidR="00C14F4B">
        <w:rPr>
          <w:sz w:val="16"/>
          <w:szCs w:val="16"/>
          <w:lang w:bidi="ar-SA"/>
        </w:rPr>
        <w:t xml:space="preserve">; PK </w:t>
      </w:r>
      <w:r w:rsidR="00537B58">
        <w:rPr>
          <w:sz w:val="16"/>
          <w:szCs w:val="16"/>
          <w:lang w:bidi="ar-SA"/>
        </w:rPr>
        <w:t>–</w:t>
      </w:r>
      <w:r w:rsidR="00C14F4B">
        <w:rPr>
          <w:sz w:val="16"/>
          <w:szCs w:val="16"/>
          <w:lang w:bidi="ar-SA"/>
        </w:rPr>
        <w:t xml:space="preserve"> </w:t>
      </w:r>
      <w:r w:rsidR="00537B58">
        <w:rPr>
          <w:sz w:val="16"/>
          <w:szCs w:val="16"/>
          <w:lang w:bidi="ar-SA"/>
        </w:rPr>
        <w:t>Pharmacokinetic; HED – Human equivalent dose</w:t>
      </w:r>
    </w:p>
    <w:p w14:paraId="1B287EB3" w14:textId="13811B6D" w:rsidR="009A60A1" w:rsidRDefault="009A60A1" w:rsidP="00A111E9">
      <w:pPr>
        <w:spacing w:before="120"/>
        <w:rPr>
          <w:lang w:bidi="ar-SA"/>
        </w:rPr>
      </w:pPr>
      <w:r>
        <w:rPr>
          <w:lang w:bidi="ar-SA"/>
        </w:rPr>
        <w:t>Developmental toxicity was considered by the U</w:t>
      </w:r>
      <w:r w:rsidR="00C0410F">
        <w:rPr>
          <w:lang w:bidi="ar-SA"/>
        </w:rPr>
        <w:t xml:space="preserve">S EPA to be the critical effect. The </w:t>
      </w:r>
      <w:r>
        <w:rPr>
          <w:lang w:bidi="ar-SA"/>
        </w:rPr>
        <w:t xml:space="preserve">lowest RfD of 0.00002 mg/kg bw/day, derived from the NOAEL for reduced pup body weight in the two-generation reproductive toxicity study in rats (Luebker </w:t>
      </w:r>
      <w:r w:rsidR="00180A32" w:rsidRPr="00180A32">
        <w:rPr>
          <w:i/>
          <w:lang w:bidi="ar-SA"/>
        </w:rPr>
        <w:t xml:space="preserve">et al. </w:t>
      </w:r>
      <w:r w:rsidR="000203C4">
        <w:rPr>
          <w:i/>
          <w:lang w:bidi="ar-SA"/>
        </w:rPr>
        <w:t xml:space="preserve"> </w:t>
      </w:r>
      <w:r>
        <w:rPr>
          <w:lang w:bidi="ar-SA"/>
        </w:rPr>
        <w:t xml:space="preserve">2005b), was selected as the RfD for PFOS. This value was supported by the same value being derived from the LOAEL for the same effect in the one-generation study (Luebker </w:t>
      </w:r>
      <w:r w:rsidR="00180A32" w:rsidRPr="00180A32">
        <w:rPr>
          <w:i/>
          <w:lang w:bidi="ar-SA"/>
        </w:rPr>
        <w:t xml:space="preserve">et al. </w:t>
      </w:r>
      <w:r w:rsidR="000203C4">
        <w:rPr>
          <w:lang w:bidi="ar-SA"/>
        </w:rPr>
        <w:t xml:space="preserve"> </w:t>
      </w:r>
      <w:r>
        <w:rPr>
          <w:lang w:bidi="ar-SA"/>
        </w:rPr>
        <w:t>2005a).</w:t>
      </w:r>
    </w:p>
    <w:p w14:paraId="4C970D28" w14:textId="4876E1F5" w:rsidR="00853A2A" w:rsidRDefault="00853A2A" w:rsidP="00A111E9">
      <w:pPr>
        <w:rPr>
          <w:lang w:bidi="ar-SA"/>
        </w:rPr>
      </w:pPr>
    </w:p>
    <w:p w14:paraId="2C71BB3F" w14:textId="14BA6B10" w:rsidR="008C0831" w:rsidRDefault="00853A2A" w:rsidP="00A111E9">
      <w:pPr>
        <w:rPr>
          <w:lang w:bidi="ar-SA"/>
        </w:rPr>
      </w:pPr>
      <w:r>
        <w:rPr>
          <w:lang w:bidi="ar-SA"/>
        </w:rPr>
        <w:t xml:space="preserve">The final RfD </w:t>
      </w:r>
      <w:r w:rsidRPr="0020159C">
        <w:rPr>
          <w:lang w:bidi="ar-SA"/>
        </w:rPr>
        <w:t xml:space="preserve">for noncancer effects </w:t>
      </w:r>
      <w:r>
        <w:rPr>
          <w:lang w:bidi="ar-SA"/>
        </w:rPr>
        <w:t>may be more conveniently expressed as</w:t>
      </w:r>
    </w:p>
    <w:p w14:paraId="4948B98E" w14:textId="222936E1" w:rsidR="00853A2A" w:rsidRDefault="00853A2A" w:rsidP="00A111E9">
      <w:pPr>
        <w:rPr>
          <w:lang w:bidi="ar-SA"/>
        </w:rPr>
      </w:pPr>
      <w:r w:rsidRPr="0020159C">
        <w:rPr>
          <w:b/>
          <w:lang w:bidi="ar-SA"/>
        </w:rPr>
        <w:t>20 ng/kg</w:t>
      </w:r>
      <w:r>
        <w:rPr>
          <w:b/>
          <w:lang w:bidi="ar-SA"/>
        </w:rPr>
        <w:t xml:space="preserve"> </w:t>
      </w:r>
      <w:r w:rsidR="0003540F">
        <w:rPr>
          <w:b/>
          <w:lang w:bidi="ar-SA"/>
        </w:rPr>
        <w:t>b</w:t>
      </w:r>
      <w:r>
        <w:rPr>
          <w:b/>
          <w:lang w:bidi="ar-SA"/>
        </w:rPr>
        <w:t>w</w:t>
      </w:r>
      <w:r w:rsidRPr="0020159C">
        <w:rPr>
          <w:b/>
          <w:lang w:bidi="ar-SA"/>
        </w:rPr>
        <w:t>/day</w:t>
      </w:r>
      <w:r>
        <w:rPr>
          <w:lang w:bidi="ar-SA"/>
        </w:rPr>
        <w:t>.</w:t>
      </w:r>
    </w:p>
    <w:p w14:paraId="69060D63" w14:textId="061181CB" w:rsidR="00983D58" w:rsidRPr="00983D58" w:rsidRDefault="0073429E" w:rsidP="005F1486">
      <w:pPr>
        <w:pStyle w:val="Heading5"/>
      </w:pPr>
      <w:r>
        <w:t xml:space="preserve">RfD for </w:t>
      </w:r>
      <w:r w:rsidR="00983D58" w:rsidRPr="00983D58">
        <w:t>Cancer effects</w:t>
      </w:r>
    </w:p>
    <w:p w14:paraId="2C3FC95C" w14:textId="4EAA10DD" w:rsidR="00983D58" w:rsidRDefault="0016323C" w:rsidP="00A111E9">
      <w:pPr>
        <w:rPr>
          <w:lang w:bidi="ar-SA"/>
        </w:rPr>
      </w:pPr>
      <w:r>
        <w:rPr>
          <w:lang w:bidi="ar-SA"/>
        </w:rPr>
        <w:t>T</w:t>
      </w:r>
      <w:r w:rsidR="00F14089">
        <w:rPr>
          <w:lang w:bidi="ar-SA"/>
        </w:rPr>
        <w:t xml:space="preserve">he US EPA concluded that the </w:t>
      </w:r>
      <w:r w:rsidR="00983D58">
        <w:rPr>
          <w:lang w:bidi="ar-SA"/>
        </w:rPr>
        <w:t xml:space="preserve">small number of epidemiology studies </w:t>
      </w:r>
      <w:r w:rsidR="008C0831">
        <w:rPr>
          <w:lang w:bidi="ar-SA"/>
        </w:rPr>
        <w:t xml:space="preserve">that are available </w:t>
      </w:r>
      <w:r w:rsidR="00983D58">
        <w:rPr>
          <w:lang w:bidi="ar-SA"/>
        </w:rPr>
        <w:t xml:space="preserve">do not suggest that there is an association between PFOS exposure and cancer, </w:t>
      </w:r>
      <w:r>
        <w:rPr>
          <w:lang w:bidi="ar-SA"/>
        </w:rPr>
        <w:t>although</w:t>
      </w:r>
      <w:r w:rsidR="00983D58">
        <w:rPr>
          <w:lang w:bidi="ar-SA"/>
        </w:rPr>
        <w:t xml:space="preserve"> the breadth and scope of the studies are not sufficient to make definitive conclusions.</w:t>
      </w:r>
    </w:p>
    <w:p w14:paraId="4B537383" w14:textId="525733B1" w:rsidR="00A633FA" w:rsidRDefault="00A633FA" w:rsidP="00A111E9">
      <w:pPr>
        <w:rPr>
          <w:lang w:bidi="ar-SA"/>
        </w:rPr>
      </w:pPr>
    </w:p>
    <w:p w14:paraId="3080A56E" w14:textId="003DA7A2" w:rsidR="00A633FA" w:rsidRDefault="00A633FA" w:rsidP="00A111E9">
      <w:pPr>
        <w:rPr>
          <w:lang w:bidi="ar-SA"/>
        </w:rPr>
      </w:pPr>
      <w:r>
        <w:rPr>
          <w:lang w:bidi="ar-SA"/>
        </w:rPr>
        <w:t>The US EPA noted that in the single chronic cancer bioassay available for PFOS</w:t>
      </w:r>
      <w:r w:rsidR="0016323C">
        <w:rPr>
          <w:lang w:bidi="ar-SA"/>
        </w:rPr>
        <w:t>,</w:t>
      </w:r>
      <w:r>
        <w:rPr>
          <w:lang w:bidi="ar-SA"/>
        </w:rPr>
        <w:t xml:space="preserve"> liver adenomas were significantly increased at the highest doses in male and female rats. However, although a positive trend was found a dose</w:t>
      </w:r>
      <w:r w:rsidR="001012A5">
        <w:rPr>
          <w:lang w:bidi="ar-SA"/>
        </w:rPr>
        <w:t>-</w:t>
      </w:r>
      <w:r>
        <w:rPr>
          <w:lang w:bidi="ar-SA"/>
        </w:rPr>
        <w:t xml:space="preserve">response pattern was not observed. The incidence of thyroid follicular tumours was elevated </w:t>
      </w:r>
      <w:r w:rsidR="0016323C">
        <w:rPr>
          <w:lang w:bidi="ar-SA"/>
        </w:rPr>
        <w:t xml:space="preserve">in males </w:t>
      </w:r>
      <w:r>
        <w:rPr>
          <w:lang w:bidi="ar-SA"/>
        </w:rPr>
        <w:t>only in the hig</w:t>
      </w:r>
      <w:r w:rsidR="008C0831">
        <w:rPr>
          <w:lang w:bidi="ar-SA"/>
        </w:rPr>
        <w:t>h dose</w:t>
      </w:r>
      <w:r w:rsidR="00C0410F">
        <w:rPr>
          <w:lang w:bidi="ar-SA"/>
        </w:rPr>
        <w:t xml:space="preserve"> recovery group exposed</w:t>
      </w:r>
      <w:r>
        <w:rPr>
          <w:lang w:bidi="ar-SA"/>
        </w:rPr>
        <w:t xml:space="preserve"> for 52 weeks, where the incidence was three times higher than </w:t>
      </w:r>
      <w:r w:rsidR="00C0410F">
        <w:rPr>
          <w:lang w:bidi="ar-SA"/>
        </w:rPr>
        <w:t>that</w:t>
      </w:r>
      <w:r>
        <w:rPr>
          <w:lang w:bidi="ar-SA"/>
        </w:rPr>
        <w:t xml:space="preserve"> in rats given the same dose for 104 weeks. Again, a clear dose</w:t>
      </w:r>
      <w:r w:rsidR="001012A5">
        <w:rPr>
          <w:lang w:bidi="ar-SA"/>
        </w:rPr>
        <w:t>-</w:t>
      </w:r>
      <w:r>
        <w:rPr>
          <w:lang w:bidi="ar-SA"/>
        </w:rPr>
        <w:t>response relationship was not observed. The available data were considered inadequate to support a PPAR</w:t>
      </w:r>
      <w:r>
        <w:rPr>
          <w:rFonts w:cs="Arial"/>
          <w:lang w:bidi="ar-SA"/>
        </w:rPr>
        <w:t>α</w:t>
      </w:r>
      <w:r>
        <w:rPr>
          <w:lang w:bidi="ar-SA"/>
        </w:rPr>
        <w:t>-linked MOA for the liver and thyroid adenomas observed in this study.</w:t>
      </w:r>
    </w:p>
    <w:p w14:paraId="238C53E5" w14:textId="77777777" w:rsidR="00983D58" w:rsidRDefault="00983D58" w:rsidP="00A111E9">
      <w:pPr>
        <w:rPr>
          <w:lang w:bidi="ar-SA"/>
        </w:rPr>
      </w:pPr>
    </w:p>
    <w:p w14:paraId="30F0BFF1" w14:textId="58549A03" w:rsidR="004A1334" w:rsidRDefault="0016323C" w:rsidP="00A111E9">
      <w:pPr>
        <w:rPr>
          <w:lang w:bidi="ar-SA"/>
        </w:rPr>
      </w:pPr>
      <w:r>
        <w:rPr>
          <w:lang w:bidi="ar-SA"/>
        </w:rPr>
        <w:t xml:space="preserve">Under the US EPA’s 2005 guidelines for cancer risk assessment, there is ‘suggestive’ </w:t>
      </w:r>
      <w:r w:rsidR="00F14089">
        <w:rPr>
          <w:lang w:bidi="ar-SA"/>
        </w:rPr>
        <w:t>evidence for carcinogenicity</w:t>
      </w:r>
      <w:r>
        <w:rPr>
          <w:lang w:bidi="ar-SA"/>
        </w:rPr>
        <w:t xml:space="preserve"> based on findings in rats of </w:t>
      </w:r>
      <w:r w:rsidRPr="0016323C">
        <w:rPr>
          <w:lang w:bidi="ar-SA"/>
        </w:rPr>
        <w:t>a statistically significant increase at one dose only, but no significant response at other doses and no overall trend</w:t>
      </w:r>
      <w:r w:rsidR="00F14089">
        <w:rPr>
          <w:lang w:bidi="ar-SA"/>
        </w:rPr>
        <w:t>. However, the existing evidence was not considered to support a strong correlation between tumour incidence and dose</w:t>
      </w:r>
      <w:r>
        <w:rPr>
          <w:lang w:bidi="ar-SA"/>
        </w:rPr>
        <w:t xml:space="preserve"> that would </w:t>
      </w:r>
      <w:r w:rsidR="00F14089">
        <w:rPr>
          <w:lang w:bidi="ar-SA"/>
        </w:rPr>
        <w:t xml:space="preserve">justify a quantitative assessment. </w:t>
      </w:r>
      <w:r>
        <w:rPr>
          <w:lang w:bidi="ar-SA"/>
        </w:rPr>
        <w:t xml:space="preserve">Therefore a RfD for cancer </w:t>
      </w:r>
      <w:r>
        <w:rPr>
          <w:lang w:bidi="ar-SA"/>
        </w:rPr>
        <w:lastRenderedPageBreak/>
        <w:t>effects was not established.</w:t>
      </w:r>
    </w:p>
    <w:p w14:paraId="6724A8E8" w14:textId="2F8206B0" w:rsidR="00AD236D" w:rsidRPr="00AD236D" w:rsidRDefault="0054687A" w:rsidP="005F1486">
      <w:pPr>
        <w:pStyle w:val="Heading3"/>
      </w:pPr>
      <w:bookmarkStart w:id="89" w:name="_Toc468699215"/>
      <w:bookmarkStart w:id="90" w:name="_Toc468712744"/>
      <w:bookmarkStart w:id="91" w:name="_Toc468716446"/>
      <w:bookmarkStart w:id="92" w:name="_Toc468709433"/>
      <w:bookmarkStart w:id="93" w:name="_Toc468717732"/>
      <w:bookmarkStart w:id="94" w:name="_Toc468718376"/>
      <w:bookmarkStart w:id="95" w:name="_Toc468719366"/>
      <w:bookmarkStart w:id="96" w:name="_Toc468722171"/>
      <w:bookmarkStart w:id="97" w:name="_Toc468799241"/>
      <w:bookmarkStart w:id="98" w:name="_Toc468806564"/>
      <w:bookmarkStart w:id="99" w:name="_Toc468980978"/>
      <w:bookmarkStart w:id="100" w:name="_Toc482805098"/>
      <w:r>
        <w:t>2.3</w:t>
      </w:r>
      <w:r w:rsidR="00AD236D">
        <w:tab/>
        <w:t xml:space="preserve">Summary of the toxicity of </w:t>
      </w:r>
      <w:r w:rsidR="007B1A3F">
        <w:t>PFO</w:t>
      </w:r>
      <w:r w:rsidR="00F14089">
        <w:t>S</w:t>
      </w:r>
      <w:bookmarkEnd w:id="89"/>
      <w:bookmarkEnd w:id="90"/>
      <w:bookmarkEnd w:id="91"/>
      <w:bookmarkEnd w:id="92"/>
      <w:bookmarkEnd w:id="93"/>
      <w:bookmarkEnd w:id="94"/>
      <w:bookmarkEnd w:id="95"/>
      <w:bookmarkEnd w:id="96"/>
      <w:bookmarkEnd w:id="97"/>
      <w:bookmarkEnd w:id="98"/>
      <w:bookmarkEnd w:id="99"/>
      <w:bookmarkEnd w:id="100"/>
    </w:p>
    <w:p w14:paraId="28C4EC1F" w14:textId="3032C7F5" w:rsidR="00F009CD" w:rsidRPr="005F1486" w:rsidRDefault="0054687A" w:rsidP="005F1486">
      <w:pPr>
        <w:pStyle w:val="Heading4"/>
      </w:pPr>
      <w:bookmarkStart w:id="101" w:name="_Toc468699216"/>
      <w:bookmarkStart w:id="102" w:name="_Toc468712745"/>
      <w:bookmarkStart w:id="103" w:name="_Toc468716447"/>
      <w:bookmarkStart w:id="104" w:name="_Toc468709434"/>
      <w:bookmarkStart w:id="105" w:name="_Toc468717733"/>
      <w:bookmarkStart w:id="106" w:name="_Toc468718377"/>
      <w:bookmarkStart w:id="107" w:name="_Toc468719367"/>
      <w:bookmarkStart w:id="108" w:name="_Toc468722172"/>
      <w:bookmarkStart w:id="109" w:name="_Toc468799242"/>
      <w:bookmarkStart w:id="110" w:name="_Toc468806565"/>
      <w:bookmarkStart w:id="111" w:name="_Toc468980979"/>
      <w:r w:rsidRPr="005F1486">
        <w:t>2.3</w:t>
      </w:r>
      <w:r w:rsidR="00112C61">
        <w:t>.1</w:t>
      </w:r>
      <w:r w:rsidR="00112C61">
        <w:tab/>
      </w:r>
      <w:r w:rsidR="00112C61">
        <w:tab/>
      </w:r>
      <w:r w:rsidR="00F009CD" w:rsidRPr="005F1486">
        <w:rPr>
          <w:rStyle w:val="Heading4Char"/>
          <w:b/>
          <w:i/>
        </w:rPr>
        <w:t>Mechanisms of toxicity</w:t>
      </w:r>
      <w:bookmarkEnd w:id="101"/>
      <w:bookmarkEnd w:id="102"/>
      <w:bookmarkEnd w:id="103"/>
      <w:bookmarkEnd w:id="104"/>
      <w:bookmarkEnd w:id="105"/>
      <w:bookmarkEnd w:id="106"/>
      <w:bookmarkEnd w:id="107"/>
      <w:bookmarkEnd w:id="108"/>
      <w:bookmarkEnd w:id="109"/>
      <w:bookmarkEnd w:id="110"/>
      <w:bookmarkEnd w:id="111"/>
    </w:p>
    <w:p w14:paraId="1697CF6E" w14:textId="207CF8BA" w:rsidR="00C102B8" w:rsidRPr="008F6C9A" w:rsidRDefault="00C102B8" w:rsidP="00A111E9">
      <w:r w:rsidRPr="008F6C9A">
        <w:t>The mode of action of PFAS</w:t>
      </w:r>
      <w:r w:rsidR="00185513">
        <w:t xml:space="preserve"> substances</w:t>
      </w:r>
      <w:r w:rsidRPr="008F6C9A">
        <w:t xml:space="preserve"> is not fully defined, but can be partly attributed to their structure.</w:t>
      </w:r>
    </w:p>
    <w:p w14:paraId="58FD5AF1" w14:textId="77777777" w:rsidR="00C102B8" w:rsidRPr="008F6C9A" w:rsidRDefault="00C102B8" w:rsidP="00A111E9"/>
    <w:p w14:paraId="24E3D64C" w14:textId="755EAECA" w:rsidR="00BB598F" w:rsidRDefault="00BB598F" w:rsidP="00A111E9">
      <w:r>
        <w:t>PFOS has been found to activate both mouse and human PPAR</w:t>
      </w:r>
      <w:r>
        <w:rPr>
          <w:rFonts w:cs="Arial"/>
        </w:rPr>
        <w:t>α</w:t>
      </w:r>
      <w:r>
        <w:t xml:space="preserve"> in a number of </w:t>
      </w:r>
      <w:r w:rsidRPr="00A15F6E">
        <w:t>in vitro</w:t>
      </w:r>
      <w:r>
        <w:t xml:space="preserve"> studies (reviewed by EFSA 2008 and US EPA 2016). Activation of mouse and human PPARα and PPARβ by PFOS has been shown to be less than the level of activation by PFOA, while neither substance significantly activated mouse or human PPAR</w:t>
      </w:r>
      <w:r>
        <w:rPr>
          <w:rFonts w:cs="Arial"/>
        </w:rPr>
        <w:t>γ</w:t>
      </w:r>
      <w:r w:rsidR="009B7C61">
        <w:rPr>
          <w:rFonts w:cs="Arial"/>
        </w:rPr>
        <w:t xml:space="preserve"> (EFSA 2008)</w:t>
      </w:r>
      <w:r>
        <w:t>.</w:t>
      </w:r>
    </w:p>
    <w:p w14:paraId="1B1D81C3" w14:textId="77777777" w:rsidR="00BB598F" w:rsidRDefault="00BB598F" w:rsidP="00A111E9"/>
    <w:p w14:paraId="2DFA4449" w14:textId="38143E8C" w:rsidR="00C102B8" w:rsidRDefault="00C102B8" w:rsidP="00A111E9">
      <w:r w:rsidRPr="00ED38CA">
        <w:t>Activation of PPARα</w:t>
      </w:r>
      <w:r w:rsidRPr="00ED38CA" w:rsidDel="00ED38CA">
        <w:t xml:space="preserve"> </w:t>
      </w:r>
      <w:r w:rsidRPr="00ED38CA">
        <w:t>leads to proliferation of peroxisomes, and catabolism of fatty acids and cholesterol. Peroxisome proliferation leads to hepatocellular hypertrophy and increased liver weight, which is observed in rodents treated with PFOS. Peroxisome proliferation is associated with hepatocellular carcinogenesis in rodents, but this effect is not relevant to human health risk assessment (Borg and Håkansson 2012).</w:t>
      </w:r>
    </w:p>
    <w:p w14:paraId="751A6913" w14:textId="77777777" w:rsidR="00C102B8" w:rsidRDefault="00C102B8" w:rsidP="00A111E9"/>
    <w:p w14:paraId="113E05D3" w14:textId="0CB4A641" w:rsidR="00C102B8" w:rsidRPr="00ED38CA" w:rsidRDefault="00BE205C" w:rsidP="00A111E9">
      <w:r>
        <w:t>Peroxisome</w:t>
      </w:r>
      <w:r w:rsidR="00C102B8">
        <w:t xml:space="preserve"> proliferation is likely to contribute to the liver toxicity observed in laboratory animal studies. However, r</w:t>
      </w:r>
      <w:r w:rsidR="00C102B8" w:rsidRPr="00ED38CA">
        <w:t>esults of a 28-day dietary rat investigative study in rats w</w:t>
      </w:r>
      <w:r w:rsidR="00507EA1">
        <w:t>ith PFOS (50 ppm</w:t>
      </w:r>
      <w:r w:rsidR="00C102B8" w:rsidRPr="00ED38CA">
        <w:t>) provided evidence that PFOS exposure also results in activation of the nuclear receptors CAR and PXR (</w:t>
      </w:r>
      <w:r w:rsidR="009B7C61">
        <w:t xml:space="preserve">constitutive androstane receptor </w:t>
      </w:r>
      <w:r w:rsidR="00C102B8" w:rsidRPr="00ED38CA">
        <w:t>and pregnane X receptor</w:t>
      </w:r>
      <w:r w:rsidR="009B7C61">
        <w:t>, respectively</w:t>
      </w:r>
      <w:r w:rsidR="00C102B8" w:rsidRPr="00ED38CA">
        <w:t>)</w:t>
      </w:r>
      <w:r w:rsidR="009B7C61">
        <w:t xml:space="preserve"> </w:t>
      </w:r>
      <w:r w:rsidR="00C102B8" w:rsidRPr="00ED38CA">
        <w:t xml:space="preserve">(Dong </w:t>
      </w:r>
      <w:r w:rsidR="00180A32" w:rsidRPr="00180A32">
        <w:rPr>
          <w:i/>
        </w:rPr>
        <w:t xml:space="preserve">et al. </w:t>
      </w:r>
      <w:r w:rsidR="00F22DA6">
        <w:t xml:space="preserve"> </w:t>
      </w:r>
      <w:r w:rsidR="00C102B8" w:rsidRPr="00ED38CA">
        <w:t xml:space="preserve">2016). </w:t>
      </w:r>
      <w:r w:rsidR="00DE6998">
        <w:t>Hepatic expression of 28</w:t>
      </w:r>
      <w:r w:rsidR="00DE6998" w:rsidRPr="00DE6998">
        <w:t xml:space="preserve"> genes down</w:t>
      </w:r>
      <w:r w:rsidR="00032CF6">
        <w:t>stream</w:t>
      </w:r>
      <w:r w:rsidR="00DE6998" w:rsidRPr="00DE6998">
        <w:t xml:space="preserve"> of CAR/PXR were significantly altered by PFOS treatment. The classic CAR</w:t>
      </w:r>
      <w:r w:rsidR="003E1D1D">
        <w:t xml:space="preserve"> </w:t>
      </w:r>
      <w:r w:rsidR="00DE6998" w:rsidRPr="00DE6998">
        <w:t xml:space="preserve">target genes </w:t>
      </w:r>
      <w:r w:rsidR="00DE6998" w:rsidRPr="003E1D1D">
        <w:rPr>
          <w:i/>
        </w:rPr>
        <w:t>Aldh1a7</w:t>
      </w:r>
      <w:r w:rsidR="00DE6998" w:rsidRPr="00DE6998">
        <w:t xml:space="preserve"> and </w:t>
      </w:r>
      <w:r w:rsidR="00DE6998" w:rsidRPr="003E1D1D">
        <w:rPr>
          <w:i/>
        </w:rPr>
        <w:t>Cyp2b</w:t>
      </w:r>
      <w:r w:rsidR="00DE6998" w:rsidRPr="00DE6998">
        <w:t xml:space="preserve"> exhibited approximate 10-fold</w:t>
      </w:r>
      <w:r w:rsidR="003E1D1D">
        <w:t xml:space="preserve"> </w:t>
      </w:r>
      <w:r w:rsidR="00DE6998" w:rsidRPr="00DE6998">
        <w:t xml:space="preserve">increases in expression, while the PXR target gene </w:t>
      </w:r>
      <w:r w:rsidR="00DE6998" w:rsidRPr="003E1D1D">
        <w:rPr>
          <w:i/>
        </w:rPr>
        <w:t>Cyp3a</w:t>
      </w:r>
      <w:r w:rsidR="00DE6998" w:rsidRPr="00DE6998">
        <w:t xml:space="preserve"> was</w:t>
      </w:r>
      <w:r w:rsidR="003E1D1D">
        <w:t xml:space="preserve"> </w:t>
      </w:r>
      <w:r w:rsidR="00DE6998" w:rsidRPr="00DE6998">
        <w:t>roughly 3-fold increased by PFOS treatment.</w:t>
      </w:r>
      <w:r w:rsidR="003E1D1D">
        <w:t xml:space="preserve"> Expression of PPAR</w:t>
      </w:r>
      <w:r w:rsidR="003E1D1D">
        <w:rPr>
          <w:rFonts w:cs="Arial"/>
        </w:rPr>
        <w:t>α</w:t>
      </w:r>
      <w:r w:rsidR="003E1D1D">
        <w:t xml:space="preserve"> target genes was also affected by PFOS, including </w:t>
      </w:r>
      <w:r w:rsidR="003E1D1D" w:rsidRPr="003E1D1D">
        <w:rPr>
          <w:i/>
        </w:rPr>
        <w:t>Acox1</w:t>
      </w:r>
      <w:r w:rsidR="003E1D1D" w:rsidRPr="003E1D1D">
        <w:t xml:space="preserve"> and other genes</w:t>
      </w:r>
      <w:r w:rsidR="003E1D1D">
        <w:t xml:space="preserve"> </w:t>
      </w:r>
      <w:r w:rsidR="003E1D1D" w:rsidRPr="003E1D1D">
        <w:t>involved in lipid metabolism.</w:t>
      </w:r>
    </w:p>
    <w:p w14:paraId="581BB4D3" w14:textId="77777777" w:rsidR="00C102B8" w:rsidRDefault="00C102B8" w:rsidP="00A111E9"/>
    <w:p w14:paraId="0E0EDB5B" w14:textId="7C0AE860" w:rsidR="00C102B8" w:rsidRDefault="00C102B8" w:rsidP="00A111E9">
      <w:pPr>
        <w:rPr>
          <w:rFonts w:cs="Arial"/>
        </w:rPr>
      </w:pPr>
      <w:r w:rsidRPr="008F6C9A">
        <w:t xml:space="preserve">Effects not </w:t>
      </w:r>
      <w:r w:rsidR="00BF5623">
        <w:t xml:space="preserve">considered to be </w:t>
      </w:r>
      <w:r w:rsidRPr="008F6C9A">
        <w:t xml:space="preserve">mediated by PPARα may be relevant to human health risk assessment </w:t>
      </w:r>
      <w:r w:rsidRPr="008F6C9A">
        <w:rPr>
          <w:rFonts w:cs="Arial"/>
        </w:rPr>
        <w:t>(Borg and Håkansson 2012).</w:t>
      </w:r>
      <w:r w:rsidR="00D4685E">
        <w:rPr>
          <w:rFonts w:cs="Arial"/>
        </w:rPr>
        <w:t xml:space="preserve"> </w:t>
      </w:r>
      <w:r w:rsidR="00547C02">
        <w:rPr>
          <w:rFonts w:cs="Arial"/>
        </w:rPr>
        <w:t>However</w:t>
      </w:r>
      <w:r w:rsidR="007F02A2">
        <w:rPr>
          <w:rFonts w:cs="Arial"/>
        </w:rPr>
        <w:t>,</w:t>
      </w:r>
      <w:r w:rsidR="00547C02">
        <w:rPr>
          <w:rFonts w:cs="Arial"/>
        </w:rPr>
        <w:t xml:space="preserve"> it should also be noted that r</w:t>
      </w:r>
      <w:r w:rsidR="00D4685E" w:rsidRPr="00D4685E">
        <w:rPr>
          <w:rFonts w:cs="Arial"/>
        </w:rPr>
        <w:t xml:space="preserve">ecent advances over the last decade have </w:t>
      </w:r>
      <w:r w:rsidR="00D4685E">
        <w:rPr>
          <w:rFonts w:cs="Arial"/>
        </w:rPr>
        <w:t xml:space="preserve">also </w:t>
      </w:r>
      <w:r w:rsidR="00D4685E" w:rsidRPr="00D4685E">
        <w:rPr>
          <w:rFonts w:cs="Arial"/>
        </w:rPr>
        <w:t>revealed that a number of the effects related to the activation of the</w:t>
      </w:r>
      <w:r w:rsidR="00D4685E">
        <w:rPr>
          <w:rFonts w:cs="Arial"/>
        </w:rPr>
        <w:t xml:space="preserve"> nuclear hormone receptors CAR and </w:t>
      </w:r>
      <w:r w:rsidR="00D4685E" w:rsidRPr="00D4685E">
        <w:rPr>
          <w:rFonts w:cs="Arial"/>
        </w:rPr>
        <w:t xml:space="preserve">PXR are rodent-specific (Hall </w:t>
      </w:r>
      <w:r w:rsidR="00180A32" w:rsidRPr="00180A32">
        <w:rPr>
          <w:rFonts w:cs="Arial"/>
          <w:i/>
        </w:rPr>
        <w:t xml:space="preserve">et al. </w:t>
      </w:r>
      <w:r w:rsidR="00F22DA6">
        <w:rPr>
          <w:rFonts w:cs="Arial"/>
        </w:rPr>
        <w:t xml:space="preserve"> </w:t>
      </w:r>
      <w:r w:rsidR="00D4685E" w:rsidRPr="00D4685E">
        <w:rPr>
          <w:rFonts w:cs="Arial"/>
        </w:rPr>
        <w:t>2012).</w:t>
      </w:r>
    </w:p>
    <w:p w14:paraId="615C07F3" w14:textId="77777777" w:rsidR="00C102B8" w:rsidRDefault="00C102B8" w:rsidP="00A111E9">
      <w:pPr>
        <w:rPr>
          <w:rFonts w:cs="Arial"/>
        </w:rPr>
      </w:pPr>
    </w:p>
    <w:p w14:paraId="276EC6B1" w14:textId="0BD82F42" w:rsidR="00C0410F" w:rsidRPr="00655758" w:rsidRDefault="00C102B8" w:rsidP="00A111E9">
      <w:pPr>
        <w:rPr>
          <w:strike/>
        </w:rPr>
      </w:pPr>
      <w:r>
        <w:rPr>
          <w:rFonts w:cs="Arial"/>
        </w:rPr>
        <w:t>PFOS is associated with neonatal mortality in mice</w:t>
      </w:r>
      <w:r w:rsidR="000E1D4E">
        <w:rPr>
          <w:rFonts w:cs="Arial"/>
        </w:rPr>
        <w:t xml:space="preserve"> and rats</w:t>
      </w:r>
      <w:r>
        <w:rPr>
          <w:rFonts w:cs="Arial"/>
        </w:rPr>
        <w:t>. The pups appear normal at birth, the lungs were shown to be mature and normal, but die within a few days</w:t>
      </w:r>
      <w:r w:rsidRPr="00507EA1">
        <w:rPr>
          <w:rFonts w:cs="Arial"/>
        </w:rPr>
        <w:t xml:space="preserve">. </w:t>
      </w:r>
      <w:r w:rsidR="00655758" w:rsidRPr="00507EA1">
        <w:rPr>
          <w:rFonts w:cs="Arial"/>
        </w:rPr>
        <w:t xml:space="preserve">It has been suggested that PFOS may interact with the components of the pulmonary surfactant needed to inflate the lungs, based on findings in </w:t>
      </w:r>
      <w:r w:rsidR="00655758" w:rsidRPr="00A15F6E">
        <w:rPr>
          <w:rFonts w:cs="Arial"/>
        </w:rPr>
        <w:t>in vitro</w:t>
      </w:r>
      <w:r w:rsidR="00655758" w:rsidRPr="00507EA1">
        <w:rPr>
          <w:rFonts w:cs="Arial"/>
        </w:rPr>
        <w:t xml:space="preserve"> studies (Xie </w:t>
      </w:r>
      <w:r w:rsidR="00180A32" w:rsidRPr="00180A32">
        <w:rPr>
          <w:rFonts w:cs="Arial"/>
          <w:i/>
        </w:rPr>
        <w:t xml:space="preserve">et al. </w:t>
      </w:r>
      <w:r w:rsidR="000203C4">
        <w:rPr>
          <w:rFonts w:cs="Arial"/>
          <w:i/>
        </w:rPr>
        <w:t xml:space="preserve"> </w:t>
      </w:r>
      <w:r w:rsidR="00655758" w:rsidRPr="00507EA1">
        <w:rPr>
          <w:rFonts w:cs="Arial"/>
        </w:rPr>
        <w:t>2010).</w:t>
      </w:r>
    </w:p>
    <w:p w14:paraId="00CED541" w14:textId="273D24CB" w:rsidR="00F009CD" w:rsidRDefault="00F009CD" w:rsidP="005F1486">
      <w:pPr>
        <w:pStyle w:val="Heading4"/>
      </w:pPr>
      <w:bookmarkStart w:id="112" w:name="_Toc468699217"/>
      <w:bookmarkStart w:id="113" w:name="_Toc468712746"/>
      <w:bookmarkStart w:id="114" w:name="_Toc468716448"/>
      <w:bookmarkStart w:id="115" w:name="_Toc468709435"/>
      <w:bookmarkStart w:id="116" w:name="_Toc468717734"/>
      <w:bookmarkStart w:id="117" w:name="_Toc468718378"/>
      <w:bookmarkStart w:id="118" w:name="_Toc468719368"/>
      <w:bookmarkStart w:id="119" w:name="_Toc468722173"/>
      <w:bookmarkStart w:id="120" w:name="_Toc468799243"/>
      <w:bookmarkStart w:id="121" w:name="_Toc468806566"/>
      <w:bookmarkStart w:id="122" w:name="_Toc468980980"/>
      <w:r>
        <w:t>2.</w:t>
      </w:r>
      <w:r w:rsidR="00D95238">
        <w:t>3</w:t>
      </w:r>
      <w:r>
        <w:t>.2</w:t>
      </w:r>
      <w:r w:rsidR="005F1486">
        <w:tab/>
      </w:r>
      <w:r>
        <w:tab/>
        <w:t>Toxicokinetics</w:t>
      </w:r>
      <w:bookmarkEnd w:id="112"/>
      <w:bookmarkEnd w:id="113"/>
      <w:bookmarkEnd w:id="114"/>
      <w:bookmarkEnd w:id="115"/>
      <w:bookmarkEnd w:id="116"/>
      <w:bookmarkEnd w:id="117"/>
      <w:bookmarkEnd w:id="118"/>
      <w:bookmarkEnd w:id="119"/>
      <w:bookmarkEnd w:id="120"/>
      <w:bookmarkEnd w:id="121"/>
      <w:bookmarkEnd w:id="122"/>
    </w:p>
    <w:p w14:paraId="07F74B37" w14:textId="468E85E8" w:rsidR="00147ADA" w:rsidRDefault="00147ADA" w:rsidP="00A111E9">
      <w:pPr>
        <w:rPr>
          <w:i/>
          <w:lang w:eastAsia="en-AU"/>
        </w:rPr>
      </w:pPr>
      <w:r>
        <w:rPr>
          <w:lang w:eastAsia="en-AU"/>
        </w:rPr>
        <w:t xml:space="preserve">A detailed review of the toxicokinetics of PFOS is included in the review of pharmacokinetic modelling for PFOS and PFOA commissioned by FSANZ (Roberts </w:t>
      </w:r>
      <w:r w:rsidR="00180A32" w:rsidRPr="00180A32">
        <w:rPr>
          <w:i/>
          <w:lang w:eastAsia="en-AU"/>
        </w:rPr>
        <w:t xml:space="preserve">et al. </w:t>
      </w:r>
      <w:r>
        <w:rPr>
          <w:lang w:eastAsia="en-AU"/>
        </w:rPr>
        <w:t xml:space="preserve"> 2016). Key information is summarised below. </w:t>
      </w:r>
    </w:p>
    <w:p w14:paraId="25A35937" w14:textId="2D558293" w:rsidR="00026EA6" w:rsidRPr="00026EA6" w:rsidRDefault="00026EA6" w:rsidP="005F1486">
      <w:pPr>
        <w:pStyle w:val="Heading5"/>
      </w:pPr>
      <w:r w:rsidRPr="00026EA6">
        <w:t>Absorption</w:t>
      </w:r>
    </w:p>
    <w:p w14:paraId="121F716A" w14:textId="709F5332" w:rsidR="00F760E4" w:rsidRPr="00485494" w:rsidRDefault="00F760E4" w:rsidP="00A111E9">
      <w:pPr>
        <w:rPr>
          <w:lang w:eastAsia="en-AU"/>
        </w:rPr>
      </w:pPr>
      <w:r>
        <w:rPr>
          <w:lang w:eastAsia="en-AU"/>
        </w:rPr>
        <w:t>PFOS</w:t>
      </w:r>
      <w:r w:rsidRPr="00485494">
        <w:rPr>
          <w:lang w:eastAsia="en-AU"/>
        </w:rPr>
        <w:t xml:space="preserve"> is readily absorbed by the ora</w:t>
      </w:r>
      <w:r>
        <w:rPr>
          <w:lang w:eastAsia="en-AU"/>
        </w:rPr>
        <w:t>l route. Bioavailability of &gt; 95</w:t>
      </w:r>
      <w:r w:rsidRPr="00485494">
        <w:rPr>
          <w:lang w:eastAsia="en-AU"/>
        </w:rPr>
        <w:t>% within 24 hours has been demonstrated following oral administration to rodents (reviewed by Borg and Håkansson 2012).</w:t>
      </w:r>
      <w:r w:rsidR="008423B6">
        <w:rPr>
          <w:lang w:eastAsia="en-AU"/>
        </w:rPr>
        <w:t xml:space="preserve"> The maximum concentration in the serum (</w:t>
      </w:r>
      <w:r w:rsidRPr="00BF787F">
        <w:rPr>
          <w:lang w:eastAsia="en-AU"/>
        </w:rPr>
        <w:t>C</w:t>
      </w:r>
      <w:r w:rsidRPr="00BF787F">
        <w:rPr>
          <w:vertAlign w:val="subscript"/>
          <w:lang w:eastAsia="en-AU"/>
        </w:rPr>
        <w:t>max</w:t>
      </w:r>
      <w:r w:rsidR="008423B6">
        <w:rPr>
          <w:lang w:eastAsia="en-AU"/>
        </w:rPr>
        <w:t>)</w:t>
      </w:r>
      <w:r>
        <w:rPr>
          <w:vertAlign w:val="subscript"/>
          <w:lang w:eastAsia="en-AU"/>
        </w:rPr>
        <w:t xml:space="preserve"> </w:t>
      </w:r>
      <w:r>
        <w:rPr>
          <w:lang w:eastAsia="en-AU"/>
        </w:rPr>
        <w:t>after oral gavage i</w:t>
      </w:r>
      <w:r w:rsidRPr="00BF787F">
        <w:rPr>
          <w:lang w:eastAsia="en-AU"/>
        </w:rPr>
        <w:t>s reached within 12 hours in rats</w:t>
      </w:r>
      <w:r>
        <w:rPr>
          <w:lang w:eastAsia="en-AU"/>
        </w:rPr>
        <w:t>, with no clear differences between the sexes</w:t>
      </w:r>
      <w:r w:rsidRPr="00BF787F">
        <w:rPr>
          <w:lang w:eastAsia="en-AU"/>
        </w:rPr>
        <w:t xml:space="preserve"> (Kim 2016).</w:t>
      </w:r>
    </w:p>
    <w:p w14:paraId="7550C4CE" w14:textId="5275A35F" w:rsidR="00026EA6" w:rsidRPr="00026EA6" w:rsidRDefault="00026EA6" w:rsidP="005F1486">
      <w:pPr>
        <w:pStyle w:val="Heading5"/>
      </w:pPr>
      <w:r w:rsidRPr="00026EA6">
        <w:lastRenderedPageBreak/>
        <w:t>Distribution</w:t>
      </w:r>
    </w:p>
    <w:p w14:paraId="71DB1A35" w14:textId="4FC779E7" w:rsidR="00F760E4" w:rsidRDefault="00F760E4" w:rsidP="00A111E9">
      <w:pPr>
        <w:rPr>
          <w:lang w:eastAsia="en-AU"/>
        </w:rPr>
      </w:pPr>
      <w:r>
        <w:rPr>
          <w:lang w:eastAsia="en-AU"/>
        </w:rPr>
        <w:t>PFOS</w:t>
      </w:r>
      <w:r w:rsidR="00040A06">
        <w:rPr>
          <w:lang w:eastAsia="en-AU"/>
        </w:rPr>
        <w:t xml:space="preserve"> is highly bound to albumin in </w:t>
      </w:r>
      <w:r w:rsidRPr="00485494">
        <w:rPr>
          <w:lang w:eastAsia="en-AU"/>
        </w:rPr>
        <w:t xml:space="preserve">circulation. It has been shown to be 99.7% bound to human albumin and 97.3% bound to albumin of rats and monkeys. </w:t>
      </w:r>
      <w:r>
        <w:rPr>
          <w:lang w:eastAsia="en-AU"/>
        </w:rPr>
        <w:t>The dissociation constant for albumin-bound PFOS in human serum is approximately 0.08 mM (Beesoon and Martin 2015). The high binding affinity of human serum albumin for PFOS may at least partly explain its long biological half-life in humans (approximately 5.4 years, ATSDR 2015). Ng and Hungerb</w:t>
      </w:r>
      <w:r>
        <w:rPr>
          <w:rFonts w:cs="Arial"/>
          <w:lang w:eastAsia="en-AU"/>
        </w:rPr>
        <w:t>ϋ</w:t>
      </w:r>
      <w:r>
        <w:rPr>
          <w:lang w:eastAsia="en-AU"/>
        </w:rPr>
        <w:t>hler (2014) report</w:t>
      </w:r>
      <w:r w:rsidR="00147ADA">
        <w:rPr>
          <w:lang w:eastAsia="en-AU"/>
        </w:rPr>
        <w:t>ed</w:t>
      </w:r>
      <w:r>
        <w:rPr>
          <w:lang w:eastAsia="en-AU"/>
        </w:rPr>
        <w:t xml:space="preserve"> that the number of albumin sites bound with </w:t>
      </w:r>
      <w:r w:rsidR="00DB32BD">
        <w:rPr>
          <w:lang w:eastAsia="en-AU"/>
        </w:rPr>
        <w:t>p</w:t>
      </w:r>
      <w:r w:rsidR="00DB32BD" w:rsidRPr="00DB32BD">
        <w:rPr>
          <w:lang w:eastAsia="en-AU"/>
        </w:rPr>
        <w:t xml:space="preserve">erfluoroalkyl acids </w:t>
      </w:r>
      <w:r w:rsidR="00DB32BD">
        <w:rPr>
          <w:lang w:eastAsia="en-AU"/>
        </w:rPr>
        <w:t>(</w:t>
      </w:r>
      <w:r>
        <w:rPr>
          <w:lang w:eastAsia="en-AU"/>
        </w:rPr>
        <w:t>PFAAs</w:t>
      </w:r>
      <w:r w:rsidR="00DB32BD">
        <w:rPr>
          <w:lang w:eastAsia="en-AU"/>
        </w:rPr>
        <w:t>)</w:t>
      </w:r>
      <w:r>
        <w:rPr>
          <w:lang w:eastAsia="en-AU"/>
        </w:rPr>
        <w:t xml:space="preserve"> appears to vary with concentration; at low concentrations of PFAA binding occurs to a small numer of primary high affinity sites, whil</w:t>
      </w:r>
      <w:r w:rsidR="003861B4">
        <w:rPr>
          <w:lang w:eastAsia="en-AU"/>
        </w:rPr>
        <w:t>e</w:t>
      </w:r>
      <w:r>
        <w:rPr>
          <w:lang w:eastAsia="en-AU"/>
        </w:rPr>
        <w:t xml:space="preserve"> at higher concentrations, as the primary sites become saturated, PFAAs start to bind to a larger number of low affinity sites. Early studies investigating PFOS binding found approximately 10 albumin binding sites.</w:t>
      </w:r>
    </w:p>
    <w:p w14:paraId="7D896806" w14:textId="77777777" w:rsidR="00F760E4" w:rsidRDefault="00F760E4" w:rsidP="00A111E9">
      <w:pPr>
        <w:rPr>
          <w:lang w:eastAsia="en-AU"/>
        </w:rPr>
      </w:pPr>
    </w:p>
    <w:p w14:paraId="57E67712" w14:textId="64A198AD" w:rsidR="00026EA6" w:rsidRDefault="00F760E4" w:rsidP="00A111E9">
      <w:pPr>
        <w:rPr>
          <w:lang w:eastAsia="en-AU"/>
        </w:rPr>
      </w:pPr>
      <w:r>
        <w:rPr>
          <w:lang w:eastAsia="en-AU"/>
        </w:rPr>
        <w:t xml:space="preserve">As with other PFAS, </w:t>
      </w:r>
      <w:r w:rsidRPr="00AE0A63">
        <w:rPr>
          <w:lang w:eastAsia="en-AU"/>
        </w:rPr>
        <w:t>PFOS</w:t>
      </w:r>
      <w:r w:rsidRPr="00485494">
        <w:rPr>
          <w:lang w:eastAsia="en-AU"/>
        </w:rPr>
        <w:t xml:space="preserve"> </w:t>
      </w:r>
      <w:r w:rsidRPr="00AE0A63">
        <w:rPr>
          <w:lang w:eastAsia="en-AU"/>
        </w:rPr>
        <w:t xml:space="preserve">binds </w:t>
      </w:r>
      <w:r w:rsidRPr="00485494">
        <w:rPr>
          <w:lang w:eastAsia="en-AU"/>
        </w:rPr>
        <w:t>to fatty</w:t>
      </w:r>
      <w:r w:rsidR="001012A5">
        <w:rPr>
          <w:lang w:eastAsia="en-AU"/>
        </w:rPr>
        <w:t xml:space="preserve"> </w:t>
      </w:r>
      <w:r w:rsidRPr="00485494">
        <w:rPr>
          <w:lang w:eastAsia="en-AU"/>
        </w:rPr>
        <w:t>acid binding protein</w:t>
      </w:r>
      <w:r w:rsidR="00040A06">
        <w:rPr>
          <w:lang w:eastAsia="en-AU"/>
        </w:rPr>
        <w:t xml:space="preserve"> (FABP)</w:t>
      </w:r>
      <w:r w:rsidRPr="00485494">
        <w:rPr>
          <w:lang w:eastAsia="en-AU"/>
        </w:rPr>
        <w:t xml:space="preserve"> in the liver</w:t>
      </w:r>
      <w:r w:rsidR="00026EA6">
        <w:rPr>
          <w:lang w:eastAsia="en-AU"/>
        </w:rPr>
        <w:t>, and has a higher binding affinity than PFOA</w:t>
      </w:r>
      <w:r w:rsidRPr="00485494">
        <w:rPr>
          <w:lang w:eastAsia="en-AU"/>
        </w:rPr>
        <w:t>.</w:t>
      </w:r>
      <w:r w:rsidR="00026EA6">
        <w:rPr>
          <w:lang w:eastAsia="en-AU"/>
        </w:rPr>
        <w:t xml:space="preserve"> FABP can carry longer chain fatty acids into cell nuclei (Roberts </w:t>
      </w:r>
      <w:r w:rsidR="00180A32" w:rsidRPr="00180A32">
        <w:rPr>
          <w:i/>
          <w:lang w:eastAsia="en-AU"/>
        </w:rPr>
        <w:t xml:space="preserve">et al. </w:t>
      </w:r>
      <w:r w:rsidR="00F22DA6">
        <w:rPr>
          <w:lang w:eastAsia="en-AU"/>
        </w:rPr>
        <w:t xml:space="preserve"> </w:t>
      </w:r>
      <w:r w:rsidR="00026EA6">
        <w:rPr>
          <w:lang w:eastAsia="en-AU"/>
        </w:rPr>
        <w:t>2016).</w:t>
      </w:r>
    </w:p>
    <w:p w14:paraId="603784D3" w14:textId="77777777" w:rsidR="00026EA6" w:rsidRDefault="00026EA6" w:rsidP="00A111E9">
      <w:pPr>
        <w:rPr>
          <w:lang w:eastAsia="en-AU"/>
        </w:rPr>
      </w:pPr>
    </w:p>
    <w:p w14:paraId="1B68A94A" w14:textId="1EC5E6E5" w:rsidR="00F760E4" w:rsidRPr="00485494" w:rsidRDefault="00F760E4" w:rsidP="00A111E9">
      <w:pPr>
        <w:rPr>
          <w:lang w:eastAsia="en-AU"/>
        </w:rPr>
      </w:pPr>
      <w:r w:rsidRPr="00AE0A63">
        <w:rPr>
          <w:lang w:eastAsia="en-AU"/>
        </w:rPr>
        <w:t>PFOS</w:t>
      </w:r>
      <w:r w:rsidRPr="00485494">
        <w:rPr>
          <w:lang w:eastAsia="en-AU"/>
        </w:rPr>
        <w:t xml:space="preserve"> also has a high binding affinity for human serum thyroid hormone transport protein, transthyretin (TTR) and a moderate affinity for low density lipoproteins and </w:t>
      </w:r>
      <w:r w:rsidRPr="00485494">
        <w:rPr>
          <w:rFonts w:cs="Arial"/>
          <w:lang w:eastAsia="en-AU"/>
        </w:rPr>
        <w:t>α</w:t>
      </w:r>
      <w:r w:rsidRPr="00485494">
        <w:rPr>
          <w:lang w:eastAsia="en-AU"/>
        </w:rPr>
        <w:t>-globulins</w:t>
      </w:r>
      <w:r w:rsidRPr="00AE0A63">
        <w:rPr>
          <w:lang w:eastAsia="en-AU"/>
        </w:rPr>
        <w:t xml:space="preserve"> (Weiss 2009)</w:t>
      </w:r>
      <w:r w:rsidRPr="00485494">
        <w:rPr>
          <w:lang w:eastAsia="en-AU"/>
        </w:rPr>
        <w:t>.</w:t>
      </w:r>
    </w:p>
    <w:p w14:paraId="19334025" w14:textId="77777777" w:rsidR="00F760E4" w:rsidRPr="00485494" w:rsidRDefault="00F760E4" w:rsidP="00A111E9">
      <w:pPr>
        <w:rPr>
          <w:lang w:eastAsia="en-AU"/>
        </w:rPr>
      </w:pPr>
    </w:p>
    <w:p w14:paraId="7906B289" w14:textId="7BE7643C" w:rsidR="00845C2B" w:rsidRDefault="00F760E4" w:rsidP="00A111E9">
      <w:pPr>
        <w:rPr>
          <w:lang w:eastAsia="en-AU"/>
        </w:rPr>
      </w:pPr>
      <w:r w:rsidRPr="00485494">
        <w:rPr>
          <w:lang w:eastAsia="en-AU"/>
        </w:rPr>
        <w:t xml:space="preserve">After subchronic </w:t>
      </w:r>
      <w:r>
        <w:rPr>
          <w:lang w:eastAsia="en-AU"/>
        </w:rPr>
        <w:t>oral dosing, PFOS</w:t>
      </w:r>
      <w:r w:rsidRPr="00485494">
        <w:rPr>
          <w:lang w:eastAsia="en-AU"/>
        </w:rPr>
        <w:t xml:space="preserve"> is found mainly in blood, liver, lung</w:t>
      </w:r>
      <w:r>
        <w:rPr>
          <w:lang w:eastAsia="en-AU"/>
        </w:rPr>
        <w:t xml:space="preserve"> and </w:t>
      </w:r>
      <w:r w:rsidRPr="00485494">
        <w:rPr>
          <w:lang w:eastAsia="en-AU"/>
        </w:rPr>
        <w:t xml:space="preserve">kidney of rats. </w:t>
      </w:r>
      <w:r>
        <w:rPr>
          <w:lang w:eastAsia="en-AU"/>
        </w:rPr>
        <w:t xml:space="preserve">Nearly 95% of </w:t>
      </w:r>
      <w:r w:rsidR="00147ADA">
        <w:rPr>
          <w:lang w:eastAsia="en-AU"/>
        </w:rPr>
        <w:t xml:space="preserve">a </w:t>
      </w:r>
      <w:r>
        <w:rPr>
          <w:lang w:eastAsia="en-AU"/>
        </w:rPr>
        <w:t xml:space="preserve">4.2 mg/kg radiolabelled oral dose administered to rats was recovered from the carcass, urine, faeces, plasma and red blood cells (Chang </w:t>
      </w:r>
      <w:r w:rsidR="00180A32" w:rsidRPr="00180A32">
        <w:rPr>
          <w:i/>
          <w:lang w:eastAsia="en-AU"/>
        </w:rPr>
        <w:t xml:space="preserve">et al. </w:t>
      </w:r>
      <w:r w:rsidR="00F22DA6">
        <w:rPr>
          <w:lang w:eastAsia="en-AU"/>
        </w:rPr>
        <w:t xml:space="preserve"> </w:t>
      </w:r>
      <w:r>
        <w:rPr>
          <w:lang w:eastAsia="en-AU"/>
        </w:rPr>
        <w:t xml:space="preserve">2012). The concentration of PFOS in the liver was approximately </w:t>
      </w:r>
      <w:r w:rsidR="00147ADA">
        <w:rPr>
          <w:lang w:eastAsia="en-AU"/>
        </w:rPr>
        <w:t xml:space="preserve">10 times </w:t>
      </w:r>
      <w:r w:rsidR="003064C4">
        <w:rPr>
          <w:lang w:eastAsia="en-AU"/>
        </w:rPr>
        <w:t>that in the plasma; concent</w:t>
      </w:r>
      <w:r>
        <w:rPr>
          <w:lang w:eastAsia="en-AU"/>
        </w:rPr>
        <w:t>r</w:t>
      </w:r>
      <w:r w:rsidR="003064C4">
        <w:rPr>
          <w:lang w:eastAsia="en-AU"/>
        </w:rPr>
        <w:t>a</w:t>
      </w:r>
      <w:r>
        <w:rPr>
          <w:lang w:eastAsia="en-AU"/>
        </w:rPr>
        <w:t xml:space="preserve">tions in other tissues were lower than the plasma, in the order kidneys, lung and spleen. Very little PFOS was located in the brain or fatty tissue. </w:t>
      </w:r>
      <w:r w:rsidRPr="00485494">
        <w:rPr>
          <w:lang w:eastAsia="en-AU"/>
        </w:rPr>
        <w:t>In human post</w:t>
      </w:r>
      <w:r w:rsidR="00032CF6">
        <w:rPr>
          <w:lang w:eastAsia="en-AU"/>
        </w:rPr>
        <w:t>mortem</w:t>
      </w:r>
      <w:r w:rsidRPr="00485494">
        <w:rPr>
          <w:lang w:eastAsia="en-AU"/>
        </w:rPr>
        <w:t xml:space="preserve"> studies, the highest levels</w:t>
      </w:r>
      <w:r>
        <w:rPr>
          <w:lang w:eastAsia="en-AU"/>
        </w:rPr>
        <w:t xml:space="preserve"> of PFOS</w:t>
      </w:r>
      <w:r w:rsidRPr="00485494">
        <w:rPr>
          <w:lang w:eastAsia="en-AU"/>
        </w:rPr>
        <w:t xml:space="preserve"> were found in lungs, kidneys, liver </w:t>
      </w:r>
      <w:r>
        <w:rPr>
          <w:lang w:eastAsia="en-AU"/>
        </w:rPr>
        <w:t xml:space="preserve">and </w:t>
      </w:r>
      <w:r w:rsidRPr="00485494">
        <w:rPr>
          <w:lang w:eastAsia="en-AU"/>
        </w:rPr>
        <w:t>blood.</w:t>
      </w:r>
    </w:p>
    <w:p w14:paraId="612BA1B1" w14:textId="77777777" w:rsidR="00845C2B" w:rsidRDefault="00845C2B" w:rsidP="00A111E9">
      <w:pPr>
        <w:rPr>
          <w:lang w:eastAsia="en-AU"/>
        </w:rPr>
      </w:pPr>
    </w:p>
    <w:p w14:paraId="542B2896" w14:textId="2D5AC16E" w:rsidR="00845C2B" w:rsidRDefault="00845C2B" w:rsidP="00A111E9">
      <w:pPr>
        <w:rPr>
          <w:lang w:eastAsia="en-AU"/>
        </w:rPr>
      </w:pPr>
      <w:r>
        <w:rPr>
          <w:lang w:eastAsia="en-AU"/>
        </w:rPr>
        <w:t xml:space="preserve">Binding of PFOS to </w:t>
      </w:r>
      <w:r w:rsidR="00040A06">
        <w:rPr>
          <w:lang w:eastAsia="en-AU"/>
        </w:rPr>
        <w:t>FABP</w:t>
      </w:r>
      <w:r w:rsidR="00855E3C">
        <w:rPr>
          <w:lang w:eastAsia="en-AU"/>
        </w:rPr>
        <w:t xml:space="preserve"> in the liver</w:t>
      </w:r>
      <w:r>
        <w:rPr>
          <w:lang w:eastAsia="en-AU"/>
        </w:rPr>
        <w:t xml:space="preserve"> could explain the much higher levels found in the liver compared </w:t>
      </w:r>
      <w:r w:rsidR="00A15F6E">
        <w:rPr>
          <w:lang w:eastAsia="en-AU"/>
        </w:rPr>
        <w:t xml:space="preserve">with </w:t>
      </w:r>
      <w:r>
        <w:rPr>
          <w:lang w:eastAsia="en-AU"/>
        </w:rPr>
        <w:t xml:space="preserve">other organs (Roberts </w:t>
      </w:r>
      <w:r w:rsidR="00180A32" w:rsidRPr="00180A32">
        <w:rPr>
          <w:i/>
          <w:lang w:eastAsia="en-AU"/>
        </w:rPr>
        <w:t xml:space="preserve">et al. </w:t>
      </w:r>
      <w:r w:rsidR="00F22DA6">
        <w:rPr>
          <w:lang w:eastAsia="en-AU"/>
        </w:rPr>
        <w:t xml:space="preserve"> </w:t>
      </w:r>
      <w:r>
        <w:rPr>
          <w:lang w:eastAsia="en-AU"/>
        </w:rPr>
        <w:t>2016).</w:t>
      </w:r>
    </w:p>
    <w:p w14:paraId="1AB297F1" w14:textId="77777777" w:rsidR="00845C2B" w:rsidRDefault="00845C2B" w:rsidP="00A111E9">
      <w:pPr>
        <w:rPr>
          <w:lang w:eastAsia="en-AU"/>
        </w:rPr>
      </w:pPr>
    </w:p>
    <w:p w14:paraId="507BAA3A" w14:textId="6741C9D1" w:rsidR="00845C2B" w:rsidRDefault="00845C2B" w:rsidP="00A111E9">
      <w:pPr>
        <w:rPr>
          <w:lang w:eastAsia="en-AU"/>
        </w:rPr>
      </w:pPr>
      <w:r>
        <w:rPr>
          <w:lang w:eastAsia="en-AU"/>
        </w:rPr>
        <w:t>Limited data are available on the uptake of PFOS by transporters, but based on information for PFOA</w:t>
      </w:r>
      <w:r w:rsidR="00147ADA">
        <w:rPr>
          <w:lang w:eastAsia="en-AU"/>
        </w:rPr>
        <w:t>,</w:t>
      </w:r>
      <w:r>
        <w:rPr>
          <w:lang w:eastAsia="en-AU"/>
        </w:rPr>
        <w:t xml:space="preserve"> </w:t>
      </w:r>
      <w:r>
        <w:rPr>
          <w:lang w:eastAsia="en-AU" w:bidi="ar-SA"/>
        </w:rPr>
        <w:t xml:space="preserve">transporters likely to be involved in absorption, distribution and excretion include </w:t>
      </w:r>
      <w:r w:rsidR="00537B58">
        <w:rPr>
          <w:lang w:eastAsia="en-AU" w:bidi="ar-SA"/>
        </w:rPr>
        <w:t>organic anion transporters (</w:t>
      </w:r>
      <w:r w:rsidR="00AB35CC">
        <w:rPr>
          <w:lang w:eastAsia="en-AU" w:bidi="ar-SA"/>
        </w:rPr>
        <w:t>OATs</w:t>
      </w:r>
      <w:r w:rsidR="00537B58">
        <w:rPr>
          <w:lang w:eastAsia="en-AU" w:bidi="ar-SA"/>
        </w:rPr>
        <w:t>)</w:t>
      </w:r>
      <w:r>
        <w:rPr>
          <w:lang w:eastAsia="en-AU" w:bidi="ar-SA"/>
        </w:rPr>
        <w:t xml:space="preserve">, organic anion transporting peptides, multidrug resistance –associated proteins, and urate transporters (Roberts </w:t>
      </w:r>
      <w:r w:rsidR="00180A32" w:rsidRPr="00180A32">
        <w:rPr>
          <w:i/>
          <w:lang w:eastAsia="en-AU" w:bidi="ar-SA"/>
        </w:rPr>
        <w:t xml:space="preserve">et al. </w:t>
      </w:r>
      <w:r w:rsidR="00F22DA6">
        <w:rPr>
          <w:lang w:eastAsia="en-AU" w:bidi="ar-SA"/>
        </w:rPr>
        <w:t xml:space="preserve"> </w:t>
      </w:r>
      <w:r>
        <w:rPr>
          <w:lang w:eastAsia="en-AU" w:bidi="ar-SA"/>
        </w:rPr>
        <w:t xml:space="preserve">2016). </w:t>
      </w:r>
      <w:r w:rsidR="00DE6085">
        <w:rPr>
          <w:lang w:eastAsia="en-AU" w:bidi="ar-SA"/>
        </w:rPr>
        <w:t xml:space="preserve">Cui </w:t>
      </w:r>
      <w:r w:rsidR="00180A32" w:rsidRPr="00180A32">
        <w:rPr>
          <w:i/>
          <w:lang w:eastAsia="en-AU" w:bidi="ar-SA"/>
        </w:rPr>
        <w:t xml:space="preserve">et al. </w:t>
      </w:r>
      <w:r w:rsidR="00F22DA6">
        <w:rPr>
          <w:lang w:eastAsia="en-AU" w:bidi="ar-SA"/>
        </w:rPr>
        <w:t xml:space="preserve"> </w:t>
      </w:r>
      <w:r w:rsidR="00DE6085">
        <w:rPr>
          <w:lang w:eastAsia="en-AU" w:bidi="ar-SA"/>
        </w:rPr>
        <w:t xml:space="preserve">(2009) found that a 4-fold increase in PFOS dose in male rats resulted in only a 2-fold increase in liver and kidney PFOS concentrations and a 10-fold increase in the brain. These data suggest that there are saturable uptake processes occurring in the liver and kidney, and also saturation of the OAT efflux transporter from the brain (Roberts </w:t>
      </w:r>
      <w:r w:rsidR="00180A32" w:rsidRPr="00180A32">
        <w:rPr>
          <w:i/>
          <w:lang w:eastAsia="en-AU" w:bidi="ar-SA"/>
        </w:rPr>
        <w:t xml:space="preserve">et al. </w:t>
      </w:r>
      <w:r w:rsidR="00F22DA6">
        <w:rPr>
          <w:lang w:eastAsia="en-AU" w:bidi="ar-SA"/>
        </w:rPr>
        <w:t xml:space="preserve"> </w:t>
      </w:r>
      <w:r w:rsidR="00DE6085">
        <w:rPr>
          <w:lang w:eastAsia="en-AU" w:bidi="ar-SA"/>
        </w:rPr>
        <w:t>2016).</w:t>
      </w:r>
    </w:p>
    <w:p w14:paraId="52664CA0" w14:textId="77777777" w:rsidR="00845C2B" w:rsidRDefault="00845C2B" w:rsidP="00A111E9">
      <w:pPr>
        <w:rPr>
          <w:lang w:eastAsia="en-AU"/>
        </w:rPr>
      </w:pPr>
    </w:p>
    <w:p w14:paraId="0CC735D2" w14:textId="18B501AE" w:rsidR="00F760E4" w:rsidRPr="00485494" w:rsidRDefault="00F760E4" w:rsidP="00A111E9">
      <w:pPr>
        <w:rPr>
          <w:lang w:eastAsia="en-AU"/>
        </w:rPr>
      </w:pPr>
      <w:r w:rsidRPr="00485494">
        <w:rPr>
          <w:lang w:eastAsia="en-AU"/>
        </w:rPr>
        <w:t>In both humans and laboratory animals, PFASs cross the placenta and are also found in milk (reviews by EFSA 2008; Borg and Håkansson 2012; US EPA 2016). A human study found t</w:t>
      </w:r>
      <w:r>
        <w:rPr>
          <w:lang w:eastAsia="en-AU"/>
        </w:rPr>
        <w:t xml:space="preserve">hat mean breast milk PFOS was approximately 1% that of maternal serum </w:t>
      </w:r>
      <w:r w:rsidRPr="00485494">
        <w:rPr>
          <w:lang w:eastAsia="en-AU"/>
        </w:rPr>
        <w:t>(Borg and Håkansson, 2012</w:t>
      </w:r>
      <w:r>
        <w:rPr>
          <w:lang w:eastAsia="en-AU"/>
        </w:rPr>
        <w:t>)</w:t>
      </w:r>
      <w:r w:rsidRPr="00485494">
        <w:rPr>
          <w:lang w:eastAsia="en-AU"/>
        </w:rPr>
        <w:t>.</w:t>
      </w:r>
      <w:r w:rsidR="00845C2B">
        <w:rPr>
          <w:lang w:eastAsia="en-AU"/>
        </w:rPr>
        <w:t xml:space="preserve"> </w:t>
      </w:r>
      <w:r>
        <w:rPr>
          <w:lang w:eastAsia="en-AU"/>
        </w:rPr>
        <w:t>Research into PFAA concentrations between breast milk, fe</w:t>
      </w:r>
      <w:r w:rsidR="00C53B34">
        <w:rPr>
          <w:lang w:eastAsia="en-AU"/>
        </w:rPr>
        <w:t>t</w:t>
      </w:r>
      <w:r>
        <w:rPr>
          <w:lang w:eastAsia="en-AU"/>
        </w:rPr>
        <w:t>us and amniotic fluid in humans concluded in general that transfer efficiency from mater</w:t>
      </w:r>
      <w:r w:rsidR="00845C2B">
        <w:rPr>
          <w:lang w:eastAsia="en-AU"/>
        </w:rPr>
        <w:t>n</w:t>
      </w:r>
      <w:r>
        <w:rPr>
          <w:lang w:eastAsia="en-AU"/>
        </w:rPr>
        <w:t>al to cord blood was high, whil</w:t>
      </w:r>
      <w:r w:rsidR="003861B4">
        <w:rPr>
          <w:lang w:eastAsia="en-AU"/>
        </w:rPr>
        <w:t>e</w:t>
      </w:r>
      <w:r>
        <w:rPr>
          <w:lang w:eastAsia="en-AU"/>
        </w:rPr>
        <w:t xml:space="preserve"> from maternal blood to amniotic fluid and milk are low. The efficiency values for PFOS were lower than those for PFOA (</w:t>
      </w:r>
      <w:r w:rsidR="00184897">
        <w:rPr>
          <w:lang w:eastAsia="en-AU"/>
        </w:rPr>
        <w:t>US EPA 2016</w:t>
      </w:r>
      <w:r>
        <w:rPr>
          <w:lang w:eastAsia="en-AU"/>
        </w:rPr>
        <w:t>).</w:t>
      </w:r>
    </w:p>
    <w:p w14:paraId="06095B24" w14:textId="10D1B3AC" w:rsidR="00026EA6" w:rsidRPr="00026EA6" w:rsidRDefault="00026EA6" w:rsidP="005F1486">
      <w:pPr>
        <w:pStyle w:val="Heading5"/>
      </w:pPr>
      <w:r w:rsidRPr="00026EA6">
        <w:t>Metabolism</w:t>
      </w:r>
    </w:p>
    <w:p w14:paraId="2E88E838" w14:textId="792EFDC5" w:rsidR="00F760E4" w:rsidRPr="00485494" w:rsidRDefault="00F760E4" w:rsidP="00A111E9">
      <w:pPr>
        <w:rPr>
          <w:lang w:eastAsia="en-AU"/>
        </w:rPr>
      </w:pPr>
      <w:r w:rsidRPr="00485494">
        <w:rPr>
          <w:lang w:eastAsia="en-AU"/>
        </w:rPr>
        <w:t>No e</w:t>
      </w:r>
      <w:r>
        <w:rPr>
          <w:lang w:eastAsia="en-AU"/>
        </w:rPr>
        <w:t>vidence has been found that PFOS</w:t>
      </w:r>
      <w:r w:rsidRPr="00485494">
        <w:rPr>
          <w:lang w:eastAsia="en-AU"/>
        </w:rPr>
        <w:t xml:space="preserve"> undergoes any metabolism in studies conducted in rodents or nonhuman primates (reviews by ATSDR 2015, EFSA 2008; Borg and Håkansson 2012; US EPA 2016).</w:t>
      </w:r>
    </w:p>
    <w:p w14:paraId="21606589" w14:textId="1BD157C2" w:rsidR="0029744E" w:rsidRPr="0029744E" w:rsidRDefault="0029744E" w:rsidP="005F1486">
      <w:pPr>
        <w:pStyle w:val="Heading5"/>
      </w:pPr>
      <w:r w:rsidRPr="0029744E">
        <w:lastRenderedPageBreak/>
        <w:t>Excretion</w:t>
      </w:r>
    </w:p>
    <w:p w14:paraId="4E77C2BA" w14:textId="0DBB580E" w:rsidR="00F760E4" w:rsidRDefault="00F760E4" w:rsidP="00A111E9">
      <w:pPr>
        <w:rPr>
          <w:lang w:eastAsia="en-AU"/>
        </w:rPr>
      </w:pPr>
      <w:r w:rsidRPr="0058438F">
        <w:rPr>
          <w:lang w:eastAsia="en-AU"/>
        </w:rPr>
        <w:t>P</w:t>
      </w:r>
      <w:r w:rsidRPr="000142AF">
        <w:rPr>
          <w:lang w:eastAsia="en-AU"/>
        </w:rPr>
        <w:t xml:space="preserve">FOS is principally excreted by the renal route. Glomerular filtration is limited by extensive binding to serum albumin and other high molecular weight proteins. Based on studies with PFOA, renal </w:t>
      </w:r>
      <w:r w:rsidR="00537B58">
        <w:rPr>
          <w:lang w:eastAsia="en-AU"/>
        </w:rPr>
        <w:t>OATs</w:t>
      </w:r>
      <w:r w:rsidRPr="000142AF">
        <w:rPr>
          <w:lang w:eastAsia="en-AU"/>
        </w:rPr>
        <w:t xml:space="preserve"> have been shown to be involved with active </w:t>
      </w:r>
      <w:r w:rsidR="00BE205C" w:rsidRPr="000142AF">
        <w:rPr>
          <w:lang w:eastAsia="en-AU"/>
        </w:rPr>
        <w:t>reabsorption</w:t>
      </w:r>
      <w:r w:rsidRPr="000142AF">
        <w:rPr>
          <w:lang w:eastAsia="en-AU"/>
        </w:rPr>
        <w:t xml:space="preserve"> of PFASs (reviewed by Borg and Håkansson 2012). No published studies were located which investigated whether a similar process applies to excretion of PFOS.</w:t>
      </w:r>
    </w:p>
    <w:p w14:paraId="4B8834F0" w14:textId="0269E1FC" w:rsidR="00B30742" w:rsidRDefault="00B30742" w:rsidP="00A111E9">
      <w:pPr>
        <w:rPr>
          <w:lang w:eastAsia="en-AU"/>
        </w:rPr>
      </w:pPr>
    </w:p>
    <w:p w14:paraId="4A81FF17" w14:textId="24899688" w:rsidR="00F760E4" w:rsidRPr="00D665CB" w:rsidRDefault="002A7AA3" w:rsidP="00A111E9">
      <w:pPr>
        <w:rPr>
          <w:lang w:eastAsia="en-AU"/>
        </w:rPr>
      </w:pPr>
      <w:r>
        <w:rPr>
          <w:lang w:eastAsia="en-AU"/>
        </w:rPr>
        <w:t>While one single dose study in rats found a longer half-life of PFOS in females than males, other single and repeated dose studies have found no significant gender differences in half-life (review</w:t>
      </w:r>
      <w:r w:rsidR="00663224">
        <w:rPr>
          <w:lang w:eastAsia="en-AU"/>
        </w:rPr>
        <w:t>e</w:t>
      </w:r>
      <w:r>
        <w:rPr>
          <w:lang w:eastAsia="en-AU"/>
        </w:rPr>
        <w:t xml:space="preserve">d by US EPA 2016 and Roberts </w:t>
      </w:r>
      <w:r w:rsidR="00180A32" w:rsidRPr="00180A32">
        <w:rPr>
          <w:i/>
          <w:lang w:eastAsia="en-AU"/>
        </w:rPr>
        <w:t xml:space="preserve">et al. </w:t>
      </w:r>
      <w:r w:rsidR="00F22DA6">
        <w:rPr>
          <w:lang w:eastAsia="en-AU"/>
        </w:rPr>
        <w:t xml:space="preserve"> </w:t>
      </w:r>
      <w:r>
        <w:rPr>
          <w:lang w:eastAsia="en-AU"/>
        </w:rPr>
        <w:t>2016)</w:t>
      </w:r>
      <w:r w:rsidR="00F760E4" w:rsidRPr="00D665CB">
        <w:rPr>
          <w:lang w:eastAsia="en-AU"/>
        </w:rPr>
        <w:t>.</w:t>
      </w:r>
    </w:p>
    <w:p w14:paraId="7823ECF2" w14:textId="77777777" w:rsidR="00F760E4" w:rsidRPr="00485494" w:rsidRDefault="00F760E4" w:rsidP="00A111E9">
      <w:pPr>
        <w:rPr>
          <w:highlight w:val="yellow"/>
          <w:lang w:eastAsia="en-AU"/>
        </w:rPr>
      </w:pPr>
    </w:p>
    <w:p w14:paraId="601CA240" w14:textId="7FAC50ED" w:rsidR="00F009CD" w:rsidRPr="00557966" w:rsidRDefault="00FD75A3" w:rsidP="00A111E9">
      <w:r>
        <w:rPr>
          <w:lang w:eastAsia="en-AU"/>
        </w:rPr>
        <w:t>The elimination half-life of PFOS in humans is 5.4 years (range 4.1-8.67 years), whereas the half-lives in monkeys, rats and mice are much shorter</w:t>
      </w:r>
      <w:r w:rsidR="00090450">
        <w:rPr>
          <w:lang w:eastAsia="en-AU"/>
        </w:rPr>
        <w:t>, 121, 48 and 37 days respectively</w:t>
      </w:r>
      <w:r w:rsidR="00542AE7">
        <w:rPr>
          <w:lang w:eastAsia="en-AU"/>
        </w:rPr>
        <w:t xml:space="preserve"> (US EPA 2016)</w:t>
      </w:r>
      <w:r w:rsidR="00090450">
        <w:rPr>
          <w:lang w:eastAsia="en-AU"/>
        </w:rPr>
        <w:t>.</w:t>
      </w:r>
    </w:p>
    <w:p w14:paraId="73155577" w14:textId="08D324F3" w:rsidR="00AD236D" w:rsidRDefault="00D95238" w:rsidP="005F1486">
      <w:pPr>
        <w:pStyle w:val="Heading4"/>
      </w:pPr>
      <w:bookmarkStart w:id="123" w:name="_Toc468699218"/>
      <w:bookmarkStart w:id="124" w:name="_Toc468712747"/>
      <w:bookmarkStart w:id="125" w:name="_Toc468716449"/>
      <w:bookmarkStart w:id="126" w:name="_Toc468709436"/>
      <w:bookmarkStart w:id="127" w:name="_Toc468717735"/>
      <w:bookmarkStart w:id="128" w:name="_Toc468718379"/>
      <w:bookmarkStart w:id="129" w:name="_Toc468719369"/>
      <w:bookmarkStart w:id="130" w:name="_Toc468722174"/>
      <w:bookmarkStart w:id="131" w:name="_Toc468799244"/>
      <w:bookmarkStart w:id="132" w:name="_Toc468806567"/>
      <w:bookmarkStart w:id="133" w:name="_Toc468980981"/>
      <w:r>
        <w:t>2.3</w:t>
      </w:r>
      <w:r w:rsidR="00F009CD">
        <w:t>.3</w:t>
      </w:r>
      <w:r w:rsidR="00AD236D">
        <w:tab/>
      </w:r>
      <w:r w:rsidR="005F1486">
        <w:tab/>
      </w:r>
      <w:r w:rsidR="00AD236D">
        <w:t xml:space="preserve">Animal </w:t>
      </w:r>
      <w:r w:rsidR="00F009CD">
        <w:t>toxicity</w:t>
      </w:r>
      <w:r w:rsidR="00AD236D">
        <w:t xml:space="preserve"> studies</w:t>
      </w:r>
      <w:bookmarkEnd w:id="123"/>
      <w:bookmarkEnd w:id="124"/>
      <w:bookmarkEnd w:id="125"/>
      <w:bookmarkEnd w:id="126"/>
      <w:bookmarkEnd w:id="127"/>
      <w:bookmarkEnd w:id="128"/>
      <w:bookmarkEnd w:id="129"/>
      <w:bookmarkEnd w:id="130"/>
      <w:bookmarkEnd w:id="131"/>
      <w:bookmarkEnd w:id="132"/>
      <w:bookmarkEnd w:id="133"/>
    </w:p>
    <w:p w14:paraId="04CEA97E" w14:textId="61845DDD" w:rsidR="00111AC0" w:rsidRDefault="00111AC0" w:rsidP="00A111E9">
      <w:pPr>
        <w:rPr>
          <w:lang w:bidi="ar-SA"/>
        </w:rPr>
      </w:pPr>
      <w:r>
        <w:rPr>
          <w:lang w:bidi="ar-SA"/>
        </w:rPr>
        <w:t>Various international regulatory agencies or bodies have reviewed the toxicity of PFOS</w:t>
      </w:r>
      <w:r w:rsidR="00147ADA">
        <w:rPr>
          <w:lang w:bidi="ar-SA"/>
        </w:rPr>
        <w:t>.</w:t>
      </w:r>
      <w:r>
        <w:rPr>
          <w:lang w:bidi="ar-SA"/>
        </w:rPr>
        <w:t xml:space="preserve"> </w:t>
      </w:r>
      <w:r w:rsidR="00147ADA">
        <w:rPr>
          <w:lang w:bidi="ar-SA"/>
        </w:rPr>
        <w:t xml:space="preserve">The database includes </w:t>
      </w:r>
      <w:r>
        <w:rPr>
          <w:lang w:bidi="ar-SA"/>
        </w:rPr>
        <w:t>acute and short term toxicity studies in mice, rats and monkeys, subchronic studies in rats and monkeys, chronic studies in rats, and developmental and reproduction studies in mice, rats and rabbits. As a part of this assessment, FSANZ has evaluated the pivotal toxicological studies relevant to establishing an Australian TDI as well as other information on mechanism of action, toxicokinetics, genotoxicity and immunotoxicity.</w:t>
      </w:r>
    </w:p>
    <w:p w14:paraId="0748FB87" w14:textId="77777777" w:rsidR="00111AC0" w:rsidRDefault="00111AC0" w:rsidP="00A111E9">
      <w:pPr>
        <w:rPr>
          <w:lang w:bidi="ar-SA"/>
        </w:rPr>
      </w:pPr>
    </w:p>
    <w:p w14:paraId="699A84E7" w14:textId="5B7A0AE5" w:rsidR="00AD236D" w:rsidRPr="00312669" w:rsidRDefault="00111AC0" w:rsidP="00A111E9">
      <w:pPr>
        <w:rPr>
          <w:lang w:bidi="ar-SA"/>
        </w:rPr>
      </w:pPr>
      <w:r>
        <w:rPr>
          <w:lang w:bidi="ar-SA"/>
        </w:rPr>
        <w:t>A summary of the NOAELs and LOAELs derived from the pivotal toxicological studies assessed as a part of this evaluation is set out in Table 3.</w:t>
      </w:r>
    </w:p>
    <w:p w14:paraId="4332D705" w14:textId="77777777" w:rsidR="00AD236D" w:rsidRPr="00392C5A" w:rsidRDefault="00AD236D" w:rsidP="00A111E9">
      <w:pPr>
        <w:keepNext/>
        <w:keepLines/>
        <w:rPr>
          <w:sz w:val="8"/>
          <w:szCs w:val="8"/>
          <w:lang w:bidi="ar-SA"/>
        </w:rPr>
      </w:pPr>
    </w:p>
    <w:p w14:paraId="71E507A1" w14:textId="77777777" w:rsidR="0003540F" w:rsidRDefault="0003540F" w:rsidP="00A111E9">
      <w:pPr>
        <w:widowControl/>
        <w:sectPr w:rsidR="0003540F" w:rsidSect="00F14DD2">
          <w:headerReference w:type="default" r:id="rId24"/>
          <w:footerReference w:type="even" r:id="rId25"/>
          <w:footerReference w:type="default" r:id="rId26"/>
          <w:headerReference w:type="first" r:id="rId27"/>
          <w:pgSz w:w="11906" w:h="16838"/>
          <w:pgMar w:top="1418" w:right="1418" w:bottom="1418" w:left="1418" w:header="709" w:footer="709" w:gutter="0"/>
          <w:cols w:space="708"/>
          <w:docGrid w:linePitch="360"/>
        </w:sectPr>
      </w:pPr>
      <w:bookmarkStart w:id="134" w:name="_Ref467512370"/>
    </w:p>
    <w:p w14:paraId="236750B8" w14:textId="179FAD77" w:rsidR="0018777F" w:rsidRPr="0018777F" w:rsidRDefault="00705987" w:rsidP="00A111E9">
      <w:pPr>
        <w:pStyle w:val="FSTableTitle"/>
      </w:pPr>
      <w:r>
        <w:lastRenderedPageBreak/>
        <w:t xml:space="preserve">Table </w:t>
      </w:r>
      <w:r w:rsidR="00BC19E6">
        <w:fldChar w:fldCharType="begin"/>
      </w:r>
      <w:r w:rsidR="00BC19E6">
        <w:instrText xml:space="preserve"> SEQ Table \* ARABIC </w:instrText>
      </w:r>
      <w:r w:rsidR="00BC19E6">
        <w:fldChar w:fldCharType="separate"/>
      </w:r>
      <w:r w:rsidR="00F4394A">
        <w:rPr>
          <w:noProof/>
        </w:rPr>
        <w:t>3</w:t>
      </w:r>
      <w:r w:rsidR="00BC19E6">
        <w:rPr>
          <w:noProof/>
        </w:rPr>
        <w:fldChar w:fldCharType="end"/>
      </w:r>
      <w:bookmarkEnd w:id="134"/>
      <w:r w:rsidR="00BE256E">
        <w:rPr>
          <w:b w:val="0"/>
        </w:rPr>
        <w:t>:</w:t>
      </w:r>
      <w:r w:rsidRPr="00ED3242">
        <w:t xml:space="preserve"> Key oral toxicity studies used for the derivation of</w:t>
      </w:r>
      <w:r w:rsidR="00147ADA">
        <w:t xml:space="preserve"> the</w:t>
      </w:r>
      <w:r w:rsidRPr="00ED3242">
        <w:t xml:space="preserve"> </w:t>
      </w:r>
      <w:r w:rsidR="00060C53">
        <w:t>HBGV</w:t>
      </w:r>
      <w:r w:rsidRPr="00ED3242">
        <w:t xml:space="preserve"> for PFOS</w:t>
      </w:r>
    </w:p>
    <w:tbl>
      <w:tblPr>
        <w:tblStyle w:val="TableGrid"/>
        <w:tblW w:w="14218" w:type="dxa"/>
        <w:tblLayout w:type="fixed"/>
        <w:tblLook w:val="04A0" w:firstRow="1" w:lastRow="0" w:firstColumn="1" w:lastColumn="0" w:noHBand="0" w:noVBand="1"/>
        <w:tblCaption w:val="Table 3: Key oral toxicity studies used for the derivation of the HBGV for PFOS"/>
        <w:tblDescription w:val="This table contains data relating to key oral toxicity studies used for the derivation of the health-based guidance values for Perfluorooctane sulfonate."/>
      </w:tblPr>
      <w:tblGrid>
        <w:gridCol w:w="2376"/>
        <w:gridCol w:w="1843"/>
        <w:gridCol w:w="2977"/>
        <w:gridCol w:w="4010"/>
        <w:gridCol w:w="1518"/>
        <w:gridCol w:w="1494"/>
      </w:tblGrid>
      <w:tr w:rsidR="00BD4322" w:rsidRPr="00BD4322" w14:paraId="4C1D3AFB" w14:textId="391DB7E0" w:rsidTr="00A24D2A">
        <w:trPr>
          <w:cantSplit/>
          <w:tblHeader/>
        </w:trPr>
        <w:tc>
          <w:tcPr>
            <w:tcW w:w="2376" w:type="dxa"/>
            <w:shd w:val="clear" w:color="auto" w:fill="auto"/>
            <w:vAlign w:val="center"/>
          </w:tcPr>
          <w:p w14:paraId="3CCBD095" w14:textId="24A34DDB" w:rsidR="00BD4322" w:rsidRPr="00D711DD" w:rsidRDefault="00BD4322" w:rsidP="00A111E9">
            <w:pPr>
              <w:pStyle w:val="FSTableText"/>
              <w:spacing w:before="40" w:after="40"/>
              <w:rPr>
                <w:rFonts w:ascii="Arial" w:hAnsi="Arial"/>
                <w:b/>
              </w:rPr>
            </w:pPr>
            <w:r w:rsidRPr="00196421">
              <w:rPr>
                <w:b/>
              </w:rPr>
              <w:t>Study duration</w:t>
            </w:r>
            <w:r w:rsidR="00B164F0" w:rsidRPr="00196421">
              <w:rPr>
                <w:b/>
              </w:rPr>
              <w:t>/type</w:t>
            </w:r>
          </w:p>
        </w:tc>
        <w:tc>
          <w:tcPr>
            <w:tcW w:w="1843" w:type="dxa"/>
            <w:shd w:val="clear" w:color="auto" w:fill="auto"/>
            <w:vAlign w:val="center"/>
          </w:tcPr>
          <w:p w14:paraId="60CB8424" w14:textId="1C1A5F83" w:rsidR="00BD4322" w:rsidRPr="00D711DD" w:rsidRDefault="00BD4322" w:rsidP="00A111E9">
            <w:pPr>
              <w:pStyle w:val="FSTableText"/>
              <w:spacing w:before="40" w:after="40"/>
              <w:rPr>
                <w:rFonts w:ascii="Arial" w:hAnsi="Arial"/>
                <w:b/>
              </w:rPr>
            </w:pPr>
            <w:r w:rsidRPr="00196421">
              <w:rPr>
                <w:b/>
              </w:rPr>
              <w:t>Species, Strain</w:t>
            </w:r>
          </w:p>
        </w:tc>
        <w:tc>
          <w:tcPr>
            <w:tcW w:w="2977" w:type="dxa"/>
            <w:shd w:val="clear" w:color="auto" w:fill="auto"/>
          </w:tcPr>
          <w:p w14:paraId="6535DC6C" w14:textId="77777777" w:rsidR="00BD4322" w:rsidRPr="00D711DD" w:rsidRDefault="00BD4322" w:rsidP="00A111E9">
            <w:pPr>
              <w:pStyle w:val="FSTableText"/>
              <w:spacing w:before="40"/>
              <w:rPr>
                <w:rFonts w:ascii="Arial" w:hAnsi="Arial"/>
                <w:b/>
              </w:rPr>
            </w:pPr>
            <w:r w:rsidRPr="00196421">
              <w:rPr>
                <w:b/>
              </w:rPr>
              <w:t>NOAEL and LOAEL</w:t>
            </w:r>
          </w:p>
          <w:p w14:paraId="493A72C8" w14:textId="45779EF0" w:rsidR="001A34F8" w:rsidRPr="00D711DD" w:rsidRDefault="0018777F" w:rsidP="00A111E9">
            <w:pPr>
              <w:pStyle w:val="FSTableText"/>
              <w:spacing w:after="40"/>
              <w:rPr>
                <w:rFonts w:ascii="Arial" w:hAnsi="Arial"/>
                <w:b/>
              </w:rPr>
            </w:pPr>
            <w:r w:rsidRPr="00196421">
              <w:rPr>
                <w:b/>
              </w:rPr>
              <w:t>(mg/</w:t>
            </w:r>
            <w:r w:rsidR="00013CFD" w:rsidRPr="00196421">
              <w:rPr>
                <w:b/>
              </w:rPr>
              <w:t>kg</w:t>
            </w:r>
            <w:r w:rsidRPr="00196421">
              <w:rPr>
                <w:b/>
              </w:rPr>
              <w:t xml:space="preserve"> bw/</w:t>
            </w:r>
            <w:r w:rsidR="001A34F8" w:rsidRPr="00196421">
              <w:rPr>
                <w:b/>
              </w:rPr>
              <w:t>day)</w:t>
            </w:r>
          </w:p>
        </w:tc>
        <w:tc>
          <w:tcPr>
            <w:tcW w:w="4010" w:type="dxa"/>
            <w:shd w:val="clear" w:color="auto" w:fill="auto"/>
            <w:vAlign w:val="center"/>
          </w:tcPr>
          <w:p w14:paraId="648B392C" w14:textId="2D6FC19D" w:rsidR="00BD4322" w:rsidRPr="00D711DD" w:rsidRDefault="00BD4322" w:rsidP="00A111E9">
            <w:pPr>
              <w:pStyle w:val="FSTableText"/>
              <w:spacing w:before="40" w:after="40"/>
              <w:rPr>
                <w:rFonts w:ascii="Arial" w:hAnsi="Arial"/>
                <w:b/>
              </w:rPr>
            </w:pPr>
            <w:r w:rsidRPr="00196421">
              <w:rPr>
                <w:b/>
              </w:rPr>
              <w:t>Critical effect(s)</w:t>
            </w:r>
          </w:p>
        </w:tc>
        <w:tc>
          <w:tcPr>
            <w:tcW w:w="1518" w:type="dxa"/>
            <w:shd w:val="clear" w:color="auto" w:fill="auto"/>
            <w:vAlign w:val="center"/>
          </w:tcPr>
          <w:p w14:paraId="6F5A884B" w14:textId="6AE04CB8" w:rsidR="00BD4322" w:rsidRPr="00D711DD" w:rsidRDefault="00BD4322" w:rsidP="00A111E9">
            <w:pPr>
              <w:pStyle w:val="FSTableText"/>
              <w:spacing w:before="40" w:after="40"/>
              <w:rPr>
                <w:rFonts w:ascii="Arial" w:hAnsi="Arial"/>
                <w:b/>
              </w:rPr>
            </w:pPr>
            <w:r w:rsidRPr="00196421">
              <w:rPr>
                <w:b/>
              </w:rPr>
              <w:t>Reference</w:t>
            </w:r>
          </w:p>
        </w:tc>
        <w:tc>
          <w:tcPr>
            <w:tcW w:w="1494" w:type="dxa"/>
            <w:shd w:val="clear" w:color="auto" w:fill="auto"/>
            <w:vAlign w:val="center"/>
          </w:tcPr>
          <w:p w14:paraId="4423D342" w14:textId="2E11C938" w:rsidR="00BD4322" w:rsidRPr="00D711DD" w:rsidRDefault="00BD4322" w:rsidP="00D2034C">
            <w:pPr>
              <w:pStyle w:val="FSTableText"/>
              <w:spacing w:after="40"/>
              <w:rPr>
                <w:rFonts w:ascii="Arial" w:hAnsi="Arial"/>
                <w:b/>
              </w:rPr>
            </w:pPr>
            <w:r w:rsidRPr="00196421">
              <w:rPr>
                <w:b/>
              </w:rPr>
              <w:t xml:space="preserve">Citing </w:t>
            </w:r>
            <w:r w:rsidR="00D2034C">
              <w:rPr>
                <w:b/>
              </w:rPr>
              <w:t>Agencies</w:t>
            </w:r>
          </w:p>
        </w:tc>
      </w:tr>
      <w:tr w:rsidR="00196421" w:rsidRPr="00705987" w14:paraId="49A4813F" w14:textId="77777777" w:rsidTr="00A24D2A">
        <w:trPr>
          <w:cantSplit/>
        </w:trPr>
        <w:tc>
          <w:tcPr>
            <w:tcW w:w="14218" w:type="dxa"/>
            <w:gridSpan w:val="6"/>
            <w:shd w:val="clear" w:color="auto" w:fill="auto"/>
          </w:tcPr>
          <w:p w14:paraId="1D831AB6" w14:textId="6CB1F6BA" w:rsidR="00196421" w:rsidRPr="00D711DD" w:rsidRDefault="00196421" w:rsidP="00A111E9">
            <w:pPr>
              <w:spacing w:before="40" w:after="40"/>
              <w:rPr>
                <w:rFonts w:ascii="Arial" w:hAnsi="Arial"/>
                <w:b/>
                <w:i/>
              </w:rPr>
            </w:pPr>
            <w:r w:rsidRPr="00512F95">
              <w:rPr>
                <w:b/>
                <w:i/>
              </w:rPr>
              <w:t>Subchronic toxicity</w:t>
            </w:r>
          </w:p>
        </w:tc>
      </w:tr>
      <w:tr w:rsidR="00BD4322" w:rsidRPr="00705987" w14:paraId="2151153E" w14:textId="6A9EAA36" w:rsidTr="00A24D2A">
        <w:trPr>
          <w:cantSplit/>
        </w:trPr>
        <w:tc>
          <w:tcPr>
            <w:tcW w:w="2376" w:type="dxa"/>
            <w:shd w:val="clear" w:color="auto" w:fill="auto"/>
          </w:tcPr>
          <w:p w14:paraId="2AAF01EF" w14:textId="0D1369CA" w:rsidR="00BD4322" w:rsidRPr="00D711DD" w:rsidRDefault="00BD4322" w:rsidP="00A111E9">
            <w:pPr>
              <w:pStyle w:val="FSTableText"/>
              <w:rPr>
                <w:rFonts w:ascii="Arial" w:hAnsi="Arial"/>
                <w:sz w:val="16"/>
              </w:rPr>
            </w:pPr>
            <w:r w:rsidRPr="00705987">
              <w:rPr>
                <w:sz w:val="16"/>
                <w:szCs w:val="16"/>
                <w:lang w:bidi="ar-SA"/>
              </w:rPr>
              <w:t>14 week</w:t>
            </w:r>
            <w:r w:rsidR="00C917BF" w:rsidRPr="00705987">
              <w:rPr>
                <w:sz w:val="16"/>
                <w:szCs w:val="16"/>
                <w:lang w:bidi="ar-SA"/>
              </w:rPr>
              <w:t>s</w:t>
            </w:r>
          </w:p>
        </w:tc>
        <w:tc>
          <w:tcPr>
            <w:tcW w:w="1843" w:type="dxa"/>
            <w:shd w:val="clear" w:color="auto" w:fill="auto"/>
          </w:tcPr>
          <w:p w14:paraId="16E9E4AD" w14:textId="4FCA63A9" w:rsidR="00BD4322" w:rsidRPr="00D711DD" w:rsidRDefault="00BD4322" w:rsidP="00A111E9">
            <w:pPr>
              <w:pStyle w:val="FSTableText"/>
              <w:rPr>
                <w:rFonts w:ascii="Arial" w:hAnsi="Arial"/>
                <w:sz w:val="16"/>
              </w:rPr>
            </w:pPr>
            <w:r w:rsidRPr="00705987">
              <w:rPr>
                <w:sz w:val="16"/>
                <w:szCs w:val="16"/>
                <w:lang w:bidi="ar-SA"/>
              </w:rPr>
              <w:t>Rat, Sprague Dawley</w:t>
            </w:r>
          </w:p>
        </w:tc>
        <w:tc>
          <w:tcPr>
            <w:tcW w:w="2977" w:type="dxa"/>
            <w:shd w:val="clear" w:color="auto" w:fill="auto"/>
          </w:tcPr>
          <w:p w14:paraId="47042A4D" w14:textId="410CD702" w:rsidR="00BD4322" w:rsidRPr="00D711DD" w:rsidRDefault="00BD4322" w:rsidP="00A111E9">
            <w:pPr>
              <w:pStyle w:val="FSTableText"/>
              <w:rPr>
                <w:rFonts w:ascii="Arial" w:hAnsi="Arial"/>
                <w:sz w:val="16"/>
              </w:rPr>
            </w:pPr>
            <w:r w:rsidRPr="00705987">
              <w:rPr>
                <w:sz w:val="16"/>
                <w:szCs w:val="16"/>
                <w:lang w:bidi="ar-SA"/>
              </w:rPr>
              <w:t xml:space="preserve">NOAEL: </w:t>
            </w:r>
            <w:r w:rsidR="00015365" w:rsidRPr="00705987">
              <w:rPr>
                <w:sz w:val="16"/>
                <w:szCs w:val="16"/>
                <w:lang w:bidi="ar-SA"/>
              </w:rPr>
              <w:t>0.34</w:t>
            </w:r>
          </w:p>
          <w:p w14:paraId="25F672D4" w14:textId="73B5A87D" w:rsidR="00BD4322" w:rsidRPr="00D711DD" w:rsidRDefault="00BD4322" w:rsidP="00A111E9">
            <w:pPr>
              <w:pStyle w:val="FSTableText"/>
              <w:rPr>
                <w:rFonts w:ascii="Arial" w:hAnsi="Arial"/>
                <w:sz w:val="16"/>
              </w:rPr>
            </w:pPr>
            <w:r w:rsidRPr="00705987">
              <w:rPr>
                <w:sz w:val="16"/>
                <w:szCs w:val="16"/>
                <w:lang w:bidi="ar-SA"/>
              </w:rPr>
              <w:t xml:space="preserve">LOAEL: </w:t>
            </w:r>
            <w:r w:rsidR="00015365" w:rsidRPr="00705987">
              <w:rPr>
                <w:sz w:val="16"/>
                <w:szCs w:val="16"/>
                <w:lang w:bidi="ar-SA"/>
              </w:rPr>
              <w:t>1.33</w:t>
            </w:r>
          </w:p>
        </w:tc>
        <w:tc>
          <w:tcPr>
            <w:tcW w:w="4010" w:type="dxa"/>
            <w:shd w:val="clear" w:color="auto" w:fill="auto"/>
            <w:vAlign w:val="center"/>
          </w:tcPr>
          <w:p w14:paraId="7A9FE868" w14:textId="46A2EDAB" w:rsidR="00BD4322" w:rsidRPr="00D711DD" w:rsidRDefault="00015365" w:rsidP="00A111E9">
            <w:pPr>
              <w:pStyle w:val="FSTableText"/>
              <w:rPr>
                <w:rFonts w:ascii="Arial" w:hAnsi="Arial"/>
                <w:sz w:val="16"/>
              </w:rPr>
            </w:pPr>
            <w:r w:rsidRPr="00705987">
              <w:rPr>
                <w:sz w:val="16"/>
                <w:szCs w:val="16"/>
                <w:lang w:bidi="ar-SA"/>
              </w:rPr>
              <w:t xml:space="preserve">Increased liver weights; </w:t>
            </w:r>
            <w:r w:rsidR="00C917BF" w:rsidRPr="00705987">
              <w:rPr>
                <w:sz w:val="16"/>
                <w:szCs w:val="16"/>
                <w:lang w:bidi="ar-SA"/>
              </w:rPr>
              <w:t>decreased serum cholesterol</w:t>
            </w:r>
            <w:r w:rsidR="00A574B8" w:rsidRPr="00705987">
              <w:rPr>
                <w:sz w:val="16"/>
                <w:szCs w:val="16"/>
                <w:lang w:bidi="ar-SA"/>
              </w:rPr>
              <w:t>; increased ALT;</w:t>
            </w:r>
            <w:r w:rsidR="00C917BF" w:rsidRPr="00705987">
              <w:rPr>
                <w:sz w:val="16"/>
                <w:szCs w:val="16"/>
                <w:lang w:bidi="ar-SA"/>
              </w:rPr>
              <w:t xml:space="preserve"> hepa</w:t>
            </w:r>
            <w:r w:rsidR="00A574B8" w:rsidRPr="00705987">
              <w:rPr>
                <w:sz w:val="16"/>
                <w:szCs w:val="16"/>
                <w:lang w:bidi="ar-SA"/>
              </w:rPr>
              <w:t>tic hypertrophy and vacuolation</w:t>
            </w:r>
          </w:p>
        </w:tc>
        <w:tc>
          <w:tcPr>
            <w:tcW w:w="1518" w:type="dxa"/>
            <w:shd w:val="clear" w:color="auto" w:fill="auto"/>
          </w:tcPr>
          <w:p w14:paraId="63A3E33A" w14:textId="0F345FA7" w:rsidR="00BD4322" w:rsidRPr="00D711DD" w:rsidRDefault="00C917BF" w:rsidP="00A111E9">
            <w:pPr>
              <w:pStyle w:val="FSTableText"/>
              <w:rPr>
                <w:rFonts w:ascii="Arial" w:hAnsi="Arial"/>
                <w:sz w:val="16"/>
              </w:rPr>
            </w:pPr>
            <w:r w:rsidRPr="00705987">
              <w:rPr>
                <w:sz w:val="16"/>
                <w:szCs w:val="16"/>
                <w:lang w:bidi="ar-SA"/>
              </w:rPr>
              <w:t xml:space="preserve">Seacat </w:t>
            </w:r>
            <w:r w:rsidR="00180A32" w:rsidRPr="00180A32">
              <w:rPr>
                <w:i/>
                <w:sz w:val="16"/>
                <w:szCs w:val="16"/>
                <w:lang w:bidi="ar-SA"/>
              </w:rPr>
              <w:t xml:space="preserve">et al. </w:t>
            </w:r>
            <w:r w:rsidR="000203C4">
              <w:rPr>
                <w:sz w:val="16"/>
                <w:szCs w:val="16"/>
                <w:lang w:bidi="ar-SA"/>
              </w:rPr>
              <w:t xml:space="preserve"> </w:t>
            </w:r>
            <w:r w:rsidRPr="00705987">
              <w:rPr>
                <w:sz w:val="16"/>
                <w:szCs w:val="16"/>
                <w:lang w:bidi="ar-SA"/>
              </w:rPr>
              <w:t>2003</w:t>
            </w:r>
          </w:p>
        </w:tc>
        <w:tc>
          <w:tcPr>
            <w:tcW w:w="1494" w:type="dxa"/>
            <w:shd w:val="clear" w:color="auto" w:fill="auto"/>
          </w:tcPr>
          <w:p w14:paraId="63F4CCEE" w14:textId="53841481" w:rsidR="00BD4322" w:rsidRPr="00D711DD" w:rsidRDefault="00C917BF" w:rsidP="00A111E9">
            <w:pPr>
              <w:pStyle w:val="FSTableText"/>
              <w:rPr>
                <w:rFonts w:ascii="Arial" w:hAnsi="Arial"/>
                <w:sz w:val="16"/>
              </w:rPr>
            </w:pPr>
            <w:r w:rsidRPr="00705987">
              <w:rPr>
                <w:sz w:val="16"/>
                <w:szCs w:val="16"/>
                <w:lang w:bidi="ar-SA"/>
              </w:rPr>
              <w:t>EFSA, UK COT, US EPA</w:t>
            </w:r>
          </w:p>
        </w:tc>
      </w:tr>
      <w:tr w:rsidR="00A343E2" w:rsidRPr="00F6284E" w14:paraId="22AC1F54" w14:textId="77777777" w:rsidTr="00A24D2A">
        <w:trPr>
          <w:cantSplit/>
        </w:trPr>
        <w:tc>
          <w:tcPr>
            <w:tcW w:w="2376" w:type="dxa"/>
            <w:shd w:val="clear" w:color="auto" w:fill="auto"/>
          </w:tcPr>
          <w:p w14:paraId="36A4C053" w14:textId="4CF2E1ED" w:rsidR="00A343E2" w:rsidRPr="00F6284E" w:rsidRDefault="00A343E2" w:rsidP="00A111E9">
            <w:pPr>
              <w:pStyle w:val="FSTableText"/>
              <w:rPr>
                <w:rFonts w:ascii="Arial" w:hAnsi="Arial"/>
                <w:sz w:val="16"/>
              </w:rPr>
            </w:pPr>
            <w:r w:rsidRPr="00F6284E">
              <w:rPr>
                <w:sz w:val="16"/>
                <w:szCs w:val="16"/>
                <w:lang w:bidi="ar-SA"/>
              </w:rPr>
              <w:t>182 days</w:t>
            </w:r>
          </w:p>
          <w:p w14:paraId="41825B0F" w14:textId="6972F5AF" w:rsidR="00A343E2" w:rsidRPr="00F6284E" w:rsidRDefault="00A343E2" w:rsidP="00A111E9">
            <w:pPr>
              <w:pStyle w:val="FSTableText"/>
              <w:rPr>
                <w:rFonts w:ascii="Arial" w:hAnsi="Arial"/>
                <w:sz w:val="16"/>
              </w:rPr>
            </w:pPr>
            <w:r w:rsidRPr="00F6284E">
              <w:rPr>
                <w:sz w:val="16"/>
                <w:szCs w:val="16"/>
                <w:lang w:bidi="ar-SA"/>
              </w:rPr>
              <w:t>(6 months)</w:t>
            </w:r>
          </w:p>
        </w:tc>
        <w:tc>
          <w:tcPr>
            <w:tcW w:w="1843" w:type="dxa"/>
            <w:shd w:val="clear" w:color="auto" w:fill="auto"/>
          </w:tcPr>
          <w:p w14:paraId="40EC2870" w14:textId="7B612C54" w:rsidR="00A343E2" w:rsidRPr="00F6284E" w:rsidRDefault="00A343E2" w:rsidP="00147ADA">
            <w:pPr>
              <w:pStyle w:val="FSTableText"/>
              <w:rPr>
                <w:rFonts w:ascii="Arial" w:hAnsi="Arial"/>
                <w:sz w:val="16"/>
              </w:rPr>
            </w:pPr>
            <w:r w:rsidRPr="00F6284E">
              <w:rPr>
                <w:sz w:val="16"/>
                <w:szCs w:val="16"/>
                <w:lang w:bidi="ar-SA"/>
              </w:rPr>
              <w:t xml:space="preserve">Monkey, </w:t>
            </w:r>
            <w:r w:rsidR="00147ADA">
              <w:rPr>
                <w:sz w:val="16"/>
                <w:szCs w:val="16"/>
                <w:lang w:bidi="ar-SA"/>
              </w:rPr>
              <w:t>cynomolgus</w:t>
            </w:r>
          </w:p>
        </w:tc>
        <w:tc>
          <w:tcPr>
            <w:tcW w:w="2977" w:type="dxa"/>
            <w:shd w:val="clear" w:color="auto" w:fill="auto"/>
          </w:tcPr>
          <w:p w14:paraId="40C919F5" w14:textId="21911B48" w:rsidR="00A343E2" w:rsidRPr="00F6284E" w:rsidRDefault="00A343E2" w:rsidP="00A111E9">
            <w:pPr>
              <w:pStyle w:val="FSTableText"/>
              <w:rPr>
                <w:rFonts w:ascii="Arial" w:hAnsi="Arial"/>
                <w:sz w:val="16"/>
              </w:rPr>
            </w:pPr>
            <w:r w:rsidRPr="00F6284E">
              <w:rPr>
                <w:sz w:val="16"/>
                <w:szCs w:val="16"/>
                <w:lang w:bidi="ar-SA"/>
              </w:rPr>
              <w:t xml:space="preserve">NOAEL: </w:t>
            </w:r>
            <w:r w:rsidR="006A26AE" w:rsidRPr="00F6284E">
              <w:rPr>
                <w:sz w:val="16"/>
                <w:szCs w:val="16"/>
                <w:lang w:bidi="ar-SA"/>
              </w:rPr>
              <w:t>0.15</w:t>
            </w:r>
          </w:p>
          <w:p w14:paraId="3ED8304C" w14:textId="6E0A7F1D" w:rsidR="00A343E2" w:rsidRPr="00F6284E" w:rsidRDefault="00A343E2" w:rsidP="00A111E9">
            <w:pPr>
              <w:pStyle w:val="FSTableText"/>
              <w:rPr>
                <w:rFonts w:ascii="Arial" w:hAnsi="Arial"/>
                <w:sz w:val="16"/>
              </w:rPr>
            </w:pPr>
            <w:r w:rsidRPr="00F6284E">
              <w:rPr>
                <w:sz w:val="16"/>
                <w:szCs w:val="16"/>
                <w:lang w:bidi="ar-SA"/>
              </w:rPr>
              <w:t>LOAEL: 0.</w:t>
            </w:r>
            <w:r w:rsidR="006A26AE" w:rsidRPr="00F6284E">
              <w:rPr>
                <w:sz w:val="16"/>
                <w:szCs w:val="16"/>
                <w:lang w:bidi="ar-SA"/>
              </w:rPr>
              <w:t>75</w:t>
            </w:r>
          </w:p>
        </w:tc>
        <w:tc>
          <w:tcPr>
            <w:tcW w:w="4010" w:type="dxa"/>
            <w:shd w:val="clear" w:color="auto" w:fill="auto"/>
            <w:vAlign w:val="center"/>
          </w:tcPr>
          <w:p w14:paraId="06C1A4C3" w14:textId="1CF53C85" w:rsidR="00A343E2" w:rsidRPr="00F6284E" w:rsidRDefault="006A26AE" w:rsidP="00A111E9">
            <w:pPr>
              <w:pStyle w:val="FSTableText"/>
              <w:rPr>
                <w:rFonts w:ascii="Arial" w:hAnsi="Arial"/>
                <w:sz w:val="16"/>
              </w:rPr>
            </w:pPr>
            <w:r w:rsidRPr="00F6284E">
              <w:rPr>
                <w:sz w:val="16"/>
                <w:szCs w:val="16"/>
                <w:lang w:bidi="ar-SA"/>
              </w:rPr>
              <w:t>M</w:t>
            </w:r>
            <w:r w:rsidR="00EF359F" w:rsidRPr="00F6284E">
              <w:rPr>
                <w:sz w:val="16"/>
                <w:szCs w:val="16"/>
                <w:lang w:bidi="ar-SA"/>
              </w:rPr>
              <w:t>ortality; reduced body weight gain; increased liver weights and liver histopathological changes; reduced serum cholesterol</w:t>
            </w:r>
          </w:p>
        </w:tc>
        <w:tc>
          <w:tcPr>
            <w:tcW w:w="1518" w:type="dxa"/>
            <w:shd w:val="clear" w:color="auto" w:fill="auto"/>
          </w:tcPr>
          <w:p w14:paraId="4DDA7573" w14:textId="0E4DF2FA" w:rsidR="00A343E2" w:rsidRPr="00F6284E" w:rsidRDefault="00A343E2" w:rsidP="00A111E9">
            <w:pPr>
              <w:pStyle w:val="FSTableText"/>
              <w:rPr>
                <w:rFonts w:ascii="Arial" w:hAnsi="Arial"/>
                <w:sz w:val="16"/>
              </w:rPr>
            </w:pPr>
            <w:r w:rsidRPr="00F6284E">
              <w:rPr>
                <w:sz w:val="16"/>
                <w:szCs w:val="16"/>
                <w:lang w:bidi="ar-SA"/>
              </w:rPr>
              <w:t xml:space="preserve">Seacat </w:t>
            </w:r>
            <w:r w:rsidR="00180A32" w:rsidRPr="00180A32">
              <w:rPr>
                <w:i/>
                <w:sz w:val="16"/>
                <w:szCs w:val="16"/>
                <w:lang w:bidi="ar-SA"/>
              </w:rPr>
              <w:t xml:space="preserve">et al. </w:t>
            </w:r>
            <w:r w:rsidR="000203C4">
              <w:rPr>
                <w:sz w:val="16"/>
                <w:szCs w:val="16"/>
                <w:lang w:bidi="ar-SA"/>
              </w:rPr>
              <w:t xml:space="preserve"> </w:t>
            </w:r>
            <w:r w:rsidRPr="00F6284E">
              <w:rPr>
                <w:sz w:val="16"/>
                <w:szCs w:val="16"/>
                <w:lang w:bidi="ar-SA"/>
              </w:rPr>
              <w:t>2002</w:t>
            </w:r>
          </w:p>
        </w:tc>
        <w:tc>
          <w:tcPr>
            <w:tcW w:w="1494" w:type="dxa"/>
            <w:shd w:val="clear" w:color="auto" w:fill="auto"/>
          </w:tcPr>
          <w:p w14:paraId="50D8A7D9" w14:textId="4E213B4A" w:rsidR="00A343E2" w:rsidRPr="00F6284E" w:rsidRDefault="00A343E2" w:rsidP="00A111E9">
            <w:pPr>
              <w:pStyle w:val="FSTableText"/>
              <w:rPr>
                <w:rFonts w:ascii="Arial" w:hAnsi="Arial"/>
                <w:sz w:val="16"/>
              </w:rPr>
            </w:pPr>
            <w:r w:rsidRPr="00F6284E">
              <w:rPr>
                <w:sz w:val="16"/>
                <w:szCs w:val="16"/>
                <w:lang w:bidi="ar-SA"/>
              </w:rPr>
              <w:t>EFSA, UK COT, US EPA</w:t>
            </w:r>
          </w:p>
        </w:tc>
      </w:tr>
      <w:tr w:rsidR="00196421" w:rsidRPr="00705987" w14:paraId="6B6A6273" w14:textId="77777777" w:rsidTr="00A24D2A">
        <w:trPr>
          <w:cantSplit/>
        </w:trPr>
        <w:tc>
          <w:tcPr>
            <w:tcW w:w="14218" w:type="dxa"/>
            <w:gridSpan w:val="6"/>
            <w:shd w:val="clear" w:color="auto" w:fill="auto"/>
          </w:tcPr>
          <w:p w14:paraId="3838859B" w14:textId="12CB7D7E" w:rsidR="00196421" w:rsidRPr="00D711DD" w:rsidRDefault="00196421" w:rsidP="00A111E9">
            <w:pPr>
              <w:pStyle w:val="FSTableText"/>
              <w:spacing w:before="40" w:after="40"/>
              <w:rPr>
                <w:rFonts w:ascii="Arial" w:hAnsi="Arial"/>
                <w:b/>
                <w:i/>
              </w:rPr>
            </w:pPr>
            <w:r w:rsidRPr="00196421">
              <w:rPr>
                <w:b/>
                <w:i/>
                <w:lang w:bidi="ar-SA"/>
              </w:rPr>
              <w:t>Chronic toxicity and carcinogenicity</w:t>
            </w:r>
          </w:p>
        </w:tc>
      </w:tr>
      <w:tr w:rsidR="00A343E2" w:rsidRPr="00F6284E" w14:paraId="78AE766B" w14:textId="7B1BCF10" w:rsidTr="00A24D2A">
        <w:trPr>
          <w:cantSplit/>
        </w:trPr>
        <w:tc>
          <w:tcPr>
            <w:tcW w:w="2376" w:type="dxa"/>
            <w:shd w:val="clear" w:color="auto" w:fill="auto"/>
          </w:tcPr>
          <w:p w14:paraId="6F6F060A" w14:textId="5DB90393" w:rsidR="00A343E2" w:rsidRPr="00F6284E" w:rsidRDefault="00FD1FDE" w:rsidP="00A111E9">
            <w:pPr>
              <w:pStyle w:val="FSTableText"/>
              <w:rPr>
                <w:rFonts w:ascii="Arial" w:hAnsi="Arial"/>
                <w:sz w:val="16"/>
              </w:rPr>
            </w:pPr>
            <w:r w:rsidRPr="00F6284E">
              <w:rPr>
                <w:sz w:val="16"/>
                <w:szCs w:val="16"/>
                <w:lang w:bidi="ar-SA"/>
              </w:rPr>
              <w:t>104 weeks</w:t>
            </w:r>
          </w:p>
        </w:tc>
        <w:tc>
          <w:tcPr>
            <w:tcW w:w="1843" w:type="dxa"/>
            <w:shd w:val="clear" w:color="auto" w:fill="auto"/>
          </w:tcPr>
          <w:p w14:paraId="359D762B" w14:textId="7F09C36C" w:rsidR="00A343E2" w:rsidRPr="00F6284E" w:rsidRDefault="00FD1FDE" w:rsidP="00A111E9">
            <w:pPr>
              <w:pStyle w:val="FSTableText"/>
              <w:rPr>
                <w:rFonts w:ascii="Arial" w:hAnsi="Arial"/>
                <w:sz w:val="16"/>
              </w:rPr>
            </w:pPr>
            <w:r w:rsidRPr="00F6284E">
              <w:rPr>
                <w:sz w:val="16"/>
                <w:szCs w:val="16"/>
                <w:lang w:bidi="ar-SA"/>
              </w:rPr>
              <w:t>Rat, Sprague Dawley</w:t>
            </w:r>
          </w:p>
        </w:tc>
        <w:tc>
          <w:tcPr>
            <w:tcW w:w="2977" w:type="dxa"/>
            <w:shd w:val="clear" w:color="auto" w:fill="auto"/>
          </w:tcPr>
          <w:p w14:paraId="43A06F73" w14:textId="3321E9C8" w:rsidR="009639C7" w:rsidRPr="00F6284E" w:rsidRDefault="009639C7" w:rsidP="00A111E9">
            <w:pPr>
              <w:pStyle w:val="FSTableText"/>
              <w:rPr>
                <w:rFonts w:ascii="Arial" w:hAnsi="Arial"/>
                <w:sz w:val="16"/>
              </w:rPr>
            </w:pPr>
            <w:r w:rsidRPr="00F6284E">
              <w:rPr>
                <w:sz w:val="16"/>
                <w:szCs w:val="16"/>
                <w:lang w:bidi="ar-SA"/>
              </w:rPr>
              <w:t>NOAEL: 0.098</w:t>
            </w:r>
          </w:p>
          <w:p w14:paraId="11B80D56" w14:textId="54805A76" w:rsidR="00A343E2" w:rsidRPr="00F6284E" w:rsidRDefault="009639C7" w:rsidP="00A111E9">
            <w:pPr>
              <w:pStyle w:val="FSTableText"/>
              <w:rPr>
                <w:rFonts w:ascii="Arial" w:hAnsi="Arial"/>
                <w:sz w:val="16"/>
              </w:rPr>
            </w:pPr>
            <w:r w:rsidRPr="00F6284E">
              <w:rPr>
                <w:sz w:val="16"/>
                <w:szCs w:val="16"/>
                <w:lang w:bidi="ar-SA"/>
              </w:rPr>
              <w:t>LOAEL: 0.242</w:t>
            </w:r>
          </w:p>
        </w:tc>
        <w:tc>
          <w:tcPr>
            <w:tcW w:w="4010" w:type="dxa"/>
            <w:shd w:val="clear" w:color="auto" w:fill="auto"/>
            <w:vAlign w:val="center"/>
          </w:tcPr>
          <w:p w14:paraId="6BE62F38" w14:textId="5075FF28" w:rsidR="00A343E2" w:rsidRPr="00F6284E" w:rsidRDefault="009639C7" w:rsidP="00A111E9">
            <w:pPr>
              <w:pStyle w:val="FSTableText"/>
              <w:rPr>
                <w:rFonts w:ascii="Arial" w:hAnsi="Arial"/>
                <w:sz w:val="16"/>
              </w:rPr>
            </w:pPr>
            <w:r w:rsidRPr="00F6284E">
              <w:rPr>
                <w:sz w:val="16"/>
                <w:szCs w:val="16"/>
                <w:lang w:bidi="ar-SA"/>
              </w:rPr>
              <w:t>Hepatocellular hypertrophy and vacuolation</w:t>
            </w:r>
          </w:p>
        </w:tc>
        <w:tc>
          <w:tcPr>
            <w:tcW w:w="1518" w:type="dxa"/>
            <w:shd w:val="clear" w:color="auto" w:fill="auto"/>
          </w:tcPr>
          <w:p w14:paraId="4B7EC913" w14:textId="43EEB355" w:rsidR="00A343E2" w:rsidRPr="00F6284E" w:rsidRDefault="00834432" w:rsidP="00A111E9">
            <w:pPr>
              <w:pStyle w:val="FSTableText"/>
              <w:rPr>
                <w:rFonts w:ascii="Arial" w:hAnsi="Arial"/>
                <w:sz w:val="16"/>
              </w:rPr>
            </w:pPr>
            <w:r w:rsidRPr="00F6284E">
              <w:rPr>
                <w:sz w:val="16"/>
                <w:szCs w:val="16"/>
                <w:lang w:bidi="ar-SA"/>
              </w:rPr>
              <w:t xml:space="preserve">Butenhoff </w:t>
            </w:r>
            <w:r w:rsidR="00180A32" w:rsidRPr="00180A32">
              <w:rPr>
                <w:i/>
                <w:sz w:val="16"/>
                <w:szCs w:val="16"/>
                <w:lang w:bidi="ar-SA"/>
              </w:rPr>
              <w:t xml:space="preserve">et al. </w:t>
            </w:r>
            <w:r w:rsidR="000203C4">
              <w:rPr>
                <w:sz w:val="16"/>
                <w:szCs w:val="16"/>
                <w:lang w:bidi="ar-SA"/>
              </w:rPr>
              <w:t xml:space="preserve"> </w:t>
            </w:r>
            <w:r w:rsidRPr="00F6284E">
              <w:rPr>
                <w:sz w:val="16"/>
                <w:szCs w:val="16"/>
                <w:lang w:bidi="ar-SA"/>
              </w:rPr>
              <w:t>2012/Thomford 2002)</w:t>
            </w:r>
          </w:p>
        </w:tc>
        <w:tc>
          <w:tcPr>
            <w:tcW w:w="1494" w:type="dxa"/>
            <w:shd w:val="clear" w:color="auto" w:fill="auto"/>
          </w:tcPr>
          <w:p w14:paraId="74E3A35A" w14:textId="37050154" w:rsidR="00A343E2" w:rsidRPr="00F6284E" w:rsidRDefault="00834432" w:rsidP="00A111E9">
            <w:pPr>
              <w:pStyle w:val="FSTableText"/>
              <w:rPr>
                <w:rFonts w:ascii="Arial" w:hAnsi="Arial"/>
                <w:sz w:val="16"/>
              </w:rPr>
            </w:pPr>
            <w:r w:rsidRPr="00F6284E">
              <w:rPr>
                <w:sz w:val="16"/>
                <w:szCs w:val="16"/>
                <w:lang w:bidi="ar-SA"/>
              </w:rPr>
              <w:t>EFSA, UK COT, US EPA</w:t>
            </w:r>
          </w:p>
        </w:tc>
      </w:tr>
      <w:tr w:rsidR="00196421" w:rsidRPr="00F66EDA" w14:paraId="3E010175" w14:textId="77777777" w:rsidTr="00A24D2A">
        <w:trPr>
          <w:cantSplit/>
          <w:trHeight w:val="115"/>
        </w:trPr>
        <w:tc>
          <w:tcPr>
            <w:tcW w:w="14218" w:type="dxa"/>
            <w:gridSpan w:val="6"/>
            <w:shd w:val="clear" w:color="auto" w:fill="auto"/>
          </w:tcPr>
          <w:p w14:paraId="755E4EC6" w14:textId="6B971C40" w:rsidR="00196421" w:rsidRPr="00D711DD" w:rsidRDefault="00196421" w:rsidP="00A111E9">
            <w:pPr>
              <w:pStyle w:val="FSTableText"/>
              <w:spacing w:before="40" w:after="40"/>
              <w:rPr>
                <w:rFonts w:ascii="Arial" w:hAnsi="Arial"/>
                <w:b/>
                <w:i/>
              </w:rPr>
            </w:pPr>
            <w:r w:rsidRPr="00196421">
              <w:rPr>
                <w:b/>
                <w:i/>
                <w:lang w:bidi="ar-SA"/>
              </w:rPr>
              <w:t>Reproductive and developmental toxicity</w:t>
            </w:r>
          </w:p>
        </w:tc>
      </w:tr>
      <w:tr w:rsidR="00A343E2" w:rsidRPr="00F66EDA" w14:paraId="600FCCB6" w14:textId="66324F8E" w:rsidTr="00A24D2A">
        <w:trPr>
          <w:cantSplit/>
          <w:trHeight w:val="115"/>
        </w:trPr>
        <w:tc>
          <w:tcPr>
            <w:tcW w:w="2376" w:type="dxa"/>
            <w:shd w:val="clear" w:color="auto" w:fill="auto"/>
          </w:tcPr>
          <w:p w14:paraId="10BB804B" w14:textId="243493A9" w:rsidR="00A343E2" w:rsidRPr="000B3C14" w:rsidRDefault="007D7DF2" w:rsidP="00A111E9">
            <w:pPr>
              <w:pStyle w:val="FSTableText"/>
              <w:rPr>
                <w:rFonts w:ascii="Arial" w:hAnsi="Arial"/>
                <w:sz w:val="16"/>
              </w:rPr>
            </w:pPr>
            <w:r>
              <w:rPr>
                <w:sz w:val="16"/>
                <w:szCs w:val="16"/>
                <w:lang w:bidi="ar-SA"/>
              </w:rPr>
              <w:t>Teratology (Developmental Study)</w:t>
            </w:r>
          </w:p>
        </w:tc>
        <w:tc>
          <w:tcPr>
            <w:tcW w:w="1843" w:type="dxa"/>
            <w:shd w:val="clear" w:color="auto" w:fill="auto"/>
          </w:tcPr>
          <w:p w14:paraId="04356DE1" w14:textId="5016C1F4" w:rsidR="00A343E2" w:rsidRPr="00D711DD" w:rsidRDefault="004C2656" w:rsidP="00A111E9">
            <w:pPr>
              <w:pStyle w:val="FSTableText"/>
              <w:rPr>
                <w:rFonts w:ascii="Arial" w:hAnsi="Arial"/>
                <w:sz w:val="16"/>
              </w:rPr>
            </w:pPr>
            <w:r>
              <w:rPr>
                <w:sz w:val="16"/>
                <w:szCs w:val="16"/>
                <w:lang w:bidi="ar-SA"/>
              </w:rPr>
              <w:t>Rabbit</w:t>
            </w:r>
            <w:r w:rsidR="007D7DF2">
              <w:rPr>
                <w:sz w:val="16"/>
                <w:szCs w:val="16"/>
                <w:lang w:bidi="ar-SA"/>
              </w:rPr>
              <w:t>, New Zealand White</w:t>
            </w:r>
          </w:p>
        </w:tc>
        <w:tc>
          <w:tcPr>
            <w:tcW w:w="2977" w:type="dxa"/>
            <w:shd w:val="clear" w:color="auto" w:fill="auto"/>
          </w:tcPr>
          <w:p w14:paraId="10BDB999" w14:textId="22D572C7" w:rsidR="001A34F8" w:rsidRPr="00D711DD" w:rsidRDefault="001A34F8" w:rsidP="00A111E9">
            <w:pPr>
              <w:pStyle w:val="FSTableText"/>
              <w:rPr>
                <w:rFonts w:ascii="Arial" w:hAnsi="Arial"/>
                <w:sz w:val="16"/>
              </w:rPr>
            </w:pPr>
            <w:r>
              <w:rPr>
                <w:sz w:val="16"/>
                <w:szCs w:val="16"/>
                <w:lang w:bidi="ar-SA"/>
              </w:rPr>
              <w:t xml:space="preserve">NOAEL: 0.1 maternal/ 1.0 </w:t>
            </w:r>
            <w:r w:rsidR="00F256B9">
              <w:rPr>
                <w:sz w:val="16"/>
                <w:szCs w:val="16"/>
                <w:lang w:bidi="ar-SA"/>
              </w:rPr>
              <w:t>embryo/</w:t>
            </w:r>
            <w:r>
              <w:rPr>
                <w:sz w:val="16"/>
                <w:szCs w:val="16"/>
                <w:lang w:bidi="ar-SA"/>
              </w:rPr>
              <w:t>fetal</w:t>
            </w:r>
          </w:p>
          <w:p w14:paraId="10C4FFCC" w14:textId="78A594C8" w:rsidR="00A343E2" w:rsidRPr="00D711DD" w:rsidRDefault="00CF5D06" w:rsidP="00A111E9">
            <w:pPr>
              <w:pStyle w:val="FSTableText"/>
              <w:rPr>
                <w:rFonts w:ascii="Arial" w:hAnsi="Arial"/>
                <w:sz w:val="16"/>
              </w:rPr>
            </w:pPr>
            <w:r>
              <w:rPr>
                <w:sz w:val="16"/>
                <w:szCs w:val="16"/>
                <w:lang w:bidi="ar-SA"/>
              </w:rPr>
              <w:t xml:space="preserve">LOAEL: 1.0 maternal/2.5 </w:t>
            </w:r>
            <w:r w:rsidR="00F256B9">
              <w:rPr>
                <w:sz w:val="16"/>
                <w:szCs w:val="16"/>
                <w:lang w:bidi="ar-SA"/>
              </w:rPr>
              <w:t>embryo/</w:t>
            </w:r>
            <w:r>
              <w:rPr>
                <w:sz w:val="16"/>
                <w:szCs w:val="16"/>
                <w:lang w:bidi="ar-SA"/>
              </w:rPr>
              <w:t>fetal</w:t>
            </w:r>
          </w:p>
        </w:tc>
        <w:tc>
          <w:tcPr>
            <w:tcW w:w="4010" w:type="dxa"/>
            <w:shd w:val="clear" w:color="auto" w:fill="auto"/>
          </w:tcPr>
          <w:p w14:paraId="134C8F5E" w14:textId="0F0C1238" w:rsidR="009851FD" w:rsidRPr="00D711DD" w:rsidRDefault="001A34F8" w:rsidP="00A111E9">
            <w:pPr>
              <w:pStyle w:val="FSTableText"/>
              <w:rPr>
                <w:rFonts w:ascii="Arial" w:hAnsi="Arial"/>
                <w:sz w:val="16"/>
              </w:rPr>
            </w:pPr>
            <w:r>
              <w:rPr>
                <w:sz w:val="16"/>
                <w:szCs w:val="16"/>
                <w:lang w:bidi="ar-SA"/>
              </w:rPr>
              <w:t xml:space="preserve">Maternal: lower </w:t>
            </w:r>
            <w:r w:rsidR="00E83E80">
              <w:rPr>
                <w:sz w:val="16"/>
                <w:szCs w:val="16"/>
                <w:lang w:bidi="ar-SA"/>
              </w:rPr>
              <w:t>body weight</w:t>
            </w:r>
            <w:r>
              <w:rPr>
                <w:sz w:val="16"/>
                <w:szCs w:val="16"/>
                <w:lang w:bidi="ar-SA"/>
              </w:rPr>
              <w:t xml:space="preserve"> gain during treatment with no corresponding food effect.</w:t>
            </w:r>
          </w:p>
          <w:p w14:paraId="7095EB48" w14:textId="7D008750" w:rsidR="00A343E2" w:rsidRPr="00D711DD" w:rsidRDefault="0065647B" w:rsidP="00A111E9">
            <w:pPr>
              <w:pStyle w:val="FSTableText"/>
              <w:spacing w:before="60"/>
              <w:rPr>
                <w:rFonts w:ascii="Arial" w:hAnsi="Arial"/>
                <w:sz w:val="16"/>
              </w:rPr>
            </w:pPr>
            <w:r>
              <w:rPr>
                <w:sz w:val="16"/>
                <w:szCs w:val="16"/>
                <w:lang w:bidi="ar-SA"/>
              </w:rPr>
              <w:t>Fetus</w:t>
            </w:r>
            <w:r w:rsidR="009851FD">
              <w:rPr>
                <w:sz w:val="16"/>
                <w:szCs w:val="16"/>
                <w:lang w:bidi="ar-SA"/>
              </w:rPr>
              <w:t xml:space="preserve">: </w:t>
            </w:r>
            <w:r w:rsidR="00CF5D06">
              <w:rPr>
                <w:sz w:val="16"/>
                <w:szCs w:val="16"/>
                <w:lang w:bidi="ar-SA"/>
              </w:rPr>
              <w:t>lower fetal weight (probably attributable to maternal toxicity)</w:t>
            </w:r>
            <w:r w:rsidR="00920BD9">
              <w:rPr>
                <w:sz w:val="16"/>
                <w:szCs w:val="16"/>
                <w:lang w:bidi="ar-SA"/>
              </w:rPr>
              <w:t>, abortions</w:t>
            </w:r>
            <w:r w:rsidR="00CF5D06">
              <w:rPr>
                <w:sz w:val="16"/>
                <w:szCs w:val="16"/>
                <w:lang w:bidi="ar-SA"/>
              </w:rPr>
              <w:t xml:space="preserve"> </w:t>
            </w:r>
          </w:p>
        </w:tc>
        <w:tc>
          <w:tcPr>
            <w:tcW w:w="1518" w:type="dxa"/>
            <w:shd w:val="clear" w:color="auto" w:fill="auto"/>
          </w:tcPr>
          <w:p w14:paraId="42700F82" w14:textId="5D8E6A69" w:rsidR="00A343E2" w:rsidRPr="00D711DD" w:rsidRDefault="007D7DF2" w:rsidP="00A111E9">
            <w:pPr>
              <w:pStyle w:val="FSTableText"/>
              <w:rPr>
                <w:rFonts w:ascii="Arial" w:hAnsi="Arial"/>
                <w:sz w:val="16"/>
              </w:rPr>
            </w:pPr>
            <w:r>
              <w:rPr>
                <w:sz w:val="16"/>
                <w:szCs w:val="16"/>
                <w:lang w:bidi="ar-SA"/>
              </w:rPr>
              <w:t xml:space="preserve">Case </w:t>
            </w:r>
            <w:r w:rsidR="00180A32" w:rsidRPr="00180A32">
              <w:rPr>
                <w:i/>
                <w:sz w:val="16"/>
                <w:szCs w:val="16"/>
                <w:lang w:bidi="ar-SA"/>
              </w:rPr>
              <w:t xml:space="preserve">et al. </w:t>
            </w:r>
            <w:r w:rsidR="00F22DA6">
              <w:rPr>
                <w:sz w:val="16"/>
                <w:szCs w:val="16"/>
                <w:lang w:bidi="ar-SA"/>
              </w:rPr>
              <w:t xml:space="preserve"> </w:t>
            </w:r>
            <w:r>
              <w:rPr>
                <w:sz w:val="16"/>
                <w:szCs w:val="16"/>
                <w:lang w:bidi="ar-SA"/>
              </w:rPr>
              <w:t>2001</w:t>
            </w:r>
          </w:p>
        </w:tc>
        <w:tc>
          <w:tcPr>
            <w:tcW w:w="1494" w:type="dxa"/>
            <w:shd w:val="clear" w:color="auto" w:fill="auto"/>
          </w:tcPr>
          <w:p w14:paraId="3322EDAD" w14:textId="16B3EC5B" w:rsidR="00A343E2" w:rsidRPr="00D711DD" w:rsidRDefault="001A34F8" w:rsidP="00A111E9">
            <w:pPr>
              <w:pStyle w:val="FSTableText"/>
              <w:rPr>
                <w:rFonts w:ascii="Arial" w:hAnsi="Arial"/>
                <w:sz w:val="16"/>
              </w:rPr>
            </w:pPr>
            <w:r>
              <w:rPr>
                <w:sz w:val="16"/>
                <w:szCs w:val="16"/>
                <w:lang w:bidi="ar-SA"/>
              </w:rPr>
              <w:t>None</w:t>
            </w:r>
          </w:p>
        </w:tc>
      </w:tr>
      <w:tr w:rsidR="00A343E2" w:rsidRPr="00F6284E" w14:paraId="1913436C" w14:textId="49C830A3" w:rsidTr="00A24D2A">
        <w:trPr>
          <w:cantSplit/>
          <w:trHeight w:val="115"/>
        </w:trPr>
        <w:tc>
          <w:tcPr>
            <w:tcW w:w="2376" w:type="dxa"/>
            <w:shd w:val="clear" w:color="auto" w:fill="auto"/>
          </w:tcPr>
          <w:p w14:paraId="043B4FA2" w14:textId="5F0C20B8" w:rsidR="00A343E2" w:rsidRPr="00F6284E" w:rsidRDefault="00CF7F9A" w:rsidP="00A111E9">
            <w:pPr>
              <w:pStyle w:val="FSTableText"/>
              <w:rPr>
                <w:rFonts w:ascii="Arial" w:hAnsi="Arial"/>
                <w:sz w:val="16"/>
              </w:rPr>
            </w:pPr>
            <w:r w:rsidRPr="00F6284E">
              <w:rPr>
                <w:sz w:val="16"/>
                <w:szCs w:val="16"/>
                <w:lang w:bidi="ar-SA"/>
              </w:rPr>
              <w:t>Teratology (Developmental Study)</w:t>
            </w:r>
          </w:p>
        </w:tc>
        <w:tc>
          <w:tcPr>
            <w:tcW w:w="1843" w:type="dxa"/>
            <w:shd w:val="clear" w:color="auto" w:fill="auto"/>
          </w:tcPr>
          <w:p w14:paraId="30392E98" w14:textId="71A0F0E4" w:rsidR="00A343E2" w:rsidRPr="00F6284E" w:rsidRDefault="00CF7F9A" w:rsidP="00A111E9">
            <w:pPr>
              <w:pStyle w:val="FSTableText"/>
              <w:rPr>
                <w:rFonts w:ascii="Arial" w:hAnsi="Arial"/>
                <w:sz w:val="16"/>
              </w:rPr>
            </w:pPr>
            <w:r w:rsidRPr="00F6284E">
              <w:rPr>
                <w:sz w:val="16"/>
                <w:szCs w:val="16"/>
                <w:lang w:bidi="ar-SA"/>
              </w:rPr>
              <w:t>Rat, Sprague</w:t>
            </w:r>
            <w:r w:rsidR="00032CF6">
              <w:rPr>
                <w:sz w:val="16"/>
                <w:szCs w:val="16"/>
                <w:lang w:bidi="ar-SA"/>
              </w:rPr>
              <w:t xml:space="preserve"> </w:t>
            </w:r>
            <w:r w:rsidRPr="00F6284E">
              <w:rPr>
                <w:sz w:val="16"/>
                <w:szCs w:val="16"/>
                <w:lang w:bidi="ar-SA"/>
              </w:rPr>
              <w:t>Dawley</w:t>
            </w:r>
          </w:p>
        </w:tc>
        <w:tc>
          <w:tcPr>
            <w:tcW w:w="2977" w:type="dxa"/>
            <w:shd w:val="clear" w:color="auto" w:fill="auto"/>
          </w:tcPr>
          <w:p w14:paraId="5A82F217" w14:textId="03C50852" w:rsidR="00CF7F9A" w:rsidRPr="00F6284E" w:rsidRDefault="00CF7F9A" w:rsidP="00A111E9">
            <w:pPr>
              <w:pStyle w:val="FSTableText"/>
              <w:rPr>
                <w:rFonts w:ascii="Arial" w:hAnsi="Arial"/>
                <w:sz w:val="16"/>
              </w:rPr>
            </w:pPr>
            <w:r w:rsidRPr="00F6284E">
              <w:rPr>
                <w:sz w:val="16"/>
                <w:szCs w:val="16"/>
                <w:lang w:bidi="ar-SA"/>
              </w:rPr>
              <w:t xml:space="preserve">NOAEL: </w:t>
            </w:r>
            <w:r w:rsidR="005F28A0" w:rsidRPr="00F6284E">
              <w:rPr>
                <w:sz w:val="16"/>
                <w:szCs w:val="16"/>
                <w:lang w:bidi="ar-SA"/>
              </w:rPr>
              <w:t>1.0</w:t>
            </w:r>
            <w:r w:rsidRPr="00F6284E">
              <w:rPr>
                <w:sz w:val="16"/>
                <w:szCs w:val="16"/>
                <w:lang w:bidi="ar-SA"/>
              </w:rPr>
              <w:t xml:space="preserve"> maternal</w:t>
            </w:r>
            <w:r w:rsidR="00EC1511" w:rsidRPr="00F6284E">
              <w:rPr>
                <w:sz w:val="16"/>
                <w:szCs w:val="16"/>
                <w:lang w:bidi="ar-SA"/>
              </w:rPr>
              <w:t xml:space="preserve"> and </w:t>
            </w:r>
            <w:r w:rsidR="00F256B9" w:rsidRPr="00F6284E">
              <w:rPr>
                <w:sz w:val="16"/>
                <w:szCs w:val="16"/>
                <w:lang w:bidi="ar-SA"/>
              </w:rPr>
              <w:t>embryo/</w:t>
            </w:r>
            <w:r w:rsidRPr="00F6284E">
              <w:rPr>
                <w:sz w:val="16"/>
                <w:szCs w:val="16"/>
                <w:lang w:bidi="ar-SA"/>
              </w:rPr>
              <w:t>fetal</w:t>
            </w:r>
          </w:p>
          <w:p w14:paraId="3FEF7F34" w14:textId="1F520266" w:rsidR="00A343E2" w:rsidRPr="00F6284E" w:rsidRDefault="005F28A0" w:rsidP="00A111E9">
            <w:pPr>
              <w:pStyle w:val="FSTableText"/>
              <w:rPr>
                <w:rFonts w:ascii="Arial" w:hAnsi="Arial"/>
                <w:sz w:val="16"/>
              </w:rPr>
            </w:pPr>
            <w:r w:rsidRPr="00F6284E">
              <w:rPr>
                <w:sz w:val="16"/>
                <w:szCs w:val="16"/>
                <w:lang w:bidi="ar-SA"/>
              </w:rPr>
              <w:t>LOAEL: 2</w:t>
            </w:r>
            <w:r w:rsidR="00CF7F9A" w:rsidRPr="00F6284E">
              <w:rPr>
                <w:sz w:val="16"/>
                <w:szCs w:val="16"/>
                <w:lang w:bidi="ar-SA"/>
              </w:rPr>
              <w:t>.0 maternal</w:t>
            </w:r>
            <w:r w:rsidR="00EC1511" w:rsidRPr="00F6284E">
              <w:rPr>
                <w:sz w:val="16"/>
                <w:szCs w:val="16"/>
                <w:lang w:bidi="ar-SA"/>
              </w:rPr>
              <w:t xml:space="preserve"> and </w:t>
            </w:r>
            <w:r w:rsidR="00F256B9" w:rsidRPr="00F6284E">
              <w:rPr>
                <w:sz w:val="16"/>
                <w:szCs w:val="16"/>
                <w:lang w:bidi="ar-SA"/>
              </w:rPr>
              <w:t>embryo/</w:t>
            </w:r>
            <w:r w:rsidR="00CF7F9A" w:rsidRPr="00F6284E">
              <w:rPr>
                <w:sz w:val="16"/>
                <w:szCs w:val="16"/>
                <w:lang w:bidi="ar-SA"/>
              </w:rPr>
              <w:t>fetal</w:t>
            </w:r>
          </w:p>
        </w:tc>
        <w:tc>
          <w:tcPr>
            <w:tcW w:w="4010" w:type="dxa"/>
            <w:shd w:val="clear" w:color="auto" w:fill="auto"/>
          </w:tcPr>
          <w:p w14:paraId="1E095D2D" w14:textId="128F13A9" w:rsidR="00A574B8" w:rsidRPr="00F6284E" w:rsidRDefault="00A574B8" w:rsidP="00A111E9">
            <w:pPr>
              <w:pStyle w:val="FSTableText"/>
              <w:rPr>
                <w:rFonts w:ascii="Arial" w:hAnsi="Arial"/>
                <w:sz w:val="16"/>
              </w:rPr>
            </w:pPr>
            <w:r w:rsidRPr="00F6284E">
              <w:rPr>
                <w:sz w:val="16"/>
                <w:szCs w:val="16"/>
                <w:lang w:bidi="ar-SA"/>
              </w:rPr>
              <w:t xml:space="preserve">Maternal: decreased </w:t>
            </w:r>
            <w:r w:rsidR="005F28A0" w:rsidRPr="00F6284E">
              <w:rPr>
                <w:sz w:val="16"/>
                <w:szCs w:val="16"/>
                <w:lang w:bidi="ar-SA"/>
              </w:rPr>
              <w:t>body weight</w:t>
            </w:r>
          </w:p>
          <w:p w14:paraId="0803E921" w14:textId="115073FD" w:rsidR="00A343E2" w:rsidRPr="00F6284E" w:rsidRDefault="00A574B8" w:rsidP="00A111E9">
            <w:pPr>
              <w:pStyle w:val="FSTableText"/>
              <w:spacing w:before="60"/>
              <w:rPr>
                <w:rFonts w:ascii="Arial" w:hAnsi="Arial"/>
                <w:sz w:val="16"/>
              </w:rPr>
            </w:pPr>
            <w:r w:rsidRPr="00F6284E">
              <w:rPr>
                <w:sz w:val="16"/>
                <w:szCs w:val="16"/>
                <w:lang w:bidi="ar-SA"/>
              </w:rPr>
              <w:t>F</w:t>
            </w:r>
            <w:r w:rsidR="001B6877">
              <w:rPr>
                <w:sz w:val="16"/>
                <w:szCs w:val="16"/>
                <w:lang w:bidi="ar-SA"/>
              </w:rPr>
              <w:t>etal</w:t>
            </w:r>
            <w:r w:rsidRPr="00F6284E">
              <w:rPr>
                <w:sz w:val="16"/>
                <w:szCs w:val="16"/>
                <w:lang w:bidi="ar-SA"/>
              </w:rPr>
              <w:t xml:space="preserve">: </w:t>
            </w:r>
            <w:r w:rsidR="00BE205C" w:rsidRPr="00F6284E">
              <w:rPr>
                <w:sz w:val="16"/>
                <w:szCs w:val="16"/>
                <w:lang w:bidi="ar-SA"/>
              </w:rPr>
              <w:t>mortality</w:t>
            </w:r>
            <w:r w:rsidRPr="00F6284E">
              <w:rPr>
                <w:sz w:val="16"/>
                <w:szCs w:val="16"/>
                <w:lang w:bidi="ar-SA"/>
              </w:rPr>
              <w:t>; decreased body weight; delayed eye-opening</w:t>
            </w:r>
          </w:p>
        </w:tc>
        <w:tc>
          <w:tcPr>
            <w:tcW w:w="1518" w:type="dxa"/>
            <w:shd w:val="clear" w:color="auto" w:fill="auto"/>
          </w:tcPr>
          <w:p w14:paraId="1EC36878" w14:textId="44215E1A" w:rsidR="00A343E2" w:rsidRPr="00F6284E" w:rsidRDefault="00A574B8" w:rsidP="00A111E9">
            <w:pPr>
              <w:pStyle w:val="FSTableText"/>
              <w:rPr>
                <w:rFonts w:ascii="Arial" w:hAnsi="Arial"/>
                <w:sz w:val="16"/>
              </w:rPr>
            </w:pPr>
            <w:r w:rsidRPr="00F6284E">
              <w:rPr>
                <w:sz w:val="16"/>
                <w:szCs w:val="16"/>
                <w:lang w:bidi="ar-SA"/>
              </w:rPr>
              <w:t>Th</w:t>
            </w:r>
            <w:r w:rsidR="005F28A0" w:rsidRPr="00F6284E">
              <w:rPr>
                <w:sz w:val="16"/>
                <w:szCs w:val="16"/>
                <w:lang w:bidi="ar-SA"/>
              </w:rPr>
              <w:t>i</w:t>
            </w:r>
            <w:r w:rsidRPr="00F6284E">
              <w:rPr>
                <w:sz w:val="16"/>
                <w:szCs w:val="16"/>
                <w:lang w:bidi="ar-SA"/>
              </w:rPr>
              <w:t xml:space="preserve">bodeaux </w:t>
            </w:r>
            <w:r w:rsidR="00180A32" w:rsidRPr="00180A32">
              <w:rPr>
                <w:i/>
                <w:sz w:val="16"/>
                <w:szCs w:val="16"/>
                <w:lang w:bidi="ar-SA"/>
              </w:rPr>
              <w:t xml:space="preserve">et al. </w:t>
            </w:r>
            <w:r w:rsidR="00F22DA6">
              <w:rPr>
                <w:sz w:val="16"/>
                <w:szCs w:val="16"/>
                <w:lang w:bidi="ar-SA"/>
              </w:rPr>
              <w:t xml:space="preserve"> </w:t>
            </w:r>
            <w:r w:rsidRPr="00F6284E">
              <w:rPr>
                <w:sz w:val="16"/>
                <w:szCs w:val="16"/>
                <w:lang w:bidi="ar-SA"/>
              </w:rPr>
              <w:t xml:space="preserve">2003/Lau </w:t>
            </w:r>
            <w:r w:rsidR="00180A32" w:rsidRPr="00180A32">
              <w:rPr>
                <w:i/>
                <w:sz w:val="16"/>
                <w:szCs w:val="16"/>
                <w:lang w:bidi="ar-SA"/>
              </w:rPr>
              <w:t xml:space="preserve">et al. </w:t>
            </w:r>
            <w:r w:rsidR="000203C4">
              <w:rPr>
                <w:sz w:val="16"/>
                <w:szCs w:val="16"/>
                <w:lang w:bidi="ar-SA"/>
              </w:rPr>
              <w:t xml:space="preserve"> </w:t>
            </w:r>
            <w:r w:rsidRPr="00F6284E">
              <w:rPr>
                <w:sz w:val="16"/>
                <w:szCs w:val="16"/>
                <w:lang w:bidi="ar-SA"/>
              </w:rPr>
              <w:t>2003</w:t>
            </w:r>
          </w:p>
        </w:tc>
        <w:tc>
          <w:tcPr>
            <w:tcW w:w="1494" w:type="dxa"/>
            <w:shd w:val="clear" w:color="auto" w:fill="auto"/>
          </w:tcPr>
          <w:p w14:paraId="1FFEAE37" w14:textId="36F82F08" w:rsidR="00A343E2" w:rsidRPr="00F6284E" w:rsidRDefault="00A574B8" w:rsidP="00A111E9">
            <w:pPr>
              <w:pStyle w:val="FSTableText"/>
              <w:rPr>
                <w:rFonts w:ascii="Arial" w:hAnsi="Arial"/>
                <w:sz w:val="16"/>
              </w:rPr>
            </w:pPr>
            <w:r w:rsidRPr="00F6284E">
              <w:rPr>
                <w:sz w:val="16"/>
                <w:szCs w:val="16"/>
                <w:lang w:bidi="ar-SA"/>
              </w:rPr>
              <w:t>EFSA, UK COT, US EPA</w:t>
            </w:r>
          </w:p>
        </w:tc>
      </w:tr>
      <w:tr w:rsidR="003F41C1" w:rsidRPr="00F66EDA" w14:paraId="772DA361" w14:textId="77777777" w:rsidTr="00A24D2A">
        <w:trPr>
          <w:cantSplit/>
          <w:trHeight w:val="115"/>
        </w:trPr>
        <w:tc>
          <w:tcPr>
            <w:tcW w:w="2376" w:type="dxa"/>
            <w:shd w:val="clear" w:color="auto" w:fill="auto"/>
          </w:tcPr>
          <w:p w14:paraId="33D494F9" w14:textId="7920AFC9" w:rsidR="003F41C1" w:rsidRPr="000B3C14" w:rsidRDefault="003F41C1" w:rsidP="00A111E9">
            <w:pPr>
              <w:pStyle w:val="FSTableText"/>
              <w:rPr>
                <w:rFonts w:ascii="Arial" w:hAnsi="Arial"/>
                <w:sz w:val="16"/>
              </w:rPr>
            </w:pPr>
            <w:r w:rsidRPr="00032405">
              <w:rPr>
                <w:sz w:val="16"/>
              </w:rPr>
              <w:t>Teratology (Developmental Study)</w:t>
            </w:r>
          </w:p>
        </w:tc>
        <w:tc>
          <w:tcPr>
            <w:tcW w:w="1843" w:type="dxa"/>
            <w:shd w:val="clear" w:color="auto" w:fill="auto"/>
          </w:tcPr>
          <w:p w14:paraId="7D63D62A" w14:textId="21D328AC" w:rsidR="003F41C1" w:rsidRPr="00D711DD" w:rsidRDefault="003F41C1" w:rsidP="00A111E9">
            <w:pPr>
              <w:pStyle w:val="FSTableText"/>
              <w:rPr>
                <w:rFonts w:ascii="Arial" w:hAnsi="Arial"/>
                <w:sz w:val="16"/>
              </w:rPr>
            </w:pPr>
            <w:r w:rsidRPr="00032405">
              <w:rPr>
                <w:sz w:val="16"/>
              </w:rPr>
              <w:t>Mouse, CD-1</w:t>
            </w:r>
          </w:p>
        </w:tc>
        <w:tc>
          <w:tcPr>
            <w:tcW w:w="2977" w:type="dxa"/>
            <w:shd w:val="clear" w:color="auto" w:fill="auto"/>
          </w:tcPr>
          <w:p w14:paraId="1ED0951F" w14:textId="2832D507" w:rsidR="00CC08A0" w:rsidRPr="00D711DD" w:rsidRDefault="003F41C1" w:rsidP="00A111E9">
            <w:pPr>
              <w:pStyle w:val="FSTableText"/>
              <w:rPr>
                <w:rFonts w:ascii="Arial" w:hAnsi="Arial"/>
                <w:sz w:val="16"/>
              </w:rPr>
            </w:pPr>
            <w:r w:rsidRPr="00032405">
              <w:rPr>
                <w:sz w:val="16"/>
              </w:rPr>
              <w:t xml:space="preserve">NOAEL: </w:t>
            </w:r>
            <w:r w:rsidR="00CC08A0" w:rsidRPr="00032405">
              <w:rPr>
                <w:sz w:val="16"/>
              </w:rPr>
              <w:t>1.0 maternal</w:t>
            </w:r>
            <w:r w:rsidR="00EC1511">
              <w:rPr>
                <w:sz w:val="16"/>
              </w:rPr>
              <w:t xml:space="preserve"> and </w:t>
            </w:r>
            <w:r w:rsidR="00F256B9">
              <w:rPr>
                <w:sz w:val="16"/>
              </w:rPr>
              <w:t>embryo/</w:t>
            </w:r>
            <w:r w:rsidR="00CC08A0" w:rsidRPr="00032405">
              <w:rPr>
                <w:sz w:val="16"/>
              </w:rPr>
              <w:t>fetal</w:t>
            </w:r>
          </w:p>
          <w:p w14:paraId="7A1C14EC" w14:textId="41233C71" w:rsidR="003F41C1" w:rsidRPr="00D711DD" w:rsidRDefault="00CC08A0" w:rsidP="00A111E9">
            <w:pPr>
              <w:pStyle w:val="FSTableText"/>
              <w:rPr>
                <w:rFonts w:ascii="Arial" w:hAnsi="Arial"/>
                <w:sz w:val="16"/>
              </w:rPr>
            </w:pPr>
            <w:r w:rsidRPr="00032405">
              <w:rPr>
                <w:sz w:val="16"/>
              </w:rPr>
              <w:t>LOAEL: 5.0 maternal</w:t>
            </w:r>
            <w:r w:rsidR="00EC1511">
              <w:rPr>
                <w:sz w:val="16"/>
              </w:rPr>
              <w:t xml:space="preserve"> and </w:t>
            </w:r>
            <w:r w:rsidR="00F256B9">
              <w:rPr>
                <w:sz w:val="16"/>
              </w:rPr>
              <w:t>embryo/</w:t>
            </w:r>
            <w:r w:rsidRPr="00032405">
              <w:rPr>
                <w:sz w:val="16"/>
              </w:rPr>
              <w:t>fetal</w:t>
            </w:r>
          </w:p>
        </w:tc>
        <w:tc>
          <w:tcPr>
            <w:tcW w:w="4010" w:type="dxa"/>
            <w:shd w:val="clear" w:color="auto" w:fill="auto"/>
          </w:tcPr>
          <w:p w14:paraId="028BA185" w14:textId="77777777" w:rsidR="00CC08A0" w:rsidRPr="00D711DD" w:rsidRDefault="00CC08A0" w:rsidP="00A111E9">
            <w:pPr>
              <w:pStyle w:val="FSTableText"/>
              <w:rPr>
                <w:rFonts w:ascii="Arial" w:hAnsi="Arial"/>
                <w:sz w:val="16"/>
              </w:rPr>
            </w:pPr>
            <w:r w:rsidRPr="00032405">
              <w:rPr>
                <w:sz w:val="16"/>
              </w:rPr>
              <w:t>Maternal: Increased relative liver weight; reduced serum triglycerides</w:t>
            </w:r>
          </w:p>
          <w:p w14:paraId="225B91C1" w14:textId="7D9ED62E" w:rsidR="003F41C1" w:rsidRPr="00D711DD" w:rsidRDefault="00CC08A0" w:rsidP="00A111E9">
            <w:pPr>
              <w:pStyle w:val="FSTableText"/>
              <w:spacing w:before="60"/>
              <w:rPr>
                <w:rFonts w:ascii="Arial" w:hAnsi="Arial"/>
                <w:sz w:val="16"/>
              </w:rPr>
            </w:pPr>
            <w:r w:rsidRPr="00032405">
              <w:rPr>
                <w:sz w:val="16"/>
              </w:rPr>
              <w:t>Fetal: increased liver weight; delayed eye</w:t>
            </w:r>
            <w:r w:rsidR="001012A5">
              <w:rPr>
                <w:sz w:val="16"/>
              </w:rPr>
              <w:t>-</w:t>
            </w:r>
            <w:r w:rsidRPr="00032405">
              <w:rPr>
                <w:sz w:val="16"/>
              </w:rPr>
              <w:t>opening</w:t>
            </w:r>
          </w:p>
        </w:tc>
        <w:tc>
          <w:tcPr>
            <w:tcW w:w="1518" w:type="dxa"/>
            <w:shd w:val="clear" w:color="auto" w:fill="auto"/>
          </w:tcPr>
          <w:p w14:paraId="2DF361DF" w14:textId="33066356" w:rsidR="003F41C1" w:rsidRPr="00D711DD" w:rsidRDefault="003F41C1" w:rsidP="00A111E9">
            <w:pPr>
              <w:pStyle w:val="FSTableText"/>
              <w:rPr>
                <w:rFonts w:ascii="Arial" w:hAnsi="Arial"/>
                <w:sz w:val="16"/>
              </w:rPr>
            </w:pPr>
            <w:r w:rsidRPr="00032405">
              <w:rPr>
                <w:sz w:val="16"/>
              </w:rPr>
              <w:t xml:space="preserve">Thibodeaux </w:t>
            </w:r>
            <w:r w:rsidR="00180A32" w:rsidRPr="00180A32">
              <w:rPr>
                <w:i/>
                <w:sz w:val="16"/>
              </w:rPr>
              <w:t xml:space="preserve">et al. </w:t>
            </w:r>
            <w:r w:rsidR="000203C4">
              <w:rPr>
                <w:sz w:val="16"/>
              </w:rPr>
              <w:t xml:space="preserve"> </w:t>
            </w:r>
            <w:r w:rsidRPr="00032405">
              <w:rPr>
                <w:sz w:val="16"/>
              </w:rPr>
              <w:t xml:space="preserve">2003/Lau </w:t>
            </w:r>
            <w:r w:rsidR="00180A32" w:rsidRPr="00180A32">
              <w:rPr>
                <w:i/>
                <w:sz w:val="16"/>
              </w:rPr>
              <w:t xml:space="preserve">et al. </w:t>
            </w:r>
            <w:r w:rsidR="000203C4">
              <w:rPr>
                <w:sz w:val="16"/>
              </w:rPr>
              <w:t xml:space="preserve"> </w:t>
            </w:r>
            <w:r w:rsidRPr="00032405">
              <w:rPr>
                <w:sz w:val="16"/>
              </w:rPr>
              <w:t>2003</w:t>
            </w:r>
          </w:p>
        </w:tc>
        <w:tc>
          <w:tcPr>
            <w:tcW w:w="1494" w:type="dxa"/>
            <w:shd w:val="clear" w:color="auto" w:fill="auto"/>
          </w:tcPr>
          <w:p w14:paraId="6CFE69CC" w14:textId="6AC77A16" w:rsidR="003F41C1" w:rsidRPr="00D711DD" w:rsidRDefault="003F41C1" w:rsidP="00A111E9">
            <w:pPr>
              <w:pStyle w:val="FSTableText"/>
              <w:rPr>
                <w:rFonts w:ascii="Arial" w:hAnsi="Arial"/>
                <w:sz w:val="16"/>
              </w:rPr>
            </w:pPr>
            <w:r w:rsidRPr="00032405">
              <w:rPr>
                <w:sz w:val="16"/>
              </w:rPr>
              <w:t>EFSA, UK COT, US EPA</w:t>
            </w:r>
          </w:p>
        </w:tc>
      </w:tr>
      <w:tr w:rsidR="00A343E2" w:rsidRPr="00F6284E" w14:paraId="2CD29CBC" w14:textId="7886C6F2" w:rsidTr="00A24D2A">
        <w:trPr>
          <w:cantSplit/>
          <w:trHeight w:val="115"/>
        </w:trPr>
        <w:tc>
          <w:tcPr>
            <w:tcW w:w="2376" w:type="dxa"/>
            <w:shd w:val="clear" w:color="auto" w:fill="auto"/>
          </w:tcPr>
          <w:p w14:paraId="61A2CD69" w14:textId="2CF2B6BF" w:rsidR="00A343E2" w:rsidRPr="00F6284E" w:rsidRDefault="00524EE9" w:rsidP="00A111E9">
            <w:pPr>
              <w:pStyle w:val="FSTableText"/>
              <w:rPr>
                <w:rFonts w:ascii="Arial" w:hAnsi="Arial"/>
                <w:sz w:val="16"/>
              </w:rPr>
            </w:pPr>
            <w:r w:rsidRPr="00F6284E">
              <w:rPr>
                <w:sz w:val="16"/>
                <w:szCs w:val="16"/>
                <w:lang w:bidi="ar-SA"/>
              </w:rPr>
              <w:t>Reproductive toxicity (Two-generation study)</w:t>
            </w:r>
          </w:p>
        </w:tc>
        <w:tc>
          <w:tcPr>
            <w:tcW w:w="1843" w:type="dxa"/>
            <w:shd w:val="clear" w:color="auto" w:fill="auto"/>
          </w:tcPr>
          <w:p w14:paraId="3DAF211E" w14:textId="52E10EBB" w:rsidR="00A343E2" w:rsidRPr="00F6284E" w:rsidRDefault="00524EE9" w:rsidP="00A111E9">
            <w:pPr>
              <w:pStyle w:val="FSTableText"/>
              <w:rPr>
                <w:rFonts w:ascii="Arial" w:hAnsi="Arial"/>
                <w:sz w:val="16"/>
              </w:rPr>
            </w:pPr>
            <w:r w:rsidRPr="00F6284E">
              <w:rPr>
                <w:sz w:val="16"/>
                <w:szCs w:val="16"/>
                <w:lang w:bidi="ar-SA"/>
              </w:rPr>
              <w:t>Rat, Crl:CD(SD)IGS BR VAF</w:t>
            </w:r>
          </w:p>
        </w:tc>
        <w:tc>
          <w:tcPr>
            <w:tcW w:w="2977" w:type="dxa"/>
            <w:shd w:val="clear" w:color="auto" w:fill="auto"/>
          </w:tcPr>
          <w:p w14:paraId="3C137CFD" w14:textId="77777777" w:rsidR="00F9189D" w:rsidRPr="00F6284E" w:rsidRDefault="00F9189D" w:rsidP="00A111E9">
            <w:pPr>
              <w:pStyle w:val="FSTableText"/>
              <w:rPr>
                <w:rFonts w:ascii="Arial" w:hAnsi="Arial"/>
                <w:sz w:val="16"/>
              </w:rPr>
            </w:pPr>
            <w:r w:rsidRPr="00F6284E">
              <w:rPr>
                <w:sz w:val="16"/>
                <w:szCs w:val="16"/>
                <w:lang w:bidi="ar-SA"/>
              </w:rPr>
              <w:t>Parental toxicity:</w:t>
            </w:r>
          </w:p>
          <w:p w14:paraId="52AEC5B5" w14:textId="2E111E56" w:rsidR="00F9189D" w:rsidRPr="00F6284E" w:rsidRDefault="00F9189D" w:rsidP="00A111E9">
            <w:pPr>
              <w:pStyle w:val="FSTableText"/>
              <w:rPr>
                <w:rFonts w:ascii="Arial" w:hAnsi="Arial"/>
                <w:sz w:val="16"/>
              </w:rPr>
            </w:pPr>
            <w:r w:rsidRPr="00F6284E">
              <w:rPr>
                <w:sz w:val="16"/>
                <w:szCs w:val="16"/>
                <w:lang w:bidi="ar-SA"/>
              </w:rPr>
              <w:t>NOAEL: 0.1</w:t>
            </w:r>
          </w:p>
          <w:p w14:paraId="57DAFD46" w14:textId="65906C79" w:rsidR="00F9189D" w:rsidRPr="00F6284E" w:rsidRDefault="00F9189D" w:rsidP="00A111E9">
            <w:pPr>
              <w:pStyle w:val="FSTableText"/>
              <w:rPr>
                <w:rFonts w:ascii="Arial" w:hAnsi="Arial"/>
                <w:sz w:val="16"/>
              </w:rPr>
            </w:pPr>
            <w:r w:rsidRPr="00F6284E">
              <w:rPr>
                <w:sz w:val="16"/>
                <w:szCs w:val="16"/>
                <w:lang w:bidi="ar-SA"/>
              </w:rPr>
              <w:t>LOAEL: 0.4</w:t>
            </w:r>
          </w:p>
          <w:p w14:paraId="63BE3BBC" w14:textId="23DC3382" w:rsidR="00524EE9" w:rsidRPr="00F6284E" w:rsidRDefault="00524EE9" w:rsidP="00A111E9">
            <w:pPr>
              <w:pStyle w:val="FSTableText"/>
              <w:spacing w:before="60"/>
              <w:rPr>
                <w:rFonts w:ascii="Arial" w:hAnsi="Arial"/>
                <w:sz w:val="16"/>
              </w:rPr>
            </w:pPr>
            <w:r w:rsidRPr="00F6284E">
              <w:rPr>
                <w:sz w:val="16"/>
                <w:szCs w:val="16"/>
                <w:lang w:bidi="ar-SA"/>
              </w:rPr>
              <w:t xml:space="preserve">Reproductive </w:t>
            </w:r>
            <w:r w:rsidR="00F71D22" w:rsidRPr="00F6284E">
              <w:rPr>
                <w:sz w:val="16"/>
                <w:szCs w:val="16"/>
                <w:lang w:bidi="ar-SA"/>
              </w:rPr>
              <w:t>toxicity</w:t>
            </w:r>
            <w:r w:rsidRPr="00F6284E">
              <w:rPr>
                <w:sz w:val="16"/>
                <w:szCs w:val="16"/>
                <w:lang w:bidi="ar-SA"/>
              </w:rPr>
              <w:t>:</w:t>
            </w:r>
          </w:p>
          <w:p w14:paraId="6E7D700F" w14:textId="7FD29F27" w:rsidR="00524EE9" w:rsidRPr="00F6284E" w:rsidRDefault="00524EE9" w:rsidP="00A111E9">
            <w:pPr>
              <w:pStyle w:val="FSTableText"/>
              <w:rPr>
                <w:rFonts w:ascii="Arial" w:hAnsi="Arial"/>
                <w:sz w:val="16"/>
              </w:rPr>
            </w:pPr>
            <w:r w:rsidRPr="00F6284E">
              <w:rPr>
                <w:sz w:val="16"/>
                <w:szCs w:val="16"/>
                <w:lang w:bidi="ar-SA"/>
              </w:rPr>
              <w:t>NOAEL: 0.4</w:t>
            </w:r>
          </w:p>
          <w:p w14:paraId="418A4A65" w14:textId="2F8C7F0B" w:rsidR="00524EE9" w:rsidRPr="00F6284E" w:rsidRDefault="00524EE9" w:rsidP="00A111E9">
            <w:pPr>
              <w:pStyle w:val="FSTableText"/>
              <w:rPr>
                <w:rFonts w:ascii="Arial" w:hAnsi="Arial"/>
                <w:sz w:val="16"/>
              </w:rPr>
            </w:pPr>
            <w:r w:rsidRPr="00F6284E">
              <w:rPr>
                <w:sz w:val="16"/>
                <w:szCs w:val="16"/>
                <w:lang w:bidi="ar-SA"/>
              </w:rPr>
              <w:t>LOAEL: 1.6</w:t>
            </w:r>
          </w:p>
          <w:p w14:paraId="4B2E6333" w14:textId="1F0F7118" w:rsidR="00524EE9" w:rsidRPr="00F6284E" w:rsidRDefault="00524EE9" w:rsidP="00A111E9">
            <w:pPr>
              <w:pStyle w:val="FSTableText"/>
              <w:spacing w:before="60"/>
              <w:rPr>
                <w:rFonts w:ascii="Arial" w:hAnsi="Arial"/>
                <w:sz w:val="16"/>
              </w:rPr>
            </w:pPr>
            <w:r w:rsidRPr="00F6284E">
              <w:rPr>
                <w:sz w:val="16"/>
                <w:szCs w:val="16"/>
                <w:lang w:bidi="ar-SA"/>
              </w:rPr>
              <w:t>Offspring toxicity:</w:t>
            </w:r>
          </w:p>
          <w:p w14:paraId="14B8C5B7" w14:textId="763040A7" w:rsidR="00524EE9" w:rsidRPr="00F6284E" w:rsidRDefault="00524EE9" w:rsidP="00A111E9">
            <w:pPr>
              <w:pStyle w:val="FSTableText"/>
              <w:rPr>
                <w:rFonts w:ascii="Arial" w:hAnsi="Arial"/>
                <w:sz w:val="16"/>
              </w:rPr>
            </w:pPr>
            <w:r w:rsidRPr="00F6284E">
              <w:rPr>
                <w:sz w:val="16"/>
                <w:szCs w:val="16"/>
                <w:lang w:bidi="ar-SA"/>
              </w:rPr>
              <w:t>NOAEL: 0.1</w:t>
            </w:r>
          </w:p>
          <w:p w14:paraId="02964BED" w14:textId="14F2F07A" w:rsidR="00A343E2" w:rsidRPr="00F6284E" w:rsidRDefault="00524EE9" w:rsidP="00A111E9">
            <w:pPr>
              <w:pStyle w:val="FSTableText"/>
              <w:rPr>
                <w:rFonts w:ascii="Arial" w:hAnsi="Arial"/>
                <w:sz w:val="16"/>
              </w:rPr>
            </w:pPr>
            <w:r w:rsidRPr="00F6284E">
              <w:rPr>
                <w:sz w:val="16"/>
                <w:szCs w:val="16"/>
                <w:lang w:bidi="ar-SA"/>
              </w:rPr>
              <w:t>LOAEL: 0.4</w:t>
            </w:r>
          </w:p>
        </w:tc>
        <w:tc>
          <w:tcPr>
            <w:tcW w:w="4010" w:type="dxa"/>
            <w:shd w:val="clear" w:color="auto" w:fill="auto"/>
          </w:tcPr>
          <w:p w14:paraId="7F7EB656" w14:textId="77777777" w:rsidR="00F9189D" w:rsidRPr="00F6284E" w:rsidRDefault="00F9189D" w:rsidP="00A111E9">
            <w:pPr>
              <w:pStyle w:val="FSTableText"/>
              <w:rPr>
                <w:rFonts w:ascii="Arial" w:hAnsi="Arial"/>
                <w:sz w:val="16"/>
              </w:rPr>
            </w:pPr>
            <w:r w:rsidRPr="00F6284E">
              <w:rPr>
                <w:sz w:val="16"/>
                <w:szCs w:val="16"/>
                <w:lang w:bidi="ar-SA"/>
              </w:rPr>
              <w:t>Parental toxicity:</w:t>
            </w:r>
          </w:p>
          <w:p w14:paraId="3B25EB6B" w14:textId="77777777" w:rsidR="00F9189D" w:rsidRPr="00F6284E" w:rsidRDefault="00F9189D" w:rsidP="00A111E9">
            <w:pPr>
              <w:pStyle w:val="FSTableText"/>
              <w:rPr>
                <w:rFonts w:ascii="Arial" w:hAnsi="Arial"/>
                <w:sz w:val="16"/>
              </w:rPr>
            </w:pPr>
            <w:r w:rsidRPr="00F6284E">
              <w:rPr>
                <w:sz w:val="16"/>
                <w:szCs w:val="16"/>
                <w:lang w:bidi="ar-SA"/>
              </w:rPr>
              <w:t>Decreased body weight gain and food consumption (F0)</w:t>
            </w:r>
          </w:p>
          <w:p w14:paraId="48C37B91" w14:textId="183C7E09" w:rsidR="00524EE9" w:rsidRPr="00F6284E" w:rsidRDefault="00524EE9" w:rsidP="00A111E9">
            <w:pPr>
              <w:pStyle w:val="FSTableText"/>
              <w:spacing w:before="60"/>
              <w:rPr>
                <w:rFonts w:ascii="Arial" w:hAnsi="Arial"/>
                <w:sz w:val="16"/>
              </w:rPr>
            </w:pPr>
            <w:r w:rsidRPr="00F6284E">
              <w:rPr>
                <w:sz w:val="16"/>
                <w:szCs w:val="16"/>
                <w:lang w:bidi="ar-SA"/>
              </w:rPr>
              <w:t xml:space="preserve">Reproductive </w:t>
            </w:r>
            <w:r w:rsidR="00F71D22" w:rsidRPr="00F6284E">
              <w:rPr>
                <w:sz w:val="16"/>
                <w:szCs w:val="16"/>
                <w:lang w:bidi="ar-SA"/>
              </w:rPr>
              <w:t>toxicity</w:t>
            </w:r>
            <w:r w:rsidRPr="00F6284E">
              <w:rPr>
                <w:sz w:val="16"/>
                <w:szCs w:val="16"/>
                <w:lang w:bidi="ar-SA"/>
              </w:rPr>
              <w:t>:</w:t>
            </w:r>
          </w:p>
          <w:p w14:paraId="629E0C04" w14:textId="6A344C77" w:rsidR="00524EE9" w:rsidRPr="00F6284E" w:rsidRDefault="00D75D06" w:rsidP="00A111E9">
            <w:pPr>
              <w:pStyle w:val="FSTableText"/>
              <w:rPr>
                <w:rFonts w:ascii="Arial" w:hAnsi="Arial"/>
                <w:sz w:val="16"/>
              </w:rPr>
            </w:pPr>
            <w:r w:rsidRPr="00F6284E">
              <w:rPr>
                <w:sz w:val="16"/>
                <w:szCs w:val="16"/>
                <w:lang w:bidi="ar-SA"/>
              </w:rPr>
              <w:t>increased numbers of dams with all pups dying on postpartum days 1 – 4</w:t>
            </w:r>
          </w:p>
          <w:p w14:paraId="31438A72" w14:textId="33E0F2B9" w:rsidR="00524EE9" w:rsidRPr="00F6284E" w:rsidRDefault="00F9189D" w:rsidP="00A111E9">
            <w:pPr>
              <w:pStyle w:val="FSTableText"/>
              <w:spacing w:before="60"/>
              <w:rPr>
                <w:rFonts w:ascii="Arial" w:hAnsi="Arial"/>
                <w:sz w:val="16"/>
              </w:rPr>
            </w:pPr>
            <w:r w:rsidRPr="00F6284E">
              <w:rPr>
                <w:sz w:val="16"/>
                <w:szCs w:val="16"/>
                <w:lang w:bidi="ar-SA"/>
              </w:rPr>
              <w:t>O</w:t>
            </w:r>
            <w:r w:rsidR="00524EE9" w:rsidRPr="00F6284E">
              <w:rPr>
                <w:sz w:val="16"/>
                <w:szCs w:val="16"/>
                <w:lang w:bidi="ar-SA"/>
              </w:rPr>
              <w:t>ffspring toxicity:</w:t>
            </w:r>
          </w:p>
          <w:p w14:paraId="2AA2442A" w14:textId="4A314708" w:rsidR="00524EE9" w:rsidRPr="00F6284E" w:rsidRDefault="00494C74" w:rsidP="00A111E9">
            <w:pPr>
              <w:pStyle w:val="FSTableText"/>
              <w:rPr>
                <w:rFonts w:ascii="Arial" w:hAnsi="Arial"/>
                <w:sz w:val="16"/>
              </w:rPr>
            </w:pPr>
            <w:r w:rsidRPr="00F6284E">
              <w:rPr>
                <w:sz w:val="16"/>
                <w:szCs w:val="16"/>
                <w:lang w:bidi="ar-SA"/>
              </w:rPr>
              <w:t xml:space="preserve">Reduced pup viability; reduced pup </w:t>
            </w:r>
            <w:r w:rsidR="00524EE9" w:rsidRPr="00F6284E">
              <w:rPr>
                <w:sz w:val="16"/>
                <w:szCs w:val="16"/>
                <w:lang w:bidi="ar-SA"/>
              </w:rPr>
              <w:t>weight</w:t>
            </w:r>
            <w:r w:rsidRPr="00F6284E">
              <w:rPr>
                <w:sz w:val="16"/>
                <w:szCs w:val="16"/>
                <w:lang w:bidi="ar-SA"/>
              </w:rPr>
              <w:t>;</w:t>
            </w:r>
            <w:r w:rsidR="00524EE9" w:rsidRPr="00F6284E">
              <w:rPr>
                <w:sz w:val="16"/>
                <w:szCs w:val="16"/>
                <w:lang w:bidi="ar-SA"/>
              </w:rPr>
              <w:t xml:space="preserve"> developmental delays (F1)</w:t>
            </w:r>
          </w:p>
          <w:p w14:paraId="5AEB7646" w14:textId="493B4FF8" w:rsidR="00A343E2" w:rsidRPr="00F6284E" w:rsidRDefault="00524EE9" w:rsidP="00A111E9">
            <w:pPr>
              <w:pStyle w:val="FSTableText"/>
              <w:rPr>
                <w:rFonts w:ascii="Arial" w:hAnsi="Arial"/>
                <w:sz w:val="16"/>
              </w:rPr>
            </w:pPr>
            <w:r w:rsidRPr="00F6284E">
              <w:rPr>
                <w:sz w:val="16"/>
                <w:szCs w:val="16"/>
                <w:lang w:bidi="ar-SA"/>
              </w:rPr>
              <w:t>Reduced body weight and weight gain (F2)</w:t>
            </w:r>
          </w:p>
        </w:tc>
        <w:tc>
          <w:tcPr>
            <w:tcW w:w="1518" w:type="dxa"/>
            <w:shd w:val="clear" w:color="auto" w:fill="auto"/>
          </w:tcPr>
          <w:p w14:paraId="16253799" w14:textId="6816EC5F" w:rsidR="00A343E2" w:rsidRPr="00F6284E" w:rsidRDefault="00524EE9" w:rsidP="00A111E9">
            <w:pPr>
              <w:pStyle w:val="FSTableText"/>
              <w:rPr>
                <w:rFonts w:ascii="Arial" w:hAnsi="Arial"/>
                <w:sz w:val="16"/>
              </w:rPr>
            </w:pPr>
            <w:r w:rsidRPr="00F6284E">
              <w:rPr>
                <w:sz w:val="16"/>
                <w:szCs w:val="16"/>
                <w:lang w:bidi="ar-SA"/>
              </w:rPr>
              <w:t xml:space="preserve">Luebker </w:t>
            </w:r>
            <w:r w:rsidR="00180A32" w:rsidRPr="00180A32">
              <w:rPr>
                <w:i/>
                <w:sz w:val="16"/>
                <w:szCs w:val="16"/>
                <w:lang w:bidi="ar-SA"/>
              </w:rPr>
              <w:t xml:space="preserve">et al. </w:t>
            </w:r>
            <w:r w:rsidR="000203C4">
              <w:rPr>
                <w:sz w:val="16"/>
                <w:szCs w:val="16"/>
                <w:lang w:bidi="ar-SA"/>
              </w:rPr>
              <w:t xml:space="preserve"> </w:t>
            </w:r>
            <w:r w:rsidRPr="00F6284E">
              <w:rPr>
                <w:sz w:val="16"/>
                <w:szCs w:val="16"/>
                <w:lang w:bidi="ar-SA"/>
              </w:rPr>
              <w:t>2005b</w:t>
            </w:r>
          </w:p>
        </w:tc>
        <w:tc>
          <w:tcPr>
            <w:tcW w:w="1494" w:type="dxa"/>
            <w:shd w:val="clear" w:color="auto" w:fill="auto"/>
          </w:tcPr>
          <w:p w14:paraId="658B1D96" w14:textId="5B2487FD" w:rsidR="00A343E2" w:rsidRPr="00F6284E" w:rsidRDefault="00524EE9" w:rsidP="00A111E9">
            <w:pPr>
              <w:pStyle w:val="FSTableText"/>
              <w:rPr>
                <w:rFonts w:ascii="Arial" w:hAnsi="Arial"/>
                <w:sz w:val="16"/>
              </w:rPr>
            </w:pPr>
            <w:r w:rsidRPr="00F6284E">
              <w:rPr>
                <w:sz w:val="16"/>
                <w:szCs w:val="16"/>
                <w:lang w:bidi="ar-SA"/>
              </w:rPr>
              <w:t>EFSA, UK COT, US EPA</w:t>
            </w:r>
          </w:p>
        </w:tc>
      </w:tr>
      <w:tr w:rsidR="0003540F" w:rsidRPr="00F66EDA" w14:paraId="7A16B2E7" w14:textId="2E5F3885" w:rsidTr="00A24D2A">
        <w:trPr>
          <w:cantSplit/>
          <w:trHeight w:val="115"/>
        </w:trPr>
        <w:tc>
          <w:tcPr>
            <w:tcW w:w="2376" w:type="dxa"/>
            <w:tcBorders>
              <w:bottom w:val="single" w:sz="4" w:space="0" w:color="000000"/>
            </w:tcBorders>
            <w:shd w:val="clear" w:color="auto" w:fill="auto"/>
          </w:tcPr>
          <w:p w14:paraId="126E013C" w14:textId="616CA29A" w:rsidR="0003540F" w:rsidRPr="00D711DD" w:rsidRDefault="0003540F" w:rsidP="00A111E9">
            <w:pPr>
              <w:pStyle w:val="FSTableText"/>
              <w:rPr>
                <w:rFonts w:ascii="Arial" w:hAnsi="Arial"/>
                <w:sz w:val="16"/>
              </w:rPr>
            </w:pPr>
            <w:r>
              <w:rPr>
                <w:sz w:val="16"/>
                <w:szCs w:val="16"/>
                <w:lang w:bidi="ar-SA"/>
              </w:rPr>
              <w:lastRenderedPageBreak/>
              <w:t>Reproductive toxicity (One-generation study)</w:t>
            </w:r>
          </w:p>
        </w:tc>
        <w:tc>
          <w:tcPr>
            <w:tcW w:w="1843" w:type="dxa"/>
            <w:tcBorders>
              <w:bottom w:val="single" w:sz="4" w:space="0" w:color="000000"/>
            </w:tcBorders>
          </w:tcPr>
          <w:p w14:paraId="21321D1C" w14:textId="74882894" w:rsidR="0003540F" w:rsidRPr="00D711DD" w:rsidRDefault="0003540F" w:rsidP="00A111E9">
            <w:pPr>
              <w:pStyle w:val="FSTableText"/>
              <w:rPr>
                <w:rFonts w:ascii="Arial" w:hAnsi="Arial"/>
                <w:sz w:val="16"/>
              </w:rPr>
            </w:pPr>
            <w:r>
              <w:rPr>
                <w:sz w:val="16"/>
                <w:szCs w:val="16"/>
                <w:lang w:bidi="ar-SA"/>
              </w:rPr>
              <w:t>Rat, Crl:CD(SD)IGS VAF/Plus</w:t>
            </w:r>
          </w:p>
        </w:tc>
        <w:tc>
          <w:tcPr>
            <w:tcW w:w="2977" w:type="dxa"/>
            <w:tcBorders>
              <w:bottom w:val="single" w:sz="4" w:space="0" w:color="000000"/>
            </w:tcBorders>
          </w:tcPr>
          <w:p w14:paraId="0B772A38" w14:textId="77777777" w:rsidR="00D2034C" w:rsidRDefault="0003540F" w:rsidP="00A111E9">
            <w:pPr>
              <w:pStyle w:val="FSTableText"/>
              <w:rPr>
                <w:sz w:val="16"/>
                <w:szCs w:val="16"/>
                <w:lang w:bidi="ar-SA"/>
              </w:rPr>
            </w:pPr>
            <w:r>
              <w:rPr>
                <w:sz w:val="16"/>
                <w:szCs w:val="16"/>
                <w:lang w:bidi="ar-SA"/>
              </w:rPr>
              <w:t xml:space="preserve">Maternal toxicity: </w:t>
            </w:r>
          </w:p>
          <w:p w14:paraId="57DED6D2" w14:textId="76ED5F8A" w:rsidR="0003540F" w:rsidRPr="00D711DD" w:rsidRDefault="0003540F" w:rsidP="00A111E9">
            <w:pPr>
              <w:pStyle w:val="FSTableText"/>
              <w:rPr>
                <w:rFonts w:ascii="Arial" w:hAnsi="Arial"/>
                <w:sz w:val="16"/>
              </w:rPr>
            </w:pPr>
            <w:r>
              <w:rPr>
                <w:sz w:val="16"/>
                <w:szCs w:val="16"/>
                <w:lang w:bidi="ar-SA"/>
              </w:rPr>
              <w:t>NOAEL: 0.4</w:t>
            </w:r>
          </w:p>
          <w:p w14:paraId="392660DA" w14:textId="77777777" w:rsidR="0003540F" w:rsidRPr="00D711DD" w:rsidRDefault="0003540F" w:rsidP="00A111E9">
            <w:pPr>
              <w:pStyle w:val="FSTableText"/>
              <w:rPr>
                <w:rFonts w:ascii="Arial" w:hAnsi="Arial"/>
                <w:sz w:val="16"/>
              </w:rPr>
            </w:pPr>
            <w:r>
              <w:rPr>
                <w:sz w:val="16"/>
                <w:szCs w:val="16"/>
                <w:lang w:bidi="ar-SA"/>
              </w:rPr>
              <w:t>LOAEL: 0.8</w:t>
            </w:r>
          </w:p>
          <w:p w14:paraId="5F8CF100" w14:textId="77777777" w:rsidR="0003540F" w:rsidRPr="00D711DD" w:rsidRDefault="0003540F" w:rsidP="00A111E9">
            <w:pPr>
              <w:pStyle w:val="FSTableText"/>
              <w:spacing w:before="60"/>
              <w:rPr>
                <w:rFonts w:ascii="Arial" w:hAnsi="Arial"/>
                <w:sz w:val="16"/>
              </w:rPr>
            </w:pPr>
            <w:r>
              <w:rPr>
                <w:sz w:val="16"/>
                <w:szCs w:val="16"/>
                <w:lang w:bidi="ar-SA"/>
              </w:rPr>
              <w:t>Reproductive toxicity:</w:t>
            </w:r>
          </w:p>
          <w:p w14:paraId="3C13DBB7" w14:textId="77777777" w:rsidR="0003540F" w:rsidRPr="00D711DD" w:rsidRDefault="0003540F" w:rsidP="00A111E9">
            <w:pPr>
              <w:pStyle w:val="FSTableText"/>
              <w:rPr>
                <w:rFonts w:ascii="Arial" w:hAnsi="Arial"/>
                <w:sz w:val="16"/>
              </w:rPr>
            </w:pPr>
            <w:r>
              <w:rPr>
                <w:sz w:val="16"/>
                <w:szCs w:val="16"/>
                <w:lang w:bidi="ar-SA"/>
              </w:rPr>
              <w:t>NOAEL: 0.4</w:t>
            </w:r>
          </w:p>
          <w:p w14:paraId="2A8A31CD" w14:textId="77777777" w:rsidR="0003540F" w:rsidRPr="00D711DD" w:rsidRDefault="0003540F" w:rsidP="00A111E9">
            <w:pPr>
              <w:pStyle w:val="FSTableText"/>
              <w:rPr>
                <w:rFonts w:ascii="Arial" w:hAnsi="Arial"/>
                <w:sz w:val="16"/>
              </w:rPr>
            </w:pPr>
            <w:r>
              <w:rPr>
                <w:sz w:val="16"/>
                <w:szCs w:val="16"/>
                <w:lang w:bidi="ar-SA"/>
              </w:rPr>
              <w:t>LOAEL: 0.8</w:t>
            </w:r>
          </w:p>
          <w:p w14:paraId="6B4BA4C2" w14:textId="6F945F9F" w:rsidR="0003540F" w:rsidRPr="00D711DD" w:rsidRDefault="0003540F" w:rsidP="00A111E9">
            <w:pPr>
              <w:pStyle w:val="FSTableText"/>
              <w:spacing w:before="60"/>
              <w:rPr>
                <w:rFonts w:ascii="Arial" w:hAnsi="Arial"/>
                <w:sz w:val="16"/>
              </w:rPr>
            </w:pPr>
            <w:r>
              <w:rPr>
                <w:sz w:val="16"/>
                <w:szCs w:val="16"/>
                <w:lang w:bidi="ar-SA"/>
              </w:rPr>
              <w:t>Offspring toxicity:</w:t>
            </w:r>
          </w:p>
          <w:p w14:paraId="4B36B379" w14:textId="7E948F48" w:rsidR="0003540F" w:rsidRPr="00D711DD" w:rsidRDefault="0003540F" w:rsidP="00A111E9">
            <w:pPr>
              <w:pStyle w:val="FSTableText"/>
              <w:rPr>
                <w:rFonts w:ascii="Arial" w:hAnsi="Arial"/>
                <w:sz w:val="16"/>
              </w:rPr>
            </w:pPr>
            <w:r>
              <w:rPr>
                <w:sz w:val="16"/>
                <w:szCs w:val="16"/>
                <w:lang w:bidi="ar-SA"/>
              </w:rPr>
              <w:t>NOAEL: &lt; 0.4</w:t>
            </w:r>
          </w:p>
          <w:p w14:paraId="1A938B7F" w14:textId="5BDB5F5C" w:rsidR="0003540F" w:rsidRPr="00D711DD" w:rsidRDefault="0003540F" w:rsidP="00A111E9">
            <w:pPr>
              <w:pStyle w:val="FSTableText"/>
              <w:rPr>
                <w:rFonts w:ascii="Arial" w:hAnsi="Arial"/>
                <w:sz w:val="16"/>
              </w:rPr>
            </w:pPr>
            <w:r>
              <w:rPr>
                <w:sz w:val="16"/>
                <w:szCs w:val="16"/>
                <w:lang w:bidi="ar-SA"/>
              </w:rPr>
              <w:t>LOAEL: 0.4</w:t>
            </w:r>
          </w:p>
        </w:tc>
        <w:tc>
          <w:tcPr>
            <w:tcW w:w="4010" w:type="dxa"/>
            <w:tcBorders>
              <w:bottom w:val="single" w:sz="4" w:space="0" w:color="000000"/>
            </w:tcBorders>
          </w:tcPr>
          <w:p w14:paraId="0549E65B" w14:textId="2A932D06" w:rsidR="0003540F" w:rsidRPr="00D711DD" w:rsidRDefault="0003540F" w:rsidP="00A111E9">
            <w:pPr>
              <w:pStyle w:val="FSTableText"/>
              <w:rPr>
                <w:rFonts w:ascii="Arial" w:hAnsi="Arial"/>
                <w:sz w:val="16"/>
              </w:rPr>
            </w:pPr>
            <w:r>
              <w:rPr>
                <w:sz w:val="16"/>
                <w:szCs w:val="16"/>
                <w:lang w:bidi="ar-SA"/>
              </w:rPr>
              <w:t>Maternal toxicity: Reduced body weight gain</w:t>
            </w:r>
          </w:p>
          <w:p w14:paraId="2EDF4FB3" w14:textId="77777777" w:rsidR="0003540F" w:rsidRPr="000B3C14" w:rsidRDefault="0003540F" w:rsidP="00A111E9">
            <w:pPr>
              <w:pStyle w:val="FSTableText"/>
              <w:rPr>
                <w:rFonts w:ascii="Arial" w:hAnsi="Arial"/>
                <w:sz w:val="16"/>
              </w:rPr>
            </w:pPr>
          </w:p>
          <w:p w14:paraId="4801444B" w14:textId="2A25431C" w:rsidR="0003540F" w:rsidRPr="00D711DD" w:rsidRDefault="0003540F" w:rsidP="00A111E9">
            <w:pPr>
              <w:pStyle w:val="FSTableText"/>
              <w:rPr>
                <w:rFonts w:ascii="Arial" w:hAnsi="Arial"/>
                <w:sz w:val="16"/>
              </w:rPr>
            </w:pPr>
            <w:r>
              <w:rPr>
                <w:sz w:val="16"/>
                <w:szCs w:val="16"/>
                <w:lang w:bidi="ar-SA"/>
              </w:rPr>
              <w:t>Reproductive toxicity:</w:t>
            </w:r>
          </w:p>
          <w:p w14:paraId="6B32F9D9" w14:textId="65DED732" w:rsidR="0003540F" w:rsidRPr="00D711DD" w:rsidRDefault="0003540F" w:rsidP="00A111E9">
            <w:pPr>
              <w:pStyle w:val="FSTableText"/>
              <w:rPr>
                <w:rFonts w:ascii="Arial" w:hAnsi="Arial"/>
                <w:sz w:val="16"/>
              </w:rPr>
            </w:pPr>
            <w:r>
              <w:rPr>
                <w:sz w:val="16"/>
                <w:szCs w:val="16"/>
                <w:lang w:bidi="ar-SA"/>
              </w:rPr>
              <w:t>Reduced gestation length</w:t>
            </w:r>
          </w:p>
          <w:p w14:paraId="09DEC548" w14:textId="77777777" w:rsidR="0003540F" w:rsidRPr="000B3C14" w:rsidRDefault="0003540F" w:rsidP="00A111E9">
            <w:pPr>
              <w:pStyle w:val="FSTableText"/>
              <w:rPr>
                <w:rFonts w:ascii="Arial" w:hAnsi="Arial"/>
                <w:sz w:val="16"/>
              </w:rPr>
            </w:pPr>
          </w:p>
          <w:p w14:paraId="4BBAD049" w14:textId="77777777" w:rsidR="0003540F" w:rsidRPr="00D711DD" w:rsidRDefault="0003540F" w:rsidP="00A111E9">
            <w:pPr>
              <w:pStyle w:val="FSTableText"/>
              <w:rPr>
                <w:rFonts w:ascii="Arial" w:hAnsi="Arial"/>
                <w:sz w:val="16"/>
              </w:rPr>
            </w:pPr>
            <w:r>
              <w:rPr>
                <w:sz w:val="16"/>
                <w:szCs w:val="16"/>
                <w:lang w:bidi="ar-SA"/>
              </w:rPr>
              <w:t>Offspring toxicity:</w:t>
            </w:r>
          </w:p>
          <w:p w14:paraId="295B5630" w14:textId="0FDFAA56" w:rsidR="0003540F" w:rsidRPr="00D711DD" w:rsidRDefault="0003540F" w:rsidP="00A111E9">
            <w:pPr>
              <w:pStyle w:val="FSTableText"/>
              <w:rPr>
                <w:rFonts w:ascii="Arial" w:hAnsi="Arial"/>
                <w:sz w:val="16"/>
              </w:rPr>
            </w:pPr>
            <w:r>
              <w:rPr>
                <w:sz w:val="16"/>
                <w:szCs w:val="16"/>
                <w:lang w:bidi="ar-SA"/>
              </w:rPr>
              <w:t>Reduced body weight and body weight gain</w:t>
            </w:r>
          </w:p>
        </w:tc>
        <w:tc>
          <w:tcPr>
            <w:tcW w:w="1518" w:type="dxa"/>
            <w:tcBorders>
              <w:bottom w:val="single" w:sz="4" w:space="0" w:color="000000"/>
            </w:tcBorders>
          </w:tcPr>
          <w:p w14:paraId="30063B1E" w14:textId="3467CD3F" w:rsidR="0003540F" w:rsidRPr="00D711DD" w:rsidRDefault="0003540F" w:rsidP="00A111E9">
            <w:pPr>
              <w:pStyle w:val="FSTableText"/>
              <w:rPr>
                <w:rFonts w:ascii="Arial" w:hAnsi="Arial"/>
                <w:sz w:val="16"/>
              </w:rPr>
            </w:pPr>
            <w:r>
              <w:rPr>
                <w:sz w:val="16"/>
                <w:szCs w:val="16"/>
                <w:lang w:bidi="ar-SA"/>
              </w:rPr>
              <w:t xml:space="preserve">Luebker </w:t>
            </w:r>
            <w:r w:rsidR="00180A32" w:rsidRPr="00180A32">
              <w:rPr>
                <w:i/>
                <w:sz w:val="16"/>
                <w:szCs w:val="16"/>
                <w:lang w:bidi="ar-SA"/>
              </w:rPr>
              <w:t xml:space="preserve">et al. </w:t>
            </w:r>
            <w:r w:rsidR="000203C4">
              <w:rPr>
                <w:sz w:val="16"/>
                <w:szCs w:val="16"/>
                <w:lang w:bidi="ar-SA"/>
              </w:rPr>
              <w:t xml:space="preserve"> </w:t>
            </w:r>
            <w:r>
              <w:rPr>
                <w:sz w:val="16"/>
                <w:szCs w:val="16"/>
                <w:lang w:bidi="ar-SA"/>
              </w:rPr>
              <w:t>2005a</w:t>
            </w:r>
          </w:p>
        </w:tc>
        <w:tc>
          <w:tcPr>
            <w:tcW w:w="1494" w:type="dxa"/>
            <w:tcBorders>
              <w:bottom w:val="single" w:sz="4" w:space="0" w:color="000000"/>
            </w:tcBorders>
          </w:tcPr>
          <w:p w14:paraId="1608184A" w14:textId="2F333E12" w:rsidR="0003540F" w:rsidRPr="00D711DD" w:rsidRDefault="00E15370" w:rsidP="00A111E9">
            <w:pPr>
              <w:pStyle w:val="FSTableText"/>
              <w:rPr>
                <w:rFonts w:ascii="Arial" w:hAnsi="Arial"/>
                <w:sz w:val="16"/>
              </w:rPr>
            </w:pPr>
            <w:r>
              <w:rPr>
                <w:sz w:val="16"/>
                <w:szCs w:val="16"/>
                <w:lang w:bidi="ar-SA"/>
              </w:rPr>
              <w:t>UK COT,</w:t>
            </w:r>
            <w:r w:rsidR="0003540F">
              <w:rPr>
                <w:sz w:val="16"/>
                <w:szCs w:val="16"/>
                <w:lang w:bidi="ar-SA"/>
              </w:rPr>
              <w:t xml:space="preserve"> US EPA</w:t>
            </w:r>
          </w:p>
        </w:tc>
      </w:tr>
      <w:tr w:rsidR="0003540F" w:rsidRPr="00F66EDA" w14:paraId="2C02AB56" w14:textId="77777777" w:rsidTr="00A24D2A">
        <w:trPr>
          <w:cantSplit/>
        </w:trPr>
        <w:tc>
          <w:tcPr>
            <w:tcW w:w="14218" w:type="dxa"/>
            <w:gridSpan w:val="6"/>
            <w:tcBorders>
              <w:bottom w:val="single" w:sz="4" w:space="0" w:color="000000"/>
            </w:tcBorders>
            <w:shd w:val="clear" w:color="auto" w:fill="auto"/>
          </w:tcPr>
          <w:p w14:paraId="178031C9" w14:textId="362D050B" w:rsidR="0003540F" w:rsidRPr="00D711DD" w:rsidRDefault="0003540F" w:rsidP="00A111E9">
            <w:pPr>
              <w:pStyle w:val="FSTableText"/>
              <w:spacing w:before="40" w:after="40"/>
              <w:rPr>
                <w:rFonts w:ascii="Arial" w:hAnsi="Arial"/>
                <w:b/>
                <w:i/>
              </w:rPr>
            </w:pPr>
            <w:r w:rsidRPr="00196421">
              <w:rPr>
                <w:b/>
                <w:i/>
                <w:lang w:bidi="ar-SA"/>
              </w:rPr>
              <w:t>Other studies</w:t>
            </w:r>
          </w:p>
        </w:tc>
      </w:tr>
      <w:tr w:rsidR="0003540F" w:rsidRPr="00F66EDA" w14:paraId="23BA04A0" w14:textId="77777777" w:rsidTr="00A24D2A">
        <w:trPr>
          <w:cantSplit/>
        </w:trPr>
        <w:tc>
          <w:tcPr>
            <w:tcW w:w="2376" w:type="dxa"/>
            <w:tcBorders>
              <w:bottom w:val="single" w:sz="4" w:space="0" w:color="000000"/>
            </w:tcBorders>
            <w:shd w:val="clear" w:color="auto" w:fill="auto"/>
          </w:tcPr>
          <w:p w14:paraId="6EFFD77D" w14:textId="1997E6BA" w:rsidR="0003540F" w:rsidRPr="000B3C14" w:rsidRDefault="0003540F" w:rsidP="00A111E9">
            <w:pPr>
              <w:pStyle w:val="FSTableText"/>
              <w:rPr>
                <w:rFonts w:ascii="Arial" w:hAnsi="Arial"/>
                <w:sz w:val="16"/>
              </w:rPr>
            </w:pPr>
            <w:r>
              <w:rPr>
                <w:sz w:val="16"/>
                <w:szCs w:val="16"/>
                <w:lang w:bidi="ar-SA"/>
              </w:rPr>
              <w:t>28 day (Immunotoxicity study)</w:t>
            </w:r>
          </w:p>
        </w:tc>
        <w:tc>
          <w:tcPr>
            <w:tcW w:w="1843" w:type="dxa"/>
            <w:tcBorders>
              <w:bottom w:val="single" w:sz="4" w:space="0" w:color="000000"/>
            </w:tcBorders>
          </w:tcPr>
          <w:p w14:paraId="67FABC89" w14:textId="571CAA9B" w:rsidR="0003540F" w:rsidRPr="00D711DD" w:rsidRDefault="0003540F" w:rsidP="00A111E9">
            <w:pPr>
              <w:pStyle w:val="FSTableText"/>
              <w:rPr>
                <w:rFonts w:ascii="Arial" w:hAnsi="Arial"/>
                <w:sz w:val="16"/>
              </w:rPr>
            </w:pPr>
            <w:r>
              <w:rPr>
                <w:sz w:val="16"/>
                <w:szCs w:val="16"/>
                <w:lang w:bidi="ar-SA"/>
              </w:rPr>
              <w:t>Mouse, B6C3F1</w:t>
            </w:r>
          </w:p>
        </w:tc>
        <w:tc>
          <w:tcPr>
            <w:tcW w:w="2977" w:type="dxa"/>
            <w:tcBorders>
              <w:bottom w:val="single" w:sz="4" w:space="0" w:color="000000"/>
            </w:tcBorders>
          </w:tcPr>
          <w:p w14:paraId="71B75F3F" w14:textId="2CF85503" w:rsidR="0003540F" w:rsidRPr="00D711DD" w:rsidRDefault="0003540F" w:rsidP="00A111E9">
            <w:pPr>
              <w:pStyle w:val="FSTableText"/>
              <w:rPr>
                <w:rFonts w:ascii="Arial" w:hAnsi="Arial"/>
                <w:sz w:val="16"/>
              </w:rPr>
            </w:pPr>
            <w:r>
              <w:rPr>
                <w:sz w:val="16"/>
                <w:szCs w:val="16"/>
                <w:lang w:bidi="ar-SA"/>
              </w:rPr>
              <w:t>NOAEL: 0.000166</w:t>
            </w:r>
          </w:p>
          <w:p w14:paraId="191FC3CA" w14:textId="56B22B5C" w:rsidR="0003540F" w:rsidRPr="00D711DD" w:rsidRDefault="0003540F" w:rsidP="00A111E9">
            <w:pPr>
              <w:pStyle w:val="FSTableText"/>
              <w:rPr>
                <w:rFonts w:ascii="Arial" w:hAnsi="Arial"/>
                <w:sz w:val="16"/>
              </w:rPr>
            </w:pPr>
            <w:r>
              <w:rPr>
                <w:sz w:val="16"/>
                <w:szCs w:val="16"/>
                <w:lang w:bidi="ar-SA"/>
              </w:rPr>
              <w:t xml:space="preserve">LOAEL: 0.00166 </w:t>
            </w:r>
          </w:p>
        </w:tc>
        <w:tc>
          <w:tcPr>
            <w:tcW w:w="4010" w:type="dxa"/>
            <w:tcBorders>
              <w:bottom w:val="single" w:sz="4" w:space="0" w:color="000000"/>
            </w:tcBorders>
          </w:tcPr>
          <w:p w14:paraId="07AE7800" w14:textId="08FBB4A0" w:rsidR="0003540F" w:rsidRPr="00D711DD" w:rsidRDefault="0003540F" w:rsidP="00A111E9">
            <w:pPr>
              <w:pStyle w:val="FSTableText"/>
              <w:rPr>
                <w:rFonts w:ascii="Arial" w:hAnsi="Arial"/>
                <w:sz w:val="16"/>
              </w:rPr>
            </w:pPr>
            <w:r>
              <w:rPr>
                <w:sz w:val="16"/>
                <w:szCs w:val="16"/>
                <w:lang w:bidi="ar-SA"/>
              </w:rPr>
              <w:t>Reduced SRBC plaque</w:t>
            </w:r>
            <w:r w:rsidR="00032CF6">
              <w:rPr>
                <w:sz w:val="16"/>
                <w:szCs w:val="16"/>
                <w:lang w:bidi="ar-SA"/>
              </w:rPr>
              <w:t xml:space="preserve"> </w:t>
            </w:r>
            <w:r>
              <w:rPr>
                <w:sz w:val="16"/>
                <w:szCs w:val="16"/>
                <w:lang w:bidi="ar-SA"/>
              </w:rPr>
              <w:t xml:space="preserve">forming cell </w:t>
            </w:r>
            <w:r w:rsidR="00BE205C">
              <w:rPr>
                <w:sz w:val="16"/>
                <w:szCs w:val="16"/>
                <w:lang w:bidi="ar-SA"/>
              </w:rPr>
              <w:t>response</w:t>
            </w:r>
          </w:p>
        </w:tc>
        <w:tc>
          <w:tcPr>
            <w:tcW w:w="1518" w:type="dxa"/>
            <w:tcBorders>
              <w:bottom w:val="single" w:sz="4" w:space="0" w:color="000000"/>
            </w:tcBorders>
            <w:shd w:val="clear" w:color="auto" w:fill="FFFFFF" w:themeFill="background1"/>
          </w:tcPr>
          <w:p w14:paraId="4B3E3BBE" w14:textId="7AA698CB" w:rsidR="0003540F" w:rsidRPr="00D711DD" w:rsidRDefault="0003540F" w:rsidP="00A111E9">
            <w:pPr>
              <w:pStyle w:val="FSTableText"/>
              <w:rPr>
                <w:rFonts w:ascii="Arial" w:hAnsi="Arial"/>
                <w:sz w:val="16"/>
              </w:rPr>
            </w:pPr>
            <w:r>
              <w:rPr>
                <w:sz w:val="16"/>
                <w:szCs w:val="16"/>
                <w:lang w:bidi="ar-SA"/>
              </w:rPr>
              <w:t xml:space="preserve">Peden-Adams </w:t>
            </w:r>
            <w:r w:rsidR="00180A32" w:rsidRPr="00180A32">
              <w:rPr>
                <w:i/>
                <w:sz w:val="16"/>
                <w:szCs w:val="16"/>
                <w:lang w:bidi="ar-SA"/>
              </w:rPr>
              <w:t xml:space="preserve">et al. </w:t>
            </w:r>
            <w:r w:rsidR="00F22DA6">
              <w:rPr>
                <w:sz w:val="16"/>
                <w:szCs w:val="16"/>
                <w:lang w:bidi="ar-SA"/>
              </w:rPr>
              <w:t xml:space="preserve"> </w:t>
            </w:r>
            <w:r>
              <w:rPr>
                <w:sz w:val="16"/>
                <w:szCs w:val="16"/>
                <w:lang w:bidi="ar-SA"/>
              </w:rPr>
              <w:t>2008</w:t>
            </w:r>
          </w:p>
        </w:tc>
        <w:tc>
          <w:tcPr>
            <w:tcW w:w="1494" w:type="dxa"/>
            <w:tcBorders>
              <w:bottom w:val="single" w:sz="4" w:space="0" w:color="000000"/>
            </w:tcBorders>
            <w:shd w:val="clear" w:color="auto" w:fill="FFFFFF" w:themeFill="background1"/>
          </w:tcPr>
          <w:p w14:paraId="2D86B427" w14:textId="5434B5BF" w:rsidR="0003540F" w:rsidRPr="00D711DD" w:rsidRDefault="0003540F" w:rsidP="00A111E9">
            <w:pPr>
              <w:pStyle w:val="FSTableText"/>
              <w:rPr>
                <w:rFonts w:ascii="Arial" w:hAnsi="Arial"/>
                <w:sz w:val="16"/>
              </w:rPr>
            </w:pPr>
            <w:r>
              <w:rPr>
                <w:sz w:val="16"/>
                <w:szCs w:val="16"/>
                <w:lang w:bidi="ar-SA"/>
              </w:rPr>
              <w:t>US EPA, Swedish EPA</w:t>
            </w:r>
          </w:p>
        </w:tc>
      </w:tr>
      <w:tr w:rsidR="0003540F" w:rsidRPr="00F66EDA" w14:paraId="4B5D1A76" w14:textId="77777777" w:rsidTr="00A24D2A">
        <w:trPr>
          <w:cantSplit/>
        </w:trPr>
        <w:tc>
          <w:tcPr>
            <w:tcW w:w="2376" w:type="dxa"/>
            <w:tcBorders>
              <w:bottom w:val="single" w:sz="4" w:space="0" w:color="000000"/>
            </w:tcBorders>
            <w:shd w:val="clear" w:color="auto" w:fill="auto"/>
          </w:tcPr>
          <w:p w14:paraId="4A2D707D" w14:textId="53ED2BD2" w:rsidR="0003540F" w:rsidRPr="00D711DD" w:rsidRDefault="0003540F" w:rsidP="00A111E9">
            <w:pPr>
              <w:pStyle w:val="FSTableText"/>
              <w:rPr>
                <w:rFonts w:ascii="Arial" w:hAnsi="Arial"/>
                <w:sz w:val="16"/>
              </w:rPr>
            </w:pPr>
            <w:r>
              <w:rPr>
                <w:sz w:val="16"/>
                <w:szCs w:val="16"/>
                <w:lang w:bidi="ar-SA"/>
              </w:rPr>
              <w:t>60 day (Immunotoxicity Study)</w:t>
            </w:r>
          </w:p>
        </w:tc>
        <w:tc>
          <w:tcPr>
            <w:tcW w:w="1843" w:type="dxa"/>
            <w:tcBorders>
              <w:bottom w:val="single" w:sz="4" w:space="0" w:color="000000"/>
            </w:tcBorders>
          </w:tcPr>
          <w:p w14:paraId="4C4144A6" w14:textId="74E536D3" w:rsidR="0003540F" w:rsidRPr="00D711DD" w:rsidRDefault="0003540F" w:rsidP="00A111E9">
            <w:pPr>
              <w:pStyle w:val="FSTableText"/>
              <w:rPr>
                <w:rFonts w:ascii="Arial" w:hAnsi="Arial"/>
                <w:sz w:val="16"/>
              </w:rPr>
            </w:pPr>
            <w:r>
              <w:rPr>
                <w:sz w:val="16"/>
                <w:szCs w:val="16"/>
                <w:lang w:bidi="ar-SA"/>
              </w:rPr>
              <w:t>Mouse, C57BL6</w:t>
            </w:r>
          </w:p>
        </w:tc>
        <w:tc>
          <w:tcPr>
            <w:tcW w:w="2977" w:type="dxa"/>
            <w:tcBorders>
              <w:bottom w:val="single" w:sz="4" w:space="0" w:color="000000"/>
            </w:tcBorders>
          </w:tcPr>
          <w:p w14:paraId="22A1BA80" w14:textId="45A34724" w:rsidR="0003540F" w:rsidRPr="00D711DD" w:rsidRDefault="0003540F" w:rsidP="00A111E9">
            <w:pPr>
              <w:pStyle w:val="FSTableText"/>
              <w:rPr>
                <w:rFonts w:ascii="Arial" w:hAnsi="Arial"/>
                <w:sz w:val="16"/>
              </w:rPr>
            </w:pPr>
            <w:r>
              <w:rPr>
                <w:sz w:val="16"/>
                <w:szCs w:val="16"/>
                <w:lang w:bidi="ar-SA"/>
              </w:rPr>
              <w:t>NOAEL: 0.008</w:t>
            </w:r>
          </w:p>
          <w:p w14:paraId="7EF37AF4" w14:textId="317C8177" w:rsidR="0003540F" w:rsidRPr="00D711DD" w:rsidRDefault="0003540F" w:rsidP="00A111E9">
            <w:pPr>
              <w:pStyle w:val="FSTableText"/>
              <w:rPr>
                <w:rFonts w:ascii="Arial" w:hAnsi="Arial"/>
                <w:sz w:val="16"/>
              </w:rPr>
            </w:pPr>
            <w:r>
              <w:rPr>
                <w:sz w:val="16"/>
                <w:szCs w:val="16"/>
                <w:lang w:bidi="ar-SA"/>
              </w:rPr>
              <w:t>LOAEL: 0.083</w:t>
            </w:r>
          </w:p>
        </w:tc>
        <w:tc>
          <w:tcPr>
            <w:tcW w:w="4010" w:type="dxa"/>
            <w:tcBorders>
              <w:bottom w:val="single" w:sz="4" w:space="0" w:color="000000"/>
            </w:tcBorders>
          </w:tcPr>
          <w:p w14:paraId="4AEB144D" w14:textId="26CAAEA3" w:rsidR="0003540F" w:rsidRPr="00D711DD" w:rsidRDefault="0003540F" w:rsidP="00A111E9">
            <w:pPr>
              <w:pStyle w:val="FSTableText"/>
              <w:rPr>
                <w:rFonts w:ascii="Arial" w:hAnsi="Arial"/>
                <w:sz w:val="16"/>
              </w:rPr>
            </w:pPr>
            <w:r>
              <w:rPr>
                <w:sz w:val="16"/>
                <w:szCs w:val="16"/>
                <w:lang w:bidi="ar-SA"/>
              </w:rPr>
              <w:t>Reduced SRBC plaque forming cell response</w:t>
            </w:r>
          </w:p>
        </w:tc>
        <w:tc>
          <w:tcPr>
            <w:tcW w:w="1518" w:type="dxa"/>
            <w:tcBorders>
              <w:bottom w:val="single" w:sz="4" w:space="0" w:color="000000"/>
            </w:tcBorders>
            <w:shd w:val="clear" w:color="auto" w:fill="FFFFFF" w:themeFill="background1"/>
          </w:tcPr>
          <w:p w14:paraId="3776BCDE" w14:textId="1D5D445B" w:rsidR="0003540F" w:rsidRPr="00D711DD" w:rsidRDefault="0003540F" w:rsidP="00A111E9">
            <w:pPr>
              <w:pStyle w:val="FSTableText"/>
              <w:rPr>
                <w:rFonts w:ascii="Arial" w:hAnsi="Arial"/>
                <w:sz w:val="16"/>
              </w:rPr>
            </w:pPr>
            <w:r>
              <w:rPr>
                <w:sz w:val="16"/>
                <w:szCs w:val="16"/>
                <w:lang w:bidi="ar-SA"/>
              </w:rPr>
              <w:t xml:space="preserve">Dong </w:t>
            </w:r>
            <w:r w:rsidR="00180A32" w:rsidRPr="00180A32">
              <w:rPr>
                <w:i/>
                <w:sz w:val="16"/>
                <w:szCs w:val="16"/>
                <w:lang w:bidi="ar-SA"/>
              </w:rPr>
              <w:t xml:space="preserve">et al. </w:t>
            </w:r>
            <w:r w:rsidR="000203C4">
              <w:rPr>
                <w:sz w:val="16"/>
                <w:szCs w:val="16"/>
                <w:lang w:bidi="ar-SA"/>
              </w:rPr>
              <w:t xml:space="preserve"> </w:t>
            </w:r>
            <w:r>
              <w:rPr>
                <w:sz w:val="16"/>
                <w:szCs w:val="16"/>
                <w:lang w:bidi="ar-SA"/>
              </w:rPr>
              <w:t>2009</w:t>
            </w:r>
          </w:p>
        </w:tc>
        <w:tc>
          <w:tcPr>
            <w:tcW w:w="1494" w:type="dxa"/>
            <w:tcBorders>
              <w:bottom w:val="single" w:sz="4" w:space="0" w:color="000000"/>
            </w:tcBorders>
            <w:shd w:val="clear" w:color="auto" w:fill="FFFFFF" w:themeFill="background1"/>
          </w:tcPr>
          <w:p w14:paraId="613863E4" w14:textId="6D4FBF7B" w:rsidR="0003540F" w:rsidRPr="00D711DD" w:rsidRDefault="0003540F" w:rsidP="00A111E9">
            <w:pPr>
              <w:pStyle w:val="FSTableText"/>
              <w:rPr>
                <w:rFonts w:ascii="Arial" w:hAnsi="Arial"/>
                <w:sz w:val="16"/>
              </w:rPr>
            </w:pPr>
            <w:r>
              <w:rPr>
                <w:sz w:val="16"/>
                <w:szCs w:val="16"/>
                <w:lang w:bidi="ar-SA"/>
              </w:rPr>
              <w:t>US EPA</w:t>
            </w:r>
          </w:p>
        </w:tc>
      </w:tr>
      <w:tr w:rsidR="0003540F" w:rsidRPr="00F66EDA" w14:paraId="7D3CB7F7" w14:textId="00E03FF2" w:rsidTr="00A24D2A">
        <w:trPr>
          <w:cantSplit/>
        </w:trPr>
        <w:tc>
          <w:tcPr>
            <w:tcW w:w="2376" w:type="dxa"/>
            <w:tcBorders>
              <w:bottom w:val="single" w:sz="4" w:space="0" w:color="000000"/>
            </w:tcBorders>
            <w:shd w:val="clear" w:color="auto" w:fill="auto"/>
          </w:tcPr>
          <w:p w14:paraId="725ABD01" w14:textId="77777777" w:rsidR="0003540F" w:rsidRPr="00D711DD" w:rsidRDefault="0003540F" w:rsidP="00A111E9">
            <w:pPr>
              <w:pStyle w:val="FSTableText"/>
              <w:rPr>
                <w:rFonts w:ascii="Arial" w:hAnsi="Arial"/>
                <w:sz w:val="16"/>
              </w:rPr>
            </w:pPr>
            <w:r>
              <w:rPr>
                <w:sz w:val="16"/>
                <w:szCs w:val="16"/>
                <w:lang w:bidi="ar-SA"/>
              </w:rPr>
              <w:t>90 day</w:t>
            </w:r>
          </w:p>
          <w:p w14:paraId="01ECDCAA" w14:textId="1D37504D" w:rsidR="0003540F" w:rsidRPr="00D711DD" w:rsidRDefault="0003540F" w:rsidP="00A111E9">
            <w:pPr>
              <w:pStyle w:val="FSTableText"/>
              <w:rPr>
                <w:rFonts w:ascii="Arial" w:hAnsi="Arial"/>
                <w:sz w:val="16"/>
              </w:rPr>
            </w:pPr>
            <w:r>
              <w:rPr>
                <w:sz w:val="16"/>
                <w:szCs w:val="16"/>
                <w:lang w:bidi="ar-SA"/>
              </w:rPr>
              <w:t>(Neurotoxicity study)</w:t>
            </w:r>
          </w:p>
        </w:tc>
        <w:tc>
          <w:tcPr>
            <w:tcW w:w="1843" w:type="dxa"/>
            <w:tcBorders>
              <w:bottom w:val="single" w:sz="4" w:space="0" w:color="000000"/>
            </w:tcBorders>
          </w:tcPr>
          <w:p w14:paraId="23ED4CB7" w14:textId="358E3296" w:rsidR="0003540F" w:rsidRPr="00D711DD" w:rsidRDefault="0003540F" w:rsidP="00A111E9">
            <w:pPr>
              <w:pStyle w:val="FSTableText"/>
              <w:rPr>
                <w:rFonts w:ascii="Arial" w:hAnsi="Arial"/>
                <w:sz w:val="16"/>
              </w:rPr>
            </w:pPr>
            <w:r>
              <w:rPr>
                <w:sz w:val="16"/>
                <w:szCs w:val="16"/>
                <w:lang w:bidi="ar-SA"/>
              </w:rPr>
              <w:t>Mouse, C57BL6</w:t>
            </w:r>
          </w:p>
        </w:tc>
        <w:tc>
          <w:tcPr>
            <w:tcW w:w="2977" w:type="dxa"/>
            <w:tcBorders>
              <w:bottom w:val="single" w:sz="4" w:space="0" w:color="000000"/>
            </w:tcBorders>
          </w:tcPr>
          <w:p w14:paraId="43061F1D" w14:textId="399A7844" w:rsidR="0003540F" w:rsidRPr="00D711DD" w:rsidRDefault="0003540F" w:rsidP="00A111E9">
            <w:pPr>
              <w:pStyle w:val="FSTableText"/>
              <w:rPr>
                <w:rFonts w:ascii="Arial" w:hAnsi="Arial"/>
                <w:sz w:val="16"/>
              </w:rPr>
            </w:pPr>
            <w:r>
              <w:rPr>
                <w:sz w:val="16"/>
                <w:szCs w:val="16"/>
                <w:lang w:bidi="ar-SA"/>
              </w:rPr>
              <w:t>NOAEL: 0.43</w:t>
            </w:r>
          </w:p>
          <w:p w14:paraId="459D7050" w14:textId="5CE4863B" w:rsidR="0003540F" w:rsidRPr="00D711DD" w:rsidRDefault="0003540F" w:rsidP="00A111E9">
            <w:pPr>
              <w:pStyle w:val="FSTableText"/>
              <w:rPr>
                <w:rFonts w:ascii="Arial" w:hAnsi="Arial"/>
                <w:sz w:val="16"/>
              </w:rPr>
            </w:pPr>
            <w:r>
              <w:rPr>
                <w:sz w:val="16"/>
                <w:szCs w:val="16"/>
                <w:lang w:bidi="ar-SA"/>
              </w:rPr>
              <w:t>LOAEL: 2.15</w:t>
            </w:r>
          </w:p>
        </w:tc>
        <w:tc>
          <w:tcPr>
            <w:tcW w:w="4010" w:type="dxa"/>
            <w:tcBorders>
              <w:bottom w:val="single" w:sz="4" w:space="0" w:color="000000"/>
            </w:tcBorders>
          </w:tcPr>
          <w:p w14:paraId="1F5AE62B" w14:textId="74C78E4F" w:rsidR="0003540F" w:rsidRPr="00D711DD" w:rsidRDefault="0003540F" w:rsidP="00A111E9">
            <w:pPr>
              <w:pStyle w:val="FSTableText"/>
              <w:rPr>
                <w:rFonts w:ascii="Arial" w:hAnsi="Arial"/>
                <w:sz w:val="16"/>
              </w:rPr>
            </w:pPr>
            <w:r>
              <w:rPr>
                <w:sz w:val="16"/>
                <w:szCs w:val="16"/>
                <w:lang w:bidi="ar-SA"/>
              </w:rPr>
              <w:t>Impaired learning and memory; increased apoptosis in hippocampal cells</w:t>
            </w:r>
          </w:p>
        </w:tc>
        <w:tc>
          <w:tcPr>
            <w:tcW w:w="1518" w:type="dxa"/>
            <w:tcBorders>
              <w:bottom w:val="single" w:sz="4" w:space="0" w:color="000000"/>
            </w:tcBorders>
            <w:shd w:val="clear" w:color="auto" w:fill="FFFFFF" w:themeFill="background1"/>
          </w:tcPr>
          <w:p w14:paraId="0A7A1024" w14:textId="0523B612" w:rsidR="0003540F" w:rsidRPr="00D711DD" w:rsidRDefault="0003540F" w:rsidP="00A111E9">
            <w:pPr>
              <w:pStyle w:val="FSTableText"/>
              <w:rPr>
                <w:rFonts w:ascii="Arial" w:hAnsi="Arial"/>
                <w:sz w:val="16"/>
              </w:rPr>
            </w:pPr>
            <w:r>
              <w:rPr>
                <w:sz w:val="16"/>
                <w:szCs w:val="16"/>
                <w:lang w:bidi="ar-SA"/>
              </w:rPr>
              <w:t xml:space="preserve">Long </w:t>
            </w:r>
            <w:r w:rsidR="00180A32" w:rsidRPr="00180A32">
              <w:rPr>
                <w:i/>
                <w:sz w:val="16"/>
                <w:szCs w:val="16"/>
                <w:lang w:bidi="ar-SA"/>
              </w:rPr>
              <w:t xml:space="preserve">et al. </w:t>
            </w:r>
            <w:r w:rsidR="000203C4">
              <w:rPr>
                <w:sz w:val="16"/>
                <w:szCs w:val="16"/>
                <w:lang w:bidi="ar-SA"/>
              </w:rPr>
              <w:t xml:space="preserve"> </w:t>
            </w:r>
            <w:r>
              <w:rPr>
                <w:sz w:val="16"/>
                <w:szCs w:val="16"/>
                <w:lang w:bidi="ar-SA"/>
              </w:rPr>
              <w:t>2013</w:t>
            </w:r>
          </w:p>
        </w:tc>
        <w:tc>
          <w:tcPr>
            <w:tcW w:w="1494" w:type="dxa"/>
            <w:tcBorders>
              <w:bottom w:val="single" w:sz="4" w:space="0" w:color="000000"/>
            </w:tcBorders>
            <w:shd w:val="clear" w:color="auto" w:fill="FFFFFF" w:themeFill="background1"/>
          </w:tcPr>
          <w:p w14:paraId="3601E807" w14:textId="72C91E9C" w:rsidR="0003540F" w:rsidRPr="00D711DD" w:rsidRDefault="0003540F" w:rsidP="00A111E9">
            <w:pPr>
              <w:pStyle w:val="FSTableText"/>
              <w:rPr>
                <w:rFonts w:ascii="Arial" w:hAnsi="Arial"/>
                <w:sz w:val="16"/>
              </w:rPr>
            </w:pPr>
            <w:r>
              <w:rPr>
                <w:sz w:val="16"/>
                <w:szCs w:val="16"/>
                <w:lang w:bidi="ar-SA"/>
              </w:rPr>
              <w:t>US EPA</w:t>
            </w:r>
          </w:p>
        </w:tc>
      </w:tr>
      <w:tr w:rsidR="0003540F" w:rsidRPr="00F66EDA" w14:paraId="15517E71" w14:textId="77777777" w:rsidTr="00A24D2A">
        <w:trPr>
          <w:cantSplit/>
        </w:trPr>
        <w:tc>
          <w:tcPr>
            <w:tcW w:w="2376" w:type="dxa"/>
            <w:tcBorders>
              <w:bottom w:val="single" w:sz="4" w:space="0" w:color="000000"/>
            </w:tcBorders>
            <w:shd w:val="clear" w:color="auto" w:fill="auto"/>
          </w:tcPr>
          <w:p w14:paraId="3C9B29D1" w14:textId="1F258F1A" w:rsidR="0003540F" w:rsidRPr="00D711DD" w:rsidRDefault="0003540F" w:rsidP="00A111E9">
            <w:pPr>
              <w:pStyle w:val="FSTableText"/>
              <w:rPr>
                <w:rFonts w:ascii="Arial" w:hAnsi="Arial"/>
                <w:sz w:val="16"/>
              </w:rPr>
            </w:pPr>
            <w:r>
              <w:rPr>
                <w:sz w:val="16"/>
                <w:szCs w:val="16"/>
                <w:lang w:bidi="ar-SA"/>
              </w:rPr>
              <w:t>Developmental neurotoxicity</w:t>
            </w:r>
          </w:p>
        </w:tc>
        <w:tc>
          <w:tcPr>
            <w:tcW w:w="1843" w:type="dxa"/>
            <w:tcBorders>
              <w:bottom w:val="single" w:sz="4" w:space="0" w:color="000000"/>
            </w:tcBorders>
          </w:tcPr>
          <w:p w14:paraId="279FFAF6" w14:textId="14D83B51" w:rsidR="0003540F" w:rsidRPr="00D711DD" w:rsidRDefault="0003540F" w:rsidP="00A111E9">
            <w:pPr>
              <w:pStyle w:val="FSTableText"/>
              <w:rPr>
                <w:rFonts w:ascii="Arial" w:hAnsi="Arial"/>
                <w:sz w:val="16"/>
              </w:rPr>
            </w:pPr>
            <w:r>
              <w:rPr>
                <w:sz w:val="16"/>
                <w:szCs w:val="16"/>
                <w:lang w:bidi="ar-SA"/>
              </w:rPr>
              <w:t>Rat, Sprague</w:t>
            </w:r>
            <w:r w:rsidR="00032CF6">
              <w:rPr>
                <w:sz w:val="16"/>
                <w:szCs w:val="16"/>
                <w:lang w:bidi="ar-SA"/>
              </w:rPr>
              <w:t xml:space="preserve"> </w:t>
            </w:r>
            <w:r>
              <w:rPr>
                <w:sz w:val="16"/>
                <w:szCs w:val="16"/>
                <w:lang w:bidi="ar-SA"/>
              </w:rPr>
              <w:t>Dawley</w:t>
            </w:r>
          </w:p>
        </w:tc>
        <w:tc>
          <w:tcPr>
            <w:tcW w:w="2977" w:type="dxa"/>
            <w:tcBorders>
              <w:bottom w:val="single" w:sz="4" w:space="0" w:color="000000"/>
            </w:tcBorders>
          </w:tcPr>
          <w:p w14:paraId="11C3893E" w14:textId="0BC0146A" w:rsidR="0003540F" w:rsidRPr="00D711DD" w:rsidRDefault="0003540F" w:rsidP="00A111E9">
            <w:pPr>
              <w:pStyle w:val="FSTableText"/>
              <w:rPr>
                <w:rFonts w:ascii="Arial" w:hAnsi="Arial"/>
                <w:sz w:val="16"/>
              </w:rPr>
            </w:pPr>
            <w:r>
              <w:rPr>
                <w:sz w:val="16"/>
                <w:szCs w:val="16"/>
                <w:lang w:bidi="ar-SA"/>
              </w:rPr>
              <w:t>NOAEL: 1.0 maternal and developmental neurotoxicity</w:t>
            </w:r>
          </w:p>
          <w:p w14:paraId="3F6B8682" w14:textId="76B454F5" w:rsidR="0003540F" w:rsidRPr="00D711DD" w:rsidRDefault="0003540F" w:rsidP="00A111E9">
            <w:pPr>
              <w:pStyle w:val="FSTableText"/>
              <w:rPr>
                <w:rFonts w:ascii="Arial" w:hAnsi="Arial"/>
                <w:sz w:val="16"/>
              </w:rPr>
            </w:pPr>
            <w:r>
              <w:rPr>
                <w:sz w:val="16"/>
                <w:szCs w:val="16"/>
                <w:lang w:bidi="ar-SA"/>
              </w:rPr>
              <w:t xml:space="preserve">LOAEL: &gt; 1.0 </w:t>
            </w:r>
          </w:p>
        </w:tc>
        <w:tc>
          <w:tcPr>
            <w:tcW w:w="4010" w:type="dxa"/>
            <w:tcBorders>
              <w:bottom w:val="single" w:sz="4" w:space="0" w:color="000000"/>
            </w:tcBorders>
          </w:tcPr>
          <w:p w14:paraId="6B33846C" w14:textId="3EA02218" w:rsidR="0003540F" w:rsidRPr="00D711DD" w:rsidRDefault="0003540F" w:rsidP="00A111E9">
            <w:pPr>
              <w:pStyle w:val="FSTableText"/>
              <w:rPr>
                <w:rFonts w:ascii="Arial" w:hAnsi="Arial"/>
                <w:sz w:val="16"/>
              </w:rPr>
            </w:pPr>
            <w:r>
              <w:rPr>
                <w:sz w:val="16"/>
                <w:szCs w:val="16"/>
                <w:lang w:bidi="ar-SA"/>
              </w:rPr>
              <w:t>None identified</w:t>
            </w:r>
          </w:p>
        </w:tc>
        <w:tc>
          <w:tcPr>
            <w:tcW w:w="1518" w:type="dxa"/>
            <w:tcBorders>
              <w:bottom w:val="single" w:sz="4" w:space="0" w:color="000000"/>
            </w:tcBorders>
            <w:shd w:val="clear" w:color="auto" w:fill="FFFFFF" w:themeFill="background1"/>
          </w:tcPr>
          <w:p w14:paraId="326C0A56" w14:textId="1B35D9CD" w:rsidR="0003540F" w:rsidRPr="00D711DD" w:rsidRDefault="0003540F" w:rsidP="00A111E9">
            <w:pPr>
              <w:pStyle w:val="FSTableText"/>
              <w:rPr>
                <w:rFonts w:ascii="Arial" w:hAnsi="Arial"/>
                <w:sz w:val="16"/>
              </w:rPr>
            </w:pPr>
            <w:r>
              <w:rPr>
                <w:sz w:val="16"/>
                <w:szCs w:val="16"/>
                <w:lang w:bidi="ar-SA"/>
              </w:rPr>
              <w:t xml:space="preserve">Butenhoff </w:t>
            </w:r>
            <w:r w:rsidR="00180A32" w:rsidRPr="00180A32">
              <w:rPr>
                <w:i/>
                <w:sz w:val="16"/>
                <w:szCs w:val="16"/>
                <w:lang w:bidi="ar-SA"/>
              </w:rPr>
              <w:t xml:space="preserve">et al. </w:t>
            </w:r>
            <w:r w:rsidR="00713213">
              <w:rPr>
                <w:sz w:val="16"/>
                <w:szCs w:val="16"/>
                <w:lang w:bidi="ar-SA"/>
              </w:rPr>
              <w:t xml:space="preserve"> </w:t>
            </w:r>
            <w:r>
              <w:rPr>
                <w:sz w:val="16"/>
                <w:szCs w:val="16"/>
                <w:lang w:bidi="ar-SA"/>
              </w:rPr>
              <w:t xml:space="preserve">2009/Chang </w:t>
            </w:r>
            <w:r w:rsidR="00180A32" w:rsidRPr="00180A32">
              <w:rPr>
                <w:i/>
                <w:sz w:val="16"/>
                <w:szCs w:val="16"/>
                <w:lang w:bidi="ar-SA"/>
              </w:rPr>
              <w:t xml:space="preserve">et al. </w:t>
            </w:r>
            <w:r w:rsidR="00713213">
              <w:rPr>
                <w:sz w:val="16"/>
                <w:szCs w:val="16"/>
                <w:lang w:bidi="ar-SA"/>
              </w:rPr>
              <w:t xml:space="preserve"> </w:t>
            </w:r>
            <w:r>
              <w:rPr>
                <w:sz w:val="16"/>
                <w:szCs w:val="16"/>
                <w:lang w:bidi="ar-SA"/>
              </w:rPr>
              <w:t>2009</w:t>
            </w:r>
          </w:p>
        </w:tc>
        <w:tc>
          <w:tcPr>
            <w:tcW w:w="1494" w:type="dxa"/>
            <w:tcBorders>
              <w:bottom w:val="single" w:sz="4" w:space="0" w:color="000000"/>
            </w:tcBorders>
            <w:shd w:val="clear" w:color="auto" w:fill="FFFFFF" w:themeFill="background1"/>
          </w:tcPr>
          <w:p w14:paraId="75D55CAE" w14:textId="69595F20" w:rsidR="0003540F" w:rsidRPr="00D711DD" w:rsidRDefault="0003540F" w:rsidP="00A111E9">
            <w:pPr>
              <w:pStyle w:val="FSTableText"/>
              <w:rPr>
                <w:rFonts w:ascii="Arial" w:hAnsi="Arial"/>
                <w:sz w:val="16"/>
              </w:rPr>
            </w:pPr>
            <w:r>
              <w:rPr>
                <w:sz w:val="16"/>
                <w:szCs w:val="16"/>
                <w:lang w:bidi="ar-SA"/>
              </w:rPr>
              <w:t>US EPA</w:t>
            </w:r>
          </w:p>
        </w:tc>
      </w:tr>
    </w:tbl>
    <w:p w14:paraId="1A5E954A" w14:textId="77777777" w:rsidR="00D95238" w:rsidRDefault="00D95238" w:rsidP="00A111E9">
      <w:pPr>
        <w:rPr>
          <w:b/>
          <w:lang w:bidi="ar-SA"/>
        </w:rPr>
      </w:pPr>
    </w:p>
    <w:p w14:paraId="27598146" w14:textId="77777777" w:rsidR="00196421" w:rsidRDefault="00196421" w:rsidP="00A111E9">
      <w:pPr>
        <w:rPr>
          <w:b/>
          <w:lang w:bidi="ar-SA"/>
        </w:rPr>
      </w:pPr>
    </w:p>
    <w:p w14:paraId="0F3DB0A8" w14:textId="77777777" w:rsidR="0003540F" w:rsidRDefault="0003540F" w:rsidP="00A111E9">
      <w:pPr>
        <w:rPr>
          <w:b/>
          <w:lang w:bidi="ar-SA"/>
        </w:rPr>
        <w:sectPr w:rsidR="0003540F" w:rsidSect="00D711DD">
          <w:pgSz w:w="16838" w:h="11906" w:orient="landscape"/>
          <w:pgMar w:top="1418" w:right="1418" w:bottom="1418" w:left="1418" w:header="709" w:footer="709" w:gutter="0"/>
          <w:cols w:space="708"/>
          <w:docGrid w:linePitch="360"/>
        </w:sectPr>
      </w:pPr>
    </w:p>
    <w:p w14:paraId="765C15B1" w14:textId="36199A35" w:rsidR="00AE21D0" w:rsidRDefault="00754101" w:rsidP="005F1486">
      <w:pPr>
        <w:pStyle w:val="Heading5"/>
      </w:pPr>
      <w:r>
        <w:lastRenderedPageBreak/>
        <w:t xml:space="preserve">Acute </w:t>
      </w:r>
      <w:r w:rsidR="00260D41">
        <w:t xml:space="preserve">and short term </w:t>
      </w:r>
      <w:r w:rsidR="00E44E0F" w:rsidRPr="000217D1">
        <w:t>toxicity</w:t>
      </w:r>
      <w:r>
        <w:t xml:space="preserve"> </w:t>
      </w:r>
      <w:r w:rsidR="004B45FC">
        <w:t>studies</w:t>
      </w:r>
    </w:p>
    <w:p w14:paraId="681ACDE0" w14:textId="59EE7B30" w:rsidR="00667006" w:rsidRDefault="004D6B42" w:rsidP="00A111E9">
      <w:pPr>
        <w:rPr>
          <w:lang w:bidi="ar-SA"/>
        </w:rPr>
      </w:pPr>
      <w:r>
        <w:rPr>
          <w:lang w:bidi="ar-SA"/>
        </w:rPr>
        <w:t>The oral LD</w:t>
      </w:r>
      <w:r w:rsidRPr="004D6B42">
        <w:rPr>
          <w:vertAlign w:val="subscript"/>
          <w:lang w:bidi="ar-SA"/>
        </w:rPr>
        <w:t>50</w:t>
      </w:r>
      <w:r>
        <w:rPr>
          <w:lang w:bidi="ar-SA"/>
        </w:rPr>
        <w:t xml:space="preserve"> of PFOS in CD rats was 233 mg/kg bw in males and 271 mg/kg bw</w:t>
      </w:r>
      <w:r w:rsidR="001E7CF7">
        <w:rPr>
          <w:lang w:bidi="ar-SA"/>
        </w:rPr>
        <w:t xml:space="preserve"> in females</w:t>
      </w:r>
      <w:r>
        <w:rPr>
          <w:lang w:bidi="ar-SA"/>
        </w:rPr>
        <w:t>, with a combined value of 251 mg/kg bw (</w:t>
      </w:r>
      <w:r w:rsidR="00EA2AB4">
        <w:rPr>
          <w:lang w:bidi="ar-SA"/>
        </w:rPr>
        <w:t xml:space="preserve">Dean </w:t>
      </w:r>
      <w:r w:rsidR="00180A32" w:rsidRPr="00180A32">
        <w:rPr>
          <w:i/>
          <w:lang w:bidi="ar-SA"/>
        </w:rPr>
        <w:t xml:space="preserve">et al. </w:t>
      </w:r>
      <w:r w:rsidR="00F22DA6">
        <w:rPr>
          <w:lang w:bidi="ar-SA"/>
        </w:rPr>
        <w:t xml:space="preserve"> </w:t>
      </w:r>
      <w:r w:rsidR="00EA2AB4">
        <w:rPr>
          <w:lang w:bidi="ar-SA"/>
        </w:rPr>
        <w:t xml:space="preserve">1978, </w:t>
      </w:r>
      <w:r>
        <w:rPr>
          <w:lang w:bidi="ar-SA"/>
        </w:rPr>
        <w:t xml:space="preserve">reviewed by UKCOT 2006, EFSA 2008 and US EPA 2016). </w:t>
      </w:r>
      <w:r w:rsidR="00373080">
        <w:rPr>
          <w:lang w:bidi="ar-SA"/>
        </w:rPr>
        <w:t xml:space="preserve">Clinical signs included hypoactivity, </w:t>
      </w:r>
      <w:r w:rsidR="002B5C7B">
        <w:rPr>
          <w:lang w:bidi="ar-SA"/>
        </w:rPr>
        <w:t>decreased limb tone and ataxia. Findings at necropsy included stomach distension, lung congestion and irritation of the glandular mucosa.</w:t>
      </w:r>
    </w:p>
    <w:p w14:paraId="11B615BC" w14:textId="3FC57235" w:rsidR="00443124" w:rsidRPr="00534F14" w:rsidRDefault="00534F14" w:rsidP="005F1486">
      <w:pPr>
        <w:pStyle w:val="Heading5"/>
      </w:pPr>
      <w:r w:rsidRPr="00534F14">
        <w:t>Mice</w:t>
      </w:r>
    </w:p>
    <w:p w14:paraId="042AED54" w14:textId="2CF8D733" w:rsidR="00EB468B" w:rsidRDefault="003A401B" w:rsidP="00A111E9">
      <w:pPr>
        <w:rPr>
          <w:lang w:bidi="ar-SA"/>
        </w:rPr>
      </w:pPr>
      <w:r>
        <w:rPr>
          <w:lang w:bidi="ar-SA"/>
        </w:rPr>
        <w:t xml:space="preserve">Male ICR mice were administered </w:t>
      </w:r>
      <w:r w:rsidR="009E74AD">
        <w:rPr>
          <w:lang w:bidi="ar-SA"/>
        </w:rPr>
        <w:t xml:space="preserve">PFOS as </w:t>
      </w:r>
      <w:r>
        <w:rPr>
          <w:lang w:bidi="ar-SA"/>
        </w:rPr>
        <w:t xml:space="preserve">a single oral dose of 0, 125, 250 and 500 mg/kg bw/day (Sato </w:t>
      </w:r>
      <w:r w:rsidR="00180A32" w:rsidRPr="00180A32">
        <w:rPr>
          <w:i/>
          <w:lang w:bidi="ar-SA"/>
        </w:rPr>
        <w:t xml:space="preserve">et al. </w:t>
      </w:r>
      <w:r w:rsidR="00F22DA6">
        <w:rPr>
          <w:lang w:bidi="ar-SA"/>
        </w:rPr>
        <w:t xml:space="preserve"> </w:t>
      </w:r>
      <w:r>
        <w:rPr>
          <w:lang w:bidi="ar-SA"/>
        </w:rPr>
        <w:t xml:space="preserve">2009, reviewed by US EPA 2016). One mouse in each of the treatment groups died. </w:t>
      </w:r>
      <w:r w:rsidR="000B535A">
        <w:rPr>
          <w:lang w:bidi="ar-SA"/>
        </w:rPr>
        <w:t xml:space="preserve">No </w:t>
      </w:r>
      <w:r w:rsidR="00FA341D">
        <w:rPr>
          <w:lang w:bidi="ar-SA"/>
        </w:rPr>
        <w:t xml:space="preserve">clinical </w:t>
      </w:r>
      <w:r w:rsidR="000B535A">
        <w:rPr>
          <w:lang w:bidi="ar-SA"/>
        </w:rPr>
        <w:t>signs</w:t>
      </w:r>
      <w:r w:rsidR="002F45A1">
        <w:rPr>
          <w:lang w:bidi="ar-SA"/>
        </w:rPr>
        <w:t xml:space="preserve"> indicative of neurotoxicity</w:t>
      </w:r>
      <w:r w:rsidR="000B535A">
        <w:rPr>
          <w:lang w:bidi="ar-SA"/>
        </w:rPr>
        <w:t xml:space="preserve"> were observed</w:t>
      </w:r>
      <w:r w:rsidR="00FA341D">
        <w:rPr>
          <w:lang w:bidi="ar-SA"/>
        </w:rPr>
        <w:t>.</w:t>
      </w:r>
      <w:r w:rsidR="000B2048">
        <w:rPr>
          <w:lang w:bidi="ar-SA"/>
        </w:rPr>
        <w:t xml:space="preserve"> Decreased body weight or delay</w:t>
      </w:r>
      <w:r w:rsidR="006051C0">
        <w:rPr>
          <w:lang w:bidi="ar-SA"/>
        </w:rPr>
        <w:t>ed</w:t>
      </w:r>
      <w:r w:rsidR="000B2048">
        <w:rPr>
          <w:lang w:bidi="ar-SA"/>
        </w:rPr>
        <w:t xml:space="preserve"> body weight gain </w:t>
      </w:r>
      <w:r w:rsidR="00D2034C">
        <w:rPr>
          <w:lang w:bidi="ar-SA"/>
        </w:rPr>
        <w:t xml:space="preserve">were </w:t>
      </w:r>
      <w:r w:rsidR="00EB468B">
        <w:rPr>
          <w:lang w:bidi="ar-SA"/>
        </w:rPr>
        <w:t>seen</w:t>
      </w:r>
      <w:r w:rsidR="000B2048">
        <w:rPr>
          <w:lang w:bidi="ar-SA"/>
        </w:rPr>
        <w:t xml:space="preserve"> in mice given 250 or 500 mg/kg bw/day</w:t>
      </w:r>
      <w:r w:rsidR="006051C0">
        <w:rPr>
          <w:lang w:bidi="ar-SA"/>
        </w:rPr>
        <w:t xml:space="preserve"> in the 14 days following treatment</w:t>
      </w:r>
      <w:r w:rsidR="00F14089">
        <w:rPr>
          <w:lang w:bidi="ar-SA"/>
        </w:rPr>
        <w:t>.</w:t>
      </w:r>
    </w:p>
    <w:p w14:paraId="7DDFBC33" w14:textId="77777777" w:rsidR="00EB468B" w:rsidRDefault="00EB468B" w:rsidP="00A111E9">
      <w:pPr>
        <w:rPr>
          <w:lang w:bidi="ar-SA"/>
        </w:rPr>
      </w:pPr>
    </w:p>
    <w:p w14:paraId="09C3D44E" w14:textId="4575D1F0" w:rsidR="002A4983" w:rsidRDefault="00FA341D" w:rsidP="00A111E9">
      <w:pPr>
        <w:rPr>
          <w:lang w:bidi="ar-SA"/>
        </w:rPr>
      </w:pPr>
      <w:r>
        <w:rPr>
          <w:lang w:bidi="ar-SA"/>
        </w:rPr>
        <w:t>M</w:t>
      </w:r>
      <w:r w:rsidR="0012499C">
        <w:rPr>
          <w:lang w:bidi="ar-SA"/>
        </w:rPr>
        <w:t xml:space="preserve">ale BALB/c mice </w:t>
      </w:r>
      <w:r>
        <w:rPr>
          <w:lang w:bidi="ar-SA"/>
        </w:rPr>
        <w:t xml:space="preserve">were </w:t>
      </w:r>
      <w:r w:rsidR="0012499C">
        <w:rPr>
          <w:lang w:bidi="ar-SA"/>
        </w:rPr>
        <w:t>administered PFOS at 0, 5 or 20 mg/kg bw/day for 14 days while on either a regular fat or high fat diet</w:t>
      </w:r>
      <w:r>
        <w:rPr>
          <w:lang w:bidi="ar-SA"/>
        </w:rPr>
        <w:t>. A</w:t>
      </w:r>
      <w:r w:rsidR="0012499C">
        <w:rPr>
          <w:lang w:bidi="ar-SA"/>
        </w:rPr>
        <w:t xml:space="preserve"> significant increase in liver fat content </w:t>
      </w:r>
      <w:r>
        <w:rPr>
          <w:lang w:bidi="ar-SA"/>
        </w:rPr>
        <w:t xml:space="preserve">was observed </w:t>
      </w:r>
      <w:r w:rsidR="0012499C">
        <w:rPr>
          <w:lang w:bidi="ar-SA"/>
        </w:rPr>
        <w:t xml:space="preserve">in </w:t>
      </w:r>
      <w:r>
        <w:rPr>
          <w:lang w:bidi="ar-SA"/>
        </w:rPr>
        <w:t>treated mice</w:t>
      </w:r>
      <w:r w:rsidR="0012499C">
        <w:rPr>
          <w:lang w:bidi="ar-SA"/>
        </w:rPr>
        <w:t xml:space="preserve"> on the regular fat diet</w:t>
      </w:r>
      <w:r w:rsidR="00F84C31">
        <w:rPr>
          <w:lang w:bidi="ar-SA"/>
        </w:rPr>
        <w:t xml:space="preserve"> (Wang </w:t>
      </w:r>
      <w:r w:rsidR="00180A32" w:rsidRPr="00180A32">
        <w:rPr>
          <w:i/>
          <w:lang w:bidi="ar-SA"/>
        </w:rPr>
        <w:t xml:space="preserve">et al. </w:t>
      </w:r>
      <w:r w:rsidR="00F22DA6">
        <w:rPr>
          <w:lang w:bidi="ar-SA"/>
        </w:rPr>
        <w:t xml:space="preserve"> </w:t>
      </w:r>
      <w:r w:rsidR="00F84C31">
        <w:rPr>
          <w:lang w:bidi="ar-SA"/>
        </w:rPr>
        <w:t>2014, reviewed by US EPA 2016)</w:t>
      </w:r>
      <w:r w:rsidR="0012499C">
        <w:rPr>
          <w:lang w:bidi="ar-SA"/>
        </w:rPr>
        <w:t xml:space="preserve">. A slight, non-significant increase in liver fat content was seen in mice on the high fat diet. Serum levels of glucose, cholesterol, </w:t>
      </w:r>
      <w:r w:rsidR="00040A06">
        <w:rPr>
          <w:lang w:bidi="ar-SA"/>
        </w:rPr>
        <w:t>high density lipoprotein (</w:t>
      </w:r>
      <w:r w:rsidR="0012499C">
        <w:rPr>
          <w:lang w:bidi="ar-SA"/>
        </w:rPr>
        <w:t>HDL</w:t>
      </w:r>
      <w:r w:rsidR="00040A06">
        <w:rPr>
          <w:lang w:bidi="ar-SA"/>
        </w:rPr>
        <w:t>)</w:t>
      </w:r>
      <w:r w:rsidR="0012499C">
        <w:rPr>
          <w:lang w:bidi="ar-SA"/>
        </w:rPr>
        <w:t xml:space="preserve"> and </w:t>
      </w:r>
      <w:r w:rsidR="00D2034C">
        <w:rPr>
          <w:lang w:bidi="ar-SA"/>
        </w:rPr>
        <w:t>low density lipoprotein (</w:t>
      </w:r>
      <w:r w:rsidR="00AB35CC">
        <w:rPr>
          <w:lang w:bidi="ar-SA"/>
        </w:rPr>
        <w:t>LDL</w:t>
      </w:r>
      <w:r w:rsidR="00D2034C">
        <w:rPr>
          <w:lang w:bidi="ar-SA"/>
        </w:rPr>
        <w:t>)</w:t>
      </w:r>
      <w:r w:rsidR="0012499C">
        <w:rPr>
          <w:lang w:bidi="ar-SA"/>
        </w:rPr>
        <w:t xml:space="preserve"> declined </w:t>
      </w:r>
      <w:r>
        <w:rPr>
          <w:lang w:bidi="ar-SA"/>
        </w:rPr>
        <w:t xml:space="preserve">in a dose-related manner. </w:t>
      </w:r>
      <w:r w:rsidR="0012499C">
        <w:rPr>
          <w:lang w:bidi="ar-SA"/>
        </w:rPr>
        <w:t>PPAR</w:t>
      </w:r>
      <w:r w:rsidR="0012499C">
        <w:rPr>
          <w:rFonts w:cs="Arial"/>
          <w:lang w:bidi="ar-SA"/>
        </w:rPr>
        <w:t>α</w:t>
      </w:r>
      <w:r w:rsidR="0012499C">
        <w:rPr>
          <w:lang w:bidi="ar-SA"/>
        </w:rPr>
        <w:t xml:space="preserve"> expression </w:t>
      </w:r>
      <w:r>
        <w:rPr>
          <w:lang w:bidi="ar-SA"/>
        </w:rPr>
        <w:t>was</w:t>
      </w:r>
      <w:r w:rsidR="0012499C">
        <w:rPr>
          <w:lang w:bidi="ar-SA"/>
        </w:rPr>
        <w:t xml:space="preserve"> increased in mice on the regular fat diet, but decreased in those on the </w:t>
      </w:r>
      <w:r w:rsidR="00883A16">
        <w:rPr>
          <w:lang w:bidi="ar-SA"/>
        </w:rPr>
        <w:t>high fat diet</w:t>
      </w:r>
      <w:r>
        <w:rPr>
          <w:lang w:bidi="ar-SA"/>
        </w:rPr>
        <w:t xml:space="preserve"> at the end of the 14 day exposure period</w:t>
      </w:r>
      <w:r w:rsidR="00883A16">
        <w:rPr>
          <w:lang w:bidi="ar-SA"/>
        </w:rPr>
        <w:t>.</w:t>
      </w:r>
    </w:p>
    <w:p w14:paraId="7EFE385C" w14:textId="77777777" w:rsidR="00883A16" w:rsidRDefault="00883A16" w:rsidP="00A111E9">
      <w:pPr>
        <w:rPr>
          <w:lang w:bidi="ar-SA"/>
        </w:rPr>
      </w:pPr>
    </w:p>
    <w:p w14:paraId="29EC3269" w14:textId="2FFC9470" w:rsidR="00883A16" w:rsidRDefault="0013436B" w:rsidP="00A111E9">
      <w:pPr>
        <w:rPr>
          <w:lang w:bidi="ar-SA"/>
        </w:rPr>
      </w:pPr>
      <w:r>
        <w:rPr>
          <w:lang w:bidi="ar-SA"/>
        </w:rPr>
        <w:t>M</w:t>
      </w:r>
      <w:r w:rsidR="00883A16">
        <w:rPr>
          <w:lang w:bidi="ar-SA"/>
        </w:rPr>
        <w:t xml:space="preserve">ale CD-1 mice </w:t>
      </w:r>
      <w:r>
        <w:rPr>
          <w:lang w:bidi="ar-SA"/>
        </w:rPr>
        <w:t xml:space="preserve">were </w:t>
      </w:r>
      <w:r w:rsidR="00883A16">
        <w:rPr>
          <w:lang w:bidi="ar-SA"/>
        </w:rPr>
        <w:t>administered PFOS by oral gavage at doses of 0, 1, 5 or 10 mg/kg bw/day for up to 21 days</w:t>
      </w:r>
      <w:r>
        <w:rPr>
          <w:lang w:bidi="ar-SA"/>
        </w:rPr>
        <w:t>.</w:t>
      </w:r>
      <w:r w:rsidR="00883A16">
        <w:rPr>
          <w:lang w:bidi="ar-SA"/>
        </w:rPr>
        <w:t xml:space="preserve"> </w:t>
      </w:r>
      <w:r>
        <w:rPr>
          <w:lang w:bidi="ar-SA"/>
        </w:rPr>
        <w:t>M</w:t>
      </w:r>
      <w:r w:rsidR="00883A16">
        <w:rPr>
          <w:lang w:bidi="ar-SA"/>
        </w:rPr>
        <w:t>icrovesicular hepatic steatosis was observed in the high dose</w:t>
      </w:r>
      <w:r w:rsidR="006051C0">
        <w:rPr>
          <w:lang w:bidi="ar-SA"/>
        </w:rPr>
        <w:t xml:space="preserve"> group</w:t>
      </w:r>
      <w:r w:rsidR="00883A16">
        <w:rPr>
          <w:lang w:bidi="ar-SA"/>
        </w:rPr>
        <w:t xml:space="preserve"> on </w:t>
      </w:r>
      <w:r w:rsidR="00185513">
        <w:rPr>
          <w:lang w:bidi="ar-SA"/>
        </w:rPr>
        <w:t>d</w:t>
      </w:r>
      <w:r w:rsidR="00883A16">
        <w:rPr>
          <w:lang w:bidi="ar-SA"/>
        </w:rPr>
        <w:t xml:space="preserve">ay 14 and macrovesicular steatosis was seen on </w:t>
      </w:r>
      <w:r w:rsidR="00185513">
        <w:rPr>
          <w:lang w:bidi="ar-SA"/>
        </w:rPr>
        <w:t>d</w:t>
      </w:r>
      <w:r w:rsidR="00883A16">
        <w:rPr>
          <w:lang w:bidi="ar-SA"/>
        </w:rPr>
        <w:t>ay 21</w:t>
      </w:r>
      <w:r w:rsidR="00F84C31">
        <w:rPr>
          <w:lang w:bidi="ar-SA"/>
        </w:rPr>
        <w:t xml:space="preserve"> (Wan </w:t>
      </w:r>
      <w:r w:rsidR="00180A32" w:rsidRPr="00180A32">
        <w:rPr>
          <w:i/>
          <w:lang w:bidi="ar-SA"/>
        </w:rPr>
        <w:t xml:space="preserve">et al. </w:t>
      </w:r>
      <w:r w:rsidR="00F22DA6">
        <w:rPr>
          <w:lang w:bidi="ar-SA"/>
        </w:rPr>
        <w:t xml:space="preserve"> </w:t>
      </w:r>
      <w:r w:rsidR="00F84C31">
        <w:rPr>
          <w:lang w:bidi="ar-SA"/>
        </w:rPr>
        <w:t>2012, reviewed by US EPA 2016)</w:t>
      </w:r>
      <w:r w:rsidR="00883A16">
        <w:rPr>
          <w:lang w:bidi="ar-SA"/>
        </w:rPr>
        <w:t>. Increased liver weights, yellowish colouration of the tissues and increas</w:t>
      </w:r>
      <w:r>
        <w:rPr>
          <w:lang w:bidi="ar-SA"/>
        </w:rPr>
        <w:t>e</w:t>
      </w:r>
      <w:r w:rsidR="00883A16">
        <w:rPr>
          <w:lang w:bidi="ar-SA"/>
        </w:rPr>
        <w:t>d liver triglycerides were observed at 5 and 10 mg/kg bw/day</w:t>
      </w:r>
      <w:r w:rsidR="003A401B">
        <w:rPr>
          <w:lang w:bidi="ar-SA"/>
        </w:rPr>
        <w:t xml:space="preserve">. </w:t>
      </w:r>
      <w:r>
        <w:rPr>
          <w:lang w:bidi="ar-SA"/>
        </w:rPr>
        <w:t>T</w:t>
      </w:r>
      <w:r w:rsidR="00883A16">
        <w:rPr>
          <w:lang w:bidi="ar-SA"/>
        </w:rPr>
        <w:t>he authors concluded that the hepatic changes were similar to those associated with non</w:t>
      </w:r>
      <w:r w:rsidR="000203C4">
        <w:rPr>
          <w:lang w:bidi="ar-SA"/>
        </w:rPr>
        <w:t>-alcoholic</w:t>
      </w:r>
      <w:r w:rsidR="00883A16">
        <w:rPr>
          <w:lang w:bidi="ar-SA"/>
        </w:rPr>
        <w:t xml:space="preserve"> fatty liver disease in humans and not totally </w:t>
      </w:r>
      <w:r>
        <w:rPr>
          <w:lang w:bidi="ar-SA"/>
        </w:rPr>
        <w:t>related to</w:t>
      </w:r>
      <w:r w:rsidR="00883A16">
        <w:rPr>
          <w:lang w:bidi="ar-SA"/>
        </w:rPr>
        <w:t xml:space="preserve"> PPAR</w:t>
      </w:r>
      <w:r w:rsidR="00883A16">
        <w:rPr>
          <w:rFonts w:cs="Arial"/>
          <w:lang w:bidi="ar-SA"/>
        </w:rPr>
        <w:t>α</w:t>
      </w:r>
      <w:r w:rsidR="00883A16">
        <w:rPr>
          <w:lang w:bidi="ar-SA"/>
        </w:rPr>
        <w:t xml:space="preserve"> activation.</w:t>
      </w:r>
    </w:p>
    <w:p w14:paraId="7DC5BCFC" w14:textId="77777777" w:rsidR="00883A16" w:rsidRDefault="00883A16" w:rsidP="00A111E9">
      <w:pPr>
        <w:rPr>
          <w:lang w:bidi="ar-SA"/>
        </w:rPr>
      </w:pPr>
    </w:p>
    <w:p w14:paraId="7888EC74" w14:textId="6CD8A279" w:rsidR="00883A16" w:rsidRDefault="00950F4D" w:rsidP="00A111E9">
      <w:pPr>
        <w:rPr>
          <w:lang w:bidi="ar-SA"/>
        </w:rPr>
      </w:pPr>
      <w:r>
        <w:rPr>
          <w:lang w:bidi="ar-SA"/>
        </w:rPr>
        <w:t xml:space="preserve">Significant decreases in triglycerides, total cholesterol, HDL, non-HDL and </w:t>
      </w:r>
      <w:r w:rsidR="00DB32BD">
        <w:rPr>
          <w:lang w:bidi="ar-SA"/>
        </w:rPr>
        <w:t>very low density lipoprotein (</w:t>
      </w:r>
      <w:r>
        <w:rPr>
          <w:lang w:bidi="ar-SA"/>
        </w:rPr>
        <w:t>VLDL</w:t>
      </w:r>
      <w:r w:rsidR="00DB32BD">
        <w:rPr>
          <w:lang w:bidi="ar-SA"/>
        </w:rPr>
        <w:t>)</w:t>
      </w:r>
      <w:r>
        <w:rPr>
          <w:lang w:bidi="ar-SA"/>
        </w:rPr>
        <w:t xml:space="preserve"> were found in APOE*3-Leiden.CETP mice given PFOS at 3 mg/kg bw/day </w:t>
      </w:r>
      <w:r w:rsidR="0013436B">
        <w:rPr>
          <w:lang w:bidi="ar-SA"/>
        </w:rPr>
        <w:t xml:space="preserve">in </w:t>
      </w:r>
      <w:r>
        <w:rPr>
          <w:lang w:bidi="ar-SA"/>
        </w:rPr>
        <w:t>the diet for 4 weeks</w:t>
      </w:r>
      <w:r w:rsidR="00F84C31">
        <w:rPr>
          <w:lang w:bidi="ar-SA"/>
        </w:rPr>
        <w:t xml:space="preserve"> (Bijland </w:t>
      </w:r>
      <w:r w:rsidR="00180A32" w:rsidRPr="00180A32">
        <w:rPr>
          <w:i/>
          <w:lang w:bidi="ar-SA"/>
        </w:rPr>
        <w:t xml:space="preserve">et al. </w:t>
      </w:r>
      <w:r w:rsidR="00F22DA6">
        <w:rPr>
          <w:lang w:bidi="ar-SA"/>
        </w:rPr>
        <w:t xml:space="preserve"> </w:t>
      </w:r>
      <w:r w:rsidR="00F84C31">
        <w:rPr>
          <w:lang w:bidi="ar-SA"/>
        </w:rPr>
        <w:t>2011, reviewed by US EPA 2016)</w:t>
      </w:r>
      <w:r>
        <w:rPr>
          <w:lang w:bidi="ar-SA"/>
        </w:rPr>
        <w:t>. This strain of mice exhibits human-like lipoprotein metabolism. PFO</w:t>
      </w:r>
      <w:r w:rsidR="00EF66B2">
        <w:rPr>
          <w:lang w:bidi="ar-SA"/>
        </w:rPr>
        <w:t>S</w:t>
      </w:r>
      <w:r>
        <w:rPr>
          <w:lang w:bidi="ar-SA"/>
        </w:rPr>
        <w:t xml:space="preserve"> decrease</w:t>
      </w:r>
      <w:r w:rsidR="00EF66B2">
        <w:rPr>
          <w:lang w:bidi="ar-SA"/>
        </w:rPr>
        <w:t>d</w:t>
      </w:r>
      <w:r>
        <w:rPr>
          <w:lang w:bidi="ar-SA"/>
        </w:rPr>
        <w:t xml:space="preserve"> hepatic VLDL production leading to increased retention of triglycerides (steatosis) and hepatomegaly. </w:t>
      </w:r>
      <w:r w:rsidR="00AE662B">
        <w:rPr>
          <w:lang w:bidi="ar-SA"/>
        </w:rPr>
        <w:t>Microarray analysis of liver samples found i</w:t>
      </w:r>
      <w:r w:rsidR="00EF66B2">
        <w:rPr>
          <w:lang w:bidi="ar-SA"/>
        </w:rPr>
        <w:t xml:space="preserve">ncreased </w:t>
      </w:r>
      <w:r w:rsidR="00AE662B">
        <w:rPr>
          <w:lang w:bidi="ar-SA"/>
        </w:rPr>
        <w:t xml:space="preserve">mRNA </w:t>
      </w:r>
      <w:r w:rsidR="00EF66B2">
        <w:rPr>
          <w:lang w:bidi="ar-SA"/>
        </w:rPr>
        <w:t>expression of</w:t>
      </w:r>
      <w:r>
        <w:rPr>
          <w:lang w:bidi="ar-SA"/>
        </w:rPr>
        <w:t xml:space="preserve"> </w:t>
      </w:r>
      <w:r w:rsidR="00AE662B">
        <w:rPr>
          <w:lang w:bidi="ar-SA"/>
        </w:rPr>
        <w:t>genes involved with fatty acid uptake and transport and catabolism, triglyceride synthesis, cholesterol storage and VLDL synthesis. Genes involved with HDL synthesis, maturation</w:t>
      </w:r>
      <w:r w:rsidR="006B2BA7">
        <w:rPr>
          <w:lang w:bidi="ar-SA"/>
        </w:rPr>
        <w:t>,</w:t>
      </w:r>
      <w:r w:rsidR="00AE662B">
        <w:rPr>
          <w:lang w:bidi="ar-SA"/>
        </w:rPr>
        <w:t xml:space="preserve"> clearance and bile acid formation and secretion were downregulated. </w:t>
      </w:r>
      <w:r w:rsidR="006B2BA7">
        <w:rPr>
          <w:lang w:bidi="ar-SA"/>
        </w:rPr>
        <w:t>PFOS increased PXR expression, accompanied by an increase in Cyp3a11</w:t>
      </w:r>
      <w:r w:rsidR="007E6AF9">
        <w:rPr>
          <w:lang w:bidi="ar-SA"/>
        </w:rPr>
        <w:t xml:space="preserve"> expression</w:t>
      </w:r>
      <w:r w:rsidR="006B2BA7">
        <w:rPr>
          <w:lang w:bidi="ar-SA"/>
        </w:rPr>
        <w:t xml:space="preserve"> and decrease in Cyp7a1</w:t>
      </w:r>
      <w:r w:rsidR="007E6AF9">
        <w:rPr>
          <w:lang w:bidi="ar-SA"/>
        </w:rPr>
        <w:t>expression</w:t>
      </w:r>
      <w:r w:rsidR="006B2BA7">
        <w:rPr>
          <w:lang w:bidi="ar-SA"/>
        </w:rPr>
        <w:t xml:space="preserve">, both typical for PXR </w:t>
      </w:r>
      <w:r w:rsidR="00AA420B">
        <w:rPr>
          <w:lang w:bidi="ar-SA"/>
        </w:rPr>
        <w:t>activation. The authors</w:t>
      </w:r>
      <w:r w:rsidR="006B2BA7">
        <w:rPr>
          <w:lang w:bidi="ar-SA"/>
        </w:rPr>
        <w:t xml:space="preserve"> considered tha</w:t>
      </w:r>
      <w:r w:rsidR="00AA420B">
        <w:rPr>
          <w:lang w:bidi="ar-SA"/>
        </w:rPr>
        <w:t>t</w:t>
      </w:r>
      <w:r w:rsidR="006B2BA7">
        <w:rPr>
          <w:lang w:bidi="ar-SA"/>
        </w:rPr>
        <w:t xml:space="preserve"> the effects of PFOS on lipid metabolism are </w:t>
      </w:r>
      <w:r w:rsidR="00AA420B">
        <w:rPr>
          <w:lang w:bidi="ar-SA"/>
        </w:rPr>
        <w:t xml:space="preserve">suggestive </w:t>
      </w:r>
      <w:r w:rsidR="006B2BA7">
        <w:rPr>
          <w:lang w:bidi="ar-SA"/>
        </w:rPr>
        <w:t xml:space="preserve">of </w:t>
      </w:r>
      <w:r w:rsidR="00AA420B">
        <w:rPr>
          <w:lang w:bidi="ar-SA"/>
        </w:rPr>
        <w:t xml:space="preserve">the </w:t>
      </w:r>
      <w:r w:rsidR="006B2BA7">
        <w:rPr>
          <w:lang w:bidi="ar-SA"/>
        </w:rPr>
        <w:t>activation of nuclear receptors that include PPAR</w:t>
      </w:r>
      <w:r w:rsidR="006B2BA7">
        <w:rPr>
          <w:rFonts w:cs="Arial"/>
          <w:lang w:bidi="ar-SA"/>
        </w:rPr>
        <w:t>α</w:t>
      </w:r>
      <w:r w:rsidR="006B2BA7">
        <w:rPr>
          <w:lang w:bidi="ar-SA"/>
        </w:rPr>
        <w:t xml:space="preserve"> and PXR.</w:t>
      </w:r>
    </w:p>
    <w:p w14:paraId="11C39675" w14:textId="4B3A0572" w:rsidR="00534F14" w:rsidRPr="00534F14" w:rsidRDefault="00534F14" w:rsidP="005F1486">
      <w:pPr>
        <w:pStyle w:val="Heading5"/>
      </w:pPr>
      <w:r w:rsidRPr="00534F14">
        <w:t>Rats</w:t>
      </w:r>
    </w:p>
    <w:p w14:paraId="77B11BA0" w14:textId="54DDE825" w:rsidR="00534F14" w:rsidRDefault="000B2048" w:rsidP="00A111E9">
      <w:pPr>
        <w:rPr>
          <w:lang w:bidi="ar-SA"/>
        </w:rPr>
      </w:pPr>
      <w:r>
        <w:rPr>
          <w:lang w:bidi="ar-SA"/>
        </w:rPr>
        <w:t xml:space="preserve">Male Wistar rats </w:t>
      </w:r>
      <w:r w:rsidR="009E74AD">
        <w:rPr>
          <w:lang w:bidi="ar-SA"/>
        </w:rPr>
        <w:t xml:space="preserve">were </w:t>
      </w:r>
      <w:r>
        <w:rPr>
          <w:lang w:bidi="ar-SA"/>
        </w:rPr>
        <w:t xml:space="preserve">given PFOS as a single oral dose </w:t>
      </w:r>
      <w:r w:rsidR="00EF66B2">
        <w:rPr>
          <w:lang w:bidi="ar-SA"/>
        </w:rPr>
        <w:t>of</w:t>
      </w:r>
      <w:r w:rsidR="009E74AD">
        <w:rPr>
          <w:lang w:bidi="ar-SA"/>
        </w:rPr>
        <w:t xml:space="preserve"> 0, 125, 250 or</w:t>
      </w:r>
      <w:r w:rsidR="00EF66B2">
        <w:rPr>
          <w:lang w:bidi="ar-SA"/>
        </w:rPr>
        <w:t xml:space="preserve"> </w:t>
      </w:r>
      <w:r>
        <w:rPr>
          <w:lang w:bidi="ar-SA"/>
        </w:rPr>
        <w:t>500 mg/kg bw</w:t>
      </w:r>
      <w:r w:rsidR="009E74AD">
        <w:rPr>
          <w:lang w:bidi="ar-SA"/>
        </w:rPr>
        <w:t xml:space="preserve"> (Sato </w:t>
      </w:r>
      <w:r w:rsidR="00180A32" w:rsidRPr="00180A32">
        <w:rPr>
          <w:i/>
          <w:lang w:bidi="ar-SA"/>
        </w:rPr>
        <w:t xml:space="preserve">et al. </w:t>
      </w:r>
      <w:r w:rsidR="00F22DA6">
        <w:rPr>
          <w:lang w:bidi="ar-SA"/>
        </w:rPr>
        <w:t xml:space="preserve"> </w:t>
      </w:r>
      <w:r w:rsidR="009E74AD">
        <w:rPr>
          <w:lang w:bidi="ar-SA"/>
        </w:rPr>
        <w:t>2009, reviewed by US EPA 2016). One of three rats in the 250 mg/kg bw group and both rats administered 500 mg/kg bw died.</w:t>
      </w:r>
      <w:r>
        <w:rPr>
          <w:lang w:bidi="ar-SA"/>
        </w:rPr>
        <w:t xml:space="preserve"> </w:t>
      </w:r>
      <w:r w:rsidR="00F61345">
        <w:rPr>
          <w:lang w:bidi="ar-SA"/>
        </w:rPr>
        <w:t xml:space="preserve">Rats </w:t>
      </w:r>
      <w:r>
        <w:rPr>
          <w:lang w:bidi="ar-SA"/>
        </w:rPr>
        <w:t>did n</w:t>
      </w:r>
      <w:r w:rsidR="00EB468B">
        <w:rPr>
          <w:lang w:bidi="ar-SA"/>
        </w:rPr>
        <w:t xml:space="preserve">ot show any </w:t>
      </w:r>
      <w:r w:rsidR="00EF66B2">
        <w:rPr>
          <w:lang w:bidi="ar-SA"/>
        </w:rPr>
        <w:t xml:space="preserve">clinical </w:t>
      </w:r>
      <w:r w:rsidR="00EB468B">
        <w:rPr>
          <w:lang w:bidi="ar-SA"/>
        </w:rPr>
        <w:t>signs</w:t>
      </w:r>
      <w:r w:rsidR="009E74AD">
        <w:rPr>
          <w:lang w:bidi="ar-SA"/>
        </w:rPr>
        <w:t xml:space="preserve"> that suggested a neurological effect of PFOS</w:t>
      </w:r>
      <w:r w:rsidR="00EB468B">
        <w:rPr>
          <w:lang w:bidi="ar-SA"/>
        </w:rPr>
        <w:t>. D</w:t>
      </w:r>
      <w:r w:rsidR="006236DF">
        <w:rPr>
          <w:lang w:bidi="ar-SA"/>
        </w:rPr>
        <w:t>ecreased body weight or delayed</w:t>
      </w:r>
      <w:r w:rsidR="00EB468B">
        <w:rPr>
          <w:lang w:bidi="ar-SA"/>
        </w:rPr>
        <w:t xml:space="preserve"> body weight gain was seen in rats given 250 mg/kg bw</w:t>
      </w:r>
      <w:r w:rsidR="006051C0">
        <w:rPr>
          <w:lang w:bidi="ar-SA"/>
        </w:rPr>
        <w:t xml:space="preserve"> in the 14 days following treatment</w:t>
      </w:r>
      <w:r w:rsidR="00F14089">
        <w:rPr>
          <w:lang w:bidi="ar-SA"/>
        </w:rPr>
        <w:t>.</w:t>
      </w:r>
      <w:r w:rsidR="00EB468B">
        <w:rPr>
          <w:lang w:bidi="ar-SA"/>
        </w:rPr>
        <w:t xml:space="preserve"> No histopathological changes were observed</w:t>
      </w:r>
      <w:r w:rsidR="006051C0">
        <w:rPr>
          <w:lang w:bidi="ar-SA"/>
        </w:rPr>
        <w:t xml:space="preserve"> </w:t>
      </w:r>
      <w:r w:rsidR="00EB468B">
        <w:rPr>
          <w:lang w:bidi="ar-SA"/>
        </w:rPr>
        <w:t xml:space="preserve">in the neuronal or glial cells of the cerebrum and </w:t>
      </w:r>
      <w:r w:rsidR="00EB468B">
        <w:rPr>
          <w:lang w:bidi="ar-SA"/>
        </w:rPr>
        <w:lastRenderedPageBreak/>
        <w:t>cerebellum of rats killed 24 hours after exposure. No differences in levels of catecholamines or amino acids were seen in rats administered 250 mg/kg bw compared with controls 24 and 48 hours following treatment.</w:t>
      </w:r>
    </w:p>
    <w:p w14:paraId="715FBB03" w14:textId="77777777" w:rsidR="00EB468B" w:rsidRDefault="00EB468B" w:rsidP="00A111E9">
      <w:pPr>
        <w:rPr>
          <w:lang w:bidi="ar-SA"/>
        </w:rPr>
      </w:pPr>
    </w:p>
    <w:p w14:paraId="1EAE7442" w14:textId="3C21BF7D" w:rsidR="00EB468B" w:rsidRDefault="00F824F0" w:rsidP="00A111E9">
      <w:pPr>
        <w:rPr>
          <w:lang w:bidi="ar-SA"/>
        </w:rPr>
      </w:pPr>
      <w:r>
        <w:rPr>
          <w:lang w:bidi="ar-SA"/>
        </w:rPr>
        <w:t>Sprague</w:t>
      </w:r>
      <w:r w:rsidR="00032CF6">
        <w:rPr>
          <w:lang w:bidi="ar-SA"/>
        </w:rPr>
        <w:t xml:space="preserve"> </w:t>
      </w:r>
      <w:r>
        <w:rPr>
          <w:lang w:bidi="ar-SA"/>
        </w:rPr>
        <w:t xml:space="preserve">Dawley rats (15/sex/dose) were administered 0, 2, 20, 50 or 100 mg/kg PFOS/kg diet for 28 days (Curran </w:t>
      </w:r>
      <w:r w:rsidR="00180A32" w:rsidRPr="00180A32">
        <w:rPr>
          <w:i/>
          <w:lang w:bidi="ar-SA"/>
        </w:rPr>
        <w:t xml:space="preserve">et al. </w:t>
      </w:r>
      <w:r w:rsidR="00713213">
        <w:rPr>
          <w:lang w:bidi="ar-SA"/>
        </w:rPr>
        <w:t xml:space="preserve"> </w:t>
      </w:r>
      <w:r w:rsidR="005727E4">
        <w:rPr>
          <w:lang w:bidi="ar-SA"/>
        </w:rPr>
        <w:t>2008, reviewed by US EPA 2016)</w:t>
      </w:r>
      <w:r w:rsidR="006236DF">
        <w:rPr>
          <w:lang w:bidi="ar-SA"/>
        </w:rPr>
        <w:t xml:space="preserve">. </w:t>
      </w:r>
      <w:r>
        <w:rPr>
          <w:lang w:bidi="ar-SA"/>
        </w:rPr>
        <w:t xml:space="preserve">This was equivalent to 0, 0.14, 1.33, 3.21 or 6.34 mg/kg bw/day respectively in males and 0, 0.15, 1.43, 3.73 or 7.58 mg/kg bw/day respectively in females. </w:t>
      </w:r>
      <w:r w:rsidR="006236DF">
        <w:rPr>
          <w:lang w:bidi="ar-SA"/>
        </w:rPr>
        <w:t>Increased absolute</w:t>
      </w:r>
      <w:r>
        <w:rPr>
          <w:lang w:bidi="ar-SA"/>
        </w:rPr>
        <w:t xml:space="preserve"> liver weights were observed in females at doses </w:t>
      </w:r>
      <w:r>
        <w:rPr>
          <w:rFonts w:cs="Arial"/>
          <w:lang w:bidi="ar-SA"/>
        </w:rPr>
        <w:t>≥</w:t>
      </w:r>
      <w:r>
        <w:rPr>
          <w:lang w:bidi="ar-SA"/>
        </w:rPr>
        <w:t xml:space="preserve"> 1.43 mg/kg bw/day and in males at doses </w:t>
      </w:r>
      <w:r>
        <w:rPr>
          <w:rFonts w:cs="Arial"/>
          <w:lang w:bidi="ar-SA"/>
        </w:rPr>
        <w:t>≥</w:t>
      </w:r>
      <w:r>
        <w:rPr>
          <w:lang w:bidi="ar-SA"/>
        </w:rPr>
        <w:t xml:space="preserve"> 3.21 mg/kg bw/day. R</w:t>
      </w:r>
      <w:r w:rsidR="006236DF">
        <w:rPr>
          <w:lang w:bidi="ar-SA"/>
        </w:rPr>
        <w:t xml:space="preserve">elative liver weights were </w:t>
      </w:r>
      <w:r>
        <w:rPr>
          <w:lang w:bidi="ar-SA"/>
        </w:rPr>
        <w:t xml:space="preserve">increased in females at all doses and in males at doses </w:t>
      </w:r>
      <w:r>
        <w:rPr>
          <w:rFonts w:cs="Arial"/>
          <w:lang w:bidi="ar-SA"/>
        </w:rPr>
        <w:t>≥</w:t>
      </w:r>
      <w:r>
        <w:rPr>
          <w:lang w:bidi="ar-SA"/>
        </w:rPr>
        <w:t xml:space="preserve"> 1.33 mg/kg bw/day.</w:t>
      </w:r>
      <w:r w:rsidR="006236DF">
        <w:rPr>
          <w:lang w:bidi="ar-SA"/>
        </w:rPr>
        <w:t xml:space="preserve"> Increases in hepatocyte hypertrophy</w:t>
      </w:r>
      <w:r w:rsidR="00DE3460">
        <w:rPr>
          <w:lang w:bidi="ar-SA"/>
        </w:rPr>
        <w:t xml:space="preserve"> in the centrilobular region were observed in male rats at 3.21 and 6.34 mg/kg bw/day, while</w:t>
      </w:r>
      <w:r w:rsidR="006236DF">
        <w:rPr>
          <w:lang w:bidi="ar-SA"/>
        </w:rPr>
        <w:t xml:space="preserve"> </w:t>
      </w:r>
      <w:r w:rsidR="00DE3460">
        <w:rPr>
          <w:lang w:bidi="ar-SA"/>
        </w:rPr>
        <w:t xml:space="preserve">an increase in </w:t>
      </w:r>
      <w:r w:rsidR="006236DF">
        <w:rPr>
          <w:lang w:bidi="ar-SA"/>
        </w:rPr>
        <w:t>cytoplasmic homogeneity</w:t>
      </w:r>
      <w:r w:rsidR="00DE3460">
        <w:rPr>
          <w:lang w:bidi="ar-SA"/>
        </w:rPr>
        <w:t xml:space="preserve"> in centrilobular hepatocytes was </w:t>
      </w:r>
      <w:r w:rsidR="006236DF">
        <w:rPr>
          <w:lang w:bidi="ar-SA"/>
        </w:rPr>
        <w:t xml:space="preserve">seen at doses </w:t>
      </w:r>
      <w:r w:rsidR="006236DF">
        <w:rPr>
          <w:rFonts w:cs="Arial"/>
          <w:lang w:bidi="ar-SA"/>
        </w:rPr>
        <w:t>≥</w:t>
      </w:r>
      <w:r w:rsidR="006236DF">
        <w:rPr>
          <w:lang w:bidi="ar-SA"/>
        </w:rPr>
        <w:t xml:space="preserve"> 3.21 or 3.73 mg/kg bw/day in males and females, respectively.</w:t>
      </w:r>
      <w:r w:rsidR="00DE3460">
        <w:rPr>
          <w:lang w:bidi="ar-SA"/>
        </w:rPr>
        <w:t xml:space="preserve"> There was a significant trend for increased serum </w:t>
      </w:r>
      <w:r w:rsidR="00DE3460" w:rsidRPr="00DE3460">
        <w:rPr>
          <w:lang w:bidi="ar-SA"/>
        </w:rPr>
        <w:t>alanine aminotransferase</w:t>
      </w:r>
      <w:r w:rsidR="00DE3460">
        <w:rPr>
          <w:lang w:bidi="ar-SA"/>
        </w:rPr>
        <w:t xml:space="preserve"> (ALT) in males</w:t>
      </w:r>
      <w:r w:rsidR="00E46F7F">
        <w:rPr>
          <w:lang w:bidi="ar-SA"/>
        </w:rPr>
        <w:t xml:space="preserve">, but not in females, </w:t>
      </w:r>
      <w:r w:rsidR="009C394E">
        <w:rPr>
          <w:lang w:bidi="ar-SA"/>
        </w:rPr>
        <w:t>with a significant increase at the high dose compared with controls</w:t>
      </w:r>
      <w:r w:rsidR="00DE3460">
        <w:rPr>
          <w:lang w:bidi="ar-SA"/>
        </w:rPr>
        <w:t>.</w:t>
      </w:r>
      <w:r w:rsidR="006236DF">
        <w:rPr>
          <w:lang w:bidi="ar-SA"/>
        </w:rPr>
        <w:t xml:space="preserve"> Serum cholesterol was significantly decreased in both sexes at </w:t>
      </w:r>
      <w:r w:rsidR="00DE3460">
        <w:rPr>
          <w:lang w:bidi="ar-SA"/>
        </w:rPr>
        <w:t>these doses</w:t>
      </w:r>
      <w:r w:rsidR="006236DF">
        <w:rPr>
          <w:lang w:bidi="ar-SA"/>
        </w:rPr>
        <w:t xml:space="preserve">. Serum levels of total and conjugated bilirubin were significantly increased at the highest dose in males and females (6.34 and 7.58 mg/kg bw/day respectively), with conjugated bilirubin also increased in </w:t>
      </w:r>
      <w:r w:rsidR="00DE3460">
        <w:rPr>
          <w:lang w:bidi="ar-SA"/>
        </w:rPr>
        <w:t>fe</w:t>
      </w:r>
      <w:r w:rsidR="006236DF">
        <w:rPr>
          <w:lang w:bidi="ar-SA"/>
        </w:rPr>
        <w:t xml:space="preserve">males at 3.21 mg/kg bw/day. </w:t>
      </w:r>
      <w:r w:rsidR="005727E4">
        <w:rPr>
          <w:lang w:bidi="ar-SA"/>
        </w:rPr>
        <w:t xml:space="preserve">Serum </w:t>
      </w:r>
      <w:r w:rsidR="007C77C3">
        <w:rPr>
          <w:lang w:bidi="ar-SA"/>
        </w:rPr>
        <w:t>thyroxine (</w:t>
      </w:r>
      <w:r w:rsidR="005727E4">
        <w:rPr>
          <w:lang w:bidi="ar-SA"/>
        </w:rPr>
        <w:t>T4</w:t>
      </w:r>
      <w:r w:rsidR="007C77C3">
        <w:rPr>
          <w:lang w:bidi="ar-SA"/>
        </w:rPr>
        <w:t>)</w:t>
      </w:r>
      <w:r w:rsidR="005727E4">
        <w:rPr>
          <w:lang w:bidi="ar-SA"/>
        </w:rPr>
        <w:t xml:space="preserve"> and T3 levels were decreased in both sexes, with a significant reduction in T4 occur</w:t>
      </w:r>
      <w:r w:rsidR="00CC26CA">
        <w:rPr>
          <w:lang w:bidi="ar-SA"/>
        </w:rPr>
        <w:t>ring</w:t>
      </w:r>
      <w:r w:rsidR="005727E4">
        <w:rPr>
          <w:lang w:bidi="ar-SA"/>
        </w:rPr>
        <w:t xml:space="preserve"> at doses </w:t>
      </w:r>
      <w:r w:rsidR="005727E4">
        <w:rPr>
          <w:rFonts w:cs="Arial"/>
          <w:lang w:bidi="ar-SA"/>
        </w:rPr>
        <w:t>≥</w:t>
      </w:r>
      <w:r w:rsidR="005727E4">
        <w:rPr>
          <w:lang w:bidi="ar-SA"/>
        </w:rPr>
        <w:t xml:space="preserve"> 1.33/1.43 mg/kg bw/day.</w:t>
      </w:r>
    </w:p>
    <w:p w14:paraId="3AFF0F8E" w14:textId="73FDCC1B" w:rsidR="00024701" w:rsidRDefault="00024701" w:rsidP="00A111E9">
      <w:pPr>
        <w:rPr>
          <w:lang w:bidi="ar-SA"/>
        </w:rPr>
      </w:pPr>
    </w:p>
    <w:p w14:paraId="43717E0F" w14:textId="48B38F76" w:rsidR="00024701" w:rsidRDefault="00EC7FD7" w:rsidP="00A111E9">
      <w:pPr>
        <w:rPr>
          <w:lang w:bidi="ar-SA"/>
        </w:rPr>
      </w:pPr>
      <w:r>
        <w:rPr>
          <w:lang w:bidi="ar-SA"/>
        </w:rPr>
        <w:t>M</w:t>
      </w:r>
      <w:r w:rsidR="00024701">
        <w:rPr>
          <w:lang w:bidi="ar-SA"/>
        </w:rPr>
        <w:t>ale Sprague</w:t>
      </w:r>
      <w:r w:rsidR="00032CF6">
        <w:rPr>
          <w:lang w:bidi="ar-SA"/>
        </w:rPr>
        <w:t xml:space="preserve"> </w:t>
      </w:r>
      <w:r w:rsidR="00024701">
        <w:rPr>
          <w:lang w:bidi="ar-SA"/>
        </w:rPr>
        <w:t>Dawley rats</w:t>
      </w:r>
      <w:r>
        <w:rPr>
          <w:lang w:bidi="ar-SA"/>
        </w:rPr>
        <w:t xml:space="preserve"> were</w:t>
      </w:r>
      <w:r w:rsidR="00024701">
        <w:rPr>
          <w:lang w:bidi="ar-SA"/>
        </w:rPr>
        <w:t xml:space="preserve"> administered PFOS at 0, 5 or 20 mg/kg bw/day by oral gavage</w:t>
      </w:r>
      <w:r>
        <w:rPr>
          <w:lang w:bidi="ar-SA"/>
        </w:rPr>
        <w:t xml:space="preserve"> for 28 days. A</w:t>
      </w:r>
      <w:r w:rsidR="00024701">
        <w:rPr>
          <w:lang w:bidi="ar-SA"/>
        </w:rPr>
        <w:t xml:space="preserve">ll rats in the high dose group died by study day 26 (Cui </w:t>
      </w:r>
      <w:r w:rsidR="00180A32" w:rsidRPr="00180A32">
        <w:rPr>
          <w:i/>
          <w:lang w:bidi="ar-SA"/>
        </w:rPr>
        <w:t xml:space="preserve">et al. </w:t>
      </w:r>
      <w:r w:rsidR="00713213">
        <w:rPr>
          <w:lang w:bidi="ar-SA"/>
        </w:rPr>
        <w:t xml:space="preserve"> </w:t>
      </w:r>
      <w:r w:rsidR="00024701">
        <w:rPr>
          <w:lang w:bidi="ar-SA"/>
        </w:rPr>
        <w:t xml:space="preserve">2009, reviewed by US EPA 2016). </w:t>
      </w:r>
      <w:r w:rsidR="004D1CAC">
        <w:rPr>
          <w:lang w:bidi="ar-SA"/>
        </w:rPr>
        <w:t>Rats had bleeding around the eye socket and nose and yellow staining in the urogenital region at necropsy. Before death, the rats displayed significant weight loss and decreased food consumption compared with controls</w:t>
      </w:r>
      <w:r>
        <w:rPr>
          <w:lang w:bidi="ar-SA"/>
        </w:rPr>
        <w:t>. R</w:t>
      </w:r>
      <w:r w:rsidR="004D1CAC">
        <w:rPr>
          <w:lang w:bidi="ar-SA"/>
        </w:rPr>
        <w:t>ats administered 5 mg/kg bw/day</w:t>
      </w:r>
      <w:r>
        <w:rPr>
          <w:lang w:bidi="ar-SA"/>
        </w:rPr>
        <w:t xml:space="preserve"> PFOS</w:t>
      </w:r>
      <w:r w:rsidR="004D1CAC">
        <w:rPr>
          <w:lang w:bidi="ar-SA"/>
        </w:rPr>
        <w:t xml:space="preserve"> also had decreased body weight</w:t>
      </w:r>
      <w:r w:rsidR="00937DB1">
        <w:rPr>
          <w:lang w:bidi="ar-SA"/>
        </w:rPr>
        <w:t>s</w:t>
      </w:r>
      <w:r w:rsidR="004D1CAC">
        <w:rPr>
          <w:lang w:bidi="ar-SA"/>
        </w:rPr>
        <w:t xml:space="preserve">. Swelling and discolouration of the liver were seen in rats administered 20 mg/kg bw/day, and histopathological examination found hepatocyte hypertrophy and cytoplasmic vacuolation. </w:t>
      </w:r>
      <w:r w:rsidR="00790AF7">
        <w:rPr>
          <w:lang w:bidi="ar-SA"/>
        </w:rPr>
        <w:t>Congestion and thickened wall</w:t>
      </w:r>
      <w:r w:rsidR="00937DB1">
        <w:rPr>
          <w:lang w:bidi="ar-SA"/>
        </w:rPr>
        <w:t>s</w:t>
      </w:r>
      <w:r w:rsidR="00790AF7">
        <w:rPr>
          <w:lang w:bidi="ar-SA"/>
        </w:rPr>
        <w:t xml:space="preserve"> </w:t>
      </w:r>
      <w:r w:rsidR="00937DB1">
        <w:rPr>
          <w:lang w:bidi="ar-SA"/>
        </w:rPr>
        <w:t xml:space="preserve">were </w:t>
      </w:r>
      <w:r w:rsidR="00790AF7">
        <w:rPr>
          <w:lang w:bidi="ar-SA"/>
        </w:rPr>
        <w:t>seen in the lungs of rats given 20 mg/kg bw/day, with pulmonary congestion also seen at 5 mg/kg bw/day.</w:t>
      </w:r>
    </w:p>
    <w:p w14:paraId="421D4FC2" w14:textId="65211B6C" w:rsidR="0049742D" w:rsidRPr="0049742D" w:rsidRDefault="0049742D" w:rsidP="005F1486">
      <w:pPr>
        <w:pStyle w:val="Heading5"/>
      </w:pPr>
      <w:r w:rsidRPr="0049742D">
        <w:t>Nonhuman primates</w:t>
      </w:r>
    </w:p>
    <w:p w14:paraId="2ABDEDDD" w14:textId="56CC4018" w:rsidR="00B06DEF" w:rsidRDefault="00EC7FD7" w:rsidP="00A111E9">
      <w:pPr>
        <w:rPr>
          <w:lang w:bidi="ar-SA"/>
        </w:rPr>
      </w:pPr>
      <w:r>
        <w:rPr>
          <w:lang w:bidi="ar-SA"/>
        </w:rPr>
        <w:t xml:space="preserve">All </w:t>
      </w:r>
      <w:r w:rsidR="001745CB">
        <w:rPr>
          <w:lang w:bidi="ar-SA"/>
        </w:rPr>
        <w:t>R</w:t>
      </w:r>
      <w:r w:rsidR="006051C0">
        <w:rPr>
          <w:lang w:bidi="ar-SA"/>
        </w:rPr>
        <w:t>hesus monkeys</w:t>
      </w:r>
      <w:r w:rsidR="00EB15F5">
        <w:rPr>
          <w:lang w:bidi="ar-SA"/>
        </w:rPr>
        <w:t xml:space="preserve"> (2/sex/dose)</w:t>
      </w:r>
      <w:r w:rsidR="006051C0">
        <w:rPr>
          <w:lang w:bidi="ar-SA"/>
        </w:rPr>
        <w:t xml:space="preserve"> administered 0, 10, 30, 100 or 300 mg/kg bw/day PFOS</w:t>
      </w:r>
      <w:r>
        <w:rPr>
          <w:lang w:bidi="ar-SA"/>
        </w:rPr>
        <w:t xml:space="preserve"> by oral gavage</w:t>
      </w:r>
      <w:r w:rsidR="00EB15F5">
        <w:rPr>
          <w:lang w:bidi="ar-SA"/>
        </w:rPr>
        <w:t xml:space="preserve"> died within 20 days (Goldenthal </w:t>
      </w:r>
      <w:r w:rsidR="00180A32" w:rsidRPr="00180A32">
        <w:rPr>
          <w:i/>
          <w:lang w:bidi="ar-SA"/>
        </w:rPr>
        <w:t xml:space="preserve">et al. </w:t>
      </w:r>
      <w:r w:rsidR="00713213">
        <w:rPr>
          <w:lang w:bidi="ar-SA"/>
        </w:rPr>
        <w:t xml:space="preserve"> </w:t>
      </w:r>
      <w:r w:rsidR="00EB15F5">
        <w:rPr>
          <w:lang w:bidi="ar-SA"/>
        </w:rPr>
        <w:t xml:space="preserve">1979, reviewed by EFSA 2008, UKCOT 2006 and US EPA 2016). Clinical signs observed in all dose groups included decreased activity, emesis with some </w:t>
      </w:r>
      <w:r w:rsidR="00BE205C">
        <w:rPr>
          <w:lang w:bidi="ar-SA"/>
        </w:rPr>
        <w:t>diarrhoea</w:t>
      </w:r>
      <w:r w:rsidR="00EB15F5">
        <w:rPr>
          <w:lang w:bidi="ar-SA"/>
        </w:rPr>
        <w:t>, body stiffening, general body trembling, twitching, weakness and convulsions. Yellowish-brown discolouration of the liver was seen at necropsy in the 100 and 300 mg/kg bw/day groups, although no microscopic lesions were found on histological examination. Congestion, haemorrhage and lipid depletion of the adrenal cortex were observed in all treatment groups.</w:t>
      </w:r>
    </w:p>
    <w:p w14:paraId="7D2BCEA8" w14:textId="2FB7FCA7" w:rsidR="00534F14" w:rsidRDefault="00754101" w:rsidP="008A21E0">
      <w:pPr>
        <w:pStyle w:val="Heading5"/>
      </w:pPr>
      <w:r w:rsidRPr="00754101">
        <w:t>Subchronic toxicity studies</w:t>
      </w:r>
    </w:p>
    <w:p w14:paraId="387B1CE7" w14:textId="3358F570" w:rsidR="00A93516" w:rsidRDefault="005A7C17" w:rsidP="00A111E9">
      <w:pPr>
        <w:rPr>
          <w:lang w:bidi="ar-SA"/>
        </w:rPr>
      </w:pPr>
      <w:r>
        <w:rPr>
          <w:lang w:bidi="ar-SA"/>
        </w:rPr>
        <w:t>Subchronic toxicity studies with PFOS are available in rats and monkeys</w:t>
      </w:r>
      <w:r w:rsidR="00583F90">
        <w:rPr>
          <w:lang w:bidi="ar-SA"/>
        </w:rPr>
        <w:t>,</w:t>
      </w:r>
      <w:r>
        <w:rPr>
          <w:lang w:bidi="ar-SA"/>
        </w:rPr>
        <w:t xml:space="preserve"> but not in mice. Increased liver weights and </w:t>
      </w:r>
      <w:r w:rsidR="00583F90">
        <w:rPr>
          <w:szCs w:val="22"/>
          <w:lang w:bidi="ar-SA"/>
        </w:rPr>
        <w:t>ALT</w:t>
      </w:r>
      <w:r>
        <w:rPr>
          <w:szCs w:val="22"/>
          <w:lang w:bidi="ar-SA"/>
        </w:rPr>
        <w:t xml:space="preserve"> levels</w:t>
      </w:r>
      <w:r w:rsidR="008F1E51">
        <w:rPr>
          <w:lang w:bidi="ar-SA"/>
        </w:rPr>
        <w:t>, as well as reduced serum cholesterol levels,</w:t>
      </w:r>
      <w:r>
        <w:rPr>
          <w:szCs w:val="22"/>
          <w:lang w:bidi="ar-SA"/>
        </w:rPr>
        <w:t xml:space="preserve"> </w:t>
      </w:r>
      <w:r>
        <w:rPr>
          <w:lang w:bidi="ar-SA"/>
        </w:rPr>
        <w:t>were observed in rats</w:t>
      </w:r>
      <w:r w:rsidR="008F1E51">
        <w:rPr>
          <w:lang w:bidi="ar-SA"/>
        </w:rPr>
        <w:t xml:space="preserve"> administered </w:t>
      </w:r>
      <w:r w:rsidR="00583F90">
        <w:rPr>
          <w:lang w:bidi="ar-SA"/>
        </w:rPr>
        <w:t>PFOS at doses of approximately</w:t>
      </w:r>
      <w:r w:rsidR="008F1E51">
        <w:rPr>
          <w:lang w:bidi="ar-SA"/>
        </w:rPr>
        <w:t xml:space="preserve"> 1.5 mg/kg bw/day</w:t>
      </w:r>
      <w:r>
        <w:rPr>
          <w:lang w:bidi="ar-SA"/>
        </w:rPr>
        <w:t>. Increased liver weights</w:t>
      </w:r>
      <w:r w:rsidR="008F1E51">
        <w:rPr>
          <w:lang w:bidi="ar-SA"/>
        </w:rPr>
        <w:t>,</w:t>
      </w:r>
      <w:r>
        <w:rPr>
          <w:lang w:bidi="ar-SA"/>
        </w:rPr>
        <w:t xml:space="preserve"> decreased </w:t>
      </w:r>
      <w:r w:rsidR="00583F90">
        <w:rPr>
          <w:lang w:bidi="ar-SA"/>
        </w:rPr>
        <w:t xml:space="preserve">total </w:t>
      </w:r>
      <w:r>
        <w:rPr>
          <w:lang w:bidi="ar-SA"/>
        </w:rPr>
        <w:t>serum cholesterol</w:t>
      </w:r>
      <w:r w:rsidR="008F1E51">
        <w:rPr>
          <w:lang w:bidi="ar-SA"/>
        </w:rPr>
        <w:t xml:space="preserve"> and </w:t>
      </w:r>
      <w:r w:rsidR="00185513">
        <w:rPr>
          <w:lang w:bidi="ar-SA"/>
        </w:rPr>
        <w:t>HDL</w:t>
      </w:r>
      <w:r w:rsidR="00583F90">
        <w:rPr>
          <w:lang w:bidi="ar-SA"/>
        </w:rPr>
        <w:t xml:space="preserve"> cholesterol</w:t>
      </w:r>
      <w:r>
        <w:rPr>
          <w:lang w:bidi="ar-SA"/>
        </w:rPr>
        <w:t xml:space="preserve"> levels</w:t>
      </w:r>
      <w:r w:rsidR="008F1E51">
        <w:rPr>
          <w:lang w:bidi="ar-SA"/>
        </w:rPr>
        <w:t xml:space="preserve"> and alterations in thyroid hormone levels</w:t>
      </w:r>
      <w:r>
        <w:rPr>
          <w:lang w:bidi="ar-SA"/>
        </w:rPr>
        <w:t xml:space="preserve"> were observed in monkeys</w:t>
      </w:r>
      <w:r w:rsidR="00583F90">
        <w:rPr>
          <w:lang w:bidi="ar-SA"/>
        </w:rPr>
        <w:t xml:space="preserve"> from</w:t>
      </w:r>
      <w:r w:rsidR="008F1E51">
        <w:rPr>
          <w:lang w:bidi="ar-SA"/>
        </w:rPr>
        <w:t xml:space="preserve"> doses o</w:t>
      </w:r>
      <w:r w:rsidR="00583F90">
        <w:rPr>
          <w:lang w:bidi="ar-SA"/>
        </w:rPr>
        <w:t>f 0.15 mg/kg bw/day</w:t>
      </w:r>
      <w:r w:rsidR="008F1E51">
        <w:rPr>
          <w:lang w:bidi="ar-SA"/>
        </w:rPr>
        <w:t xml:space="preserve">. </w:t>
      </w:r>
      <w:r w:rsidR="00583F90">
        <w:rPr>
          <w:lang w:bidi="ar-SA"/>
        </w:rPr>
        <w:t>T</w:t>
      </w:r>
      <w:r w:rsidR="009C00B8">
        <w:rPr>
          <w:lang w:bidi="ar-SA"/>
        </w:rPr>
        <w:t>wo of six monkeys died</w:t>
      </w:r>
      <w:r w:rsidR="00B859B0">
        <w:rPr>
          <w:lang w:bidi="ar-SA"/>
        </w:rPr>
        <w:t xml:space="preserve"> or were sacrificed in a moribund condition</w:t>
      </w:r>
      <w:r w:rsidR="009C00B8">
        <w:rPr>
          <w:lang w:bidi="ar-SA"/>
        </w:rPr>
        <w:t xml:space="preserve"> at the hig</w:t>
      </w:r>
      <w:r w:rsidR="00B859B0">
        <w:rPr>
          <w:lang w:bidi="ar-SA"/>
        </w:rPr>
        <w:t>hest dose of 0.75 mg/kg bw/day.</w:t>
      </w:r>
    </w:p>
    <w:p w14:paraId="5E570E58" w14:textId="77777777" w:rsidR="00544803" w:rsidRDefault="00544803" w:rsidP="00A111E9">
      <w:pPr>
        <w:rPr>
          <w:lang w:bidi="ar-SA"/>
        </w:rPr>
      </w:pPr>
    </w:p>
    <w:p w14:paraId="4CCE2EDF" w14:textId="39186B5F" w:rsidR="00544803" w:rsidRDefault="00583F90" w:rsidP="00A111E9">
      <w:pPr>
        <w:rPr>
          <w:lang w:bidi="ar-SA"/>
        </w:rPr>
      </w:pPr>
      <w:r>
        <w:rPr>
          <w:lang w:bidi="ar-SA"/>
        </w:rPr>
        <w:t xml:space="preserve">A summary of relevant </w:t>
      </w:r>
      <w:r w:rsidR="00544803" w:rsidRPr="00544803">
        <w:rPr>
          <w:lang w:bidi="ar-SA"/>
        </w:rPr>
        <w:t xml:space="preserve">subchronic toxicity studies considered by overseas regulatory </w:t>
      </w:r>
      <w:r w:rsidR="00544803" w:rsidRPr="00544803">
        <w:rPr>
          <w:lang w:bidi="ar-SA"/>
        </w:rPr>
        <w:lastRenderedPageBreak/>
        <w:t>agencies and advisory bodies for establishing a HBGV for PFOS are summarised below.</w:t>
      </w:r>
    </w:p>
    <w:p w14:paraId="11B7DFFE" w14:textId="79463F0B" w:rsidR="00C92FA1" w:rsidRDefault="008B522A" w:rsidP="005F1486">
      <w:pPr>
        <w:pStyle w:val="Heading5"/>
      </w:pPr>
      <w:r w:rsidRPr="00534F14">
        <w:t>Rats</w:t>
      </w:r>
    </w:p>
    <w:p w14:paraId="220772A6" w14:textId="02947AC6" w:rsidR="004F2D7E" w:rsidRDefault="008770FD" w:rsidP="00A111E9">
      <w:pPr>
        <w:rPr>
          <w:rFonts w:cs="Arial"/>
          <w:b/>
          <w:szCs w:val="22"/>
          <w:lang w:bidi="ar-SA"/>
        </w:rPr>
      </w:pPr>
      <w:r>
        <w:rPr>
          <w:rFonts w:cs="Arial"/>
          <w:b/>
          <w:szCs w:val="22"/>
          <w:lang w:bidi="ar-SA"/>
        </w:rPr>
        <w:t xml:space="preserve">Seacat </w:t>
      </w:r>
      <w:r w:rsidR="00180A32" w:rsidRPr="00180A32">
        <w:rPr>
          <w:rFonts w:cs="Arial"/>
          <w:b/>
          <w:i/>
          <w:szCs w:val="22"/>
          <w:lang w:bidi="ar-SA"/>
        </w:rPr>
        <w:t xml:space="preserve">et al. </w:t>
      </w:r>
      <w:r w:rsidR="00F22DA6">
        <w:rPr>
          <w:rFonts w:cs="Arial"/>
          <w:b/>
          <w:szCs w:val="22"/>
          <w:lang w:bidi="ar-SA"/>
        </w:rPr>
        <w:t xml:space="preserve"> </w:t>
      </w:r>
      <w:r w:rsidR="008640CF">
        <w:rPr>
          <w:rFonts w:cs="Arial"/>
          <w:b/>
          <w:szCs w:val="22"/>
          <w:lang w:bidi="ar-SA"/>
        </w:rPr>
        <w:t>2003</w:t>
      </w:r>
      <w:r w:rsidR="00E07B4D">
        <w:rPr>
          <w:rFonts w:cs="Arial"/>
          <w:b/>
          <w:szCs w:val="22"/>
          <w:lang w:bidi="ar-SA"/>
        </w:rPr>
        <w:t xml:space="preserve"> </w:t>
      </w:r>
    </w:p>
    <w:p w14:paraId="5420CB3C" w14:textId="77777777" w:rsidR="004F2D7E" w:rsidRDefault="004F2D7E" w:rsidP="00A111E9">
      <w:pPr>
        <w:rPr>
          <w:rFonts w:cs="Arial"/>
          <w:b/>
          <w:szCs w:val="22"/>
          <w:lang w:bidi="ar-SA"/>
        </w:rPr>
      </w:pPr>
    </w:p>
    <w:p w14:paraId="5C7034D7" w14:textId="41A77DEC" w:rsidR="00583F90" w:rsidRDefault="004F2D7E" w:rsidP="00A111E9">
      <w:pPr>
        <w:rPr>
          <w:rFonts w:cs="Arial"/>
          <w:szCs w:val="22"/>
          <w:lang w:bidi="ar-SA"/>
        </w:rPr>
      </w:pPr>
      <w:r>
        <w:rPr>
          <w:rFonts w:cs="Arial"/>
          <w:szCs w:val="22"/>
          <w:lang w:bidi="ar-SA"/>
        </w:rPr>
        <w:t>A</w:t>
      </w:r>
      <w:r w:rsidR="00974176">
        <w:rPr>
          <w:rFonts w:cs="Arial"/>
          <w:szCs w:val="22"/>
          <w:lang w:bidi="ar-SA"/>
        </w:rPr>
        <w:t xml:space="preserve"> sub</w:t>
      </w:r>
      <w:r w:rsidR="00CC26CA">
        <w:rPr>
          <w:rFonts w:cs="Arial"/>
          <w:szCs w:val="22"/>
          <w:lang w:bidi="ar-SA"/>
        </w:rPr>
        <w:t>acute</w:t>
      </w:r>
      <w:r w:rsidR="00974176">
        <w:rPr>
          <w:rFonts w:cs="Arial"/>
          <w:szCs w:val="22"/>
          <w:lang w:bidi="ar-SA"/>
        </w:rPr>
        <w:t xml:space="preserve"> and sub</w:t>
      </w:r>
      <w:r w:rsidR="00CC26CA">
        <w:rPr>
          <w:rFonts w:cs="Arial"/>
          <w:szCs w:val="22"/>
          <w:lang w:bidi="ar-SA"/>
        </w:rPr>
        <w:t>chronic</w:t>
      </w:r>
      <w:r w:rsidR="00974176">
        <w:rPr>
          <w:rFonts w:cs="Arial"/>
          <w:szCs w:val="22"/>
          <w:lang w:bidi="ar-SA"/>
        </w:rPr>
        <w:t xml:space="preserve"> toxicity study in rats was performed as part of a chronic toxicity/carcinogenicity study with PFOS (Seacat </w:t>
      </w:r>
      <w:r w:rsidR="00180A32" w:rsidRPr="00180A32">
        <w:rPr>
          <w:rFonts w:cs="Arial"/>
          <w:i/>
          <w:szCs w:val="22"/>
          <w:lang w:bidi="ar-SA"/>
        </w:rPr>
        <w:t xml:space="preserve">et al. </w:t>
      </w:r>
      <w:r w:rsidR="00F22DA6">
        <w:rPr>
          <w:rFonts w:cs="Arial"/>
          <w:szCs w:val="22"/>
          <w:lang w:bidi="ar-SA"/>
        </w:rPr>
        <w:t xml:space="preserve"> </w:t>
      </w:r>
      <w:r w:rsidR="00974176">
        <w:rPr>
          <w:rFonts w:cs="Arial"/>
          <w:szCs w:val="22"/>
          <w:lang w:bidi="ar-SA"/>
        </w:rPr>
        <w:t>2003).</w:t>
      </w:r>
    </w:p>
    <w:p w14:paraId="53B0513C" w14:textId="77777777" w:rsidR="00583F90" w:rsidRDefault="00583F90" w:rsidP="00A111E9">
      <w:pPr>
        <w:rPr>
          <w:rFonts w:cs="Arial"/>
          <w:szCs w:val="22"/>
          <w:lang w:bidi="ar-SA"/>
        </w:rPr>
      </w:pPr>
    </w:p>
    <w:p w14:paraId="7733606C" w14:textId="14734601" w:rsidR="004F2D7E" w:rsidRDefault="00974176" w:rsidP="00A111E9">
      <w:pPr>
        <w:rPr>
          <w:lang w:bidi="ar-SA"/>
        </w:rPr>
      </w:pPr>
      <w:r>
        <w:rPr>
          <w:rFonts w:cs="Arial"/>
          <w:szCs w:val="22"/>
          <w:lang w:bidi="ar-SA"/>
        </w:rPr>
        <w:t xml:space="preserve">Sprague Dawley </w:t>
      </w:r>
      <w:r>
        <w:rPr>
          <w:lang w:bidi="ar-SA"/>
        </w:rPr>
        <w:t>(Crl:CD (SD)IGS BR)</w:t>
      </w:r>
      <w:r>
        <w:rPr>
          <w:rFonts w:cs="Arial"/>
          <w:szCs w:val="22"/>
          <w:lang w:bidi="ar-SA"/>
        </w:rPr>
        <w:t xml:space="preserve"> rats were administered PFOS potassium salt at concentrations of </w:t>
      </w:r>
      <w:r>
        <w:rPr>
          <w:lang w:bidi="ar-SA"/>
        </w:rPr>
        <w:t>0, 0.5, 2, 5 and 20 ppm in the feed for 4 or 14 weeks</w:t>
      </w:r>
      <w:r w:rsidR="004F2D7E">
        <w:rPr>
          <w:lang w:bidi="ar-SA"/>
        </w:rPr>
        <w:t xml:space="preserve"> (5/sex/dose/interim sacrifice)</w:t>
      </w:r>
      <w:r>
        <w:rPr>
          <w:lang w:bidi="ar-SA"/>
        </w:rPr>
        <w:t>. Rats were housed individually and in-life observations included mortality, clinical observations, body weights and food consumption, with clinical pathology samples (haematology, clinical chemistry and urinalysis) taken during weeks 4 and 14. During the 4- and 14-week necropsies liver samples were collected for analysis of palmitoyl CoA oxidase (PCoAO) activity, cell proliferation index (PI) and PFOS concentrations. A</w:t>
      </w:r>
      <w:r w:rsidR="000163C9">
        <w:rPr>
          <w:lang w:bidi="ar-SA"/>
        </w:rPr>
        <w:t xml:space="preserve"> range of tissues from the control and high</w:t>
      </w:r>
      <w:r w:rsidR="001012A5">
        <w:rPr>
          <w:lang w:bidi="ar-SA"/>
        </w:rPr>
        <w:t xml:space="preserve"> </w:t>
      </w:r>
      <w:r w:rsidR="000163C9">
        <w:rPr>
          <w:lang w:bidi="ar-SA"/>
        </w:rPr>
        <w:t>dose group</w:t>
      </w:r>
      <w:r w:rsidR="004F2D7E">
        <w:rPr>
          <w:lang w:bidi="ar-SA"/>
        </w:rPr>
        <w:t>s were examined microscopically.</w:t>
      </w:r>
    </w:p>
    <w:p w14:paraId="7046BDA7" w14:textId="77777777" w:rsidR="004F2D7E" w:rsidRDefault="004F2D7E" w:rsidP="00A111E9">
      <w:pPr>
        <w:rPr>
          <w:lang w:bidi="ar-SA"/>
        </w:rPr>
      </w:pPr>
    </w:p>
    <w:p w14:paraId="74590254" w14:textId="3D31D2C4" w:rsidR="000950ED" w:rsidRDefault="000950ED" w:rsidP="00A111E9">
      <w:pPr>
        <w:rPr>
          <w:lang w:bidi="ar-SA"/>
        </w:rPr>
      </w:pPr>
      <w:r>
        <w:rPr>
          <w:lang w:bidi="ar-SA"/>
        </w:rPr>
        <w:t xml:space="preserve">In rats dosed for 4 weeks, the mean daily </w:t>
      </w:r>
      <w:r w:rsidR="00934AED">
        <w:rPr>
          <w:lang w:bidi="ar-SA"/>
        </w:rPr>
        <w:t>exposure to</w:t>
      </w:r>
      <w:r>
        <w:rPr>
          <w:lang w:bidi="ar-SA"/>
        </w:rPr>
        <w:t xml:space="preserve"> PFOS in the 0, 0.5, 2, 5 and 20 ppm groups was calculated to be 0, 0.05, 0.18, 0.37 and 1.51 mg/kg bw/day respectively in males and 0, 0.05, 0.22, 0.47 and 1.77 mg/kg bw/day</w:t>
      </w:r>
      <w:r w:rsidR="00260D41">
        <w:rPr>
          <w:lang w:bidi="ar-SA"/>
        </w:rPr>
        <w:t>,</w:t>
      </w:r>
      <w:r>
        <w:rPr>
          <w:lang w:bidi="ar-SA"/>
        </w:rPr>
        <w:t xml:space="preserve"> respectively</w:t>
      </w:r>
      <w:r w:rsidR="00260D41">
        <w:rPr>
          <w:lang w:bidi="ar-SA"/>
        </w:rPr>
        <w:t>,</w:t>
      </w:r>
      <w:r>
        <w:rPr>
          <w:lang w:bidi="ar-SA"/>
        </w:rPr>
        <w:t xml:space="preserve"> in females.</w:t>
      </w:r>
    </w:p>
    <w:p w14:paraId="15BB55D1" w14:textId="77777777" w:rsidR="000950ED" w:rsidRDefault="000950ED" w:rsidP="00A111E9">
      <w:pPr>
        <w:keepNext/>
        <w:keepLines/>
        <w:spacing w:before="40" w:after="40"/>
        <w:rPr>
          <w:szCs w:val="22"/>
          <w:lang w:bidi="ar-SA"/>
        </w:rPr>
      </w:pPr>
    </w:p>
    <w:p w14:paraId="78B11EF7" w14:textId="3B6F78ED" w:rsidR="00A83E6E" w:rsidRDefault="00A83E6E" w:rsidP="00A111E9">
      <w:pPr>
        <w:rPr>
          <w:lang w:bidi="ar-SA"/>
        </w:rPr>
      </w:pPr>
      <w:r>
        <w:rPr>
          <w:lang w:bidi="ar-SA"/>
        </w:rPr>
        <w:t>After 4 weeks, relati</w:t>
      </w:r>
      <w:r w:rsidR="004A544E">
        <w:rPr>
          <w:lang w:bidi="ar-SA"/>
        </w:rPr>
        <w:t>ve</w:t>
      </w:r>
      <w:r w:rsidR="00FC02F0">
        <w:rPr>
          <w:lang w:bidi="ar-SA"/>
        </w:rPr>
        <w:t xml:space="preserve"> </w:t>
      </w:r>
      <w:r>
        <w:rPr>
          <w:lang w:bidi="ar-SA"/>
        </w:rPr>
        <w:t>liver weights were</w:t>
      </w:r>
      <w:r w:rsidR="00FC02F0">
        <w:rPr>
          <w:lang w:bidi="ar-SA"/>
        </w:rPr>
        <w:t xml:space="preserve"> significantly increased </w:t>
      </w:r>
      <w:r>
        <w:rPr>
          <w:lang w:bidi="ar-SA"/>
        </w:rPr>
        <w:t xml:space="preserve">in males administered 20 ppm PFOS. </w:t>
      </w:r>
      <w:r w:rsidR="00FC02F0">
        <w:rPr>
          <w:lang w:bidi="ar-SA"/>
        </w:rPr>
        <w:t xml:space="preserve">No toxicologically significant changes were found in haematology or urinalysis data. The only significant changes in clinical chemistry </w:t>
      </w:r>
      <w:r w:rsidR="000950ED">
        <w:rPr>
          <w:lang w:bidi="ar-SA"/>
        </w:rPr>
        <w:t>w</w:t>
      </w:r>
      <w:r w:rsidR="00FC02F0">
        <w:rPr>
          <w:lang w:bidi="ar-SA"/>
        </w:rPr>
        <w:t>ere a decrease in serum glucose in 20 ppm males and increas</w:t>
      </w:r>
      <w:r w:rsidR="000950ED">
        <w:rPr>
          <w:lang w:bidi="ar-SA"/>
        </w:rPr>
        <w:t>ed</w:t>
      </w:r>
      <w:r w:rsidR="00FC02F0">
        <w:rPr>
          <w:lang w:bidi="ar-SA"/>
        </w:rPr>
        <w:t xml:space="preserve"> aspartate aminotransferase (AST) in 20 ppm females. Analysis of PCoAO activity in the liver, measured as an indicator of peroxisome proliferation, did not show a significant increase. This finding was confirmed when PCoAO activity was retested in a second laboratory: a statistically significant increase was seen in high dose males compared with controls, but the magnitude was less than two</w:t>
      </w:r>
      <w:r w:rsidR="00032CF6">
        <w:rPr>
          <w:lang w:bidi="ar-SA"/>
        </w:rPr>
        <w:t>fold</w:t>
      </w:r>
      <w:r w:rsidR="00FC02F0">
        <w:rPr>
          <w:lang w:bidi="ar-SA"/>
        </w:rPr>
        <w:t xml:space="preserve"> and not considered </w:t>
      </w:r>
      <w:r w:rsidR="000950ED">
        <w:rPr>
          <w:lang w:bidi="ar-SA"/>
        </w:rPr>
        <w:t>relevant</w:t>
      </w:r>
      <w:r w:rsidR="00FC02F0">
        <w:rPr>
          <w:lang w:bidi="ar-SA"/>
        </w:rPr>
        <w:t xml:space="preserve"> for liver tumour formation. No significant effects on hepatocellular PI were observed, and there were no </w:t>
      </w:r>
      <w:r w:rsidR="00934AED">
        <w:rPr>
          <w:lang w:bidi="ar-SA"/>
        </w:rPr>
        <w:t xml:space="preserve">remarkable </w:t>
      </w:r>
      <w:r w:rsidR="00FC02F0">
        <w:rPr>
          <w:lang w:bidi="ar-SA"/>
        </w:rPr>
        <w:t>histopathological findings in the livers</w:t>
      </w:r>
      <w:r w:rsidR="00647A96">
        <w:rPr>
          <w:lang w:bidi="ar-SA"/>
        </w:rPr>
        <w:t xml:space="preserve"> of treated animals</w:t>
      </w:r>
      <w:r w:rsidR="00FC02F0">
        <w:rPr>
          <w:lang w:bidi="ar-SA"/>
        </w:rPr>
        <w:t>.</w:t>
      </w:r>
    </w:p>
    <w:p w14:paraId="459482A8" w14:textId="77777777" w:rsidR="00FC02F0" w:rsidRDefault="00FC02F0" w:rsidP="00A111E9">
      <w:pPr>
        <w:keepNext/>
        <w:keepLines/>
        <w:spacing w:before="40" w:after="40"/>
        <w:rPr>
          <w:lang w:bidi="ar-SA"/>
        </w:rPr>
      </w:pPr>
    </w:p>
    <w:p w14:paraId="67B23D06" w14:textId="3E7F0021" w:rsidR="0037793D" w:rsidRDefault="004A544E" w:rsidP="00A111E9">
      <w:pPr>
        <w:rPr>
          <w:lang w:bidi="ar-SA"/>
        </w:rPr>
      </w:pPr>
      <w:r>
        <w:rPr>
          <w:lang w:bidi="ar-SA"/>
        </w:rPr>
        <w:t>In rats treated</w:t>
      </w:r>
      <w:r w:rsidR="004F2D7E">
        <w:rPr>
          <w:lang w:bidi="ar-SA"/>
        </w:rPr>
        <w:t xml:space="preserve"> for 14 weeks, the mean daily intake of PFOS in the 0, 0.5, 2, 5 and 20 ppm groups was calculated to be 0, 0.03, 0.13, 0.34 and 1.33 mg/kg bw/day respectively in males and 0, 0.04, 0.15, 0.40 and 1.56 mg/kg b</w:t>
      </w:r>
      <w:r w:rsidR="0037793D">
        <w:rPr>
          <w:lang w:bidi="ar-SA"/>
        </w:rPr>
        <w:t>w/day</w:t>
      </w:r>
      <w:r>
        <w:rPr>
          <w:lang w:bidi="ar-SA"/>
        </w:rPr>
        <w:t>,</w:t>
      </w:r>
      <w:r w:rsidR="0037793D">
        <w:rPr>
          <w:lang w:bidi="ar-SA"/>
        </w:rPr>
        <w:t xml:space="preserve"> respectively</w:t>
      </w:r>
      <w:r>
        <w:rPr>
          <w:lang w:bidi="ar-SA"/>
        </w:rPr>
        <w:t>,</w:t>
      </w:r>
      <w:r w:rsidR="0037793D">
        <w:rPr>
          <w:lang w:bidi="ar-SA"/>
        </w:rPr>
        <w:t xml:space="preserve"> in females.</w:t>
      </w:r>
    </w:p>
    <w:p w14:paraId="0341600C" w14:textId="77777777" w:rsidR="0037793D" w:rsidRDefault="0037793D" w:rsidP="00A111E9">
      <w:pPr>
        <w:rPr>
          <w:lang w:bidi="ar-SA"/>
        </w:rPr>
      </w:pPr>
    </w:p>
    <w:p w14:paraId="5E0035CF" w14:textId="2934B846" w:rsidR="0037793D" w:rsidRDefault="000E00EF" w:rsidP="00A111E9">
      <w:pPr>
        <w:rPr>
          <w:lang w:bidi="ar-SA"/>
        </w:rPr>
      </w:pPr>
      <w:r>
        <w:rPr>
          <w:szCs w:val="22"/>
          <w:lang w:bidi="ar-SA"/>
        </w:rPr>
        <w:t>After 14 weeks of PFOS administration, no significant effects on body weight were observed. Absolute and relative liver weights were significantly increased in males administered 20 ppm, and relative liver weights were significantly increased in females fed 20 ppm. An increase in the non-segmented neutrophil absolute count was observed in 20 ppm males.</w:t>
      </w:r>
    </w:p>
    <w:p w14:paraId="018D6154" w14:textId="77777777" w:rsidR="0037793D" w:rsidRDefault="0037793D" w:rsidP="00A111E9">
      <w:pPr>
        <w:rPr>
          <w:lang w:bidi="ar-SA"/>
        </w:rPr>
      </w:pPr>
    </w:p>
    <w:p w14:paraId="21CCDCFF" w14:textId="07445164" w:rsidR="0037793D" w:rsidRDefault="000E00EF" w:rsidP="00A111E9">
      <w:pPr>
        <w:rPr>
          <w:lang w:bidi="ar-SA"/>
        </w:rPr>
      </w:pPr>
      <w:r>
        <w:rPr>
          <w:szCs w:val="22"/>
          <w:lang w:bidi="ar-SA"/>
        </w:rPr>
        <w:t xml:space="preserve">A significant decrease in serum cholesterol was seen in 20 ppm males compared with controls (37 </w:t>
      </w:r>
      <w:r>
        <w:rPr>
          <w:rFonts w:cs="Arial"/>
          <w:szCs w:val="22"/>
          <w:lang w:bidi="ar-SA"/>
        </w:rPr>
        <w:t>±</w:t>
      </w:r>
      <w:r>
        <w:rPr>
          <w:szCs w:val="22"/>
          <w:lang w:bidi="ar-SA"/>
        </w:rPr>
        <w:t xml:space="preserve"> 13 versus 63 </w:t>
      </w:r>
      <w:r>
        <w:rPr>
          <w:rFonts w:cs="Arial"/>
          <w:szCs w:val="22"/>
          <w:lang w:bidi="ar-SA"/>
        </w:rPr>
        <w:t>±</w:t>
      </w:r>
      <w:r w:rsidR="004A544E">
        <w:rPr>
          <w:szCs w:val="22"/>
          <w:lang w:bidi="ar-SA"/>
        </w:rPr>
        <w:t xml:space="preserve"> 13 mg/dl). Serum</w:t>
      </w:r>
      <w:r w:rsidR="00015365">
        <w:rPr>
          <w:szCs w:val="22"/>
          <w:lang w:bidi="ar-SA"/>
        </w:rPr>
        <w:t xml:space="preserve"> </w:t>
      </w:r>
      <w:r w:rsidR="004A544E">
        <w:rPr>
          <w:szCs w:val="22"/>
          <w:lang w:bidi="ar-SA"/>
        </w:rPr>
        <w:t>ALT</w:t>
      </w:r>
      <w:r w:rsidR="00920BD9">
        <w:rPr>
          <w:szCs w:val="22"/>
          <w:lang w:bidi="ar-SA"/>
        </w:rPr>
        <w:t xml:space="preserve"> was increased in 20 ppm males</w:t>
      </w:r>
      <w:r w:rsidR="004A544E">
        <w:rPr>
          <w:szCs w:val="22"/>
          <w:lang w:bidi="ar-SA"/>
        </w:rPr>
        <w:t xml:space="preserve"> (</w:t>
      </w:r>
      <w:r w:rsidR="00EE6DE1">
        <w:rPr>
          <w:szCs w:val="22"/>
          <w:lang w:bidi="ar-SA"/>
        </w:rPr>
        <w:t xml:space="preserve">65 </w:t>
      </w:r>
      <w:r w:rsidR="00EE6DE1">
        <w:rPr>
          <w:rFonts w:cs="Arial"/>
          <w:szCs w:val="22"/>
          <w:lang w:bidi="ar-SA"/>
        </w:rPr>
        <w:t>±</w:t>
      </w:r>
      <w:r w:rsidR="00EE6DE1">
        <w:rPr>
          <w:szCs w:val="22"/>
          <w:lang w:bidi="ar-SA"/>
        </w:rPr>
        <w:t xml:space="preserve"> 53 versus 36 </w:t>
      </w:r>
      <w:r w:rsidR="00EE6DE1">
        <w:rPr>
          <w:rFonts w:cs="Arial"/>
          <w:szCs w:val="22"/>
          <w:lang w:bidi="ar-SA"/>
        </w:rPr>
        <w:t>±</w:t>
      </w:r>
      <w:r w:rsidR="009A4789">
        <w:rPr>
          <w:szCs w:val="22"/>
          <w:lang w:bidi="ar-SA"/>
        </w:rPr>
        <w:t xml:space="preserve"> 7</w:t>
      </w:r>
      <w:r w:rsidR="00667EA9">
        <w:rPr>
          <w:szCs w:val="22"/>
          <w:lang w:bidi="ar-SA"/>
        </w:rPr>
        <w:t xml:space="preserve"> IU/l</w:t>
      </w:r>
      <w:r w:rsidR="009A4789">
        <w:rPr>
          <w:szCs w:val="22"/>
          <w:lang w:bidi="ar-SA"/>
        </w:rPr>
        <w:t>)</w:t>
      </w:r>
      <w:r w:rsidR="00EE6DE1">
        <w:rPr>
          <w:szCs w:val="22"/>
          <w:lang w:bidi="ar-SA"/>
        </w:rPr>
        <w:t xml:space="preserve"> </w:t>
      </w:r>
      <w:r w:rsidR="003D211A">
        <w:rPr>
          <w:szCs w:val="22"/>
          <w:lang w:bidi="ar-SA"/>
        </w:rPr>
        <w:t>and urea nitrogen</w:t>
      </w:r>
      <w:r w:rsidR="00283936">
        <w:rPr>
          <w:szCs w:val="22"/>
          <w:lang w:bidi="ar-SA"/>
        </w:rPr>
        <w:t xml:space="preserve"> (UN)</w:t>
      </w:r>
      <w:r w:rsidR="003D211A">
        <w:rPr>
          <w:szCs w:val="22"/>
          <w:lang w:bidi="ar-SA"/>
        </w:rPr>
        <w:t xml:space="preserve"> was </w:t>
      </w:r>
      <w:r w:rsidR="00EE6DE1">
        <w:rPr>
          <w:szCs w:val="22"/>
          <w:lang w:bidi="ar-SA"/>
        </w:rPr>
        <w:t xml:space="preserve">significantly </w:t>
      </w:r>
      <w:r w:rsidR="003D211A">
        <w:rPr>
          <w:szCs w:val="22"/>
          <w:lang w:bidi="ar-SA"/>
        </w:rPr>
        <w:t>increased in 20 ppm males and females</w:t>
      </w:r>
      <w:r w:rsidR="00667EA9">
        <w:rPr>
          <w:szCs w:val="22"/>
          <w:lang w:bidi="ar-SA"/>
        </w:rPr>
        <w:t xml:space="preserve"> (16 </w:t>
      </w:r>
      <w:r w:rsidR="00667EA9">
        <w:rPr>
          <w:rFonts w:cs="Arial"/>
          <w:szCs w:val="22"/>
          <w:lang w:bidi="ar-SA"/>
        </w:rPr>
        <w:t>± 2 and 17.2 ± 2 mg/dl respectively) compared with controls (13 ± 2 and 12 ± 2 mg/dl respectively)</w:t>
      </w:r>
      <w:r w:rsidR="003D211A">
        <w:rPr>
          <w:szCs w:val="22"/>
          <w:lang w:bidi="ar-SA"/>
        </w:rPr>
        <w:t>. Females in the 5 ppm group had significantly reduced serum glucose levels, but there was no</w:t>
      </w:r>
      <w:r w:rsidR="00C84DCB">
        <w:rPr>
          <w:szCs w:val="22"/>
          <w:lang w:bidi="ar-SA"/>
        </w:rPr>
        <w:t xml:space="preserve"> dose</w:t>
      </w:r>
      <w:r w:rsidR="001012A5">
        <w:rPr>
          <w:szCs w:val="22"/>
          <w:lang w:bidi="ar-SA"/>
        </w:rPr>
        <w:t>-</w:t>
      </w:r>
      <w:r w:rsidR="00C84DCB">
        <w:rPr>
          <w:szCs w:val="22"/>
          <w:lang w:bidi="ar-SA"/>
        </w:rPr>
        <w:t>response for this effect and therefore was not considered clearly related to treatment.</w:t>
      </w:r>
    </w:p>
    <w:p w14:paraId="791D965B" w14:textId="77777777" w:rsidR="0037793D" w:rsidRDefault="0037793D" w:rsidP="00A111E9">
      <w:pPr>
        <w:rPr>
          <w:lang w:bidi="ar-SA"/>
        </w:rPr>
      </w:pPr>
    </w:p>
    <w:p w14:paraId="162B8F42" w14:textId="766111D1" w:rsidR="0037793D" w:rsidRDefault="003D211A" w:rsidP="00A111E9">
      <w:pPr>
        <w:rPr>
          <w:lang w:bidi="ar-SA"/>
        </w:rPr>
      </w:pPr>
      <w:r>
        <w:rPr>
          <w:szCs w:val="22"/>
          <w:lang w:bidi="ar-SA"/>
        </w:rPr>
        <w:t xml:space="preserve">No significant induction of peroxisomal proliferation, as assessed by hepatic PCoAO </w:t>
      </w:r>
      <w:r w:rsidR="000950ED">
        <w:rPr>
          <w:szCs w:val="22"/>
          <w:lang w:bidi="ar-SA"/>
        </w:rPr>
        <w:t>activity, was observed, and t</w:t>
      </w:r>
      <w:r>
        <w:rPr>
          <w:szCs w:val="22"/>
          <w:lang w:bidi="ar-SA"/>
        </w:rPr>
        <w:t xml:space="preserve">here were no effects on hepatocellular </w:t>
      </w:r>
      <w:r w:rsidR="000950ED">
        <w:rPr>
          <w:szCs w:val="22"/>
          <w:lang w:bidi="ar-SA"/>
        </w:rPr>
        <w:t>PI</w:t>
      </w:r>
      <w:r>
        <w:rPr>
          <w:szCs w:val="22"/>
          <w:lang w:bidi="ar-SA"/>
        </w:rPr>
        <w:t xml:space="preserve">. </w:t>
      </w:r>
      <w:r w:rsidR="001D68F4">
        <w:rPr>
          <w:szCs w:val="22"/>
          <w:lang w:bidi="ar-SA"/>
        </w:rPr>
        <w:t xml:space="preserve">Histopathological changes were restricted to the liver, where hepatic hypertrophy and midzonal to centrilobular vacuolation were observed in males fed 5 or 20 ppm and females fed 20 ppm. The </w:t>
      </w:r>
      <w:r w:rsidR="001D68F4">
        <w:rPr>
          <w:szCs w:val="22"/>
          <w:lang w:bidi="ar-SA"/>
        </w:rPr>
        <w:lastRenderedPageBreak/>
        <w:t>hepatocellular hypertrophy and vacuolation in the 5 ppm group males was graded as marginal and was not accompanied by an increase in liver weight or clinical chemistry changes</w:t>
      </w:r>
      <w:r w:rsidR="004F2D7E">
        <w:rPr>
          <w:szCs w:val="22"/>
          <w:lang w:bidi="ar-SA"/>
        </w:rPr>
        <w:t>, and therefore was not considered toxicologically significant</w:t>
      </w:r>
      <w:r w:rsidR="001D68F4">
        <w:rPr>
          <w:szCs w:val="22"/>
          <w:lang w:bidi="ar-SA"/>
        </w:rPr>
        <w:t>.</w:t>
      </w:r>
    </w:p>
    <w:p w14:paraId="32FD8DB5" w14:textId="04F56F8C" w:rsidR="004F2D7E" w:rsidRDefault="004F2D7E" w:rsidP="00A111E9">
      <w:pPr>
        <w:rPr>
          <w:szCs w:val="22"/>
          <w:lang w:bidi="ar-SA"/>
        </w:rPr>
      </w:pPr>
      <w:r>
        <w:rPr>
          <w:szCs w:val="22"/>
          <w:lang w:bidi="ar-SA"/>
        </w:rPr>
        <w:t>T</w:t>
      </w:r>
      <w:r w:rsidR="001D68F4">
        <w:rPr>
          <w:szCs w:val="22"/>
          <w:lang w:bidi="ar-SA"/>
        </w:rPr>
        <w:t xml:space="preserve">he NOAEL in this study </w:t>
      </w:r>
      <w:r>
        <w:rPr>
          <w:szCs w:val="22"/>
          <w:lang w:bidi="ar-SA"/>
        </w:rPr>
        <w:t>wa</w:t>
      </w:r>
      <w:r w:rsidR="001D68F4">
        <w:rPr>
          <w:szCs w:val="22"/>
          <w:lang w:bidi="ar-SA"/>
        </w:rPr>
        <w:t>s 5 ppm</w:t>
      </w:r>
      <w:r>
        <w:rPr>
          <w:szCs w:val="22"/>
          <w:lang w:bidi="ar-SA"/>
        </w:rPr>
        <w:t xml:space="preserve">, equivalent to </w:t>
      </w:r>
      <w:r w:rsidR="00015365">
        <w:rPr>
          <w:szCs w:val="22"/>
          <w:lang w:bidi="ar-SA"/>
        </w:rPr>
        <w:t>0.34</w:t>
      </w:r>
      <w:r>
        <w:rPr>
          <w:szCs w:val="22"/>
          <w:lang w:bidi="ar-SA"/>
        </w:rPr>
        <w:t xml:space="preserve"> mg/kg bw in males and </w:t>
      </w:r>
      <w:r w:rsidR="00015365">
        <w:rPr>
          <w:szCs w:val="22"/>
          <w:lang w:bidi="ar-SA"/>
        </w:rPr>
        <w:t>0.40</w:t>
      </w:r>
      <w:r>
        <w:rPr>
          <w:szCs w:val="22"/>
          <w:lang w:bidi="ar-SA"/>
        </w:rPr>
        <w:t xml:space="preserve"> mg/kg bw/day in females</w:t>
      </w:r>
      <w:r w:rsidR="00C84DCB">
        <w:rPr>
          <w:szCs w:val="22"/>
          <w:lang w:bidi="ar-SA"/>
        </w:rPr>
        <w:t xml:space="preserve"> based on increased liver weight, histopathology and clinical chemistry findings at the high dose</w:t>
      </w:r>
      <w:r>
        <w:rPr>
          <w:szCs w:val="22"/>
          <w:lang w:bidi="ar-SA"/>
        </w:rPr>
        <w:t>. The mean PFOS concentrations in the serum at this dose</w:t>
      </w:r>
      <w:r w:rsidR="00484019">
        <w:rPr>
          <w:szCs w:val="22"/>
          <w:lang w:bidi="ar-SA"/>
        </w:rPr>
        <w:t xml:space="preserve"> after 14 weeks</w:t>
      </w:r>
      <w:r w:rsidR="00015365">
        <w:rPr>
          <w:szCs w:val="22"/>
          <w:lang w:bidi="ar-SA"/>
        </w:rPr>
        <w:t xml:space="preserve"> were 43.9</w:t>
      </w:r>
      <w:r>
        <w:rPr>
          <w:szCs w:val="22"/>
          <w:lang w:bidi="ar-SA"/>
        </w:rPr>
        <w:t xml:space="preserve"> </w:t>
      </w:r>
      <w:r w:rsidR="00CB500B">
        <w:rPr>
          <w:rFonts w:cs="Arial"/>
          <w:szCs w:val="22"/>
          <w:lang w:bidi="ar-SA"/>
        </w:rPr>
        <w:t>µg/mL</w:t>
      </w:r>
      <w:r>
        <w:rPr>
          <w:szCs w:val="22"/>
          <w:lang w:bidi="ar-SA"/>
        </w:rPr>
        <w:t xml:space="preserve"> in males and 64</w:t>
      </w:r>
      <w:r w:rsidR="00015365">
        <w:rPr>
          <w:szCs w:val="22"/>
          <w:lang w:bidi="ar-SA"/>
        </w:rPr>
        <w:t>.4</w:t>
      </w:r>
      <w:r>
        <w:rPr>
          <w:szCs w:val="22"/>
          <w:lang w:bidi="ar-SA"/>
        </w:rPr>
        <w:t xml:space="preserve"> </w:t>
      </w:r>
      <w:r w:rsidR="00CB500B">
        <w:rPr>
          <w:rFonts w:cs="Arial"/>
          <w:szCs w:val="22"/>
          <w:lang w:bidi="ar-SA"/>
        </w:rPr>
        <w:t>µg/mL</w:t>
      </w:r>
      <w:r>
        <w:rPr>
          <w:szCs w:val="22"/>
          <w:lang w:bidi="ar-SA"/>
        </w:rPr>
        <w:t xml:space="preserve"> in females. Mean PFOS concentrations in the liver at this dose were 358 </w:t>
      </w:r>
      <w:r>
        <w:rPr>
          <w:rFonts w:cs="Arial"/>
          <w:szCs w:val="22"/>
          <w:lang w:bidi="ar-SA"/>
        </w:rPr>
        <w:t>µ</w:t>
      </w:r>
      <w:r>
        <w:rPr>
          <w:szCs w:val="22"/>
          <w:lang w:bidi="ar-SA"/>
        </w:rPr>
        <w:t xml:space="preserve">g/g and 370 </w:t>
      </w:r>
      <w:r>
        <w:rPr>
          <w:rFonts w:cs="Arial"/>
          <w:szCs w:val="22"/>
          <w:lang w:bidi="ar-SA"/>
        </w:rPr>
        <w:t>µ</w:t>
      </w:r>
      <w:r>
        <w:rPr>
          <w:szCs w:val="22"/>
          <w:lang w:bidi="ar-SA"/>
        </w:rPr>
        <w:t xml:space="preserve">g/g in males and females, respectively. </w:t>
      </w:r>
      <w:r w:rsidR="00484019">
        <w:rPr>
          <w:szCs w:val="22"/>
          <w:lang w:bidi="ar-SA"/>
        </w:rPr>
        <w:t>At the LOAEL of 20 ppm</w:t>
      </w:r>
      <w:r w:rsidR="00015365">
        <w:rPr>
          <w:szCs w:val="22"/>
          <w:lang w:bidi="ar-SA"/>
        </w:rPr>
        <w:t xml:space="preserve"> (equivalent to 1.33 and 1.56 mg/kg bw/day in males and females)</w:t>
      </w:r>
      <w:r w:rsidR="00484019">
        <w:rPr>
          <w:szCs w:val="22"/>
          <w:lang w:bidi="ar-SA"/>
        </w:rPr>
        <w:t xml:space="preserve">, mean serum PFOS concentrations were 148 </w:t>
      </w:r>
      <w:r w:rsidR="00CB500B">
        <w:rPr>
          <w:rFonts w:cs="Arial"/>
          <w:szCs w:val="22"/>
          <w:lang w:bidi="ar-SA"/>
        </w:rPr>
        <w:t>µg/mL</w:t>
      </w:r>
      <w:r w:rsidR="00484019">
        <w:rPr>
          <w:szCs w:val="22"/>
          <w:lang w:bidi="ar-SA"/>
        </w:rPr>
        <w:t xml:space="preserve"> and 223 </w:t>
      </w:r>
      <w:r w:rsidR="00CB500B">
        <w:rPr>
          <w:rFonts w:cs="Arial"/>
          <w:szCs w:val="22"/>
          <w:lang w:bidi="ar-SA"/>
        </w:rPr>
        <w:t>µg/mL</w:t>
      </w:r>
      <w:r w:rsidR="00484019">
        <w:rPr>
          <w:szCs w:val="22"/>
          <w:lang w:bidi="ar-SA"/>
        </w:rPr>
        <w:t xml:space="preserve"> in males and females, respectively. Mean liver concentrations at the LOAEL were 568 and 635 </w:t>
      </w:r>
      <w:r w:rsidR="00484019">
        <w:rPr>
          <w:rFonts w:cs="Arial"/>
          <w:szCs w:val="22"/>
          <w:lang w:bidi="ar-SA"/>
        </w:rPr>
        <w:t>µ</w:t>
      </w:r>
      <w:r w:rsidR="00484019">
        <w:rPr>
          <w:szCs w:val="22"/>
          <w:lang w:bidi="ar-SA"/>
        </w:rPr>
        <w:t>g/g, respectively.</w:t>
      </w:r>
    </w:p>
    <w:p w14:paraId="72B6DF6E" w14:textId="63EBECA5" w:rsidR="00C35DE3" w:rsidRDefault="00C35DE3" w:rsidP="00A111E9">
      <w:pPr>
        <w:rPr>
          <w:lang w:bidi="ar-SA"/>
        </w:rPr>
      </w:pPr>
    </w:p>
    <w:p w14:paraId="29D177C1" w14:textId="1B9DAD70" w:rsidR="00C35DE3" w:rsidRPr="0037793D" w:rsidRDefault="00C35DE3" w:rsidP="00A111E9">
      <w:pPr>
        <w:rPr>
          <w:lang w:bidi="ar-SA"/>
        </w:rPr>
      </w:pPr>
      <w:r>
        <w:rPr>
          <w:lang w:bidi="ar-SA"/>
        </w:rPr>
        <w:t xml:space="preserve">PFOS concentrations obtained in this study </w:t>
      </w:r>
      <w:r w:rsidR="00D7633C">
        <w:rPr>
          <w:lang w:bidi="ar-SA"/>
        </w:rPr>
        <w:t xml:space="preserve">are </w:t>
      </w:r>
      <w:r w:rsidR="00C84DCB">
        <w:rPr>
          <w:lang w:bidi="ar-SA"/>
        </w:rPr>
        <w:t>tabulated</w:t>
      </w:r>
      <w:r w:rsidR="00D7633C">
        <w:rPr>
          <w:lang w:bidi="ar-SA"/>
        </w:rPr>
        <w:t xml:space="preserve"> </w:t>
      </w:r>
      <w:r>
        <w:rPr>
          <w:lang w:bidi="ar-SA"/>
        </w:rPr>
        <w:t xml:space="preserve">in the summary of the chronic toxicity/carcinogenicity study later in this document (Thomford 2002/Butenhoff </w:t>
      </w:r>
      <w:r w:rsidR="00180A32" w:rsidRPr="00180A32">
        <w:rPr>
          <w:i/>
          <w:lang w:bidi="ar-SA"/>
        </w:rPr>
        <w:t xml:space="preserve">et al. </w:t>
      </w:r>
      <w:r w:rsidR="00713213">
        <w:rPr>
          <w:lang w:bidi="ar-SA"/>
        </w:rPr>
        <w:t xml:space="preserve"> </w:t>
      </w:r>
      <w:r>
        <w:rPr>
          <w:lang w:bidi="ar-SA"/>
        </w:rPr>
        <w:t>2012).</w:t>
      </w:r>
    </w:p>
    <w:p w14:paraId="5410B55F" w14:textId="726247C2" w:rsidR="008B522A" w:rsidRPr="00C92FA1" w:rsidRDefault="001F3A5B" w:rsidP="00112C61">
      <w:pPr>
        <w:pStyle w:val="Heading5"/>
      </w:pPr>
      <w:r>
        <w:t>Nonhuman primates</w:t>
      </w:r>
    </w:p>
    <w:p w14:paraId="1F5F35DD" w14:textId="735B309A" w:rsidR="000F1B44" w:rsidRPr="00F27FEB" w:rsidRDefault="00DC13E4" w:rsidP="00DE222C">
      <w:pPr>
        <w:pStyle w:val="Heading6"/>
        <w:rPr>
          <w:sz w:val="20"/>
          <w:szCs w:val="20"/>
          <w:lang w:bidi="ar-SA"/>
        </w:rPr>
      </w:pPr>
      <w:r>
        <w:rPr>
          <w:lang w:bidi="ar-SA"/>
        </w:rPr>
        <w:t xml:space="preserve">Seacat </w:t>
      </w:r>
      <w:r w:rsidR="00180A32" w:rsidRPr="00180A32">
        <w:rPr>
          <w:i/>
          <w:lang w:bidi="ar-SA"/>
        </w:rPr>
        <w:t xml:space="preserve">et al. </w:t>
      </w:r>
      <w:r w:rsidR="00F22DA6">
        <w:rPr>
          <w:lang w:bidi="ar-SA"/>
        </w:rPr>
        <w:t xml:space="preserve"> </w:t>
      </w:r>
      <w:r>
        <w:rPr>
          <w:lang w:bidi="ar-SA"/>
        </w:rPr>
        <w:t>2002</w:t>
      </w:r>
      <w:r w:rsidR="000F1B44" w:rsidRPr="00F27FEB">
        <w:rPr>
          <w:sz w:val="20"/>
          <w:szCs w:val="20"/>
          <w:lang w:bidi="ar-SA"/>
        </w:rPr>
        <w:t xml:space="preserve"> </w:t>
      </w:r>
    </w:p>
    <w:p w14:paraId="5117BD74" w14:textId="77777777" w:rsidR="004264B6" w:rsidRDefault="004264B6" w:rsidP="00A111E9">
      <w:pPr>
        <w:rPr>
          <w:lang w:bidi="ar-SA"/>
        </w:rPr>
      </w:pPr>
    </w:p>
    <w:p w14:paraId="17B1B75B" w14:textId="4ABD8414" w:rsidR="0066503B" w:rsidRDefault="00BE205C" w:rsidP="00A111E9">
      <w:pPr>
        <w:rPr>
          <w:lang w:bidi="ar-SA"/>
        </w:rPr>
      </w:pPr>
      <w:r>
        <w:rPr>
          <w:lang w:bidi="ar-SA"/>
        </w:rPr>
        <w:t>Cynomolgus</w:t>
      </w:r>
      <w:r w:rsidR="007A0497">
        <w:rPr>
          <w:lang w:bidi="ar-SA"/>
        </w:rPr>
        <w:t xml:space="preserve"> monkeys (6/sex/group; 4/sex at the low</w:t>
      </w:r>
      <w:r w:rsidR="001012A5">
        <w:rPr>
          <w:lang w:bidi="ar-SA"/>
        </w:rPr>
        <w:t xml:space="preserve"> </w:t>
      </w:r>
      <w:r w:rsidR="007A0497">
        <w:rPr>
          <w:lang w:bidi="ar-SA"/>
        </w:rPr>
        <w:t xml:space="preserve">dose) received </w:t>
      </w:r>
      <w:r w:rsidR="007A0497" w:rsidRPr="006A3429">
        <w:rPr>
          <w:lang w:bidi="ar-SA"/>
        </w:rPr>
        <w:t>the potassium salt of PFOS</w:t>
      </w:r>
      <w:r w:rsidR="007A0497">
        <w:rPr>
          <w:lang w:bidi="ar-SA"/>
        </w:rPr>
        <w:t xml:space="preserve"> orally in a capsule by intragastric intubation</w:t>
      </w:r>
      <w:r w:rsidR="007A0497" w:rsidRPr="006A3429">
        <w:rPr>
          <w:lang w:bidi="ar-SA"/>
        </w:rPr>
        <w:t xml:space="preserve"> </w:t>
      </w:r>
      <w:r w:rsidR="007A0497">
        <w:rPr>
          <w:lang w:bidi="ar-SA"/>
        </w:rPr>
        <w:t xml:space="preserve">at doses of 0, 0.03, 0.15, or 0.75 mg/kg bw/day for 26 weeks (Seacat </w:t>
      </w:r>
      <w:r w:rsidR="00180A32" w:rsidRPr="00180A32">
        <w:rPr>
          <w:i/>
          <w:lang w:bidi="ar-SA"/>
        </w:rPr>
        <w:t xml:space="preserve">et al. </w:t>
      </w:r>
      <w:r w:rsidR="00F22DA6">
        <w:rPr>
          <w:lang w:bidi="ar-SA"/>
        </w:rPr>
        <w:t xml:space="preserve"> </w:t>
      </w:r>
      <w:r w:rsidR="007A0497">
        <w:rPr>
          <w:lang w:bidi="ar-SA"/>
        </w:rPr>
        <w:t>2002). Two monkeys/sex/group in the control, mid and high</w:t>
      </w:r>
      <w:r w:rsidR="001012A5">
        <w:rPr>
          <w:lang w:bidi="ar-SA"/>
        </w:rPr>
        <w:t xml:space="preserve"> </w:t>
      </w:r>
      <w:r w:rsidR="007A0497">
        <w:rPr>
          <w:lang w:bidi="ar-SA"/>
        </w:rPr>
        <w:t>dose groups were monitored for one year after the end of the dosing period for delayed or reversible effects.</w:t>
      </w:r>
      <w:r w:rsidR="0066503B">
        <w:rPr>
          <w:lang w:bidi="ar-SA"/>
        </w:rPr>
        <w:t xml:space="preserve"> Monkeys were housed individually and were observed twice daily for mortality, morbidity, </w:t>
      </w:r>
      <w:r w:rsidR="00981D95">
        <w:rPr>
          <w:lang w:bidi="ar-SA"/>
        </w:rPr>
        <w:t xml:space="preserve">clinical signs and qualitative food consumption. </w:t>
      </w:r>
      <w:r>
        <w:rPr>
          <w:lang w:bidi="ar-SA"/>
        </w:rPr>
        <w:t>Ophthalmic</w:t>
      </w:r>
      <w:r w:rsidR="00981D95">
        <w:rPr>
          <w:lang w:bidi="ar-SA"/>
        </w:rPr>
        <w:t xml:space="preserve"> observations were performed on each animal before the start of treatment and prior to terminal sacrifice. </w:t>
      </w:r>
      <w:r w:rsidR="00441FF4">
        <w:rPr>
          <w:lang w:bidi="ar-SA"/>
        </w:rPr>
        <w:t>Body weights were recorded pre</w:t>
      </w:r>
      <w:r w:rsidR="00CC26CA">
        <w:rPr>
          <w:lang w:bidi="ar-SA"/>
        </w:rPr>
        <w:t>dosing</w:t>
      </w:r>
      <w:r w:rsidR="00441FF4">
        <w:rPr>
          <w:lang w:bidi="ar-SA"/>
        </w:rPr>
        <w:t xml:space="preserve"> and weekly thereafter. Blood samples were collected for haematology and serum chemistry on day</w:t>
      </w:r>
      <w:r w:rsidR="005346F5">
        <w:rPr>
          <w:lang w:bidi="ar-SA"/>
        </w:rPr>
        <w:t>s -50, -40 and -27 before treat</w:t>
      </w:r>
      <w:r w:rsidR="00441FF4">
        <w:rPr>
          <w:lang w:bidi="ar-SA"/>
        </w:rPr>
        <w:t>ment and on days 37, 62, 91, 153 and 182 of treatment. PFOS levels were assessed in serum at regular intervals and in liver tissues samples collected at necropsy. Liver samples were also obtained for determination of hepatic peroxisomal proliferation and cell proliferation.</w:t>
      </w:r>
    </w:p>
    <w:p w14:paraId="2A90EC09" w14:textId="77777777" w:rsidR="007A0497" w:rsidRDefault="007A0497" w:rsidP="00A111E9">
      <w:pPr>
        <w:rPr>
          <w:lang w:bidi="ar-SA"/>
        </w:rPr>
      </w:pPr>
    </w:p>
    <w:p w14:paraId="14BBE96B" w14:textId="5592DD49" w:rsidR="007A0497" w:rsidRDefault="007A0497" w:rsidP="00A111E9">
      <w:pPr>
        <w:rPr>
          <w:lang w:bidi="ar-SA"/>
        </w:rPr>
      </w:pPr>
      <w:r>
        <w:rPr>
          <w:lang w:bidi="ar-SA"/>
        </w:rPr>
        <w:t>There were no clinical signs of toxicity at the low and mid</w:t>
      </w:r>
      <w:r w:rsidR="000203C4">
        <w:rPr>
          <w:lang w:bidi="ar-SA"/>
        </w:rPr>
        <w:t xml:space="preserve"> dose</w:t>
      </w:r>
      <w:r>
        <w:rPr>
          <w:lang w:bidi="ar-SA"/>
        </w:rPr>
        <w:t>. At the high</w:t>
      </w:r>
      <w:r w:rsidR="009149B5">
        <w:rPr>
          <w:lang w:bidi="ar-SA"/>
        </w:rPr>
        <w:t xml:space="preserve"> </w:t>
      </w:r>
      <w:r>
        <w:rPr>
          <w:lang w:bidi="ar-SA"/>
        </w:rPr>
        <w:t>dose, one male died (on day 155; possible cause of death was severe pulmonary inflammation) and another male was sacrificed on day 179 due to its moribund condition,</w:t>
      </w:r>
      <w:r w:rsidRPr="00286354">
        <w:rPr>
          <w:lang w:bidi="ar-SA"/>
        </w:rPr>
        <w:t xml:space="preserve"> </w:t>
      </w:r>
      <w:r>
        <w:rPr>
          <w:lang w:bidi="ar-SA"/>
        </w:rPr>
        <w:t>possibly due to hyperkalaemia. Reduced body</w:t>
      </w:r>
      <w:r w:rsidR="001012A5">
        <w:rPr>
          <w:lang w:bidi="ar-SA"/>
        </w:rPr>
        <w:t xml:space="preserve"> </w:t>
      </w:r>
      <w:r>
        <w:rPr>
          <w:lang w:bidi="ar-SA"/>
        </w:rPr>
        <w:t>weight gain was observed in males and females at the high</w:t>
      </w:r>
      <w:r w:rsidR="001012A5">
        <w:rPr>
          <w:lang w:bidi="ar-SA"/>
        </w:rPr>
        <w:t xml:space="preserve"> </w:t>
      </w:r>
      <w:r>
        <w:rPr>
          <w:lang w:bidi="ar-SA"/>
        </w:rPr>
        <w:t xml:space="preserve">dose only. </w:t>
      </w:r>
      <w:r w:rsidR="00A14B0D">
        <w:rPr>
          <w:lang w:bidi="ar-SA"/>
        </w:rPr>
        <w:t>N</w:t>
      </w:r>
      <w:r>
        <w:rPr>
          <w:lang w:bidi="ar-SA"/>
        </w:rPr>
        <w:t>o specific observations were reported</w:t>
      </w:r>
      <w:r w:rsidR="00A14B0D">
        <w:rPr>
          <w:lang w:bidi="ar-SA"/>
        </w:rPr>
        <w:t xml:space="preserve"> with respect to food consumption</w:t>
      </w:r>
      <w:r>
        <w:rPr>
          <w:lang w:bidi="ar-SA"/>
        </w:rPr>
        <w:t>.</w:t>
      </w:r>
    </w:p>
    <w:p w14:paraId="079B4F58" w14:textId="1143BCF0" w:rsidR="00A14B0D" w:rsidRDefault="00A14B0D" w:rsidP="00A111E9"/>
    <w:p w14:paraId="5C42FF29" w14:textId="004AE53B" w:rsidR="00A14B0D" w:rsidRDefault="00892C29" w:rsidP="00A111E9">
      <w:r>
        <w:t>Serum PFOS concentrations showed a linear increase over time in the low and mid dose groups while a non</w:t>
      </w:r>
      <w:r w:rsidR="000203C4">
        <w:t>linear</w:t>
      </w:r>
      <w:r>
        <w:t xml:space="preserve"> increase was seen in the high dose group, which seemed to plateau over time. The average liver-to-serum PFOS concentration ratios range</w:t>
      </w:r>
      <w:r w:rsidR="004F6829">
        <w:t>d</w:t>
      </w:r>
      <w:r>
        <w:t xml:space="preserve"> from 0.9:1 to 2.7:1, without a dose-response relationship. The average per</w:t>
      </w:r>
      <w:r w:rsidR="001B6877">
        <w:t xml:space="preserve"> cent</w:t>
      </w:r>
      <w:r>
        <w:t xml:space="preserve"> of the cumulative PFOS dose found in the liver ranged from 4.4 </w:t>
      </w:r>
      <w:r>
        <w:rPr>
          <w:rFonts w:cs="Arial"/>
        </w:rPr>
        <w:t>±</w:t>
      </w:r>
      <w:r>
        <w:t xml:space="preserve"> 1.6% to 8.7 </w:t>
      </w:r>
      <w:r>
        <w:rPr>
          <w:rFonts w:cs="Arial"/>
        </w:rPr>
        <w:t>±</w:t>
      </w:r>
      <w:r>
        <w:t xml:space="preserve"> 1.0% without any apparent correlation to dose group or gender.</w:t>
      </w:r>
    </w:p>
    <w:p w14:paraId="07F660AD" w14:textId="77777777" w:rsidR="007A0497" w:rsidRDefault="007A0497" w:rsidP="00A111E9"/>
    <w:p w14:paraId="11E7862C" w14:textId="72B9E889" w:rsidR="007A0497" w:rsidRDefault="009149B5" w:rsidP="00A111E9">
      <w:pPr>
        <w:rPr>
          <w:lang w:bidi="ar-SA"/>
        </w:rPr>
      </w:pPr>
      <w:r>
        <w:t xml:space="preserve">At the high </w:t>
      </w:r>
      <w:r w:rsidR="007A0497">
        <w:t xml:space="preserve">dose, </w:t>
      </w:r>
      <w:r w:rsidR="007A0497">
        <w:rPr>
          <w:lang w:bidi="ar-SA"/>
        </w:rPr>
        <w:t xml:space="preserve">liver-to-body weight ratios were increased in males and females, and absolute liver weights and liver-to-brain weight ratios were increased in females. </w:t>
      </w:r>
      <w:r w:rsidR="005346F5">
        <w:rPr>
          <w:lang w:bidi="ar-SA"/>
        </w:rPr>
        <w:t>Left a</w:t>
      </w:r>
      <w:r w:rsidR="007A0497">
        <w:rPr>
          <w:lang w:bidi="ar-SA"/>
        </w:rPr>
        <w:t>drenal-to-body weight ratios were increased in high</w:t>
      </w:r>
      <w:r>
        <w:rPr>
          <w:lang w:bidi="ar-SA"/>
        </w:rPr>
        <w:t xml:space="preserve"> </w:t>
      </w:r>
      <w:r w:rsidR="007A0497">
        <w:rPr>
          <w:lang w:bidi="ar-SA"/>
        </w:rPr>
        <w:t>dose males. At the low and mid</w:t>
      </w:r>
      <w:r>
        <w:rPr>
          <w:lang w:bidi="ar-SA"/>
        </w:rPr>
        <w:t xml:space="preserve"> </w:t>
      </w:r>
      <w:r w:rsidR="007A0497">
        <w:rPr>
          <w:lang w:bidi="ar-SA"/>
        </w:rPr>
        <w:t>dose, there were no treatment-related effects on absolute or relative organ weights (organ to body or organ to brain weight ratios).</w:t>
      </w:r>
      <w:r w:rsidR="007A0497" w:rsidRPr="00BE2265">
        <w:t xml:space="preserve"> </w:t>
      </w:r>
      <w:r w:rsidR="007A0497">
        <w:t>There were no treatment-related effects on weights of the other organs examined at any dose level (</w:t>
      </w:r>
      <w:r w:rsidR="007A0497">
        <w:rPr>
          <w:lang w:bidi="ar-SA"/>
        </w:rPr>
        <w:t>brain, epididymis, kidneys, ovaries, pancreas, testes, and thyroid/parathyroid glands).</w:t>
      </w:r>
    </w:p>
    <w:p w14:paraId="7A12F7BC" w14:textId="77777777" w:rsidR="007A0497" w:rsidRDefault="007A0497" w:rsidP="00A111E9">
      <w:pPr>
        <w:rPr>
          <w:lang w:bidi="ar-SA"/>
        </w:rPr>
      </w:pPr>
    </w:p>
    <w:p w14:paraId="44B6D883" w14:textId="4476208E" w:rsidR="007A0497" w:rsidRDefault="007A0497" w:rsidP="00A111E9">
      <w:pPr>
        <w:rPr>
          <w:lang w:bidi="ar-SA"/>
        </w:rPr>
      </w:pPr>
      <w:r>
        <w:rPr>
          <w:lang w:bidi="ar-SA"/>
        </w:rPr>
        <w:t>A statistically significant reduction in haemoglobin was observed in high</w:t>
      </w:r>
      <w:r w:rsidR="009149B5">
        <w:rPr>
          <w:lang w:bidi="ar-SA"/>
        </w:rPr>
        <w:t xml:space="preserve"> </w:t>
      </w:r>
      <w:r>
        <w:rPr>
          <w:lang w:bidi="ar-SA"/>
        </w:rPr>
        <w:t>dose males at termination of the study. However, haemoglobin values for all high</w:t>
      </w:r>
      <w:r w:rsidR="009149B5">
        <w:rPr>
          <w:lang w:bidi="ar-SA"/>
        </w:rPr>
        <w:t xml:space="preserve"> </w:t>
      </w:r>
      <w:r>
        <w:rPr>
          <w:lang w:bidi="ar-SA"/>
        </w:rPr>
        <w:t xml:space="preserve">dose males were within </w:t>
      </w:r>
      <w:r>
        <w:rPr>
          <w:lang w:bidi="ar-SA"/>
        </w:rPr>
        <w:lastRenderedPageBreak/>
        <w:t>the normal range and no stools were found to be discoloured/black. The reduction in haemoglobin is therefore not considered to be toxicologically significant. There were no other treatment-related changes in haematological parameters for males, and no changes in haematological parameters were observed for females at any dose.</w:t>
      </w:r>
    </w:p>
    <w:p w14:paraId="359D051D" w14:textId="77777777" w:rsidR="007A0497" w:rsidRDefault="007A0497" w:rsidP="00A111E9">
      <w:pPr>
        <w:rPr>
          <w:lang w:bidi="ar-SA"/>
        </w:rPr>
      </w:pPr>
    </w:p>
    <w:p w14:paraId="63D9F61C" w14:textId="07AA1212" w:rsidR="007A0497" w:rsidRDefault="007A0497" w:rsidP="00A111E9">
      <w:pPr>
        <w:rPr>
          <w:lang w:bidi="ar-SA"/>
        </w:rPr>
      </w:pPr>
      <w:r>
        <w:rPr>
          <w:lang w:bidi="ar-SA"/>
        </w:rPr>
        <w:t>I</w:t>
      </w:r>
      <w:r w:rsidRPr="009B2CF3">
        <w:rPr>
          <w:lang w:bidi="ar-SA"/>
        </w:rPr>
        <w:t xml:space="preserve">n </w:t>
      </w:r>
      <w:r>
        <w:rPr>
          <w:lang w:bidi="ar-SA"/>
        </w:rPr>
        <w:t>high</w:t>
      </w:r>
      <w:r w:rsidR="009149B5">
        <w:rPr>
          <w:lang w:bidi="ar-SA"/>
        </w:rPr>
        <w:t xml:space="preserve"> </w:t>
      </w:r>
      <w:r>
        <w:rPr>
          <w:lang w:bidi="ar-SA"/>
        </w:rPr>
        <w:t xml:space="preserve">dose </w:t>
      </w:r>
      <w:r w:rsidRPr="009B2CF3">
        <w:rPr>
          <w:lang w:bidi="ar-SA"/>
        </w:rPr>
        <w:t>males and females</w:t>
      </w:r>
      <w:r>
        <w:t xml:space="preserve"> there were marked reductions </w:t>
      </w:r>
      <w:r>
        <w:rPr>
          <w:lang w:bidi="ar-SA"/>
        </w:rPr>
        <w:t xml:space="preserve">in </w:t>
      </w:r>
      <w:r w:rsidRPr="009B2CF3">
        <w:rPr>
          <w:lang w:bidi="ar-SA"/>
        </w:rPr>
        <w:t>total</w:t>
      </w:r>
      <w:r>
        <w:rPr>
          <w:lang w:bidi="ar-SA"/>
        </w:rPr>
        <w:t xml:space="preserve"> cholesterol and </w:t>
      </w:r>
      <w:r w:rsidR="00FC6AEA">
        <w:rPr>
          <w:lang w:bidi="ar-SA"/>
        </w:rPr>
        <w:t>HDL</w:t>
      </w:r>
      <w:r w:rsidRPr="00521952">
        <w:rPr>
          <w:lang w:bidi="ar-SA"/>
        </w:rPr>
        <w:t xml:space="preserve"> cholesterol</w:t>
      </w:r>
      <w:r w:rsidR="007C3D18">
        <w:rPr>
          <w:lang w:bidi="ar-SA"/>
        </w:rPr>
        <w:t xml:space="preserve"> </w:t>
      </w:r>
      <w:r w:rsidR="00E52F04">
        <w:rPr>
          <w:lang w:bidi="ar-SA"/>
        </w:rPr>
        <w:t>(Table 4</w:t>
      </w:r>
      <w:r>
        <w:rPr>
          <w:lang w:bidi="ar-SA"/>
        </w:rPr>
        <w:t>)</w:t>
      </w:r>
      <w:r w:rsidRPr="009B2CF3">
        <w:rPr>
          <w:lang w:bidi="ar-SA"/>
        </w:rPr>
        <w:t xml:space="preserve">. In the males, lower cholesterol occurred by </w:t>
      </w:r>
      <w:r w:rsidR="0094513D">
        <w:rPr>
          <w:lang w:bidi="ar-SA"/>
        </w:rPr>
        <w:t>d</w:t>
      </w:r>
      <w:r w:rsidRPr="009B2CF3">
        <w:rPr>
          <w:lang w:bidi="ar-SA"/>
        </w:rPr>
        <w:t>ay 91 at</w:t>
      </w:r>
      <w:r>
        <w:rPr>
          <w:lang w:bidi="ar-SA"/>
        </w:rPr>
        <w:t xml:space="preserve"> </w:t>
      </w:r>
      <w:r w:rsidRPr="009B2CF3">
        <w:rPr>
          <w:lang w:bidi="ar-SA"/>
        </w:rPr>
        <w:t>serum PFOS concentrations of a</w:t>
      </w:r>
      <w:r>
        <w:rPr>
          <w:lang w:bidi="ar-SA"/>
        </w:rPr>
        <w:t xml:space="preserve">pproximately 150 </w:t>
      </w:r>
      <w:r w:rsidR="00CB500B">
        <w:rPr>
          <w:rFonts w:cs="Arial"/>
          <w:lang w:bidi="ar-SA"/>
        </w:rPr>
        <w:t>µg/mL</w:t>
      </w:r>
      <w:r w:rsidRPr="009B2CF3">
        <w:rPr>
          <w:lang w:bidi="ar-SA"/>
        </w:rPr>
        <w:t>. In the females, decreased cholesterol occurred by day 62 at serum PFOS concentrations</w:t>
      </w:r>
      <w:r>
        <w:rPr>
          <w:lang w:bidi="ar-SA"/>
        </w:rPr>
        <w:t xml:space="preserve"> of approximately 110 </w:t>
      </w:r>
      <w:r w:rsidR="00CB500B">
        <w:rPr>
          <w:rFonts w:cs="Arial"/>
          <w:lang w:bidi="ar-SA"/>
        </w:rPr>
        <w:t>µg/mL</w:t>
      </w:r>
      <w:r w:rsidRPr="009B2CF3">
        <w:rPr>
          <w:lang w:bidi="ar-SA"/>
        </w:rPr>
        <w:t>.</w:t>
      </w:r>
      <w:r>
        <w:rPr>
          <w:lang w:bidi="ar-SA"/>
        </w:rPr>
        <w:t xml:space="preserve"> A decrease in HDL </w:t>
      </w:r>
      <w:r w:rsidRPr="005F0B63">
        <w:rPr>
          <w:lang w:bidi="ar-SA"/>
        </w:rPr>
        <w:t xml:space="preserve">(measured only on days 153 and 182) </w:t>
      </w:r>
      <w:r>
        <w:rPr>
          <w:lang w:bidi="ar-SA"/>
        </w:rPr>
        <w:t>was observed in high</w:t>
      </w:r>
      <w:r w:rsidR="009149B5">
        <w:rPr>
          <w:lang w:bidi="ar-SA"/>
        </w:rPr>
        <w:t xml:space="preserve"> </w:t>
      </w:r>
      <w:r>
        <w:rPr>
          <w:lang w:bidi="ar-SA"/>
        </w:rPr>
        <w:t>dose males and mid and high</w:t>
      </w:r>
      <w:r w:rsidR="009149B5">
        <w:rPr>
          <w:lang w:bidi="ar-SA"/>
        </w:rPr>
        <w:t xml:space="preserve"> </w:t>
      </w:r>
      <w:r>
        <w:rPr>
          <w:lang w:bidi="ar-SA"/>
        </w:rPr>
        <w:t xml:space="preserve">dose females. </w:t>
      </w:r>
      <w:r w:rsidR="00DA18B2">
        <w:rPr>
          <w:lang w:bidi="ar-SA"/>
        </w:rPr>
        <w:t>In females, the apparent effect on HDL cholesterol at the mid dose was not accompanied by a significant decrease in total cholesterol concentration</w:t>
      </w:r>
      <w:r w:rsidR="00C2516F">
        <w:rPr>
          <w:lang w:bidi="ar-SA"/>
        </w:rPr>
        <w:t>, and</w:t>
      </w:r>
      <w:r w:rsidR="00B62B7A">
        <w:rPr>
          <w:lang w:bidi="ar-SA"/>
        </w:rPr>
        <w:t xml:space="preserve"> the</w:t>
      </w:r>
      <w:r w:rsidR="00C2516F">
        <w:rPr>
          <w:lang w:bidi="ar-SA"/>
        </w:rPr>
        <w:t xml:space="preserve"> group mean HDL value was within the reference range of 30 to 150 mg/dl for </w:t>
      </w:r>
      <w:r w:rsidR="00D2034C">
        <w:rPr>
          <w:lang w:bidi="ar-SA"/>
        </w:rPr>
        <w:t xml:space="preserve">cynomolgus </w:t>
      </w:r>
      <w:r w:rsidR="00C2516F">
        <w:rPr>
          <w:lang w:bidi="ar-SA"/>
        </w:rPr>
        <w:t>monkeys</w:t>
      </w:r>
      <w:r w:rsidR="00DA18B2">
        <w:rPr>
          <w:lang w:bidi="ar-SA"/>
        </w:rPr>
        <w:t xml:space="preserve">. </w:t>
      </w:r>
      <w:r>
        <w:rPr>
          <w:lang w:bidi="ar-SA"/>
        </w:rPr>
        <w:t>In low</w:t>
      </w:r>
      <w:r w:rsidR="009149B5">
        <w:rPr>
          <w:lang w:bidi="ar-SA"/>
        </w:rPr>
        <w:t xml:space="preserve"> </w:t>
      </w:r>
      <w:r>
        <w:rPr>
          <w:lang w:bidi="ar-SA"/>
        </w:rPr>
        <w:t>dose males, a statistically significant decrease in HDL</w:t>
      </w:r>
      <w:r w:rsidR="00F47F2A">
        <w:rPr>
          <w:lang w:bidi="ar-SA"/>
        </w:rPr>
        <w:t xml:space="preserve"> and total cholesterol</w:t>
      </w:r>
      <w:r>
        <w:rPr>
          <w:lang w:bidi="ar-SA"/>
        </w:rPr>
        <w:t xml:space="preserve"> was observed, however</w:t>
      </w:r>
      <w:r w:rsidR="00C4564F">
        <w:rPr>
          <w:lang w:bidi="ar-SA"/>
        </w:rPr>
        <w:t>, the HDL values at this dose were within the reference range,</w:t>
      </w:r>
      <w:r w:rsidR="00C2516F">
        <w:rPr>
          <w:lang w:bidi="ar-SA"/>
        </w:rPr>
        <w:t xml:space="preserve"> and</w:t>
      </w:r>
      <w:r>
        <w:rPr>
          <w:lang w:bidi="ar-SA"/>
        </w:rPr>
        <w:t xml:space="preserve"> </w:t>
      </w:r>
      <w:r w:rsidR="00F47F2A">
        <w:rPr>
          <w:lang w:bidi="ar-SA"/>
        </w:rPr>
        <w:t>HDL and cholesterol levels in</w:t>
      </w:r>
      <w:r>
        <w:rPr>
          <w:lang w:bidi="ar-SA"/>
        </w:rPr>
        <w:t xml:space="preserve"> mid</w:t>
      </w:r>
      <w:r w:rsidR="009149B5">
        <w:rPr>
          <w:lang w:bidi="ar-SA"/>
        </w:rPr>
        <w:t xml:space="preserve"> </w:t>
      </w:r>
      <w:r w:rsidR="00F47F2A">
        <w:rPr>
          <w:lang w:bidi="ar-SA"/>
        </w:rPr>
        <w:t>dose males were</w:t>
      </w:r>
      <w:r>
        <w:rPr>
          <w:lang w:bidi="ar-SA"/>
        </w:rPr>
        <w:t xml:space="preserve"> greater than </w:t>
      </w:r>
      <w:r w:rsidR="00F47F2A">
        <w:rPr>
          <w:lang w:bidi="ar-SA"/>
        </w:rPr>
        <w:t>those</w:t>
      </w:r>
      <w:r>
        <w:rPr>
          <w:lang w:bidi="ar-SA"/>
        </w:rPr>
        <w:t xml:space="preserve"> </w:t>
      </w:r>
      <w:r w:rsidR="00F47F2A">
        <w:rPr>
          <w:lang w:bidi="ar-SA"/>
        </w:rPr>
        <w:t>in</w:t>
      </w:r>
      <w:r>
        <w:rPr>
          <w:lang w:bidi="ar-SA"/>
        </w:rPr>
        <w:t xml:space="preserve"> low</w:t>
      </w:r>
      <w:r w:rsidR="001012A5">
        <w:rPr>
          <w:lang w:bidi="ar-SA"/>
        </w:rPr>
        <w:t xml:space="preserve"> </w:t>
      </w:r>
      <w:r>
        <w:rPr>
          <w:lang w:bidi="ar-SA"/>
        </w:rPr>
        <w:t>dose males</w:t>
      </w:r>
      <w:r w:rsidR="00F47F2A">
        <w:rPr>
          <w:lang w:bidi="ar-SA"/>
        </w:rPr>
        <w:t>,</w:t>
      </w:r>
      <w:r>
        <w:rPr>
          <w:lang w:bidi="ar-SA"/>
        </w:rPr>
        <w:t xml:space="preserve"> and </w:t>
      </w:r>
      <w:r w:rsidR="00C2516F">
        <w:rPr>
          <w:lang w:bidi="ar-SA"/>
        </w:rPr>
        <w:t>not</w:t>
      </w:r>
      <w:r>
        <w:rPr>
          <w:lang w:bidi="ar-SA"/>
        </w:rPr>
        <w:t xml:space="preserve"> significant</w:t>
      </w:r>
      <w:r w:rsidR="00C2516F">
        <w:rPr>
          <w:lang w:bidi="ar-SA"/>
        </w:rPr>
        <w:t>ly different</w:t>
      </w:r>
      <w:r>
        <w:rPr>
          <w:lang w:bidi="ar-SA"/>
        </w:rPr>
        <w:t xml:space="preserve"> from </w:t>
      </w:r>
      <w:r w:rsidR="00C2516F">
        <w:rPr>
          <w:lang w:bidi="ar-SA"/>
        </w:rPr>
        <w:t>controls</w:t>
      </w:r>
      <w:r>
        <w:rPr>
          <w:lang w:bidi="ar-SA"/>
        </w:rPr>
        <w:t xml:space="preserve">. During the recovery period, serum cholesterol and HDL levels returned to </w:t>
      </w:r>
      <w:r w:rsidR="00BE205C">
        <w:rPr>
          <w:lang w:bidi="ar-SA"/>
        </w:rPr>
        <w:t>pre</w:t>
      </w:r>
      <w:r w:rsidR="00CC26CA">
        <w:rPr>
          <w:lang w:bidi="ar-SA"/>
        </w:rPr>
        <w:t>treatment</w:t>
      </w:r>
      <w:r>
        <w:rPr>
          <w:lang w:bidi="ar-SA"/>
        </w:rPr>
        <w:t xml:space="preserve"> levels (within 36 and 61 days of cessation of treatment, respectively).</w:t>
      </w:r>
    </w:p>
    <w:p w14:paraId="3BC38270" w14:textId="77777777" w:rsidR="007A0497" w:rsidRDefault="007A0497" w:rsidP="00A111E9">
      <w:pPr>
        <w:rPr>
          <w:lang w:bidi="ar-SA"/>
        </w:rPr>
      </w:pPr>
    </w:p>
    <w:p w14:paraId="566FDC9A" w14:textId="7AEC48FE" w:rsidR="007A0497" w:rsidRDefault="007A0497" w:rsidP="00A111E9">
      <w:pPr>
        <w:rPr>
          <w:lang w:bidi="ar-SA"/>
        </w:rPr>
      </w:pPr>
      <w:r>
        <w:rPr>
          <w:lang w:bidi="ar-SA"/>
        </w:rPr>
        <w:t>Total b</w:t>
      </w:r>
      <w:r w:rsidRPr="009B2CF3">
        <w:rPr>
          <w:lang w:bidi="ar-SA"/>
        </w:rPr>
        <w:t xml:space="preserve">ilirubin in </w:t>
      </w:r>
      <w:r>
        <w:rPr>
          <w:lang w:bidi="ar-SA"/>
        </w:rPr>
        <w:t>high</w:t>
      </w:r>
      <w:r w:rsidR="009149B5">
        <w:rPr>
          <w:lang w:bidi="ar-SA"/>
        </w:rPr>
        <w:t xml:space="preserve"> </w:t>
      </w:r>
      <w:r>
        <w:rPr>
          <w:lang w:bidi="ar-SA"/>
        </w:rPr>
        <w:t xml:space="preserve">dose </w:t>
      </w:r>
      <w:r w:rsidRPr="009B2CF3">
        <w:rPr>
          <w:lang w:bidi="ar-SA"/>
        </w:rPr>
        <w:t>males</w:t>
      </w:r>
      <w:r>
        <w:rPr>
          <w:lang w:bidi="ar-SA"/>
        </w:rPr>
        <w:t xml:space="preserve"> was</w:t>
      </w:r>
      <w:r w:rsidR="00F55F53">
        <w:rPr>
          <w:lang w:bidi="ar-SA"/>
        </w:rPr>
        <w:t xml:space="preserve"> lower than controls on </w:t>
      </w:r>
      <w:r w:rsidR="0094513D">
        <w:rPr>
          <w:lang w:bidi="ar-SA"/>
        </w:rPr>
        <w:t>d</w:t>
      </w:r>
      <w:r w:rsidRPr="009B2CF3">
        <w:rPr>
          <w:lang w:bidi="ar-SA"/>
        </w:rPr>
        <w:t>ays 91, 153, and</w:t>
      </w:r>
      <w:r>
        <w:rPr>
          <w:lang w:bidi="ar-SA"/>
        </w:rPr>
        <w:t xml:space="preserve"> </w:t>
      </w:r>
      <w:r w:rsidRPr="009B2CF3">
        <w:rPr>
          <w:lang w:bidi="ar-SA"/>
        </w:rPr>
        <w:t>182. Elevated serum bile acid concentrations were observed in</w:t>
      </w:r>
      <w:r>
        <w:rPr>
          <w:lang w:bidi="ar-SA"/>
        </w:rPr>
        <w:t xml:space="preserve"> high</w:t>
      </w:r>
      <w:r w:rsidR="001012A5">
        <w:rPr>
          <w:lang w:bidi="ar-SA"/>
        </w:rPr>
        <w:t xml:space="preserve"> </w:t>
      </w:r>
      <w:r>
        <w:rPr>
          <w:lang w:bidi="ar-SA"/>
        </w:rPr>
        <w:t xml:space="preserve">dose males </w:t>
      </w:r>
      <w:r w:rsidR="00F55F53">
        <w:rPr>
          <w:lang w:bidi="ar-SA"/>
        </w:rPr>
        <w:t xml:space="preserve">on </w:t>
      </w:r>
      <w:r w:rsidR="0094513D">
        <w:rPr>
          <w:lang w:bidi="ar-SA"/>
        </w:rPr>
        <w:t>d</w:t>
      </w:r>
      <w:r w:rsidRPr="009B2CF3">
        <w:rPr>
          <w:lang w:bidi="ar-SA"/>
        </w:rPr>
        <w:t>ay 182 only. This was partially</w:t>
      </w:r>
      <w:r>
        <w:rPr>
          <w:lang w:bidi="ar-SA"/>
        </w:rPr>
        <w:t xml:space="preserve"> </w:t>
      </w:r>
      <w:r w:rsidRPr="009B2CF3">
        <w:rPr>
          <w:lang w:bidi="ar-SA"/>
        </w:rPr>
        <w:t xml:space="preserve">the </w:t>
      </w:r>
      <w:r>
        <w:rPr>
          <w:lang w:bidi="ar-SA"/>
        </w:rPr>
        <w:t>result of a value of 58 mM for the</w:t>
      </w:r>
      <w:r w:rsidRPr="009B2CF3">
        <w:rPr>
          <w:lang w:bidi="ar-SA"/>
        </w:rPr>
        <w:t xml:space="preserve"> male sacrificed in</w:t>
      </w:r>
      <w:r>
        <w:rPr>
          <w:lang w:bidi="ar-SA"/>
        </w:rPr>
        <w:t xml:space="preserve"> a </w:t>
      </w:r>
      <w:r w:rsidRPr="009B2CF3">
        <w:rPr>
          <w:lang w:bidi="ar-SA"/>
        </w:rPr>
        <w:t xml:space="preserve">moribund condition on </w:t>
      </w:r>
      <w:r w:rsidR="0094513D">
        <w:rPr>
          <w:lang w:bidi="ar-SA"/>
        </w:rPr>
        <w:t>d</w:t>
      </w:r>
      <w:r w:rsidRPr="009B2CF3">
        <w:rPr>
          <w:lang w:bidi="ar-SA"/>
        </w:rPr>
        <w:t xml:space="preserve">ay 179. No </w:t>
      </w:r>
      <w:r>
        <w:rPr>
          <w:lang w:bidi="ar-SA"/>
        </w:rPr>
        <w:t xml:space="preserve">treatment-related effects on </w:t>
      </w:r>
      <w:r w:rsidRPr="009B2CF3">
        <w:rPr>
          <w:lang w:bidi="ar-SA"/>
        </w:rPr>
        <w:t>bilirubin or bile acids were observed in females at</w:t>
      </w:r>
      <w:r>
        <w:rPr>
          <w:lang w:bidi="ar-SA"/>
        </w:rPr>
        <w:t xml:space="preserve"> </w:t>
      </w:r>
      <w:r w:rsidRPr="009B2CF3">
        <w:rPr>
          <w:lang w:bidi="ar-SA"/>
        </w:rPr>
        <w:t>any dose.</w:t>
      </w:r>
      <w:r>
        <w:rPr>
          <w:lang w:bidi="ar-SA"/>
        </w:rPr>
        <w:t xml:space="preserve"> Excluding the two high</w:t>
      </w:r>
      <w:r w:rsidR="009149B5">
        <w:rPr>
          <w:lang w:bidi="ar-SA"/>
        </w:rPr>
        <w:t xml:space="preserve"> </w:t>
      </w:r>
      <w:r>
        <w:rPr>
          <w:lang w:bidi="ar-SA"/>
        </w:rPr>
        <w:t xml:space="preserve">dose males that were either </w:t>
      </w:r>
      <w:r w:rsidR="00F71D22">
        <w:rPr>
          <w:lang w:bidi="ar-SA"/>
        </w:rPr>
        <w:t>killed</w:t>
      </w:r>
      <w:r>
        <w:rPr>
          <w:lang w:bidi="ar-SA"/>
        </w:rPr>
        <w:t xml:space="preserve"> moribund or died before the end of the dosing period, n</w:t>
      </w:r>
      <w:r w:rsidRPr="009B2CF3">
        <w:rPr>
          <w:lang w:bidi="ar-SA"/>
        </w:rPr>
        <w:t xml:space="preserve">o </w:t>
      </w:r>
      <w:r>
        <w:rPr>
          <w:lang w:bidi="ar-SA"/>
        </w:rPr>
        <w:t xml:space="preserve">treatment-related </w:t>
      </w:r>
      <w:r w:rsidRPr="009B2CF3">
        <w:rPr>
          <w:lang w:bidi="ar-SA"/>
        </w:rPr>
        <w:t>findings were observed for any of the other</w:t>
      </w:r>
      <w:r>
        <w:rPr>
          <w:lang w:bidi="ar-SA"/>
        </w:rPr>
        <w:t xml:space="preserve"> </w:t>
      </w:r>
      <w:r w:rsidRPr="009B2CF3">
        <w:rPr>
          <w:lang w:bidi="ar-SA"/>
        </w:rPr>
        <w:t xml:space="preserve">clinical chemistry </w:t>
      </w:r>
      <w:r>
        <w:rPr>
          <w:lang w:bidi="ar-SA"/>
        </w:rPr>
        <w:t xml:space="preserve">parameters investigated (albumin, alkaline phosphatase, </w:t>
      </w:r>
      <w:r w:rsidR="00920BD9">
        <w:rPr>
          <w:lang w:bidi="ar-SA"/>
        </w:rPr>
        <w:t>ALT</w:t>
      </w:r>
      <w:r>
        <w:rPr>
          <w:lang w:bidi="ar-SA"/>
        </w:rPr>
        <w:t xml:space="preserve">, </w:t>
      </w:r>
      <w:r w:rsidR="00920BD9">
        <w:rPr>
          <w:lang w:bidi="ar-SA"/>
        </w:rPr>
        <w:t>AST</w:t>
      </w:r>
      <w:r>
        <w:rPr>
          <w:lang w:bidi="ar-SA"/>
        </w:rPr>
        <w:t>, blood urea nitrogen</w:t>
      </w:r>
      <w:r w:rsidR="00283936">
        <w:rPr>
          <w:lang w:bidi="ar-SA"/>
        </w:rPr>
        <w:t xml:space="preserve"> (BUN)</w:t>
      </w:r>
      <w:r>
        <w:rPr>
          <w:lang w:bidi="ar-SA"/>
        </w:rPr>
        <w:t xml:space="preserve">, calcium, chloride, creatinine, creatine </w:t>
      </w:r>
      <w:r w:rsidRPr="002D478F">
        <w:rPr>
          <w:lang w:bidi="ar-SA"/>
        </w:rPr>
        <w:t>kinase</w:t>
      </w:r>
      <w:r>
        <w:rPr>
          <w:lang w:bidi="ar-SA"/>
        </w:rPr>
        <w:t>,</w:t>
      </w:r>
      <w:r w:rsidRPr="002D478F">
        <w:rPr>
          <w:lang w:bidi="ar-SA"/>
        </w:rPr>
        <w:t xml:space="preserve"> </w:t>
      </w:r>
      <w:r>
        <w:rPr>
          <w:lang w:bidi="ar-SA"/>
        </w:rPr>
        <w:t xml:space="preserve">globulin, glucose, inorganic phosphate, potassium, sorbitol dehydrogenase, sodium, triglycerides, total protein and </w:t>
      </w:r>
      <w:r w:rsidR="00040A06">
        <w:rPr>
          <w:lang w:bidi="ar-SA"/>
        </w:rPr>
        <w:t>VLDL</w:t>
      </w:r>
      <w:r>
        <w:rPr>
          <w:lang w:bidi="ar-SA"/>
        </w:rPr>
        <w:t>). The high</w:t>
      </w:r>
      <w:r w:rsidR="009149B5">
        <w:rPr>
          <w:lang w:bidi="ar-SA"/>
        </w:rPr>
        <w:t xml:space="preserve"> </w:t>
      </w:r>
      <w:r w:rsidR="00F55F53">
        <w:rPr>
          <w:lang w:bidi="ar-SA"/>
        </w:rPr>
        <w:t xml:space="preserve">dose male that died on </w:t>
      </w:r>
      <w:r w:rsidR="0094513D">
        <w:rPr>
          <w:lang w:bidi="ar-SA"/>
        </w:rPr>
        <w:t>d</w:t>
      </w:r>
      <w:r>
        <w:rPr>
          <w:lang w:bidi="ar-SA"/>
        </w:rPr>
        <w:t>ay 155 had elevated creatine</w:t>
      </w:r>
      <w:r w:rsidR="00F55F53">
        <w:rPr>
          <w:lang w:bidi="ar-SA"/>
        </w:rPr>
        <w:t xml:space="preserve"> kinase from a sample taken on </w:t>
      </w:r>
      <w:r w:rsidR="0094513D">
        <w:rPr>
          <w:lang w:bidi="ar-SA"/>
        </w:rPr>
        <w:t>d</w:t>
      </w:r>
      <w:r>
        <w:rPr>
          <w:lang w:bidi="ar-SA"/>
        </w:rPr>
        <w:t>ay 153. The high</w:t>
      </w:r>
      <w:r w:rsidR="001012A5">
        <w:rPr>
          <w:lang w:bidi="ar-SA"/>
        </w:rPr>
        <w:t xml:space="preserve"> </w:t>
      </w:r>
      <w:r>
        <w:rPr>
          <w:lang w:bidi="ar-SA"/>
        </w:rPr>
        <w:t xml:space="preserve">dose male that was </w:t>
      </w:r>
      <w:r w:rsidR="00F71D22">
        <w:rPr>
          <w:lang w:bidi="ar-SA"/>
        </w:rPr>
        <w:t>killed</w:t>
      </w:r>
      <w:r>
        <w:rPr>
          <w:lang w:bidi="ar-SA"/>
        </w:rPr>
        <w:t xml:space="preserve"> in a moribund condition had elevated </w:t>
      </w:r>
      <w:r w:rsidR="000F71B0">
        <w:rPr>
          <w:lang w:bidi="ar-SA"/>
        </w:rPr>
        <w:t xml:space="preserve">creatine </w:t>
      </w:r>
      <w:r w:rsidR="00BE205C">
        <w:rPr>
          <w:lang w:bidi="ar-SA"/>
        </w:rPr>
        <w:t>kinase</w:t>
      </w:r>
      <w:r>
        <w:rPr>
          <w:lang w:bidi="ar-SA"/>
        </w:rPr>
        <w:t xml:space="preserve">, creatinine, </w:t>
      </w:r>
      <w:r w:rsidR="00283936">
        <w:rPr>
          <w:lang w:bidi="ar-SA"/>
        </w:rPr>
        <w:t>BUN</w:t>
      </w:r>
      <w:r>
        <w:rPr>
          <w:lang w:bidi="ar-SA"/>
        </w:rPr>
        <w:t>, sorbitol dehydrogenase, serum bile acids and potassium.</w:t>
      </w:r>
    </w:p>
    <w:p w14:paraId="733AE329" w14:textId="79EE6715" w:rsidR="005346F5" w:rsidRDefault="005346F5" w:rsidP="00A111E9">
      <w:pPr>
        <w:widowControl/>
        <w:rPr>
          <w:lang w:bidi="ar-SA"/>
        </w:rPr>
      </w:pPr>
    </w:p>
    <w:p w14:paraId="05375272" w14:textId="77777777" w:rsidR="007A0497" w:rsidRPr="00B96A13" w:rsidRDefault="007A0497" w:rsidP="00A111E9">
      <w:pPr>
        <w:keepNext/>
        <w:keepLines/>
        <w:rPr>
          <w:sz w:val="8"/>
          <w:szCs w:val="8"/>
          <w:lang w:bidi="ar-SA"/>
        </w:rPr>
      </w:pPr>
    </w:p>
    <w:p w14:paraId="511C2A8D" w14:textId="55B91FE6" w:rsidR="008C4B9D" w:rsidRPr="00621848" w:rsidRDefault="008C4B9D" w:rsidP="00A111E9">
      <w:pPr>
        <w:rPr>
          <w:lang w:bidi="ar-SA"/>
        </w:rPr>
      </w:pPr>
      <w:bookmarkStart w:id="135" w:name="_Ref465163721"/>
      <w:r>
        <w:rPr>
          <w:lang w:bidi="ar-SA"/>
        </w:rPr>
        <w:t xml:space="preserve">Serum levels of the following were measured prior to and during treatment: cortisol, testosterone, </w:t>
      </w:r>
      <w:r w:rsidR="00BE205C">
        <w:rPr>
          <w:lang w:bidi="ar-SA"/>
        </w:rPr>
        <w:t>estradiol</w:t>
      </w:r>
      <w:r>
        <w:rPr>
          <w:lang w:bidi="ar-SA"/>
        </w:rPr>
        <w:t xml:space="preserve">, oestrone, oestriol, total T3, total T4 and </w:t>
      </w:r>
      <w:r w:rsidR="00920BD9">
        <w:rPr>
          <w:lang w:bidi="ar-SA"/>
        </w:rPr>
        <w:t>thyroid stimulating hormone (</w:t>
      </w:r>
      <w:r w:rsidR="000C6F4B">
        <w:rPr>
          <w:lang w:bidi="ar-SA"/>
        </w:rPr>
        <w:t>TSH</w:t>
      </w:r>
      <w:r w:rsidR="00920BD9">
        <w:rPr>
          <w:lang w:bidi="ar-SA"/>
        </w:rPr>
        <w:t>)</w:t>
      </w:r>
      <w:r>
        <w:rPr>
          <w:lang w:bidi="ar-SA"/>
        </w:rPr>
        <w:t>.</w:t>
      </w:r>
      <w:r w:rsidRPr="00B95C26">
        <w:t xml:space="preserve"> </w:t>
      </w:r>
      <w:r>
        <w:rPr>
          <w:lang w:bidi="ar-SA"/>
        </w:rPr>
        <w:t xml:space="preserve">Free T3 and free T4 were measured from samples taken at terminal sacrifice. In high dose males and females, TSH was </w:t>
      </w:r>
      <w:r w:rsidRPr="00621848">
        <w:rPr>
          <w:lang w:bidi="ar-SA"/>
        </w:rPr>
        <w:t>increase</w:t>
      </w:r>
      <w:r>
        <w:rPr>
          <w:lang w:bidi="ar-SA"/>
        </w:rPr>
        <w:t>d and total and free T3 were decreased. At the mid dose, increased levels of TSH were seen in males and reduced total T3 levels were seen in males and females at the end of the study. However, thyroid hormone levels of some of the terminal samples were subsequently reanalysed in an independent laboratory, and the changes seen in the mid dose animals were not found to be statistically significantly different from controls. No treatment</w:t>
      </w:r>
      <w:r w:rsidR="00032CF6">
        <w:rPr>
          <w:lang w:bidi="ar-SA"/>
        </w:rPr>
        <w:t>-</w:t>
      </w:r>
      <w:r>
        <w:rPr>
          <w:lang w:bidi="ar-SA"/>
        </w:rPr>
        <w:t>related changes in total or free T4 were observed. Mean estradiol in treated females was not significantly different from controls, although 2 of the 6 females in the high dose group had lowered estradiol levels at the end of treatment. Male estradiol levels in the high dose group were significantly lower than controls at the end of treatment, and were significantly lower than pre</w:t>
      </w:r>
      <w:r w:rsidR="00CC26CA">
        <w:rPr>
          <w:lang w:bidi="ar-SA"/>
        </w:rPr>
        <w:t>treatment</w:t>
      </w:r>
      <w:r>
        <w:rPr>
          <w:lang w:bidi="ar-SA"/>
        </w:rPr>
        <w:t xml:space="preserve"> levels from </w:t>
      </w:r>
      <w:r w:rsidR="0094513D">
        <w:rPr>
          <w:lang w:bidi="ar-SA"/>
        </w:rPr>
        <w:t>d</w:t>
      </w:r>
      <w:r>
        <w:rPr>
          <w:lang w:bidi="ar-SA"/>
        </w:rPr>
        <w:t>ay 62. There were no treatment-related effects on the other hormones investigated (cortisol, testosterone</w:t>
      </w:r>
      <w:r w:rsidRPr="00B95C26">
        <w:rPr>
          <w:lang w:bidi="ar-SA"/>
        </w:rPr>
        <w:t xml:space="preserve">, </w:t>
      </w:r>
      <w:r>
        <w:rPr>
          <w:lang w:bidi="ar-SA"/>
        </w:rPr>
        <w:t xml:space="preserve">oestrone and </w:t>
      </w:r>
      <w:r w:rsidRPr="00B95C26">
        <w:rPr>
          <w:lang w:bidi="ar-SA"/>
        </w:rPr>
        <w:t>oestriol</w:t>
      </w:r>
      <w:r>
        <w:rPr>
          <w:lang w:bidi="ar-SA"/>
        </w:rPr>
        <w:t xml:space="preserve">). All </w:t>
      </w:r>
      <w:r w:rsidR="00283936">
        <w:rPr>
          <w:lang w:bidi="ar-SA"/>
        </w:rPr>
        <w:t>hormones</w:t>
      </w:r>
      <w:r>
        <w:rPr>
          <w:lang w:bidi="ar-SA"/>
        </w:rPr>
        <w:t xml:space="preserve"> showing treatment-related changes returned to normal during the recovery period (between 33 and 61 days after cessation of treatment).</w:t>
      </w:r>
    </w:p>
    <w:p w14:paraId="3601ACFB" w14:textId="77777777" w:rsidR="008C4B9D" w:rsidRDefault="008C4B9D" w:rsidP="00A111E9">
      <w:pPr>
        <w:widowControl/>
      </w:pPr>
    </w:p>
    <w:p w14:paraId="7955EE4D" w14:textId="77777777" w:rsidR="008C4B9D" w:rsidRPr="002148D8" w:rsidRDefault="008C4B9D" w:rsidP="00A111E9">
      <w:pPr>
        <w:rPr>
          <w:i/>
          <w:lang w:bidi="ar-SA"/>
        </w:rPr>
      </w:pPr>
      <w:r w:rsidRPr="009B2CF3">
        <w:rPr>
          <w:lang w:bidi="ar-SA"/>
        </w:rPr>
        <w:t xml:space="preserve">There were no </w:t>
      </w:r>
      <w:r>
        <w:rPr>
          <w:lang w:bidi="ar-SA"/>
        </w:rPr>
        <w:t>significant changes in urinalyses considered to be treatment-related.</w:t>
      </w:r>
    </w:p>
    <w:p w14:paraId="303E3DCE" w14:textId="77777777" w:rsidR="003B47F6" w:rsidRDefault="003B47F6" w:rsidP="00A111E9">
      <w:pPr>
        <w:widowControl/>
        <w:rPr>
          <w:rFonts w:cs="Arial"/>
          <w:b/>
        </w:rPr>
      </w:pPr>
      <w:r>
        <w:br w:type="page"/>
      </w:r>
    </w:p>
    <w:p w14:paraId="1498D1CE" w14:textId="1DC52A66" w:rsidR="00656AB4" w:rsidRPr="00656AB4" w:rsidRDefault="005346F5" w:rsidP="00A111E9">
      <w:pPr>
        <w:pStyle w:val="FSTableTitle"/>
      </w:pPr>
      <w:r>
        <w:lastRenderedPageBreak/>
        <w:t xml:space="preserve">Table </w:t>
      </w:r>
      <w:r w:rsidR="00BC19E6">
        <w:fldChar w:fldCharType="begin"/>
      </w:r>
      <w:r w:rsidR="00BC19E6">
        <w:instrText xml:space="preserve"> SEQ Table \* ARABIC </w:instrText>
      </w:r>
      <w:r w:rsidR="00BC19E6">
        <w:fldChar w:fldCharType="separate"/>
      </w:r>
      <w:r w:rsidR="00F4394A">
        <w:rPr>
          <w:noProof/>
        </w:rPr>
        <w:t>4</w:t>
      </w:r>
      <w:r w:rsidR="00BC19E6">
        <w:rPr>
          <w:noProof/>
        </w:rPr>
        <w:fldChar w:fldCharType="end"/>
      </w:r>
      <w:bookmarkEnd w:id="135"/>
      <w:r w:rsidR="00BE256E">
        <w:rPr>
          <w:b w:val="0"/>
        </w:rPr>
        <w:t>:</w:t>
      </w:r>
      <w:r>
        <w:t xml:space="preserve"> </w:t>
      </w:r>
      <w:r w:rsidRPr="005539FD">
        <w:t xml:space="preserve">Serum cholesterol and HDL levels in </w:t>
      </w:r>
      <w:r w:rsidR="00920BD9">
        <w:t>cynomolgus</w:t>
      </w:r>
      <w:r w:rsidR="00920BD9" w:rsidRPr="005539FD">
        <w:t xml:space="preserve"> </w:t>
      </w:r>
      <w:r w:rsidRPr="005539FD">
        <w:t>monkeys receiving PFOS by oral gavage</w:t>
      </w:r>
    </w:p>
    <w:tbl>
      <w:tblPr>
        <w:tblStyle w:val="TableGrid"/>
        <w:tblW w:w="0" w:type="auto"/>
        <w:jc w:val="center"/>
        <w:tblLook w:val="04A0" w:firstRow="1" w:lastRow="0" w:firstColumn="1" w:lastColumn="0" w:noHBand="0" w:noVBand="1"/>
        <w:tblCaption w:val="Table 4: Serum cholesterol and HDL levels in cynomolgus monkeys receiving PFOS by oral gavage"/>
        <w:tblDescription w:val="This table contains data relating to serum cholesterol and high density lipoprotein levels in cynomolgus monkeys receiving &#10;Perfluorooctanoic acid by oral gavage."/>
      </w:tblPr>
      <w:tblGrid>
        <w:gridCol w:w="1773"/>
        <w:gridCol w:w="1276"/>
        <w:gridCol w:w="1275"/>
        <w:gridCol w:w="1228"/>
        <w:gridCol w:w="1327"/>
        <w:gridCol w:w="1327"/>
        <w:gridCol w:w="1080"/>
      </w:tblGrid>
      <w:tr w:rsidR="007A0497" w:rsidRPr="001E6F22" w14:paraId="49F6D92E" w14:textId="77777777" w:rsidTr="00A24D2A">
        <w:trPr>
          <w:cantSplit/>
          <w:tblHeader/>
          <w:jc w:val="center"/>
        </w:trPr>
        <w:tc>
          <w:tcPr>
            <w:tcW w:w="1773" w:type="dxa"/>
            <w:shd w:val="clear" w:color="auto" w:fill="auto"/>
          </w:tcPr>
          <w:p w14:paraId="36628148" w14:textId="6048813C" w:rsidR="007A0497" w:rsidRPr="00656AB4" w:rsidRDefault="007A0497" w:rsidP="00A111E9">
            <w:pPr>
              <w:pStyle w:val="FSTableText"/>
              <w:spacing w:before="40" w:after="40"/>
              <w:rPr>
                <w:rFonts w:ascii="Arial" w:hAnsi="Arial"/>
                <w:b/>
                <w:lang w:bidi="ar-SA"/>
              </w:rPr>
            </w:pPr>
            <w:r w:rsidRPr="00656AB4">
              <w:rPr>
                <w:rFonts w:ascii="Arial" w:hAnsi="Arial"/>
                <w:b/>
                <w:lang w:bidi="ar-SA"/>
              </w:rPr>
              <w:t xml:space="preserve">Dose group (mg/kg </w:t>
            </w:r>
            <w:r w:rsidR="003B47F6">
              <w:rPr>
                <w:rFonts w:ascii="Arial" w:hAnsi="Arial"/>
                <w:b/>
                <w:lang w:bidi="ar-SA"/>
              </w:rPr>
              <w:t>b</w:t>
            </w:r>
            <w:r w:rsidRPr="00656AB4">
              <w:rPr>
                <w:rFonts w:ascii="Arial" w:hAnsi="Arial"/>
                <w:b/>
                <w:lang w:bidi="ar-SA"/>
              </w:rPr>
              <w:t>w/day)</w:t>
            </w:r>
          </w:p>
        </w:tc>
        <w:tc>
          <w:tcPr>
            <w:tcW w:w="1276" w:type="dxa"/>
            <w:shd w:val="clear" w:color="auto" w:fill="auto"/>
            <w:vAlign w:val="center"/>
          </w:tcPr>
          <w:p w14:paraId="7C0684E3" w14:textId="5892CDA9" w:rsidR="007A0497" w:rsidRPr="00656AB4" w:rsidRDefault="007A0497" w:rsidP="00326B55">
            <w:pPr>
              <w:pStyle w:val="FSTableText"/>
              <w:jc w:val="right"/>
              <w:rPr>
                <w:rFonts w:ascii="Arial" w:hAnsi="Arial"/>
                <w:b/>
                <w:lang w:bidi="ar-SA"/>
              </w:rPr>
            </w:pPr>
            <w:r w:rsidRPr="00656AB4">
              <w:rPr>
                <w:rFonts w:ascii="Arial" w:hAnsi="Arial"/>
                <w:b/>
                <w:lang w:bidi="ar-SA"/>
              </w:rPr>
              <w:t>Day 27</w:t>
            </w:r>
          </w:p>
        </w:tc>
        <w:tc>
          <w:tcPr>
            <w:tcW w:w="1275" w:type="dxa"/>
            <w:shd w:val="clear" w:color="auto" w:fill="auto"/>
            <w:vAlign w:val="center"/>
          </w:tcPr>
          <w:p w14:paraId="21250196" w14:textId="77777777" w:rsidR="007A0497" w:rsidRPr="00656AB4" w:rsidRDefault="007A0497" w:rsidP="00326B55">
            <w:pPr>
              <w:pStyle w:val="FSTableText"/>
              <w:jc w:val="right"/>
              <w:rPr>
                <w:rFonts w:ascii="Arial" w:hAnsi="Arial"/>
                <w:b/>
                <w:lang w:bidi="ar-SA"/>
              </w:rPr>
            </w:pPr>
            <w:r w:rsidRPr="00656AB4">
              <w:rPr>
                <w:rFonts w:ascii="Arial" w:hAnsi="Arial"/>
                <w:b/>
                <w:lang w:bidi="ar-SA"/>
              </w:rPr>
              <w:t>Day 37</w:t>
            </w:r>
          </w:p>
        </w:tc>
        <w:tc>
          <w:tcPr>
            <w:tcW w:w="1228" w:type="dxa"/>
            <w:shd w:val="clear" w:color="auto" w:fill="auto"/>
            <w:vAlign w:val="center"/>
          </w:tcPr>
          <w:p w14:paraId="23BA9A68" w14:textId="77777777" w:rsidR="007A0497" w:rsidRPr="00656AB4" w:rsidRDefault="007A0497" w:rsidP="00326B55">
            <w:pPr>
              <w:pStyle w:val="FSTableText"/>
              <w:jc w:val="right"/>
              <w:rPr>
                <w:rFonts w:ascii="Arial" w:hAnsi="Arial"/>
                <w:b/>
                <w:lang w:bidi="ar-SA"/>
              </w:rPr>
            </w:pPr>
            <w:r w:rsidRPr="00656AB4">
              <w:rPr>
                <w:rFonts w:ascii="Arial" w:hAnsi="Arial"/>
                <w:b/>
                <w:lang w:bidi="ar-SA"/>
              </w:rPr>
              <w:t>Day 62</w:t>
            </w:r>
          </w:p>
        </w:tc>
        <w:tc>
          <w:tcPr>
            <w:tcW w:w="1327" w:type="dxa"/>
            <w:shd w:val="clear" w:color="auto" w:fill="auto"/>
            <w:vAlign w:val="center"/>
          </w:tcPr>
          <w:p w14:paraId="48C24320" w14:textId="77777777" w:rsidR="007A0497" w:rsidRPr="00656AB4" w:rsidRDefault="007A0497" w:rsidP="00326B55">
            <w:pPr>
              <w:pStyle w:val="FSTableText"/>
              <w:jc w:val="right"/>
              <w:rPr>
                <w:rFonts w:ascii="Arial" w:hAnsi="Arial"/>
                <w:b/>
                <w:lang w:bidi="ar-SA"/>
              </w:rPr>
            </w:pPr>
            <w:r w:rsidRPr="00656AB4">
              <w:rPr>
                <w:rFonts w:ascii="Arial" w:hAnsi="Arial"/>
                <w:b/>
                <w:lang w:bidi="ar-SA"/>
              </w:rPr>
              <w:t>Day 91</w:t>
            </w:r>
          </w:p>
        </w:tc>
        <w:tc>
          <w:tcPr>
            <w:tcW w:w="1327" w:type="dxa"/>
            <w:shd w:val="clear" w:color="auto" w:fill="auto"/>
            <w:vAlign w:val="center"/>
          </w:tcPr>
          <w:p w14:paraId="5F95F711" w14:textId="77777777" w:rsidR="007A0497" w:rsidRPr="00656AB4" w:rsidRDefault="007A0497" w:rsidP="00326B55">
            <w:pPr>
              <w:pStyle w:val="FSTableText"/>
              <w:jc w:val="right"/>
              <w:rPr>
                <w:rFonts w:ascii="Arial" w:hAnsi="Arial"/>
                <w:b/>
                <w:lang w:bidi="ar-SA"/>
              </w:rPr>
            </w:pPr>
            <w:r w:rsidRPr="00656AB4">
              <w:rPr>
                <w:rFonts w:ascii="Arial" w:hAnsi="Arial"/>
                <w:b/>
                <w:lang w:bidi="ar-SA"/>
              </w:rPr>
              <w:t>Day 153</w:t>
            </w:r>
          </w:p>
        </w:tc>
        <w:tc>
          <w:tcPr>
            <w:tcW w:w="1080" w:type="dxa"/>
            <w:shd w:val="clear" w:color="auto" w:fill="auto"/>
            <w:vAlign w:val="center"/>
          </w:tcPr>
          <w:p w14:paraId="17343C37" w14:textId="77777777" w:rsidR="007A0497" w:rsidRPr="00656AB4" w:rsidRDefault="007A0497" w:rsidP="00326B55">
            <w:pPr>
              <w:pStyle w:val="FSTableText"/>
              <w:jc w:val="right"/>
              <w:rPr>
                <w:rFonts w:ascii="Arial" w:hAnsi="Arial"/>
                <w:b/>
                <w:lang w:bidi="ar-SA"/>
              </w:rPr>
            </w:pPr>
            <w:r w:rsidRPr="00656AB4">
              <w:rPr>
                <w:rFonts w:ascii="Arial" w:hAnsi="Arial"/>
                <w:b/>
                <w:lang w:bidi="ar-SA"/>
              </w:rPr>
              <w:t>Day 182</w:t>
            </w:r>
          </w:p>
        </w:tc>
      </w:tr>
      <w:tr w:rsidR="007A0497" w:rsidRPr="001E6F22" w14:paraId="177EBA49" w14:textId="77777777" w:rsidTr="00A24D2A">
        <w:trPr>
          <w:cantSplit/>
          <w:jc w:val="center"/>
        </w:trPr>
        <w:tc>
          <w:tcPr>
            <w:tcW w:w="9286" w:type="dxa"/>
            <w:gridSpan w:val="7"/>
            <w:shd w:val="clear" w:color="auto" w:fill="auto"/>
          </w:tcPr>
          <w:p w14:paraId="1DF69354" w14:textId="77777777" w:rsidR="007A0497" w:rsidRPr="000B3C14" w:rsidRDefault="007A0497" w:rsidP="00326B55">
            <w:pPr>
              <w:pStyle w:val="FSTableText"/>
              <w:spacing w:before="40" w:after="40"/>
              <w:rPr>
                <w:rFonts w:ascii="Arial" w:hAnsi="Arial"/>
                <w:b/>
                <w:sz w:val="18"/>
              </w:rPr>
            </w:pPr>
            <w:r w:rsidRPr="00D711DD">
              <w:rPr>
                <w:b/>
                <w:sz w:val="18"/>
              </w:rPr>
              <w:t>Males</w:t>
            </w:r>
          </w:p>
        </w:tc>
      </w:tr>
      <w:tr w:rsidR="007A0497" w:rsidRPr="001E6F22" w14:paraId="680B3FC3" w14:textId="77777777" w:rsidTr="00A24D2A">
        <w:trPr>
          <w:cantSplit/>
          <w:jc w:val="center"/>
        </w:trPr>
        <w:tc>
          <w:tcPr>
            <w:tcW w:w="9286" w:type="dxa"/>
            <w:gridSpan w:val="7"/>
            <w:shd w:val="clear" w:color="auto" w:fill="auto"/>
          </w:tcPr>
          <w:p w14:paraId="6F2E8E05" w14:textId="00D63B97" w:rsidR="007A0497" w:rsidRPr="000B3C14" w:rsidRDefault="00AC70D9" w:rsidP="00326B55">
            <w:pPr>
              <w:pStyle w:val="FSTableText"/>
              <w:spacing w:before="20" w:after="20"/>
              <w:rPr>
                <w:rFonts w:ascii="Arial" w:hAnsi="Arial"/>
                <w:sz w:val="18"/>
              </w:rPr>
            </w:pPr>
            <w:r w:rsidRPr="00D711DD">
              <w:rPr>
                <w:sz w:val="18"/>
              </w:rPr>
              <w:t>Cholesterol (mg/dL)</w:t>
            </w:r>
          </w:p>
        </w:tc>
      </w:tr>
      <w:tr w:rsidR="007A0497" w:rsidRPr="001E6F22" w14:paraId="2CB67BB1" w14:textId="77777777" w:rsidTr="00A24D2A">
        <w:trPr>
          <w:cantSplit/>
          <w:jc w:val="center"/>
        </w:trPr>
        <w:tc>
          <w:tcPr>
            <w:tcW w:w="1773" w:type="dxa"/>
            <w:shd w:val="clear" w:color="auto" w:fill="auto"/>
          </w:tcPr>
          <w:p w14:paraId="129A15E7" w14:textId="77777777" w:rsidR="007A0497" w:rsidRPr="00F6284E" w:rsidRDefault="007A0497" w:rsidP="00A111E9">
            <w:pPr>
              <w:pStyle w:val="FSTableText"/>
              <w:rPr>
                <w:rFonts w:ascii="Arial" w:hAnsi="Arial"/>
                <w:sz w:val="18"/>
              </w:rPr>
            </w:pPr>
            <w:r w:rsidRPr="00F6284E">
              <w:rPr>
                <w:sz w:val="18"/>
              </w:rPr>
              <w:t>0</w:t>
            </w:r>
          </w:p>
        </w:tc>
        <w:tc>
          <w:tcPr>
            <w:tcW w:w="1276" w:type="dxa"/>
            <w:shd w:val="clear" w:color="auto" w:fill="auto"/>
          </w:tcPr>
          <w:p w14:paraId="3C46EE46" w14:textId="77777777" w:rsidR="007A0497" w:rsidRPr="00F6284E" w:rsidRDefault="007A0497" w:rsidP="00326B55">
            <w:pPr>
              <w:pStyle w:val="FSTableText"/>
              <w:jc w:val="right"/>
              <w:rPr>
                <w:rFonts w:ascii="Arial" w:hAnsi="Arial"/>
                <w:sz w:val="18"/>
              </w:rPr>
            </w:pPr>
            <w:r w:rsidRPr="00F6284E">
              <w:rPr>
                <w:sz w:val="18"/>
              </w:rPr>
              <w:t>138 ± 34</w:t>
            </w:r>
          </w:p>
        </w:tc>
        <w:tc>
          <w:tcPr>
            <w:tcW w:w="1275" w:type="dxa"/>
            <w:shd w:val="clear" w:color="auto" w:fill="auto"/>
          </w:tcPr>
          <w:p w14:paraId="082FC57B" w14:textId="77777777" w:rsidR="007A0497" w:rsidRPr="00F6284E" w:rsidRDefault="007A0497" w:rsidP="00326B55">
            <w:pPr>
              <w:pStyle w:val="FSTableText"/>
              <w:jc w:val="right"/>
              <w:rPr>
                <w:rFonts w:ascii="Arial" w:hAnsi="Arial"/>
                <w:sz w:val="18"/>
              </w:rPr>
            </w:pPr>
            <w:r w:rsidRPr="00F6284E">
              <w:rPr>
                <w:sz w:val="18"/>
              </w:rPr>
              <w:t>140 ± 22</w:t>
            </w:r>
          </w:p>
        </w:tc>
        <w:tc>
          <w:tcPr>
            <w:tcW w:w="1228" w:type="dxa"/>
            <w:shd w:val="clear" w:color="auto" w:fill="auto"/>
          </w:tcPr>
          <w:p w14:paraId="2BB7AF31" w14:textId="77777777" w:rsidR="007A0497" w:rsidRPr="00F6284E" w:rsidRDefault="007A0497" w:rsidP="00326B55">
            <w:pPr>
              <w:pStyle w:val="FSTableText"/>
              <w:jc w:val="right"/>
              <w:rPr>
                <w:rFonts w:ascii="Arial" w:hAnsi="Arial"/>
                <w:sz w:val="18"/>
              </w:rPr>
            </w:pPr>
            <w:r w:rsidRPr="00F6284E">
              <w:rPr>
                <w:sz w:val="18"/>
              </w:rPr>
              <w:t>153 ± 23</w:t>
            </w:r>
          </w:p>
        </w:tc>
        <w:tc>
          <w:tcPr>
            <w:tcW w:w="1327" w:type="dxa"/>
            <w:shd w:val="clear" w:color="auto" w:fill="auto"/>
          </w:tcPr>
          <w:p w14:paraId="40C8A46C" w14:textId="77777777" w:rsidR="007A0497" w:rsidRPr="00F6284E" w:rsidRDefault="007A0497" w:rsidP="00326B55">
            <w:pPr>
              <w:pStyle w:val="FSTableText"/>
              <w:jc w:val="right"/>
              <w:rPr>
                <w:rFonts w:ascii="Arial" w:hAnsi="Arial"/>
                <w:sz w:val="18"/>
              </w:rPr>
            </w:pPr>
            <w:r w:rsidRPr="00F6284E">
              <w:rPr>
                <w:sz w:val="18"/>
              </w:rPr>
              <w:t>154 ± 25</w:t>
            </w:r>
          </w:p>
        </w:tc>
        <w:tc>
          <w:tcPr>
            <w:tcW w:w="1327" w:type="dxa"/>
            <w:shd w:val="clear" w:color="auto" w:fill="auto"/>
          </w:tcPr>
          <w:p w14:paraId="6C5890DC" w14:textId="77777777" w:rsidR="007A0497" w:rsidRPr="00F6284E" w:rsidRDefault="007A0497" w:rsidP="00326B55">
            <w:pPr>
              <w:pStyle w:val="FSTableText"/>
              <w:jc w:val="right"/>
              <w:rPr>
                <w:rFonts w:ascii="Arial" w:hAnsi="Arial"/>
                <w:sz w:val="18"/>
              </w:rPr>
            </w:pPr>
            <w:r w:rsidRPr="00F6284E">
              <w:rPr>
                <w:sz w:val="18"/>
              </w:rPr>
              <w:t>154 ± 30</w:t>
            </w:r>
          </w:p>
        </w:tc>
        <w:tc>
          <w:tcPr>
            <w:tcW w:w="1080" w:type="dxa"/>
            <w:shd w:val="clear" w:color="auto" w:fill="auto"/>
          </w:tcPr>
          <w:p w14:paraId="1CBA28A8" w14:textId="77777777" w:rsidR="007A0497" w:rsidRPr="00F6284E" w:rsidRDefault="007A0497" w:rsidP="00326B55">
            <w:pPr>
              <w:pStyle w:val="FSTableText"/>
              <w:jc w:val="right"/>
              <w:rPr>
                <w:rFonts w:ascii="Arial" w:hAnsi="Arial"/>
                <w:sz w:val="18"/>
              </w:rPr>
            </w:pPr>
            <w:r w:rsidRPr="00F6284E">
              <w:rPr>
                <w:sz w:val="18"/>
              </w:rPr>
              <w:t>152 ± 28</w:t>
            </w:r>
          </w:p>
        </w:tc>
      </w:tr>
      <w:tr w:rsidR="007A0497" w:rsidRPr="001E6F22" w14:paraId="2D6E3D56" w14:textId="77777777" w:rsidTr="00A24D2A">
        <w:trPr>
          <w:cantSplit/>
          <w:jc w:val="center"/>
        </w:trPr>
        <w:tc>
          <w:tcPr>
            <w:tcW w:w="1773" w:type="dxa"/>
            <w:shd w:val="clear" w:color="auto" w:fill="auto"/>
          </w:tcPr>
          <w:p w14:paraId="6FB3F3CA" w14:textId="77777777" w:rsidR="007A0497" w:rsidRPr="00F6284E" w:rsidRDefault="007A0497" w:rsidP="00A111E9">
            <w:pPr>
              <w:pStyle w:val="FSTableText"/>
              <w:rPr>
                <w:rFonts w:ascii="Arial" w:hAnsi="Arial"/>
                <w:sz w:val="18"/>
              </w:rPr>
            </w:pPr>
            <w:r w:rsidRPr="00F6284E">
              <w:rPr>
                <w:sz w:val="18"/>
              </w:rPr>
              <w:t>0.03</w:t>
            </w:r>
          </w:p>
        </w:tc>
        <w:tc>
          <w:tcPr>
            <w:tcW w:w="1276" w:type="dxa"/>
            <w:shd w:val="clear" w:color="auto" w:fill="auto"/>
          </w:tcPr>
          <w:p w14:paraId="659C78F4" w14:textId="77777777" w:rsidR="007A0497" w:rsidRPr="00F6284E" w:rsidRDefault="007A0497" w:rsidP="00326B55">
            <w:pPr>
              <w:pStyle w:val="FSTableText"/>
              <w:jc w:val="right"/>
              <w:rPr>
                <w:rFonts w:ascii="Arial" w:hAnsi="Arial"/>
                <w:sz w:val="18"/>
              </w:rPr>
            </w:pPr>
            <w:r w:rsidRPr="00F6284E">
              <w:rPr>
                <w:sz w:val="18"/>
              </w:rPr>
              <w:t>110 ± 20</w:t>
            </w:r>
          </w:p>
        </w:tc>
        <w:tc>
          <w:tcPr>
            <w:tcW w:w="1275" w:type="dxa"/>
            <w:shd w:val="clear" w:color="auto" w:fill="auto"/>
          </w:tcPr>
          <w:p w14:paraId="3ED90A1F" w14:textId="77777777" w:rsidR="007A0497" w:rsidRPr="00F6284E" w:rsidRDefault="007A0497" w:rsidP="00326B55">
            <w:pPr>
              <w:pStyle w:val="FSTableText"/>
              <w:jc w:val="right"/>
              <w:rPr>
                <w:rFonts w:ascii="Arial" w:hAnsi="Arial"/>
                <w:sz w:val="18"/>
              </w:rPr>
            </w:pPr>
            <w:r w:rsidRPr="00F6284E">
              <w:rPr>
                <w:sz w:val="18"/>
              </w:rPr>
              <w:t>118 ± 28</w:t>
            </w:r>
          </w:p>
        </w:tc>
        <w:tc>
          <w:tcPr>
            <w:tcW w:w="1228" w:type="dxa"/>
            <w:shd w:val="clear" w:color="auto" w:fill="auto"/>
          </w:tcPr>
          <w:p w14:paraId="27662D2B" w14:textId="77777777" w:rsidR="007A0497" w:rsidRPr="00F6284E" w:rsidRDefault="007A0497" w:rsidP="00326B55">
            <w:pPr>
              <w:pStyle w:val="FSTableText"/>
              <w:jc w:val="right"/>
              <w:rPr>
                <w:rFonts w:ascii="Arial" w:hAnsi="Arial"/>
                <w:sz w:val="18"/>
              </w:rPr>
            </w:pPr>
            <w:r w:rsidRPr="00F6284E">
              <w:rPr>
                <w:sz w:val="18"/>
              </w:rPr>
              <w:t>114 ± 25</w:t>
            </w:r>
            <w:r w:rsidRPr="00F6284E">
              <w:rPr>
                <w:sz w:val="18"/>
                <w:vertAlign w:val="superscript"/>
              </w:rPr>
              <w:t>**</w:t>
            </w:r>
          </w:p>
        </w:tc>
        <w:tc>
          <w:tcPr>
            <w:tcW w:w="1327" w:type="dxa"/>
            <w:shd w:val="clear" w:color="auto" w:fill="auto"/>
          </w:tcPr>
          <w:p w14:paraId="15DF7F4C" w14:textId="77777777" w:rsidR="007A0497" w:rsidRPr="00F6284E" w:rsidRDefault="007A0497" w:rsidP="00326B55">
            <w:pPr>
              <w:pStyle w:val="FSTableText"/>
              <w:jc w:val="right"/>
              <w:rPr>
                <w:rFonts w:ascii="Arial" w:hAnsi="Arial"/>
                <w:sz w:val="18"/>
              </w:rPr>
            </w:pPr>
            <w:r w:rsidRPr="00F6284E">
              <w:rPr>
                <w:sz w:val="18"/>
              </w:rPr>
              <w:t>126 ± 15</w:t>
            </w:r>
          </w:p>
        </w:tc>
        <w:tc>
          <w:tcPr>
            <w:tcW w:w="1327" w:type="dxa"/>
            <w:shd w:val="clear" w:color="auto" w:fill="auto"/>
          </w:tcPr>
          <w:p w14:paraId="3A2354AF" w14:textId="77777777" w:rsidR="007A0497" w:rsidRPr="00F6284E" w:rsidRDefault="007A0497" w:rsidP="00326B55">
            <w:pPr>
              <w:pStyle w:val="FSTableText"/>
              <w:jc w:val="right"/>
              <w:rPr>
                <w:rFonts w:ascii="Arial" w:hAnsi="Arial"/>
                <w:sz w:val="18"/>
              </w:rPr>
            </w:pPr>
            <w:r w:rsidRPr="00F6284E">
              <w:rPr>
                <w:sz w:val="18"/>
              </w:rPr>
              <w:t>120 ± 16</w:t>
            </w:r>
          </w:p>
        </w:tc>
        <w:tc>
          <w:tcPr>
            <w:tcW w:w="1080" w:type="dxa"/>
            <w:shd w:val="clear" w:color="auto" w:fill="auto"/>
          </w:tcPr>
          <w:p w14:paraId="7874A1C0" w14:textId="77777777" w:rsidR="007A0497" w:rsidRPr="00F6284E" w:rsidRDefault="007A0497" w:rsidP="00326B55">
            <w:pPr>
              <w:pStyle w:val="FSTableText"/>
              <w:jc w:val="right"/>
              <w:rPr>
                <w:rFonts w:ascii="Arial" w:hAnsi="Arial"/>
                <w:sz w:val="18"/>
              </w:rPr>
            </w:pPr>
            <w:r w:rsidRPr="00F6284E">
              <w:rPr>
                <w:sz w:val="18"/>
              </w:rPr>
              <w:t>110 ± 17</w:t>
            </w:r>
            <w:r w:rsidRPr="00F6284E">
              <w:rPr>
                <w:sz w:val="18"/>
                <w:vertAlign w:val="superscript"/>
              </w:rPr>
              <w:t>**</w:t>
            </w:r>
          </w:p>
        </w:tc>
      </w:tr>
      <w:tr w:rsidR="007A0497" w:rsidRPr="001E6F22" w14:paraId="387D6D0B" w14:textId="77777777" w:rsidTr="00A24D2A">
        <w:trPr>
          <w:cantSplit/>
          <w:jc w:val="center"/>
        </w:trPr>
        <w:tc>
          <w:tcPr>
            <w:tcW w:w="1773" w:type="dxa"/>
            <w:shd w:val="clear" w:color="auto" w:fill="auto"/>
          </w:tcPr>
          <w:p w14:paraId="7933C602" w14:textId="77777777" w:rsidR="007A0497" w:rsidRPr="00F6284E" w:rsidRDefault="007A0497" w:rsidP="00A111E9">
            <w:pPr>
              <w:pStyle w:val="FSTableText"/>
              <w:rPr>
                <w:rFonts w:ascii="Arial" w:hAnsi="Arial"/>
                <w:sz w:val="18"/>
              </w:rPr>
            </w:pPr>
            <w:r w:rsidRPr="00F6284E">
              <w:rPr>
                <w:sz w:val="18"/>
              </w:rPr>
              <w:t>0.15</w:t>
            </w:r>
          </w:p>
        </w:tc>
        <w:tc>
          <w:tcPr>
            <w:tcW w:w="1276" w:type="dxa"/>
            <w:shd w:val="clear" w:color="auto" w:fill="auto"/>
          </w:tcPr>
          <w:p w14:paraId="52403CA7" w14:textId="77777777" w:rsidR="007A0497" w:rsidRPr="00F6284E" w:rsidRDefault="007A0497" w:rsidP="00326B55">
            <w:pPr>
              <w:pStyle w:val="FSTableText"/>
              <w:jc w:val="right"/>
              <w:rPr>
                <w:rFonts w:ascii="Arial" w:hAnsi="Arial"/>
                <w:sz w:val="18"/>
              </w:rPr>
            </w:pPr>
            <w:r w:rsidRPr="00F6284E">
              <w:rPr>
                <w:sz w:val="18"/>
              </w:rPr>
              <w:t>151 ± 26</w:t>
            </w:r>
          </w:p>
        </w:tc>
        <w:tc>
          <w:tcPr>
            <w:tcW w:w="1275" w:type="dxa"/>
            <w:shd w:val="clear" w:color="auto" w:fill="auto"/>
          </w:tcPr>
          <w:p w14:paraId="0563AB2A" w14:textId="77777777" w:rsidR="007A0497" w:rsidRPr="00F6284E" w:rsidRDefault="007A0497" w:rsidP="00326B55">
            <w:pPr>
              <w:pStyle w:val="FSTableText"/>
              <w:jc w:val="right"/>
              <w:rPr>
                <w:rFonts w:ascii="Arial" w:hAnsi="Arial"/>
                <w:sz w:val="18"/>
              </w:rPr>
            </w:pPr>
            <w:r w:rsidRPr="00F6284E">
              <w:rPr>
                <w:sz w:val="18"/>
              </w:rPr>
              <w:t>146 ± 22</w:t>
            </w:r>
          </w:p>
        </w:tc>
        <w:tc>
          <w:tcPr>
            <w:tcW w:w="1228" w:type="dxa"/>
            <w:shd w:val="clear" w:color="auto" w:fill="auto"/>
          </w:tcPr>
          <w:p w14:paraId="5BAA0B3A" w14:textId="77777777" w:rsidR="007A0497" w:rsidRPr="00F6284E" w:rsidRDefault="007A0497" w:rsidP="00326B55">
            <w:pPr>
              <w:pStyle w:val="FSTableText"/>
              <w:jc w:val="right"/>
              <w:rPr>
                <w:rFonts w:ascii="Arial" w:hAnsi="Arial"/>
                <w:sz w:val="18"/>
              </w:rPr>
            </w:pPr>
            <w:r w:rsidRPr="00F6284E">
              <w:rPr>
                <w:sz w:val="18"/>
              </w:rPr>
              <w:t>144 ± 20</w:t>
            </w:r>
          </w:p>
        </w:tc>
        <w:tc>
          <w:tcPr>
            <w:tcW w:w="1327" w:type="dxa"/>
            <w:shd w:val="clear" w:color="auto" w:fill="auto"/>
          </w:tcPr>
          <w:p w14:paraId="257D86EA" w14:textId="77777777" w:rsidR="007A0497" w:rsidRPr="00F6284E" w:rsidRDefault="007A0497" w:rsidP="00326B55">
            <w:pPr>
              <w:pStyle w:val="FSTableText"/>
              <w:jc w:val="right"/>
              <w:rPr>
                <w:rFonts w:ascii="Arial" w:hAnsi="Arial"/>
                <w:sz w:val="18"/>
              </w:rPr>
            </w:pPr>
            <w:r w:rsidRPr="00F6284E">
              <w:rPr>
                <w:sz w:val="18"/>
              </w:rPr>
              <w:t>150 ± 19</w:t>
            </w:r>
          </w:p>
        </w:tc>
        <w:tc>
          <w:tcPr>
            <w:tcW w:w="1327" w:type="dxa"/>
            <w:shd w:val="clear" w:color="auto" w:fill="auto"/>
          </w:tcPr>
          <w:p w14:paraId="5BAD867D" w14:textId="77777777" w:rsidR="007A0497" w:rsidRPr="00F6284E" w:rsidRDefault="007A0497" w:rsidP="00326B55">
            <w:pPr>
              <w:pStyle w:val="FSTableText"/>
              <w:jc w:val="right"/>
              <w:rPr>
                <w:rFonts w:ascii="Arial" w:hAnsi="Arial"/>
                <w:sz w:val="18"/>
              </w:rPr>
            </w:pPr>
            <w:r w:rsidRPr="00F6284E">
              <w:rPr>
                <w:sz w:val="18"/>
              </w:rPr>
              <w:t>149 ± 23</w:t>
            </w:r>
          </w:p>
        </w:tc>
        <w:tc>
          <w:tcPr>
            <w:tcW w:w="1080" w:type="dxa"/>
            <w:shd w:val="clear" w:color="auto" w:fill="auto"/>
          </w:tcPr>
          <w:p w14:paraId="2B0D4E31" w14:textId="77777777" w:rsidR="007A0497" w:rsidRPr="00F6284E" w:rsidRDefault="007A0497" w:rsidP="00326B55">
            <w:pPr>
              <w:pStyle w:val="FSTableText"/>
              <w:jc w:val="right"/>
              <w:rPr>
                <w:rFonts w:ascii="Arial" w:hAnsi="Arial"/>
                <w:sz w:val="18"/>
              </w:rPr>
            </w:pPr>
            <w:r w:rsidRPr="00F6284E">
              <w:rPr>
                <w:sz w:val="18"/>
              </w:rPr>
              <w:t>147 ± 24</w:t>
            </w:r>
          </w:p>
        </w:tc>
      </w:tr>
      <w:tr w:rsidR="007A0497" w:rsidRPr="001E6F22" w14:paraId="1AA0C857" w14:textId="77777777" w:rsidTr="00A24D2A">
        <w:trPr>
          <w:cantSplit/>
          <w:jc w:val="center"/>
        </w:trPr>
        <w:tc>
          <w:tcPr>
            <w:tcW w:w="1773" w:type="dxa"/>
            <w:shd w:val="clear" w:color="auto" w:fill="auto"/>
          </w:tcPr>
          <w:p w14:paraId="3ECCFE29" w14:textId="77777777" w:rsidR="007A0497" w:rsidRPr="00F6284E" w:rsidRDefault="007A0497" w:rsidP="00A111E9">
            <w:pPr>
              <w:pStyle w:val="FSTableText"/>
              <w:rPr>
                <w:rFonts w:ascii="Arial" w:hAnsi="Arial"/>
                <w:sz w:val="18"/>
              </w:rPr>
            </w:pPr>
            <w:r w:rsidRPr="00F6284E">
              <w:rPr>
                <w:sz w:val="18"/>
              </w:rPr>
              <w:t>0.75</w:t>
            </w:r>
          </w:p>
        </w:tc>
        <w:tc>
          <w:tcPr>
            <w:tcW w:w="1276" w:type="dxa"/>
            <w:shd w:val="clear" w:color="auto" w:fill="auto"/>
          </w:tcPr>
          <w:p w14:paraId="593F4974" w14:textId="77777777" w:rsidR="007A0497" w:rsidRPr="00F6284E" w:rsidRDefault="007A0497" w:rsidP="00326B55">
            <w:pPr>
              <w:pStyle w:val="FSTableText"/>
              <w:jc w:val="right"/>
              <w:rPr>
                <w:rFonts w:ascii="Arial" w:hAnsi="Arial"/>
                <w:sz w:val="18"/>
              </w:rPr>
            </w:pPr>
            <w:r w:rsidRPr="00F6284E">
              <w:rPr>
                <w:sz w:val="18"/>
              </w:rPr>
              <w:t>138 ± 29</w:t>
            </w:r>
          </w:p>
        </w:tc>
        <w:tc>
          <w:tcPr>
            <w:tcW w:w="1275" w:type="dxa"/>
            <w:shd w:val="clear" w:color="auto" w:fill="auto"/>
          </w:tcPr>
          <w:p w14:paraId="6BF1C9D2" w14:textId="77777777" w:rsidR="007A0497" w:rsidRPr="00F6284E" w:rsidRDefault="007A0497" w:rsidP="00326B55">
            <w:pPr>
              <w:pStyle w:val="FSTableText"/>
              <w:jc w:val="right"/>
              <w:rPr>
                <w:rFonts w:ascii="Arial" w:hAnsi="Arial"/>
                <w:sz w:val="18"/>
              </w:rPr>
            </w:pPr>
            <w:r w:rsidRPr="00F6284E">
              <w:rPr>
                <w:sz w:val="18"/>
              </w:rPr>
              <w:t>130 ± 18</w:t>
            </w:r>
          </w:p>
        </w:tc>
        <w:tc>
          <w:tcPr>
            <w:tcW w:w="1228" w:type="dxa"/>
            <w:shd w:val="clear" w:color="auto" w:fill="auto"/>
          </w:tcPr>
          <w:p w14:paraId="35D85F99" w14:textId="77777777" w:rsidR="007A0497" w:rsidRPr="00F6284E" w:rsidRDefault="007A0497" w:rsidP="00326B55">
            <w:pPr>
              <w:pStyle w:val="FSTableText"/>
              <w:jc w:val="right"/>
              <w:rPr>
                <w:rFonts w:ascii="Arial" w:hAnsi="Arial"/>
                <w:sz w:val="18"/>
              </w:rPr>
            </w:pPr>
            <w:r w:rsidRPr="00F6284E">
              <w:rPr>
                <w:sz w:val="18"/>
              </w:rPr>
              <w:t>125 ± 21</w:t>
            </w:r>
          </w:p>
        </w:tc>
        <w:tc>
          <w:tcPr>
            <w:tcW w:w="1327" w:type="dxa"/>
            <w:shd w:val="clear" w:color="auto" w:fill="auto"/>
          </w:tcPr>
          <w:p w14:paraId="48D8300C" w14:textId="77777777" w:rsidR="007A0497" w:rsidRPr="00F6284E" w:rsidRDefault="007A0497" w:rsidP="00326B55">
            <w:pPr>
              <w:pStyle w:val="FSTableText"/>
              <w:jc w:val="right"/>
              <w:rPr>
                <w:rFonts w:ascii="Arial" w:hAnsi="Arial"/>
                <w:sz w:val="18"/>
              </w:rPr>
            </w:pPr>
            <w:r w:rsidRPr="00F6284E">
              <w:rPr>
                <w:sz w:val="18"/>
              </w:rPr>
              <w:t>112 ± 27</w:t>
            </w:r>
            <w:r w:rsidRPr="00F6284E">
              <w:rPr>
                <w:sz w:val="18"/>
                <w:vertAlign w:val="superscript"/>
              </w:rPr>
              <w:t>*, **</w:t>
            </w:r>
          </w:p>
        </w:tc>
        <w:tc>
          <w:tcPr>
            <w:tcW w:w="1327" w:type="dxa"/>
            <w:shd w:val="clear" w:color="auto" w:fill="auto"/>
          </w:tcPr>
          <w:p w14:paraId="28B8106E" w14:textId="77777777" w:rsidR="007A0497" w:rsidRPr="00F6284E" w:rsidRDefault="007A0497" w:rsidP="00326B55">
            <w:pPr>
              <w:pStyle w:val="FSTableText"/>
              <w:jc w:val="right"/>
              <w:rPr>
                <w:rFonts w:ascii="Arial" w:hAnsi="Arial"/>
                <w:sz w:val="18"/>
              </w:rPr>
            </w:pPr>
            <w:r w:rsidRPr="00F6284E">
              <w:rPr>
                <w:sz w:val="18"/>
              </w:rPr>
              <w:t>65 ± 20</w:t>
            </w:r>
            <w:r w:rsidRPr="00F6284E">
              <w:rPr>
                <w:sz w:val="18"/>
                <w:vertAlign w:val="superscript"/>
              </w:rPr>
              <w:t>*, **</w:t>
            </w:r>
          </w:p>
        </w:tc>
        <w:tc>
          <w:tcPr>
            <w:tcW w:w="1080" w:type="dxa"/>
            <w:shd w:val="clear" w:color="auto" w:fill="auto"/>
          </w:tcPr>
          <w:p w14:paraId="385B1E28" w14:textId="77777777" w:rsidR="007A0497" w:rsidRPr="00F6284E" w:rsidRDefault="007A0497" w:rsidP="00326B55">
            <w:pPr>
              <w:pStyle w:val="FSTableText"/>
              <w:jc w:val="right"/>
              <w:rPr>
                <w:rFonts w:ascii="Arial" w:hAnsi="Arial"/>
                <w:sz w:val="18"/>
              </w:rPr>
            </w:pPr>
            <w:r w:rsidRPr="00F6284E">
              <w:rPr>
                <w:sz w:val="18"/>
              </w:rPr>
              <w:t>48 ± 19</w:t>
            </w:r>
            <w:r w:rsidRPr="00F6284E">
              <w:rPr>
                <w:sz w:val="18"/>
                <w:vertAlign w:val="superscript"/>
              </w:rPr>
              <w:t>*, **</w:t>
            </w:r>
          </w:p>
        </w:tc>
      </w:tr>
      <w:tr w:rsidR="007A0497" w:rsidRPr="001E6F22" w14:paraId="647E05B7" w14:textId="77777777" w:rsidTr="00A24D2A">
        <w:trPr>
          <w:cantSplit/>
          <w:jc w:val="center"/>
        </w:trPr>
        <w:tc>
          <w:tcPr>
            <w:tcW w:w="9286" w:type="dxa"/>
            <w:gridSpan w:val="7"/>
            <w:shd w:val="clear" w:color="auto" w:fill="auto"/>
          </w:tcPr>
          <w:p w14:paraId="0CF66B46" w14:textId="10FCA2AD" w:rsidR="007A0497" w:rsidRPr="000B3C14" w:rsidRDefault="00AC70D9" w:rsidP="00326B55">
            <w:pPr>
              <w:pStyle w:val="FSTableText"/>
              <w:spacing w:before="20" w:after="20"/>
              <w:rPr>
                <w:rFonts w:ascii="Arial" w:hAnsi="Arial"/>
                <w:sz w:val="18"/>
              </w:rPr>
            </w:pPr>
            <w:r w:rsidRPr="00D711DD">
              <w:rPr>
                <w:sz w:val="18"/>
              </w:rPr>
              <w:t>HDL (mg/dL)</w:t>
            </w:r>
          </w:p>
        </w:tc>
      </w:tr>
      <w:tr w:rsidR="007A0497" w:rsidRPr="001E6F22" w14:paraId="2D0C70D4" w14:textId="77777777" w:rsidTr="00A24D2A">
        <w:trPr>
          <w:cantSplit/>
          <w:jc w:val="center"/>
        </w:trPr>
        <w:tc>
          <w:tcPr>
            <w:tcW w:w="1773" w:type="dxa"/>
            <w:shd w:val="clear" w:color="auto" w:fill="auto"/>
          </w:tcPr>
          <w:p w14:paraId="51AE1A8A" w14:textId="77777777" w:rsidR="007A0497" w:rsidRPr="00F6284E" w:rsidRDefault="007A0497" w:rsidP="00A111E9">
            <w:pPr>
              <w:pStyle w:val="FSTableText"/>
              <w:rPr>
                <w:rFonts w:ascii="Arial" w:hAnsi="Arial"/>
                <w:sz w:val="18"/>
              </w:rPr>
            </w:pPr>
            <w:r w:rsidRPr="00F6284E">
              <w:rPr>
                <w:sz w:val="18"/>
              </w:rPr>
              <w:t>0</w:t>
            </w:r>
          </w:p>
        </w:tc>
        <w:tc>
          <w:tcPr>
            <w:tcW w:w="1276" w:type="dxa"/>
            <w:shd w:val="clear" w:color="auto" w:fill="auto"/>
          </w:tcPr>
          <w:p w14:paraId="1F3D10E7" w14:textId="77777777" w:rsidR="007A0497" w:rsidRPr="00F6284E" w:rsidRDefault="007A0497" w:rsidP="00326B55">
            <w:pPr>
              <w:pStyle w:val="FSTableText"/>
              <w:jc w:val="right"/>
              <w:rPr>
                <w:rFonts w:ascii="Arial" w:hAnsi="Arial"/>
                <w:sz w:val="18"/>
              </w:rPr>
            </w:pPr>
            <w:r w:rsidRPr="00F6284E">
              <w:rPr>
                <w:sz w:val="18"/>
              </w:rPr>
              <w:t>ND</w:t>
            </w:r>
          </w:p>
        </w:tc>
        <w:tc>
          <w:tcPr>
            <w:tcW w:w="1275" w:type="dxa"/>
            <w:shd w:val="clear" w:color="auto" w:fill="auto"/>
          </w:tcPr>
          <w:p w14:paraId="04BE2F8F" w14:textId="77777777" w:rsidR="007A0497" w:rsidRPr="00F6284E" w:rsidRDefault="007A0497" w:rsidP="00326B55">
            <w:pPr>
              <w:pStyle w:val="FSTableText"/>
              <w:jc w:val="right"/>
              <w:rPr>
                <w:rFonts w:ascii="Arial" w:hAnsi="Arial"/>
                <w:sz w:val="18"/>
              </w:rPr>
            </w:pPr>
            <w:r w:rsidRPr="00F6284E">
              <w:rPr>
                <w:sz w:val="18"/>
              </w:rPr>
              <w:t>ND</w:t>
            </w:r>
          </w:p>
        </w:tc>
        <w:tc>
          <w:tcPr>
            <w:tcW w:w="1228" w:type="dxa"/>
            <w:shd w:val="clear" w:color="auto" w:fill="auto"/>
          </w:tcPr>
          <w:p w14:paraId="0F3338ED" w14:textId="77777777" w:rsidR="007A0497" w:rsidRPr="00F6284E" w:rsidRDefault="007A0497" w:rsidP="00326B55">
            <w:pPr>
              <w:pStyle w:val="FSTableText"/>
              <w:jc w:val="right"/>
              <w:rPr>
                <w:rFonts w:ascii="Arial" w:hAnsi="Arial"/>
                <w:sz w:val="18"/>
              </w:rPr>
            </w:pPr>
            <w:r w:rsidRPr="00F6284E">
              <w:rPr>
                <w:sz w:val="18"/>
              </w:rPr>
              <w:t>ND</w:t>
            </w:r>
          </w:p>
        </w:tc>
        <w:tc>
          <w:tcPr>
            <w:tcW w:w="1327" w:type="dxa"/>
            <w:shd w:val="clear" w:color="auto" w:fill="auto"/>
          </w:tcPr>
          <w:p w14:paraId="3B1B8383" w14:textId="77777777" w:rsidR="007A0497" w:rsidRPr="00F6284E" w:rsidRDefault="007A0497" w:rsidP="00326B55">
            <w:pPr>
              <w:pStyle w:val="FSTableText"/>
              <w:jc w:val="right"/>
              <w:rPr>
                <w:rFonts w:ascii="Arial" w:hAnsi="Arial"/>
                <w:sz w:val="18"/>
              </w:rPr>
            </w:pPr>
            <w:r w:rsidRPr="00F6284E">
              <w:rPr>
                <w:sz w:val="18"/>
              </w:rPr>
              <w:t>ND</w:t>
            </w:r>
          </w:p>
        </w:tc>
        <w:tc>
          <w:tcPr>
            <w:tcW w:w="1327" w:type="dxa"/>
            <w:shd w:val="clear" w:color="auto" w:fill="auto"/>
          </w:tcPr>
          <w:p w14:paraId="299100E6" w14:textId="77777777" w:rsidR="007A0497" w:rsidRPr="00F6284E" w:rsidRDefault="007A0497" w:rsidP="00326B55">
            <w:pPr>
              <w:pStyle w:val="FSTableText"/>
              <w:jc w:val="right"/>
              <w:rPr>
                <w:rFonts w:ascii="Arial" w:hAnsi="Arial"/>
                <w:sz w:val="18"/>
              </w:rPr>
            </w:pPr>
            <w:r w:rsidRPr="00F6284E">
              <w:rPr>
                <w:sz w:val="18"/>
              </w:rPr>
              <w:t>69 ± 11</w:t>
            </w:r>
          </w:p>
        </w:tc>
        <w:tc>
          <w:tcPr>
            <w:tcW w:w="1080" w:type="dxa"/>
            <w:shd w:val="clear" w:color="auto" w:fill="auto"/>
          </w:tcPr>
          <w:p w14:paraId="3ADC35E5" w14:textId="77777777" w:rsidR="007A0497" w:rsidRPr="00F6284E" w:rsidRDefault="007A0497" w:rsidP="00326B55">
            <w:pPr>
              <w:pStyle w:val="FSTableText"/>
              <w:jc w:val="right"/>
              <w:rPr>
                <w:rFonts w:ascii="Arial" w:hAnsi="Arial"/>
                <w:sz w:val="18"/>
              </w:rPr>
            </w:pPr>
            <w:r w:rsidRPr="00F6284E">
              <w:rPr>
                <w:sz w:val="18"/>
              </w:rPr>
              <w:t>63 ± 11</w:t>
            </w:r>
          </w:p>
        </w:tc>
      </w:tr>
      <w:tr w:rsidR="007A0497" w:rsidRPr="001E6F22" w14:paraId="5C02E884" w14:textId="77777777" w:rsidTr="00A24D2A">
        <w:trPr>
          <w:cantSplit/>
          <w:jc w:val="center"/>
        </w:trPr>
        <w:tc>
          <w:tcPr>
            <w:tcW w:w="1773" w:type="dxa"/>
            <w:shd w:val="clear" w:color="auto" w:fill="auto"/>
          </w:tcPr>
          <w:p w14:paraId="5151384D" w14:textId="77777777" w:rsidR="007A0497" w:rsidRPr="00F6284E" w:rsidRDefault="007A0497" w:rsidP="00A111E9">
            <w:pPr>
              <w:pStyle w:val="FSTableText"/>
              <w:rPr>
                <w:rFonts w:ascii="Arial" w:hAnsi="Arial"/>
                <w:sz w:val="18"/>
              </w:rPr>
            </w:pPr>
            <w:r w:rsidRPr="00F6284E">
              <w:rPr>
                <w:sz w:val="18"/>
              </w:rPr>
              <w:t>0.03</w:t>
            </w:r>
          </w:p>
        </w:tc>
        <w:tc>
          <w:tcPr>
            <w:tcW w:w="1276" w:type="dxa"/>
            <w:shd w:val="clear" w:color="auto" w:fill="auto"/>
          </w:tcPr>
          <w:p w14:paraId="33E9C029" w14:textId="77777777" w:rsidR="007A0497" w:rsidRPr="00F6284E" w:rsidRDefault="007A0497" w:rsidP="00326B55">
            <w:pPr>
              <w:pStyle w:val="FSTableText"/>
              <w:jc w:val="right"/>
              <w:rPr>
                <w:rFonts w:ascii="Arial" w:hAnsi="Arial"/>
                <w:sz w:val="18"/>
              </w:rPr>
            </w:pPr>
            <w:r w:rsidRPr="00F6284E">
              <w:rPr>
                <w:sz w:val="18"/>
              </w:rPr>
              <w:t>ND</w:t>
            </w:r>
          </w:p>
        </w:tc>
        <w:tc>
          <w:tcPr>
            <w:tcW w:w="1275" w:type="dxa"/>
            <w:shd w:val="clear" w:color="auto" w:fill="auto"/>
          </w:tcPr>
          <w:p w14:paraId="297DA4BC" w14:textId="77777777" w:rsidR="007A0497" w:rsidRPr="00F6284E" w:rsidRDefault="007A0497" w:rsidP="00326B55">
            <w:pPr>
              <w:pStyle w:val="FSTableText"/>
              <w:jc w:val="right"/>
              <w:rPr>
                <w:rFonts w:ascii="Arial" w:hAnsi="Arial"/>
                <w:sz w:val="18"/>
              </w:rPr>
            </w:pPr>
            <w:r w:rsidRPr="00F6284E">
              <w:rPr>
                <w:sz w:val="18"/>
              </w:rPr>
              <w:t>ND</w:t>
            </w:r>
          </w:p>
        </w:tc>
        <w:tc>
          <w:tcPr>
            <w:tcW w:w="1228" w:type="dxa"/>
            <w:shd w:val="clear" w:color="auto" w:fill="auto"/>
          </w:tcPr>
          <w:p w14:paraId="542590D8" w14:textId="77777777" w:rsidR="007A0497" w:rsidRPr="00F6284E" w:rsidRDefault="007A0497" w:rsidP="00326B55">
            <w:pPr>
              <w:pStyle w:val="FSTableText"/>
              <w:jc w:val="right"/>
              <w:rPr>
                <w:rFonts w:ascii="Arial" w:hAnsi="Arial"/>
                <w:sz w:val="18"/>
              </w:rPr>
            </w:pPr>
            <w:r w:rsidRPr="00F6284E">
              <w:rPr>
                <w:sz w:val="18"/>
              </w:rPr>
              <w:t>ND</w:t>
            </w:r>
          </w:p>
        </w:tc>
        <w:tc>
          <w:tcPr>
            <w:tcW w:w="1327" w:type="dxa"/>
            <w:shd w:val="clear" w:color="auto" w:fill="auto"/>
          </w:tcPr>
          <w:p w14:paraId="4032926C" w14:textId="77777777" w:rsidR="007A0497" w:rsidRPr="00F6284E" w:rsidRDefault="007A0497" w:rsidP="00326B55">
            <w:pPr>
              <w:pStyle w:val="FSTableText"/>
              <w:jc w:val="right"/>
              <w:rPr>
                <w:rFonts w:ascii="Arial" w:hAnsi="Arial"/>
                <w:sz w:val="18"/>
              </w:rPr>
            </w:pPr>
            <w:r w:rsidRPr="00F6284E">
              <w:rPr>
                <w:sz w:val="18"/>
              </w:rPr>
              <w:t>ND</w:t>
            </w:r>
          </w:p>
        </w:tc>
        <w:tc>
          <w:tcPr>
            <w:tcW w:w="1327" w:type="dxa"/>
            <w:shd w:val="clear" w:color="auto" w:fill="auto"/>
          </w:tcPr>
          <w:p w14:paraId="6F281EE9" w14:textId="77777777" w:rsidR="007A0497" w:rsidRPr="00F6284E" w:rsidRDefault="007A0497" w:rsidP="00326B55">
            <w:pPr>
              <w:pStyle w:val="FSTableText"/>
              <w:jc w:val="right"/>
              <w:rPr>
                <w:rFonts w:ascii="Arial" w:hAnsi="Arial"/>
                <w:sz w:val="18"/>
              </w:rPr>
            </w:pPr>
            <w:r w:rsidRPr="00F6284E">
              <w:rPr>
                <w:sz w:val="18"/>
              </w:rPr>
              <w:t>46 ± 5</w:t>
            </w:r>
            <w:r w:rsidRPr="00F6284E">
              <w:rPr>
                <w:sz w:val="18"/>
                <w:vertAlign w:val="superscript"/>
              </w:rPr>
              <w:t>**</w:t>
            </w:r>
          </w:p>
        </w:tc>
        <w:tc>
          <w:tcPr>
            <w:tcW w:w="1080" w:type="dxa"/>
            <w:shd w:val="clear" w:color="auto" w:fill="auto"/>
          </w:tcPr>
          <w:p w14:paraId="7136BD23" w14:textId="77777777" w:rsidR="007A0497" w:rsidRPr="00F6284E" w:rsidRDefault="007A0497" w:rsidP="00326B55">
            <w:pPr>
              <w:pStyle w:val="FSTableText"/>
              <w:jc w:val="right"/>
              <w:rPr>
                <w:rFonts w:ascii="Arial" w:hAnsi="Arial"/>
                <w:sz w:val="18"/>
              </w:rPr>
            </w:pPr>
            <w:r w:rsidRPr="00F6284E">
              <w:rPr>
                <w:sz w:val="18"/>
              </w:rPr>
              <w:t>42 ± 4</w:t>
            </w:r>
            <w:r w:rsidRPr="00F6284E">
              <w:rPr>
                <w:sz w:val="18"/>
                <w:vertAlign w:val="superscript"/>
              </w:rPr>
              <w:t>**</w:t>
            </w:r>
          </w:p>
        </w:tc>
      </w:tr>
      <w:tr w:rsidR="007A0497" w:rsidRPr="001E6F22" w14:paraId="6336C285" w14:textId="77777777" w:rsidTr="00A24D2A">
        <w:trPr>
          <w:cantSplit/>
          <w:jc w:val="center"/>
        </w:trPr>
        <w:tc>
          <w:tcPr>
            <w:tcW w:w="1773" w:type="dxa"/>
            <w:shd w:val="clear" w:color="auto" w:fill="auto"/>
          </w:tcPr>
          <w:p w14:paraId="769EF315" w14:textId="77777777" w:rsidR="007A0497" w:rsidRPr="00F6284E" w:rsidRDefault="007A0497" w:rsidP="00A111E9">
            <w:pPr>
              <w:pStyle w:val="FSTableText"/>
              <w:rPr>
                <w:rFonts w:ascii="Arial" w:hAnsi="Arial"/>
                <w:sz w:val="18"/>
              </w:rPr>
            </w:pPr>
            <w:r w:rsidRPr="00F6284E">
              <w:rPr>
                <w:sz w:val="18"/>
              </w:rPr>
              <w:t>0.15</w:t>
            </w:r>
          </w:p>
        </w:tc>
        <w:tc>
          <w:tcPr>
            <w:tcW w:w="1276" w:type="dxa"/>
            <w:shd w:val="clear" w:color="auto" w:fill="auto"/>
          </w:tcPr>
          <w:p w14:paraId="4AE05262" w14:textId="77777777" w:rsidR="007A0497" w:rsidRPr="00F6284E" w:rsidRDefault="007A0497" w:rsidP="00326B55">
            <w:pPr>
              <w:pStyle w:val="FSTableText"/>
              <w:jc w:val="right"/>
              <w:rPr>
                <w:rFonts w:ascii="Arial" w:hAnsi="Arial"/>
                <w:sz w:val="18"/>
              </w:rPr>
            </w:pPr>
            <w:r w:rsidRPr="00F6284E">
              <w:rPr>
                <w:sz w:val="18"/>
              </w:rPr>
              <w:t>ND</w:t>
            </w:r>
          </w:p>
        </w:tc>
        <w:tc>
          <w:tcPr>
            <w:tcW w:w="1275" w:type="dxa"/>
            <w:shd w:val="clear" w:color="auto" w:fill="auto"/>
          </w:tcPr>
          <w:p w14:paraId="1AC546B5" w14:textId="77777777" w:rsidR="007A0497" w:rsidRPr="00F6284E" w:rsidRDefault="007A0497" w:rsidP="00326B55">
            <w:pPr>
              <w:pStyle w:val="FSTableText"/>
              <w:jc w:val="right"/>
              <w:rPr>
                <w:rFonts w:ascii="Arial" w:hAnsi="Arial"/>
                <w:sz w:val="18"/>
              </w:rPr>
            </w:pPr>
            <w:r w:rsidRPr="00F6284E">
              <w:rPr>
                <w:sz w:val="18"/>
              </w:rPr>
              <w:t>ND</w:t>
            </w:r>
          </w:p>
        </w:tc>
        <w:tc>
          <w:tcPr>
            <w:tcW w:w="1228" w:type="dxa"/>
            <w:shd w:val="clear" w:color="auto" w:fill="auto"/>
          </w:tcPr>
          <w:p w14:paraId="1D363DB6" w14:textId="77777777" w:rsidR="007A0497" w:rsidRPr="00F6284E" w:rsidRDefault="007A0497" w:rsidP="00326B55">
            <w:pPr>
              <w:pStyle w:val="FSTableText"/>
              <w:jc w:val="right"/>
              <w:rPr>
                <w:rFonts w:ascii="Arial" w:hAnsi="Arial"/>
                <w:sz w:val="18"/>
              </w:rPr>
            </w:pPr>
            <w:r w:rsidRPr="00F6284E">
              <w:rPr>
                <w:sz w:val="18"/>
              </w:rPr>
              <w:t>ND</w:t>
            </w:r>
          </w:p>
        </w:tc>
        <w:tc>
          <w:tcPr>
            <w:tcW w:w="1327" w:type="dxa"/>
            <w:shd w:val="clear" w:color="auto" w:fill="auto"/>
          </w:tcPr>
          <w:p w14:paraId="44EA2C2F" w14:textId="77777777" w:rsidR="007A0497" w:rsidRPr="00F6284E" w:rsidRDefault="007A0497" w:rsidP="00326B55">
            <w:pPr>
              <w:pStyle w:val="FSTableText"/>
              <w:jc w:val="right"/>
              <w:rPr>
                <w:rFonts w:ascii="Arial" w:hAnsi="Arial"/>
                <w:sz w:val="18"/>
              </w:rPr>
            </w:pPr>
            <w:r w:rsidRPr="00F6284E">
              <w:rPr>
                <w:sz w:val="18"/>
              </w:rPr>
              <w:t>ND</w:t>
            </w:r>
          </w:p>
        </w:tc>
        <w:tc>
          <w:tcPr>
            <w:tcW w:w="1327" w:type="dxa"/>
            <w:shd w:val="clear" w:color="auto" w:fill="auto"/>
          </w:tcPr>
          <w:p w14:paraId="66ADE256" w14:textId="77777777" w:rsidR="007A0497" w:rsidRPr="00F6284E" w:rsidRDefault="007A0497" w:rsidP="00326B55">
            <w:pPr>
              <w:pStyle w:val="FSTableText"/>
              <w:jc w:val="right"/>
              <w:rPr>
                <w:rFonts w:ascii="Arial" w:hAnsi="Arial"/>
                <w:sz w:val="18"/>
              </w:rPr>
            </w:pPr>
            <w:r w:rsidRPr="00F6284E">
              <w:rPr>
                <w:sz w:val="18"/>
              </w:rPr>
              <w:t>55 ± 13</w:t>
            </w:r>
          </w:p>
        </w:tc>
        <w:tc>
          <w:tcPr>
            <w:tcW w:w="1080" w:type="dxa"/>
            <w:shd w:val="clear" w:color="auto" w:fill="auto"/>
          </w:tcPr>
          <w:p w14:paraId="37D0E039" w14:textId="77777777" w:rsidR="007A0497" w:rsidRPr="00F6284E" w:rsidRDefault="007A0497" w:rsidP="00326B55">
            <w:pPr>
              <w:pStyle w:val="FSTableText"/>
              <w:jc w:val="right"/>
              <w:rPr>
                <w:rFonts w:ascii="Arial" w:hAnsi="Arial"/>
                <w:sz w:val="18"/>
              </w:rPr>
            </w:pPr>
            <w:r w:rsidRPr="00F6284E">
              <w:rPr>
                <w:sz w:val="18"/>
              </w:rPr>
              <w:t>48 ± 14</w:t>
            </w:r>
          </w:p>
        </w:tc>
      </w:tr>
      <w:tr w:rsidR="007A0497" w:rsidRPr="001E6F22" w14:paraId="2E7B8DB1" w14:textId="77777777" w:rsidTr="00A24D2A">
        <w:trPr>
          <w:cantSplit/>
          <w:jc w:val="center"/>
        </w:trPr>
        <w:tc>
          <w:tcPr>
            <w:tcW w:w="1773" w:type="dxa"/>
            <w:shd w:val="clear" w:color="auto" w:fill="auto"/>
          </w:tcPr>
          <w:p w14:paraId="46D16406" w14:textId="77777777" w:rsidR="007A0497" w:rsidRPr="00F6284E" w:rsidRDefault="007A0497" w:rsidP="00A111E9">
            <w:pPr>
              <w:pStyle w:val="FSTableText"/>
              <w:rPr>
                <w:rFonts w:ascii="Arial" w:hAnsi="Arial"/>
                <w:sz w:val="18"/>
              </w:rPr>
            </w:pPr>
            <w:r w:rsidRPr="00F6284E">
              <w:rPr>
                <w:sz w:val="18"/>
              </w:rPr>
              <w:t>0.75</w:t>
            </w:r>
          </w:p>
        </w:tc>
        <w:tc>
          <w:tcPr>
            <w:tcW w:w="1276" w:type="dxa"/>
            <w:shd w:val="clear" w:color="auto" w:fill="auto"/>
          </w:tcPr>
          <w:p w14:paraId="69F70FBF" w14:textId="77777777" w:rsidR="007A0497" w:rsidRPr="00F6284E" w:rsidRDefault="007A0497" w:rsidP="00326B55">
            <w:pPr>
              <w:pStyle w:val="FSTableText"/>
              <w:jc w:val="right"/>
              <w:rPr>
                <w:rFonts w:ascii="Arial" w:hAnsi="Arial"/>
                <w:sz w:val="18"/>
              </w:rPr>
            </w:pPr>
            <w:r w:rsidRPr="00F6284E">
              <w:rPr>
                <w:sz w:val="18"/>
              </w:rPr>
              <w:t>ND</w:t>
            </w:r>
          </w:p>
        </w:tc>
        <w:tc>
          <w:tcPr>
            <w:tcW w:w="1275" w:type="dxa"/>
            <w:shd w:val="clear" w:color="auto" w:fill="auto"/>
          </w:tcPr>
          <w:p w14:paraId="4623FCDC" w14:textId="77777777" w:rsidR="007A0497" w:rsidRPr="00F6284E" w:rsidRDefault="007A0497" w:rsidP="00326B55">
            <w:pPr>
              <w:pStyle w:val="FSTableText"/>
              <w:jc w:val="right"/>
              <w:rPr>
                <w:rFonts w:ascii="Arial" w:hAnsi="Arial"/>
                <w:sz w:val="18"/>
              </w:rPr>
            </w:pPr>
            <w:r w:rsidRPr="00F6284E">
              <w:rPr>
                <w:sz w:val="18"/>
              </w:rPr>
              <w:t>ND</w:t>
            </w:r>
          </w:p>
        </w:tc>
        <w:tc>
          <w:tcPr>
            <w:tcW w:w="1228" w:type="dxa"/>
            <w:shd w:val="clear" w:color="auto" w:fill="auto"/>
          </w:tcPr>
          <w:p w14:paraId="6DA86208" w14:textId="77777777" w:rsidR="007A0497" w:rsidRPr="00F6284E" w:rsidRDefault="007A0497" w:rsidP="00326B55">
            <w:pPr>
              <w:pStyle w:val="FSTableText"/>
              <w:jc w:val="right"/>
              <w:rPr>
                <w:rFonts w:ascii="Arial" w:hAnsi="Arial"/>
                <w:sz w:val="18"/>
              </w:rPr>
            </w:pPr>
            <w:r w:rsidRPr="00F6284E">
              <w:rPr>
                <w:sz w:val="18"/>
              </w:rPr>
              <w:t>ND</w:t>
            </w:r>
          </w:p>
        </w:tc>
        <w:tc>
          <w:tcPr>
            <w:tcW w:w="1327" w:type="dxa"/>
            <w:shd w:val="clear" w:color="auto" w:fill="auto"/>
          </w:tcPr>
          <w:p w14:paraId="6FC5AC23" w14:textId="77777777" w:rsidR="007A0497" w:rsidRPr="00F6284E" w:rsidRDefault="007A0497" w:rsidP="00326B55">
            <w:pPr>
              <w:pStyle w:val="FSTableText"/>
              <w:jc w:val="right"/>
              <w:rPr>
                <w:rFonts w:ascii="Arial" w:hAnsi="Arial"/>
                <w:sz w:val="18"/>
              </w:rPr>
            </w:pPr>
            <w:r w:rsidRPr="00F6284E">
              <w:rPr>
                <w:sz w:val="18"/>
              </w:rPr>
              <w:t>ND</w:t>
            </w:r>
          </w:p>
        </w:tc>
        <w:tc>
          <w:tcPr>
            <w:tcW w:w="1327" w:type="dxa"/>
            <w:shd w:val="clear" w:color="auto" w:fill="auto"/>
          </w:tcPr>
          <w:p w14:paraId="0D69B5D3" w14:textId="77777777" w:rsidR="007A0497" w:rsidRPr="00F6284E" w:rsidRDefault="007A0497" w:rsidP="00326B55">
            <w:pPr>
              <w:pStyle w:val="FSTableText"/>
              <w:jc w:val="right"/>
              <w:rPr>
                <w:rFonts w:ascii="Arial" w:hAnsi="Arial"/>
                <w:sz w:val="18"/>
              </w:rPr>
            </w:pPr>
            <w:r w:rsidRPr="00F6284E">
              <w:rPr>
                <w:sz w:val="18"/>
              </w:rPr>
              <w:t>19 ± 7</w:t>
            </w:r>
            <w:r w:rsidRPr="00F6284E">
              <w:rPr>
                <w:sz w:val="18"/>
                <w:vertAlign w:val="superscript"/>
              </w:rPr>
              <w:t>**</w:t>
            </w:r>
          </w:p>
        </w:tc>
        <w:tc>
          <w:tcPr>
            <w:tcW w:w="1080" w:type="dxa"/>
            <w:shd w:val="clear" w:color="auto" w:fill="auto"/>
          </w:tcPr>
          <w:p w14:paraId="2B7123EA" w14:textId="77777777" w:rsidR="007A0497" w:rsidRPr="00F6284E" w:rsidRDefault="007A0497" w:rsidP="00326B55">
            <w:pPr>
              <w:pStyle w:val="FSTableText"/>
              <w:jc w:val="right"/>
              <w:rPr>
                <w:rFonts w:ascii="Arial" w:hAnsi="Arial"/>
                <w:sz w:val="18"/>
              </w:rPr>
            </w:pPr>
            <w:r w:rsidRPr="00F6284E">
              <w:rPr>
                <w:sz w:val="18"/>
              </w:rPr>
              <w:t>13 ± 5</w:t>
            </w:r>
            <w:r w:rsidRPr="00F6284E">
              <w:rPr>
                <w:sz w:val="18"/>
                <w:vertAlign w:val="superscript"/>
              </w:rPr>
              <w:t>**</w:t>
            </w:r>
          </w:p>
        </w:tc>
      </w:tr>
      <w:tr w:rsidR="007A0497" w:rsidRPr="001E6F22" w14:paraId="394D90AA" w14:textId="77777777" w:rsidTr="00A24D2A">
        <w:trPr>
          <w:cantSplit/>
          <w:jc w:val="center"/>
        </w:trPr>
        <w:tc>
          <w:tcPr>
            <w:tcW w:w="9286" w:type="dxa"/>
            <w:gridSpan w:val="7"/>
            <w:shd w:val="clear" w:color="auto" w:fill="auto"/>
          </w:tcPr>
          <w:p w14:paraId="54F7964B" w14:textId="77777777" w:rsidR="007A0497" w:rsidRPr="000B3C14" w:rsidRDefault="007A0497" w:rsidP="00326B55">
            <w:pPr>
              <w:pStyle w:val="FSTableText"/>
              <w:spacing w:before="40" w:after="40"/>
              <w:rPr>
                <w:rFonts w:ascii="Arial" w:hAnsi="Arial"/>
                <w:b/>
                <w:sz w:val="18"/>
              </w:rPr>
            </w:pPr>
            <w:r w:rsidRPr="00D711DD">
              <w:rPr>
                <w:b/>
                <w:sz w:val="18"/>
              </w:rPr>
              <w:t>Females</w:t>
            </w:r>
          </w:p>
        </w:tc>
      </w:tr>
      <w:tr w:rsidR="007A0497" w:rsidRPr="001E6F22" w14:paraId="4EDD2143" w14:textId="77777777" w:rsidTr="00A24D2A">
        <w:trPr>
          <w:cantSplit/>
          <w:jc w:val="center"/>
        </w:trPr>
        <w:tc>
          <w:tcPr>
            <w:tcW w:w="9286" w:type="dxa"/>
            <w:gridSpan w:val="7"/>
            <w:shd w:val="clear" w:color="auto" w:fill="auto"/>
          </w:tcPr>
          <w:p w14:paraId="42B257BF" w14:textId="06248001" w:rsidR="007A0497" w:rsidRPr="000B3C14" w:rsidRDefault="00AC70D9" w:rsidP="00326B55">
            <w:pPr>
              <w:pStyle w:val="FSTableText"/>
              <w:spacing w:before="20" w:after="20"/>
              <w:rPr>
                <w:rFonts w:ascii="Arial" w:hAnsi="Arial"/>
                <w:sz w:val="18"/>
              </w:rPr>
            </w:pPr>
            <w:r w:rsidRPr="00D711DD">
              <w:rPr>
                <w:sz w:val="18"/>
              </w:rPr>
              <w:t>Cholesterol (mg/dL)</w:t>
            </w:r>
          </w:p>
        </w:tc>
      </w:tr>
      <w:tr w:rsidR="007A0497" w:rsidRPr="001E6F22" w14:paraId="2D739DB9" w14:textId="77777777" w:rsidTr="00A24D2A">
        <w:trPr>
          <w:cantSplit/>
          <w:jc w:val="center"/>
        </w:trPr>
        <w:tc>
          <w:tcPr>
            <w:tcW w:w="1773" w:type="dxa"/>
            <w:shd w:val="clear" w:color="auto" w:fill="auto"/>
          </w:tcPr>
          <w:p w14:paraId="1451F03E" w14:textId="77777777" w:rsidR="007A0497" w:rsidRPr="00F6284E" w:rsidRDefault="007A0497" w:rsidP="00A111E9">
            <w:pPr>
              <w:pStyle w:val="FSTableText"/>
              <w:rPr>
                <w:rFonts w:ascii="Arial" w:hAnsi="Arial"/>
                <w:sz w:val="18"/>
              </w:rPr>
            </w:pPr>
            <w:r w:rsidRPr="00F6284E">
              <w:rPr>
                <w:sz w:val="18"/>
              </w:rPr>
              <w:t>0</w:t>
            </w:r>
          </w:p>
        </w:tc>
        <w:tc>
          <w:tcPr>
            <w:tcW w:w="1276" w:type="dxa"/>
            <w:shd w:val="clear" w:color="auto" w:fill="auto"/>
          </w:tcPr>
          <w:p w14:paraId="267A3964" w14:textId="77777777" w:rsidR="007A0497" w:rsidRPr="00F6284E" w:rsidRDefault="007A0497" w:rsidP="00326B55">
            <w:pPr>
              <w:pStyle w:val="FSTableText"/>
              <w:jc w:val="right"/>
              <w:rPr>
                <w:rFonts w:ascii="Arial" w:hAnsi="Arial"/>
                <w:sz w:val="18"/>
              </w:rPr>
            </w:pPr>
            <w:r w:rsidRPr="00F6284E">
              <w:rPr>
                <w:sz w:val="18"/>
              </w:rPr>
              <w:t>149 ± 37</w:t>
            </w:r>
          </w:p>
        </w:tc>
        <w:tc>
          <w:tcPr>
            <w:tcW w:w="1275" w:type="dxa"/>
            <w:shd w:val="clear" w:color="auto" w:fill="auto"/>
          </w:tcPr>
          <w:p w14:paraId="39F87404" w14:textId="77777777" w:rsidR="007A0497" w:rsidRPr="00F6284E" w:rsidRDefault="007A0497" w:rsidP="00326B55">
            <w:pPr>
              <w:pStyle w:val="FSTableText"/>
              <w:jc w:val="right"/>
              <w:rPr>
                <w:rFonts w:ascii="Arial" w:hAnsi="Arial"/>
                <w:sz w:val="18"/>
              </w:rPr>
            </w:pPr>
            <w:r w:rsidRPr="00F6284E">
              <w:rPr>
                <w:sz w:val="18"/>
              </w:rPr>
              <w:t>147 ± 27</w:t>
            </w:r>
          </w:p>
        </w:tc>
        <w:tc>
          <w:tcPr>
            <w:tcW w:w="1228" w:type="dxa"/>
            <w:shd w:val="clear" w:color="auto" w:fill="auto"/>
          </w:tcPr>
          <w:p w14:paraId="0B878A42" w14:textId="77777777" w:rsidR="007A0497" w:rsidRPr="00F6284E" w:rsidRDefault="007A0497" w:rsidP="00326B55">
            <w:pPr>
              <w:pStyle w:val="FSTableText"/>
              <w:jc w:val="right"/>
              <w:rPr>
                <w:rFonts w:ascii="Arial" w:hAnsi="Arial"/>
                <w:sz w:val="18"/>
              </w:rPr>
            </w:pPr>
            <w:r w:rsidRPr="00F6284E">
              <w:rPr>
                <w:sz w:val="18"/>
              </w:rPr>
              <w:t>155 ± 46</w:t>
            </w:r>
          </w:p>
        </w:tc>
        <w:tc>
          <w:tcPr>
            <w:tcW w:w="1327" w:type="dxa"/>
            <w:shd w:val="clear" w:color="auto" w:fill="auto"/>
          </w:tcPr>
          <w:p w14:paraId="69CFC06B" w14:textId="77777777" w:rsidR="007A0497" w:rsidRPr="00F6284E" w:rsidRDefault="007A0497" w:rsidP="00326B55">
            <w:pPr>
              <w:pStyle w:val="FSTableText"/>
              <w:jc w:val="right"/>
              <w:rPr>
                <w:rFonts w:ascii="Arial" w:hAnsi="Arial"/>
                <w:sz w:val="18"/>
              </w:rPr>
            </w:pPr>
            <w:r w:rsidRPr="00F6284E">
              <w:rPr>
                <w:sz w:val="18"/>
              </w:rPr>
              <w:t>166 ± 42</w:t>
            </w:r>
            <w:r w:rsidRPr="00F6284E">
              <w:rPr>
                <w:sz w:val="18"/>
                <w:vertAlign w:val="superscript"/>
              </w:rPr>
              <w:t>*</w:t>
            </w:r>
          </w:p>
        </w:tc>
        <w:tc>
          <w:tcPr>
            <w:tcW w:w="1327" w:type="dxa"/>
            <w:shd w:val="clear" w:color="auto" w:fill="auto"/>
          </w:tcPr>
          <w:p w14:paraId="6215BCC9" w14:textId="77777777" w:rsidR="007A0497" w:rsidRPr="00F6284E" w:rsidRDefault="007A0497" w:rsidP="00326B55">
            <w:pPr>
              <w:pStyle w:val="FSTableText"/>
              <w:jc w:val="right"/>
              <w:rPr>
                <w:rFonts w:ascii="Arial" w:hAnsi="Arial"/>
                <w:sz w:val="18"/>
              </w:rPr>
            </w:pPr>
            <w:r w:rsidRPr="00F6284E">
              <w:rPr>
                <w:sz w:val="18"/>
              </w:rPr>
              <w:t>163 ± 49</w:t>
            </w:r>
          </w:p>
        </w:tc>
        <w:tc>
          <w:tcPr>
            <w:tcW w:w="1080" w:type="dxa"/>
            <w:shd w:val="clear" w:color="auto" w:fill="auto"/>
          </w:tcPr>
          <w:p w14:paraId="76F844C8" w14:textId="77777777" w:rsidR="007A0497" w:rsidRPr="00F6284E" w:rsidRDefault="007A0497" w:rsidP="00326B55">
            <w:pPr>
              <w:pStyle w:val="FSTableText"/>
              <w:jc w:val="right"/>
              <w:rPr>
                <w:rFonts w:ascii="Arial" w:hAnsi="Arial"/>
                <w:sz w:val="18"/>
              </w:rPr>
            </w:pPr>
            <w:r w:rsidRPr="00F6284E">
              <w:rPr>
                <w:sz w:val="18"/>
              </w:rPr>
              <w:t>160 ± 47</w:t>
            </w:r>
          </w:p>
        </w:tc>
      </w:tr>
      <w:tr w:rsidR="007A0497" w:rsidRPr="001E6F22" w14:paraId="6BE2748B" w14:textId="77777777" w:rsidTr="00A24D2A">
        <w:trPr>
          <w:cantSplit/>
          <w:jc w:val="center"/>
        </w:trPr>
        <w:tc>
          <w:tcPr>
            <w:tcW w:w="1773" w:type="dxa"/>
            <w:shd w:val="clear" w:color="auto" w:fill="auto"/>
          </w:tcPr>
          <w:p w14:paraId="47769FCB" w14:textId="77777777" w:rsidR="007A0497" w:rsidRPr="00F6284E" w:rsidRDefault="007A0497" w:rsidP="00A111E9">
            <w:pPr>
              <w:pStyle w:val="FSTableText"/>
              <w:rPr>
                <w:rFonts w:ascii="Arial" w:hAnsi="Arial"/>
                <w:sz w:val="18"/>
              </w:rPr>
            </w:pPr>
            <w:r w:rsidRPr="00F6284E">
              <w:rPr>
                <w:sz w:val="18"/>
              </w:rPr>
              <w:t>0.03</w:t>
            </w:r>
          </w:p>
        </w:tc>
        <w:tc>
          <w:tcPr>
            <w:tcW w:w="1276" w:type="dxa"/>
            <w:shd w:val="clear" w:color="auto" w:fill="auto"/>
          </w:tcPr>
          <w:p w14:paraId="2CDD0391" w14:textId="77777777" w:rsidR="007A0497" w:rsidRPr="00F6284E" w:rsidRDefault="007A0497" w:rsidP="00326B55">
            <w:pPr>
              <w:pStyle w:val="FSTableText"/>
              <w:jc w:val="right"/>
              <w:rPr>
                <w:rFonts w:ascii="Arial" w:hAnsi="Arial"/>
                <w:sz w:val="18"/>
              </w:rPr>
            </w:pPr>
            <w:r w:rsidRPr="00F6284E">
              <w:rPr>
                <w:sz w:val="18"/>
              </w:rPr>
              <w:t>130 ± 12</w:t>
            </w:r>
          </w:p>
        </w:tc>
        <w:tc>
          <w:tcPr>
            <w:tcW w:w="1275" w:type="dxa"/>
            <w:shd w:val="clear" w:color="auto" w:fill="auto"/>
          </w:tcPr>
          <w:p w14:paraId="35DE9CD4" w14:textId="77777777" w:rsidR="007A0497" w:rsidRPr="00F6284E" w:rsidRDefault="007A0497" w:rsidP="00326B55">
            <w:pPr>
              <w:pStyle w:val="FSTableText"/>
              <w:jc w:val="right"/>
              <w:rPr>
                <w:rFonts w:ascii="Arial" w:hAnsi="Arial"/>
                <w:sz w:val="18"/>
              </w:rPr>
            </w:pPr>
            <w:r w:rsidRPr="00F6284E">
              <w:rPr>
                <w:sz w:val="18"/>
              </w:rPr>
              <w:t>124 ± 11</w:t>
            </w:r>
            <w:r w:rsidRPr="00F6284E">
              <w:rPr>
                <w:sz w:val="18"/>
                <w:vertAlign w:val="superscript"/>
              </w:rPr>
              <w:t>*</w:t>
            </w:r>
          </w:p>
        </w:tc>
        <w:tc>
          <w:tcPr>
            <w:tcW w:w="1228" w:type="dxa"/>
            <w:shd w:val="clear" w:color="auto" w:fill="auto"/>
          </w:tcPr>
          <w:p w14:paraId="383351F9" w14:textId="77777777" w:rsidR="007A0497" w:rsidRPr="00F6284E" w:rsidRDefault="007A0497" w:rsidP="00326B55">
            <w:pPr>
              <w:pStyle w:val="FSTableText"/>
              <w:jc w:val="right"/>
              <w:rPr>
                <w:rFonts w:ascii="Arial" w:hAnsi="Arial"/>
                <w:sz w:val="18"/>
              </w:rPr>
            </w:pPr>
            <w:r w:rsidRPr="00F6284E">
              <w:rPr>
                <w:sz w:val="18"/>
              </w:rPr>
              <w:t>127 ± 11</w:t>
            </w:r>
          </w:p>
        </w:tc>
        <w:tc>
          <w:tcPr>
            <w:tcW w:w="1327" w:type="dxa"/>
            <w:shd w:val="clear" w:color="auto" w:fill="auto"/>
          </w:tcPr>
          <w:p w14:paraId="23DC98F2" w14:textId="77777777" w:rsidR="007A0497" w:rsidRPr="00F6284E" w:rsidRDefault="007A0497" w:rsidP="00326B55">
            <w:pPr>
              <w:pStyle w:val="FSTableText"/>
              <w:jc w:val="right"/>
              <w:rPr>
                <w:rFonts w:ascii="Arial" w:hAnsi="Arial"/>
                <w:sz w:val="18"/>
              </w:rPr>
            </w:pPr>
            <w:r w:rsidRPr="00F6284E">
              <w:rPr>
                <w:sz w:val="18"/>
              </w:rPr>
              <w:t>134 ± 16</w:t>
            </w:r>
          </w:p>
        </w:tc>
        <w:tc>
          <w:tcPr>
            <w:tcW w:w="1327" w:type="dxa"/>
            <w:shd w:val="clear" w:color="auto" w:fill="auto"/>
          </w:tcPr>
          <w:p w14:paraId="60E44D6F" w14:textId="77777777" w:rsidR="007A0497" w:rsidRPr="00F6284E" w:rsidRDefault="007A0497" w:rsidP="00326B55">
            <w:pPr>
              <w:pStyle w:val="FSTableText"/>
              <w:jc w:val="right"/>
              <w:rPr>
                <w:rFonts w:ascii="Arial" w:hAnsi="Arial"/>
                <w:sz w:val="18"/>
              </w:rPr>
            </w:pPr>
            <w:r w:rsidRPr="00F6284E">
              <w:rPr>
                <w:sz w:val="18"/>
              </w:rPr>
              <w:t>110 ± 22</w:t>
            </w:r>
            <w:r w:rsidRPr="00F6284E">
              <w:rPr>
                <w:sz w:val="18"/>
                <w:vertAlign w:val="superscript"/>
              </w:rPr>
              <w:t>**</w:t>
            </w:r>
          </w:p>
        </w:tc>
        <w:tc>
          <w:tcPr>
            <w:tcW w:w="1080" w:type="dxa"/>
            <w:shd w:val="clear" w:color="auto" w:fill="auto"/>
          </w:tcPr>
          <w:p w14:paraId="317B8D24" w14:textId="77777777" w:rsidR="007A0497" w:rsidRPr="00F6284E" w:rsidRDefault="007A0497" w:rsidP="00326B55">
            <w:pPr>
              <w:pStyle w:val="FSTableText"/>
              <w:jc w:val="right"/>
              <w:rPr>
                <w:rFonts w:ascii="Arial" w:hAnsi="Arial"/>
                <w:sz w:val="18"/>
              </w:rPr>
            </w:pPr>
            <w:r w:rsidRPr="00F6284E">
              <w:rPr>
                <w:sz w:val="18"/>
              </w:rPr>
              <w:t>122 ± 22</w:t>
            </w:r>
          </w:p>
        </w:tc>
      </w:tr>
      <w:tr w:rsidR="007A0497" w:rsidRPr="001E6F22" w14:paraId="3519D278" w14:textId="77777777" w:rsidTr="00A24D2A">
        <w:trPr>
          <w:cantSplit/>
          <w:jc w:val="center"/>
        </w:trPr>
        <w:tc>
          <w:tcPr>
            <w:tcW w:w="1773" w:type="dxa"/>
            <w:shd w:val="clear" w:color="auto" w:fill="auto"/>
          </w:tcPr>
          <w:p w14:paraId="699DE9DC" w14:textId="77777777" w:rsidR="007A0497" w:rsidRPr="00F6284E" w:rsidRDefault="007A0497" w:rsidP="00A111E9">
            <w:pPr>
              <w:pStyle w:val="FSTableText"/>
              <w:rPr>
                <w:rFonts w:ascii="Arial" w:hAnsi="Arial"/>
                <w:sz w:val="18"/>
              </w:rPr>
            </w:pPr>
            <w:r w:rsidRPr="00F6284E">
              <w:rPr>
                <w:sz w:val="18"/>
              </w:rPr>
              <w:t>0.15</w:t>
            </w:r>
          </w:p>
        </w:tc>
        <w:tc>
          <w:tcPr>
            <w:tcW w:w="1276" w:type="dxa"/>
            <w:shd w:val="clear" w:color="auto" w:fill="auto"/>
          </w:tcPr>
          <w:p w14:paraId="6A219661" w14:textId="77777777" w:rsidR="007A0497" w:rsidRPr="00F6284E" w:rsidRDefault="007A0497" w:rsidP="00326B55">
            <w:pPr>
              <w:pStyle w:val="FSTableText"/>
              <w:jc w:val="right"/>
              <w:rPr>
                <w:rFonts w:ascii="Arial" w:hAnsi="Arial"/>
                <w:sz w:val="18"/>
              </w:rPr>
            </w:pPr>
            <w:r w:rsidRPr="00F6284E">
              <w:rPr>
                <w:sz w:val="18"/>
              </w:rPr>
              <w:t>144 ± 14</w:t>
            </w:r>
          </w:p>
        </w:tc>
        <w:tc>
          <w:tcPr>
            <w:tcW w:w="1275" w:type="dxa"/>
            <w:shd w:val="clear" w:color="auto" w:fill="auto"/>
          </w:tcPr>
          <w:p w14:paraId="2592F1F0" w14:textId="77777777" w:rsidR="007A0497" w:rsidRPr="00F6284E" w:rsidRDefault="007A0497" w:rsidP="00326B55">
            <w:pPr>
              <w:pStyle w:val="FSTableText"/>
              <w:jc w:val="right"/>
              <w:rPr>
                <w:rFonts w:ascii="Arial" w:hAnsi="Arial"/>
                <w:sz w:val="18"/>
              </w:rPr>
            </w:pPr>
            <w:r w:rsidRPr="00F6284E">
              <w:rPr>
                <w:sz w:val="18"/>
              </w:rPr>
              <w:t>133 ± 22</w:t>
            </w:r>
          </w:p>
        </w:tc>
        <w:tc>
          <w:tcPr>
            <w:tcW w:w="1228" w:type="dxa"/>
            <w:shd w:val="clear" w:color="auto" w:fill="auto"/>
          </w:tcPr>
          <w:p w14:paraId="115850D8" w14:textId="77777777" w:rsidR="007A0497" w:rsidRPr="00F6284E" w:rsidRDefault="007A0497" w:rsidP="00326B55">
            <w:pPr>
              <w:pStyle w:val="FSTableText"/>
              <w:jc w:val="right"/>
              <w:rPr>
                <w:rFonts w:ascii="Arial" w:hAnsi="Arial"/>
                <w:sz w:val="18"/>
              </w:rPr>
            </w:pPr>
            <w:r w:rsidRPr="00F6284E">
              <w:rPr>
                <w:sz w:val="18"/>
              </w:rPr>
              <w:t>137 ± 20</w:t>
            </w:r>
          </w:p>
        </w:tc>
        <w:tc>
          <w:tcPr>
            <w:tcW w:w="1327" w:type="dxa"/>
            <w:shd w:val="clear" w:color="auto" w:fill="auto"/>
          </w:tcPr>
          <w:p w14:paraId="04221AFB" w14:textId="77777777" w:rsidR="007A0497" w:rsidRPr="00F6284E" w:rsidRDefault="007A0497" w:rsidP="00326B55">
            <w:pPr>
              <w:pStyle w:val="FSTableText"/>
              <w:jc w:val="right"/>
              <w:rPr>
                <w:rFonts w:ascii="Arial" w:hAnsi="Arial"/>
                <w:sz w:val="18"/>
              </w:rPr>
            </w:pPr>
            <w:r w:rsidRPr="00F6284E">
              <w:rPr>
                <w:sz w:val="18"/>
              </w:rPr>
              <w:t>140 ± 13</w:t>
            </w:r>
          </w:p>
        </w:tc>
        <w:tc>
          <w:tcPr>
            <w:tcW w:w="1327" w:type="dxa"/>
            <w:shd w:val="clear" w:color="auto" w:fill="auto"/>
          </w:tcPr>
          <w:p w14:paraId="2B71BE9D" w14:textId="77777777" w:rsidR="007A0497" w:rsidRPr="00F6284E" w:rsidRDefault="007A0497" w:rsidP="00326B55">
            <w:pPr>
              <w:pStyle w:val="FSTableText"/>
              <w:jc w:val="right"/>
              <w:rPr>
                <w:rFonts w:ascii="Arial" w:hAnsi="Arial"/>
                <w:sz w:val="18"/>
              </w:rPr>
            </w:pPr>
            <w:r w:rsidRPr="00F6284E">
              <w:rPr>
                <w:sz w:val="18"/>
              </w:rPr>
              <w:t>130 ± 23</w:t>
            </w:r>
          </w:p>
        </w:tc>
        <w:tc>
          <w:tcPr>
            <w:tcW w:w="1080" w:type="dxa"/>
            <w:shd w:val="clear" w:color="auto" w:fill="auto"/>
          </w:tcPr>
          <w:p w14:paraId="45AA660D" w14:textId="77777777" w:rsidR="007A0497" w:rsidRPr="00F6284E" w:rsidRDefault="007A0497" w:rsidP="00326B55">
            <w:pPr>
              <w:pStyle w:val="FSTableText"/>
              <w:jc w:val="right"/>
              <w:rPr>
                <w:rFonts w:ascii="Arial" w:hAnsi="Arial"/>
                <w:sz w:val="18"/>
              </w:rPr>
            </w:pPr>
            <w:r w:rsidRPr="00F6284E">
              <w:rPr>
                <w:sz w:val="18"/>
              </w:rPr>
              <w:t>129 ± 22</w:t>
            </w:r>
          </w:p>
        </w:tc>
      </w:tr>
      <w:tr w:rsidR="007A0497" w:rsidRPr="001E6F22" w14:paraId="4895C6D2" w14:textId="77777777" w:rsidTr="00A24D2A">
        <w:trPr>
          <w:cantSplit/>
          <w:jc w:val="center"/>
        </w:trPr>
        <w:tc>
          <w:tcPr>
            <w:tcW w:w="1773" w:type="dxa"/>
            <w:shd w:val="clear" w:color="auto" w:fill="auto"/>
          </w:tcPr>
          <w:p w14:paraId="3AAC25F4" w14:textId="77777777" w:rsidR="007A0497" w:rsidRPr="00F6284E" w:rsidRDefault="007A0497" w:rsidP="00A111E9">
            <w:pPr>
              <w:pStyle w:val="FSTableText"/>
              <w:rPr>
                <w:rFonts w:ascii="Arial" w:hAnsi="Arial"/>
                <w:sz w:val="18"/>
              </w:rPr>
            </w:pPr>
            <w:r w:rsidRPr="00F6284E">
              <w:rPr>
                <w:sz w:val="18"/>
              </w:rPr>
              <w:t>0.75</w:t>
            </w:r>
          </w:p>
        </w:tc>
        <w:tc>
          <w:tcPr>
            <w:tcW w:w="1276" w:type="dxa"/>
            <w:shd w:val="clear" w:color="auto" w:fill="auto"/>
          </w:tcPr>
          <w:p w14:paraId="7938CBBE" w14:textId="77777777" w:rsidR="007A0497" w:rsidRPr="00F6284E" w:rsidRDefault="007A0497" w:rsidP="00326B55">
            <w:pPr>
              <w:pStyle w:val="FSTableText"/>
              <w:jc w:val="right"/>
              <w:rPr>
                <w:rFonts w:ascii="Arial" w:hAnsi="Arial"/>
                <w:sz w:val="18"/>
              </w:rPr>
            </w:pPr>
            <w:r w:rsidRPr="00F6284E">
              <w:rPr>
                <w:sz w:val="18"/>
              </w:rPr>
              <w:t>154 ± 10</w:t>
            </w:r>
          </w:p>
        </w:tc>
        <w:tc>
          <w:tcPr>
            <w:tcW w:w="1275" w:type="dxa"/>
            <w:shd w:val="clear" w:color="auto" w:fill="auto"/>
          </w:tcPr>
          <w:p w14:paraId="12ED2A84" w14:textId="77777777" w:rsidR="007A0497" w:rsidRPr="00F6284E" w:rsidRDefault="007A0497" w:rsidP="00326B55">
            <w:pPr>
              <w:pStyle w:val="FSTableText"/>
              <w:jc w:val="right"/>
              <w:rPr>
                <w:rFonts w:ascii="Arial" w:hAnsi="Arial"/>
                <w:sz w:val="18"/>
              </w:rPr>
            </w:pPr>
            <w:r w:rsidRPr="00F6284E">
              <w:rPr>
                <w:sz w:val="18"/>
              </w:rPr>
              <w:t>130 ± 26</w:t>
            </w:r>
          </w:p>
        </w:tc>
        <w:tc>
          <w:tcPr>
            <w:tcW w:w="1228" w:type="dxa"/>
            <w:shd w:val="clear" w:color="auto" w:fill="auto"/>
          </w:tcPr>
          <w:p w14:paraId="2F84D269" w14:textId="77777777" w:rsidR="007A0497" w:rsidRPr="00F6284E" w:rsidRDefault="007A0497" w:rsidP="00326B55">
            <w:pPr>
              <w:pStyle w:val="FSTableText"/>
              <w:jc w:val="right"/>
              <w:rPr>
                <w:rFonts w:ascii="Arial" w:hAnsi="Arial"/>
                <w:sz w:val="18"/>
              </w:rPr>
            </w:pPr>
            <w:r w:rsidRPr="00F6284E">
              <w:rPr>
                <w:sz w:val="18"/>
              </w:rPr>
              <w:t>127 ± 19</w:t>
            </w:r>
            <w:r w:rsidRPr="00F6284E">
              <w:rPr>
                <w:sz w:val="18"/>
                <w:vertAlign w:val="superscript"/>
              </w:rPr>
              <w:t>*</w:t>
            </w:r>
          </w:p>
        </w:tc>
        <w:tc>
          <w:tcPr>
            <w:tcW w:w="1327" w:type="dxa"/>
            <w:shd w:val="clear" w:color="auto" w:fill="auto"/>
          </w:tcPr>
          <w:p w14:paraId="1588D26D" w14:textId="77777777" w:rsidR="007A0497" w:rsidRPr="00F6284E" w:rsidRDefault="007A0497" w:rsidP="00326B55">
            <w:pPr>
              <w:pStyle w:val="FSTableText"/>
              <w:jc w:val="right"/>
              <w:rPr>
                <w:rFonts w:ascii="Arial" w:hAnsi="Arial"/>
                <w:sz w:val="18"/>
              </w:rPr>
            </w:pPr>
            <w:r w:rsidRPr="00F6284E">
              <w:rPr>
                <w:sz w:val="18"/>
              </w:rPr>
              <w:t>111 ± 27</w:t>
            </w:r>
            <w:r w:rsidRPr="00F6284E">
              <w:rPr>
                <w:sz w:val="18"/>
                <w:vertAlign w:val="superscript"/>
              </w:rPr>
              <w:t>*, **</w:t>
            </w:r>
          </w:p>
        </w:tc>
        <w:tc>
          <w:tcPr>
            <w:tcW w:w="1327" w:type="dxa"/>
            <w:shd w:val="clear" w:color="auto" w:fill="auto"/>
          </w:tcPr>
          <w:p w14:paraId="3CFD4FA1" w14:textId="77777777" w:rsidR="007A0497" w:rsidRPr="00F6284E" w:rsidRDefault="007A0497" w:rsidP="00326B55">
            <w:pPr>
              <w:pStyle w:val="FSTableText"/>
              <w:jc w:val="right"/>
              <w:rPr>
                <w:rFonts w:ascii="Arial" w:hAnsi="Arial"/>
                <w:sz w:val="18"/>
              </w:rPr>
            </w:pPr>
            <w:r w:rsidRPr="00F6284E">
              <w:rPr>
                <w:sz w:val="18"/>
              </w:rPr>
              <w:t>91 ± 23</w:t>
            </w:r>
            <w:r w:rsidRPr="00F6284E">
              <w:rPr>
                <w:sz w:val="18"/>
                <w:vertAlign w:val="superscript"/>
              </w:rPr>
              <w:t>*, **</w:t>
            </w:r>
          </w:p>
        </w:tc>
        <w:tc>
          <w:tcPr>
            <w:tcW w:w="1080" w:type="dxa"/>
            <w:shd w:val="clear" w:color="auto" w:fill="auto"/>
          </w:tcPr>
          <w:p w14:paraId="5CE49786" w14:textId="77777777" w:rsidR="007A0497" w:rsidRPr="00F6284E" w:rsidRDefault="007A0497" w:rsidP="00326B55">
            <w:pPr>
              <w:pStyle w:val="FSTableText"/>
              <w:jc w:val="right"/>
              <w:rPr>
                <w:rFonts w:ascii="Arial" w:hAnsi="Arial"/>
                <w:sz w:val="18"/>
              </w:rPr>
            </w:pPr>
            <w:r w:rsidRPr="00F6284E">
              <w:rPr>
                <w:sz w:val="18"/>
              </w:rPr>
              <w:t>82 ± 15</w:t>
            </w:r>
            <w:r w:rsidRPr="00F6284E">
              <w:rPr>
                <w:sz w:val="18"/>
                <w:vertAlign w:val="superscript"/>
              </w:rPr>
              <w:t>*, **</w:t>
            </w:r>
          </w:p>
        </w:tc>
      </w:tr>
      <w:tr w:rsidR="007A0497" w:rsidRPr="001E6F22" w14:paraId="33736859" w14:textId="77777777" w:rsidTr="00A24D2A">
        <w:trPr>
          <w:cantSplit/>
          <w:jc w:val="center"/>
        </w:trPr>
        <w:tc>
          <w:tcPr>
            <w:tcW w:w="9286" w:type="dxa"/>
            <w:gridSpan w:val="7"/>
            <w:shd w:val="clear" w:color="auto" w:fill="auto"/>
          </w:tcPr>
          <w:p w14:paraId="08B56F17" w14:textId="06725BF0" w:rsidR="007A0497" w:rsidRPr="000B3C14" w:rsidRDefault="00AC70D9" w:rsidP="00326B55">
            <w:pPr>
              <w:pStyle w:val="FSTableText"/>
              <w:spacing w:before="20" w:after="20"/>
              <w:rPr>
                <w:rFonts w:ascii="Arial" w:hAnsi="Arial"/>
                <w:sz w:val="18"/>
              </w:rPr>
            </w:pPr>
            <w:r w:rsidRPr="00D711DD">
              <w:rPr>
                <w:sz w:val="18"/>
              </w:rPr>
              <w:t>HDL (mg/dL)</w:t>
            </w:r>
          </w:p>
        </w:tc>
      </w:tr>
      <w:tr w:rsidR="007A0497" w:rsidRPr="001E6F22" w14:paraId="5D3B41C4" w14:textId="77777777" w:rsidTr="00A24D2A">
        <w:trPr>
          <w:cantSplit/>
          <w:jc w:val="center"/>
        </w:trPr>
        <w:tc>
          <w:tcPr>
            <w:tcW w:w="1773" w:type="dxa"/>
            <w:shd w:val="clear" w:color="auto" w:fill="auto"/>
          </w:tcPr>
          <w:p w14:paraId="6D76F180" w14:textId="77777777" w:rsidR="007A0497" w:rsidRPr="00F6284E" w:rsidRDefault="007A0497" w:rsidP="00A111E9">
            <w:pPr>
              <w:pStyle w:val="FSTableText"/>
              <w:rPr>
                <w:rFonts w:ascii="Arial" w:hAnsi="Arial"/>
                <w:sz w:val="18"/>
              </w:rPr>
            </w:pPr>
            <w:r w:rsidRPr="00F6284E">
              <w:rPr>
                <w:sz w:val="18"/>
              </w:rPr>
              <w:t>0</w:t>
            </w:r>
          </w:p>
        </w:tc>
        <w:tc>
          <w:tcPr>
            <w:tcW w:w="1276" w:type="dxa"/>
            <w:shd w:val="clear" w:color="auto" w:fill="auto"/>
          </w:tcPr>
          <w:p w14:paraId="071BAD2C" w14:textId="77777777" w:rsidR="007A0497" w:rsidRPr="00F6284E" w:rsidRDefault="007A0497" w:rsidP="00326B55">
            <w:pPr>
              <w:pStyle w:val="FSTableText"/>
              <w:jc w:val="right"/>
              <w:rPr>
                <w:rFonts w:ascii="Arial" w:hAnsi="Arial"/>
                <w:sz w:val="18"/>
              </w:rPr>
            </w:pPr>
            <w:r w:rsidRPr="00F6284E">
              <w:rPr>
                <w:sz w:val="18"/>
              </w:rPr>
              <w:t>ND</w:t>
            </w:r>
          </w:p>
        </w:tc>
        <w:tc>
          <w:tcPr>
            <w:tcW w:w="1275" w:type="dxa"/>
            <w:shd w:val="clear" w:color="auto" w:fill="auto"/>
          </w:tcPr>
          <w:p w14:paraId="4BCF133A" w14:textId="77777777" w:rsidR="007A0497" w:rsidRPr="00F6284E" w:rsidRDefault="007A0497" w:rsidP="00326B55">
            <w:pPr>
              <w:pStyle w:val="FSTableText"/>
              <w:jc w:val="right"/>
              <w:rPr>
                <w:rFonts w:ascii="Arial" w:hAnsi="Arial"/>
                <w:sz w:val="18"/>
              </w:rPr>
            </w:pPr>
            <w:r w:rsidRPr="00F6284E">
              <w:rPr>
                <w:sz w:val="18"/>
              </w:rPr>
              <w:t>ND</w:t>
            </w:r>
          </w:p>
        </w:tc>
        <w:tc>
          <w:tcPr>
            <w:tcW w:w="1228" w:type="dxa"/>
            <w:shd w:val="clear" w:color="auto" w:fill="auto"/>
          </w:tcPr>
          <w:p w14:paraId="62217248" w14:textId="77777777" w:rsidR="007A0497" w:rsidRPr="00F6284E" w:rsidRDefault="007A0497" w:rsidP="00326B55">
            <w:pPr>
              <w:pStyle w:val="FSTableText"/>
              <w:jc w:val="right"/>
              <w:rPr>
                <w:rFonts w:ascii="Arial" w:hAnsi="Arial"/>
                <w:sz w:val="18"/>
              </w:rPr>
            </w:pPr>
            <w:r w:rsidRPr="00F6284E">
              <w:rPr>
                <w:sz w:val="18"/>
              </w:rPr>
              <w:t>ND</w:t>
            </w:r>
          </w:p>
        </w:tc>
        <w:tc>
          <w:tcPr>
            <w:tcW w:w="1327" w:type="dxa"/>
            <w:shd w:val="clear" w:color="auto" w:fill="auto"/>
          </w:tcPr>
          <w:p w14:paraId="382A28AC" w14:textId="77777777" w:rsidR="007A0497" w:rsidRPr="00F6284E" w:rsidRDefault="007A0497" w:rsidP="00326B55">
            <w:pPr>
              <w:pStyle w:val="FSTableText"/>
              <w:jc w:val="right"/>
              <w:rPr>
                <w:rFonts w:ascii="Arial" w:hAnsi="Arial"/>
                <w:sz w:val="18"/>
              </w:rPr>
            </w:pPr>
            <w:r w:rsidRPr="00F6284E">
              <w:rPr>
                <w:sz w:val="18"/>
              </w:rPr>
              <w:t>ND</w:t>
            </w:r>
          </w:p>
        </w:tc>
        <w:tc>
          <w:tcPr>
            <w:tcW w:w="1327" w:type="dxa"/>
            <w:shd w:val="clear" w:color="auto" w:fill="auto"/>
          </w:tcPr>
          <w:p w14:paraId="44671345" w14:textId="77777777" w:rsidR="007A0497" w:rsidRPr="00F6284E" w:rsidRDefault="007A0497" w:rsidP="00326B55">
            <w:pPr>
              <w:pStyle w:val="FSTableText"/>
              <w:jc w:val="right"/>
              <w:rPr>
                <w:rFonts w:ascii="Arial" w:hAnsi="Arial"/>
                <w:sz w:val="18"/>
              </w:rPr>
            </w:pPr>
            <w:r w:rsidRPr="00F6284E">
              <w:rPr>
                <w:sz w:val="18"/>
              </w:rPr>
              <w:t>59 ± 17</w:t>
            </w:r>
          </w:p>
        </w:tc>
        <w:tc>
          <w:tcPr>
            <w:tcW w:w="1080" w:type="dxa"/>
            <w:shd w:val="clear" w:color="auto" w:fill="auto"/>
          </w:tcPr>
          <w:p w14:paraId="415B0E2A" w14:textId="77777777" w:rsidR="007A0497" w:rsidRPr="00F6284E" w:rsidRDefault="007A0497" w:rsidP="00326B55">
            <w:pPr>
              <w:pStyle w:val="FSTableText"/>
              <w:jc w:val="right"/>
              <w:rPr>
                <w:rFonts w:ascii="Arial" w:hAnsi="Arial"/>
                <w:sz w:val="18"/>
              </w:rPr>
            </w:pPr>
            <w:r w:rsidRPr="00F6284E">
              <w:rPr>
                <w:sz w:val="18"/>
              </w:rPr>
              <w:t>56 ± 16</w:t>
            </w:r>
          </w:p>
        </w:tc>
      </w:tr>
      <w:tr w:rsidR="007A0497" w:rsidRPr="001E6F22" w14:paraId="1524EB28" w14:textId="77777777" w:rsidTr="00A24D2A">
        <w:trPr>
          <w:cantSplit/>
          <w:jc w:val="center"/>
        </w:trPr>
        <w:tc>
          <w:tcPr>
            <w:tcW w:w="1773" w:type="dxa"/>
            <w:shd w:val="clear" w:color="auto" w:fill="auto"/>
          </w:tcPr>
          <w:p w14:paraId="4556D43E" w14:textId="77777777" w:rsidR="007A0497" w:rsidRPr="00F6284E" w:rsidRDefault="007A0497" w:rsidP="00A111E9">
            <w:pPr>
              <w:pStyle w:val="FSTableText"/>
              <w:rPr>
                <w:rFonts w:ascii="Arial" w:hAnsi="Arial"/>
                <w:sz w:val="18"/>
              </w:rPr>
            </w:pPr>
            <w:r w:rsidRPr="00F6284E">
              <w:rPr>
                <w:sz w:val="18"/>
              </w:rPr>
              <w:t>0.03</w:t>
            </w:r>
          </w:p>
        </w:tc>
        <w:tc>
          <w:tcPr>
            <w:tcW w:w="1276" w:type="dxa"/>
            <w:shd w:val="clear" w:color="auto" w:fill="auto"/>
          </w:tcPr>
          <w:p w14:paraId="2F1938C6" w14:textId="77777777" w:rsidR="007A0497" w:rsidRPr="00F6284E" w:rsidRDefault="007A0497" w:rsidP="00326B55">
            <w:pPr>
              <w:pStyle w:val="FSTableText"/>
              <w:jc w:val="right"/>
              <w:rPr>
                <w:rFonts w:ascii="Arial" w:hAnsi="Arial"/>
                <w:sz w:val="18"/>
              </w:rPr>
            </w:pPr>
            <w:r w:rsidRPr="00F6284E">
              <w:rPr>
                <w:sz w:val="18"/>
              </w:rPr>
              <w:t>ND</w:t>
            </w:r>
          </w:p>
        </w:tc>
        <w:tc>
          <w:tcPr>
            <w:tcW w:w="1275" w:type="dxa"/>
            <w:shd w:val="clear" w:color="auto" w:fill="auto"/>
          </w:tcPr>
          <w:p w14:paraId="75A3CD22" w14:textId="77777777" w:rsidR="007A0497" w:rsidRPr="00F6284E" w:rsidRDefault="007A0497" w:rsidP="00326B55">
            <w:pPr>
              <w:pStyle w:val="FSTableText"/>
              <w:jc w:val="right"/>
              <w:rPr>
                <w:rFonts w:ascii="Arial" w:hAnsi="Arial"/>
                <w:sz w:val="18"/>
              </w:rPr>
            </w:pPr>
            <w:r w:rsidRPr="00F6284E">
              <w:rPr>
                <w:sz w:val="18"/>
              </w:rPr>
              <w:t>ND</w:t>
            </w:r>
          </w:p>
        </w:tc>
        <w:tc>
          <w:tcPr>
            <w:tcW w:w="1228" w:type="dxa"/>
            <w:shd w:val="clear" w:color="auto" w:fill="auto"/>
          </w:tcPr>
          <w:p w14:paraId="28017CF3" w14:textId="77777777" w:rsidR="007A0497" w:rsidRPr="00F6284E" w:rsidRDefault="007A0497" w:rsidP="00326B55">
            <w:pPr>
              <w:pStyle w:val="FSTableText"/>
              <w:jc w:val="right"/>
              <w:rPr>
                <w:rFonts w:ascii="Arial" w:hAnsi="Arial"/>
                <w:sz w:val="18"/>
              </w:rPr>
            </w:pPr>
            <w:r w:rsidRPr="00F6284E">
              <w:rPr>
                <w:sz w:val="18"/>
              </w:rPr>
              <w:t>ND</w:t>
            </w:r>
          </w:p>
        </w:tc>
        <w:tc>
          <w:tcPr>
            <w:tcW w:w="1327" w:type="dxa"/>
            <w:shd w:val="clear" w:color="auto" w:fill="auto"/>
          </w:tcPr>
          <w:p w14:paraId="5C2349D2" w14:textId="77777777" w:rsidR="007A0497" w:rsidRPr="00F6284E" w:rsidRDefault="007A0497" w:rsidP="00326B55">
            <w:pPr>
              <w:pStyle w:val="FSTableText"/>
              <w:jc w:val="right"/>
              <w:rPr>
                <w:rFonts w:ascii="Arial" w:hAnsi="Arial"/>
                <w:sz w:val="18"/>
              </w:rPr>
            </w:pPr>
            <w:r w:rsidRPr="00F6284E">
              <w:rPr>
                <w:sz w:val="18"/>
              </w:rPr>
              <w:t>ND</w:t>
            </w:r>
          </w:p>
        </w:tc>
        <w:tc>
          <w:tcPr>
            <w:tcW w:w="1327" w:type="dxa"/>
            <w:shd w:val="clear" w:color="auto" w:fill="auto"/>
          </w:tcPr>
          <w:p w14:paraId="50D3EB6F" w14:textId="77777777" w:rsidR="007A0497" w:rsidRPr="00F6284E" w:rsidRDefault="007A0497" w:rsidP="00326B55">
            <w:pPr>
              <w:pStyle w:val="FSTableText"/>
              <w:jc w:val="right"/>
              <w:rPr>
                <w:rFonts w:ascii="Arial" w:hAnsi="Arial"/>
                <w:sz w:val="18"/>
              </w:rPr>
            </w:pPr>
            <w:r w:rsidRPr="00F6284E">
              <w:rPr>
                <w:sz w:val="18"/>
              </w:rPr>
              <w:t>47 ± 10</w:t>
            </w:r>
          </w:p>
        </w:tc>
        <w:tc>
          <w:tcPr>
            <w:tcW w:w="1080" w:type="dxa"/>
            <w:shd w:val="clear" w:color="auto" w:fill="auto"/>
          </w:tcPr>
          <w:p w14:paraId="6CFBDB9C" w14:textId="77777777" w:rsidR="007A0497" w:rsidRPr="00F6284E" w:rsidRDefault="007A0497" w:rsidP="00326B55">
            <w:pPr>
              <w:pStyle w:val="FSTableText"/>
              <w:jc w:val="right"/>
              <w:rPr>
                <w:rFonts w:ascii="Arial" w:hAnsi="Arial"/>
                <w:sz w:val="18"/>
              </w:rPr>
            </w:pPr>
            <w:r w:rsidRPr="00F6284E">
              <w:rPr>
                <w:sz w:val="18"/>
              </w:rPr>
              <w:t>42 ± 9</w:t>
            </w:r>
          </w:p>
        </w:tc>
      </w:tr>
      <w:tr w:rsidR="007A0497" w:rsidRPr="001E6F22" w14:paraId="09E69142" w14:textId="77777777" w:rsidTr="00A24D2A">
        <w:trPr>
          <w:cantSplit/>
          <w:jc w:val="center"/>
        </w:trPr>
        <w:tc>
          <w:tcPr>
            <w:tcW w:w="1773" w:type="dxa"/>
            <w:shd w:val="clear" w:color="auto" w:fill="auto"/>
          </w:tcPr>
          <w:p w14:paraId="445E1E32" w14:textId="77777777" w:rsidR="007A0497" w:rsidRPr="00F6284E" w:rsidRDefault="007A0497" w:rsidP="00A111E9">
            <w:pPr>
              <w:pStyle w:val="FSTableText"/>
              <w:rPr>
                <w:rFonts w:ascii="Arial" w:hAnsi="Arial"/>
                <w:sz w:val="18"/>
              </w:rPr>
            </w:pPr>
            <w:r w:rsidRPr="00F6284E">
              <w:rPr>
                <w:sz w:val="18"/>
              </w:rPr>
              <w:t>0.15</w:t>
            </w:r>
          </w:p>
        </w:tc>
        <w:tc>
          <w:tcPr>
            <w:tcW w:w="1276" w:type="dxa"/>
            <w:shd w:val="clear" w:color="auto" w:fill="auto"/>
          </w:tcPr>
          <w:p w14:paraId="69B934A3" w14:textId="77777777" w:rsidR="007A0497" w:rsidRPr="00F6284E" w:rsidRDefault="007A0497" w:rsidP="00326B55">
            <w:pPr>
              <w:pStyle w:val="FSTableText"/>
              <w:jc w:val="right"/>
              <w:rPr>
                <w:rFonts w:ascii="Arial" w:hAnsi="Arial"/>
                <w:sz w:val="18"/>
              </w:rPr>
            </w:pPr>
            <w:r w:rsidRPr="00F6284E">
              <w:rPr>
                <w:sz w:val="18"/>
              </w:rPr>
              <w:t>ND</w:t>
            </w:r>
          </w:p>
        </w:tc>
        <w:tc>
          <w:tcPr>
            <w:tcW w:w="1275" w:type="dxa"/>
            <w:shd w:val="clear" w:color="auto" w:fill="auto"/>
          </w:tcPr>
          <w:p w14:paraId="01252E34" w14:textId="77777777" w:rsidR="007A0497" w:rsidRPr="00F6284E" w:rsidRDefault="007A0497" w:rsidP="00326B55">
            <w:pPr>
              <w:pStyle w:val="FSTableText"/>
              <w:jc w:val="right"/>
              <w:rPr>
                <w:rFonts w:ascii="Arial" w:hAnsi="Arial"/>
                <w:sz w:val="18"/>
              </w:rPr>
            </w:pPr>
            <w:r w:rsidRPr="00F6284E">
              <w:rPr>
                <w:sz w:val="18"/>
              </w:rPr>
              <w:t>ND</w:t>
            </w:r>
          </w:p>
        </w:tc>
        <w:tc>
          <w:tcPr>
            <w:tcW w:w="1228" w:type="dxa"/>
            <w:shd w:val="clear" w:color="auto" w:fill="auto"/>
          </w:tcPr>
          <w:p w14:paraId="0A6A4454" w14:textId="77777777" w:rsidR="007A0497" w:rsidRPr="00F6284E" w:rsidRDefault="007A0497" w:rsidP="00326B55">
            <w:pPr>
              <w:pStyle w:val="FSTableText"/>
              <w:jc w:val="right"/>
              <w:rPr>
                <w:rFonts w:ascii="Arial" w:hAnsi="Arial"/>
                <w:sz w:val="18"/>
              </w:rPr>
            </w:pPr>
            <w:r w:rsidRPr="00F6284E">
              <w:rPr>
                <w:sz w:val="18"/>
              </w:rPr>
              <w:t>ND</w:t>
            </w:r>
          </w:p>
        </w:tc>
        <w:tc>
          <w:tcPr>
            <w:tcW w:w="1327" w:type="dxa"/>
            <w:shd w:val="clear" w:color="auto" w:fill="auto"/>
          </w:tcPr>
          <w:p w14:paraId="29CC1047" w14:textId="77777777" w:rsidR="007A0497" w:rsidRPr="00F6284E" w:rsidRDefault="007A0497" w:rsidP="00326B55">
            <w:pPr>
              <w:pStyle w:val="FSTableText"/>
              <w:jc w:val="right"/>
              <w:rPr>
                <w:rFonts w:ascii="Arial" w:hAnsi="Arial"/>
                <w:sz w:val="18"/>
              </w:rPr>
            </w:pPr>
            <w:r w:rsidRPr="00F6284E">
              <w:rPr>
                <w:sz w:val="18"/>
              </w:rPr>
              <w:t>ND</w:t>
            </w:r>
          </w:p>
        </w:tc>
        <w:tc>
          <w:tcPr>
            <w:tcW w:w="1327" w:type="dxa"/>
            <w:shd w:val="clear" w:color="auto" w:fill="auto"/>
          </w:tcPr>
          <w:p w14:paraId="149936E5" w14:textId="77777777" w:rsidR="007A0497" w:rsidRPr="00F6284E" w:rsidRDefault="007A0497" w:rsidP="00326B55">
            <w:pPr>
              <w:pStyle w:val="FSTableText"/>
              <w:jc w:val="right"/>
              <w:rPr>
                <w:rFonts w:ascii="Arial" w:hAnsi="Arial"/>
                <w:sz w:val="18"/>
              </w:rPr>
            </w:pPr>
            <w:r w:rsidRPr="00F6284E">
              <w:rPr>
                <w:sz w:val="18"/>
              </w:rPr>
              <w:t>41 ± 9</w:t>
            </w:r>
            <w:r w:rsidRPr="00F6284E">
              <w:rPr>
                <w:sz w:val="18"/>
                <w:vertAlign w:val="superscript"/>
              </w:rPr>
              <w:t>**</w:t>
            </w:r>
          </w:p>
        </w:tc>
        <w:tc>
          <w:tcPr>
            <w:tcW w:w="1080" w:type="dxa"/>
            <w:shd w:val="clear" w:color="auto" w:fill="auto"/>
          </w:tcPr>
          <w:p w14:paraId="54DBA8C6" w14:textId="77777777" w:rsidR="007A0497" w:rsidRPr="00F6284E" w:rsidRDefault="007A0497" w:rsidP="00326B55">
            <w:pPr>
              <w:pStyle w:val="FSTableText"/>
              <w:jc w:val="right"/>
              <w:rPr>
                <w:rFonts w:ascii="Arial" w:hAnsi="Arial"/>
                <w:sz w:val="18"/>
              </w:rPr>
            </w:pPr>
            <w:r w:rsidRPr="00F6284E">
              <w:rPr>
                <w:sz w:val="18"/>
              </w:rPr>
              <w:t>36 ± 12</w:t>
            </w:r>
            <w:r w:rsidRPr="00F6284E">
              <w:rPr>
                <w:sz w:val="18"/>
                <w:vertAlign w:val="superscript"/>
              </w:rPr>
              <w:t>**</w:t>
            </w:r>
          </w:p>
        </w:tc>
      </w:tr>
      <w:tr w:rsidR="007A0497" w:rsidRPr="001E6F22" w14:paraId="2EE55CF7" w14:textId="77777777" w:rsidTr="00A24D2A">
        <w:trPr>
          <w:cantSplit/>
          <w:jc w:val="center"/>
        </w:trPr>
        <w:tc>
          <w:tcPr>
            <w:tcW w:w="1773" w:type="dxa"/>
            <w:shd w:val="clear" w:color="auto" w:fill="auto"/>
          </w:tcPr>
          <w:p w14:paraId="6D5F3A42" w14:textId="77777777" w:rsidR="007A0497" w:rsidRPr="00F6284E" w:rsidRDefault="007A0497" w:rsidP="00A111E9">
            <w:pPr>
              <w:pStyle w:val="FSTableText"/>
              <w:rPr>
                <w:rFonts w:ascii="Arial" w:hAnsi="Arial"/>
                <w:sz w:val="18"/>
              </w:rPr>
            </w:pPr>
            <w:r w:rsidRPr="00F6284E">
              <w:rPr>
                <w:sz w:val="18"/>
              </w:rPr>
              <w:t>0.75</w:t>
            </w:r>
          </w:p>
        </w:tc>
        <w:tc>
          <w:tcPr>
            <w:tcW w:w="1276" w:type="dxa"/>
            <w:shd w:val="clear" w:color="auto" w:fill="auto"/>
          </w:tcPr>
          <w:p w14:paraId="794AF966" w14:textId="77777777" w:rsidR="007A0497" w:rsidRPr="00F6284E" w:rsidRDefault="007A0497" w:rsidP="00326B55">
            <w:pPr>
              <w:pStyle w:val="FSTableText"/>
              <w:jc w:val="right"/>
              <w:rPr>
                <w:rFonts w:ascii="Arial" w:hAnsi="Arial"/>
                <w:sz w:val="18"/>
              </w:rPr>
            </w:pPr>
            <w:r w:rsidRPr="00F6284E">
              <w:rPr>
                <w:sz w:val="18"/>
              </w:rPr>
              <w:t>ND</w:t>
            </w:r>
          </w:p>
        </w:tc>
        <w:tc>
          <w:tcPr>
            <w:tcW w:w="1275" w:type="dxa"/>
            <w:shd w:val="clear" w:color="auto" w:fill="auto"/>
          </w:tcPr>
          <w:p w14:paraId="4C4EAED2" w14:textId="77777777" w:rsidR="007A0497" w:rsidRPr="00F6284E" w:rsidRDefault="007A0497" w:rsidP="00326B55">
            <w:pPr>
              <w:pStyle w:val="FSTableText"/>
              <w:jc w:val="right"/>
              <w:rPr>
                <w:rFonts w:ascii="Arial" w:hAnsi="Arial"/>
                <w:sz w:val="18"/>
              </w:rPr>
            </w:pPr>
            <w:r w:rsidRPr="00F6284E">
              <w:rPr>
                <w:sz w:val="18"/>
              </w:rPr>
              <w:t>ND</w:t>
            </w:r>
          </w:p>
        </w:tc>
        <w:tc>
          <w:tcPr>
            <w:tcW w:w="1228" w:type="dxa"/>
            <w:shd w:val="clear" w:color="auto" w:fill="auto"/>
          </w:tcPr>
          <w:p w14:paraId="0195965E" w14:textId="77777777" w:rsidR="007A0497" w:rsidRPr="00F6284E" w:rsidRDefault="007A0497" w:rsidP="00326B55">
            <w:pPr>
              <w:pStyle w:val="FSTableText"/>
              <w:jc w:val="right"/>
              <w:rPr>
                <w:rFonts w:ascii="Arial" w:hAnsi="Arial"/>
                <w:sz w:val="18"/>
              </w:rPr>
            </w:pPr>
            <w:r w:rsidRPr="00F6284E">
              <w:rPr>
                <w:sz w:val="18"/>
              </w:rPr>
              <w:t>ND</w:t>
            </w:r>
          </w:p>
        </w:tc>
        <w:tc>
          <w:tcPr>
            <w:tcW w:w="1327" w:type="dxa"/>
            <w:shd w:val="clear" w:color="auto" w:fill="auto"/>
          </w:tcPr>
          <w:p w14:paraId="62B65316" w14:textId="77777777" w:rsidR="007A0497" w:rsidRPr="00F6284E" w:rsidRDefault="007A0497" w:rsidP="00326B55">
            <w:pPr>
              <w:pStyle w:val="FSTableText"/>
              <w:jc w:val="right"/>
              <w:rPr>
                <w:rFonts w:ascii="Arial" w:hAnsi="Arial"/>
                <w:sz w:val="18"/>
              </w:rPr>
            </w:pPr>
            <w:r w:rsidRPr="00F6284E">
              <w:rPr>
                <w:sz w:val="18"/>
              </w:rPr>
              <w:t>ND</w:t>
            </w:r>
          </w:p>
        </w:tc>
        <w:tc>
          <w:tcPr>
            <w:tcW w:w="1327" w:type="dxa"/>
            <w:shd w:val="clear" w:color="auto" w:fill="auto"/>
          </w:tcPr>
          <w:p w14:paraId="079E6304" w14:textId="77777777" w:rsidR="007A0497" w:rsidRPr="00F6284E" w:rsidRDefault="007A0497" w:rsidP="00326B55">
            <w:pPr>
              <w:pStyle w:val="FSTableText"/>
              <w:jc w:val="right"/>
              <w:rPr>
                <w:rFonts w:ascii="Arial" w:hAnsi="Arial"/>
                <w:sz w:val="18"/>
              </w:rPr>
            </w:pPr>
            <w:r w:rsidRPr="00F6284E">
              <w:rPr>
                <w:sz w:val="18"/>
              </w:rPr>
              <w:t>23 ± 4</w:t>
            </w:r>
            <w:r w:rsidRPr="00F6284E">
              <w:rPr>
                <w:sz w:val="18"/>
                <w:vertAlign w:val="superscript"/>
              </w:rPr>
              <w:t>**</w:t>
            </w:r>
          </w:p>
        </w:tc>
        <w:tc>
          <w:tcPr>
            <w:tcW w:w="1080" w:type="dxa"/>
            <w:shd w:val="clear" w:color="auto" w:fill="auto"/>
          </w:tcPr>
          <w:p w14:paraId="62493E3C" w14:textId="77777777" w:rsidR="007A0497" w:rsidRPr="00F6284E" w:rsidRDefault="007A0497" w:rsidP="00326B55">
            <w:pPr>
              <w:pStyle w:val="FSTableText"/>
              <w:jc w:val="right"/>
              <w:rPr>
                <w:rFonts w:ascii="Arial" w:hAnsi="Arial"/>
                <w:sz w:val="18"/>
              </w:rPr>
            </w:pPr>
            <w:r w:rsidRPr="00F6284E">
              <w:rPr>
                <w:sz w:val="18"/>
              </w:rPr>
              <w:t>21 ± 7</w:t>
            </w:r>
            <w:r w:rsidRPr="00F6284E">
              <w:rPr>
                <w:sz w:val="18"/>
                <w:vertAlign w:val="superscript"/>
              </w:rPr>
              <w:t>**</w:t>
            </w:r>
          </w:p>
        </w:tc>
      </w:tr>
    </w:tbl>
    <w:p w14:paraId="302C290D" w14:textId="77777777" w:rsidR="007A0497" w:rsidRPr="00FE3E6A" w:rsidRDefault="007A0497" w:rsidP="00A111E9">
      <w:pPr>
        <w:keepNext/>
        <w:keepLines/>
        <w:spacing w:before="120"/>
        <w:rPr>
          <w:sz w:val="16"/>
          <w:szCs w:val="16"/>
          <w:lang w:bidi="ar-SA"/>
        </w:rPr>
      </w:pPr>
      <w:r w:rsidRPr="00FE3E6A">
        <w:rPr>
          <w:sz w:val="16"/>
          <w:szCs w:val="16"/>
          <w:lang w:bidi="ar-SA"/>
        </w:rPr>
        <w:t>Values are given as the mean ± standard deviation.</w:t>
      </w:r>
    </w:p>
    <w:p w14:paraId="292FAFD7" w14:textId="51A4CE63" w:rsidR="007A0497" w:rsidRPr="00FE3E6A" w:rsidRDefault="007A0497" w:rsidP="00A111E9">
      <w:pPr>
        <w:keepNext/>
        <w:keepLines/>
        <w:rPr>
          <w:sz w:val="16"/>
          <w:szCs w:val="16"/>
          <w:lang w:bidi="ar-SA"/>
        </w:rPr>
      </w:pPr>
      <w:r w:rsidRPr="00FE3E6A">
        <w:rPr>
          <w:sz w:val="16"/>
          <w:szCs w:val="16"/>
          <w:lang w:bidi="ar-SA"/>
        </w:rPr>
        <w:t>*Significantly different (</w:t>
      </w:r>
      <w:r w:rsidRPr="00FE3E6A">
        <w:rPr>
          <w:i/>
          <w:sz w:val="16"/>
          <w:szCs w:val="16"/>
          <w:lang w:bidi="ar-SA"/>
        </w:rPr>
        <w:t>p</w:t>
      </w:r>
      <w:r w:rsidR="004503B1">
        <w:rPr>
          <w:sz w:val="16"/>
          <w:szCs w:val="16"/>
          <w:lang w:bidi="ar-SA"/>
        </w:rPr>
        <w:t xml:space="preserve"> &lt; 0.05) from pretreatment (</w:t>
      </w:r>
      <w:r w:rsidR="00185513">
        <w:rPr>
          <w:sz w:val="16"/>
          <w:szCs w:val="16"/>
          <w:lang w:bidi="ar-SA"/>
        </w:rPr>
        <w:t>d</w:t>
      </w:r>
      <w:r w:rsidRPr="00FE3E6A">
        <w:rPr>
          <w:sz w:val="16"/>
          <w:szCs w:val="16"/>
          <w:lang w:bidi="ar-SA"/>
        </w:rPr>
        <w:t>ay –27) value.</w:t>
      </w:r>
    </w:p>
    <w:p w14:paraId="257995F6" w14:textId="77777777" w:rsidR="007A0497" w:rsidRPr="00FE3E6A" w:rsidRDefault="007A0497" w:rsidP="00A111E9">
      <w:pPr>
        <w:keepNext/>
        <w:keepLines/>
        <w:rPr>
          <w:sz w:val="16"/>
          <w:szCs w:val="16"/>
          <w:lang w:bidi="ar-SA"/>
        </w:rPr>
      </w:pPr>
      <w:r w:rsidRPr="00FE3E6A">
        <w:rPr>
          <w:sz w:val="16"/>
          <w:szCs w:val="16"/>
          <w:lang w:bidi="ar-SA"/>
        </w:rPr>
        <w:t>**Significantly different (</w:t>
      </w:r>
      <w:r w:rsidRPr="00FE3E6A">
        <w:rPr>
          <w:i/>
          <w:sz w:val="16"/>
          <w:szCs w:val="16"/>
          <w:lang w:bidi="ar-SA"/>
        </w:rPr>
        <w:t>p</w:t>
      </w:r>
      <w:r w:rsidRPr="00FE3E6A">
        <w:rPr>
          <w:sz w:val="16"/>
          <w:szCs w:val="16"/>
          <w:lang w:bidi="ar-SA"/>
        </w:rPr>
        <w:t xml:space="preserve"> &lt; 0.05) from control value.</w:t>
      </w:r>
    </w:p>
    <w:p w14:paraId="447AC373" w14:textId="5FCAB0A9" w:rsidR="007A0497" w:rsidRPr="00FE3E6A" w:rsidRDefault="007A0497" w:rsidP="00A111E9">
      <w:pPr>
        <w:keepNext/>
        <w:keepLines/>
        <w:rPr>
          <w:sz w:val="16"/>
          <w:szCs w:val="16"/>
          <w:lang w:bidi="ar-SA"/>
        </w:rPr>
      </w:pPr>
      <w:r w:rsidRPr="00FE3E6A">
        <w:rPr>
          <w:sz w:val="16"/>
          <w:szCs w:val="16"/>
          <w:lang w:bidi="ar-SA"/>
        </w:rPr>
        <w:t>ND: not determined.</w:t>
      </w:r>
      <w:r w:rsidR="00C65AFC">
        <w:rPr>
          <w:sz w:val="16"/>
          <w:szCs w:val="16"/>
          <w:lang w:bidi="ar-SA"/>
        </w:rPr>
        <w:t xml:space="preserve"> Data complied from Seacat </w:t>
      </w:r>
      <w:r w:rsidR="00180A32" w:rsidRPr="00180A32">
        <w:rPr>
          <w:i/>
          <w:sz w:val="16"/>
          <w:szCs w:val="16"/>
          <w:lang w:bidi="ar-SA"/>
        </w:rPr>
        <w:t xml:space="preserve">et al. </w:t>
      </w:r>
      <w:r w:rsidR="00F22DA6">
        <w:rPr>
          <w:sz w:val="16"/>
          <w:szCs w:val="16"/>
          <w:lang w:bidi="ar-SA"/>
        </w:rPr>
        <w:t xml:space="preserve"> </w:t>
      </w:r>
      <w:r w:rsidR="00C65AFC">
        <w:rPr>
          <w:sz w:val="16"/>
          <w:szCs w:val="16"/>
          <w:lang w:bidi="ar-SA"/>
        </w:rPr>
        <w:t>2002.</w:t>
      </w:r>
    </w:p>
    <w:p w14:paraId="34A8FEC0" w14:textId="77777777" w:rsidR="007A0497" w:rsidRDefault="007A0497" w:rsidP="00A111E9">
      <w:pPr>
        <w:rPr>
          <w:lang w:bidi="ar-SA"/>
        </w:rPr>
      </w:pPr>
    </w:p>
    <w:p w14:paraId="00AC1EDF" w14:textId="3A8E9251" w:rsidR="007A0497" w:rsidRDefault="007A0497" w:rsidP="00A111E9">
      <w:r>
        <w:t>There were no treatment-related gross pathology findings at the lo</w:t>
      </w:r>
      <w:r w:rsidR="009A3945">
        <w:t xml:space="preserve">w and mid </w:t>
      </w:r>
      <w:r>
        <w:t>dose. At the high</w:t>
      </w:r>
      <w:r w:rsidR="009A3945">
        <w:t xml:space="preserve"> </w:t>
      </w:r>
      <w:r>
        <w:t xml:space="preserve">dose, adverse findings were limited to the lungs of the male that died on </w:t>
      </w:r>
      <w:r w:rsidR="00185513">
        <w:t>d</w:t>
      </w:r>
      <w:r>
        <w:t>ay 155 (pulmonary necrosis and severe acute pulmonary inflammation).</w:t>
      </w:r>
    </w:p>
    <w:p w14:paraId="6628F8DF" w14:textId="77777777" w:rsidR="007A0497" w:rsidRDefault="007A0497" w:rsidP="00A111E9">
      <w:pPr>
        <w:rPr>
          <w:lang w:bidi="ar-SA"/>
        </w:rPr>
      </w:pPr>
    </w:p>
    <w:p w14:paraId="4CE07521" w14:textId="4CFD4A5F" w:rsidR="007A0497" w:rsidRDefault="007A0497" w:rsidP="00A111E9">
      <w:pPr>
        <w:rPr>
          <w:lang w:bidi="ar-SA"/>
        </w:rPr>
      </w:pPr>
      <w:r>
        <w:rPr>
          <w:lang w:bidi="ar-SA"/>
        </w:rPr>
        <w:t>Hepatic peroxisome proliferation, as measured by palmitoyl CoA oxidase activity, wa</w:t>
      </w:r>
      <w:r w:rsidR="009A3945">
        <w:rPr>
          <w:lang w:bidi="ar-SA"/>
        </w:rPr>
        <w:t xml:space="preserve">s increased in high </w:t>
      </w:r>
      <w:r>
        <w:rPr>
          <w:lang w:bidi="ar-SA"/>
        </w:rPr>
        <w:t>dose females however</w:t>
      </w:r>
      <w:r w:rsidR="007F02A2">
        <w:rPr>
          <w:lang w:bidi="ar-SA"/>
        </w:rPr>
        <w:t>,</w:t>
      </w:r>
      <w:r>
        <w:rPr>
          <w:lang w:bidi="ar-SA"/>
        </w:rPr>
        <w:t xml:space="preserve"> the </w:t>
      </w:r>
      <w:r w:rsidR="00BE598A">
        <w:rPr>
          <w:lang w:bidi="ar-SA"/>
        </w:rPr>
        <w:t xml:space="preserve">size of the </w:t>
      </w:r>
      <w:r>
        <w:rPr>
          <w:lang w:bidi="ar-SA"/>
        </w:rPr>
        <w:t>increase</w:t>
      </w:r>
      <w:r w:rsidR="00BE598A">
        <w:rPr>
          <w:lang w:bidi="ar-SA"/>
        </w:rPr>
        <w:t xml:space="preserve"> (&lt; 2-fold)</w:t>
      </w:r>
      <w:r>
        <w:rPr>
          <w:lang w:bidi="ar-SA"/>
        </w:rPr>
        <w:t xml:space="preserve"> was not considered to be biologically significant. There were no treatment-related effects on cell proliferation in the liver, pancreas, or testes as determined by immunohistochemistry.</w:t>
      </w:r>
    </w:p>
    <w:p w14:paraId="59FA4A6E" w14:textId="77777777" w:rsidR="007A0497" w:rsidRDefault="007A0497" w:rsidP="00A111E9">
      <w:pPr>
        <w:rPr>
          <w:lang w:bidi="ar-SA"/>
        </w:rPr>
      </w:pPr>
    </w:p>
    <w:p w14:paraId="720636D3" w14:textId="5325C55B" w:rsidR="007A0497" w:rsidRDefault="007A0497" w:rsidP="00A111E9">
      <w:pPr>
        <w:rPr>
          <w:lang w:bidi="ar-SA"/>
        </w:rPr>
      </w:pPr>
      <w:r>
        <w:rPr>
          <w:lang w:bidi="ar-SA"/>
        </w:rPr>
        <w:t>Treatment-related effects were only</w:t>
      </w:r>
      <w:r w:rsidR="009A3945">
        <w:rPr>
          <w:lang w:bidi="ar-SA"/>
        </w:rPr>
        <w:t xml:space="preserve"> observed in the liver in high </w:t>
      </w:r>
      <w:r>
        <w:rPr>
          <w:lang w:bidi="ar-SA"/>
        </w:rPr>
        <w:t>dose males and fema</w:t>
      </w:r>
      <w:r w:rsidR="009A3945">
        <w:rPr>
          <w:lang w:bidi="ar-SA"/>
        </w:rPr>
        <w:t>les (histopathology findings in</w:t>
      </w:r>
      <w:r>
        <w:rPr>
          <w:lang w:bidi="ar-SA"/>
        </w:rPr>
        <w:t xml:space="preserve"> the lung were not reported for the high</w:t>
      </w:r>
      <w:r w:rsidR="009A3945">
        <w:rPr>
          <w:lang w:bidi="ar-SA"/>
        </w:rPr>
        <w:t xml:space="preserve"> </w:t>
      </w:r>
      <w:r>
        <w:rPr>
          <w:lang w:bidi="ar-SA"/>
        </w:rPr>
        <w:t>dose male</w:t>
      </w:r>
      <w:r w:rsidRPr="001E6F22">
        <w:t xml:space="preserve"> </w:t>
      </w:r>
      <w:r>
        <w:rPr>
          <w:lang w:bidi="ar-SA"/>
        </w:rPr>
        <w:t xml:space="preserve">that died prematurely, with </w:t>
      </w:r>
      <w:r w:rsidRPr="001E6F22">
        <w:rPr>
          <w:lang w:bidi="ar-SA"/>
        </w:rPr>
        <w:t>severe pulmonary inflammation</w:t>
      </w:r>
      <w:r>
        <w:rPr>
          <w:lang w:bidi="ar-SA"/>
        </w:rPr>
        <w:t xml:space="preserve"> as a possible cause of death). </w:t>
      </w:r>
      <w:r w:rsidRPr="003B310E">
        <w:rPr>
          <w:lang w:bidi="ar-SA"/>
        </w:rPr>
        <w:t>By light microscopy, centrilobular</w:t>
      </w:r>
      <w:r>
        <w:rPr>
          <w:lang w:bidi="ar-SA"/>
        </w:rPr>
        <w:t xml:space="preserve"> </w:t>
      </w:r>
      <w:r w:rsidRPr="003B310E">
        <w:rPr>
          <w:lang w:bidi="ar-SA"/>
        </w:rPr>
        <w:t>vacuolation, hypertrophy, and mild bile stasis were</w:t>
      </w:r>
      <w:r>
        <w:rPr>
          <w:lang w:bidi="ar-SA"/>
        </w:rPr>
        <w:t xml:space="preserve"> </w:t>
      </w:r>
      <w:r w:rsidRPr="003B310E">
        <w:rPr>
          <w:lang w:bidi="ar-SA"/>
        </w:rPr>
        <w:t xml:space="preserve">noted in some </w:t>
      </w:r>
      <w:r>
        <w:rPr>
          <w:lang w:bidi="ar-SA"/>
        </w:rPr>
        <w:t>high</w:t>
      </w:r>
      <w:r w:rsidR="001012A5">
        <w:rPr>
          <w:lang w:bidi="ar-SA"/>
        </w:rPr>
        <w:t xml:space="preserve"> </w:t>
      </w:r>
      <w:r w:rsidRPr="003B310E">
        <w:rPr>
          <w:lang w:bidi="ar-SA"/>
        </w:rPr>
        <w:t>dose livers. By</w:t>
      </w:r>
      <w:r>
        <w:rPr>
          <w:lang w:bidi="ar-SA"/>
        </w:rPr>
        <w:t xml:space="preserve"> </w:t>
      </w:r>
      <w:r w:rsidRPr="003B310E">
        <w:rPr>
          <w:lang w:bidi="ar-SA"/>
        </w:rPr>
        <w:t xml:space="preserve">electron microscopy, lipid-droplet accumulation </w:t>
      </w:r>
      <w:r>
        <w:rPr>
          <w:lang w:bidi="ar-SA"/>
        </w:rPr>
        <w:t>was evident in high</w:t>
      </w:r>
      <w:r w:rsidR="001012A5">
        <w:rPr>
          <w:lang w:bidi="ar-SA"/>
        </w:rPr>
        <w:t xml:space="preserve"> </w:t>
      </w:r>
      <w:r>
        <w:rPr>
          <w:lang w:bidi="ar-SA"/>
        </w:rPr>
        <w:t>dose livers but was not observed in recovery animals</w:t>
      </w:r>
      <w:r w:rsidRPr="003B310E">
        <w:rPr>
          <w:lang w:bidi="ar-SA"/>
        </w:rPr>
        <w:t xml:space="preserve">. </w:t>
      </w:r>
      <w:r>
        <w:rPr>
          <w:lang w:bidi="ar-SA"/>
        </w:rPr>
        <w:t>During the recovery period, complete reversal of histopathological changes was observed in high</w:t>
      </w:r>
      <w:r w:rsidR="009A3945">
        <w:rPr>
          <w:lang w:bidi="ar-SA"/>
        </w:rPr>
        <w:t xml:space="preserve"> </w:t>
      </w:r>
      <w:r>
        <w:rPr>
          <w:lang w:bidi="ar-SA"/>
        </w:rPr>
        <w:t>dose livers.</w:t>
      </w:r>
    </w:p>
    <w:p w14:paraId="737226D3" w14:textId="77777777" w:rsidR="007A0497" w:rsidRDefault="007A0497" w:rsidP="00A111E9">
      <w:pPr>
        <w:rPr>
          <w:lang w:bidi="ar-SA"/>
        </w:rPr>
      </w:pPr>
    </w:p>
    <w:p w14:paraId="7D485553" w14:textId="6B111A7C" w:rsidR="007A0497" w:rsidRPr="003B310E" w:rsidRDefault="007A0497" w:rsidP="00A111E9">
      <w:pPr>
        <w:rPr>
          <w:lang w:bidi="ar-SA"/>
        </w:rPr>
      </w:pPr>
      <w:r>
        <w:rPr>
          <w:lang w:bidi="ar-SA"/>
        </w:rPr>
        <w:t>There were no treatment-related effects on the other tissues examined in high</w:t>
      </w:r>
      <w:r w:rsidR="009A3945">
        <w:rPr>
          <w:lang w:bidi="ar-SA"/>
        </w:rPr>
        <w:t xml:space="preserve"> </w:t>
      </w:r>
      <w:r>
        <w:rPr>
          <w:lang w:bidi="ar-SA"/>
        </w:rPr>
        <w:t xml:space="preserve">dose monkeys (aorta, cecum, cervix, duodenum, oesophagus, eyes, femur, gall bladder, heart, ileum, jejunum, mammary gland, mesenteric lymph node, pituitary, prostate, rectum, mandibular salivary gland, sciatic nerve, seminal vesicles, skeletal muscle (thigh), skin, spinal cord, spleen, sternum with bone marrow, stomach, thymus, trachea, urinary bladder, uterus, and vagina). </w:t>
      </w:r>
      <w:r w:rsidRPr="006C7AB6">
        <w:rPr>
          <w:lang w:bidi="ar-SA"/>
        </w:rPr>
        <w:t>At the low and mid-dose, no treatment</w:t>
      </w:r>
      <w:r w:rsidRPr="003B310E">
        <w:rPr>
          <w:lang w:bidi="ar-SA"/>
        </w:rPr>
        <w:t>-related effects were observed in the</w:t>
      </w:r>
      <w:r>
        <w:rPr>
          <w:lang w:bidi="ar-SA"/>
        </w:rPr>
        <w:t xml:space="preserve"> </w:t>
      </w:r>
      <w:r w:rsidRPr="003B310E">
        <w:rPr>
          <w:lang w:bidi="ar-SA"/>
        </w:rPr>
        <w:t>tissues examined (liver, thymus, and spinal cord).</w:t>
      </w:r>
    </w:p>
    <w:p w14:paraId="5AFE47EA" w14:textId="77777777" w:rsidR="007A0497" w:rsidRDefault="007A0497" w:rsidP="00A111E9">
      <w:pPr>
        <w:rPr>
          <w:lang w:bidi="ar-SA"/>
        </w:rPr>
      </w:pPr>
    </w:p>
    <w:p w14:paraId="190504FA" w14:textId="384AC23E" w:rsidR="00DA18B2" w:rsidRDefault="00D33D8B" w:rsidP="00A111E9">
      <w:r>
        <w:rPr>
          <w:lang w:bidi="ar-SA"/>
        </w:rPr>
        <w:lastRenderedPageBreak/>
        <w:t>The NOAEL is the mid-dose, of 0.15 mg/kg bw/day, o</w:t>
      </w:r>
      <w:r w:rsidR="00DA18B2">
        <w:rPr>
          <w:lang w:bidi="ar-SA"/>
        </w:rPr>
        <w:t xml:space="preserve">n the basis of </w:t>
      </w:r>
      <w:r w:rsidR="006A26AE">
        <w:rPr>
          <w:lang w:bidi="ar-SA"/>
        </w:rPr>
        <w:t xml:space="preserve">mortality, </w:t>
      </w:r>
      <w:r w:rsidR="00DA18B2">
        <w:rPr>
          <w:lang w:bidi="ar-SA"/>
        </w:rPr>
        <w:t xml:space="preserve">reduced body weight gain, increased absolute and relative liver weight and histopathological findings in the liver, and decreased serum cholesterol </w:t>
      </w:r>
      <w:r w:rsidR="007A0497">
        <w:rPr>
          <w:lang w:bidi="ar-SA"/>
        </w:rPr>
        <w:t>evident at the high</w:t>
      </w:r>
      <w:r w:rsidR="001012A5">
        <w:rPr>
          <w:lang w:bidi="ar-SA"/>
        </w:rPr>
        <w:t xml:space="preserve"> </w:t>
      </w:r>
      <w:r w:rsidR="007A0497">
        <w:rPr>
          <w:lang w:bidi="ar-SA"/>
        </w:rPr>
        <w:t>dose of 0.75 mg/kg bw/day</w:t>
      </w:r>
      <w:r>
        <w:rPr>
          <w:lang w:bidi="ar-SA"/>
        </w:rPr>
        <w:t>.</w:t>
      </w:r>
    </w:p>
    <w:p w14:paraId="4606BD89" w14:textId="77777777" w:rsidR="00DA18B2" w:rsidRDefault="00DA18B2" w:rsidP="00A111E9"/>
    <w:p w14:paraId="6D6BDAB8" w14:textId="270A92E6" w:rsidR="007A0497" w:rsidRDefault="00585A69" w:rsidP="00A111E9">
      <w:pPr>
        <w:rPr>
          <w:lang w:bidi="ar-SA"/>
        </w:rPr>
      </w:pPr>
      <w:r>
        <w:rPr>
          <w:lang w:bidi="ar-SA"/>
        </w:rPr>
        <w:t xml:space="preserve">The mean serum PFOS concentrations achieved following 6 months of dosing at the NOAEL of </w:t>
      </w:r>
      <w:r w:rsidR="006A26AE">
        <w:rPr>
          <w:lang w:bidi="ar-SA"/>
        </w:rPr>
        <w:t>0.15</w:t>
      </w:r>
      <w:r>
        <w:rPr>
          <w:lang w:bidi="ar-SA"/>
        </w:rPr>
        <w:t xml:space="preserve"> mg/kg bw/day were </w:t>
      </w:r>
      <w:r w:rsidR="006A26AE">
        <w:rPr>
          <w:lang w:bidi="ar-SA"/>
        </w:rPr>
        <w:t>82.6</w:t>
      </w:r>
      <w:r>
        <w:rPr>
          <w:lang w:bidi="ar-SA"/>
        </w:rPr>
        <w:t xml:space="preserve"> </w:t>
      </w:r>
      <w:r w:rsidR="00CB500B">
        <w:rPr>
          <w:rFonts w:cs="Arial"/>
          <w:lang w:bidi="ar-SA"/>
        </w:rPr>
        <w:t>µg/mL</w:t>
      </w:r>
      <w:r>
        <w:rPr>
          <w:lang w:bidi="ar-SA"/>
        </w:rPr>
        <w:t xml:space="preserve"> and </w:t>
      </w:r>
      <w:r w:rsidR="006A26AE">
        <w:rPr>
          <w:lang w:bidi="ar-SA"/>
        </w:rPr>
        <w:t>66.8</w:t>
      </w:r>
      <w:r>
        <w:rPr>
          <w:lang w:bidi="ar-SA"/>
        </w:rPr>
        <w:t xml:space="preserve"> </w:t>
      </w:r>
      <w:r w:rsidR="00CB500B">
        <w:rPr>
          <w:rFonts w:cs="Arial"/>
          <w:lang w:bidi="ar-SA"/>
        </w:rPr>
        <w:t>µg/mL</w:t>
      </w:r>
      <w:r>
        <w:rPr>
          <w:lang w:bidi="ar-SA"/>
        </w:rPr>
        <w:t xml:space="preserve"> for males and females, respectively.</w:t>
      </w:r>
      <w:r w:rsidR="009A0EE6">
        <w:rPr>
          <w:lang w:bidi="ar-SA"/>
        </w:rPr>
        <w:t xml:space="preserve"> Mean liver PFOS concentrations were </w:t>
      </w:r>
      <w:r w:rsidR="006A26AE">
        <w:rPr>
          <w:lang w:bidi="ar-SA"/>
        </w:rPr>
        <w:t>58.8</w:t>
      </w:r>
      <w:r w:rsidR="009A0EE6">
        <w:rPr>
          <w:lang w:bidi="ar-SA"/>
        </w:rPr>
        <w:t xml:space="preserve"> </w:t>
      </w:r>
      <w:r w:rsidR="00CB500B">
        <w:rPr>
          <w:rFonts w:cs="Arial"/>
          <w:lang w:bidi="ar-SA"/>
        </w:rPr>
        <w:t>µg/</w:t>
      </w:r>
      <w:r w:rsidR="00154FC9">
        <w:rPr>
          <w:rFonts w:cs="Arial"/>
          <w:lang w:bidi="ar-SA"/>
        </w:rPr>
        <w:t>g</w:t>
      </w:r>
      <w:r w:rsidR="009A0EE6">
        <w:rPr>
          <w:lang w:bidi="ar-SA"/>
        </w:rPr>
        <w:t xml:space="preserve"> and </w:t>
      </w:r>
      <w:r w:rsidR="006A26AE">
        <w:rPr>
          <w:lang w:bidi="ar-SA"/>
        </w:rPr>
        <w:t>69.5</w:t>
      </w:r>
      <w:r w:rsidR="009A0EE6">
        <w:rPr>
          <w:lang w:bidi="ar-SA"/>
        </w:rPr>
        <w:t xml:space="preserve"> </w:t>
      </w:r>
      <w:r w:rsidR="00CB500B">
        <w:rPr>
          <w:rFonts w:cs="Arial"/>
          <w:lang w:bidi="ar-SA"/>
        </w:rPr>
        <w:t>µg/</w:t>
      </w:r>
      <w:r w:rsidR="00154FC9">
        <w:rPr>
          <w:rFonts w:cs="Arial"/>
          <w:lang w:bidi="ar-SA"/>
        </w:rPr>
        <w:t>g</w:t>
      </w:r>
      <w:r w:rsidR="009A0EE6">
        <w:rPr>
          <w:lang w:bidi="ar-SA"/>
        </w:rPr>
        <w:t xml:space="preserve"> in males and females, respectively. At the LOAEL of 0.</w:t>
      </w:r>
      <w:r w:rsidR="006A26AE">
        <w:rPr>
          <w:lang w:bidi="ar-SA"/>
        </w:rPr>
        <w:t>75</w:t>
      </w:r>
      <w:r w:rsidR="009A0EE6">
        <w:rPr>
          <w:lang w:bidi="ar-SA"/>
        </w:rPr>
        <w:t xml:space="preserve"> mg/kg bw/day, t</w:t>
      </w:r>
      <w:r>
        <w:rPr>
          <w:lang w:bidi="ar-SA"/>
        </w:rPr>
        <w:t xml:space="preserve">he mean serum PFOS concentrations were </w:t>
      </w:r>
      <w:r w:rsidR="006A26AE">
        <w:rPr>
          <w:lang w:bidi="ar-SA"/>
        </w:rPr>
        <w:t>173</w:t>
      </w:r>
      <w:r>
        <w:rPr>
          <w:lang w:bidi="ar-SA"/>
        </w:rPr>
        <w:t xml:space="preserve"> </w:t>
      </w:r>
      <w:r w:rsidR="00CB500B">
        <w:rPr>
          <w:rFonts w:cs="Arial"/>
          <w:lang w:bidi="ar-SA"/>
        </w:rPr>
        <w:t>µg/mL</w:t>
      </w:r>
      <w:r>
        <w:rPr>
          <w:lang w:bidi="ar-SA"/>
        </w:rPr>
        <w:t xml:space="preserve"> and </w:t>
      </w:r>
      <w:r w:rsidR="006A26AE">
        <w:rPr>
          <w:lang w:bidi="ar-SA"/>
        </w:rPr>
        <w:t>171</w:t>
      </w:r>
      <w:r>
        <w:rPr>
          <w:lang w:bidi="ar-SA"/>
        </w:rPr>
        <w:t xml:space="preserve"> </w:t>
      </w:r>
      <w:r w:rsidR="00CB500B">
        <w:rPr>
          <w:rFonts w:cs="Arial"/>
          <w:lang w:bidi="ar-SA"/>
        </w:rPr>
        <w:t>µg/mL</w:t>
      </w:r>
      <w:r>
        <w:rPr>
          <w:lang w:bidi="ar-SA"/>
        </w:rPr>
        <w:t xml:space="preserve"> for m</w:t>
      </w:r>
      <w:r w:rsidR="009A0EE6">
        <w:rPr>
          <w:lang w:bidi="ar-SA"/>
        </w:rPr>
        <w:t xml:space="preserve">ales and females, respectively, and mean respective liver PFOS concentrations were </w:t>
      </w:r>
      <w:r w:rsidR="006A26AE">
        <w:rPr>
          <w:lang w:bidi="ar-SA"/>
        </w:rPr>
        <w:t>395</w:t>
      </w:r>
      <w:r w:rsidR="009A0EE6">
        <w:rPr>
          <w:lang w:bidi="ar-SA"/>
        </w:rPr>
        <w:t xml:space="preserve"> and </w:t>
      </w:r>
      <w:r w:rsidR="006A26AE">
        <w:rPr>
          <w:lang w:bidi="ar-SA"/>
        </w:rPr>
        <w:t>273</w:t>
      </w:r>
      <w:r w:rsidR="009A0EE6">
        <w:rPr>
          <w:lang w:bidi="ar-SA"/>
        </w:rPr>
        <w:t xml:space="preserve"> </w:t>
      </w:r>
      <w:r w:rsidR="00CB500B">
        <w:rPr>
          <w:rFonts w:cs="Arial"/>
          <w:lang w:bidi="ar-SA"/>
        </w:rPr>
        <w:t>µg/</w:t>
      </w:r>
      <w:r w:rsidR="00154FC9">
        <w:rPr>
          <w:rFonts w:cs="Arial"/>
          <w:lang w:bidi="ar-SA"/>
        </w:rPr>
        <w:t>g</w:t>
      </w:r>
      <w:r w:rsidR="009A0EE6">
        <w:rPr>
          <w:lang w:bidi="ar-SA"/>
        </w:rPr>
        <w:t>.</w:t>
      </w:r>
    </w:p>
    <w:p w14:paraId="5AB06556" w14:textId="7C956195" w:rsidR="00C5453D" w:rsidRDefault="00C5453D" w:rsidP="00A111E9">
      <w:pPr>
        <w:rPr>
          <w:lang w:bidi="ar-SA"/>
        </w:rPr>
      </w:pPr>
    </w:p>
    <w:p w14:paraId="13D1BB81" w14:textId="5CFDC7B7" w:rsidR="006E5C5A" w:rsidRDefault="00C5453D" w:rsidP="00A111E9">
      <w:pPr>
        <w:rPr>
          <w:lang w:bidi="ar-SA"/>
        </w:rPr>
      </w:pPr>
      <w:r>
        <w:rPr>
          <w:lang w:bidi="ar-SA"/>
        </w:rPr>
        <w:t>Serum PFOS concentrations from the study are presented in</w:t>
      </w:r>
      <w:r w:rsidR="006E5C5A">
        <w:rPr>
          <w:lang w:bidi="ar-SA"/>
        </w:rPr>
        <w:t xml:space="preserve"> </w:t>
      </w:r>
      <w:r w:rsidR="006E5C5A">
        <w:rPr>
          <w:lang w:bidi="ar-SA"/>
        </w:rPr>
        <w:fldChar w:fldCharType="begin"/>
      </w:r>
      <w:r w:rsidR="006E5C5A">
        <w:rPr>
          <w:lang w:bidi="ar-SA"/>
        </w:rPr>
        <w:instrText xml:space="preserve"> REF _Ref467846586 \h </w:instrText>
      </w:r>
      <w:r w:rsidR="006E5C5A">
        <w:rPr>
          <w:lang w:bidi="ar-SA"/>
        </w:rPr>
      </w:r>
      <w:r w:rsidR="006E5C5A">
        <w:rPr>
          <w:lang w:bidi="ar-SA"/>
        </w:rPr>
        <w:fldChar w:fldCharType="separate"/>
      </w:r>
      <w:r w:rsidR="00F4394A">
        <w:t xml:space="preserve">Table </w:t>
      </w:r>
      <w:r w:rsidR="00F4394A">
        <w:rPr>
          <w:noProof/>
        </w:rPr>
        <w:t>5</w:t>
      </w:r>
      <w:r w:rsidR="006E5C5A">
        <w:rPr>
          <w:lang w:bidi="ar-SA"/>
        </w:rPr>
        <w:fldChar w:fldCharType="end"/>
      </w:r>
      <w:r>
        <w:rPr>
          <w:lang w:bidi="ar-SA"/>
        </w:rPr>
        <w:t>.</w:t>
      </w:r>
    </w:p>
    <w:p w14:paraId="5CDEAD4F" w14:textId="77777777" w:rsidR="00455F54" w:rsidRPr="0046150B" w:rsidRDefault="00455F54" w:rsidP="00A111E9">
      <w:pPr>
        <w:rPr>
          <w:lang w:bidi="ar-SA"/>
        </w:rPr>
      </w:pPr>
    </w:p>
    <w:p w14:paraId="35297E47" w14:textId="1C94421D" w:rsidR="00FE3E6A" w:rsidRPr="00FE3E6A" w:rsidRDefault="006E5C5A" w:rsidP="00A111E9">
      <w:pPr>
        <w:pStyle w:val="FSTableTitle"/>
        <w:ind w:left="142"/>
      </w:pPr>
      <w:bookmarkStart w:id="136" w:name="_Ref467846586"/>
      <w:r>
        <w:t xml:space="preserve">Table </w:t>
      </w:r>
      <w:r w:rsidR="00BC19E6">
        <w:fldChar w:fldCharType="begin"/>
      </w:r>
      <w:r w:rsidR="00BC19E6">
        <w:instrText xml:space="preserve"> SEQ Table \* ARABIC </w:instrText>
      </w:r>
      <w:r w:rsidR="00BC19E6">
        <w:fldChar w:fldCharType="separate"/>
      </w:r>
      <w:r w:rsidR="00F4394A">
        <w:rPr>
          <w:noProof/>
        </w:rPr>
        <w:t>5</w:t>
      </w:r>
      <w:r w:rsidR="00BC19E6">
        <w:rPr>
          <w:noProof/>
        </w:rPr>
        <w:fldChar w:fldCharType="end"/>
      </w:r>
      <w:bookmarkEnd w:id="136"/>
      <w:r w:rsidR="00BE256E">
        <w:rPr>
          <w:b w:val="0"/>
        </w:rPr>
        <w:t>:</w:t>
      </w:r>
      <w:r>
        <w:t xml:space="preserve"> </w:t>
      </w:r>
      <w:r w:rsidR="00A24D2A" w:rsidRPr="00783418">
        <w:t xml:space="preserve">Serum </w:t>
      </w:r>
      <w:r w:rsidR="00D2034C">
        <w:t>l</w:t>
      </w:r>
      <w:r w:rsidR="00D2034C" w:rsidRPr="00783418">
        <w:t xml:space="preserve">evels </w:t>
      </w:r>
      <w:r w:rsidR="00A24D2A" w:rsidRPr="00783418">
        <w:t xml:space="preserve">of PFOS (µg/mL) in </w:t>
      </w:r>
      <w:r w:rsidR="00D2034C">
        <w:t>cynomolgus</w:t>
      </w:r>
      <w:r w:rsidR="00D2034C" w:rsidRPr="00783418">
        <w:t xml:space="preserve"> </w:t>
      </w:r>
      <w:r w:rsidR="00D2034C">
        <w:t>m</w:t>
      </w:r>
      <w:r w:rsidR="00A24D2A" w:rsidRPr="00783418">
        <w:t xml:space="preserve">onkeys after </w:t>
      </w:r>
      <w:r w:rsidR="00D2034C">
        <w:t>o</w:t>
      </w:r>
      <w:r w:rsidR="00D2034C" w:rsidRPr="00783418">
        <w:t xml:space="preserve">ral </w:t>
      </w:r>
      <w:r w:rsidR="00D2034C">
        <w:t>g</w:t>
      </w:r>
      <w:r w:rsidR="00D2034C" w:rsidRPr="00783418">
        <w:t xml:space="preserve">avage </w:t>
      </w:r>
      <w:r w:rsidR="00D2034C">
        <w:t>a</w:t>
      </w:r>
      <w:r w:rsidR="00D2034C" w:rsidRPr="00783418">
        <w:t xml:space="preserve">dministration </w:t>
      </w:r>
      <w:r w:rsidR="00A24D2A" w:rsidRPr="00783418">
        <w:t>for 183 days</w:t>
      </w:r>
      <w:r w:rsidR="00A24D2A">
        <w:t xml:space="preserve"> </w:t>
      </w:r>
      <w:r>
        <w:t xml:space="preserve">measured by Seacat </w:t>
      </w:r>
      <w:r w:rsidR="00180A32" w:rsidRPr="00180A32">
        <w:rPr>
          <w:i/>
        </w:rPr>
        <w:t xml:space="preserve">et al. </w:t>
      </w:r>
      <w:r w:rsidR="00F22DA6">
        <w:t xml:space="preserve"> </w:t>
      </w:r>
      <w:r>
        <w:t>(2002)</w:t>
      </w:r>
    </w:p>
    <w:tbl>
      <w:tblPr>
        <w:tblStyle w:val="TableGrid2"/>
        <w:tblW w:w="0" w:type="auto"/>
        <w:tblInd w:w="250" w:type="dxa"/>
        <w:tblLook w:val="04A0" w:firstRow="1" w:lastRow="0" w:firstColumn="1" w:lastColumn="0" w:noHBand="0" w:noVBand="1"/>
        <w:tblCaption w:val="Table 5: Serum levels of PFOS (µg/mL) in cynomolgus monkeys after oral gavage administration for 183 days measured by Seacat et al.  (2002)"/>
        <w:tblDescription w:val="This table contains data relating to serum levels of Perfluorooctane sulfonate in cynomolgus monkeys after oral gavage administration for 183 days measured by Seacat et al."/>
      </w:tblPr>
      <w:tblGrid>
        <w:gridCol w:w="1143"/>
        <w:gridCol w:w="1521"/>
        <w:gridCol w:w="1522"/>
        <w:gridCol w:w="1521"/>
        <w:gridCol w:w="1522"/>
      </w:tblGrid>
      <w:tr w:rsidR="00455F54" w:rsidRPr="006F1600" w14:paraId="4B859BA5" w14:textId="77777777" w:rsidTr="00A24D2A">
        <w:trPr>
          <w:trHeight w:val="100"/>
          <w:tblHeader/>
        </w:trPr>
        <w:tc>
          <w:tcPr>
            <w:tcW w:w="1143" w:type="dxa"/>
            <w:shd w:val="clear" w:color="auto" w:fill="auto"/>
          </w:tcPr>
          <w:p w14:paraId="244EAE72" w14:textId="77777777" w:rsidR="00455F54" w:rsidRPr="006F1600" w:rsidRDefault="00455F54" w:rsidP="00A111E9">
            <w:pPr>
              <w:pStyle w:val="FSTableText"/>
              <w:rPr>
                <w:lang w:bidi="ar-SA"/>
              </w:rPr>
            </w:pPr>
          </w:p>
        </w:tc>
        <w:tc>
          <w:tcPr>
            <w:tcW w:w="6086" w:type="dxa"/>
            <w:gridSpan w:val="4"/>
            <w:shd w:val="clear" w:color="auto" w:fill="auto"/>
          </w:tcPr>
          <w:p w14:paraId="798702DC" w14:textId="035F0B03" w:rsidR="00455F54" w:rsidRPr="006F1600" w:rsidRDefault="00656AB4" w:rsidP="00326B55">
            <w:pPr>
              <w:pStyle w:val="FSTableText"/>
              <w:spacing w:before="40" w:after="40"/>
              <w:jc w:val="center"/>
              <w:rPr>
                <w:b/>
              </w:rPr>
            </w:pPr>
            <w:r w:rsidRPr="006F1600">
              <w:rPr>
                <w:b/>
              </w:rPr>
              <w:t xml:space="preserve">Oral </w:t>
            </w:r>
            <w:r w:rsidR="00455F54" w:rsidRPr="006F1600">
              <w:rPr>
                <w:b/>
              </w:rPr>
              <w:t>K+ PFOS concentration (mg/kg</w:t>
            </w:r>
            <w:r w:rsidR="00B06C4E" w:rsidRPr="006F1600">
              <w:rPr>
                <w:b/>
              </w:rPr>
              <w:t xml:space="preserve"> bw</w:t>
            </w:r>
            <w:r w:rsidR="00455F54" w:rsidRPr="006F1600">
              <w:rPr>
                <w:b/>
              </w:rPr>
              <w:t>/day)</w:t>
            </w:r>
          </w:p>
        </w:tc>
      </w:tr>
      <w:tr w:rsidR="00455F54" w:rsidRPr="006F1600" w14:paraId="435081F1" w14:textId="77777777" w:rsidTr="00A24D2A">
        <w:trPr>
          <w:trHeight w:val="100"/>
          <w:tblHeader/>
        </w:trPr>
        <w:tc>
          <w:tcPr>
            <w:tcW w:w="1143" w:type="dxa"/>
            <w:shd w:val="clear" w:color="auto" w:fill="auto"/>
          </w:tcPr>
          <w:p w14:paraId="5FB0EE2B" w14:textId="7EB90555" w:rsidR="00455F54" w:rsidRPr="006F1600" w:rsidRDefault="00D2034C" w:rsidP="00A111E9">
            <w:pPr>
              <w:pStyle w:val="FSTableText"/>
              <w:spacing w:before="40" w:after="40"/>
              <w:rPr>
                <w:rFonts w:ascii="Arial" w:hAnsi="Arial"/>
                <w:b/>
                <w:sz w:val="18"/>
              </w:rPr>
            </w:pPr>
            <w:r w:rsidRPr="006F1600">
              <w:rPr>
                <w:b/>
                <w:sz w:val="18"/>
              </w:rPr>
              <w:t>Dose</w:t>
            </w:r>
          </w:p>
        </w:tc>
        <w:tc>
          <w:tcPr>
            <w:tcW w:w="1521" w:type="dxa"/>
            <w:shd w:val="clear" w:color="auto" w:fill="auto"/>
          </w:tcPr>
          <w:p w14:paraId="21ADD0AC" w14:textId="77777777" w:rsidR="00455F54" w:rsidRPr="006F1600" w:rsidRDefault="00455F54" w:rsidP="00326B55">
            <w:pPr>
              <w:pStyle w:val="FSTableText"/>
              <w:spacing w:before="40" w:after="40"/>
              <w:jc w:val="right"/>
              <w:rPr>
                <w:rFonts w:ascii="Arial" w:hAnsi="Arial"/>
                <w:b/>
                <w:sz w:val="18"/>
              </w:rPr>
            </w:pPr>
            <w:r w:rsidRPr="006F1600">
              <w:rPr>
                <w:b/>
                <w:sz w:val="18"/>
              </w:rPr>
              <w:t>0</w:t>
            </w:r>
          </w:p>
        </w:tc>
        <w:tc>
          <w:tcPr>
            <w:tcW w:w="1522" w:type="dxa"/>
            <w:shd w:val="clear" w:color="auto" w:fill="auto"/>
          </w:tcPr>
          <w:p w14:paraId="242B234A" w14:textId="77777777" w:rsidR="00455F54" w:rsidRPr="006F1600" w:rsidRDefault="00455F54" w:rsidP="00326B55">
            <w:pPr>
              <w:pStyle w:val="FSTableText"/>
              <w:spacing w:before="40" w:after="40"/>
              <w:jc w:val="right"/>
              <w:rPr>
                <w:rFonts w:ascii="Arial" w:hAnsi="Arial"/>
                <w:b/>
                <w:sz w:val="18"/>
              </w:rPr>
            </w:pPr>
            <w:r w:rsidRPr="006F1600">
              <w:rPr>
                <w:b/>
                <w:sz w:val="18"/>
              </w:rPr>
              <w:t>0.03</w:t>
            </w:r>
          </w:p>
        </w:tc>
        <w:tc>
          <w:tcPr>
            <w:tcW w:w="1521" w:type="dxa"/>
            <w:shd w:val="clear" w:color="auto" w:fill="auto"/>
          </w:tcPr>
          <w:p w14:paraId="25F58854" w14:textId="77777777" w:rsidR="00455F54" w:rsidRPr="006F1600" w:rsidRDefault="00455F54" w:rsidP="00326B55">
            <w:pPr>
              <w:pStyle w:val="FSTableText"/>
              <w:spacing w:before="40" w:after="40"/>
              <w:jc w:val="right"/>
              <w:rPr>
                <w:rFonts w:ascii="Arial" w:hAnsi="Arial"/>
                <w:b/>
                <w:sz w:val="18"/>
              </w:rPr>
            </w:pPr>
            <w:r w:rsidRPr="006F1600">
              <w:rPr>
                <w:b/>
                <w:sz w:val="18"/>
              </w:rPr>
              <w:t>0.15</w:t>
            </w:r>
          </w:p>
        </w:tc>
        <w:tc>
          <w:tcPr>
            <w:tcW w:w="1522" w:type="dxa"/>
            <w:shd w:val="clear" w:color="auto" w:fill="auto"/>
          </w:tcPr>
          <w:p w14:paraId="577BCC11" w14:textId="77777777" w:rsidR="00455F54" w:rsidRPr="006F1600" w:rsidRDefault="00455F54" w:rsidP="00326B55">
            <w:pPr>
              <w:pStyle w:val="FSTableText"/>
              <w:spacing w:before="40" w:after="40"/>
              <w:jc w:val="right"/>
              <w:rPr>
                <w:rFonts w:ascii="Arial" w:hAnsi="Arial"/>
                <w:b/>
                <w:sz w:val="18"/>
              </w:rPr>
            </w:pPr>
            <w:r w:rsidRPr="006F1600">
              <w:rPr>
                <w:b/>
                <w:sz w:val="18"/>
              </w:rPr>
              <w:t>0.75</w:t>
            </w:r>
          </w:p>
        </w:tc>
      </w:tr>
      <w:tr w:rsidR="00455F54" w:rsidRPr="006F1600" w14:paraId="27C336EB" w14:textId="77777777" w:rsidTr="00F6284E">
        <w:trPr>
          <w:trHeight w:val="283"/>
        </w:trPr>
        <w:tc>
          <w:tcPr>
            <w:tcW w:w="1143" w:type="dxa"/>
            <w:vAlign w:val="center"/>
          </w:tcPr>
          <w:p w14:paraId="0295C542" w14:textId="77777777" w:rsidR="00455F54" w:rsidRPr="006F1600" w:rsidRDefault="00455F54" w:rsidP="00A111E9">
            <w:pPr>
              <w:pStyle w:val="FSTableText"/>
              <w:rPr>
                <w:rFonts w:ascii="Arial" w:hAnsi="Arial"/>
                <w:sz w:val="18"/>
              </w:rPr>
            </w:pPr>
            <w:r w:rsidRPr="006F1600">
              <w:rPr>
                <w:sz w:val="18"/>
              </w:rPr>
              <w:t>Male</w:t>
            </w:r>
          </w:p>
        </w:tc>
        <w:tc>
          <w:tcPr>
            <w:tcW w:w="1521" w:type="dxa"/>
            <w:vAlign w:val="center"/>
          </w:tcPr>
          <w:p w14:paraId="46BD2C20" w14:textId="77777777" w:rsidR="00455F54" w:rsidRPr="006F1600" w:rsidRDefault="00455F54" w:rsidP="00326B55">
            <w:pPr>
              <w:pStyle w:val="FSTableText"/>
              <w:jc w:val="right"/>
              <w:rPr>
                <w:rFonts w:ascii="Arial" w:hAnsi="Arial"/>
                <w:sz w:val="18"/>
              </w:rPr>
            </w:pPr>
            <w:r w:rsidRPr="006F1600">
              <w:rPr>
                <w:sz w:val="18"/>
              </w:rPr>
              <w:t>0.05 ± 0.01 (6)</w:t>
            </w:r>
          </w:p>
        </w:tc>
        <w:tc>
          <w:tcPr>
            <w:tcW w:w="1522" w:type="dxa"/>
            <w:vAlign w:val="center"/>
          </w:tcPr>
          <w:p w14:paraId="6252957A" w14:textId="77777777" w:rsidR="00455F54" w:rsidRPr="006F1600" w:rsidRDefault="00455F54" w:rsidP="00326B55">
            <w:pPr>
              <w:pStyle w:val="FSTableText"/>
              <w:jc w:val="right"/>
              <w:rPr>
                <w:rFonts w:ascii="Arial" w:hAnsi="Arial"/>
                <w:sz w:val="18"/>
              </w:rPr>
            </w:pPr>
            <w:r w:rsidRPr="006F1600">
              <w:rPr>
                <w:sz w:val="18"/>
              </w:rPr>
              <w:t>15.8 ± 1.4 (4)</w:t>
            </w:r>
          </w:p>
        </w:tc>
        <w:tc>
          <w:tcPr>
            <w:tcW w:w="1521" w:type="dxa"/>
            <w:vAlign w:val="center"/>
          </w:tcPr>
          <w:p w14:paraId="153D4F9A" w14:textId="77777777" w:rsidR="00455F54" w:rsidRPr="006F1600" w:rsidRDefault="00455F54" w:rsidP="00326B55">
            <w:pPr>
              <w:pStyle w:val="FSTableText"/>
              <w:jc w:val="right"/>
              <w:rPr>
                <w:rFonts w:ascii="Arial" w:hAnsi="Arial"/>
                <w:sz w:val="18"/>
              </w:rPr>
            </w:pPr>
            <w:r w:rsidRPr="006F1600">
              <w:rPr>
                <w:sz w:val="18"/>
              </w:rPr>
              <w:t>82.6 ± 25.2 (6)</w:t>
            </w:r>
          </w:p>
        </w:tc>
        <w:tc>
          <w:tcPr>
            <w:tcW w:w="1522" w:type="dxa"/>
            <w:vAlign w:val="center"/>
          </w:tcPr>
          <w:p w14:paraId="6C237819" w14:textId="65A1D1D2" w:rsidR="00455F54" w:rsidRPr="006F1600" w:rsidRDefault="00455F54" w:rsidP="00326B55">
            <w:pPr>
              <w:pStyle w:val="FSTableText"/>
              <w:jc w:val="right"/>
              <w:rPr>
                <w:rFonts w:ascii="Arial" w:hAnsi="Arial"/>
                <w:sz w:val="18"/>
              </w:rPr>
            </w:pPr>
            <w:r w:rsidRPr="006F1600">
              <w:rPr>
                <w:sz w:val="18"/>
              </w:rPr>
              <w:t>173 ± 37 (4)</w:t>
            </w:r>
          </w:p>
        </w:tc>
      </w:tr>
      <w:tr w:rsidR="00455F54" w:rsidRPr="006F1600" w14:paraId="5F20DE8E" w14:textId="77777777" w:rsidTr="00F6284E">
        <w:trPr>
          <w:trHeight w:val="283"/>
        </w:trPr>
        <w:tc>
          <w:tcPr>
            <w:tcW w:w="1143" w:type="dxa"/>
            <w:vAlign w:val="center"/>
          </w:tcPr>
          <w:p w14:paraId="071E9524" w14:textId="77777777" w:rsidR="00455F54" w:rsidRPr="006F1600" w:rsidRDefault="00455F54" w:rsidP="00A111E9">
            <w:pPr>
              <w:pStyle w:val="FSTableText"/>
              <w:rPr>
                <w:rFonts w:ascii="Arial" w:hAnsi="Arial"/>
                <w:sz w:val="18"/>
              </w:rPr>
            </w:pPr>
            <w:r w:rsidRPr="006F1600">
              <w:rPr>
                <w:sz w:val="18"/>
              </w:rPr>
              <w:t>Female</w:t>
            </w:r>
          </w:p>
        </w:tc>
        <w:tc>
          <w:tcPr>
            <w:tcW w:w="1521" w:type="dxa"/>
            <w:vAlign w:val="center"/>
          </w:tcPr>
          <w:p w14:paraId="3B4C294C" w14:textId="77777777" w:rsidR="00455F54" w:rsidRPr="006F1600" w:rsidRDefault="00455F54" w:rsidP="00326B55">
            <w:pPr>
              <w:pStyle w:val="FSTableText"/>
              <w:jc w:val="right"/>
              <w:rPr>
                <w:rFonts w:ascii="Arial" w:hAnsi="Arial"/>
                <w:sz w:val="18"/>
              </w:rPr>
            </w:pPr>
            <w:r w:rsidRPr="006F1600">
              <w:rPr>
                <w:sz w:val="18"/>
              </w:rPr>
              <w:t>0.05 ± 0.02 (6)</w:t>
            </w:r>
          </w:p>
        </w:tc>
        <w:tc>
          <w:tcPr>
            <w:tcW w:w="1522" w:type="dxa"/>
            <w:vAlign w:val="center"/>
          </w:tcPr>
          <w:p w14:paraId="73D90A52" w14:textId="77777777" w:rsidR="00455F54" w:rsidRPr="006F1600" w:rsidRDefault="00455F54" w:rsidP="00326B55">
            <w:pPr>
              <w:pStyle w:val="FSTableText"/>
              <w:jc w:val="right"/>
              <w:rPr>
                <w:rFonts w:ascii="Arial" w:hAnsi="Arial"/>
                <w:sz w:val="18"/>
              </w:rPr>
            </w:pPr>
            <w:r w:rsidRPr="006F1600">
              <w:rPr>
                <w:sz w:val="18"/>
              </w:rPr>
              <w:t>13.2 ± 1.4 (4)</w:t>
            </w:r>
          </w:p>
        </w:tc>
        <w:tc>
          <w:tcPr>
            <w:tcW w:w="1521" w:type="dxa"/>
            <w:vAlign w:val="center"/>
          </w:tcPr>
          <w:p w14:paraId="686DD117" w14:textId="77777777" w:rsidR="00455F54" w:rsidRPr="006F1600" w:rsidRDefault="00455F54" w:rsidP="00326B55">
            <w:pPr>
              <w:pStyle w:val="FSTableText"/>
              <w:jc w:val="right"/>
              <w:rPr>
                <w:rFonts w:ascii="Arial" w:hAnsi="Arial"/>
                <w:sz w:val="18"/>
              </w:rPr>
            </w:pPr>
            <w:r w:rsidRPr="006F1600">
              <w:rPr>
                <w:sz w:val="18"/>
              </w:rPr>
              <w:t>66.8 ± 10.8 (6)</w:t>
            </w:r>
          </w:p>
        </w:tc>
        <w:tc>
          <w:tcPr>
            <w:tcW w:w="1522" w:type="dxa"/>
            <w:vAlign w:val="center"/>
          </w:tcPr>
          <w:p w14:paraId="57FB4F5F" w14:textId="77777777" w:rsidR="00455F54" w:rsidRPr="006F1600" w:rsidRDefault="00455F54" w:rsidP="00326B55">
            <w:pPr>
              <w:pStyle w:val="FSTableText"/>
              <w:jc w:val="right"/>
              <w:rPr>
                <w:rFonts w:ascii="Arial" w:hAnsi="Arial"/>
                <w:sz w:val="18"/>
              </w:rPr>
            </w:pPr>
            <w:r w:rsidRPr="006F1600">
              <w:rPr>
                <w:sz w:val="18"/>
              </w:rPr>
              <w:t>171 ± 22 (6)</w:t>
            </w:r>
          </w:p>
        </w:tc>
      </w:tr>
    </w:tbl>
    <w:p w14:paraId="0B06CEC6" w14:textId="421E98CC" w:rsidR="00455F54" w:rsidRPr="006F1600" w:rsidRDefault="00455F54" w:rsidP="00A111E9">
      <w:pPr>
        <w:widowControl/>
        <w:spacing w:before="120"/>
        <w:ind w:left="142"/>
        <w:rPr>
          <w:sz w:val="16"/>
          <w:szCs w:val="16"/>
        </w:rPr>
      </w:pPr>
      <w:r w:rsidRPr="006F1600">
        <w:rPr>
          <w:sz w:val="16"/>
          <w:szCs w:val="16"/>
        </w:rPr>
        <w:t xml:space="preserve">Data </w:t>
      </w:r>
      <w:r w:rsidR="00C5453D" w:rsidRPr="006F1600">
        <w:rPr>
          <w:sz w:val="16"/>
          <w:szCs w:val="16"/>
        </w:rPr>
        <w:t>compiled</w:t>
      </w:r>
      <w:r w:rsidRPr="006F1600">
        <w:rPr>
          <w:sz w:val="16"/>
          <w:szCs w:val="16"/>
        </w:rPr>
        <w:t xml:space="preserve"> from Seacat 2002</w:t>
      </w:r>
    </w:p>
    <w:p w14:paraId="1F372599" w14:textId="6362B814" w:rsidR="00455F54" w:rsidRPr="006F1600" w:rsidRDefault="00455F54" w:rsidP="00A111E9">
      <w:pPr>
        <w:ind w:left="142"/>
        <w:rPr>
          <w:sz w:val="16"/>
          <w:szCs w:val="16"/>
        </w:rPr>
      </w:pPr>
      <w:r w:rsidRPr="006F1600">
        <w:rPr>
          <w:sz w:val="16"/>
          <w:szCs w:val="16"/>
        </w:rPr>
        <w:t>Data presented as mean ±</w:t>
      </w:r>
      <w:r w:rsidR="00D2034C" w:rsidRPr="006F1600">
        <w:rPr>
          <w:sz w:val="16"/>
          <w:szCs w:val="16"/>
        </w:rPr>
        <w:t xml:space="preserve"> </w:t>
      </w:r>
      <w:r w:rsidRPr="006F1600">
        <w:rPr>
          <w:sz w:val="16"/>
          <w:szCs w:val="16"/>
        </w:rPr>
        <w:t>standard deviation (sample size)</w:t>
      </w:r>
    </w:p>
    <w:p w14:paraId="66EDB1A9" w14:textId="17DF497E" w:rsidR="002550C0" w:rsidRPr="000217D1" w:rsidRDefault="008B522A" w:rsidP="008A21E0">
      <w:pPr>
        <w:pStyle w:val="Heading5"/>
      </w:pPr>
      <w:r>
        <w:t xml:space="preserve">Chronic </w:t>
      </w:r>
      <w:r w:rsidR="004B45FC">
        <w:t xml:space="preserve">studies of </w:t>
      </w:r>
      <w:r w:rsidR="002550C0" w:rsidRPr="000217D1">
        <w:t>toxicity and carcinogenicity</w:t>
      </w:r>
    </w:p>
    <w:p w14:paraId="02B898BD" w14:textId="4F260C65" w:rsidR="00A40690" w:rsidRDefault="00A40690" w:rsidP="00A111E9">
      <w:pPr>
        <w:rPr>
          <w:szCs w:val="22"/>
          <w:lang w:bidi="ar-SA"/>
        </w:rPr>
      </w:pPr>
      <w:r>
        <w:rPr>
          <w:szCs w:val="22"/>
          <w:lang w:bidi="ar-SA"/>
        </w:rPr>
        <w:t xml:space="preserve">One chronic </w:t>
      </w:r>
      <w:r w:rsidR="005F3827">
        <w:rPr>
          <w:szCs w:val="22"/>
          <w:lang w:bidi="ar-SA"/>
        </w:rPr>
        <w:t xml:space="preserve">toxicity/carcinogenicity </w:t>
      </w:r>
      <w:r>
        <w:rPr>
          <w:szCs w:val="22"/>
          <w:lang w:bidi="ar-SA"/>
        </w:rPr>
        <w:t>study is available for PFOS, conducted in rats.</w:t>
      </w:r>
    </w:p>
    <w:p w14:paraId="6EF1B6C7" w14:textId="7951C73F" w:rsidR="002F0E7E" w:rsidRDefault="005F3827" w:rsidP="004264B6">
      <w:pPr>
        <w:pStyle w:val="Heading6"/>
        <w:rPr>
          <w:sz w:val="20"/>
          <w:szCs w:val="20"/>
        </w:rPr>
      </w:pPr>
      <w:r w:rsidRPr="008A21E0">
        <w:t>Thomford 2002/</w:t>
      </w:r>
      <w:r w:rsidR="004E357B" w:rsidRPr="008A21E0">
        <w:t>Butenhoff</w:t>
      </w:r>
      <w:r w:rsidR="002F0E7E" w:rsidRPr="008A21E0">
        <w:t xml:space="preserve"> </w:t>
      </w:r>
      <w:r w:rsidR="00180A32" w:rsidRPr="004264B6">
        <w:rPr>
          <w:i/>
        </w:rPr>
        <w:t>et al</w:t>
      </w:r>
      <w:r w:rsidR="00180A32" w:rsidRPr="008A21E0">
        <w:t xml:space="preserve">. </w:t>
      </w:r>
      <w:r w:rsidR="00F22DA6" w:rsidRPr="008A21E0">
        <w:t xml:space="preserve"> </w:t>
      </w:r>
      <w:r w:rsidR="004E357B" w:rsidRPr="008A21E0">
        <w:t>2012</w:t>
      </w:r>
      <w:r w:rsidR="002F0E7E" w:rsidRPr="008A21E0">
        <w:rPr>
          <w:sz w:val="20"/>
          <w:szCs w:val="20"/>
        </w:rPr>
        <w:t xml:space="preserve"> </w:t>
      </w:r>
    </w:p>
    <w:p w14:paraId="3CEFA849" w14:textId="77777777" w:rsidR="004264B6" w:rsidRDefault="004264B6" w:rsidP="00A111E9">
      <w:pPr>
        <w:rPr>
          <w:lang w:bidi="ar-SA"/>
        </w:rPr>
      </w:pPr>
    </w:p>
    <w:p w14:paraId="2DB54D3F" w14:textId="585A0B5D" w:rsidR="002F0E7E" w:rsidRDefault="007B197F" w:rsidP="00A111E9">
      <w:pPr>
        <w:rPr>
          <w:lang w:bidi="ar-SA"/>
        </w:rPr>
      </w:pPr>
      <w:r>
        <w:rPr>
          <w:lang w:bidi="ar-SA"/>
        </w:rPr>
        <w:t>The full report of this study (Thomford 2002) was reviewed by the UK COT and EFSA in their reviews of PFOS</w:t>
      </w:r>
      <w:r w:rsidR="002F0E7E">
        <w:rPr>
          <w:lang w:bidi="ar-SA"/>
        </w:rPr>
        <w:t xml:space="preserve">. </w:t>
      </w:r>
      <w:r>
        <w:rPr>
          <w:lang w:bidi="ar-SA"/>
        </w:rPr>
        <w:t xml:space="preserve">Following these reviews a further paper was prepared to make the key findings more accessible (Butenhoff </w:t>
      </w:r>
      <w:r w:rsidR="00180A32" w:rsidRPr="00180A32">
        <w:rPr>
          <w:i/>
          <w:lang w:bidi="ar-SA"/>
        </w:rPr>
        <w:t xml:space="preserve">et al. </w:t>
      </w:r>
      <w:r w:rsidR="00713213">
        <w:rPr>
          <w:lang w:bidi="ar-SA"/>
        </w:rPr>
        <w:t xml:space="preserve"> </w:t>
      </w:r>
      <w:r>
        <w:rPr>
          <w:lang w:bidi="ar-SA"/>
        </w:rPr>
        <w:t>2012). Both references are cited in the 2016 US EPA review.</w:t>
      </w:r>
    </w:p>
    <w:p w14:paraId="3EFFF8D4" w14:textId="77777777" w:rsidR="007B197F" w:rsidRDefault="007B197F" w:rsidP="00A111E9">
      <w:pPr>
        <w:rPr>
          <w:lang w:bidi="ar-SA"/>
        </w:rPr>
      </w:pPr>
    </w:p>
    <w:p w14:paraId="173F89AF" w14:textId="0BCF9BCE" w:rsidR="00D30053" w:rsidRDefault="007B197F" w:rsidP="00A111E9">
      <w:pPr>
        <w:rPr>
          <w:lang w:bidi="ar-SA"/>
        </w:rPr>
      </w:pPr>
      <w:r>
        <w:rPr>
          <w:lang w:bidi="ar-SA"/>
        </w:rPr>
        <w:t xml:space="preserve">Sprague Dawley (Crl:CD (SD)IGS BR) rats </w:t>
      </w:r>
      <w:r w:rsidR="00D30053">
        <w:rPr>
          <w:lang w:bidi="ar-SA"/>
        </w:rPr>
        <w:t>(60</w:t>
      </w:r>
      <w:r w:rsidR="00C74397">
        <w:rPr>
          <w:lang w:bidi="ar-SA"/>
        </w:rPr>
        <w:t xml:space="preserve"> – 70 per</w:t>
      </w:r>
      <w:r w:rsidR="00974176">
        <w:rPr>
          <w:lang w:bidi="ar-SA"/>
        </w:rPr>
        <w:t xml:space="preserve"> sex per</w:t>
      </w:r>
      <w:r w:rsidR="00C74397">
        <w:rPr>
          <w:lang w:bidi="ar-SA"/>
        </w:rPr>
        <w:t xml:space="preserve"> dose group) </w:t>
      </w:r>
      <w:r>
        <w:rPr>
          <w:lang w:bidi="ar-SA"/>
        </w:rPr>
        <w:t xml:space="preserve">were </w:t>
      </w:r>
      <w:r w:rsidR="00355EAB">
        <w:rPr>
          <w:lang w:bidi="ar-SA"/>
        </w:rPr>
        <w:t>administered</w:t>
      </w:r>
      <w:r>
        <w:rPr>
          <w:lang w:bidi="ar-SA"/>
        </w:rPr>
        <w:t xml:space="preserve"> PFOS</w:t>
      </w:r>
      <w:r w:rsidR="00271D19">
        <w:rPr>
          <w:lang w:bidi="ar-SA"/>
        </w:rPr>
        <w:t xml:space="preserve"> potassium salt</w:t>
      </w:r>
      <w:r>
        <w:rPr>
          <w:lang w:bidi="ar-SA"/>
        </w:rPr>
        <w:t xml:space="preserve"> at dietary concentrations of 0, 0.5, 2, 5 and 20 </w:t>
      </w:r>
      <w:r w:rsidR="00D30053">
        <w:rPr>
          <w:lang w:bidi="ar-SA"/>
        </w:rPr>
        <w:t>ppm</w:t>
      </w:r>
      <w:r>
        <w:rPr>
          <w:lang w:bidi="ar-SA"/>
        </w:rPr>
        <w:t xml:space="preserve"> in the </w:t>
      </w:r>
      <w:r w:rsidR="00355EAB">
        <w:rPr>
          <w:lang w:bidi="ar-SA"/>
        </w:rPr>
        <w:t>feed</w:t>
      </w:r>
      <w:r>
        <w:rPr>
          <w:lang w:bidi="ar-SA"/>
        </w:rPr>
        <w:t xml:space="preserve"> for up to 104 weeks.</w:t>
      </w:r>
      <w:r w:rsidR="00F60B67">
        <w:rPr>
          <w:lang w:bidi="ar-SA"/>
        </w:rPr>
        <w:t xml:space="preserve"> An additional recovery group (40/sex/group) was fed 20 ppm for the first 52 weeks after which the animals were fed control diet until study termination. </w:t>
      </w:r>
      <w:r w:rsidR="00D30053">
        <w:rPr>
          <w:lang w:bidi="ar-SA"/>
        </w:rPr>
        <w:t xml:space="preserve">Five rats/sex/group were sacrificed at weeks 4 and 14, and 10 rats/sex/group in the control and high dose groups were </w:t>
      </w:r>
      <w:r w:rsidR="00A25740">
        <w:rPr>
          <w:lang w:bidi="ar-SA"/>
        </w:rPr>
        <w:t>kill</w:t>
      </w:r>
      <w:r w:rsidR="00D30053">
        <w:rPr>
          <w:lang w:bidi="ar-SA"/>
        </w:rPr>
        <w:t xml:space="preserve">ed after 52 weeks of dietary exposure. </w:t>
      </w:r>
      <w:r w:rsidR="00A25740">
        <w:rPr>
          <w:lang w:bidi="ar-SA"/>
        </w:rPr>
        <w:t>Remaining animals</w:t>
      </w:r>
      <w:r w:rsidR="00D30053">
        <w:rPr>
          <w:lang w:bidi="ar-SA"/>
        </w:rPr>
        <w:t xml:space="preserve"> w</w:t>
      </w:r>
      <w:r w:rsidR="00A25740">
        <w:rPr>
          <w:lang w:bidi="ar-SA"/>
        </w:rPr>
        <w:t>ere</w:t>
      </w:r>
      <w:r w:rsidR="00D30053">
        <w:rPr>
          <w:lang w:bidi="ar-SA"/>
        </w:rPr>
        <w:t xml:space="preserve"> scheduled to</w:t>
      </w:r>
      <w:r w:rsidR="00A25740">
        <w:rPr>
          <w:lang w:bidi="ar-SA"/>
        </w:rPr>
        <w:t xml:space="preserve"> be terminated</w:t>
      </w:r>
      <w:r w:rsidR="001D5849">
        <w:rPr>
          <w:lang w:bidi="ar-SA"/>
        </w:rPr>
        <w:t xml:space="preserve"> </w:t>
      </w:r>
      <w:r w:rsidR="00D30053">
        <w:rPr>
          <w:lang w:bidi="ar-SA"/>
        </w:rPr>
        <w:t>af</w:t>
      </w:r>
      <w:r w:rsidR="00F60B67">
        <w:rPr>
          <w:lang w:bidi="ar-SA"/>
        </w:rPr>
        <w:t>t</w:t>
      </w:r>
      <w:r w:rsidR="00D30053">
        <w:rPr>
          <w:lang w:bidi="ar-SA"/>
        </w:rPr>
        <w:t>er 104 weeks of treatment, however</w:t>
      </w:r>
      <w:r w:rsidR="007F02A2">
        <w:rPr>
          <w:lang w:bidi="ar-SA"/>
        </w:rPr>
        <w:t>,</w:t>
      </w:r>
      <w:r w:rsidR="00D30053">
        <w:rPr>
          <w:lang w:bidi="ar-SA"/>
        </w:rPr>
        <w:t xml:space="preserve"> due to reduced numbers (as a result of mortality) in the female</w:t>
      </w:r>
      <w:r w:rsidR="003D3F1A">
        <w:rPr>
          <w:lang w:bidi="ar-SA"/>
        </w:rPr>
        <w:t xml:space="preserve">s </w:t>
      </w:r>
      <w:r w:rsidR="00355EAB">
        <w:rPr>
          <w:lang w:bidi="ar-SA"/>
        </w:rPr>
        <w:t xml:space="preserve">fed </w:t>
      </w:r>
      <w:r w:rsidR="00D30053">
        <w:rPr>
          <w:lang w:bidi="ar-SA"/>
        </w:rPr>
        <w:t xml:space="preserve">2 </w:t>
      </w:r>
      <w:r w:rsidR="00F60B67">
        <w:rPr>
          <w:lang w:bidi="ar-SA"/>
        </w:rPr>
        <w:t>ppm</w:t>
      </w:r>
      <w:r w:rsidR="003D3F1A">
        <w:rPr>
          <w:lang w:bidi="ar-SA"/>
        </w:rPr>
        <w:t>,</w:t>
      </w:r>
      <w:r w:rsidR="00F60B67">
        <w:rPr>
          <w:lang w:bidi="ar-SA"/>
        </w:rPr>
        <w:t xml:space="preserve"> this group was necropsied after 103 weeks.</w:t>
      </w:r>
    </w:p>
    <w:p w14:paraId="4749F54B" w14:textId="77777777" w:rsidR="00F55F53" w:rsidRDefault="00F55F53" w:rsidP="00A111E9">
      <w:pPr>
        <w:rPr>
          <w:lang w:bidi="ar-SA"/>
        </w:rPr>
      </w:pPr>
    </w:p>
    <w:p w14:paraId="3A0A4796" w14:textId="3698F64B" w:rsidR="00F60B67" w:rsidRDefault="00F60B67" w:rsidP="00A111E9">
      <w:pPr>
        <w:rPr>
          <w:lang w:bidi="ar-SA"/>
        </w:rPr>
      </w:pPr>
      <w:r>
        <w:rPr>
          <w:lang w:bidi="ar-SA"/>
        </w:rPr>
        <w:t xml:space="preserve">Rats were housed individually and in-life observations </w:t>
      </w:r>
      <w:r w:rsidR="004B7363">
        <w:rPr>
          <w:lang w:bidi="ar-SA"/>
        </w:rPr>
        <w:t>included</w:t>
      </w:r>
      <w:r>
        <w:rPr>
          <w:lang w:bidi="ar-SA"/>
        </w:rPr>
        <w:t xml:space="preserve"> mortality, clinical observations, body weights and food consumption, with clinical pathology samples (haematology, clinical chemistry and urinalysis) taken from 10 rats/sex/group (except for the 20 ppm recovery group) during weeks 27 and 53. Blood was also taken from surviving rats at the terminal sacrifice for cholesterol</w:t>
      </w:r>
      <w:r w:rsidR="00A66A6A">
        <w:rPr>
          <w:lang w:bidi="ar-SA"/>
        </w:rPr>
        <w:t>,</w:t>
      </w:r>
      <w:r>
        <w:rPr>
          <w:lang w:bidi="ar-SA"/>
        </w:rPr>
        <w:t xml:space="preserve"> triglyceride </w:t>
      </w:r>
      <w:r w:rsidR="00A66A6A">
        <w:rPr>
          <w:lang w:bidi="ar-SA"/>
        </w:rPr>
        <w:t xml:space="preserve">and PFOS </w:t>
      </w:r>
      <w:r>
        <w:rPr>
          <w:lang w:bidi="ar-SA"/>
        </w:rPr>
        <w:t>analysis.</w:t>
      </w:r>
    </w:p>
    <w:p w14:paraId="37692A1F" w14:textId="77777777" w:rsidR="00F60B67" w:rsidRDefault="00F60B67" w:rsidP="00A111E9">
      <w:pPr>
        <w:rPr>
          <w:lang w:bidi="ar-SA"/>
        </w:rPr>
      </w:pPr>
    </w:p>
    <w:p w14:paraId="74BDD9F5" w14:textId="65953FAE" w:rsidR="003C5187" w:rsidRDefault="00D30053" w:rsidP="00A111E9">
      <w:pPr>
        <w:rPr>
          <w:lang w:bidi="ar-SA"/>
        </w:rPr>
      </w:pPr>
      <w:r>
        <w:rPr>
          <w:lang w:bidi="ar-SA"/>
        </w:rPr>
        <w:t xml:space="preserve">The findings in animals </w:t>
      </w:r>
      <w:r w:rsidR="000C4069">
        <w:rPr>
          <w:lang w:bidi="ar-SA"/>
        </w:rPr>
        <w:t xml:space="preserve">killed </w:t>
      </w:r>
      <w:r>
        <w:rPr>
          <w:lang w:bidi="ar-SA"/>
        </w:rPr>
        <w:t xml:space="preserve">at 4 and 14 weeks are detailed in a report by Seacat </w:t>
      </w:r>
      <w:r w:rsidR="00180A32" w:rsidRPr="00180A32">
        <w:rPr>
          <w:i/>
          <w:lang w:bidi="ar-SA"/>
        </w:rPr>
        <w:t xml:space="preserve">et al. </w:t>
      </w:r>
      <w:r w:rsidR="00F22DA6">
        <w:rPr>
          <w:lang w:bidi="ar-SA"/>
        </w:rPr>
        <w:t xml:space="preserve"> </w:t>
      </w:r>
      <w:r>
        <w:rPr>
          <w:lang w:bidi="ar-SA"/>
        </w:rPr>
        <w:t xml:space="preserve">(2003) and </w:t>
      </w:r>
      <w:r w:rsidR="000C4069">
        <w:rPr>
          <w:lang w:bidi="ar-SA"/>
        </w:rPr>
        <w:t xml:space="preserve">summarised </w:t>
      </w:r>
      <w:r w:rsidR="001D5849">
        <w:rPr>
          <w:lang w:bidi="ar-SA"/>
        </w:rPr>
        <w:t xml:space="preserve">in the section on </w:t>
      </w:r>
      <w:r>
        <w:rPr>
          <w:lang w:bidi="ar-SA"/>
        </w:rPr>
        <w:t>subchronic toxicity above.</w:t>
      </w:r>
    </w:p>
    <w:p w14:paraId="6165D926" w14:textId="77777777" w:rsidR="00EC054C" w:rsidRDefault="00EC054C" w:rsidP="00A111E9">
      <w:pPr>
        <w:rPr>
          <w:lang w:bidi="ar-SA"/>
        </w:rPr>
      </w:pPr>
    </w:p>
    <w:p w14:paraId="757DAB92" w14:textId="6098CF74" w:rsidR="00EC054C" w:rsidRDefault="001D65A2" w:rsidP="00A111E9">
      <w:pPr>
        <w:rPr>
          <w:lang w:bidi="ar-SA"/>
        </w:rPr>
      </w:pPr>
      <w:r>
        <w:rPr>
          <w:lang w:bidi="ar-SA"/>
        </w:rPr>
        <w:t>M</w:t>
      </w:r>
      <w:r w:rsidR="00271D19">
        <w:rPr>
          <w:lang w:bidi="ar-SA"/>
        </w:rPr>
        <w:t xml:space="preserve">ean daily intakes of </w:t>
      </w:r>
      <w:r>
        <w:rPr>
          <w:lang w:bidi="ar-SA"/>
        </w:rPr>
        <w:t xml:space="preserve">PFOS in the 0.5, 2, 5, 20 ppm and 20 ppm recovery groups were </w:t>
      </w:r>
      <w:r>
        <w:rPr>
          <w:lang w:bidi="ar-SA"/>
        </w:rPr>
        <w:lastRenderedPageBreak/>
        <w:t xml:space="preserve">reported by Butenhoff </w:t>
      </w:r>
      <w:r w:rsidR="00180A32" w:rsidRPr="00180A32">
        <w:rPr>
          <w:i/>
          <w:lang w:bidi="ar-SA"/>
        </w:rPr>
        <w:t xml:space="preserve">et al. </w:t>
      </w:r>
      <w:r w:rsidR="00713213">
        <w:rPr>
          <w:lang w:bidi="ar-SA"/>
        </w:rPr>
        <w:t xml:space="preserve"> </w:t>
      </w:r>
      <w:r>
        <w:rPr>
          <w:lang w:bidi="ar-SA"/>
        </w:rPr>
        <w:t>as 0.024, 0.098, 0.242, 0.984 and 1.144 mg/kg bw/day respectively in males, and 0.029, 0.120, 0.299, 1.252 and 1.385 mg/kg bw/day respectively in females. These values were based on gravimetric data for individual food consum</w:t>
      </w:r>
      <w:r w:rsidR="00AF679C">
        <w:rPr>
          <w:lang w:bidi="ar-SA"/>
        </w:rPr>
        <w:t>ption. However, the EFSA and UK</w:t>
      </w:r>
      <w:r>
        <w:rPr>
          <w:lang w:bidi="ar-SA"/>
        </w:rPr>
        <w:t xml:space="preserve">COT reviews of this study, which were based on the report by </w:t>
      </w:r>
      <w:r w:rsidR="008640CF">
        <w:rPr>
          <w:lang w:bidi="ar-SA"/>
        </w:rPr>
        <w:t xml:space="preserve">Thomford </w:t>
      </w:r>
      <w:r>
        <w:rPr>
          <w:lang w:bidi="ar-SA"/>
        </w:rPr>
        <w:t xml:space="preserve">(2002), </w:t>
      </w:r>
      <w:r w:rsidR="00B15A30">
        <w:rPr>
          <w:lang w:bidi="ar-SA"/>
        </w:rPr>
        <w:t xml:space="preserve">reported slightly different achieved doses. EFSA reported that the achieved doses for the 0.5, 2, 5 and 20 ppm groups were respectively 0.04, 0.14, 0.36 and 1.42 mg/kg bw/day in males and 0.035, 0.14, 0.37 and 1.49 mg/kg bw/day in females. </w:t>
      </w:r>
      <w:r w:rsidR="008640CF">
        <w:rPr>
          <w:lang w:bidi="ar-SA"/>
        </w:rPr>
        <w:t>The reason for this difference</w:t>
      </w:r>
      <w:r w:rsidR="002D4693">
        <w:rPr>
          <w:lang w:bidi="ar-SA"/>
        </w:rPr>
        <w:t xml:space="preserve"> appears to be that EFSA calculated the mean daily exposure values as the average of the range of calculated exposures cited in the report by Thomford, while Butenhoff </w:t>
      </w:r>
      <w:r w:rsidR="00180A32" w:rsidRPr="00180A32">
        <w:rPr>
          <w:i/>
          <w:lang w:bidi="ar-SA"/>
        </w:rPr>
        <w:t xml:space="preserve">et al. </w:t>
      </w:r>
      <w:r w:rsidR="00713213">
        <w:rPr>
          <w:lang w:bidi="ar-SA"/>
        </w:rPr>
        <w:t xml:space="preserve"> </w:t>
      </w:r>
      <w:r w:rsidR="002D4693">
        <w:rPr>
          <w:lang w:bidi="ar-SA"/>
        </w:rPr>
        <w:t>calculated the overall mean of weekly determined mean PFOS consumption values for each group.</w:t>
      </w:r>
    </w:p>
    <w:p w14:paraId="08499316" w14:textId="477D0418" w:rsidR="00A72A88" w:rsidRDefault="00A72A88" w:rsidP="00A111E9">
      <w:pPr>
        <w:rPr>
          <w:lang w:bidi="ar-SA"/>
        </w:rPr>
      </w:pPr>
    </w:p>
    <w:p w14:paraId="4FDF6045" w14:textId="1FCF7870" w:rsidR="00A72A88" w:rsidRDefault="00A72A88" w:rsidP="00A111E9">
      <w:pPr>
        <w:rPr>
          <w:lang w:bidi="ar-SA"/>
        </w:rPr>
      </w:pPr>
      <w:r>
        <w:rPr>
          <w:lang w:bidi="ar-SA"/>
        </w:rPr>
        <w:t xml:space="preserve">Serum and liver PFOS concentrations increased in approximate proportion to dose at all time points assessed in both sexes. Concentrations also increased with dosing </w:t>
      </w:r>
      <w:r w:rsidR="004B7363">
        <w:rPr>
          <w:lang w:bidi="ar-SA"/>
        </w:rPr>
        <w:t xml:space="preserve">duration </w:t>
      </w:r>
      <w:r>
        <w:rPr>
          <w:lang w:bidi="ar-SA"/>
        </w:rPr>
        <w:t xml:space="preserve">between </w:t>
      </w:r>
      <w:r w:rsidR="0094513D">
        <w:rPr>
          <w:lang w:bidi="ar-SA"/>
        </w:rPr>
        <w:t>w</w:t>
      </w:r>
      <w:r w:rsidR="004B7363">
        <w:rPr>
          <w:lang w:bidi="ar-SA"/>
        </w:rPr>
        <w:t xml:space="preserve">eeks 4 and 14. </w:t>
      </w:r>
      <w:r>
        <w:rPr>
          <w:lang w:bidi="ar-SA"/>
        </w:rPr>
        <w:t>Week 53 concentrations in the</w:t>
      </w:r>
      <w:r w:rsidR="00E16F78">
        <w:rPr>
          <w:lang w:bidi="ar-SA"/>
        </w:rPr>
        <w:t xml:space="preserve"> high dose group were similar t</w:t>
      </w:r>
      <w:r>
        <w:rPr>
          <w:lang w:bidi="ar-SA"/>
        </w:rPr>
        <w:t xml:space="preserve">o those measured on </w:t>
      </w:r>
      <w:r w:rsidR="0094513D">
        <w:rPr>
          <w:lang w:bidi="ar-SA"/>
        </w:rPr>
        <w:t>w</w:t>
      </w:r>
      <w:r>
        <w:rPr>
          <w:lang w:bidi="ar-SA"/>
        </w:rPr>
        <w:t>eek 14</w:t>
      </w:r>
      <w:r w:rsidR="004B7363">
        <w:rPr>
          <w:lang w:bidi="ar-SA"/>
        </w:rPr>
        <w:t>, which</w:t>
      </w:r>
      <w:r>
        <w:rPr>
          <w:lang w:bidi="ar-SA"/>
        </w:rPr>
        <w:t xml:space="preserve"> suggest</w:t>
      </w:r>
      <w:r w:rsidR="004B7363">
        <w:rPr>
          <w:lang w:bidi="ar-SA"/>
        </w:rPr>
        <w:t>s</w:t>
      </w:r>
      <w:r>
        <w:rPr>
          <w:lang w:bidi="ar-SA"/>
        </w:rPr>
        <w:t xml:space="preserve"> steady</w:t>
      </w:r>
      <w:r w:rsidR="00032CF6">
        <w:rPr>
          <w:lang w:bidi="ar-SA"/>
        </w:rPr>
        <w:t>-</w:t>
      </w:r>
      <w:r>
        <w:rPr>
          <w:lang w:bidi="ar-SA"/>
        </w:rPr>
        <w:t xml:space="preserve">state may have been </w:t>
      </w:r>
      <w:r w:rsidR="00BE205C">
        <w:rPr>
          <w:lang w:bidi="ar-SA"/>
        </w:rPr>
        <w:t>approached</w:t>
      </w:r>
      <w:r>
        <w:rPr>
          <w:lang w:bidi="ar-SA"/>
        </w:rPr>
        <w:t xml:space="preserve"> after 14 weeks dietary exposure </w:t>
      </w:r>
      <w:r w:rsidR="00DE1694">
        <w:rPr>
          <w:lang w:bidi="ar-SA"/>
        </w:rPr>
        <w:t xml:space="preserve">at 20 ppm. In males, serum levels of PFOS at </w:t>
      </w:r>
      <w:r w:rsidR="00FA1544">
        <w:rPr>
          <w:lang w:bidi="ar-SA"/>
        </w:rPr>
        <w:t>study termination</w:t>
      </w:r>
      <w:r w:rsidR="00DE1694">
        <w:rPr>
          <w:lang w:bidi="ar-SA"/>
        </w:rPr>
        <w:t xml:space="preserve"> (</w:t>
      </w:r>
      <w:r w:rsidR="0094513D">
        <w:rPr>
          <w:lang w:bidi="ar-SA"/>
        </w:rPr>
        <w:t>w</w:t>
      </w:r>
      <w:r w:rsidR="00DE1694">
        <w:rPr>
          <w:lang w:bidi="ar-SA"/>
        </w:rPr>
        <w:t xml:space="preserve">eek 105) were 33-51% of those measured on </w:t>
      </w:r>
      <w:r w:rsidR="0094513D">
        <w:rPr>
          <w:lang w:bidi="ar-SA"/>
        </w:rPr>
        <w:t>w</w:t>
      </w:r>
      <w:r w:rsidR="00DE1694">
        <w:rPr>
          <w:lang w:bidi="ar-SA"/>
        </w:rPr>
        <w:t xml:space="preserve">eek 14, </w:t>
      </w:r>
      <w:r w:rsidR="00E16F78">
        <w:rPr>
          <w:lang w:bidi="ar-SA"/>
        </w:rPr>
        <w:t xml:space="preserve">and liver concentrations were 19-36% of </w:t>
      </w:r>
      <w:r w:rsidR="0094513D">
        <w:rPr>
          <w:lang w:bidi="ar-SA"/>
        </w:rPr>
        <w:t>w</w:t>
      </w:r>
      <w:r w:rsidR="00E16F78">
        <w:rPr>
          <w:lang w:bidi="ar-SA"/>
        </w:rPr>
        <w:t xml:space="preserve">eek 14 values. In females, serum levels of PFOS remained relatively constant between 14 and 105 </w:t>
      </w:r>
      <w:r w:rsidR="0094513D">
        <w:rPr>
          <w:lang w:bidi="ar-SA"/>
        </w:rPr>
        <w:t>w</w:t>
      </w:r>
      <w:r w:rsidR="00E16F78">
        <w:rPr>
          <w:lang w:bidi="ar-SA"/>
        </w:rPr>
        <w:t xml:space="preserve">eeks, while liver concentrations were 35-80% lower at </w:t>
      </w:r>
      <w:r w:rsidR="0094513D">
        <w:rPr>
          <w:lang w:bidi="ar-SA"/>
        </w:rPr>
        <w:t>w</w:t>
      </w:r>
      <w:r w:rsidR="00E16F78">
        <w:rPr>
          <w:lang w:bidi="ar-SA"/>
        </w:rPr>
        <w:t xml:space="preserve">eek 105 compared with </w:t>
      </w:r>
      <w:r w:rsidR="0094513D">
        <w:rPr>
          <w:lang w:bidi="ar-SA"/>
        </w:rPr>
        <w:t>w</w:t>
      </w:r>
      <w:r w:rsidR="00E16F78">
        <w:rPr>
          <w:lang w:bidi="ar-SA"/>
        </w:rPr>
        <w:t xml:space="preserve">eek 14. </w:t>
      </w:r>
      <w:r w:rsidR="00F63FD9">
        <w:rPr>
          <w:lang w:bidi="ar-SA"/>
        </w:rPr>
        <w:t xml:space="preserve">The decline in PFOS concentrations </w:t>
      </w:r>
      <w:r w:rsidR="00AA0B40">
        <w:rPr>
          <w:lang w:bidi="ar-SA"/>
        </w:rPr>
        <w:t>was considered likely</w:t>
      </w:r>
      <w:r w:rsidR="00F63FD9">
        <w:rPr>
          <w:lang w:bidi="ar-SA"/>
        </w:rPr>
        <w:t xml:space="preserve"> to be due to chronic progressive nephritis</w:t>
      </w:r>
      <w:r w:rsidR="00E04A31">
        <w:rPr>
          <w:lang w:bidi="ar-SA"/>
        </w:rPr>
        <w:t xml:space="preserve"> (a spontaneous age-related disease)</w:t>
      </w:r>
      <w:r w:rsidR="00F63FD9">
        <w:rPr>
          <w:lang w:bidi="ar-SA"/>
        </w:rPr>
        <w:t xml:space="preserve"> leading to increased urinary e</w:t>
      </w:r>
      <w:r w:rsidR="00537A36">
        <w:rPr>
          <w:lang w:bidi="ar-SA"/>
        </w:rPr>
        <w:t>limination</w:t>
      </w:r>
      <w:r w:rsidR="00F63FD9">
        <w:rPr>
          <w:lang w:bidi="ar-SA"/>
        </w:rPr>
        <w:t xml:space="preserve"> of PFOS. Individual serum PFOS concentrations correlated significantly with the incidence and severity of chronic progressive nephritis in almost all male groups</w:t>
      </w:r>
      <w:r w:rsidR="00A50E02">
        <w:rPr>
          <w:lang w:bidi="ar-SA"/>
        </w:rPr>
        <w:t xml:space="preserve"> and in the 2 ppm females.</w:t>
      </w:r>
    </w:p>
    <w:p w14:paraId="43424CB3" w14:textId="0B3F8BC1" w:rsidR="004617CA" w:rsidRDefault="004617CA" w:rsidP="00A111E9">
      <w:pPr>
        <w:rPr>
          <w:lang w:bidi="ar-SA"/>
        </w:rPr>
      </w:pPr>
    </w:p>
    <w:p w14:paraId="3E0ED67D" w14:textId="185E8904" w:rsidR="00B15A30" w:rsidRDefault="000538B3" w:rsidP="00A111E9">
      <w:pPr>
        <w:rPr>
          <w:lang w:bidi="ar-SA"/>
        </w:rPr>
      </w:pPr>
      <w:r>
        <w:rPr>
          <w:lang w:bidi="ar-SA"/>
        </w:rPr>
        <w:t>Mortality was decreased in males fed 5 and 20 ppm, resulting in a statistically significant tre</w:t>
      </w:r>
      <w:r w:rsidR="004B7363">
        <w:rPr>
          <w:lang w:bidi="ar-SA"/>
        </w:rPr>
        <w:t>n</w:t>
      </w:r>
      <w:r>
        <w:rPr>
          <w:lang w:bidi="ar-SA"/>
        </w:rPr>
        <w:t xml:space="preserve">d for </w:t>
      </w:r>
      <w:r w:rsidR="004B7363">
        <w:rPr>
          <w:lang w:bidi="ar-SA"/>
        </w:rPr>
        <w:t xml:space="preserve">increased </w:t>
      </w:r>
      <w:r>
        <w:rPr>
          <w:lang w:bidi="ar-SA"/>
        </w:rPr>
        <w:t>survival in males. No significant trend was identified for sur</w:t>
      </w:r>
      <w:r w:rsidR="00A66A6A">
        <w:rPr>
          <w:lang w:bidi="ar-SA"/>
        </w:rPr>
        <w:t>viva</w:t>
      </w:r>
      <w:r>
        <w:rPr>
          <w:lang w:bidi="ar-SA"/>
        </w:rPr>
        <w:t>l in females, alth</w:t>
      </w:r>
      <w:r w:rsidR="004F61C4">
        <w:rPr>
          <w:lang w:bidi="ar-SA"/>
        </w:rPr>
        <w:t xml:space="preserve">ough there was a statistically </w:t>
      </w:r>
      <w:r>
        <w:rPr>
          <w:lang w:bidi="ar-SA"/>
        </w:rPr>
        <w:t xml:space="preserve">significant decrease in </w:t>
      </w:r>
      <w:r w:rsidR="00BE205C">
        <w:rPr>
          <w:lang w:bidi="ar-SA"/>
        </w:rPr>
        <w:t>survival</w:t>
      </w:r>
      <w:r>
        <w:rPr>
          <w:lang w:bidi="ar-SA"/>
        </w:rPr>
        <w:t xml:space="preserve"> in females fed 2 ppm, compared with the controls.</w:t>
      </w:r>
      <w:r w:rsidR="000C4069" w:rsidRPr="000C4069">
        <w:t xml:space="preserve"> </w:t>
      </w:r>
      <w:r w:rsidR="000C4069" w:rsidRPr="000C4069">
        <w:rPr>
          <w:lang w:bidi="ar-SA"/>
        </w:rPr>
        <w:t>There were no clinical observations attributed to PFOS exposure, and there was no effect on the incidence of palpable masses.</w:t>
      </w:r>
    </w:p>
    <w:p w14:paraId="6752C4B0" w14:textId="77777777" w:rsidR="000538B3" w:rsidRDefault="000538B3" w:rsidP="00A111E9">
      <w:pPr>
        <w:rPr>
          <w:lang w:bidi="ar-SA"/>
        </w:rPr>
      </w:pPr>
    </w:p>
    <w:p w14:paraId="7E737DFB" w14:textId="36DFFE85" w:rsidR="000538B3" w:rsidRDefault="00D830C4" w:rsidP="00A111E9">
      <w:pPr>
        <w:rPr>
          <w:lang w:bidi="ar-SA"/>
        </w:rPr>
      </w:pPr>
      <w:r>
        <w:rPr>
          <w:lang w:bidi="ar-SA"/>
        </w:rPr>
        <w:t>Males in the 20 ppm and 20 ppm recovery groups ha</w:t>
      </w:r>
      <w:r w:rsidR="005A436C">
        <w:rPr>
          <w:lang w:bidi="ar-SA"/>
        </w:rPr>
        <w:t>d</w:t>
      </w:r>
      <w:r>
        <w:rPr>
          <w:lang w:bidi="ar-SA"/>
        </w:rPr>
        <w:t xml:space="preserve"> significantly lower mean body weigh</w:t>
      </w:r>
      <w:r w:rsidR="005A436C">
        <w:rPr>
          <w:lang w:bidi="ar-SA"/>
        </w:rPr>
        <w:t>t</w:t>
      </w:r>
      <w:r>
        <w:rPr>
          <w:lang w:bidi="ar-SA"/>
        </w:rPr>
        <w:t xml:space="preserve">s compared to controls during weeks 9 to 37. Females in the 20 ppm group </w:t>
      </w:r>
      <w:r w:rsidR="005A436C">
        <w:rPr>
          <w:lang w:bidi="ar-SA"/>
        </w:rPr>
        <w:t>had significantly lower body weights than controls during weeks 3 to 101. In the female 20 ppm recovery group, body weights were significantly lower than controls during weeks 3 to 61. At the end of the study, there were no significant differences in mean body weights between PFOS treated rats and controls</w:t>
      </w:r>
      <w:r w:rsidR="00D0003F">
        <w:rPr>
          <w:lang w:bidi="ar-SA"/>
        </w:rPr>
        <w:t xml:space="preserve"> in all groups (main study and recovery animals), although females in the 20 ppm group had lower body weights than controls (447 </w:t>
      </w:r>
      <w:r w:rsidR="00D0003F">
        <w:rPr>
          <w:rFonts w:cs="Arial"/>
          <w:lang w:bidi="ar-SA"/>
        </w:rPr>
        <w:t>±</w:t>
      </w:r>
      <w:r w:rsidR="00D0003F">
        <w:rPr>
          <w:lang w:bidi="ar-SA"/>
        </w:rPr>
        <w:t xml:space="preserve"> 101 g versus 516 </w:t>
      </w:r>
      <w:r w:rsidR="00D0003F">
        <w:rPr>
          <w:rFonts w:cs="Arial"/>
          <w:lang w:bidi="ar-SA"/>
        </w:rPr>
        <w:t>±</w:t>
      </w:r>
      <w:r w:rsidR="00D0003F">
        <w:rPr>
          <w:lang w:bidi="ar-SA"/>
        </w:rPr>
        <w:t xml:space="preserve"> 106 g)</w:t>
      </w:r>
      <w:r w:rsidR="005A436C">
        <w:rPr>
          <w:lang w:bidi="ar-SA"/>
        </w:rPr>
        <w:t>.</w:t>
      </w:r>
    </w:p>
    <w:p w14:paraId="54C8A83D" w14:textId="77777777" w:rsidR="005A436C" w:rsidRDefault="005A436C" w:rsidP="00A111E9">
      <w:pPr>
        <w:rPr>
          <w:lang w:bidi="ar-SA"/>
        </w:rPr>
      </w:pPr>
    </w:p>
    <w:p w14:paraId="7CA26190" w14:textId="0DA974BB" w:rsidR="005A436C" w:rsidRDefault="00AF679C" w:rsidP="00A111E9">
      <w:pPr>
        <w:rPr>
          <w:lang w:bidi="ar-SA"/>
        </w:rPr>
      </w:pPr>
      <w:r>
        <w:rPr>
          <w:lang w:bidi="ar-SA"/>
        </w:rPr>
        <w:t xml:space="preserve">At the </w:t>
      </w:r>
      <w:r w:rsidR="0094513D">
        <w:rPr>
          <w:lang w:bidi="ar-SA"/>
        </w:rPr>
        <w:t>w</w:t>
      </w:r>
      <w:r w:rsidR="005A436C">
        <w:rPr>
          <w:lang w:bidi="ar-SA"/>
        </w:rPr>
        <w:t xml:space="preserve">eek 53 interim sacrifice, absolute and relative (to body weight and brain weight) liver weights were increased in the 20 ppm males compared with controls. Absolute and relative spleen weights were also decreased in 20 ppm males. Significantly decreased left thyroid/parathyroid weights in males were </w:t>
      </w:r>
      <w:r w:rsidR="000C4069">
        <w:rPr>
          <w:lang w:bidi="ar-SA"/>
        </w:rPr>
        <w:t xml:space="preserve">not </w:t>
      </w:r>
      <w:r w:rsidR="005A436C">
        <w:rPr>
          <w:lang w:bidi="ar-SA"/>
        </w:rPr>
        <w:t xml:space="preserve">considered </w:t>
      </w:r>
      <w:r w:rsidR="000C4069">
        <w:rPr>
          <w:lang w:bidi="ar-SA"/>
        </w:rPr>
        <w:t xml:space="preserve">related to treatment </w:t>
      </w:r>
      <w:r w:rsidR="005A436C">
        <w:rPr>
          <w:lang w:bidi="ar-SA"/>
        </w:rPr>
        <w:t>by the study authors based on the absence of a contralateral effect and a lack of difference in organ to body weight ratios between controls and treated male rats.</w:t>
      </w:r>
      <w:r w:rsidR="00406029">
        <w:rPr>
          <w:lang w:bidi="ar-SA"/>
        </w:rPr>
        <w:t xml:space="preserve"> In female rats</w:t>
      </w:r>
      <w:r w:rsidR="00832462">
        <w:rPr>
          <w:lang w:bidi="ar-SA"/>
        </w:rPr>
        <w:t xml:space="preserve"> </w:t>
      </w:r>
      <w:r w:rsidR="000C4069">
        <w:rPr>
          <w:lang w:bidi="ar-SA"/>
        </w:rPr>
        <w:t xml:space="preserve">administered </w:t>
      </w:r>
      <w:r w:rsidR="00832462">
        <w:rPr>
          <w:lang w:bidi="ar-SA"/>
        </w:rPr>
        <w:t>20 ppm</w:t>
      </w:r>
      <w:r w:rsidR="000C4069">
        <w:rPr>
          <w:lang w:bidi="ar-SA"/>
        </w:rPr>
        <w:t xml:space="preserve"> PFOS</w:t>
      </w:r>
      <w:r w:rsidR="00406029">
        <w:rPr>
          <w:lang w:bidi="ar-SA"/>
        </w:rPr>
        <w:t>,</w:t>
      </w:r>
      <w:r w:rsidR="00832462">
        <w:rPr>
          <w:lang w:bidi="ar-SA"/>
        </w:rPr>
        <w:t xml:space="preserve"> significant increases in organ to body weight </w:t>
      </w:r>
      <w:r w:rsidR="000C4069">
        <w:rPr>
          <w:lang w:bidi="ar-SA"/>
        </w:rPr>
        <w:t>ratio</w:t>
      </w:r>
      <w:r w:rsidR="00832462">
        <w:rPr>
          <w:lang w:bidi="ar-SA"/>
        </w:rPr>
        <w:t>s for brain, kidney, liver and spleen were considered unlikely to be of toxicological importance given</w:t>
      </w:r>
      <w:r w:rsidR="00406029">
        <w:rPr>
          <w:lang w:bidi="ar-SA"/>
        </w:rPr>
        <w:t xml:space="preserve"> the sig</w:t>
      </w:r>
      <w:r w:rsidR="005A436C">
        <w:rPr>
          <w:lang w:bidi="ar-SA"/>
        </w:rPr>
        <w:t>nificantly decreased</w:t>
      </w:r>
      <w:r w:rsidR="00832462">
        <w:rPr>
          <w:lang w:bidi="ar-SA"/>
        </w:rPr>
        <w:t xml:space="preserve"> body weight in these females at this time</w:t>
      </w:r>
      <w:r w:rsidR="00032CF6">
        <w:rPr>
          <w:lang w:bidi="ar-SA"/>
        </w:rPr>
        <w:t>point</w:t>
      </w:r>
      <w:r>
        <w:rPr>
          <w:lang w:bidi="ar-SA"/>
        </w:rPr>
        <w:t xml:space="preserve"> (</w:t>
      </w:r>
      <w:r w:rsidR="0094513D">
        <w:rPr>
          <w:lang w:bidi="ar-SA"/>
        </w:rPr>
        <w:t>w</w:t>
      </w:r>
      <w:r w:rsidR="00D0003F">
        <w:rPr>
          <w:lang w:bidi="ar-SA"/>
        </w:rPr>
        <w:t>eek 53)</w:t>
      </w:r>
      <w:r w:rsidR="00832462">
        <w:rPr>
          <w:lang w:bidi="ar-SA"/>
        </w:rPr>
        <w:t>. Decreases in adrenal weights were also considered likely to be secondary to the body weight loss.</w:t>
      </w:r>
    </w:p>
    <w:p w14:paraId="32B70E2D" w14:textId="77777777" w:rsidR="00832462" w:rsidRDefault="00832462" w:rsidP="00A111E9">
      <w:pPr>
        <w:rPr>
          <w:lang w:bidi="ar-SA"/>
        </w:rPr>
      </w:pPr>
    </w:p>
    <w:p w14:paraId="3BD2315D" w14:textId="159AB91C" w:rsidR="00832462" w:rsidRDefault="00FE7DBA" w:rsidP="00A111E9">
      <w:pPr>
        <w:rPr>
          <w:lang w:bidi="ar-SA"/>
        </w:rPr>
      </w:pPr>
      <w:r>
        <w:rPr>
          <w:lang w:bidi="ar-SA"/>
        </w:rPr>
        <w:t xml:space="preserve">Statistically significant increases in serum </w:t>
      </w:r>
      <w:r w:rsidR="004F61C4">
        <w:rPr>
          <w:lang w:bidi="ar-SA"/>
        </w:rPr>
        <w:t>ALT</w:t>
      </w:r>
      <w:r>
        <w:rPr>
          <w:lang w:bidi="ar-SA"/>
        </w:rPr>
        <w:t xml:space="preserve"> were observed in 20 ppm males on </w:t>
      </w:r>
      <w:r w:rsidR="0007229B">
        <w:rPr>
          <w:lang w:bidi="ar-SA"/>
        </w:rPr>
        <w:t>w</w:t>
      </w:r>
      <w:r>
        <w:rPr>
          <w:lang w:bidi="ar-SA"/>
        </w:rPr>
        <w:t xml:space="preserve">eeks 14 and 53 compared with controls. ALT was also increased in 20 ppm </w:t>
      </w:r>
      <w:r w:rsidR="00901B4A">
        <w:rPr>
          <w:lang w:bidi="ar-SA"/>
        </w:rPr>
        <w:t xml:space="preserve">males at </w:t>
      </w:r>
      <w:r w:rsidR="0007229B">
        <w:rPr>
          <w:lang w:bidi="ar-SA"/>
        </w:rPr>
        <w:t>w</w:t>
      </w:r>
      <w:r>
        <w:rPr>
          <w:lang w:bidi="ar-SA"/>
        </w:rPr>
        <w:t xml:space="preserve">eek 27 but this did not reach statistical significance. The same effect was not seen in females. </w:t>
      </w:r>
      <w:r w:rsidR="005A2CBB">
        <w:rPr>
          <w:lang w:bidi="ar-SA"/>
        </w:rPr>
        <w:t xml:space="preserve">The increased ALT levels in males were accompanied by a large increase in relative standard </w:t>
      </w:r>
      <w:r w:rsidR="005A2CBB">
        <w:rPr>
          <w:lang w:bidi="ar-SA"/>
        </w:rPr>
        <w:lastRenderedPageBreak/>
        <w:t xml:space="preserve">deviations, driven by one and two individual </w:t>
      </w:r>
      <w:r w:rsidR="00901B4A">
        <w:rPr>
          <w:lang w:bidi="ar-SA"/>
        </w:rPr>
        <w:t xml:space="preserve">increases in ALT at </w:t>
      </w:r>
      <w:r w:rsidR="0007229B">
        <w:rPr>
          <w:lang w:bidi="ar-SA"/>
        </w:rPr>
        <w:t>w</w:t>
      </w:r>
      <w:r w:rsidR="005A2CBB">
        <w:rPr>
          <w:lang w:bidi="ar-SA"/>
        </w:rPr>
        <w:t xml:space="preserve">eeks 14 and 53 respectively. Exclusion of these high individual values yielded mean values similar to those of the controls. </w:t>
      </w:r>
      <w:r w:rsidR="00840D40">
        <w:rPr>
          <w:lang w:bidi="ar-SA"/>
        </w:rPr>
        <w:t>The study authors noted that this finding, together with a lack of effect on AST, raises some questions regarding the toxicological significance of the increased ALT levels.</w:t>
      </w:r>
    </w:p>
    <w:p w14:paraId="4A93C2C5" w14:textId="77777777" w:rsidR="00840D40" w:rsidRDefault="00840D40" w:rsidP="00A111E9">
      <w:pPr>
        <w:rPr>
          <w:lang w:bidi="ar-SA"/>
        </w:rPr>
      </w:pPr>
    </w:p>
    <w:p w14:paraId="777E2339" w14:textId="61E9D4BF" w:rsidR="00840D40" w:rsidRDefault="00F96CD6" w:rsidP="00A111E9">
      <w:pPr>
        <w:rPr>
          <w:lang w:bidi="ar-SA"/>
        </w:rPr>
      </w:pPr>
      <w:r>
        <w:rPr>
          <w:lang w:bidi="ar-SA"/>
        </w:rPr>
        <w:t xml:space="preserve">Mean serum total cholesterol was significantly </w:t>
      </w:r>
      <w:r w:rsidR="00901B4A">
        <w:rPr>
          <w:lang w:bidi="ar-SA"/>
        </w:rPr>
        <w:t xml:space="preserve">reduced in 20 ppm males on </w:t>
      </w:r>
      <w:r w:rsidR="0007229B">
        <w:rPr>
          <w:lang w:bidi="ar-SA"/>
        </w:rPr>
        <w:t>w</w:t>
      </w:r>
      <w:r>
        <w:rPr>
          <w:lang w:bidi="ar-SA"/>
        </w:rPr>
        <w:t>eeks 14, 27 and 53 compa</w:t>
      </w:r>
      <w:r w:rsidR="00901B4A">
        <w:rPr>
          <w:lang w:bidi="ar-SA"/>
        </w:rPr>
        <w:t>r</w:t>
      </w:r>
      <w:r>
        <w:rPr>
          <w:lang w:bidi="ar-SA"/>
        </w:rPr>
        <w:t>ed with con</w:t>
      </w:r>
      <w:r w:rsidR="00AC38A7">
        <w:rPr>
          <w:lang w:bidi="ar-SA"/>
        </w:rPr>
        <w:t xml:space="preserve">trols. Cholesterol </w:t>
      </w:r>
      <w:r>
        <w:rPr>
          <w:lang w:bidi="ar-SA"/>
        </w:rPr>
        <w:t xml:space="preserve">was also reduced in males fed 20 ppm at </w:t>
      </w:r>
      <w:r w:rsidR="00683A7E">
        <w:rPr>
          <w:lang w:bidi="ar-SA"/>
        </w:rPr>
        <w:t>study termination</w:t>
      </w:r>
      <w:r w:rsidR="00AC38A7">
        <w:rPr>
          <w:lang w:bidi="ar-SA"/>
        </w:rPr>
        <w:t>,</w:t>
      </w:r>
      <w:r>
        <w:rPr>
          <w:lang w:bidi="ar-SA"/>
        </w:rPr>
        <w:t xml:space="preserve"> although this</w:t>
      </w:r>
      <w:r w:rsidR="001B56C1">
        <w:rPr>
          <w:lang w:bidi="ar-SA"/>
        </w:rPr>
        <w:t xml:space="preserve"> did</w:t>
      </w:r>
      <w:r>
        <w:rPr>
          <w:lang w:bidi="ar-SA"/>
        </w:rPr>
        <w:t xml:space="preserve"> not reach statistical significance. In females, </w:t>
      </w:r>
      <w:r w:rsidR="005924DC">
        <w:rPr>
          <w:lang w:bidi="ar-SA"/>
        </w:rPr>
        <w:t>statistically significan</w:t>
      </w:r>
      <w:r w:rsidR="00683A7E">
        <w:rPr>
          <w:lang w:bidi="ar-SA"/>
        </w:rPr>
        <w:t>t</w:t>
      </w:r>
      <w:r w:rsidR="005924DC">
        <w:rPr>
          <w:lang w:bidi="ar-SA"/>
        </w:rPr>
        <w:t xml:space="preserve"> reductions in serum cholesterol were seen in the 2, 5 and </w:t>
      </w:r>
      <w:r w:rsidR="00901B4A">
        <w:rPr>
          <w:lang w:bidi="ar-SA"/>
        </w:rPr>
        <w:t xml:space="preserve">20 ppm groups at </w:t>
      </w:r>
      <w:r w:rsidR="0007229B">
        <w:rPr>
          <w:lang w:bidi="ar-SA"/>
        </w:rPr>
        <w:t>w</w:t>
      </w:r>
      <w:r w:rsidR="005924DC">
        <w:rPr>
          <w:lang w:bidi="ar-SA"/>
        </w:rPr>
        <w:t xml:space="preserve">eek </w:t>
      </w:r>
      <w:r w:rsidR="00901B4A">
        <w:rPr>
          <w:lang w:bidi="ar-SA"/>
        </w:rPr>
        <w:t xml:space="preserve">27. Cholesterol </w:t>
      </w:r>
      <w:r w:rsidR="00AC38A7">
        <w:rPr>
          <w:lang w:bidi="ar-SA"/>
        </w:rPr>
        <w:t xml:space="preserve">was </w:t>
      </w:r>
      <w:r w:rsidR="00901B4A">
        <w:rPr>
          <w:lang w:bidi="ar-SA"/>
        </w:rPr>
        <w:t xml:space="preserve">also lower than controls in 20 ppm females at </w:t>
      </w:r>
      <w:r w:rsidR="0007229B">
        <w:rPr>
          <w:lang w:bidi="ar-SA"/>
        </w:rPr>
        <w:t>w</w:t>
      </w:r>
      <w:r w:rsidR="00901B4A">
        <w:rPr>
          <w:lang w:bidi="ar-SA"/>
        </w:rPr>
        <w:t xml:space="preserve">eek 53 </w:t>
      </w:r>
      <w:r w:rsidR="00AC38A7">
        <w:rPr>
          <w:lang w:bidi="ar-SA"/>
        </w:rPr>
        <w:t xml:space="preserve">and </w:t>
      </w:r>
      <w:r w:rsidR="00683A7E">
        <w:rPr>
          <w:lang w:bidi="ar-SA"/>
        </w:rPr>
        <w:t>study termination</w:t>
      </w:r>
      <w:r w:rsidR="00AC38A7">
        <w:rPr>
          <w:lang w:bidi="ar-SA"/>
        </w:rPr>
        <w:t>, although</w:t>
      </w:r>
      <w:r w:rsidR="00901B4A">
        <w:rPr>
          <w:lang w:bidi="ar-SA"/>
        </w:rPr>
        <w:t xml:space="preserve"> this was not statistically significant.</w:t>
      </w:r>
    </w:p>
    <w:p w14:paraId="2F16E122" w14:textId="77777777" w:rsidR="00901B4A" w:rsidRDefault="00901B4A" w:rsidP="00A111E9">
      <w:pPr>
        <w:rPr>
          <w:lang w:bidi="ar-SA"/>
        </w:rPr>
      </w:pPr>
    </w:p>
    <w:p w14:paraId="7C1AB1FA" w14:textId="32DB8B58" w:rsidR="00901B4A" w:rsidRDefault="00901B4A" w:rsidP="00A111E9">
      <w:pPr>
        <w:rPr>
          <w:lang w:bidi="ar-SA"/>
        </w:rPr>
      </w:pPr>
      <w:r>
        <w:rPr>
          <w:lang w:bidi="ar-SA"/>
        </w:rPr>
        <w:t xml:space="preserve">Serum UN was significantly increased in 20 ppm males and females on </w:t>
      </w:r>
      <w:r w:rsidR="0007229B">
        <w:rPr>
          <w:lang w:bidi="ar-SA"/>
        </w:rPr>
        <w:t>w</w:t>
      </w:r>
      <w:r>
        <w:rPr>
          <w:lang w:bidi="ar-SA"/>
        </w:rPr>
        <w:t xml:space="preserve">eeks 14, 27 and 53. Males and females fed 5 ppm and males given 2 ppm also had significantly elevated UN on </w:t>
      </w:r>
      <w:r w:rsidR="0007229B">
        <w:rPr>
          <w:lang w:bidi="ar-SA"/>
        </w:rPr>
        <w:t>w</w:t>
      </w:r>
      <w:r>
        <w:rPr>
          <w:lang w:bidi="ar-SA"/>
        </w:rPr>
        <w:t>eek 53. There were no correlative microscopic renal findings and serum creatinine was generally unchanged relative to controls. The study authors therefore concluded that the increased UN levels were likely to be associated with mild dehydration as a result of non-renal-related morbidity.</w:t>
      </w:r>
    </w:p>
    <w:p w14:paraId="55B74473" w14:textId="77777777" w:rsidR="00901B4A" w:rsidRDefault="00901B4A" w:rsidP="00A111E9">
      <w:pPr>
        <w:rPr>
          <w:lang w:bidi="ar-SA"/>
        </w:rPr>
      </w:pPr>
    </w:p>
    <w:p w14:paraId="7DB88001" w14:textId="0E55A98D" w:rsidR="00901B4A" w:rsidRDefault="00901B4A" w:rsidP="00A111E9">
      <w:pPr>
        <w:rPr>
          <w:lang w:bidi="ar-SA"/>
        </w:rPr>
      </w:pPr>
      <w:r>
        <w:rPr>
          <w:lang w:bidi="ar-SA"/>
        </w:rPr>
        <w:t>No significant urinalysis or haematological changes were observed.</w:t>
      </w:r>
    </w:p>
    <w:p w14:paraId="5CF5366A" w14:textId="77777777" w:rsidR="00901B4A" w:rsidRDefault="00901B4A" w:rsidP="00A111E9">
      <w:pPr>
        <w:rPr>
          <w:lang w:bidi="ar-SA"/>
        </w:rPr>
      </w:pPr>
    </w:p>
    <w:p w14:paraId="57B5FAAE" w14:textId="15B98F28" w:rsidR="002D06CF" w:rsidRDefault="00696864" w:rsidP="00A111E9">
      <w:r>
        <w:rPr>
          <w:lang w:bidi="ar-SA"/>
        </w:rPr>
        <w:t>Non</w:t>
      </w:r>
      <w:r w:rsidR="000203C4">
        <w:rPr>
          <w:lang w:bidi="ar-SA"/>
        </w:rPr>
        <w:t>-neoplastic</w:t>
      </w:r>
      <w:r>
        <w:rPr>
          <w:lang w:bidi="ar-SA"/>
        </w:rPr>
        <w:t xml:space="preserve"> lesions attributed to treatment were only seen in the liver</w:t>
      </w:r>
      <w:r w:rsidR="008D5E2F">
        <w:rPr>
          <w:lang w:bidi="ar-SA"/>
        </w:rPr>
        <w:t xml:space="preserve"> (</w:t>
      </w:r>
      <w:r w:rsidR="002F5091">
        <w:rPr>
          <w:lang w:bidi="ar-SA"/>
        </w:rPr>
        <w:t xml:space="preserve">significant findings </w:t>
      </w:r>
      <w:r w:rsidR="008D5E2F">
        <w:rPr>
          <w:lang w:bidi="ar-SA"/>
        </w:rPr>
        <w:t>summarised in</w:t>
      </w:r>
      <w:r w:rsidR="00040A06">
        <w:rPr>
          <w:lang w:bidi="ar-SA"/>
        </w:rPr>
        <w:t xml:space="preserve"> Table 6)</w:t>
      </w:r>
      <w:r>
        <w:rPr>
          <w:lang w:bidi="ar-SA"/>
        </w:rPr>
        <w:t xml:space="preserve">. </w:t>
      </w:r>
      <w:r w:rsidR="002D06CF">
        <w:rPr>
          <w:lang w:bidi="ar-SA"/>
        </w:rPr>
        <w:t>In rats sacrificed at the end of the study, hepato</w:t>
      </w:r>
      <w:r w:rsidR="005F306C">
        <w:rPr>
          <w:lang w:bidi="ar-SA"/>
        </w:rPr>
        <w:t>to</w:t>
      </w:r>
      <w:r w:rsidR="002D06CF">
        <w:rPr>
          <w:lang w:bidi="ar-SA"/>
        </w:rPr>
        <w:t xml:space="preserve">xicity </w:t>
      </w:r>
      <w:r w:rsidR="001B56C1">
        <w:rPr>
          <w:lang w:bidi="ar-SA"/>
        </w:rPr>
        <w:t xml:space="preserve">was </w:t>
      </w:r>
      <w:r w:rsidR="002D06CF">
        <w:rPr>
          <w:lang w:bidi="ar-SA"/>
        </w:rPr>
        <w:t>characterised by centrilobular hypertrophy, centrilobular eosinophilic hepatocytic granules, centrilobular pigment or centrilobular hepatocytic vacuolation in males and female given 5 or 20 ppm PFOS. A significant increase in individual hepatocyte necrosis was seen in both sexes given 20 ppm. Elect</w:t>
      </w:r>
      <w:r w:rsidR="00541F49">
        <w:rPr>
          <w:lang w:bidi="ar-SA"/>
        </w:rPr>
        <w:t>ron microscopy examination of</w:t>
      </w:r>
      <w:r w:rsidR="002D06CF">
        <w:rPr>
          <w:lang w:bidi="ar-SA"/>
        </w:rPr>
        <w:t xml:space="preserve"> a subset of livers from the control and 20 ppm </w:t>
      </w:r>
      <w:r w:rsidR="001B56C1">
        <w:rPr>
          <w:lang w:bidi="ar-SA"/>
        </w:rPr>
        <w:t xml:space="preserve">groups </w:t>
      </w:r>
      <w:r w:rsidR="002D06CF">
        <w:rPr>
          <w:lang w:bidi="ar-SA"/>
        </w:rPr>
        <w:t xml:space="preserve">identified smooth endoplasmic reticulum hyperplasia and hepatocellular hypertrophy as the </w:t>
      </w:r>
      <w:r w:rsidR="006D47A4">
        <w:rPr>
          <w:lang w:bidi="ar-SA"/>
        </w:rPr>
        <w:t xml:space="preserve">prominent changes. A clear increase in peroxisomal bodies was not seen. </w:t>
      </w:r>
      <w:r w:rsidR="00AC38A7">
        <w:rPr>
          <w:lang w:bidi="ar-SA"/>
        </w:rPr>
        <w:t>A statistically significant increase in hepatocellular centrilobular hypertrophy was also observed in males fed 2 ppm. However, this was not accompanied by any other histopathological signs of toxicity or relevant clinical</w:t>
      </w:r>
      <w:r w:rsidR="00815D27">
        <w:rPr>
          <w:lang w:bidi="ar-SA"/>
        </w:rPr>
        <w:t xml:space="preserve"> chemistry</w:t>
      </w:r>
      <w:r w:rsidR="00AC38A7">
        <w:rPr>
          <w:lang w:bidi="ar-SA"/>
        </w:rPr>
        <w:t xml:space="preserve"> changes, and the incidence of hypertrophy at this dose was relatively low. Therefore this effect was not considered to be adverse.</w:t>
      </w:r>
    </w:p>
    <w:p w14:paraId="64AC9129" w14:textId="119DB316" w:rsidR="00EE531B" w:rsidRDefault="00EE531B" w:rsidP="00A111E9">
      <w:pPr>
        <w:rPr>
          <w:lang w:bidi="ar-SA"/>
        </w:rPr>
      </w:pPr>
    </w:p>
    <w:p w14:paraId="4323F96C" w14:textId="0AB5BAE4" w:rsidR="005F306C" w:rsidRDefault="00541F49" w:rsidP="00A111E9">
      <w:pPr>
        <w:rPr>
          <w:lang w:bidi="ar-SA"/>
        </w:rPr>
      </w:pPr>
      <w:r>
        <w:rPr>
          <w:lang w:bidi="ar-SA"/>
        </w:rPr>
        <w:t>Hepatocellular lesions were not evident</w:t>
      </w:r>
      <w:r w:rsidR="00EE531B">
        <w:rPr>
          <w:lang w:bidi="ar-SA"/>
        </w:rPr>
        <w:t xml:space="preserve"> in the 20 ppm recovery animals at </w:t>
      </w:r>
      <w:r w:rsidR="00FA1544">
        <w:rPr>
          <w:lang w:bidi="ar-SA"/>
        </w:rPr>
        <w:t>the end of the study</w:t>
      </w:r>
      <w:bookmarkStart w:id="137" w:name="_Ref464747421"/>
      <w:r w:rsidR="00925087">
        <w:rPr>
          <w:lang w:bidi="ar-SA"/>
        </w:rPr>
        <w:t>.</w:t>
      </w:r>
    </w:p>
    <w:p w14:paraId="40F0F72C" w14:textId="77777777" w:rsidR="005F306C" w:rsidRDefault="005F306C" w:rsidP="00A111E9">
      <w:pPr>
        <w:pStyle w:val="FSTableTitle"/>
      </w:pPr>
    </w:p>
    <w:p w14:paraId="5E9ECA8B" w14:textId="0DDA596C" w:rsidR="008C4B9D" w:rsidRDefault="008C4B9D" w:rsidP="00A111E9">
      <w:pPr>
        <w:rPr>
          <w:lang w:bidi="ar-SA"/>
        </w:rPr>
      </w:pPr>
      <w:r>
        <w:rPr>
          <w:lang w:bidi="ar-SA"/>
        </w:rPr>
        <w:t>With respect to neoplastic lesions, a significantly increased incidence of hepatocellular adenomas was seen in 20 ppm</w:t>
      </w:r>
      <w:r w:rsidR="00283936">
        <w:rPr>
          <w:lang w:bidi="ar-SA"/>
        </w:rPr>
        <w:t xml:space="preserve"> males</w:t>
      </w:r>
      <w:r>
        <w:rPr>
          <w:lang w:bidi="ar-SA"/>
        </w:rPr>
        <w:t xml:space="preserve"> compared with controls (7/60 at 20 ppm, 0/60 in controls). No hepatocellular ademonas were seen in the 20 ppm recovery males. A statistically significant increase in the incidence of thyroid follicular cell ademonas was seen in the 20 ppm recovery males (9/39) compared to the controls (3/60) or the 20 ppm group (4/59). The signific</w:t>
      </w:r>
      <w:r w:rsidR="001B56C1">
        <w:rPr>
          <w:lang w:bidi="ar-SA"/>
        </w:rPr>
        <w:t>ance of this finding is unclear since</w:t>
      </w:r>
      <w:r>
        <w:rPr>
          <w:lang w:bidi="ar-SA"/>
        </w:rPr>
        <w:t xml:space="preserve"> there was no significant trend in thyroid tumours across treatment groups</w:t>
      </w:r>
      <w:r w:rsidR="001B56C1">
        <w:rPr>
          <w:lang w:bidi="ar-SA"/>
        </w:rPr>
        <w:t>,</w:t>
      </w:r>
      <w:r>
        <w:rPr>
          <w:lang w:bidi="ar-SA"/>
        </w:rPr>
        <w:t xml:space="preserve"> and there was no other microscopic evidence of thyroid abnormality.</w:t>
      </w:r>
    </w:p>
    <w:p w14:paraId="18B690E3" w14:textId="77777777" w:rsidR="008C4B9D" w:rsidRDefault="008C4B9D" w:rsidP="00A111E9">
      <w:pPr>
        <w:widowControl/>
        <w:rPr>
          <w:rFonts w:cs="Arial"/>
          <w:b/>
        </w:rPr>
      </w:pPr>
      <w:r>
        <w:br w:type="page"/>
      </w:r>
    </w:p>
    <w:p w14:paraId="70361C92" w14:textId="48074DF6" w:rsidR="00656AB4" w:rsidRPr="00656AB4" w:rsidRDefault="00726534" w:rsidP="00A111E9">
      <w:pPr>
        <w:pStyle w:val="FSTableTitle"/>
      </w:pPr>
      <w:r w:rsidRPr="008C6F07">
        <w:lastRenderedPageBreak/>
        <w:t xml:space="preserve">Table </w:t>
      </w:r>
      <w:r w:rsidR="00BC19E6">
        <w:fldChar w:fldCharType="begin"/>
      </w:r>
      <w:r w:rsidR="00BC19E6">
        <w:instrText xml:space="preserve"> SEQ Table \* ARABIC </w:instrText>
      </w:r>
      <w:r w:rsidR="00BC19E6">
        <w:fldChar w:fldCharType="separate"/>
      </w:r>
      <w:r w:rsidR="00F4394A">
        <w:rPr>
          <w:noProof/>
        </w:rPr>
        <w:t>6</w:t>
      </w:r>
      <w:r w:rsidR="00BC19E6">
        <w:rPr>
          <w:noProof/>
        </w:rPr>
        <w:fldChar w:fldCharType="end"/>
      </w:r>
      <w:bookmarkEnd w:id="137"/>
      <w:r w:rsidR="00BE256E">
        <w:rPr>
          <w:b w:val="0"/>
        </w:rPr>
        <w:t>:</w:t>
      </w:r>
      <w:r w:rsidRPr="008C6F07">
        <w:t xml:space="preserve"> Incidence of non-neoplastic liver lesions in male and female rats</w:t>
      </w:r>
    </w:p>
    <w:tbl>
      <w:tblPr>
        <w:tblStyle w:val="TableGrid"/>
        <w:tblW w:w="0" w:type="auto"/>
        <w:jc w:val="center"/>
        <w:tblLook w:val="04A0" w:firstRow="1" w:lastRow="0" w:firstColumn="1" w:lastColumn="0" w:noHBand="0" w:noVBand="1"/>
        <w:tblCaption w:val="Table 6: Incidence of non-neoplastic liver lesions in male and female rats"/>
        <w:tblDescription w:val="This table contains data relating to the incidence of non-neoplastic liver lesions in male and female rats."/>
      </w:tblPr>
      <w:tblGrid>
        <w:gridCol w:w="2466"/>
        <w:gridCol w:w="1286"/>
        <w:gridCol w:w="1286"/>
        <w:gridCol w:w="1286"/>
        <w:gridCol w:w="1286"/>
        <w:gridCol w:w="1287"/>
      </w:tblGrid>
      <w:tr w:rsidR="008D5E2F" w14:paraId="5F7287FB" w14:textId="77777777" w:rsidTr="00A24D2A">
        <w:trPr>
          <w:tblHeader/>
          <w:jc w:val="center"/>
        </w:trPr>
        <w:tc>
          <w:tcPr>
            <w:tcW w:w="2466" w:type="dxa"/>
            <w:vMerge w:val="restart"/>
            <w:shd w:val="clear" w:color="auto" w:fill="auto"/>
            <w:vAlign w:val="bottom"/>
          </w:tcPr>
          <w:p w14:paraId="36338109" w14:textId="769CD0FF" w:rsidR="008D5E2F" w:rsidRPr="00F6284E" w:rsidRDefault="008D5E2F" w:rsidP="00A111E9">
            <w:pPr>
              <w:rPr>
                <w:rFonts w:ascii="Arial" w:hAnsi="Arial"/>
                <w:b/>
                <w:sz w:val="18"/>
              </w:rPr>
            </w:pPr>
          </w:p>
          <w:p w14:paraId="185907E6" w14:textId="70E9FE20" w:rsidR="008D5E2F" w:rsidRPr="00F6284E" w:rsidRDefault="008D5E2F" w:rsidP="00A111E9">
            <w:pPr>
              <w:spacing w:after="40"/>
              <w:rPr>
                <w:rFonts w:ascii="Arial" w:hAnsi="Arial"/>
                <w:b/>
                <w:sz w:val="18"/>
              </w:rPr>
            </w:pPr>
            <w:r w:rsidRPr="00F6284E">
              <w:rPr>
                <w:b/>
                <w:sz w:val="18"/>
              </w:rPr>
              <w:t>Lesion</w:t>
            </w:r>
          </w:p>
        </w:tc>
        <w:tc>
          <w:tcPr>
            <w:tcW w:w="6431" w:type="dxa"/>
            <w:gridSpan w:val="5"/>
            <w:shd w:val="clear" w:color="auto" w:fill="auto"/>
          </w:tcPr>
          <w:p w14:paraId="25EBBB05" w14:textId="1D6462A4" w:rsidR="008D5E2F" w:rsidRPr="00F6284E" w:rsidRDefault="008D5E2F" w:rsidP="00326B55">
            <w:pPr>
              <w:spacing w:before="40" w:after="40"/>
              <w:jc w:val="center"/>
              <w:rPr>
                <w:rFonts w:ascii="Arial" w:hAnsi="Arial"/>
                <w:b/>
                <w:sz w:val="18"/>
              </w:rPr>
            </w:pPr>
            <w:r w:rsidRPr="00F6284E">
              <w:rPr>
                <w:b/>
                <w:sz w:val="18"/>
              </w:rPr>
              <w:t>Dietary PFOS concentration (ppm)</w:t>
            </w:r>
          </w:p>
        </w:tc>
      </w:tr>
      <w:tr w:rsidR="005224E3" w14:paraId="35C4CE0D" w14:textId="77777777" w:rsidTr="00A24D2A">
        <w:trPr>
          <w:tblHeader/>
          <w:jc w:val="center"/>
        </w:trPr>
        <w:tc>
          <w:tcPr>
            <w:tcW w:w="2466" w:type="dxa"/>
            <w:vMerge/>
            <w:shd w:val="clear" w:color="auto" w:fill="auto"/>
          </w:tcPr>
          <w:p w14:paraId="22E5B055" w14:textId="7FD4F6F6" w:rsidR="008D5E2F" w:rsidRPr="00F6284E" w:rsidRDefault="008D5E2F" w:rsidP="00A111E9">
            <w:pPr>
              <w:rPr>
                <w:rFonts w:ascii="Arial" w:hAnsi="Arial"/>
                <w:b/>
                <w:sz w:val="18"/>
              </w:rPr>
            </w:pPr>
          </w:p>
        </w:tc>
        <w:tc>
          <w:tcPr>
            <w:tcW w:w="1286" w:type="dxa"/>
            <w:shd w:val="clear" w:color="auto" w:fill="auto"/>
          </w:tcPr>
          <w:p w14:paraId="60AA72EF" w14:textId="2094815C" w:rsidR="008D5E2F" w:rsidRPr="00F6284E" w:rsidRDefault="008D5E2F" w:rsidP="00326B55">
            <w:pPr>
              <w:spacing w:before="40" w:after="40"/>
              <w:jc w:val="right"/>
              <w:rPr>
                <w:rFonts w:ascii="Arial" w:hAnsi="Arial"/>
                <w:b/>
                <w:sz w:val="18"/>
              </w:rPr>
            </w:pPr>
            <w:r w:rsidRPr="00F6284E">
              <w:rPr>
                <w:b/>
                <w:sz w:val="18"/>
              </w:rPr>
              <w:t>0</w:t>
            </w:r>
          </w:p>
        </w:tc>
        <w:tc>
          <w:tcPr>
            <w:tcW w:w="1286" w:type="dxa"/>
            <w:shd w:val="clear" w:color="auto" w:fill="auto"/>
          </w:tcPr>
          <w:p w14:paraId="060834A9" w14:textId="7C33728C" w:rsidR="008D5E2F" w:rsidRPr="00F6284E" w:rsidRDefault="008D5E2F" w:rsidP="00326B55">
            <w:pPr>
              <w:spacing w:before="40" w:after="40"/>
              <w:jc w:val="right"/>
              <w:rPr>
                <w:rFonts w:ascii="Arial" w:hAnsi="Arial"/>
                <w:b/>
                <w:sz w:val="18"/>
              </w:rPr>
            </w:pPr>
            <w:r w:rsidRPr="00F6284E">
              <w:rPr>
                <w:b/>
                <w:sz w:val="18"/>
              </w:rPr>
              <w:t>0.5</w:t>
            </w:r>
          </w:p>
        </w:tc>
        <w:tc>
          <w:tcPr>
            <w:tcW w:w="1286" w:type="dxa"/>
            <w:shd w:val="clear" w:color="auto" w:fill="auto"/>
          </w:tcPr>
          <w:p w14:paraId="03D8F836" w14:textId="5CBE53AD" w:rsidR="008D5E2F" w:rsidRPr="00F6284E" w:rsidRDefault="008D5E2F" w:rsidP="00326B55">
            <w:pPr>
              <w:spacing w:before="40" w:after="40"/>
              <w:jc w:val="right"/>
              <w:rPr>
                <w:rFonts w:ascii="Arial" w:hAnsi="Arial"/>
                <w:b/>
                <w:sz w:val="18"/>
              </w:rPr>
            </w:pPr>
            <w:r w:rsidRPr="00F6284E">
              <w:rPr>
                <w:b/>
                <w:sz w:val="18"/>
              </w:rPr>
              <w:t>2.0</w:t>
            </w:r>
          </w:p>
        </w:tc>
        <w:tc>
          <w:tcPr>
            <w:tcW w:w="1286" w:type="dxa"/>
            <w:shd w:val="clear" w:color="auto" w:fill="auto"/>
          </w:tcPr>
          <w:p w14:paraId="35B6E7AA" w14:textId="0C9D0691" w:rsidR="008D5E2F" w:rsidRPr="00F6284E" w:rsidRDefault="008D5E2F" w:rsidP="00326B55">
            <w:pPr>
              <w:spacing w:before="40" w:after="40"/>
              <w:jc w:val="right"/>
              <w:rPr>
                <w:rFonts w:ascii="Arial" w:hAnsi="Arial"/>
                <w:b/>
                <w:sz w:val="18"/>
              </w:rPr>
            </w:pPr>
            <w:r w:rsidRPr="00F6284E">
              <w:rPr>
                <w:b/>
                <w:sz w:val="18"/>
              </w:rPr>
              <w:t>5.0</w:t>
            </w:r>
          </w:p>
        </w:tc>
        <w:tc>
          <w:tcPr>
            <w:tcW w:w="1287" w:type="dxa"/>
            <w:shd w:val="clear" w:color="auto" w:fill="auto"/>
          </w:tcPr>
          <w:p w14:paraId="44E23980" w14:textId="7F119FAB" w:rsidR="008D5E2F" w:rsidRPr="00F6284E" w:rsidRDefault="008D5E2F" w:rsidP="00326B55">
            <w:pPr>
              <w:spacing w:before="40" w:after="40"/>
              <w:jc w:val="right"/>
              <w:rPr>
                <w:rFonts w:ascii="Arial" w:hAnsi="Arial"/>
                <w:b/>
                <w:sz w:val="18"/>
              </w:rPr>
            </w:pPr>
            <w:r w:rsidRPr="00F6284E">
              <w:rPr>
                <w:b/>
                <w:sz w:val="18"/>
              </w:rPr>
              <w:t>20</w:t>
            </w:r>
          </w:p>
        </w:tc>
      </w:tr>
      <w:tr w:rsidR="002F5091" w14:paraId="76AC1056" w14:textId="77777777" w:rsidTr="002A3A73">
        <w:trPr>
          <w:jc w:val="center"/>
        </w:trPr>
        <w:tc>
          <w:tcPr>
            <w:tcW w:w="8897" w:type="dxa"/>
            <w:gridSpan w:val="6"/>
            <w:shd w:val="clear" w:color="auto" w:fill="auto"/>
            <w:vAlign w:val="center"/>
          </w:tcPr>
          <w:p w14:paraId="2F269843" w14:textId="7A3DC322" w:rsidR="002F5091" w:rsidRPr="000B3C14" w:rsidRDefault="002F5091" w:rsidP="00326B55">
            <w:pPr>
              <w:spacing w:before="40" w:after="40"/>
              <w:rPr>
                <w:rFonts w:ascii="Arial" w:hAnsi="Arial"/>
                <w:b/>
                <w:sz w:val="18"/>
              </w:rPr>
            </w:pPr>
            <w:r w:rsidRPr="00D711DD">
              <w:rPr>
                <w:b/>
                <w:sz w:val="18"/>
              </w:rPr>
              <w:t>Males</w:t>
            </w:r>
          </w:p>
        </w:tc>
      </w:tr>
      <w:tr w:rsidR="005224E3" w14:paraId="425A5F38" w14:textId="77777777" w:rsidTr="002A3A73">
        <w:trPr>
          <w:trHeight w:val="283"/>
          <w:jc w:val="center"/>
        </w:trPr>
        <w:tc>
          <w:tcPr>
            <w:tcW w:w="2466" w:type="dxa"/>
            <w:shd w:val="clear" w:color="auto" w:fill="auto"/>
            <w:vAlign w:val="center"/>
          </w:tcPr>
          <w:p w14:paraId="41FBB6D1" w14:textId="2E73FAA5" w:rsidR="008D5E2F" w:rsidRPr="000B3C14" w:rsidRDefault="008D5E2F" w:rsidP="00A111E9">
            <w:pPr>
              <w:rPr>
                <w:rFonts w:ascii="Arial" w:hAnsi="Arial"/>
                <w:sz w:val="18"/>
              </w:rPr>
            </w:pPr>
            <w:r w:rsidRPr="00D711DD">
              <w:rPr>
                <w:sz w:val="18"/>
              </w:rPr>
              <w:t>Centrilobular hypertrophy</w:t>
            </w:r>
          </w:p>
        </w:tc>
        <w:tc>
          <w:tcPr>
            <w:tcW w:w="1286" w:type="dxa"/>
            <w:vAlign w:val="center"/>
          </w:tcPr>
          <w:p w14:paraId="70A14843" w14:textId="41C2AF78" w:rsidR="008D5E2F" w:rsidRPr="00F6284E" w:rsidRDefault="005224E3" w:rsidP="00326B55">
            <w:pPr>
              <w:jc w:val="right"/>
              <w:rPr>
                <w:rFonts w:ascii="Arial" w:hAnsi="Arial"/>
                <w:sz w:val="18"/>
              </w:rPr>
            </w:pPr>
            <w:r w:rsidRPr="00F6284E">
              <w:rPr>
                <w:sz w:val="18"/>
              </w:rPr>
              <w:t>0/65</w:t>
            </w:r>
          </w:p>
        </w:tc>
        <w:tc>
          <w:tcPr>
            <w:tcW w:w="1286" w:type="dxa"/>
            <w:vAlign w:val="center"/>
          </w:tcPr>
          <w:p w14:paraId="765E3875" w14:textId="76029303" w:rsidR="008D5E2F" w:rsidRPr="00F6284E" w:rsidRDefault="005224E3" w:rsidP="00326B55">
            <w:pPr>
              <w:jc w:val="right"/>
              <w:rPr>
                <w:rFonts w:ascii="Arial" w:hAnsi="Arial"/>
                <w:sz w:val="18"/>
              </w:rPr>
            </w:pPr>
            <w:r w:rsidRPr="00F6284E">
              <w:rPr>
                <w:sz w:val="18"/>
              </w:rPr>
              <w:t>2/55</w:t>
            </w:r>
          </w:p>
        </w:tc>
        <w:tc>
          <w:tcPr>
            <w:tcW w:w="1286" w:type="dxa"/>
            <w:vAlign w:val="center"/>
          </w:tcPr>
          <w:p w14:paraId="17A8E5F4" w14:textId="5BCEC1CA" w:rsidR="008D5E2F" w:rsidRPr="00F6284E" w:rsidRDefault="005224E3" w:rsidP="00326B55">
            <w:pPr>
              <w:jc w:val="right"/>
              <w:rPr>
                <w:rFonts w:ascii="Arial" w:hAnsi="Arial"/>
                <w:sz w:val="18"/>
              </w:rPr>
            </w:pPr>
            <w:r w:rsidRPr="00F6284E">
              <w:rPr>
                <w:sz w:val="18"/>
              </w:rPr>
              <w:t>4/55*</w:t>
            </w:r>
          </w:p>
        </w:tc>
        <w:tc>
          <w:tcPr>
            <w:tcW w:w="1286" w:type="dxa"/>
            <w:vAlign w:val="center"/>
          </w:tcPr>
          <w:p w14:paraId="458A8873" w14:textId="10A30CE9" w:rsidR="008D5E2F" w:rsidRPr="00F6284E" w:rsidRDefault="005224E3" w:rsidP="00326B55">
            <w:pPr>
              <w:jc w:val="right"/>
              <w:rPr>
                <w:rFonts w:ascii="Arial" w:hAnsi="Arial"/>
                <w:sz w:val="18"/>
              </w:rPr>
            </w:pPr>
            <w:r w:rsidRPr="00F6284E">
              <w:rPr>
                <w:sz w:val="18"/>
              </w:rPr>
              <w:t>22/55**</w:t>
            </w:r>
          </w:p>
        </w:tc>
        <w:tc>
          <w:tcPr>
            <w:tcW w:w="1287" w:type="dxa"/>
            <w:vAlign w:val="center"/>
          </w:tcPr>
          <w:p w14:paraId="6EA17034" w14:textId="7EBF58B3" w:rsidR="008D5E2F" w:rsidRPr="00F6284E" w:rsidRDefault="005224E3" w:rsidP="00326B55">
            <w:pPr>
              <w:jc w:val="right"/>
              <w:rPr>
                <w:rFonts w:ascii="Arial" w:hAnsi="Arial"/>
                <w:sz w:val="18"/>
              </w:rPr>
            </w:pPr>
            <w:r w:rsidRPr="00F6284E">
              <w:rPr>
                <w:sz w:val="18"/>
              </w:rPr>
              <w:t>42/65**</w:t>
            </w:r>
          </w:p>
        </w:tc>
      </w:tr>
      <w:tr w:rsidR="005224E3" w14:paraId="03A62723" w14:textId="77777777" w:rsidTr="002A3A73">
        <w:trPr>
          <w:jc w:val="center"/>
        </w:trPr>
        <w:tc>
          <w:tcPr>
            <w:tcW w:w="2466" w:type="dxa"/>
            <w:shd w:val="clear" w:color="auto" w:fill="auto"/>
            <w:vAlign w:val="center"/>
          </w:tcPr>
          <w:p w14:paraId="2003C994" w14:textId="290C5E24" w:rsidR="008D5E2F" w:rsidRPr="00F6284E" w:rsidRDefault="008D5E2F" w:rsidP="00A111E9">
            <w:pPr>
              <w:rPr>
                <w:rFonts w:ascii="Arial" w:hAnsi="Arial"/>
                <w:sz w:val="18"/>
              </w:rPr>
            </w:pPr>
            <w:r w:rsidRPr="00D711DD">
              <w:rPr>
                <w:sz w:val="18"/>
              </w:rPr>
              <w:t xml:space="preserve">Eosinophilic </w:t>
            </w:r>
            <w:r w:rsidR="002F5091" w:rsidRPr="000B3C14">
              <w:rPr>
                <w:sz w:val="18"/>
              </w:rPr>
              <w:t xml:space="preserve">cytoplasm </w:t>
            </w:r>
            <w:r w:rsidRPr="00F6284E">
              <w:rPr>
                <w:sz w:val="18"/>
              </w:rPr>
              <w:t>granules</w:t>
            </w:r>
            <w:r w:rsidR="005224E3" w:rsidRPr="00F6284E">
              <w:rPr>
                <w:sz w:val="18"/>
              </w:rPr>
              <w:t xml:space="preserve"> (centrilobular)</w:t>
            </w:r>
          </w:p>
        </w:tc>
        <w:tc>
          <w:tcPr>
            <w:tcW w:w="1286" w:type="dxa"/>
            <w:vAlign w:val="center"/>
          </w:tcPr>
          <w:p w14:paraId="4C58EB43" w14:textId="5A32F540" w:rsidR="008D5E2F" w:rsidRPr="00F6284E" w:rsidRDefault="005224E3" w:rsidP="00326B55">
            <w:pPr>
              <w:jc w:val="right"/>
              <w:rPr>
                <w:rFonts w:ascii="Arial" w:hAnsi="Arial"/>
                <w:sz w:val="18"/>
              </w:rPr>
            </w:pPr>
            <w:r w:rsidRPr="00F6284E">
              <w:rPr>
                <w:sz w:val="18"/>
              </w:rPr>
              <w:t>0/65</w:t>
            </w:r>
          </w:p>
        </w:tc>
        <w:tc>
          <w:tcPr>
            <w:tcW w:w="1286" w:type="dxa"/>
            <w:vAlign w:val="center"/>
          </w:tcPr>
          <w:p w14:paraId="0A464189" w14:textId="6FF77156" w:rsidR="008D5E2F" w:rsidRPr="00F6284E" w:rsidRDefault="005224E3" w:rsidP="00326B55">
            <w:pPr>
              <w:jc w:val="right"/>
              <w:rPr>
                <w:rFonts w:ascii="Arial" w:hAnsi="Arial"/>
                <w:sz w:val="18"/>
              </w:rPr>
            </w:pPr>
            <w:r w:rsidRPr="00F6284E">
              <w:rPr>
                <w:sz w:val="18"/>
              </w:rPr>
              <w:t>0/55</w:t>
            </w:r>
          </w:p>
        </w:tc>
        <w:tc>
          <w:tcPr>
            <w:tcW w:w="1286" w:type="dxa"/>
            <w:vAlign w:val="center"/>
          </w:tcPr>
          <w:p w14:paraId="444CD03A" w14:textId="02C3EF53" w:rsidR="008D5E2F" w:rsidRPr="00F6284E" w:rsidRDefault="005224E3" w:rsidP="00326B55">
            <w:pPr>
              <w:jc w:val="right"/>
              <w:rPr>
                <w:rFonts w:ascii="Arial" w:hAnsi="Arial"/>
                <w:sz w:val="18"/>
              </w:rPr>
            </w:pPr>
            <w:r w:rsidRPr="00F6284E">
              <w:rPr>
                <w:sz w:val="18"/>
              </w:rPr>
              <w:t>0/55</w:t>
            </w:r>
          </w:p>
        </w:tc>
        <w:tc>
          <w:tcPr>
            <w:tcW w:w="1286" w:type="dxa"/>
            <w:vAlign w:val="center"/>
          </w:tcPr>
          <w:p w14:paraId="51DD2865" w14:textId="31C0F907" w:rsidR="008D5E2F" w:rsidRPr="00F6284E" w:rsidRDefault="005224E3" w:rsidP="00326B55">
            <w:pPr>
              <w:jc w:val="right"/>
              <w:rPr>
                <w:rFonts w:ascii="Arial" w:hAnsi="Arial"/>
                <w:sz w:val="18"/>
              </w:rPr>
            </w:pPr>
            <w:r w:rsidRPr="00F6284E">
              <w:rPr>
                <w:sz w:val="18"/>
              </w:rPr>
              <w:t>0/55</w:t>
            </w:r>
          </w:p>
        </w:tc>
        <w:tc>
          <w:tcPr>
            <w:tcW w:w="1287" w:type="dxa"/>
            <w:vAlign w:val="center"/>
          </w:tcPr>
          <w:p w14:paraId="2C63970A" w14:textId="531E4C06" w:rsidR="008D5E2F" w:rsidRPr="00F6284E" w:rsidRDefault="005224E3" w:rsidP="00326B55">
            <w:pPr>
              <w:jc w:val="right"/>
              <w:rPr>
                <w:rFonts w:ascii="Arial" w:hAnsi="Arial"/>
                <w:sz w:val="18"/>
              </w:rPr>
            </w:pPr>
            <w:r w:rsidRPr="00F6284E">
              <w:rPr>
                <w:sz w:val="18"/>
              </w:rPr>
              <w:t>14/65**</w:t>
            </w:r>
          </w:p>
        </w:tc>
      </w:tr>
      <w:tr w:rsidR="005224E3" w14:paraId="0AD98EBB" w14:textId="77777777" w:rsidTr="002A3A73">
        <w:trPr>
          <w:jc w:val="center"/>
        </w:trPr>
        <w:tc>
          <w:tcPr>
            <w:tcW w:w="2466" w:type="dxa"/>
            <w:shd w:val="clear" w:color="auto" w:fill="auto"/>
            <w:vAlign w:val="center"/>
          </w:tcPr>
          <w:p w14:paraId="75B747E4" w14:textId="57455A46" w:rsidR="005224E3" w:rsidRPr="00F6284E" w:rsidRDefault="005224E3" w:rsidP="00A111E9">
            <w:pPr>
              <w:rPr>
                <w:rFonts w:ascii="Arial" w:hAnsi="Arial"/>
                <w:sz w:val="18"/>
              </w:rPr>
            </w:pPr>
            <w:r w:rsidRPr="00D711DD">
              <w:rPr>
                <w:sz w:val="18"/>
              </w:rPr>
              <w:t>Centril</w:t>
            </w:r>
            <w:r w:rsidRPr="000B3C14">
              <w:rPr>
                <w:sz w:val="18"/>
              </w:rPr>
              <w:t>obular hepatocellular pigment</w:t>
            </w:r>
          </w:p>
        </w:tc>
        <w:tc>
          <w:tcPr>
            <w:tcW w:w="1286" w:type="dxa"/>
            <w:vAlign w:val="center"/>
          </w:tcPr>
          <w:p w14:paraId="134DFA14" w14:textId="1AA50E11" w:rsidR="005224E3" w:rsidRPr="00F6284E" w:rsidRDefault="005224E3" w:rsidP="00326B55">
            <w:pPr>
              <w:jc w:val="right"/>
              <w:rPr>
                <w:rFonts w:ascii="Arial" w:hAnsi="Arial"/>
                <w:sz w:val="18"/>
              </w:rPr>
            </w:pPr>
            <w:r w:rsidRPr="00F6284E">
              <w:rPr>
                <w:sz w:val="18"/>
              </w:rPr>
              <w:t>0/65</w:t>
            </w:r>
          </w:p>
        </w:tc>
        <w:tc>
          <w:tcPr>
            <w:tcW w:w="1286" w:type="dxa"/>
            <w:vAlign w:val="center"/>
          </w:tcPr>
          <w:p w14:paraId="317F9BAC" w14:textId="49196576" w:rsidR="005224E3" w:rsidRPr="00F6284E" w:rsidRDefault="005224E3" w:rsidP="00326B55">
            <w:pPr>
              <w:jc w:val="right"/>
              <w:rPr>
                <w:rFonts w:ascii="Arial" w:hAnsi="Arial"/>
                <w:sz w:val="18"/>
              </w:rPr>
            </w:pPr>
            <w:r w:rsidRPr="00F6284E">
              <w:rPr>
                <w:sz w:val="18"/>
              </w:rPr>
              <w:t>0/55</w:t>
            </w:r>
          </w:p>
        </w:tc>
        <w:tc>
          <w:tcPr>
            <w:tcW w:w="1286" w:type="dxa"/>
            <w:vAlign w:val="center"/>
          </w:tcPr>
          <w:p w14:paraId="0783D720" w14:textId="6E563E0D" w:rsidR="005224E3" w:rsidRPr="00F6284E" w:rsidRDefault="005224E3" w:rsidP="00326B55">
            <w:pPr>
              <w:jc w:val="right"/>
              <w:rPr>
                <w:rFonts w:ascii="Arial" w:hAnsi="Arial"/>
                <w:sz w:val="18"/>
              </w:rPr>
            </w:pPr>
            <w:r w:rsidRPr="00F6284E">
              <w:rPr>
                <w:sz w:val="18"/>
              </w:rPr>
              <w:t>0/55</w:t>
            </w:r>
          </w:p>
        </w:tc>
        <w:tc>
          <w:tcPr>
            <w:tcW w:w="1286" w:type="dxa"/>
            <w:vAlign w:val="center"/>
          </w:tcPr>
          <w:p w14:paraId="67E09E98" w14:textId="7D975EEC" w:rsidR="005224E3" w:rsidRPr="00F6284E" w:rsidRDefault="005224E3" w:rsidP="00326B55">
            <w:pPr>
              <w:jc w:val="right"/>
              <w:rPr>
                <w:rFonts w:ascii="Arial" w:hAnsi="Arial"/>
                <w:sz w:val="18"/>
              </w:rPr>
            </w:pPr>
            <w:r w:rsidRPr="00F6284E">
              <w:rPr>
                <w:sz w:val="18"/>
              </w:rPr>
              <w:t>0/55</w:t>
            </w:r>
          </w:p>
        </w:tc>
        <w:tc>
          <w:tcPr>
            <w:tcW w:w="1287" w:type="dxa"/>
            <w:vAlign w:val="center"/>
          </w:tcPr>
          <w:p w14:paraId="2F31215C" w14:textId="33217AA6" w:rsidR="005224E3" w:rsidRPr="00F6284E" w:rsidRDefault="005224E3" w:rsidP="00326B55">
            <w:pPr>
              <w:jc w:val="right"/>
              <w:rPr>
                <w:rFonts w:ascii="Arial" w:hAnsi="Arial"/>
                <w:sz w:val="18"/>
              </w:rPr>
            </w:pPr>
            <w:r w:rsidRPr="00F6284E">
              <w:rPr>
                <w:sz w:val="18"/>
              </w:rPr>
              <w:t>6/65*</w:t>
            </w:r>
          </w:p>
        </w:tc>
      </w:tr>
      <w:tr w:rsidR="005224E3" w14:paraId="5D5DAD05" w14:textId="77777777" w:rsidTr="002A3A73">
        <w:trPr>
          <w:jc w:val="center"/>
        </w:trPr>
        <w:tc>
          <w:tcPr>
            <w:tcW w:w="2466" w:type="dxa"/>
            <w:shd w:val="clear" w:color="auto" w:fill="auto"/>
            <w:vAlign w:val="center"/>
          </w:tcPr>
          <w:p w14:paraId="18382EA7" w14:textId="70B6015A" w:rsidR="008D5E2F" w:rsidRPr="000B3C14" w:rsidRDefault="008D5E2F" w:rsidP="00A111E9">
            <w:pPr>
              <w:rPr>
                <w:rFonts w:ascii="Arial" w:hAnsi="Arial"/>
                <w:sz w:val="18"/>
              </w:rPr>
            </w:pPr>
            <w:r w:rsidRPr="00D711DD">
              <w:rPr>
                <w:sz w:val="18"/>
              </w:rPr>
              <w:t>Midzonal/centrilobular vacuolation</w:t>
            </w:r>
          </w:p>
        </w:tc>
        <w:tc>
          <w:tcPr>
            <w:tcW w:w="1286" w:type="dxa"/>
            <w:vAlign w:val="center"/>
          </w:tcPr>
          <w:p w14:paraId="3E627457" w14:textId="6F925650" w:rsidR="008D5E2F" w:rsidRPr="00F6284E" w:rsidRDefault="002F5091" w:rsidP="00326B55">
            <w:pPr>
              <w:jc w:val="right"/>
              <w:rPr>
                <w:rFonts w:ascii="Arial" w:hAnsi="Arial"/>
                <w:sz w:val="18"/>
              </w:rPr>
            </w:pPr>
            <w:r w:rsidRPr="00F6284E">
              <w:rPr>
                <w:sz w:val="18"/>
              </w:rPr>
              <w:t>3/65</w:t>
            </w:r>
          </w:p>
        </w:tc>
        <w:tc>
          <w:tcPr>
            <w:tcW w:w="1286" w:type="dxa"/>
            <w:vAlign w:val="center"/>
          </w:tcPr>
          <w:p w14:paraId="621605DF" w14:textId="437D5BE7" w:rsidR="008D5E2F" w:rsidRPr="00F6284E" w:rsidRDefault="002F5091" w:rsidP="00326B55">
            <w:pPr>
              <w:jc w:val="right"/>
              <w:rPr>
                <w:rFonts w:ascii="Arial" w:hAnsi="Arial"/>
                <w:sz w:val="18"/>
              </w:rPr>
            </w:pPr>
            <w:r w:rsidRPr="00F6284E">
              <w:rPr>
                <w:sz w:val="18"/>
              </w:rPr>
              <w:t>3/55</w:t>
            </w:r>
          </w:p>
        </w:tc>
        <w:tc>
          <w:tcPr>
            <w:tcW w:w="1286" w:type="dxa"/>
            <w:vAlign w:val="center"/>
          </w:tcPr>
          <w:p w14:paraId="01EC14CE" w14:textId="5F14E134" w:rsidR="008D5E2F" w:rsidRPr="00F6284E" w:rsidRDefault="002F5091" w:rsidP="00326B55">
            <w:pPr>
              <w:jc w:val="right"/>
              <w:rPr>
                <w:rFonts w:ascii="Arial" w:hAnsi="Arial"/>
                <w:sz w:val="18"/>
              </w:rPr>
            </w:pPr>
            <w:r w:rsidRPr="00F6284E">
              <w:rPr>
                <w:sz w:val="18"/>
              </w:rPr>
              <w:t>6/55</w:t>
            </w:r>
          </w:p>
        </w:tc>
        <w:tc>
          <w:tcPr>
            <w:tcW w:w="1286" w:type="dxa"/>
            <w:vAlign w:val="center"/>
          </w:tcPr>
          <w:p w14:paraId="58E6DFAD" w14:textId="692C9773" w:rsidR="008D5E2F" w:rsidRPr="00F6284E" w:rsidRDefault="002F5091" w:rsidP="00326B55">
            <w:pPr>
              <w:jc w:val="right"/>
              <w:rPr>
                <w:rFonts w:ascii="Arial" w:hAnsi="Arial"/>
                <w:sz w:val="18"/>
              </w:rPr>
            </w:pPr>
            <w:r w:rsidRPr="00F6284E">
              <w:rPr>
                <w:sz w:val="18"/>
              </w:rPr>
              <w:t>13</w:t>
            </w:r>
            <w:r w:rsidR="00AB1A53">
              <w:rPr>
                <w:sz w:val="18"/>
              </w:rPr>
              <w:t>/</w:t>
            </w:r>
            <w:r w:rsidRPr="00F6284E">
              <w:rPr>
                <w:sz w:val="18"/>
              </w:rPr>
              <w:t>55**</w:t>
            </w:r>
          </w:p>
        </w:tc>
        <w:tc>
          <w:tcPr>
            <w:tcW w:w="1287" w:type="dxa"/>
            <w:vAlign w:val="center"/>
          </w:tcPr>
          <w:p w14:paraId="2C1FDC93" w14:textId="543FAC4A" w:rsidR="008D5E2F" w:rsidRPr="00F6284E" w:rsidRDefault="002F5091" w:rsidP="00326B55">
            <w:pPr>
              <w:jc w:val="right"/>
              <w:rPr>
                <w:rFonts w:ascii="Arial" w:hAnsi="Arial"/>
                <w:sz w:val="18"/>
              </w:rPr>
            </w:pPr>
            <w:r w:rsidRPr="00F6284E">
              <w:rPr>
                <w:sz w:val="18"/>
              </w:rPr>
              <w:t>19/65**</w:t>
            </w:r>
          </w:p>
        </w:tc>
      </w:tr>
      <w:tr w:rsidR="005224E3" w14:paraId="446F1A78" w14:textId="77777777" w:rsidTr="002A3A73">
        <w:trPr>
          <w:jc w:val="center"/>
        </w:trPr>
        <w:tc>
          <w:tcPr>
            <w:tcW w:w="2466" w:type="dxa"/>
            <w:shd w:val="clear" w:color="auto" w:fill="auto"/>
            <w:vAlign w:val="center"/>
          </w:tcPr>
          <w:p w14:paraId="6DC38CCE" w14:textId="115EC90B" w:rsidR="008D5E2F" w:rsidRPr="000B3C14" w:rsidRDefault="008D5E2F" w:rsidP="00A111E9">
            <w:pPr>
              <w:rPr>
                <w:rFonts w:ascii="Arial" w:hAnsi="Arial"/>
                <w:sz w:val="18"/>
              </w:rPr>
            </w:pPr>
            <w:r w:rsidRPr="00D711DD">
              <w:rPr>
                <w:sz w:val="18"/>
              </w:rPr>
              <w:t>Individual hepatocyte necrosis</w:t>
            </w:r>
          </w:p>
        </w:tc>
        <w:tc>
          <w:tcPr>
            <w:tcW w:w="1286" w:type="dxa"/>
            <w:vAlign w:val="center"/>
          </w:tcPr>
          <w:p w14:paraId="01FD9B93" w14:textId="0B61BB0E" w:rsidR="008D5E2F" w:rsidRPr="00F6284E" w:rsidRDefault="002F5091" w:rsidP="00326B55">
            <w:pPr>
              <w:jc w:val="right"/>
              <w:rPr>
                <w:rFonts w:ascii="Arial" w:hAnsi="Arial"/>
                <w:sz w:val="18"/>
              </w:rPr>
            </w:pPr>
            <w:r w:rsidRPr="00F6284E">
              <w:rPr>
                <w:sz w:val="18"/>
              </w:rPr>
              <w:t>5/65</w:t>
            </w:r>
          </w:p>
        </w:tc>
        <w:tc>
          <w:tcPr>
            <w:tcW w:w="1286" w:type="dxa"/>
            <w:vAlign w:val="center"/>
          </w:tcPr>
          <w:p w14:paraId="7945F6B1" w14:textId="1D24E82C" w:rsidR="008D5E2F" w:rsidRPr="00F6284E" w:rsidRDefault="002F5091" w:rsidP="00326B55">
            <w:pPr>
              <w:jc w:val="right"/>
              <w:rPr>
                <w:rFonts w:ascii="Arial" w:hAnsi="Arial"/>
                <w:sz w:val="18"/>
              </w:rPr>
            </w:pPr>
            <w:r w:rsidRPr="00F6284E">
              <w:rPr>
                <w:sz w:val="18"/>
              </w:rPr>
              <w:t>4/55</w:t>
            </w:r>
          </w:p>
        </w:tc>
        <w:tc>
          <w:tcPr>
            <w:tcW w:w="1286" w:type="dxa"/>
            <w:vAlign w:val="center"/>
          </w:tcPr>
          <w:p w14:paraId="0C15EF86" w14:textId="61C085A2" w:rsidR="008D5E2F" w:rsidRPr="00F6284E" w:rsidRDefault="002F5091" w:rsidP="00326B55">
            <w:pPr>
              <w:jc w:val="right"/>
              <w:rPr>
                <w:rFonts w:ascii="Arial" w:hAnsi="Arial"/>
                <w:sz w:val="18"/>
              </w:rPr>
            </w:pPr>
            <w:r w:rsidRPr="00F6284E">
              <w:rPr>
                <w:sz w:val="18"/>
              </w:rPr>
              <w:t>6/55</w:t>
            </w:r>
          </w:p>
        </w:tc>
        <w:tc>
          <w:tcPr>
            <w:tcW w:w="1286" w:type="dxa"/>
            <w:vAlign w:val="center"/>
          </w:tcPr>
          <w:p w14:paraId="40929E74" w14:textId="65DD92F7" w:rsidR="008D5E2F" w:rsidRPr="00F6284E" w:rsidRDefault="002F5091" w:rsidP="00326B55">
            <w:pPr>
              <w:jc w:val="right"/>
              <w:rPr>
                <w:rFonts w:ascii="Arial" w:hAnsi="Arial"/>
                <w:sz w:val="18"/>
              </w:rPr>
            </w:pPr>
            <w:r w:rsidRPr="00F6284E">
              <w:rPr>
                <w:sz w:val="18"/>
              </w:rPr>
              <w:t>5/55</w:t>
            </w:r>
          </w:p>
        </w:tc>
        <w:tc>
          <w:tcPr>
            <w:tcW w:w="1287" w:type="dxa"/>
            <w:vAlign w:val="center"/>
          </w:tcPr>
          <w:p w14:paraId="53D59983" w14:textId="1C78EA7A" w:rsidR="008D5E2F" w:rsidRPr="00F6284E" w:rsidRDefault="002F5091" w:rsidP="00326B55">
            <w:pPr>
              <w:jc w:val="right"/>
              <w:rPr>
                <w:rFonts w:ascii="Arial" w:hAnsi="Arial"/>
                <w:sz w:val="18"/>
              </w:rPr>
            </w:pPr>
            <w:r w:rsidRPr="00F6284E">
              <w:rPr>
                <w:sz w:val="18"/>
              </w:rPr>
              <w:t>14/65*</w:t>
            </w:r>
          </w:p>
        </w:tc>
      </w:tr>
      <w:tr w:rsidR="002F5091" w14:paraId="62F3D37E" w14:textId="77777777" w:rsidTr="002A3A73">
        <w:trPr>
          <w:jc w:val="center"/>
        </w:trPr>
        <w:tc>
          <w:tcPr>
            <w:tcW w:w="8897" w:type="dxa"/>
            <w:gridSpan w:val="6"/>
            <w:shd w:val="clear" w:color="auto" w:fill="auto"/>
          </w:tcPr>
          <w:p w14:paraId="3953E7E3" w14:textId="074E17D4" w:rsidR="002F5091" w:rsidRPr="000B3C14" w:rsidRDefault="002F5091" w:rsidP="00326B55">
            <w:pPr>
              <w:spacing w:before="40" w:after="40"/>
              <w:rPr>
                <w:rFonts w:ascii="Arial" w:hAnsi="Arial"/>
                <w:b/>
                <w:sz w:val="18"/>
              </w:rPr>
            </w:pPr>
            <w:r w:rsidRPr="00D711DD">
              <w:rPr>
                <w:b/>
                <w:sz w:val="18"/>
              </w:rPr>
              <w:t>Females</w:t>
            </w:r>
          </w:p>
        </w:tc>
      </w:tr>
      <w:tr w:rsidR="002F5091" w14:paraId="3862A059" w14:textId="77777777" w:rsidTr="002A3A73">
        <w:trPr>
          <w:trHeight w:val="283"/>
          <w:jc w:val="center"/>
        </w:trPr>
        <w:tc>
          <w:tcPr>
            <w:tcW w:w="2466" w:type="dxa"/>
            <w:shd w:val="clear" w:color="auto" w:fill="auto"/>
            <w:vAlign w:val="center"/>
          </w:tcPr>
          <w:p w14:paraId="3F05756B" w14:textId="4AC993B4" w:rsidR="002F5091" w:rsidRPr="000B3C14" w:rsidRDefault="002F5091" w:rsidP="00A111E9">
            <w:pPr>
              <w:rPr>
                <w:rFonts w:ascii="Arial" w:hAnsi="Arial"/>
                <w:sz w:val="18"/>
              </w:rPr>
            </w:pPr>
            <w:r w:rsidRPr="00D711DD">
              <w:rPr>
                <w:sz w:val="18"/>
              </w:rPr>
              <w:t>Centrilobular hypertrophy</w:t>
            </w:r>
          </w:p>
        </w:tc>
        <w:tc>
          <w:tcPr>
            <w:tcW w:w="1286" w:type="dxa"/>
            <w:vAlign w:val="center"/>
          </w:tcPr>
          <w:p w14:paraId="4F76723F" w14:textId="7A5A2728" w:rsidR="002F5091" w:rsidRPr="00F6284E" w:rsidRDefault="002F5091" w:rsidP="00326B55">
            <w:pPr>
              <w:jc w:val="right"/>
              <w:rPr>
                <w:rFonts w:ascii="Arial" w:hAnsi="Arial"/>
                <w:sz w:val="18"/>
              </w:rPr>
            </w:pPr>
            <w:r w:rsidRPr="00F6284E">
              <w:rPr>
                <w:sz w:val="18"/>
              </w:rPr>
              <w:t>2/65</w:t>
            </w:r>
          </w:p>
        </w:tc>
        <w:tc>
          <w:tcPr>
            <w:tcW w:w="1286" w:type="dxa"/>
            <w:vAlign w:val="center"/>
          </w:tcPr>
          <w:p w14:paraId="0E09B5B4" w14:textId="6F9D289B" w:rsidR="002F5091" w:rsidRPr="00F6284E" w:rsidRDefault="002F5091" w:rsidP="00326B55">
            <w:pPr>
              <w:jc w:val="right"/>
              <w:rPr>
                <w:rFonts w:ascii="Arial" w:hAnsi="Arial"/>
                <w:sz w:val="18"/>
              </w:rPr>
            </w:pPr>
            <w:r w:rsidRPr="00F6284E">
              <w:rPr>
                <w:sz w:val="18"/>
              </w:rPr>
              <w:t>1/55</w:t>
            </w:r>
          </w:p>
        </w:tc>
        <w:tc>
          <w:tcPr>
            <w:tcW w:w="1286" w:type="dxa"/>
            <w:vAlign w:val="center"/>
          </w:tcPr>
          <w:p w14:paraId="258C7390" w14:textId="7B2BC4E8" w:rsidR="002F5091" w:rsidRPr="00F6284E" w:rsidRDefault="002F5091" w:rsidP="00326B55">
            <w:pPr>
              <w:jc w:val="right"/>
              <w:rPr>
                <w:rFonts w:ascii="Arial" w:hAnsi="Arial"/>
                <w:sz w:val="18"/>
              </w:rPr>
            </w:pPr>
            <w:r w:rsidRPr="00F6284E">
              <w:rPr>
                <w:sz w:val="18"/>
              </w:rPr>
              <w:t>4/55</w:t>
            </w:r>
          </w:p>
        </w:tc>
        <w:tc>
          <w:tcPr>
            <w:tcW w:w="1286" w:type="dxa"/>
            <w:vAlign w:val="center"/>
          </w:tcPr>
          <w:p w14:paraId="183A257F" w14:textId="3BCAB069" w:rsidR="002F5091" w:rsidRPr="00F6284E" w:rsidRDefault="002F5091" w:rsidP="00326B55">
            <w:pPr>
              <w:jc w:val="right"/>
              <w:rPr>
                <w:rFonts w:ascii="Arial" w:hAnsi="Arial"/>
                <w:sz w:val="18"/>
              </w:rPr>
            </w:pPr>
            <w:r w:rsidRPr="00F6284E">
              <w:rPr>
                <w:sz w:val="18"/>
              </w:rPr>
              <w:t>16/55**</w:t>
            </w:r>
          </w:p>
        </w:tc>
        <w:tc>
          <w:tcPr>
            <w:tcW w:w="1287" w:type="dxa"/>
            <w:vAlign w:val="center"/>
          </w:tcPr>
          <w:p w14:paraId="09BD25DF" w14:textId="5158192D" w:rsidR="002F5091" w:rsidRPr="00F6284E" w:rsidRDefault="002F5091" w:rsidP="00326B55">
            <w:pPr>
              <w:jc w:val="right"/>
              <w:rPr>
                <w:rFonts w:ascii="Arial" w:hAnsi="Arial"/>
                <w:sz w:val="18"/>
              </w:rPr>
            </w:pPr>
            <w:r w:rsidRPr="00F6284E">
              <w:rPr>
                <w:sz w:val="18"/>
              </w:rPr>
              <w:t>52/65**</w:t>
            </w:r>
          </w:p>
        </w:tc>
      </w:tr>
      <w:tr w:rsidR="002F5091" w14:paraId="60BEA304" w14:textId="77777777" w:rsidTr="002A3A73">
        <w:trPr>
          <w:jc w:val="center"/>
        </w:trPr>
        <w:tc>
          <w:tcPr>
            <w:tcW w:w="2466" w:type="dxa"/>
            <w:shd w:val="clear" w:color="auto" w:fill="auto"/>
            <w:vAlign w:val="center"/>
          </w:tcPr>
          <w:p w14:paraId="2C708401" w14:textId="282AC02C" w:rsidR="002F5091" w:rsidRPr="00F6284E" w:rsidRDefault="002F5091" w:rsidP="00A111E9">
            <w:pPr>
              <w:rPr>
                <w:rFonts w:ascii="Arial" w:hAnsi="Arial"/>
                <w:sz w:val="18"/>
              </w:rPr>
            </w:pPr>
            <w:r w:rsidRPr="00D711DD">
              <w:rPr>
                <w:sz w:val="18"/>
              </w:rPr>
              <w:t>Eosinop</w:t>
            </w:r>
            <w:r w:rsidRPr="000B3C14">
              <w:rPr>
                <w:sz w:val="18"/>
              </w:rPr>
              <w:t>hilic cytoplasm granules (centrilobular)</w:t>
            </w:r>
          </w:p>
        </w:tc>
        <w:tc>
          <w:tcPr>
            <w:tcW w:w="1286" w:type="dxa"/>
            <w:vAlign w:val="center"/>
          </w:tcPr>
          <w:p w14:paraId="7384D5EE" w14:textId="69DE768C" w:rsidR="002F5091" w:rsidRPr="00F6284E" w:rsidRDefault="002F5091" w:rsidP="00326B55">
            <w:pPr>
              <w:jc w:val="right"/>
              <w:rPr>
                <w:rFonts w:ascii="Arial" w:hAnsi="Arial"/>
                <w:sz w:val="18"/>
              </w:rPr>
            </w:pPr>
            <w:r w:rsidRPr="00F6284E">
              <w:rPr>
                <w:sz w:val="18"/>
              </w:rPr>
              <w:t>0/65</w:t>
            </w:r>
          </w:p>
        </w:tc>
        <w:tc>
          <w:tcPr>
            <w:tcW w:w="1286" w:type="dxa"/>
            <w:vAlign w:val="center"/>
          </w:tcPr>
          <w:p w14:paraId="4A0FF4CF" w14:textId="1676C0DD" w:rsidR="002F5091" w:rsidRPr="00F6284E" w:rsidRDefault="002F5091" w:rsidP="00326B55">
            <w:pPr>
              <w:jc w:val="right"/>
              <w:rPr>
                <w:rFonts w:ascii="Arial" w:hAnsi="Arial"/>
                <w:sz w:val="18"/>
              </w:rPr>
            </w:pPr>
            <w:r w:rsidRPr="00F6284E">
              <w:rPr>
                <w:sz w:val="18"/>
              </w:rPr>
              <w:t>0/55</w:t>
            </w:r>
          </w:p>
        </w:tc>
        <w:tc>
          <w:tcPr>
            <w:tcW w:w="1286" w:type="dxa"/>
            <w:vAlign w:val="center"/>
          </w:tcPr>
          <w:p w14:paraId="612F91DF" w14:textId="64D19641" w:rsidR="002F5091" w:rsidRPr="00F6284E" w:rsidRDefault="002F5091" w:rsidP="00326B55">
            <w:pPr>
              <w:jc w:val="right"/>
              <w:rPr>
                <w:rFonts w:ascii="Arial" w:hAnsi="Arial"/>
                <w:sz w:val="18"/>
              </w:rPr>
            </w:pPr>
            <w:r w:rsidRPr="00F6284E">
              <w:rPr>
                <w:sz w:val="18"/>
              </w:rPr>
              <w:t>0/55</w:t>
            </w:r>
          </w:p>
        </w:tc>
        <w:tc>
          <w:tcPr>
            <w:tcW w:w="1286" w:type="dxa"/>
            <w:vAlign w:val="center"/>
          </w:tcPr>
          <w:p w14:paraId="78FC0EB2" w14:textId="577E2FC0" w:rsidR="002F5091" w:rsidRPr="00F6284E" w:rsidRDefault="002F5091" w:rsidP="00326B55">
            <w:pPr>
              <w:jc w:val="right"/>
              <w:rPr>
                <w:rFonts w:ascii="Arial" w:hAnsi="Arial"/>
                <w:sz w:val="18"/>
              </w:rPr>
            </w:pPr>
            <w:r w:rsidRPr="00F6284E">
              <w:rPr>
                <w:sz w:val="18"/>
              </w:rPr>
              <w:t>7/55</w:t>
            </w:r>
          </w:p>
        </w:tc>
        <w:tc>
          <w:tcPr>
            <w:tcW w:w="1287" w:type="dxa"/>
            <w:vAlign w:val="center"/>
          </w:tcPr>
          <w:p w14:paraId="78CCB813" w14:textId="1EFAC76C" w:rsidR="002F5091" w:rsidRPr="00F6284E" w:rsidRDefault="002F5091" w:rsidP="00326B55">
            <w:pPr>
              <w:jc w:val="right"/>
              <w:rPr>
                <w:rFonts w:ascii="Arial" w:hAnsi="Arial"/>
                <w:sz w:val="18"/>
              </w:rPr>
            </w:pPr>
            <w:r w:rsidRPr="00F6284E">
              <w:rPr>
                <w:sz w:val="18"/>
              </w:rPr>
              <w:t>36/65**</w:t>
            </w:r>
          </w:p>
        </w:tc>
      </w:tr>
      <w:tr w:rsidR="002F5091" w14:paraId="7C650BB0" w14:textId="77777777" w:rsidTr="002A3A73">
        <w:trPr>
          <w:jc w:val="center"/>
        </w:trPr>
        <w:tc>
          <w:tcPr>
            <w:tcW w:w="2466" w:type="dxa"/>
            <w:shd w:val="clear" w:color="auto" w:fill="auto"/>
            <w:vAlign w:val="center"/>
          </w:tcPr>
          <w:p w14:paraId="5AC17326" w14:textId="5CB2048B" w:rsidR="002F5091" w:rsidRPr="000B3C14" w:rsidRDefault="002F5091" w:rsidP="00A111E9">
            <w:pPr>
              <w:rPr>
                <w:rFonts w:ascii="Arial" w:hAnsi="Arial"/>
                <w:sz w:val="18"/>
              </w:rPr>
            </w:pPr>
            <w:r w:rsidRPr="00D711DD">
              <w:rPr>
                <w:sz w:val="18"/>
              </w:rPr>
              <w:t>Centrilobular hepatocellular pigment</w:t>
            </w:r>
          </w:p>
        </w:tc>
        <w:tc>
          <w:tcPr>
            <w:tcW w:w="1286" w:type="dxa"/>
            <w:vAlign w:val="center"/>
          </w:tcPr>
          <w:p w14:paraId="4A6B691F" w14:textId="1B0A1942" w:rsidR="002F5091" w:rsidRPr="00F6284E" w:rsidRDefault="00C83D56" w:rsidP="00326B55">
            <w:pPr>
              <w:jc w:val="right"/>
              <w:rPr>
                <w:rFonts w:ascii="Arial" w:hAnsi="Arial"/>
                <w:sz w:val="18"/>
              </w:rPr>
            </w:pPr>
            <w:r w:rsidRPr="00F6284E">
              <w:rPr>
                <w:sz w:val="18"/>
              </w:rPr>
              <w:t>0/65</w:t>
            </w:r>
          </w:p>
        </w:tc>
        <w:tc>
          <w:tcPr>
            <w:tcW w:w="1286" w:type="dxa"/>
            <w:vAlign w:val="center"/>
          </w:tcPr>
          <w:p w14:paraId="15ACAED2" w14:textId="0E86522A" w:rsidR="002F5091" w:rsidRPr="00F6284E" w:rsidRDefault="00C83D56" w:rsidP="00326B55">
            <w:pPr>
              <w:jc w:val="right"/>
              <w:rPr>
                <w:rFonts w:ascii="Arial" w:hAnsi="Arial"/>
                <w:sz w:val="18"/>
              </w:rPr>
            </w:pPr>
            <w:r w:rsidRPr="00F6284E">
              <w:rPr>
                <w:sz w:val="18"/>
              </w:rPr>
              <w:t>0/55</w:t>
            </w:r>
          </w:p>
        </w:tc>
        <w:tc>
          <w:tcPr>
            <w:tcW w:w="1286" w:type="dxa"/>
            <w:vAlign w:val="center"/>
          </w:tcPr>
          <w:p w14:paraId="1CBB58A0" w14:textId="6CA573D7" w:rsidR="002F5091" w:rsidRPr="00F6284E" w:rsidRDefault="00C83D56" w:rsidP="00326B55">
            <w:pPr>
              <w:jc w:val="right"/>
              <w:rPr>
                <w:rFonts w:ascii="Arial" w:hAnsi="Arial"/>
                <w:sz w:val="18"/>
              </w:rPr>
            </w:pPr>
            <w:r w:rsidRPr="00F6284E">
              <w:rPr>
                <w:sz w:val="18"/>
              </w:rPr>
              <w:t>0/55</w:t>
            </w:r>
          </w:p>
        </w:tc>
        <w:tc>
          <w:tcPr>
            <w:tcW w:w="1286" w:type="dxa"/>
            <w:vAlign w:val="center"/>
          </w:tcPr>
          <w:p w14:paraId="5A43BDA7" w14:textId="7ED6F3F3" w:rsidR="002F5091" w:rsidRPr="00F6284E" w:rsidRDefault="00C83D56" w:rsidP="00326B55">
            <w:pPr>
              <w:jc w:val="right"/>
              <w:rPr>
                <w:rFonts w:ascii="Arial" w:hAnsi="Arial"/>
                <w:sz w:val="18"/>
              </w:rPr>
            </w:pPr>
            <w:r w:rsidRPr="00F6284E">
              <w:rPr>
                <w:sz w:val="18"/>
              </w:rPr>
              <w:t>1/55</w:t>
            </w:r>
          </w:p>
        </w:tc>
        <w:tc>
          <w:tcPr>
            <w:tcW w:w="1287" w:type="dxa"/>
            <w:vAlign w:val="center"/>
          </w:tcPr>
          <w:p w14:paraId="73CF8D1A" w14:textId="6ED9FC58" w:rsidR="002F5091" w:rsidRPr="00F6284E" w:rsidRDefault="00C83D56" w:rsidP="00326B55">
            <w:pPr>
              <w:jc w:val="right"/>
              <w:rPr>
                <w:rFonts w:ascii="Arial" w:hAnsi="Arial"/>
                <w:sz w:val="18"/>
              </w:rPr>
            </w:pPr>
            <w:r w:rsidRPr="00F6284E">
              <w:rPr>
                <w:sz w:val="18"/>
              </w:rPr>
              <w:t>36/65**</w:t>
            </w:r>
          </w:p>
        </w:tc>
      </w:tr>
      <w:tr w:rsidR="002F5091" w14:paraId="6C89697E" w14:textId="77777777" w:rsidTr="002A3A73">
        <w:trPr>
          <w:jc w:val="center"/>
        </w:trPr>
        <w:tc>
          <w:tcPr>
            <w:tcW w:w="2466" w:type="dxa"/>
            <w:shd w:val="clear" w:color="auto" w:fill="auto"/>
            <w:vAlign w:val="center"/>
          </w:tcPr>
          <w:p w14:paraId="14297461" w14:textId="27F636DE" w:rsidR="002F5091" w:rsidRPr="000B3C14" w:rsidRDefault="002F5091" w:rsidP="00A111E9">
            <w:pPr>
              <w:rPr>
                <w:rFonts w:ascii="Arial" w:hAnsi="Arial"/>
                <w:sz w:val="18"/>
              </w:rPr>
            </w:pPr>
            <w:r w:rsidRPr="00D711DD">
              <w:rPr>
                <w:sz w:val="18"/>
              </w:rPr>
              <w:t>Individual hepatocyte necrosis</w:t>
            </w:r>
          </w:p>
        </w:tc>
        <w:tc>
          <w:tcPr>
            <w:tcW w:w="1286" w:type="dxa"/>
            <w:vAlign w:val="center"/>
          </w:tcPr>
          <w:p w14:paraId="15625E2B" w14:textId="48A4F842" w:rsidR="002F5091" w:rsidRPr="00F6284E" w:rsidRDefault="00C83D56" w:rsidP="00326B55">
            <w:pPr>
              <w:jc w:val="right"/>
              <w:rPr>
                <w:rFonts w:ascii="Arial" w:hAnsi="Arial"/>
                <w:sz w:val="18"/>
              </w:rPr>
            </w:pPr>
            <w:r w:rsidRPr="00F6284E">
              <w:rPr>
                <w:sz w:val="18"/>
              </w:rPr>
              <w:t>7/65</w:t>
            </w:r>
          </w:p>
        </w:tc>
        <w:tc>
          <w:tcPr>
            <w:tcW w:w="1286" w:type="dxa"/>
            <w:vAlign w:val="center"/>
          </w:tcPr>
          <w:p w14:paraId="79C3628C" w14:textId="41E7D44C" w:rsidR="002F5091" w:rsidRPr="00F6284E" w:rsidRDefault="00C83D56" w:rsidP="00326B55">
            <w:pPr>
              <w:jc w:val="right"/>
              <w:rPr>
                <w:rFonts w:ascii="Arial" w:hAnsi="Arial"/>
                <w:sz w:val="18"/>
              </w:rPr>
            </w:pPr>
            <w:r w:rsidRPr="00F6284E">
              <w:rPr>
                <w:sz w:val="18"/>
              </w:rPr>
              <w:t>6/55</w:t>
            </w:r>
          </w:p>
        </w:tc>
        <w:tc>
          <w:tcPr>
            <w:tcW w:w="1286" w:type="dxa"/>
            <w:vAlign w:val="center"/>
          </w:tcPr>
          <w:p w14:paraId="57A88746" w14:textId="054EA552" w:rsidR="002F5091" w:rsidRPr="00F6284E" w:rsidRDefault="00C83D56" w:rsidP="00326B55">
            <w:pPr>
              <w:jc w:val="right"/>
              <w:rPr>
                <w:rFonts w:ascii="Arial" w:hAnsi="Arial"/>
                <w:sz w:val="18"/>
              </w:rPr>
            </w:pPr>
            <w:r w:rsidRPr="00F6284E">
              <w:rPr>
                <w:sz w:val="18"/>
              </w:rPr>
              <w:t>6/55</w:t>
            </w:r>
          </w:p>
        </w:tc>
        <w:tc>
          <w:tcPr>
            <w:tcW w:w="1286" w:type="dxa"/>
            <w:vAlign w:val="center"/>
          </w:tcPr>
          <w:p w14:paraId="775A705A" w14:textId="0BE5B538" w:rsidR="002F5091" w:rsidRPr="00F6284E" w:rsidRDefault="00C83D56" w:rsidP="00326B55">
            <w:pPr>
              <w:jc w:val="right"/>
              <w:rPr>
                <w:rFonts w:ascii="Arial" w:hAnsi="Arial"/>
                <w:sz w:val="18"/>
              </w:rPr>
            </w:pPr>
            <w:r w:rsidRPr="00F6284E">
              <w:rPr>
                <w:sz w:val="18"/>
              </w:rPr>
              <w:t>6/55</w:t>
            </w:r>
          </w:p>
        </w:tc>
        <w:tc>
          <w:tcPr>
            <w:tcW w:w="1287" w:type="dxa"/>
            <w:vAlign w:val="center"/>
          </w:tcPr>
          <w:p w14:paraId="63952A6C" w14:textId="74499D94" w:rsidR="002F5091" w:rsidRPr="00F6284E" w:rsidRDefault="00C83D56" w:rsidP="00326B55">
            <w:pPr>
              <w:jc w:val="right"/>
              <w:rPr>
                <w:rFonts w:ascii="Arial" w:hAnsi="Arial"/>
                <w:sz w:val="18"/>
              </w:rPr>
            </w:pPr>
            <w:r w:rsidRPr="00F6284E">
              <w:rPr>
                <w:sz w:val="18"/>
              </w:rPr>
              <w:t>15/65**</w:t>
            </w:r>
          </w:p>
        </w:tc>
      </w:tr>
    </w:tbl>
    <w:p w14:paraId="621623CC" w14:textId="2B7D746E" w:rsidR="008D5E2F" w:rsidRPr="00017EF4" w:rsidRDefault="00C83D56" w:rsidP="00A111E9">
      <w:pPr>
        <w:spacing w:before="120"/>
        <w:ind w:left="142"/>
        <w:rPr>
          <w:sz w:val="16"/>
          <w:szCs w:val="16"/>
          <w:lang w:bidi="ar-SA"/>
        </w:rPr>
      </w:pPr>
      <w:r w:rsidRPr="00017EF4">
        <w:rPr>
          <w:sz w:val="16"/>
          <w:szCs w:val="16"/>
          <w:lang w:bidi="ar-SA"/>
        </w:rPr>
        <w:t>* significantly increased over control: p &lt; 0.05</w:t>
      </w:r>
    </w:p>
    <w:p w14:paraId="554106D4" w14:textId="06E8620D" w:rsidR="00C83D56" w:rsidRPr="00017EF4" w:rsidRDefault="00C83D56" w:rsidP="00A111E9">
      <w:pPr>
        <w:ind w:left="142"/>
        <w:rPr>
          <w:sz w:val="16"/>
          <w:szCs w:val="16"/>
          <w:lang w:bidi="ar-SA"/>
        </w:rPr>
      </w:pPr>
      <w:r w:rsidRPr="00017EF4">
        <w:rPr>
          <w:sz w:val="16"/>
          <w:szCs w:val="16"/>
          <w:lang w:bidi="ar-SA"/>
        </w:rPr>
        <w:t>** significantly increased over control: p &lt; 0.01</w:t>
      </w:r>
    </w:p>
    <w:p w14:paraId="4A80AAB4" w14:textId="77777777" w:rsidR="00540AAB" w:rsidRDefault="00540AAB" w:rsidP="00A111E9">
      <w:pPr>
        <w:rPr>
          <w:lang w:bidi="ar-SA"/>
        </w:rPr>
      </w:pPr>
    </w:p>
    <w:p w14:paraId="122F249E" w14:textId="3136211A" w:rsidR="009B6AE1" w:rsidRDefault="002848B3" w:rsidP="00A111E9">
      <w:pPr>
        <w:rPr>
          <w:lang w:bidi="ar-SA"/>
        </w:rPr>
      </w:pPr>
      <w:r>
        <w:rPr>
          <w:lang w:bidi="ar-SA"/>
        </w:rPr>
        <w:t xml:space="preserve">In females, statistically significant increased incidences of hepatocellular adenoma (5/60) and combined hepatocellular adenoma/carcinoma (6/60) were seen at the high dose compared with controls (0/60). A significant increase in combined thyroid follicular cell </w:t>
      </w:r>
      <w:r w:rsidR="00BE205C">
        <w:rPr>
          <w:lang w:bidi="ar-SA"/>
        </w:rPr>
        <w:t>adenoma</w:t>
      </w:r>
      <w:r>
        <w:rPr>
          <w:lang w:bidi="ar-SA"/>
        </w:rPr>
        <w:t xml:space="preserve"> and carcinoma was observed in the 5 ppm group (3/50) compared to controls and the 20 ppm group (0/60 and 1/60 respectively). </w:t>
      </w:r>
      <w:r w:rsidR="00540AAB">
        <w:rPr>
          <w:lang w:bidi="ar-SA"/>
        </w:rPr>
        <w:t xml:space="preserve">Thyroid C cell adenoma and thyroid C cell adenoma/carcinoma showed statistically significant decreased incidences in 20 ppm females compared with controls. </w:t>
      </w:r>
      <w:r w:rsidR="00A72A88">
        <w:rPr>
          <w:lang w:bidi="ar-SA"/>
        </w:rPr>
        <w:t>The 0.5 ppm females had significantly increased incidences of mammary fibroadenoma and mammary fibroadenoma/adenoma compared with controls. However, there was a lack of dose</w:t>
      </w:r>
      <w:r w:rsidR="001012A5">
        <w:rPr>
          <w:lang w:bidi="ar-SA"/>
        </w:rPr>
        <w:t>-</w:t>
      </w:r>
      <w:r w:rsidR="00A72A88">
        <w:rPr>
          <w:lang w:bidi="ar-SA"/>
        </w:rPr>
        <w:t>response and females in the high dose group had a significantly lower incidence than the controls, resulting in statistically significant decreased trends for the incidences of mammary fibroadenoma and mammary fibroadenoma/adenoma overall.</w:t>
      </w:r>
    </w:p>
    <w:p w14:paraId="36B15392" w14:textId="77777777" w:rsidR="003D3F1A" w:rsidRDefault="003D3F1A" w:rsidP="00A111E9">
      <w:pPr>
        <w:rPr>
          <w:lang w:bidi="ar-SA"/>
        </w:rPr>
      </w:pPr>
    </w:p>
    <w:p w14:paraId="05893A23" w14:textId="703BF32D" w:rsidR="00C35DE3" w:rsidRDefault="00AC38A7" w:rsidP="00A111E9">
      <w:pPr>
        <w:rPr>
          <w:lang w:bidi="ar-SA"/>
        </w:rPr>
      </w:pPr>
      <w:r>
        <w:rPr>
          <w:lang w:bidi="ar-SA"/>
        </w:rPr>
        <w:t>The NOAEL in this study was 2 ppm (equivalent to 0.098 mg/kg bw/day in male rats and 0.120 mg/kg bw/day in female rats), based on the findings of hepatotoxicity at 5 ppm</w:t>
      </w:r>
      <w:r w:rsidR="002D4693">
        <w:rPr>
          <w:lang w:bidi="ar-SA"/>
        </w:rPr>
        <w:t xml:space="preserve"> (equivalent to 0.242 mg/kg bw/day and 0.299 mg/kg bw/day in males and females, respectively)</w:t>
      </w:r>
      <w:r>
        <w:rPr>
          <w:lang w:bidi="ar-SA"/>
        </w:rPr>
        <w:t xml:space="preserve">. </w:t>
      </w:r>
      <w:r w:rsidR="00BF37ED">
        <w:rPr>
          <w:lang w:bidi="ar-SA"/>
        </w:rPr>
        <w:t xml:space="preserve">The mean serum PFOS concentrations after 14 weeks of dosing at the NOAEL were 17.10 </w:t>
      </w:r>
      <w:r w:rsidR="00CB500B">
        <w:rPr>
          <w:rFonts w:cs="Arial"/>
          <w:lang w:bidi="ar-SA"/>
        </w:rPr>
        <w:t>µg/mL</w:t>
      </w:r>
      <w:r w:rsidR="00BF37ED">
        <w:rPr>
          <w:lang w:bidi="ar-SA"/>
        </w:rPr>
        <w:t xml:space="preserve"> in males and 27.3 </w:t>
      </w:r>
      <w:r w:rsidR="00CB500B">
        <w:rPr>
          <w:rFonts w:cs="Arial"/>
          <w:lang w:bidi="ar-SA"/>
        </w:rPr>
        <w:t>µg/mL</w:t>
      </w:r>
      <w:r w:rsidR="00BF37ED">
        <w:rPr>
          <w:lang w:bidi="ar-SA"/>
        </w:rPr>
        <w:t xml:space="preserve"> in females. Mean serum PFOS concentrations after 14 weeks of dosing at the LOAEL were 43.9 </w:t>
      </w:r>
      <w:r w:rsidR="00CB500B">
        <w:rPr>
          <w:rFonts w:cs="Arial"/>
          <w:lang w:bidi="ar-SA"/>
        </w:rPr>
        <w:t>µg/mL</w:t>
      </w:r>
      <w:r w:rsidR="00BF37ED">
        <w:rPr>
          <w:lang w:bidi="ar-SA"/>
        </w:rPr>
        <w:t xml:space="preserve"> in males and 64.4 </w:t>
      </w:r>
      <w:r w:rsidR="00CB500B">
        <w:rPr>
          <w:rFonts w:cs="Arial"/>
          <w:lang w:bidi="ar-SA"/>
        </w:rPr>
        <w:t>µg/mL</w:t>
      </w:r>
      <w:r w:rsidR="00BF37ED">
        <w:rPr>
          <w:lang w:bidi="ar-SA"/>
        </w:rPr>
        <w:t xml:space="preserve"> in females.</w:t>
      </w:r>
    </w:p>
    <w:p w14:paraId="6770BA11" w14:textId="77777777" w:rsidR="00C35DE3" w:rsidRDefault="00C35DE3" w:rsidP="00A111E9">
      <w:pPr>
        <w:rPr>
          <w:lang w:bidi="ar-SA"/>
        </w:rPr>
      </w:pPr>
    </w:p>
    <w:p w14:paraId="31A50AAF" w14:textId="3BD688BB" w:rsidR="002718B6" w:rsidRPr="005727DE" w:rsidRDefault="00C35DE3" w:rsidP="00A111E9">
      <w:pPr>
        <w:widowControl/>
        <w:rPr>
          <w:lang w:bidi="ar-SA"/>
        </w:rPr>
      </w:pPr>
      <w:r>
        <w:rPr>
          <w:lang w:bidi="ar-SA"/>
        </w:rPr>
        <w:t xml:space="preserve">Serum PFOS concentrations for this study, as well as values relevant to the 14 week study summarised earlier in this document, are presented </w:t>
      </w:r>
      <w:r w:rsidR="005727DE">
        <w:rPr>
          <w:lang w:bidi="ar-SA"/>
        </w:rPr>
        <w:t xml:space="preserve">in Table 7. </w:t>
      </w:r>
    </w:p>
    <w:p w14:paraId="1E3BF25C" w14:textId="77777777" w:rsidR="008C4B9D" w:rsidRDefault="008C4B9D" w:rsidP="00A111E9">
      <w:pPr>
        <w:widowControl/>
        <w:rPr>
          <w:rFonts w:cs="Arial"/>
          <w:b/>
        </w:rPr>
      </w:pPr>
      <w:bookmarkStart w:id="138" w:name="_Ref467846713"/>
      <w:r>
        <w:br w:type="page"/>
      </w:r>
    </w:p>
    <w:p w14:paraId="49DCE092" w14:textId="67EB4698" w:rsidR="00017EF4" w:rsidRPr="00017EF4" w:rsidRDefault="006E5C5A" w:rsidP="00A111E9">
      <w:pPr>
        <w:pStyle w:val="FSTableTitle"/>
      </w:pPr>
      <w:r>
        <w:lastRenderedPageBreak/>
        <w:t xml:space="preserve">Table </w:t>
      </w:r>
      <w:r w:rsidR="00BC19E6">
        <w:fldChar w:fldCharType="begin"/>
      </w:r>
      <w:r w:rsidR="00BC19E6">
        <w:instrText xml:space="preserve"> SEQ Table \* ARABIC </w:instrText>
      </w:r>
      <w:r w:rsidR="00BC19E6">
        <w:fldChar w:fldCharType="separate"/>
      </w:r>
      <w:r w:rsidR="00F4394A">
        <w:rPr>
          <w:noProof/>
        </w:rPr>
        <w:t>7</w:t>
      </w:r>
      <w:r w:rsidR="00BC19E6">
        <w:rPr>
          <w:noProof/>
        </w:rPr>
        <w:fldChar w:fldCharType="end"/>
      </w:r>
      <w:bookmarkEnd w:id="138"/>
      <w:r w:rsidR="00BE256E">
        <w:rPr>
          <w:b w:val="0"/>
        </w:rPr>
        <w:t>:</w:t>
      </w:r>
      <w:r>
        <w:t xml:space="preserve"> Serum PFOS concentrations measured by Seacat </w:t>
      </w:r>
      <w:r w:rsidR="00180A32" w:rsidRPr="00180A32">
        <w:rPr>
          <w:i/>
        </w:rPr>
        <w:t xml:space="preserve">et al. </w:t>
      </w:r>
      <w:r w:rsidR="00F22DA6">
        <w:t xml:space="preserve"> </w:t>
      </w:r>
      <w:r>
        <w:t xml:space="preserve">(2003) and Butenhoff </w:t>
      </w:r>
      <w:r w:rsidR="00180A32" w:rsidRPr="00180A32">
        <w:rPr>
          <w:i/>
        </w:rPr>
        <w:t xml:space="preserve">et al. </w:t>
      </w:r>
      <w:r w:rsidR="00713213">
        <w:t xml:space="preserve"> </w:t>
      </w:r>
      <w:r>
        <w:t>(2012)</w:t>
      </w:r>
    </w:p>
    <w:tbl>
      <w:tblPr>
        <w:tblStyle w:val="TableGrid4"/>
        <w:tblW w:w="0" w:type="auto"/>
        <w:jc w:val="center"/>
        <w:tblLook w:val="04A0" w:firstRow="1" w:lastRow="0" w:firstColumn="1" w:lastColumn="0" w:noHBand="0" w:noVBand="1"/>
        <w:tblCaption w:val="Table 7: Serum PFOS concentrations measured by Seacat et al.  (2003) and Butenhoff et al.  (2012)"/>
        <w:tblDescription w:val="This table contains data relating to serum Perfluorooctane sulfonate concentrations measured by Seacat et al. and Butenhoff et al."/>
      </w:tblPr>
      <w:tblGrid>
        <w:gridCol w:w="1512"/>
        <w:gridCol w:w="1219"/>
        <w:gridCol w:w="1219"/>
        <w:gridCol w:w="1219"/>
        <w:gridCol w:w="1219"/>
        <w:gridCol w:w="1219"/>
        <w:gridCol w:w="1367"/>
      </w:tblGrid>
      <w:tr w:rsidR="004617CA" w:rsidRPr="004617CA" w14:paraId="26420773" w14:textId="77777777" w:rsidTr="00A111E9">
        <w:trPr>
          <w:trHeight w:val="100"/>
          <w:tblHeader/>
          <w:jc w:val="center"/>
        </w:trPr>
        <w:tc>
          <w:tcPr>
            <w:tcW w:w="8974" w:type="dxa"/>
            <w:gridSpan w:val="7"/>
            <w:shd w:val="clear" w:color="auto" w:fill="F2F2F2" w:themeFill="background1" w:themeFillShade="F2"/>
          </w:tcPr>
          <w:p w14:paraId="3FA13383" w14:textId="70168A16" w:rsidR="004617CA" w:rsidRPr="004617CA" w:rsidRDefault="004617CA" w:rsidP="007C3D18">
            <w:pPr>
              <w:pStyle w:val="FSTableHeading"/>
              <w:spacing w:before="60" w:after="60"/>
              <w:jc w:val="left"/>
              <w:rPr>
                <w:lang w:bidi="ar-SA"/>
              </w:rPr>
            </w:pPr>
            <w:r w:rsidRPr="004617CA">
              <w:rPr>
                <w:lang w:bidi="ar-SA"/>
              </w:rPr>
              <w:t xml:space="preserve">Serum </w:t>
            </w:r>
            <w:r w:rsidR="007C3D18">
              <w:rPr>
                <w:lang w:bidi="ar-SA"/>
              </w:rPr>
              <w:t>l</w:t>
            </w:r>
            <w:r w:rsidR="007C3D18" w:rsidRPr="004617CA">
              <w:rPr>
                <w:lang w:bidi="ar-SA"/>
              </w:rPr>
              <w:t xml:space="preserve">evels </w:t>
            </w:r>
            <w:r w:rsidRPr="004617CA">
              <w:rPr>
                <w:lang w:bidi="ar-SA"/>
              </w:rPr>
              <w:t>of PFOS (</w:t>
            </w:r>
            <w:r w:rsidR="00CB500B">
              <w:t>µg/mL</w:t>
            </w:r>
            <w:r w:rsidRPr="004617CA">
              <w:t xml:space="preserve">) in </w:t>
            </w:r>
            <w:r w:rsidRPr="004617CA">
              <w:rPr>
                <w:lang w:bidi="ar-SA"/>
              </w:rPr>
              <w:t>Crl:CD (SD)</w:t>
            </w:r>
            <w:r w:rsidR="008C4B9D">
              <w:rPr>
                <w:lang w:bidi="ar-SA"/>
              </w:rPr>
              <w:t xml:space="preserve"> </w:t>
            </w:r>
            <w:r w:rsidRPr="004617CA">
              <w:rPr>
                <w:lang w:bidi="ar-SA"/>
              </w:rPr>
              <w:t xml:space="preserve">IGS BR by </w:t>
            </w:r>
            <w:r w:rsidR="007C3D18">
              <w:rPr>
                <w:lang w:bidi="ar-SA"/>
              </w:rPr>
              <w:t>d</w:t>
            </w:r>
            <w:r w:rsidR="007C3D18" w:rsidRPr="004617CA">
              <w:rPr>
                <w:lang w:bidi="ar-SA"/>
              </w:rPr>
              <w:t xml:space="preserve">ietary </w:t>
            </w:r>
            <w:r w:rsidR="007C3D18">
              <w:rPr>
                <w:lang w:bidi="ar-SA"/>
              </w:rPr>
              <w:t>a</w:t>
            </w:r>
            <w:r w:rsidR="007C3D18" w:rsidRPr="004617CA">
              <w:rPr>
                <w:lang w:bidi="ar-SA"/>
              </w:rPr>
              <w:t xml:space="preserve">dministration </w:t>
            </w:r>
            <w:r w:rsidRPr="004617CA">
              <w:rPr>
                <w:lang w:bidi="ar-SA"/>
              </w:rPr>
              <w:t xml:space="preserve">for up to 106 </w:t>
            </w:r>
            <w:r w:rsidR="007C3D18">
              <w:rPr>
                <w:lang w:bidi="ar-SA"/>
              </w:rPr>
              <w:t>w</w:t>
            </w:r>
            <w:r w:rsidR="007C3D18" w:rsidRPr="004617CA">
              <w:rPr>
                <w:lang w:bidi="ar-SA"/>
              </w:rPr>
              <w:t xml:space="preserve">eeks </w:t>
            </w:r>
          </w:p>
        </w:tc>
      </w:tr>
      <w:tr w:rsidR="004617CA" w:rsidRPr="004617CA" w14:paraId="2D003556" w14:textId="77777777" w:rsidTr="00A111E9">
        <w:trPr>
          <w:trHeight w:val="100"/>
          <w:tblHeader/>
          <w:jc w:val="center"/>
        </w:trPr>
        <w:tc>
          <w:tcPr>
            <w:tcW w:w="1512" w:type="dxa"/>
            <w:vMerge w:val="restart"/>
            <w:shd w:val="clear" w:color="auto" w:fill="F2F2F2" w:themeFill="background1" w:themeFillShade="F2"/>
            <w:vAlign w:val="bottom"/>
          </w:tcPr>
          <w:p w14:paraId="4E249EF8" w14:textId="77777777" w:rsidR="004617CA" w:rsidRPr="000B3C14" w:rsidRDefault="004617CA" w:rsidP="00A111E9">
            <w:pPr>
              <w:rPr>
                <w:rFonts w:ascii="Arial" w:hAnsi="Arial"/>
                <w:b/>
                <w:sz w:val="18"/>
              </w:rPr>
            </w:pPr>
            <w:r w:rsidRPr="00D711DD">
              <w:rPr>
                <w:b/>
                <w:sz w:val="18"/>
              </w:rPr>
              <w:t>Week</w:t>
            </w:r>
          </w:p>
        </w:tc>
        <w:tc>
          <w:tcPr>
            <w:tcW w:w="7462" w:type="dxa"/>
            <w:gridSpan w:val="6"/>
            <w:shd w:val="clear" w:color="auto" w:fill="F2F2F2" w:themeFill="background1" w:themeFillShade="F2"/>
          </w:tcPr>
          <w:p w14:paraId="6DF361EA" w14:textId="70082746" w:rsidR="004617CA" w:rsidRPr="00F6284E" w:rsidRDefault="004617CA" w:rsidP="00326B55">
            <w:pPr>
              <w:spacing w:before="40" w:after="40"/>
              <w:jc w:val="center"/>
              <w:rPr>
                <w:rFonts w:ascii="Arial" w:hAnsi="Arial"/>
                <w:b/>
                <w:sz w:val="18"/>
              </w:rPr>
            </w:pPr>
            <w:r w:rsidRPr="00F6284E">
              <w:rPr>
                <w:b/>
                <w:sz w:val="18"/>
              </w:rPr>
              <w:t xml:space="preserve">Dietary K+ PFOS </w:t>
            </w:r>
            <w:r w:rsidR="00986779">
              <w:rPr>
                <w:b/>
                <w:sz w:val="18"/>
              </w:rPr>
              <w:t>C</w:t>
            </w:r>
            <w:r w:rsidRPr="00F6284E">
              <w:rPr>
                <w:b/>
                <w:sz w:val="18"/>
              </w:rPr>
              <w:t>oncentration (</w:t>
            </w:r>
            <w:r w:rsidR="00986779">
              <w:rPr>
                <w:b/>
                <w:sz w:val="18"/>
              </w:rPr>
              <w:t>P</w:t>
            </w:r>
            <w:r w:rsidRPr="00F6284E">
              <w:rPr>
                <w:b/>
                <w:sz w:val="18"/>
              </w:rPr>
              <w:t>pm)</w:t>
            </w:r>
          </w:p>
        </w:tc>
      </w:tr>
      <w:tr w:rsidR="004617CA" w:rsidRPr="004617CA" w14:paraId="6A952C6D" w14:textId="77777777" w:rsidTr="00A111E9">
        <w:trPr>
          <w:trHeight w:val="100"/>
          <w:tblHeader/>
          <w:jc w:val="center"/>
        </w:trPr>
        <w:tc>
          <w:tcPr>
            <w:tcW w:w="1512" w:type="dxa"/>
            <w:vMerge/>
            <w:shd w:val="clear" w:color="auto" w:fill="F2F2F2" w:themeFill="background1" w:themeFillShade="F2"/>
          </w:tcPr>
          <w:p w14:paraId="7C0AEA4C" w14:textId="77777777" w:rsidR="004617CA" w:rsidRPr="00F6284E" w:rsidRDefault="004617CA" w:rsidP="00A111E9">
            <w:pPr>
              <w:rPr>
                <w:rFonts w:ascii="Arial" w:hAnsi="Arial"/>
                <w:b/>
                <w:sz w:val="18"/>
              </w:rPr>
            </w:pPr>
          </w:p>
        </w:tc>
        <w:tc>
          <w:tcPr>
            <w:tcW w:w="1219" w:type="dxa"/>
            <w:shd w:val="clear" w:color="auto" w:fill="F2F2F2" w:themeFill="background1" w:themeFillShade="F2"/>
          </w:tcPr>
          <w:p w14:paraId="49CB5F71" w14:textId="77777777" w:rsidR="004617CA" w:rsidRPr="00F6284E" w:rsidRDefault="004617CA" w:rsidP="00326B55">
            <w:pPr>
              <w:spacing w:before="40" w:after="40"/>
              <w:jc w:val="right"/>
              <w:rPr>
                <w:rFonts w:ascii="Arial" w:hAnsi="Arial"/>
                <w:b/>
                <w:sz w:val="18"/>
              </w:rPr>
            </w:pPr>
            <w:r w:rsidRPr="00F6284E">
              <w:rPr>
                <w:b/>
                <w:sz w:val="18"/>
              </w:rPr>
              <w:t>0</w:t>
            </w:r>
          </w:p>
        </w:tc>
        <w:tc>
          <w:tcPr>
            <w:tcW w:w="1219" w:type="dxa"/>
            <w:shd w:val="clear" w:color="auto" w:fill="F2F2F2" w:themeFill="background1" w:themeFillShade="F2"/>
          </w:tcPr>
          <w:p w14:paraId="1A19593B" w14:textId="77777777" w:rsidR="004617CA" w:rsidRPr="00F6284E" w:rsidRDefault="004617CA" w:rsidP="00326B55">
            <w:pPr>
              <w:spacing w:before="40" w:after="40"/>
              <w:jc w:val="right"/>
              <w:rPr>
                <w:rFonts w:ascii="Arial" w:hAnsi="Arial"/>
                <w:b/>
                <w:sz w:val="18"/>
              </w:rPr>
            </w:pPr>
            <w:r w:rsidRPr="00F6284E">
              <w:rPr>
                <w:b/>
                <w:sz w:val="18"/>
              </w:rPr>
              <w:t>0.5</w:t>
            </w:r>
          </w:p>
        </w:tc>
        <w:tc>
          <w:tcPr>
            <w:tcW w:w="1219" w:type="dxa"/>
            <w:shd w:val="clear" w:color="auto" w:fill="F2F2F2" w:themeFill="background1" w:themeFillShade="F2"/>
          </w:tcPr>
          <w:p w14:paraId="5980E47B" w14:textId="77777777" w:rsidR="004617CA" w:rsidRPr="00F6284E" w:rsidRDefault="004617CA" w:rsidP="00326B55">
            <w:pPr>
              <w:spacing w:before="40" w:after="40"/>
              <w:jc w:val="right"/>
              <w:rPr>
                <w:rFonts w:ascii="Arial" w:hAnsi="Arial"/>
                <w:b/>
                <w:sz w:val="18"/>
              </w:rPr>
            </w:pPr>
            <w:r w:rsidRPr="00F6284E">
              <w:rPr>
                <w:b/>
                <w:sz w:val="18"/>
              </w:rPr>
              <w:t>2</w:t>
            </w:r>
          </w:p>
        </w:tc>
        <w:tc>
          <w:tcPr>
            <w:tcW w:w="1219" w:type="dxa"/>
            <w:shd w:val="clear" w:color="auto" w:fill="F2F2F2" w:themeFill="background1" w:themeFillShade="F2"/>
          </w:tcPr>
          <w:p w14:paraId="40CA176E" w14:textId="77777777" w:rsidR="004617CA" w:rsidRPr="00F6284E" w:rsidRDefault="004617CA" w:rsidP="00326B55">
            <w:pPr>
              <w:spacing w:before="40" w:after="40"/>
              <w:jc w:val="right"/>
              <w:rPr>
                <w:rFonts w:ascii="Arial" w:hAnsi="Arial"/>
                <w:b/>
                <w:sz w:val="18"/>
              </w:rPr>
            </w:pPr>
            <w:r w:rsidRPr="00F6284E">
              <w:rPr>
                <w:b/>
                <w:sz w:val="18"/>
              </w:rPr>
              <w:t>5</w:t>
            </w:r>
          </w:p>
        </w:tc>
        <w:tc>
          <w:tcPr>
            <w:tcW w:w="1219" w:type="dxa"/>
            <w:shd w:val="clear" w:color="auto" w:fill="F2F2F2" w:themeFill="background1" w:themeFillShade="F2"/>
          </w:tcPr>
          <w:p w14:paraId="23F19B26" w14:textId="77777777" w:rsidR="004617CA" w:rsidRPr="00F6284E" w:rsidRDefault="004617CA" w:rsidP="00326B55">
            <w:pPr>
              <w:spacing w:before="40" w:after="40"/>
              <w:jc w:val="right"/>
              <w:rPr>
                <w:rFonts w:ascii="Arial" w:hAnsi="Arial"/>
                <w:b/>
                <w:sz w:val="18"/>
              </w:rPr>
            </w:pPr>
            <w:r w:rsidRPr="00F6284E">
              <w:rPr>
                <w:b/>
                <w:sz w:val="18"/>
              </w:rPr>
              <w:t>20</w:t>
            </w:r>
          </w:p>
        </w:tc>
        <w:tc>
          <w:tcPr>
            <w:tcW w:w="1367" w:type="dxa"/>
            <w:shd w:val="clear" w:color="auto" w:fill="F2F2F2" w:themeFill="background1" w:themeFillShade="F2"/>
          </w:tcPr>
          <w:p w14:paraId="06D9BF86" w14:textId="77777777" w:rsidR="004617CA" w:rsidRPr="00F6284E" w:rsidRDefault="004617CA" w:rsidP="00326B55">
            <w:pPr>
              <w:spacing w:before="40" w:after="40"/>
              <w:jc w:val="right"/>
              <w:rPr>
                <w:rFonts w:ascii="Arial" w:hAnsi="Arial"/>
                <w:b/>
                <w:sz w:val="18"/>
              </w:rPr>
            </w:pPr>
            <w:r w:rsidRPr="00F6284E">
              <w:rPr>
                <w:b/>
                <w:sz w:val="18"/>
              </w:rPr>
              <w:t>20 Recovery</w:t>
            </w:r>
          </w:p>
        </w:tc>
      </w:tr>
      <w:tr w:rsidR="004617CA" w:rsidRPr="004617CA" w14:paraId="7354FF6B" w14:textId="77777777" w:rsidTr="00F6284E">
        <w:trPr>
          <w:trHeight w:val="283"/>
          <w:jc w:val="center"/>
        </w:trPr>
        <w:tc>
          <w:tcPr>
            <w:tcW w:w="8974" w:type="dxa"/>
            <w:gridSpan w:val="7"/>
            <w:tcBorders>
              <w:bottom w:val="single" w:sz="4" w:space="0" w:color="000000"/>
            </w:tcBorders>
            <w:vAlign w:val="center"/>
          </w:tcPr>
          <w:p w14:paraId="77D64D00" w14:textId="77777777" w:rsidR="004617CA" w:rsidRPr="000B3C14" w:rsidRDefault="004617CA" w:rsidP="00326B55">
            <w:pPr>
              <w:rPr>
                <w:rFonts w:ascii="Arial" w:hAnsi="Arial"/>
                <w:sz w:val="18"/>
              </w:rPr>
            </w:pPr>
            <w:r w:rsidRPr="00D711DD">
              <w:rPr>
                <w:sz w:val="18"/>
              </w:rPr>
              <w:t>Males</w:t>
            </w:r>
          </w:p>
        </w:tc>
      </w:tr>
      <w:tr w:rsidR="004617CA" w:rsidRPr="004617CA" w14:paraId="79069F80" w14:textId="77777777" w:rsidTr="00F6284E">
        <w:trPr>
          <w:trHeight w:val="227"/>
          <w:jc w:val="center"/>
        </w:trPr>
        <w:tc>
          <w:tcPr>
            <w:tcW w:w="1512" w:type="dxa"/>
            <w:shd w:val="clear" w:color="auto" w:fill="F2F2F2" w:themeFill="background1" w:themeFillShade="F2"/>
            <w:vAlign w:val="center"/>
          </w:tcPr>
          <w:p w14:paraId="1ED7A6D5" w14:textId="0C1AFE87" w:rsidR="004617CA" w:rsidRPr="00F6284E" w:rsidRDefault="004617CA" w:rsidP="00A111E9">
            <w:pPr>
              <w:rPr>
                <w:rFonts w:ascii="Arial" w:hAnsi="Arial"/>
                <w:b/>
                <w:sz w:val="18"/>
              </w:rPr>
            </w:pPr>
            <w:r w:rsidRPr="00D711DD">
              <w:rPr>
                <w:b/>
                <w:sz w:val="18"/>
              </w:rPr>
              <w:t>mg/kg</w:t>
            </w:r>
            <w:r w:rsidR="00B06C4E" w:rsidRPr="000B3C14">
              <w:rPr>
                <w:b/>
                <w:sz w:val="18"/>
              </w:rPr>
              <w:t xml:space="preserve"> bw</w:t>
            </w:r>
            <w:r w:rsidRPr="00F6284E">
              <w:rPr>
                <w:b/>
                <w:sz w:val="18"/>
              </w:rPr>
              <w:t>/day</w:t>
            </w:r>
          </w:p>
        </w:tc>
        <w:tc>
          <w:tcPr>
            <w:tcW w:w="1219" w:type="dxa"/>
            <w:shd w:val="clear" w:color="auto" w:fill="F2F2F2" w:themeFill="background1" w:themeFillShade="F2"/>
            <w:vAlign w:val="center"/>
          </w:tcPr>
          <w:p w14:paraId="5227EFB3" w14:textId="77777777" w:rsidR="004617CA" w:rsidRPr="00F6284E" w:rsidRDefault="004617CA" w:rsidP="00326B55">
            <w:pPr>
              <w:jc w:val="right"/>
              <w:rPr>
                <w:rFonts w:ascii="Arial" w:hAnsi="Arial"/>
                <w:b/>
                <w:sz w:val="18"/>
              </w:rPr>
            </w:pPr>
            <w:r w:rsidRPr="00F6284E">
              <w:rPr>
                <w:b/>
                <w:sz w:val="18"/>
              </w:rPr>
              <w:t>0</w:t>
            </w:r>
          </w:p>
        </w:tc>
        <w:tc>
          <w:tcPr>
            <w:tcW w:w="1219" w:type="dxa"/>
            <w:shd w:val="clear" w:color="auto" w:fill="F2F2F2" w:themeFill="background1" w:themeFillShade="F2"/>
            <w:vAlign w:val="center"/>
          </w:tcPr>
          <w:p w14:paraId="61239A50" w14:textId="77777777" w:rsidR="004617CA" w:rsidRPr="00F6284E" w:rsidRDefault="004617CA" w:rsidP="00326B55">
            <w:pPr>
              <w:jc w:val="right"/>
              <w:rPr>
                <w:rFonts w:ascii="Arial" w:hAnsi="Arial"/>
                <w:b/>
                <w:sz w:val="18"/>
              </w:rPr>
            </w:pPr>
            <w:r w:rsidRPr="00F6284E">
              <w:rPr>
                <w:b/>
                <w:sz w:val="18"/>
              </w:rPr>
              <w:t>0.05</w:t>
            </w:r>
          </w:p>
        </w:tc>
        <w:tc>
          <w:tcPr>
            <w:tcW w:w="1219" w:type="dxa"/>
            <w:shd w:val="clear" w:color="auto" w:fill="F2F2F2" w:themeFill="background1" w:themeFillShade="F2"/>
            <w:vAlign w:val="center"/>
          </w:tcPr>
          <w:p w14:paraId="2DE3EBAB" w14:textId="77777777" w:rsidR="004617CA" w:rsidRPr="00F6284E" w:rsidRDefault="004617CA" w:rsidP="00326B55">
            <w:pPr>
              <w:jc w:val="right"/>
              <w:rPr>
                <w:rFonts w:ascii="Arial" w:hAnsi="Arial"/>
                <w:b/>
                <w:sz w:val="18"/>
              </w:rPr>
            </w:pPr>
            <w:r w:rsidRPr="00F6284E">
              <w:rPr>
                <w:b/>
                <w:sz w:val="18"/>
              </w:rPr>
              <w:t>0.18</w:t>
            </w:r>
          </w:p>
        </w:tc>
        <w:tc>
          <w:tcPr>
            <w:tcW w:w="1219" w:type="dxa"/>
            <w:shd w:val="clear" w:color="auto" w:fill="F2F2F2" w:themeFill="background1" w:themeFillShade="F2"/>
            <w:vAlign w:val="center"/>
          </w:tcPr>
          <w:p w14:paraId="1BD4DB96" w14:textId="77777777" w:rsidR="004617CA" w:rsidRPr="00F6284E" w:rsidRDefault="004617CA" w:rsidP="00326B55">
            <w:pPr>
              <w:jc w:val="right"/>
              <w:rPr>
                <w:rFonts w:ascii="Arial" w:hAnsi="Arial"/>
                <w:b/>
                <w:sz w:val="18"/>
              </w:rPr>
            </w:pPr>
            <w:r w:rsidRPr="00F6284E">
              <w:rPr>
                <w:b/>
                <w:sz w:val="18"/>
              </w:rPr>
              <w:t>0.37</w:t>
            </w:r>
          </w:p>
        </w:tc>
        <w:tc>
          <w:tcPr>
            <w:tcW w:w="1219" w:type="dxa"/>
            <w:shd w:val="clear" w:color="auto" w:fill="F2F2F2" w:themeFill="background1" w:themeFillShade="F2"/>
            <w:vAlign w:val="center"/>
          </w:tcPr>
          <w:p w14:paraId="4FF8C283" w14:textId="77777777" w:rsidR="004617CA" w:rsidRPr="00F6284E" w:rsidRDefault="004617CA" w:rsidP="00326B55">
            <w:pPr>
              <w:jc w:val="right"/>
              <w:rPr>
                <w:rFonts w:ascii="Arial" w:hAnsi="Arial"/>
                <w:b/>
                <w:sz w:val="18"/>
              </w:rPr>
            </w:pPr>
            <w:r w:rsidRPr="00F6284E">
              <w:rPr>
                <w:b/>
                <w:sz w:val="18"/>
              </w:rPr>
              <w:t>1.51</w:t>
            </w:r>
          </w:p>
        </w:tc>
        <w:tc>
          <w:tcPr>
            <w:tcW w:w="1367" w:type="dxa"/>
            <w:shd w:val="clear" w:color="auto" w:fill="F2F2F2" w:themeFill="background1" w:themeFillShade="F2"/>
          </w:tcPr>
          <w:p w14:paraId="154AFE33" w14:textId="77777777" w:rsidR="004617CA" w:rsidRPr="00F6284E" w:rsidRDefault="004617CA" w:rsidP="00326B55">
            <w:pPr>
              <w:jc w:val="right"/>
              <w:rPr>
                <w:rFonts w:ascii="Arial" w:hAnsi="Arial"/>
                <w:sz w:val="18"/>
              </w:rPr>
            </w:pPr>
          </w:p>
        </w:tc>
      </w:tr>
      <w:tr w:rsidR="004617CA" w:rsidRPr="004617CA" w14:paraId="151FEF03" w14:textId="77777777" w:rsidTr="00F6284E">
        <w:trPr>
          <w:trHeight w:val="227"/>
          <w:jc w:val="center"/>
        </w:trPr>
        <w:tc>
          <w:tcPr>
            <w:tcW w:w="1512" w:type="dxa"/>
            <w:tcBorders>
              <w:bottom w:val="single" w:sz="4" w:space="0" w:color="000000"/>
            </w:tcBorders>
            <w:vAlign w:val="center"/>
          </w:tcPr>
          <w:p w14:paraId="0E21DB74" w14:textId="77777777" w:rsidR="004617CA" w:rsidRPr="000B3C14" w:rsidRDefault="004617CA" w:rsidP="00A111E9">
            <w:pPr>
              <w:ind w:right="170"/>
              <w:rPr>
                <w:rFonts w:ascii="Arial" w:hAnsi="Arial"/>
                <w:sz w:val="18"/>
              </w:rPr>
            </w:pPr>
            <w:r w:rsidRPr="00D711DD">
              <w:rPr>
                <w:sz w:val="18"/>
              </w:rPr>
              <w:t>4</w:t>
            </w:r>
          </w:p>
        </w:tc>
        <w:tc>
          <w:tcPr>
            <w:tcW w:w="1219" w:type="dxa"/>
            <w:tcBorders>
              <w:bottom w:val="single" w:sz="4" w:space="0" w:color="000000"/>
            </w:tcBorders>
            <w:vAlign w:val="center"/>
          </w:tcPr>
          <w:p w14:paraId="43EC9E79" w14:textId="77777777" w:rsidR="004617CA" w:rsidRPr="00F6284E" w:rsidRDefault="004617CA" w:rsidP="00326B55">
            <w:pPr>
              <w:jc w:val="right"/>
              <w:rPr>
                <w:rFonts w:ascii="Arial" w:hAnsi="Arial"/>
                <w:sz w:val="18"/>
              </w:rPr>
            </w:pPr>
            <w:r w:rsidRPr="00F6284E">
              <w:rPr>
                <w:sz w:val="18"/>
              </w:rPr>
              <w:t>&lt;LOQ</w:t>
            </w:r>
          </w:p>
        </w:tc>
        <w:tc>
          <w:tcPr>
            <w:tcW w:w="1219" w:type="dxa"/>
            <w:tcBorders>
              <w:bottom w:val="single" w:sz="4" w:space="0" w:color="000000"/>
            </w:tcBorders>
          </w:tcPr>
          <w:p w14:paraId="67885DAC" w14:textId="77777777" w:rsidR="004617CA" w:rsidRPr="00F6284E" w:rsidRDefault="004617CA" w:rsidP="00326B55">
            <w:pPr>
              <w:jc w:val="right"/>
              <w:rPr>
                <w:rFonts w:ascii="Arial" w:hAnsi="Arial"/>
                <w:sz w:val="18"/>
              </w:rPr>
            </w:pPr>
            <w:r w:rsidRPr="00F6284E">
              <w:rPr>
                <w:sz w:val="18"/>
              </w:rPr>
              <w:t>0.91 ± 0.06</w:t>
            </w:r>
          </w:p>
        </w:tc>
        <w:tc>
          <w:tcPr>
            <w:tcW w:w="1219" w:type="dxa"/>
            <w:tcBorders>
              <w:bottom w:val="single" w:sz="4" w:space="0" w:color="000000"/>
            </w:tcBorders>
          </w:tcPr>
          <w:p w14:paraId="757E87E4" w14:textId="77777777" w:rsidR="004617CA" w:rsidRPr="00F6284E" w:rsidRDefault="004617CA" w:rsidP="00326B55">
            <w:pPr>
              <w:jc w:val="right"/>
              <w:rPr>
                <w:rFonts w:ascii="Arial" w:hAnsi="Arial"/>
                <w:sz w:val="18"/>
              </w:rPr>
            </w:pPr>
            <w:r w:rsidRPr="00F6284E">
              <w:rPr>
                <w:sz w:val="18"/>
              </w:rPr>
              <w:t>4.33 ± 1.16</w:t>
            </w:r>
          </w:p>
        </w:tc>
        <w:tc>
          <w:tcPr>
            <w:tcW w:w="1219" w:type="dxa"/>
            <w:tcBorders>
              <w:bottom w:val="single" w:sz="4" w:space="0" w:color="000000"/>
            </w:tcBorders>
          </w:tcPr>
          <w:p w14:paraId="12303210" w14:textId="77777777" w:rsidR="004617CA" w:rsidRPr="00F6284E" w:rsidRDefault="004617CA" w:rsidP="00326B55">
            <w:pPr>
              <w:jc w:val="right"/>
              <w:rPr>
                <w:rFonts w:ascii="Arial" w:hAnsi="Arial"/>
                <w:sz w:val="18"/>
              </w:rPr>
            </w:pPr>
            <w:r w:rsidRPr="00F6284E">
              <w:rPr>
                <w:sz w:val="18"/>
              </w:rPr>
              <w:t xml:space="preserve">7.57 ± 2.17 </w:t>
            </w:r>
          </w:p>
        </w:tc>
        <w:tc>
          <w:tcPr>
            <w:tcW w:w="1219" w:type="dxa"/>
            <w:tcBorders>
              <w:bottom w:val="single" w:sz="4" w:space="0" w:color="000000"/>
            </w:tcBorders>
          </w:tcPr>
          <w:p w14:paraId="5DFD496E" w14:textId="77777777" w:rsidR="004617CA" w:rsidRPr="00F6284E" w:rsidRDefault="004617CA" w:rsidP="00326B55">
            <w:pPr>
              <w:jc w:val="right"/>
              <w:rPr>
                <w:rFonts w:ascii="Arial" w:hAnsi="Arial"/>
                <w:sz w:val="18"/>
              </w:rPr>
            </w:pPr>
            <w:r w:rsidRPr="00F6284E">
              <w:rPr>
                <w:sz w:val="18"/>
              </w:rPr>
              <w:t>41.80 ± 7.92</w:t>
            </w:r>
          </w:p>
        </w:tc>
        <w:tc>
          <w:tcPr>
            <w:tcW w:w="1367" w:type="dxa"/>
            <w:tcBorders>
              <w:bottom w:val="single" w:sz="4" w:space="0" w:color="000000"/>
            </w:tcBorders>
            <w:vAlign w:val="center"/>
          </w:tcPr>
          <w:p w14:paraId="58F6F4F3" w14:textId="77777777" w:rsidR="004617CA" w:rsidRPr="00F6284E" w:rsidRDefault="004617CA" w:rsidP="00326B55">
            <w:pPr>
              <w:jc w:val="right"/>
              <w:rPr>
                <w:rFonts w:ascii="Arial" w:hAnsi="Arial"/>
                <w:sz w:val="18"/>
              </w:rPr>
            </w:pPr>
            <w:r w:rsidRPr="00F6284E">
              <w:rPr>
                <w:sz w:val="18"/>
              </w:rPr>
              <w:t>-</w:t>
            </w:r>
          </w:p>
        </w:tc>
      </w:tr>
      <w:tr w:rsidR="004617CA" w:rsidRPr="004617CA" w14:paraId="38C5A4B1" w14:textId="77777777" w:rsidTr="00F6284E">
        <w:trPr>
          <w:trHeight w:val="227"/>
          <w:jc w:val="center"/>
        </w:trPr>
        <w:tc>
          <w:tcPr>
            <w:tcW w:w="1512" w:type="dxa"/>
            <w:shd w:val="clear" w:color="auto" w:fill="F2F2F2" w:themeFill="background1" w:themeFillShade="F2"/>
            <w:vAlign w:val="center"/>
          </w:tcPr>
          <w:p w14:paraId="05210CAD" w14:textId="4939CE77" w:rsidR="004617CA" w:rsidRPr="00F6284E" w:rsidRDefault="004617CA" w:rsidP="00A111E9">
            <w:pPr>
              <w:rPr>
                <w:rFonts w:ascii="Arial" w:hAnsi="Arial"/>
                <w:b/>
                <w:sz w:val="18"/>
              </w:rPr>
            </w:pPr>
            <w:r w:rsidRPr="00D711DD">
              <w:rPr>
                <w:b/>
                <w:sz w:val="18"/>
              </w:rPr>
              <w:t>mg/kg</w:t>
            </w:r>
            <w:r w:rsidR="00B06C4E" w:rsidRPr="000B3C14">
              <w:rPr>
                <w:b/>
                <w:sz w:val="18"/>
              </w:rPr>
              <w:t xml:space="preserve"> bw</w:t>
            </w:r>
            <w:r w:rsidRPr="00F6284E">
              <w:rPr>
                <w:b/>
                <w:sz w:val="18"/>
              </w:rPr>
              <w:t>/day</w:t>
            </w:r>
          </w:p>
        </w:tc>
        <w:tc>
          <w:tcPr>
            <w:tcW w:w="1219" w:type="dxa"/>
            <w:shd w:val="clear" w:color="auto" w:fill="F2F2F2" w:themeFill="background1" w:themeFillShade="F2"/>
            <w:vAlign w:val="center"/>
          </w:tcPr>
          <w:p w14:paraId="5FF0005E" w14:textId="77777777" w:rsidR="004617CA" w:rsidRPr="00F6284E" w:rsidRDefault="004617CA" w:rsidP="00326B55">
            <w:pPr>
              <w:jc w:val="right"/>
              <w:rPr>
                <w:rFonts w:ascii="Arial" w:hAnsi="Arial"/>
                <w:b/>
                <w:sz w:val="18"/>
              </w:rPr>
            </w:pPr>
            <w:r w:rsidRPr="00F6284E">
              <w:rPr>
                <w:b/>
                <w:sz w:val="18"/>
              </w:rPr>
              <w:t>0</w:t>
            </w:r>
          </w:p>
        </w:tc>
        <w:tc>
          <w:tcPr>
            <w:tcW w:w="1219" w:type="dxa"/>
            <w:shd w:val="clear" w:color="auto" w:fill="F2F2F2" w:themeFill="background1" w:themeFillShade="F2"/>
            <w:vAlign w:val="center"/>
          </w:tcPr>
          <w:p w14:paraId="154B06D8" w14:textId="77777777" w:rsidR="004617CA" w:rsidRPr="00F6284E" w:rsidRDefault="004617CA" w:rsidP="00326B55">
            <w:pPr>
              <w:jc w:val="right"/>
              <w:rPr>
                <w:rFonts w:ascii="Arial" w:hAnsi="Arial"/>
                <w:b/>
                <w:sz w:val="18"/>
              </w:rPr>
            </w:pPr>
            <w:r w:rsidRPr="00F6284E">
              <w:rPr>
                <w:b/>
                <w:sz w:val="18"/>
              </w:rPr>
              <w:t>0.03</w:t>
            </w:r>
          </w:p>
        </w:tc>
        <w:tc>
          <w:tcPr>
            <w:tcW w:w="1219" w:type="dxa"/>
            <w:shd w:val="clear" w:color="auto" w:fill="F2F2F2" w:themeFill="background1" w:themeFillShade="F2"/>
            <w:vAlign w:val="center"/>
          </w:tcPr>
          <w:p w14:paraId="7A524722" w14:textId="77777777" w:rsidR="004617CA" w:rsidRPr="00F6284E" w:rsidRDefault="004617CA" w:rsidP="00326B55">
            <w:pPr>
              <w:jc w:val="right"/>
              <w:rPr>
                <w:rFonts w:ascii="Arial" w:hAnsi="Arial"/>
                <w:b/>
                <w:sz w:val="18"/>
              </w:rPr>
            </w:pPr>
            <w:r w:rsidRPr="00F6284E">
              <w:rPr>
                <w:b/>
                <w:sz w:val="18"/>
              </w:rPr>
              <w:t>0.13</w:t>
            </w:r>
          </w:p>
        </w:tc>
        <w:tc>
          <w:tcPr>
            <w:tcW w:w="1219" w:type="dxa"/>
            <w:shd w:val="clear" w:color="auto" w:fill="F2F2F2" w:themeFill="background1" w:themeFillShade="F2"/>
            <w:vAlign w:val="center"/>
          </w:tcPr>
          <w:p w14:paraId="417FEC2C" w14:textId="77777777" w:rsidR="004617CA" w:rsidRPr="00F6284E" w:rsidRDefault="004617CA" w:rsidP="00326B55">
            <w:pPr>
              <w:jc w:val="right"/>
              <w:rPr>
                <w:rFonts w:ascii="Arial" w:hAnsi="Arial"/>
                <w:b/>
                <w:sz w:val="18"/>
              </w:rPr>
            </w:pPr>
            <w:r w:rsidRPr="00F6284E">
              <w:rPr>
                <w:b/>
                <w:sz w:val="18"/>
              </w:rPr>
              <w:t>0.34</w:t>
            </w:r>
          </w:p>
        </w:tc>
        <w:tc>
          <w:tcPr>
            <w:tcW w:w="1219" w:type="dxa"/>
            <w:shd w:val="clear" w:color="auto" w:fill="F2F2F2" w:themeFill="background1" w:themeFillShade="F2"/>
            <w:vAlign w:val="center"/>
          </w:tcPr>
          <w:p w14:paraId="63942162" w14:textId="77777777" w:rsidR="004617CA" w:rsidRPr="00F6284E" w:rsidRDefault="004617CA" w:rsidP="00326B55">
            <w:pPr>
              <w:jc w:val="right"/>
              <w:rPr>
                <w:rFonts w:ascii="Arial" w:hAnsi="Arial"/>
                <w:b/>
                <w:sz w:val="18"/>
              </w:rPr>
            </w:pPr>
            <w:r w:rsidRPr="00F6284E">
              <w:rPr>
                <w:b/>
                <w:sz w:val="18"/>
              </w:rPr>
              <w:t>1.33</w:t>
            </w:r>
          </w:p>
        </w:tc>
        <w:tc>
          <w:tcPr>
            <w:tcW w:w="1367" w:type="dxa"/>
            <w:shd w:val="clear" w:color="auto" w:fill="F2F2F2" w:themeFill="background1" w:themeFillShade="F2"/>
          </w:tcPr>
          <w:p w14:paraId="44D19ECB" w14:textId="77777777" w:rsidR="004617CA" w:rsidRPr="00F6284E" w:rsidRDefault="004617CA" w:rsidP="00326B55">
            <w:pPr>
              <w:jc w:val="right"/>
              <w:rPr>
                <w:rFonts w:ascii="Arial" w:hAnsi="Arial"/>
                <w:sz w:val="18"/>
              </w:rPr>
            </w:pPr>
          </w:p>
        </w:tc>
      </w:tr>
      <w:tr w:rsidR="004617CA" w:rsidRPr="004617CA" w14:paraId="7AE5A85B" w14:textId="77777777" w:rsidTr="00F6284E">
        <w:trPr>
          <w:jc w:val="center"/>
        </w:trPr>
        <w:tc>
          <w:tcPr>
            <w:tcW w:w="1512" w:type="dxa"/>
            <w:tcBorders>
              <w:bottom w:val="single" w:sz="4" w:space="0" w:color="000000"/>
            </w:tcBorders>
            <w:vAlign w:val="center"/>
          </w:tcPr>
          <w:p w14:paraId="114BF711" w14:textId="77777777" w:rsidR="004617CA" w:rsidRPr="000B3C14" w:rsidRDefault="004617CA" w:rsidP="00A111E9">
            <w:pPr>
              <w:ind w:right="170"/>
              <w:rPr>
                <w:rFonts w:ascii="Arial" w:hAnsi="Arial"/>
                <w:sz w:val="18"/>
              </w:rPr>
            </w:pPr>
            <w:r w:rsidRPr="00D711DD">
              <w:rPr>
                <w:sz w:val="18"/>
              </w:rPr>
              <w:t>14</w:t>
            </w:r>
          </w:p>
        </w:tc>
        <w:tc>
          <w:tcPr>
            <w:tcW w:w="1219" w:type="dxa"/>
            <w:tcBorders>
              <w:bottom w:val="single" w:sz="4" w:space="0" w:color="000000"/>
            </w:tcBorders>
            <w:vAlign w:val="center"/>
          </w:tcPr>
          <w:p w14:paraId="2A51F5B5" w14:textId="77777777" w:rsidR="004617CA" w:rsidRPr="00F6284E" w:rsidRDefault="004617CA" w:rsidP="00326B55">
            <w:pPr>
              <w:jc w:val="right"/>
              <w:rPr>
                <w:rFonts w:ascii="Arial" w:hAnsi="Arial"/>
                <w:sz w:val="18"/>
              </w:rPr>
            </w:pPr>
            <w:r w:rsidRPr="00F6284E">
              <w:rPr>
                <w:sz w:val="18"/>
              </w:rPr>
              <w:t>&lt;LOQ</w:t>
            </w:r>
          </w:p>
        </w:tc>
        <w:tc>
          <w:tcPr>
            <w:tcW w:w="1219" w:type="dxa"/>
            <w:tcBorders>
              <w:bottom w:val="single" w:sz="4" w:space="0" w:color="000000"/>
            </w:tcBorders>
            <w:vAlign w:val="center"/>
          </w:tcPr>
          <w:p w14:paraId="254BF2E1" w14:textId="77777777" w:rsidR="004617CA" w:rsidRPr="00F6284E" w:rsidRDefault="004617CA" w:rsidP="00326B55">
            <w:pPr>
              <w:jc w:val="right"/>
              <w:rPr>
                <w:rFonts w:ascii="Arial" w:hAnsi="Arial"/>
                <w:sz w:val="18"/>
              </w:rPr>
            </w:pPr>
            <w:r w:rsidRPr="00F6284E">
              <w:rPr>
                <w:sz w:val="18"/>
              </w:rPr>
              <w:t>4.04 ± 0.80</w:t>
            </w:r>
          </w:p>
        </w:tc>
        <w:tc>
          <w:tcPr>
            <w:tcW w:w="1219" w:type="dxa"/>
            <w:tcBorders>
              <w:bottom w:val="single" w:sz="4" w:space="0" w:color="000000"/>
            </w:tcBorders>
            <w:vAlign w:val="center"/>
          </w:tcPr>
          <w:p w14:paraId="6DB15835" w14:textId="77777777" w:rsidR="004617CA" w:rsidRPr="00F6284E" w:rsidRDefault="004617CA" w:rsidP="00326B55">
            <w:pPr>
              <w:jc w:val="right"/>
              <w:rPr>
                <w:rFonts w:ascii="Arial" w:hAnsi="Arial"/>
                <w:sz w:val="18"/>
              </w:rPr>
            </w:pPr>
            <w:r w:rsidRPr="00F6284E">
              <w:rPr>
                <w:sz w:val="18"/>
              </w:rPr>
              <w:t>17.10 ± 1.22</w:t>
            </w:r>
          </w:p>
        </w:tc>
        <w:tc>
          <w:tcPr>
            <w:tcW w:w="1219" w:type="dxa"/>
            <w:tcBorders>
              <w:bottom w:val="single" w:sz="4" w:space="0" w:color="000000"/>
            </w:tcBorders>
            <w:vAlign w:val="center"/>
          </w:tcPr>
          <w:p w14:paraId="4791EB7B" w14:textId="77777777" w:rsidR="004617CA" w:rsidRPr="00F6284E" w:rsidRDefault="004617CA" w:rsidP="00326B55">
            <w:pPr>
              <w:jc w:val="right"/>
              <w:rPr>
                <w:rFonts w:ascii="Arial" w:hAnsi="Arial"/>
                <w:sz w:val="18"/>
              </w:rPr>
            </w:pPr>
            <w:r w:rsidRPr="00F6284E">
              <w:rPr>
                <w:sz w:val="18"/>
              </w:rPr>
              <w:t>43.90 ± 4.90</w:t>
            </w:r>
          </w:p>
        </w:tc>
        <w:tc>
          <w:tcPr>
            <w:tcW w:w="1219" w:type="dxa"/>
            <w:tcBorders>
              <w:bottom w:val="single" w:sz="4" w:space="0" w:color="000000"/>
            </w:tcBorders>
            <w:vAlign w:val="center"/>
          </w:tcPr>
          <w:p w14:paraId="44039BAF" w14:textId="77777777" w:rsidR="004617CA" w:rsidRPr="00F6284E" w:rsidRDefault="004617CA" w:rsidP="00326B55">
            <w:pPr>
              <w:jc w:val="right"/>
              <w:rPr>
                <w:rFonts w:ascii="Arial" w:hAnsi="Arial"/>
                <w:sz w:val="18"/>
              </w:rPr>
            </w:pPr>
            <w:r w:rsidRPr="00F6284E">
              <w:rPr>
                <w:sz w:val="18"/>
              </w:rPr>
              <w:t>148.0 ± 13.80</w:t>
            </w:r>
          </w:p>
        </w:tc>
        <w:tc>
          <w:tcPr>
            <w:tcW w:w="1367" w:type="dxa"/>
            <w:tcBorders>
              <w:bottom w:val="single" w:sz="4" w:space="0" w:color="000000"/>
            </w:tcBorders>
            <w:vAlign w:val="center"/>
          </w:tcPr>
          <w:p w14:paraId="597865C9" w14:textId="77777777" w:rsidR="004617CA" w:rsidRPr="00F6284E" w:rsidRDefault="004617CA" w:rsidP="00326B55">
            <w:pPr>
              <w:jc w:val="right"/>
              <w:rPr>
                <w:rFonts w:ascii="Arial" w:hAnsi="Arial"/>
                <w:sz w:val="18"/>
              </w:rPr>
            </w:pPr>
            <w:r w:rsidRPr="00F6284E">
              <w:rPr>
                <w:sz w:val="18"/>
              </w:rPr>
              <w:t>-</w:t>
            </w:r>
          </w:p>
        </w:tc>
      </w:tr>
      <w:tr w:rsidR="004617CA" w:rsidRPr="004617CA" w14:paraId="4A0923B3" w14:textId="77777777" w:rsidTr="00F6284E">
        <w:trPr>
          <w:trHeight w:val="227"/>
          <w:jc w:val="center"/>
        </w:trPr>
        <w:tc>
          <w:tcPr>
            <w:tcW w:w="1512" w:type="dxa"/>
            <w:shd w:val="clear" w:color="auto" w:fill="F2F2F2" w:themeFill="background1" w:themeFillShade="F2"/>
            <w:vAlign w:val="center"/>
          </w:tcPr>
          <w:p w14:paraId="5778B12E" w14:textId="5EDEE0C6" w:rsidR="004617CA" w:rsidRPr="00F6284E" w:rsidRDefault="004617CA" w:rsidP="00A111E9">
            <w:pPr>
              <w:rPr>
                <w:rFonts w:ascii="Arial" w:hAnsi="Arial"/>
                <w:b/>
                <w:sz w:val="18"/>
                <w:vertAlign w:val="superscript"/>
              </w:rPr>
            </w:pPr>
            <w:r w:rsidRPr="00D711DD">
              <w:rPr>
                <w:b/>
                <w:sz w:val="18"/>
              </w:rPr>
              <w:t>mg/kg</w:t>
            </w:r>
            <w:r w:rsidR="00B06C4E" w:rsidRPr="000B3C14">
              <w:rPr>
                <w:b/>
                <w:sz w:val="18"/>
              </w:rPr>
              <w:t xml:space="preserve"> bw</w:t>
            </w:r>
            <w:r w:rsidRPr="00F6284E">
              <w:rPr>
                <w:b/>
                <w:sz w:val="18"/>
              </w:rPr>
              <w:t>/day</w:t>
            </w:r>
            <w:r w:rsidRPr="00F6284E">
              <w:rPr>
                <w:b/>
                <w:sz w:val="18"/>
                <w:vertAlign w:val="superscript"/>
              </w:rPr>
              <w:t>1</w:t>
            </w:r>
          </w:p>
        </w:tc>
        <w:tc>
          <w:tcPr>
            <w:tcW w:w="1219" w:type="dxa"/>
            <w:shd w:val="clear" w:color="auto" w:fill="F2F2F2" w:themeFill="background1" w:themeFillShade="F2"/>
            <w:vAlign w:val="center"/>
          </w:tcPr>
          <w:p w14:paraId="4C3210CB" w14:textId="77777777" w:rsidR="004617CA" w:rsidRPr="00F6284E" w:rsidRDefault="004617CA" w:rsidP="00326B55">
            <w:pPr>
              <w:jc w:val="right"/>
              <w:rPr>
                <w:rFonts w:ascii="Arial" w:hAnsi="Arial"/>
                <w:b/>
                <w:sz w:val="18"/>
              </w:rPr>
            </w:pPr>
            <w:r w:rsidRPr="00F6284E">
              <w:rPr>
                <w:b/>
                <w:sz w:val="18"/>
              </w:rPr>
              <w:t>0</w:t>
            </w:r>
          </w:p>
        </w:tc>
        <w:tc>
          <w:tcPr>
            <w:tcW w:w="1219" w:type="dxa"/>
            <w:shd w:val="clear" w:color="auto" w:fill="F2F2F2" w:themeFill="background1" w:themeFillShade="F2"/>
            <w:vAlign w:val="center"/>
          </w:tcPr>
          <w:p w14:paraId="37BB28D8" w14:textId="77777777" w:rsidR="004617CA" w:rsidRPr="00F6284E" w:rsidRDefault="004617CA" w:rsidP="00326B55">
            <w:pPr>
              <w:jc w:val="right"/>
              <w:rPr>
                <w:rFonts w:ascii="Arial" w:hAnsi="Arial"/>
                <w:b/>
                <w:sz w:val="18"/>
              </w:rPr>
            </w:pPr>
            <w:r w:rsidRPr="00F6284E">
              <w:rPr>
                <w:b/>
                <w:sz w:val="18"/>
              </w:rPr>
              <w:t>0.024</w:t>
            </w:r>
          </w:p>
        </w:tc>
        <w:tc>
          <w:tcPr>
            <w:tcW w:w="1219" w:type="dxa"/>
            <w:shd w:val="clear" w:color="auto" w:fill="F2F2F2" w:themeFill="background1" w:themeFillShade="F2"/>
            <w:vAlign w:val="center"/>
          </w:tcPr>
          <w:p w14:paraId="221AABEE" w14:textId="77777777" w:rsidR="004617CA" w:rsidRPr="00F6284E" w:rsidRDefault="004617CA" w:rsidP="00326B55">
            <w:pPr>
              <w:jc w:val="right"/>
              <w:rPr>
                <w:rFonts w:ascii="Arial" w:hAnsi="Arial"/>
                <w:b/>
                <w:sz w:val="18"/>
              </w:rPr>
            </w:pPr>
            <w:r w:rsidRPr="00F6284E">
              <w:rPr>
                <w:b/>
                <w:sz w:val="18"/>
              </w:rPr>
              <w:t>0.098</w:t>
            </w:r>
          </w:p>
        </w:tc>
        <w:tc>
          <w:tcPr>
            <w:tcW w:w="1219" w:type="dxa"/>
            <w:shd w:val="clear" w:color="auto" w:fill="F2F2F2" w:themeFill="background1" w:themeFillShade="F2"/>
            <w:vAlign w:val="center"/>
          </w:tcPr>
          <w:p w14:paraId="74428B8B" w14:textId="77777777" w:rsidR="004617CA" w:rsidRPr="00F6284E" w:rsidRDefault="004617CA" w:rsidP="00326B55">
            <w:pPr>
              <w:jc w:val="right"/>
              <w:rPr>
                <w:rFonts w:ascii="Arial" w:hAnsi="Arial"/>
                <w:b/>
                <w:sz w:val="18"/>
              </w:rPr>
            </w:pPr>
            <w:r w:rsidRPr="00F6284E">
              <w:rPr>
                <w:b/>
                <w:sz w:val="18"/>
              </w:rPr>
              <w:t>0.242</w:t>
            </w:r>
          </w:p>
        </w:tc>
        <w:tc>
          <w:tcPr>
            <w:tcW w:w="1219" w:type="dxa"/>
            <w:shd w:val="clear" w:color="auto" w:fill="F2F2F2" w:themeFill="background1" w:themeFillShade="F2"/>
            <w:vAlign w:val="center"/>
          </w:tcPr>
          <w:p w14:paraId="37F05BA4" w14:textId="77777777" w:rsidR="004617CA" w:rsidRPr="00F6284E" w:rsidRDefault="004617CA" w:rsidP="00326B55">
            <w:pPr>
              <w:jc w:val="right"/>
              <w:rPr>
                <w:rFonts w:ascii="Arial" w:hAnsi="Arial"/>
                <w:b/>
                <w:sz w:val="18"/>
              </w:rPr>
            </w:pPr>
            <w:r w:rsidRPr="00F6284E">
              <w:rPr>
                <w:b/>
                <w:sz w:val="18"/>
              </w:rPr>
              <w:t>0.984</w:t>
            </w:r>
          </w:p>
        </w:tc>
        <w:tc>
          <w:tcPr>
            <w:tcW w:w="1367" w:type="dxa"/>
            <w:shd w:val="clear" w:color="auto" w:fill="F2F2F2" w:themeFill="background1" w:themeFillShade="F2"/>
          </w:tcPr>
          <w:p w14:paraId="1AF87E11" w14:textId="77777777" w:rsidR="004617CA" w:rsidRPr="00F6284E" w:rsidRDefault="004617CA" w:rsidP="00326B55">
            <w:pPr>
              <w:jc w:val="right"/>
              <w:rPr>
                <w:rFonts w:ascii="Arial" w:hAnsi="Arial"/>
                <w:sz w:val="18"/>
              </w:rPr>
            </w:pPr>
          </w:p>
        </w:tc>
      </w:tr>
      <w:tr w:rsidR="004617CA" w:rsidRPr="004617CA" w14:paraId="740F2F61" w14:textId="77777777" w:rsidTr="00F6284E">
        <w:trPr>
          <w:jc w:val="center"/>
        </w:trPr>
        <w:tc>
          <w:tcPr>
            <w:tcW w:w="1512" w:type="dxa"/>
            <w:vAlign w:val="center"/>
          </w:tcPr>
          <w:p w14:paraId="5BAB557B" w14:textId="77777777" w:rsidR="004617CA" w:rsidRPr="000B3C14" w:rsidRDefault="004617CA" w:rsidP="00A111E9">
            <w:pPr>
              <w:ind w:right="170"/>
              <w:rPr>
                <w:rFonts w:ascii="Arial" w:hAnsi="Arial"/>
                <w:sz w:val="18"/>
              </w:rPr>
            </w:pPr>
            <w:r w:rsidRPr="00D711DD">
              <w:rPr>
                <w:sz w:val="18"/>
              </w:rPr>
              <w:t>53</w:t>
            </w:r>
          </w:p>
        </w:tc>
        <w:tc>
          <w:tcPr>
            <w:tcW w:w="1219" w:type="dxa"/>
            <w:vAlign w:val="center"/>
          </w:tcPr>
          <w:p w14:paraId="56FB2626" w14:textId="77777777" w:rsidR="004617CA" w:rsidRPr="00F6284E" w:rsidRDefault="004617CA" w:rsidP="00326B55">
            <w:pPr>
              <w:jc w:val="right"/>
              <w:rPr>
                <w:rFonts w:ascii="Arial" w:hAnsi="Arial"/>
                <w:sz w:val="18"/>
              </w:rPr>
            </w:pPr>
            <w:r w:rsidRPr="00F6284E">
              <w:rPr>
                <w:sz w:val="18"/>
              </w:rPr>
              <w:t>0.025 ± 0.018</w:t>
            </w:r>
          </w:p>
        </w:tc>
        <w:tc>
          <w:tcPr>
            <w:tcW w:w="1219" w:type="dxa"/>
            <w:vAlign w:val="center"/>
          </w:tcPr>
          <w:p w14:paraId="7BF3712B" w14:textId="77777777" w:rsidR="004617CA" w:rsidRPr="00F6284E" w:rsidRDefault="004617CA" w:rsidP="00326B55">
            <w:pPr>
              <w:jc w:val="right"/>
              <w:rPr>
                <w:rFonts w:ascii="Arial" w:hAnsi="Arial"/>
                <w:sz w:val="18"/>
              </w:rPr>
            </w:pPr>
            <w:r w:rsidRPr="00F6284E">
              <w:rPr>
                <w:sz w:val="18"/>
              </w:rPr>
              <w:t>-</w:t>
            </w:r>
          </w:p>
        </w:tc>
        <w:tc>
          <w:tcPr>
            <w:tcW w:w="1219" w:type="dxa"/>
            <w:vAlign w:val="center"/>
          </w:tcPr>
          <w:p w14:paraId="45497801" w14:textId="77777777" w:rsidR="004617CA" w:rsidRPr="00F6284E" w:rsidRDefault="004617CA" w:rsidP="00326B55">
            <w:pPr>
              <w:jc w:val="right"/>
              <w:rPr>
                <w:rFonts w:ascii="Arial" w:hAnsi="Arial"/>
                <w:sz w:val="18"/>
              </w:rPr>
            </w:pPr>
            <w:r w:rsidRPr="00F6284E">
              <w:rPr>
                <w:sz w:val="18"/>
              </w:rPr>
              <w:t>-</w:t>
            </w:r>
          </w:p>
        </w:tc>
        <w:tc>
          <w:tcPr>
            <w:tcW w:w="1219" w:type="dxa"/>
            <w:vAlign w:val="center"/>
          </w:tcPr>
          <w:p w14:paraId="2E8DA218" w14:textId="77777777" w:rsidR="004617CA" w:rsidRPr="00F6284E" w:rsidRDefault="004617CA" w:rsidP="00326B55">
            <w:pPr>
              <w:jc w:val="right"/>
              <w:rPr>
                <w:rFonts w:ascii="Arial" w:hAnsi="Arial"/>
                <w:sz w:val="18"/>
              </w:rPr>
            </w:pPr>
            <w:r w:rsidRPr="00F6284E">
              <w:rPr>
                <w:sz w:val="18"/>
              </w:rPr>
              <w:t>-</w:t>
            </w:r>
          </w:p>
        </w:tc>
        <w:tc>
          <w:tcPr>
            <w:tcW w:w="1219" w:type="dxa"/>
            <w:vAlign w:val="center"/>
          </w:tcPr>
          <w:p w14:paraId="0A90437F" w14:textId="77777777" w:rsidR="004617CA" w:rsidRPr="00F6284E" w:rsidRDefault="004617CA" w:rsidP="00326B55">
            <w:pPr>
              <w:jc w:val="right"/>
              <w:rPr>
                <w:rFonts w:ascii="Arial" w:hAnsi="Arial"/>
                <w:sz w:val="18"/>
              </w:rPr>
            </w:pPr>
            <w:r w:rsidRPr="00F6284E">
              <w:rPr>
                <w:sz w:val="18"/>
              </w:rPr>
              <w:t>146.0 ± 33.5 (4)</w:t>
            </w:r>
          </w:p>
        </w:tc>
        <w:tc>
          <w:tcPr>
            <w:tcW w:w="1367" w:type="dxa"/>
            <w:vAlign w:val="center"/>
          </w:tcPr>
          <w:p w14:paraId="5B7A0B45" w14:textId="77777777" w:rsidR="004617CA" w:rsidRPr="00F6284E" w:rsidRDefault="004617CA" w:rsidP="00326B55">
            <w:pPr>
              <w:jc w:val="right"/>
              <w:rPr>
                <w:rFonts w:ascii="Arial" w:hAnsi="Arial"/>
                <w:sz w:val="18"/>
              </w:rPr>
            </w:pPr>
            <w:r w:rsidRPr="00F6284E">
              <w:rPr>
                <w:sz w:val="18"/>
              </w:rPr>
              <w:t>-</w:t>
            </w:r>
          </w:p>
        </w:tc>
      </w:tr>
      <w:tr w:rsidR="004617CA" w:rsidRPr="004617CA" w14:paraId="4C38FCC5" w14:textId="77777777" w:rsidTr="00F6284E">
        <w:trPr>
          <w:jc w:val="center"/>
        </w:trPr>
        <w:tc>
          <w:tcPr>
            <w:tcW w:w="1512" w:type="dxa"/>
            <w:vAlign w:val="center"/>
          </w:tcPr>
          <w:p w14:paraId="059989DD" w14:textId="77777777" w:rsidR="004617CA" w:rsidRPr="000B3C14" w:rsidRDefault="004617CA" w:rsidP="00A111E9">
            <w:pPr>
              <w:ind w:right="170"/>
              <w:rPr>
                <w:rFonts w:ascii="Arial" w:hAnsi="Arial"/>
                <w:sz w:val="18"/>
              </w:rPr>
            </w:pPr>
            <w:r w:rsidRPr="00D711DD">
              <w:rPr>
                <w:sz w:val="18"/>
              </w:rPr>
              <w:t>105</w:t>
            </w:r>
          </w:p>
        </w:tc>
        <w:tc>
          <w:tcPr>
            <w:tcW w:w="1219" w:type="dxa"/>
            <w:vAlign w:val="center"/>
          </w:tcPr>
          <w:p w14:paraId="6E4A8CDE" w14:textId="77777777" w:rsidR="004617CA" w:rsidRPr="00F6284E" w:rsidRDefault="004617CA" w:rsidP="00326B55">
            <w:pPr>
              <w:jc w:val="right"/>
              <w:rPr>
                <w:rFonts w:ascii="Arial" w:hAnsi="Arial"/>
                <w:sz w:val="18"/>
              </w:rPr>
            </w:pPr>
            <w:r w:rsidRPr="00F6284E">
              <w:rPr>
                <w:sz w:val="18"/>
              </w:rPr>
              <w:t>0.012 ± 0.010 (11)</w:t>
            </w:r>
          </w:p>
        </w:tc>
        <w:tc>
          <w:tcPr>
            <w:tcW w:w="1219" w:type="dxa"/>
            <w:vAlign w:val="center"/>
          </w:tcPr>
          <w:p w14:paraId="3D0B1995" w14:textId="77777777" w:rsidR="004617CA" w:rsidRPr="00F6284E" w:rsidRDefault="004617CA" w:rsidP="00326B55">
            <w:pPr>
              <w:jc w:val="right"/>
              <w:rPr>
                <w:rFonts w:ascii="Arial" w:hAnsi="Arial"/>
                <w:sz w:val="18"/>
              </w:rPr>
            </w:pPr>
            <w:r w:rsidRPr="00F6284E">
              <w:rPr>
                <w:sz w:val="18"/>
              </w:rPr>
              <w:t>1.31 ± 1.30 (10)</w:t>
            </w:r>
          </w:p>
        </w:tc>
        <w:tc>
          <w:tcPr>
            <w:tcW w:w="1219" w:type="dxa"/>
            <w:vAlign w:val="center"/>
          </w:tcPr>
          <w:p w14:paraId="6DE14969" w14:textId="77777777" w:rsidR="004617CA" w:rsidRPr="00F6284E" w:rsidRDefault="004617CA" w:rsidP="00326B55">
            <w:pPr>
              <w:jc w:val="right"/>
              <w:rPr>
                <w:rFonts w:ascii="Arial" w:hAnsi="Arial"/>
                <w:sz w:val="18"/>
              </w:rPr>
            </w:pPr>
            <w:r w:rsidRPr="00F6284E">
              <w:rPr>
                <w:sz w:val="18"/>
              </w:rPr>
              <w:t>7.60 ± 8.60</w:t>
            </w:r>
          </w:p>
        </w:tc>
        <w:tc>
          <w:tcPr>
            <w:tcW w:w="1219" w:type="dxa"/>
            <w:vAlign w:val="center"/>
          </w:tcPr>
          <w:p w14:paraId="76CA2AA4" w14:textId="77777777" w:rsidR="004617CA" w:rsidRPr="00F6284E" w:rsidRDefault="004617CA" w:rsidP="00326B55">
            <w:pPr>
              <w:jc w:val="right"/>
              <w:rPr>
                <w:rFonts w:ascii="Arial" w:hAnsi="Arial"/>
                <w:sz w:val="18"/>
              </w:rPr>
            </w:pPr>
            <w:r w:rsidRPr="00F6284E">
              <w:rPr>
                <w:sz w:val="18"/>
              </w:rPr>
              <w:t>22.50 ± 23.50 (25)</w:t>
            </w:r>
          </w:p>
        </w:tc>
        <w:tc>
          <w:tcPr>
            <w:tcW w:w="1219" w:type="dxa"/>
            <w:vAlign w:val="center"/>
          </w:tcPr>
          <w:p w14:paraId="44D2CC31" w14:textId="77777777" w:rsidR="004617CA" w:rsidRPr="00F6284E" w:rsidRDefault="004617CA" w:rsidP="00326B55">
            <w:pPr>
              <w:jc w:val="right"/>
              <w:rPr>
                <w:rFonts w:ascii="Arial" w:hAnsi="Arial"/>
                <w:sz w:val="18"/>
              </w:rPr>
            </w:pPr>
            <w:r w:rsidRPr="00F6284E">
              <w:rPr>
                <w:sz w:val="18"/>
              </w:rPr>
              <w:t>69.3 ± 57.9 (22)</w:t>
            </w:r>
          </w:p>
        </w:tc>
        <w:tc>
          <w:tcPr>
            <w:tcW w:w="1367" w:type="dxa"/>
            <w:vAlign w:val="center"/>
          </w:tcPr>
          <w:p w14:paraId="65F03BF4" w14:textId="77777777" w:rsidR="004617CA" w:rsidRPr="00F6284E" w:rsidRDefault="004617CA" w:rsidP="00326B55">
            <w:pPr>
              <w:jc w:val="right"/>
              <w:rPr>
                <w:rFonts w:ascii="Arial" w:hAnsi="Arial"/>
                <w:sz w:val="18"/>
              </w:rPr>
            </w:pPr>
            <w:r w:rsidRPr="00F6284E">
              <w:rPr>
                <w:sz w:val="18"/>
              </w:rPr>
              <w:t>-</w:t>
            </w:r>
          </w:p>
        </w:tc>
      </w:tr>
      <w:tr w:rsidR="004617CA" w:rsidRPr="004617CA" w14:paraId="28F91D8F" w14:textId="77777777" w:rsidTr="00F6284E">
        <w:trPr>
          <w:jc w:val="center"/>
        </w:trPr>
        <w:tc>
          <w:tcPr>
            <w:tcW w:w="1512" w:type="dxa"/>
            <w:vAlign w:val="center"/>
          </w:tcPr>
          <w:p w14:paraId="4145F871" w14:textId="77777777" w:rsidR="004617CA" w:rsidRPr="000B3C14" w:rsidRDefault="004617CA" w:rsidP="00A111E9">
            <w:pPr>
              <w:ind w:right="170"/>
              <w:rPr>
                <w:rFonts w:ascii="Arial" w:hAnsi="Arial"/>
                <w:sz w:val="18"/>
              </w:rPr>
            </w:pPr>
            <w:r w:rsidRPr="00D711DD">
              <w:rPr>
                <w:sz w:val="18"/>
              </w:rPr>
              <w:t>106</w:t>
            </w:r>
          </w:p>
        </w:tc>
        <w:tc>
          <w:tcPr>
            <w:tcW w:w="1219" w:type="dxa"/>
            <w:vAlign w:val="center"/>
          </w:tcPr>
          <w:p w14:paraId="3458EFF4" w14:textId="77777777" w:rsidR="004617CA" w:rsidRPr="00F6284E" w:rsidRDefault="004617CA" w:rsidP="00326B55">
            <w:pPr>
              <w:jc w:val="right"/>
              <w:rPr>
                <w:rFonts w:ascii="Arial" w:hAnsi="Arial"/>
                <w:sz w:val="18"/>
              </w:rPr>
            </w:pPr>
            <w:r w:rsidRPr="00F6284E">
              <w:rPr>
                <w:sz w:val="18"/>
              </w:rPr>
              <w:t>-</w:t>
            </w:r>
          </w:p>
        </w:tc>
        <w:tc>
          <w:tcPr>
            <w:tcW w:w="1219" w:type="dxa"/>
            <w:vAlign w:val="center"/>
          </w:tcPr>
          <w:p w14:paraId="52FA2281" w14:textId="77777777" w:rsidR="004617CA" w:rsidRPr="00F6284E" w:rsidRDefault="004617CA" w:rsidP="00326B55">
            <w:pPr>
              <w:jc w:val="right"/>
              <w:rPr>
                <w:rFonts w:ascii="Arial" w:hAnsi="Arial"/>
                <w:sz w:val="18"/>
              </w:rPr>
            </w:pPr>
            <w:r w:rsidRPr="00F6284E">
              <w:rPr>
                <w:sz w:val="18"/>
              </w:rPr>
              <w:t>-</w:t>
            </w:r>
          </w:p>
        </w:tc>
        <w:tc>
          <w:tcPr>
            <w:tcW w:w="1219" w:type="dxa"/>
            <w:vAlign w:val="center"/>
          </w:tcPr>
          <w:p w14:paraId="610A97E9" w14:textId="77777777" w:rsidR="004617CA" w:rsidRPr="00F6284E" w:rsidRDefault="004617CA" w:rsidP="00326B55">
            <w:pPr>
              <w:jc w:val="right"/>
              <w:rPr>
                <w:rFonts w:ascii="Arial" w:hAnsi="Arial"/>
                <w:sz w:val="18"/>
              </w:rPr>
            </w:pPr>
            <w:r w:rsidRPr="00F6284E">
              <w:rPr>
                <w:sz w:val="18"/>
              </w:rPr>
              <w:t>-</w:t>
            </w:r>
          </w:p>
        </w:tc>
        <w:tc>
          <w:tcPr>
            <w:tcW w:w="1219" w:type="dxa"/>
            <w:vAlign w:val="center"/>
          </w:tcPr>
          <w:p w14:paraId="6E72B8CF" w14:textId="77777777" w:rsidR="004617CA" w:rsidRPr="00F6284E" w:rsidRDefault="004617CA" w:rsidP="00326B55">
            <w:pPr>
              <w:jc w:val="right"/>
              <w:rPr>
                <w:rFonts w:ascii="Arial" w:hAnsi="Arial"/>
                <w:sz w:val="18"/>
              </w:rPr>
            </w:pPr>
            <w:r w:rsidRPr="00F6284E">
              <w:rPr>
                <w:sz w:val="18"/>
              </w:rPr>
              <w:t>-</w:t>
            </w:r>
          </w:p>
        </w:tc>
        <w:tc>
          <w:tcPr>
            <w:tcW w:w="1219" w:type="dxa"/>
            <w:vAlign w:val="center"/>
          </w:tcPr>
          <w:p w14:paraId="4228BE02" w14:textId="77777777" w:rsidR="004617CA" w:rsidRPr="00F6284E" w:rsidRDefault="004617CA" w:rsidP="00326B55">
            <w:pPr>
              <w:jc w:val="right"/>
              <w:rPr>
                <w:rFonts w:ascii="Arial" w:hAnsi="Arial"/>
                <w:sz w:val="18"/>
              </w:rPr>
            </w:pPr>
            <w:r w:rsidRPr="00F6284E">
              <w:rPr>
                <w:sz w:val="18"/>
              </w:rPr>
              <w:t>-</w:t>
            </w:r>
          </w:p>
        </w:tc>
        <w:tc>
          <w:tcPr>
            <w:tcW w:w="1367" w:type="dxa"/>
            <w:vAlign w:val="center"/>
          </w:tcPr>
          <w:p w14:paraId="300E2047" w14:textId="77777777" w:rsidR="004617CA" w:rsidRPr="00F6284E" w:rsidRDefault="004617CA" w:rsidP="00326B55">
            <w:pPr>
              <w:jc w:val="right"/>
              <w:rPr>
                <w:rFonts w:ascii="Arial" w:hAnsi="Arial"/>
                <w:sz w:val="18"/>
              </w:rPr>
            </w:pPr>
            <w:r w:rsidRPr="00F6284E">
              <w:rPr>
                <w:sz w:val="18"/>
              </w:rPr>
              <w:t>2.41 ± 5.09 (10)</w:t>
            </w:r>
          </w:p>
        </w:tc>
      </w:tr>
      <w:tr w:rsidR="004617CA" w:rsidRPr="004617CA" w14:paraId="43E5012E" w14:textId="77777777" w:rsidTr="00F6284E">
        <w:trPr>
          <w:trHeight w:val="283"/>
          <w:jc w:val="center"/>
        </w:trPr>
        <w:tc>
          <w:tcPr>
            <w:tcW w:w="8974" w:type="dxa"/>
            <w:gridSpan w:val="7"/>
            <w:tcBorders>
              <w:bottom w:val="single" w:sz="4" w:space="0" w:color="000000"/>
            </w:tcBorders>
            <w:vAlign w:val="center"/>
          </w:tcPr>
          <w:p w14:paraId="77EFC1A6" w14:textId="77777777" w:rsidR="004617CA" w:rsidRPr="000B3C14" w:rsidRDefault="004617CA" w:rsidP="00326B55">
            <w:pPr>
              <w:rPr>
                <w:rFonts w:ascii="Arial" w:hAnsi="Arial"/>
                <w:sz w:val="18"/>
              </w:rPr>
            </w:pPr>
            <w:r w:rsidRPr="00D711DD">
              <w:rPr>
                <w:sz w:val="18"/>
              </w:rPr>
              <w:t>Females</w:t>
            </w:r>
          </w:p>
        </w:tc>
      </w:tr>
      <w:tr w:rsidR="004617CA" w:rsidRPr="004617CA" w14:paraId="678EB6A5" w14:textId="77777777" w:rsidTr="00F6284E">
        <w:trPr>
          <w:trHeight w:val="227"/>
          <w:jc w:val="center"/>
        </w:trPr>
        <w:tc>
          <w:tcPr>
            <w:tcW w:w="1512" w:type="dxa"/>
            <w:shd w:val="clear" w:color="auto" w:fill="F2F2F2" w:themeFill="background1" w:themeFillShade="F2"/>
            <w:vAlign w:val="center"/>
          </w:tcPr>
          <w:p w14:paraId="436B0F90" w14:textId="76811124" w:rsidR="004617CA" w:rsidRPr="00F6284E" w:rsidRDefault="004617CA" w:rsidP="00A111E9">
            <w:pPr>
              <w:rPr>
                <w:rFonts w:ascii="Arial" w:hAnsi="Arial"/>
                <w:b/>
                <w:sz w:val="18"/>
              </w:rPr>
            </w:pPr>
            <w:r w:rsidRPr="00D711DD">
              <w:rPr>
                <w:b/>
                <w:sz w:val="18"/>
              </w:rPr>
              <w:t>mg/kg</w:t>
            </w:r>
            <w:r w:rsidR="00B06C4E" w:rsidRPr="000B3C14">
              <w:rPr>
                <w:b/>
                <w:sz w:val="18"/>
              </w:rPr>
              <w:t xml:space="preserve"> bw</w:t>
            </w:r>
            <w:r w:rsidRPr="00F6284E">
              <w:rPr>
                <w:b/>
                <w:sz w:val="18"/>
              </w:rPr>
              <w:t>/day</w:t>
            </w:r>
          </w:p>
        </w:tc>
        <w:tc>
          <w:tcPr>
            <w:tcW w:w="1219" w:type="dxa"/>
            <w:shd w:val="clear" w:color="auto" w:fill="F2F2F2" w:themeFill="background1" w:themeFillShade="F2"/>
            <w:vAlign w:val="center"/>
          </w:tcPr>
          <w:p w14:paraId="7D40D695" w14:textId="77777777" w:rsidR="004617CA" w:rsidRPr="00F6284E" w:rsidRDefault="004617CA" w:rsidP="00326B55">
            <w:pPr>
              <w:jc w:val="right"/>
              <w:rPr>
                <w:rFonts w:ascii="Arial" w:hAnsi="Arial"/>
                <w:b/>
                <w:sz w:val="18"/>
              </w:rPr>
            </w:pPr>
            <w:r w:rsidRPr="00F6284E">
              <w:rPr>
                <w:b/>
                <w:sz w:val="18"/>
              </w:rPr>
              <w:t>0</w:t>
            </w:r>
          </w:p>
        </w:tc>
        <w:tc>
          <w:tcPr>
            <w:tcW w:w="1219" w:type="dxa"/>
            <w:shd w:val="clear" w:color="auto" w:fill="F2F2F2" w:themeFill="background1" w:themeFillShade="F2"/>
            <w:vAlign w:val="center"/>
          </w:tcPr>
          <w:p w14:paraId="3B751913" w14:textId="77777777" w:rsidR="004617CA" w:rsidRPr="00F6284E" w:rsidRDefault="004617CA" w:rsidP="00326B55">
            <w:pPr>
              <w:jc w:val="right"/>
              <w:rPr>
                <w:rFonts w:ascii="Arial" w:hAnsi="Arial"/>
                <w:b/>
                <w:sz w:val="18"/>
              </w:rPr>
            </w:pPr>
            <w:r w:rsidRPr="00F6284E">
              <w:rPr>
                <w:b/>
                <w:sz w:val="18"/>
              </w:rPr>
              <w:t>0.05</w:t>
            </w:r>
          </w:p>
        </w:tc>
        <w:tc>
          <w:tcPr>
            <w:tcW w:w="1219" w:type="dxa"/>
            <w:shd w:val="clear" w:color="auto" w:fill="F2F2F2" w:themeFill="background1" w:themeFillShade="F2"/>
            <w:vAlign w:val="center"/>
          </w:tcPr>
          <w:p w14:paraId="164FCCFD" w14:textId="77777777" w:rsidR="004617CA" w:rsidRPr="00F6284E" w:rsidRDefault="004617CA" w:rsidP="00326B55">
            <w:pPr>
              <w:jc w:val="right"/>
              <w:rPr>
                <w:rFonts w:ascii="Arial" w:hAnsi="Arial"/>
                <w:b/>
                <w:sz w:val="18"/>
              </w:rPr>
            </w:pPr>
            <w:r w:rsidRPr="00F6284E">
              <w:rPr>
                <w:b/>
                <w:sz w:val="18"/>
              </w:rPr>
              <w:t>0.22</w:t>
            </w:r>
          </w:p>
        </w:tc>
        <w:tc>
          <w:tcPr>
            <w:tcW w:w="1219" w:type="dxa"/>
            <w:shd w:val="clear" w:color="auto" w:fill="F2F2F2" w:themeFill="background1" w:themeFillShade="F2"/>
            <w:vAlign w:val="center"/>
          </w:tcPr>
          <w:p w14:paraId="0E77CCA5" w14:textId="77777777" w:rsidR="004617CA" w:rsidRPr="00F6284E" w:rsidRDefault="004617CA" w:rsidP="00326B55">
            <w:pPr>
              <w:jc w:val="right"/>
              <w:rPr>
                <w:rFonts w:ascii="Arial" w:hAnsi="Arial"/>
                <w:b/>
                <w:sz w:val="18"/>
              </w:rPr>
            </w:pPr>
            <w:r w:rsidRPr="00F6284E">
              <w:rPr>
                <w:b/>
                <w:sz w:val="18"/>
              </w:rPr>
              <w:t>0.47</w:t>
            </w:r>
          </w:p>
        </w:tc>
        <w:tc>
          <w:tcPr>
            <w:tcW w:w="1219" w:type="dxa"/>
            <w:shd w:val="clear" w:color="auto" w:fill="F2F2F2" w:themeFill="background1" w:themeFillShade="F2"/>
            <w:vAlign w:val="center"/>
          </w:tcPr>
          <w:p w14:paraId="24F29B67" w14:textId="77777777" w:rsidR="004617CA" w:rsidRPr="00F6284E" w:rsidRDefault="004617CA" w:rsidP="00326B55">
            <w:pPr>
              <w:jc w:val="right"/>
              <w:rPr>
                <w:rFonts w:ascii="Arial" w:hAnsi="Arial"/>
                <w:b/>
                <w:sz w:val="18"/>
              </w:rPr>
            </w:pPr>
            <w:r w:rsidRPr="00F6284E">
              <w:rPr>
                <w:b/>
                <w:sz w:val="18"/>
              </w:rPr>
              <w:t>1.77</w:t>
            </w:r>
          </w:p>
        </w:tc>
        <w:tc>
          <w:tcPr>
            <w:tcW w:w="1367" w:type="dxa"/>
            <w:shd w:val="clear" w:color="auto" w:fill="F2F2F2" w:themeFill="background1" w:themeFillShade="F2"/>
          </w:tcPr>
          <w:p w14:paraId="0A408082" w14:textId="77777777" w:rsidR="004617CA" w:rsidRPr="00F6284E" w:rsidRDefault="004617CA" w:rsidP="00326B55">
            <w:pPr>
              <w:jc w:val="right"/>
              <w:rPr>
                <w:rFonts w:ascii="Arial" w:hAnsi="Arial"/>
                <w:sz w:val="18"/>
              </w:rPr>
            </w:pPr>
          </w:p>
        </w:tc>
      </w:tr>
      <w:tr w:rsidR="004617CA" w:rsidRPr="004617CA" w14:paraId="02A1D624" w14:textId="77777777" w:rsidTr="00F6284E">
        <w:trPr>
          <w:jc w:val="center"/>
        </w:trPr>
        <w:tc>
          <w:tcPr>
            <w:tcW w:w="1512" w:type="dxa"/>
            <w:tcBorders>
              <w:bottom w:val="single" w:sz="4" w:space="0" w:color="000000"/>
            </w:tcBorders>
            <w:vAlign w:val="center"/>
          </w:tcPr>
          <w:p w14:paraId="6901B35A" w14:textId="77777777" w:rsidR="004617CA" w:rsidRPr="000B3C14" w:rsidRDefault="004617CA" w:rsidP="00A111E9">
            <w:pPr>
              <w:ind w:right="170"/>
              <w:rPr>
                <w:rFonts w:ascii="Arial" w:hAnsi="Arial"/>
                <w:sz w:val="18"/>
              </w:rPr>
            </w:pPr>
            <w:r w:rsidRPr="00D711DD">
              <w:rPr>
                <w:sz w:val="18"/>
              </w:rPr>
              <w:t>4</w:t>
            </w:r>
          </w:p>
        </w:tc>
        <w:tc>
          <w:tcPr>
            <w:tcW w:w="1219" w:type="dxa"/>
            <w:tcBorders>
              <w:bottom w:val="single" w:sz="4" w:space="0" w:color="000000"/>
            </w:tcBorders>
            <w:vAlign w:val="center"/>
          </w:tcPr>
          <w:p w14:paraId="014A749E" w14:textId="77777777" w:rsidR="004617CA" w:rsidRPr="00F6284E" w:rsidRDefault="004617CA" w:rsidP="00326B55">
            <w:pPr>
              <w:jc w:val="right"/>
              <w:rPr>
                <w:rFonts w:ascii="Arial" w:hAnsi="Arial"/>
                <w:sz w:val="18"/>
              </w:rPr>
            </w:pPr>
            <w:r w:rsidRPr="00F6284E">
              <w:rPr>
                <w:sz w:val="18"/>
              </w:rPr>
              <w:t>0.026 ± 0.007</w:t>
            </w:r>
          </w:p>
        </w:tc>
        <w:tc>
          <w:tcPr>
            <w:tcW w:w="1219" w:type="dxa"/>
            <w:tcBorders>
              <w:bottom w:val="single" w:sz="4" w:space="0" w:color="000000"/>
            </w:tcBorders>
            <w:vAlign w:val="center"/>
          </w:tcPr>
          <w:p w14:paraId="20687A9C" w14:textId="77777777" w:rsidR="004617CA" w:rsidRPr="00F6284E" w:rsidRDefault="004617CA" w:rsidP="00326B55">
            <w:pPr>
              <w:jc w:val="right"/>
              <w:rPr>
                <w:rFonts w:ascii="Arial" w:hAnsi="Arial"/>
                <w:sz w:val="18"/>
              </w:rPr>
            </w:pPr>
            <w:r w:rsidRPr="00F6284E">
              <w:rPr>
                <w:sz w:val="18"/>
              </w:rPr>
              <w:t>1.61 ± 0.21</w:t>
            </w:r>
          </w:p>
        </w:tc>
        <w:tc>
          <w:tcPr>
            <w:tcW w:w="1219" w:type="dxa"/>
            <w:tcBorders>
              <w:bottom w:val="single" w:sz="4" w:space="0" w:color="000000"/>
            </w:tcBorders>
            <w:vAlign w:val="center"/>
          </w:tcPr>
          <w:p w14:paraId="633488C4" w14:textId="77777777" w:rsidR="004617CA" w:rsidRPr="00F6284E" w:rsidRDefault="004617CA" w:rsidP="00326B55">
            <w:pPr>
              <w:jc w:val="right"/>
              <w:rPr>
                <w:rFonts w:ascii="Arial" w:hAnsi="Arial"/>
                <w:sz w:val="18"/>
              </w:rPr>
            </w:pPr>
            <w:r w:rsidRPr="00F6284E">
              <w:rPr>
                <w:sz w:val="18"/>
              </w:rPr>
              <w:t>6.62 ± 0.50</w:t>
            </w:r>
          </w:p>
        </w:tc>
        <w:tc>
          <w:tcPr>
            <w:tcW w:w="1219" w:type="dxa"/>
            <w:tcBorders>
              <w:bottom w:val="single" w:sz="4" w:space="0" w:color="000000"/>
            </w:tcBorders>
            <w:vAlign w:val="center"/>
          </w:tcPr>
          <w:p w14:paraId="716FA13A" w14:textId="77777777" w:rsidR="004617CA" w:rsidRPr="00F6284E" w:rsidRDefault="004617CA" w:rsidP="00326B55">
            <w:pPr>
              <w:jc w:val="right"/>
              <w:rPr>
                <w:rFonts w:ascii="Arial" w:hAnsi="Arial"/>
                <w:sz w:val="18"/>
              </w:rPr>
            </w:pPr>
            <w:r w:rsidRPr="00F6284E">
              <w:rPr>
                <w:sz w:val="18"/>
              </w:rPr>
              <w:t>12.60 ± 1.73</w:t>
            </w:r>
          </w:p>
        </w:tc>
        <w:tc>
          <w:tcPr>
            <w:tcW w:w="1219" w:type="dxa"/>
            <w:tcBorders>
              <w:bottom w:val="single" w:sz="4" w:space="0" w:color="000000"/>
            </w:tcBorders>
            <w:vAlign w:val="center"/>
          </w:tcPr>
          <w:p w14:paraId="62892461" w14:textId="77777777" w:rsidR="004617CA" w:rsidRPr="00F6284E" w:rsidRDefault="004617CA" w:rsidP="00326B55">
            <w:pPr>
              <w:jc w:val="right"/>
              <w:rPr>
                <w:rFonts w:ascii="Arial" w:hAnsi="Arial"/>
                <w:sz w:val="18"/>
              </w:rPr>
            </w:pPr>
            <w:r w:rsidRPr="00F6284E">
              <w:rPr>
                <w:sz w:val="18"/>
              </w:rPr>
              <w:t>54.00 ± 7.34</w:t>
            </w:r>
          </w:p>
        </w:tc>
        <w:tc>
          <w:tcPr>
            <w:tcW w:w="1367" w:type="dxa"/>
            <w:tcBorders>
              <w:bottom w:val="single" w:sz="4" w:space="0" w:color="000000"/>
            </w:tcBorders>
            <w:vAlign w:val="center"/>
          </w:tcPr>
          <w:p w14:paraId="4245963F" w14:textId="77777777" w:rsidR="004617CA" w:rsidRPr="00F6284E" w:rsidRDefault="004617CA" w:rsidP="00326B55">
            <w:pPr>
              <w:jc w:val="right"/>
              <w:rPr>
                <w:rFonts w:ascii="Arial" w:hAnsi="Arial"/>
                <w:sz w:val="18"/>
              </w:rPr>
            </w:pPr>
            <w:r w:rsidRPr="00F6284E">
              <w:rPr>
                <w:sz w:val="18"/>
              </w:rPr>
              <w:t>-</w:t>
            </w:r>
          </w:p>
        </w:tc>
      </w:tr>
      <w:tr w:rsidR="004617CA" w:rsidRPr="004617CA" w14:paraId="4167DB7D" w14:textId="77777777" w:rsidTr="00F6284E">
        <w:trPr>
          <w:trHeight w:val="227"/>
          <w:jc w:val="center"/>
        </w:trPr>
        <w:tc>
          <w:tcPr>
            <w:tcW w:w="1512" w:type="dxa"/>
            <w:shd w:val="clear" w:color="auto" w:fill="F2F2F2" w:themeFill="background1" w:themeFillShade="F2"/>
            <w:vAlign w:val="center"/>
          </w:tcPr>
          <w:p w14:paraId="15A0E219" w14:textId="30F516E7" w:rsidR="004617CA" w:rsidRPr="00F6284E" w:rsidRDefault="004617CA" w:rsidP="00A111E9">
            <w:pPr>
              <w:rPr>
                <w:rFonts w:ascii="Arial" w:hAnsi="Arial"/>
                <w:b/>
                <w:sz w:val="18"/>
              </w:rPr>
            </w:pPr>
            <w:r w:rsidRPr="00D711DD">
              <w:rPr>
                <w:b/>
                <w:sz w:val="18"/>
              </w:rPr>
              <w:t>mg/kg</w:t>
            </w:r>
            <w:r w:rsidR="00B06C4E" w:rsidRPr="000B3C14">
              <w:rPr>
                <w:b/>
                <w:sz w:val="18"/>
              </w:rPr>
              <w:t xml:space="preserve"> bw</w:t>
            </w:r>
            <w:r w:rsidRPr="00F6284E">
              <w:rPr>
                <w:b/>
                <w:sz w:val="18"/>
              </w:rPr>
              <w:t>/day</w:t>
            </w:r>
          </w:p>
        </w:tc>
        <w:tc>
          <w:tcPr>
            <w:tcW w:w="1219" w:type="dxa"/>
            <w:shd w:val="clear" w:color="auto" w:fill="F2F2F2" w:themeFill="background1" w:themeFillShade="F2"/>
            <w:vAlign w:val="center"/>
          </w:tcPr>
          <w:p w14:paraId="580E8358" w14:textId="77777777" w:rsidR="004617CA" w:rsidRPr="00F6284E" w:rsidRDefault="004617CA" w:rsidP="00326B55">
            <w:pPr>
              <w:jc w:val="right"/>
              <w:rPr>
                <w:rFonts w:ascii="Arial" w:hAnsi="Arial"/>
                <w:b/>
                <w:sz w:val="18"/>
              </w:rPr>
            </w:pPr>
            <w:r w:rsidRPr="00F6284E">
              <w:rPr>
                <w:b/>
                <w:sz w:val="18"/>
              </w:rPr>
              <w:t>0</w:t>
            </w:r>
          </w:p>
        </w:tc>
        <w:tc>
          <w:tcPr>
            <w:tcW w:w="1219" w:type="dxa"/>
            <w:shd w:val="clear" w:color="auto" w:fill="F2F2F2" w:themeFill="background1" w:themeFillShade="F2"/>
            <w:vAlign w:val="center"/>
          </w:tcPr>
          <w:p w14:paraId="3FD1A288" w14:textId="77777777" w:rsidR="004617CA" w:rsidRPr="00F6284E" w:rsidRDefault="004617CA" w:rsidP="00326B55">
            <w:pPr>
              <w:jc w:val="right"/>
              <w:rPr>
                <w:rFonts w:ascii="Arial" w:hAnsi="Arial"/>
                <w:b/>
                <w:sz w:val="18"/>
              </w:rPr>
            </w:pPr>
            <w:r w:rsidRPr="00F6284E">
              <w:rPr>
                <w:b/>
                <w:sz w:val="18"/>
              </w:rPr>
              <w:t>0.04</w:t>
            </w:r>
          </w:p>
        </w:tc>
        <w:tc>
          <w:tcPr>
            <w:tcW w:w="1219" w:type="dxa"/>
            <w:shd w:val="clear" w:color="auto" w:fill="F2F2F2" w:themeFill="background1" w:themeFillShade="F2"/>
            <w:vAlign w:val="center"/>
          </w:tcPr>
          <w:p w14:paraId="685513E5" w14:textId="77777777" w:rsidR="004617CA" w:rsidRPr="00F6284E" w:rsidRDefault="004617CA" w:rsidP="00326B55">
            <w:pPr>
              <w:jc w:val="right"/>
              <w:rPr>
                <w:rFonts w:ascii="Arial" w:hAnsi="Arial"/>
                <w:b/>
                <w:sz w:val="18"/>
              </w:rPr>
            </w:pPr>
            <w:r w:rsidRPr="00F6284E">
              <w:rPr>
                <w:b/>
                <w:sz w:val="18"/>
              </w:rPr>
              <w:t>0.15</w:t>
            </w:r>
          </w:p>
        </w:tc>
        <w:tc>
          <w:tcPr>
            <w:tcW w:w="1219" w:type="dxa"/>
            <w:shd w:val="clear" w:color="auto" w:fill="F2F2F2" w:themeFill="background1" w:themeFillShade="F2"/>
            <w:vAlign w:val="center"/>
          </w:tcPr>
          <w:p w14:paraId="22E925E3" w14:textId="77777777" w:rsidR="004617CA" w:rsidRPr="00F6284E" w:rsidRDefault="004617CA" w:rsidP="00326B55">
            <w:pPr>
              <w:jc w:val="right"/>
              <w:rPr>
                <w:rFonts w:ascii="Arial" w:hAnsi="Arial"/>
                <w:b/>
                <w:sz w:val="18"/>
              </w:rPr>
            </w:pPr>
            <w:r w:rsidRPr="00F6284E">
              <w:rPr>
                <w:b/>
                <w:sz w:val="18"/>
              </w:rPr>
              <w:t>0.40</w:t>
            </w:r>
          </w:p>
        </w:tc>
        <w:tc>
          <w:tcPr>
            <w:tcW w:w="1219" w:type="dxa"/>
            <w:shd w:val="clear" w:color="auto" w:fill="F2F2F2" w:themeFill="background1" w:themeFillShade="F2"/>
            <w:vAlign w:val="center"/>
          </w:tcPr>
          <w:p w14:paraId="655F4C4E" w14:textId="77777777" w:rsidR="004617CA" w:rsidRPr="00F6284E" w:rsidRDefault="004617CA" w:rsidP="00326B55">
            <w:pPr>
              <w:jc w:val="right"/>
              <w:rPr>
                <w:rFonts w:ascii="Arial" w:hAnsi="Arial"/>
                <w:b/>
                <w:sz w:val="18"/>
              </w:rPr>
            </w:pPr>
            <w:r w:rsidRPr="00F6284E">
              <w:rPr>
                <w:b/>
                <w:sz w:val="18"/>
              </w:rPr>
              <w:t>1.56</w:t>
            </w:r>
          </w:p>
        </w:tc>
        <w:tc>
          <w:tcPr>
            <w:tcW w:w="1367" w:type="dxa"/>
            <w:shd w:val="clear" w:color="auto" w:fill="F2F2F2" w:themeFill="background1" w:themeFillShade="F2"/>
          </w:tcPr>
          <w:p w14:paraId="13FF3A2F" w14:textId="77777777" w:rsidR="004617CA" w:rsidRPr="00F6284E" w:rsidRDefault="004617CA" w:rsidP="00326B55">
            <w:pPr>
              <w:jc w:val="right"/>
              <w:rPr>
                <w:rFonts w:ascii="Arial" w:hAnsi="Arial"/>
                <w:sz w:val="18"/>
              </w:rPr>
            </w:pPr>
          </w:p>
        </w:tc>
      </w:tr>
      <w:tr w:rsidR="004617CA" w:rsidRPr="004617CA" w14:paraId="214ED375" w14:textId="77777777" w:rsidTr="00F6284E">
        <w:trPr>
          <w:jc w:val="center"/>
        </w:trPr>
        <w:tc>
          <w:tcPr>
            <w:tcW w:w="1512" w:type="dxa"/>
            <w:tcBorders>
              <w:bottom w:val="single" w:sz="4" w:space="0" w:color="000000"/>
            </w:tcBorders>
            <w:vAlign w:val="center"/>
          </w:tcPr>
          <w:p w14:paraId="485C3003" w14:textId="77777777" w:rsidR="004617CA" w:rsidRPr="000B3C14" w:rsidRDefault="004617CA" w:rsidP="00A111E9">
            <w:pPr>
              <w:ind w:right="170"/>
              <w:rPr>
                <w:rFonts w:ascii="Arial" w:hAnsi="Arial"/>
                <w:sz w:val="18"/>
              </w:rPr>
            </w:pPr>
            <w:r w:rsidRPr="00D711DD">
              <w:rPr>
                <w:sz w:val="18"/>
              </w:rPr>
              <w:t>14</w:t>
            </w:r>
          </w:p>
        </w:tc>
        <w:tc>
          <w:tcPr>
            <w:tcW w:w="1219" w:type="dxa"/>
            <w:tcBorders>
              <w:bottom w:val="single" w:sz="4" w:space="0" w:color="000000"/>
            </w:tcBorders>
            <w:vAlign w:val="center"/>
          </w:tcPr>
          <w:p w14:paraId="13AAC89F" w14:textId="77777777" w:rsidR="004617CA" w:rsidRPr="00F6284E" w:rsidRDefault="004617CA" w:rsidP="00326B55">
            <w:pPr>
              <w:jc w:val="right"/>
              <w:rPr>
                <w:rFonts w:ascii="Arial" w:hAnsi="Arial"/>
                <w:sz w:val="18"/>
              </w:rPr>
            </w:pPr>
            <w:r w:rsidRPr="00F6284E">
              <w:rPr>
                <w:sz w:val="18"/>
              </w:rPr>
              <w:t>2.67 ± 4.58</w:t>
            </w:r>
          </w:p>
        </w:tc>
        <w:tc>
          <w:tcPr>
            <w:tcW w:w="1219" w:type="dxa"/>
            <w:tcBorders>
              <w:bottom w:val="single" w:sz="4" w:space="0" w:color="000000"/>
            </w:tcBorders>
            <w:vAlign w:val="center"/>
          </w:tcPr>
          <w:p w14:paraId="19DF33F6" w14:textId="77777777" w:rsidR="004617CA" w:rsidRPr="00F6284E" w:rsidRDefault="004617CA" w:rsidP="00326B55">
            <w:pPr>
              <w:jc w:val="right"/>
              <w:rPr>
                <w:rFonts w:ascii="Arial" w:hAnsi="Arial"/>
                <w:sz w:val="18"/>
              </w:rPr>
            </w:pPr>
            <w:r w:rsidRPr="00F6284E">
              <w:rPr>
                <w:sz w:val="18"/>
              </w:rPr>
              <w:t>6.96 ± 0.99 (4)</w:t>
            </w:r>
          </w:p>
        </w:tc>
        <w:tc>
          <w:tcPr>
            <w:tcW w:w="1219" w:type="dxa"/>
            <w:tcBorders>
              <w:bottom w:val="single" w:sz="4" w:space="0" w:color="000000"/>
            </w:tcBorders>
            <w:vAlign w:val="center"/>
          </w:tcPr>
          <w:p w14:paraId="22D920B0" w14:textId="77777777" w:rsidR="004617CA" w:rsidRPr="00F6284E" w:rsidRDefault="004617CA" w:rsidP="00326B55">
            <w:pPr>
              <w:jc w:val="right"/>
              <w:rPr>
                <w:rFonts w:ascii="Arial" w:hAnsi="Arial"/>
                <w:sz w:val="18"/>
              </w:rPr>
            </w:pPr>
            <w:r w:rsidRPr="00F6284E">
              <w:rPr>
                <w:sz w:val="18"/>
              </w:rPr>
              <w:t>27.30 ± 2.34</w:t>
            </w:r>
          </w:p>
        </w:tc>
        <w:tc>
          <w:tcPr>
            <w:tcW w:w="1219" w:type="dxa"/>
            <w:tcBorders>
              <w:bottom w:val="single" w:sz="4" w:space="0" w:color="000000"/>
            </w:tcBorders>
            <w:vAlign w:val="center"/>
          </w:tcPr>
          <w:p w14:paraId="7EC7BBE0" w14:textId="77777777" w:rsidR="004617CA" w:rsidRPr="00F6284E" w:rsidRDefault="004617CA" w:rsidP="00326B55">
            <w:pPr>
              <w:jc w:val="right"/>
              <w:rPr>
                <w:rFonts w:ascii="Arial" w:hAnsi="Arial"/>
                <w:sz w:val="18"/>
              </w:rPr>
            </w:pPr>
            <w:r w:rsidRPr="00F6284E">
              <w:rPr>
                <w:sz w:val="18"/>
              </w:rPr>
              <w:t>64.40 ± 5.48</w:t>
            </w:r>
          </w:p>
        </w:tc>
        <w:tc>
          <w:tcPr>
            <w:tcW w:w="1219" w:type="dxa"/>
            <w:tcBorders>
              <w:bottom w:val="single" w:sz="4" w:space="0" w:color="000000"/>
            </w:tcBorders>
            <w:vAlign w:val="center"/>
          </w:tcPr>
          <w:p w14:paraId="4F7F8C91" w14:textId="77777777" w:rsidR="004617CA" w:rsidRPr="00F6284E" w:rsidRDefault="004617CA" w:rsidP="00326B55">
            <w:pPr>
              <w:jc w:val="right"/>
              <w:rPr>
                <w:rFonts w:ascii="Arial" w:hAnsi="Arial"/>
                <w:sz w:val="18"/>
              </w:rPr>
            </w:pPr>
            <w:r w:rsidRPr="00F6284E">
              <w:rPr>
                <w:sz w:val="18"/>
              </w:rPr>
              <w:t>223.0 ± 22.40</w:t>
            </w:r>
          </w:p>
        </w:tc>
        <w:tc>
          <w:tcPr>
            <w:tcW w:w="1367" w:type="dxa"/>
            <w:tcBorders>
              <w:bottom w:val="single" w:sz="4" w:space="0" w:color="000000"/>
            </w:tcBorders>
            <w:vAlign w:val="center"/>
          </w:tcPr>
          <w:p w14:paraId="6B406AD1" w14:textId="77777777" w:rsidR="004617CA" w:rsidRPr="00F6284E" w:rsidRDefault="004617CA" w:rsidP="00326B55">
            <w:pPr>
              <w:jc w:val="right"/>
              <w:rPr>
                <w:rFonts w:ascii="Arial" w:hAnsi="Arial"/>
                <w:sz w:val="18"/>
              </w:rPr>
            </w:pPr>
            <w:r w:rsidRPr="00F6284E">
              <w:rPr>
                <w:sz w:val="18"/>
              </w:rPr>
              <w:t>-</w:t>
            </w:r>
          </w:p>
        </w:tc>
      </w:tr>
      <w:tr w:rsidR="004617CA" w:rsidRPr="004617CA" w14:paraId="35155AE4" w14:textId="77777777" w:rsidTr="00F6284E">
        <w:trPr>
          <w:trHeight w:val="227"/>
          <w:jc w:val="center"/>
        </w:trPr>
        <w:tc>
          <w:tcPr>
            <w:tcW w:w="1512" w:type="dxa"/>
            <w:shd w:val="clear" w:color="auto" w:fill="F2F2F2" w:themeFill="background1" w:themeFillShade="F2"/>
            <w:vAlign w:val="center"/>
          </w:tcPr>
          <w:p w14:paraId="6812E8D2" w14:textId="5112186B" w:rsidR="004617CA" w:rsidRPr="00F6284E" w:rsidRDefault="004617CA" w:rsidP="00A111E9">
            <w:pPr>
              <w:rPr>
                <w:rFonts w:ascii="Arial" w:hAnsi="Arial"/>
                <w:b/>
                <w:sz w:val="18"/>
                <w:vertAlign w:val="superscript"/>
              </w:rPr>
            </w:pPr>
            <w:r w:rsidRPr="00D711DD">
              <w:rPr>
                <w:b/>
                <w:sz w:val="18"/>
              </w:rPr>
              <w:t>mg/kg</w:t>
            </w:r>
            <w:r w:rsidR="00B06C4E" w:rsidRPr="000B3C14">
              <w:rPr>
                <w:b/>
                <w:sz w:val="18"/>
              </w:rPr>
              <w:t xml:space="preserve"> bw</w:t>
            </w:r>
            <w:r w:rsidRPr="00F6284E">
              <w:rPr>
                <w:b/>
                <w:sz w:val="18"/>
              </w:rPr>
              <w:t>/day</w:t>
            </w:r>
            <w:r w:rsidRPr="00F6284E">
              <w:rPr>
                <w:b/>
                <w:sz w:val="18"/>
                <w:vertAlign w:val="superscript"/>
              </w:rPr>
              <w:t>1</w:t>
            </w:r>
          </w:p>
        </w:tc>
        <w:tc>
          <w:tcPr>
            <w:tcW w:w="1219" w:type="dxa"/>
            <w:shd w:val="clear" w:color="auto" w:fill="F2F2F2" w:themeFill="background1" w:themeFillShade="F2"/>
            <w:vAlign w:val="center"/>
          </w:tcPr>
          <w:p w14:paraId="387ABEC5" w14:textId="77777777" w:rsidR="004617CA" w:rsidRPr="00F6284E" w:rsidRDefault="004617CA" w:rsidP="00326B55">
            <w:pPr>
              <w:jc w:val="right"/>
              <w:rPr>
                <w:rFonts w:ascii="Arial" w:hAnsi="Arial"/>
                <w:b/>
                <w:sz w:val="18"/>
              </w:rPr>
            </w:pPr>
            <w:r w:rsidRPr="00F6284E">
              <w:rPr>
                <w:b/>
                <w:sz w:val="18"/>
              </w:rPr>
              <w:t>0</w:t>
            </w:r>
          </w:p>
        </w:tc>
        <w:tc>
          <w:tcPr>
            <w:tcW w:w="1219" w:type="dxa"/>
            <w:shd w:val="clear" w:color="auto" w:fill="F2F2F2" w:themeFill="background1" w:themeFillShade="F2"/>
            <w:vAlign w:val="center"/>
          </w:tcPr>
          <w:p w14:paraId="57F5566B" w14:textId="77777777" w:rsidR="004617CA" w:rsidRPr="00F6284E" w:rsidRDefault="004617CA" w:rsidP="00326B55">
            <w:pPr>
              <w:jc w:val="right"/>
              <w:rPr>
                <w:rFonts w:ascii="Arial" w:hAnsi="Arial"/>
                <w:b/>
                <w:sz w:val="18"/>
              </w:rPr>
            </w:pPr>
            <w:r w:rsidRPr="00F6284E">
              <w:rPr>
                <w:b/>
                <w:sz w:val="18"/>
              </w:rPr>
              <w:t>0.029</w:t>
            </w:r>
          </w:p>
        </w:tc>
        <w:tc>
          <w:tcPr>
            <w:tcW w:w="1219" w:type="dxa"/>
            <w:shd w:val="clear" w:color="auto" w:fill="F2F2F2" w:themeFill="background1" w:themeFillShade="F2"/>
            <w:vAlign w:val="center"/>
          </w:tcPr>
          <w:p w14:paraId="7A013251" w14:textId="77777777" w:rsidR="004617CA" w:rsidRPr="00F6284E" w:rsidRDefault="004617CA" w:rsidP="00326B55">
            <w:pPr>
              <w:jc w:val="right"/>
              <w:rPr>
                <w:rFonts w:ascii="Arial" w:hAnsi="Arial"/>
                <w:b/>
                <w:sz w:val="18"/>
              </w:rPr>
            </w:pPr>
            <w:r w:rsidRPr="00F6284E">
              <w:rPr>
                <w:b/>
                <w:sz w:val="18"/>
              </w:rPr>
              <w:t>0.120</w:t>
            </w:r>
          </w:p>
        </w:tc>
        <w:tc>
          <w:tcPr>
            <w:tcW w:w="1219" w:type="dxa"/>
            <w:shd w:val="clear" w:color="auto" w:fill="F2F2F2" w:themeFill="background1" w:themeFillShade="F2"/>
            <w:vAlign w:val="center"/>
          </w:tcPr>
          <w:p w14:paraId="1AF43966" w14:textId="77777777" w:rsidR="004617CA" w:rsidRPr="00F6284E" w:rsidRDefault="004617CA" w:rsidP="00326B55">
            <w:pPr>
              <w:jc w:val="right"/>
              <w:rPr>
                <w:rFonts w:ascii="Arial" w:hAnsi="Arial"/>
                <w:b/>
                <w:sz w:val="18"/>
              </w:rPr>
            </w:pPr>
            <w:r w:rsidRPr="00F6284E">
              <w:rPr>
                <w:b/>
                <w:sz w:val="18"/>
              </w:rPr>
              <w:t>0.299</w:t>
            </w:r>
          </w:p>
        </w:tc>
        <w:tc>
          <w:tcPr>
            <w:tcW w:w="1219" w:type="dxa"/>
            <w:shd w:val="clear" w:color="auto" w:fill="F2F2F2" w:themeFill="background1" w:themeFillShade="F2"/>
            <w:vAlign w:val="center"/>
          </w:tcPr>
          <w:p w14:paraId="264ACE28" w14:textId="77777777" w:rsidR="004617CA" w:rsidRPr="00F6284E" w:rsidRDefault="004617CA" w:rsidP="00326B55">
            <w:pPr>
              <w:jc w:val="right"/>
              <w:rPr>
                <w:rFonts w:ascii="Arial" w:hAnsi="Arial"/>
                <w:b/>
                <w:sz w:val="18"/>
              </w:rPr>
            </w:pPr>
            <w:r w:rsidRPr="00F6284E">
              <w:rPr>
                <w:b/>
                <w:sz w:val="18"/>
              </w:rPr>
              <w:t>1.251</w:t>
            </w:r>
          </w:p>
        </w:tc>
        <w:tc>
          <w:tcPr>
            <w:tcW w:w="1367" w:type="dxa"/>
            <w:shd w:val="clear" w:color="auto" w:fill="F2F2F2" w:themeFill="background1" w:themeFillShade="F2"/>
          </w:tcPr>
          <w:p w14:paraId="1ED38EAE" w14:textId="77777777" w:rsidR="004617CA" w:rsidRPr="00F6284E" w:rsidRDefault="004617CA" w:rsidP="00326B55">
            <w:pPr>
              <w:jc w:val="right"/>
              <w:rPr>
                <w:rFonts w:ascii="Arial" w:hAnsi="Arial"/>
                <w:sz w:val="18"/>
              </w:rPr>
            </w:pPr>
          </w:p>
        </w:tc>
      </w:tr>
      <w:tr w:rsidR="004617CA" w:rsidRPr="004617CA" w14:paraId="172903F7" w14:textId="77777777" w:rsidTr="00F6284E">
        <w:trPr>
          <w:jc w:val="center"/>
        </w:trPr>
        <w:tc>
          <w:tcPr>
            <w:tcW w:w="1512" w:type="dxa"/>
            <w:vAlign w:val="center"/>
          </w:tcPr>
          <w:p w14:paraId="0F4CA0B7" w14:textId="77777777" w:rsidR="004617CA" w:rsidRPr="000B3C14" w:rsidRDefault="004617CA" w:rsidP="00A111E9">
            <w:pPr>
              <w:ind w:right="170"/>
              <w:rPr>
                <w:rFonts w:ascii="Arial" w:hAnsi="Arial"/>
                <w:sz w:val="18"/>
              </w:rPr>
            </w:pPr>
            <w:r w:rsidRPr="00D711DD">
              <w:rPr>
                <w:sz w:val="18"/>
              </w:rPr>
              <w:t>53</w:t>
            </w:r>
          </w:p>
        </w:tc>
        <w:tc>
          <w:tcPr>
            <w:tcW w:w="1219" w:type="dxa"/>
            <w:vAlign w:val="center"/>
          </w:tcPr>
          <w:p w14:paraId="09BE55B0" w14:textId="77777777" w:rsidR="004617CA" w:rsidRPr="00F6284E" w:rsidRDefault="004617CA" w:rsidP="00326B55">
            <w:pPr>
              <w:jc w:val="right"/>
              <w:rPr>
                <w:rFonts w:ascii="Arial" w:hAnsi="Arial"/>
                <w:sz w:val="18"/>
              </w:rPr>
            </w:pPr>
            <w:r w:rsidRPr="00F6284E">
              <w:rPr>
                <w:sz w:val="18"/>
              </w:rPr>
              <w:t>0.395 ± 0.777</w:t>
            </w:r>
          </w:p>
        </w:tc>
        <w:tc>
          <w:tcPr>
            <w:tcW w:w="1219" w:type="dxa"/>
            <w:vAlign w:val="center"/>
          </w:tcPr>
          <w:p w14:paraId="65EA062B" w14:textId="77777777" w:rsidR="004617CA" w:rsidRPr="00F6284E" w:rsidRDefault="004617CA" w:rsidP="00326B55">
            <w:pPr>
              <w:jc w:val="right"/>
              <w:rPr>
                <w:rFonts w:ascii="Arial" w:hAnsi="Arial"/>
                <w:sz w:val="18"/>
              </w:rPr>
            </w:pPr>
            <w:r w:rsidRPr="00F6284E">
              <w:rPr>
                <w:sz w:val="18"/>
              </w:rPr>
              <w:t>-</w:t>
            </w:r>
          </w:p>
        </w:tc>
        <w:tc>
          <w:tcPr>
            <w:tcW w:w="1219" w:type="dxa"/>
            <w:vAlign w:val="center"/>
          </w:tcPr>
          <w:p w14:paraId="5DFB9987" w14:textId="77777777" w:rsidR="004617CA" w:rsidRPr="00F6284E" w:rsidRDefault="004617CA" w:rsidP="00326B55">
            <w:pPr>
              <w:jc w:val="right"/>
              <w:rPr>
                <w:rFonts w:ascii="Arial" w:hAnsi="Arial"/>
                <w:sz w:val="18"/>
              </w:rPr>
            </w:pPr>
            <w:r w:rsidRPr="00F6284E">
              <w:rPr>
                <w:sz w:val="18"/>
              </w:rPr>
              <w:t>-</w:t>
            </w:r>
          </w:p>
        </w:tc>
        <w:tc>
          <w:tcPr>
            <w:tcW w:w="1219" w:type="dxa"/>
            <w:vAlign w:val="center"/>
          </w:tcPr>
          <w:p w14:paraId="183DBE31" w14:textId="77777777" w:rsidR="004617CA" w:rsidRPr="00F6284E" w:rsidRDefault="004617CA" w:rsidP="00326B55">
            <w:pPr>
              <w:jc w:val="right"/>
              <w:rPr>
                <w:rFonts w:ascii="Arial" w:hAnsi="Arial"/>
                <w:sz w:val="18"/>
              </w:rPr>
            </w:pPr>
            <w:r w:rsidRPr="00F6284E">
              <w:rPr>
                <w:sz w:val="18"/>
              </w:rPr>
              <w:t>-</w:t>
            </w:r>
          </w:p>
        </w:tc>
        <w:tc>
          <w:tcPr>
            <w:tcW w:w="1219" w:type="dxa"/>
            <w:vAlign w:val="center"/>
          </w:tcPr>
          <w:p w14:paraId="13B611BB" w14:textId="77777777" w:rsidR="004617CA" w:rsidRPr="00F6284E" w:rsidRDefault="004617CA" w:rsidP="00326B55">
            <w:pPr>
              <w:jc w:val="right"/>
              <w:rPr>
                <w:rFonts w:ascii="Arial" w:hAnsi="Arial"/>
                <w:sz w:val="18"/>
              </w:rPr>
            </w:pPr>
            <w:r w:rsidRPr="00F6284E">
              <w:rPr>
                <w:sz w:val="18"/>
              </w:rPr>
              <w:t>-</w:t>
            </w:r>
          </w:p>
        </w:tc>
        <w:tc>
          <w:tcPr>
            <w:tcW w:w="1367" w:type="dxa"/>
            <w:vAlign w:val="center"/>
          </w:tcPr>
          <w:p w14:paraId="4AD2E1B0" w14:textId="77777777" w:rsidR="004617CA" w:rsidRPr="00F6284E" w:rsidRDefault="004617CA" w:rsidP="00326B55">
            <w:pPr>
              <w:jc w:val="right"/>
              <w:rPr>
                <w:rFonts w:ascii="Arial" w:hAnsi="Arial"/>
                <w:sz w:val="18"/>
              </w:rPr>
            </w:pPr>
            <w:r w:rsidRPr="00F6284E">
              <w:rPr>
                <w:sz w:val="18"/>
              </w:rPr>
              <w:t>-</w:t>
            </w:r>
          </w:p>
        </w:tc>
      </w:tr>
      <w:tr w:rsidR="004617CA" w:rsidRPr="004617CA" w14:paraId="3315BBDE" w14:textId="77777777" w:rsidTr="00F6284E">
        <w:trPr>
          <w:jc w:val="center"/>
        </w:trPr>
        <w:tc>
          <w:tcPr>
            <w:tcW w:w="1512" w:type="dxa"/>
            <w:vAlign w:val="center"/>
          </w:tcPr>
          <w:p w14:paraId="1B89EB35" w14:textId="77777777" w:rsidR="004617CA" w:rsidRPr="000B3C14" w:rsidRDefault="004617CA" w:rsidP="00A111E9">
            <w:pPr>
              <w:ind w:right="170"/>
              <w:rPr>
                <w:rFonts w:ascii="Arial" w:hAnsi="Arial"/>
                <w:sz w:val="18"/>
              </w:rPr>
            </w:pPr>
            <w:r w:rsidRPr="00D711DD">
              <w:rPr>
                <w:sz w:val="18"/>
              </w:rPr>
              <w:t>102</w:t>
            </w:r>
          </w:p>
        </w:tc>
        <w:tc>
          <w:tcPr>
            <w:tcW w:w="1219" w:type="dxa"/>
            <w:vAlign w:val="center"/>
          </w:tcPr>
          <w:p w14:paraId="151106E1" w14:textId="77777777" w:rsidR="004617CA" w:rsidRPr="00F6284E" w:rsidRDefault="004617CA" w:rsidP="00326B55">
            <w:pPr>
              <w:jc w:val="right"/>
              <w:rPr>
                <w:rFonts w:ascii="Arial" w:hAnsi="Arial"/>
                <w:sz w:val="18"/>
              </w:rPr>
            </w:pPr>
            <w:r w:rsidRPr="00F6284E">
              <w:rPr>
                <w:sz w:val="18"/>
              </w:rPr>
              <w:t>-</w:t>
            </w:r>
          </w:p>
        </w:tc>
        <w:tc>
          <w:tcPr>
            <w:tcW w:w="1219" w:type="dxa"/>
            <w:vAlign w:val="center"/>
          </w:tcPr>
          <w:p w14:paraId="4941A92C" w14:textId="77777777" w:rsidR="004617CA" w:rsidRPr="00F6284E" w:rsidRDefault="004617CA" w:rsidP="00326B55">
            <w:pPr>
              <w:jc w:val="right"/>
              <w:rPr>
                <w:rFonts w:ascii="Arial" w:hAnsi="Arial"/>
                <w:sz w:val="18"/>
              </w:rPr>
            </w:pPr>
            <w:r w:rsidRPr="00F6284E">
              <w:rPr>
                <w:sz w:val="18"/>
              </w:rPr>
              <w:t>-</w:t>
            </w:r>
          </w:p>
        </w:tc>
        <w:tc>
          <w:tcPr>
            <w:tcW w:w="1219" w:type="dxa"/>
            <w:vAlign w:val="center"/>
          </w:tcPr>
          <w:p w14:paraId="7703E91A" w14:textId="77777777" w:rsidR="004617CA" w:rsidRPr="00F6284E" w:rsidRDefault="004617CA" w:rsidP="00326B55">
            <w:pPr>
              <w:jc w:val="right"/>
              <w:rPr>
                <w:rFonts w:ascii="Arial" w:hAnsi="Arial"/>
                <w:sz w:val="18"/>
              </w:rPr>
            </w:pPr>
            <w:r w:rsidRPr="00F6284E">
              <w:rPr>
                <w:sz w:val="18"/>
              </w:rPr>
              <w:t>20.20 ± 13.30 (9)</w:t>
            </w:r>
          </w:p>
        </w:tc>
        <w:tc>
          <w:tcPr>
            <w:tcW w:w="1219" w:type="dxa"/>
            <w:vAlign w:val="center"/>
          </w:tcPr>
          <w:p w14:paraId="6C128EC4" w14:textId="77777777" w:rsidR="004617CA" w:rsidRPr="00F6284E" w:rsidRDefault="004617CA" w:rsidP="00326B55">
            <w:pPr>
              <w:jc w:val="right"/>
              <w:rPr>
                <w:rFonts w:ascii="Arial" w:hAnsi="Arial"/>
                <w:sz w:val="18"/>
              </w:rPr>
            </w:pPr>
            <w:r w:rsidRPr="00F6284E">
              <w:rPr>
                <w:sz w:val="18"/>
              </w:rPr>
              <w:t>-</w:t>
            </w:r>
          </w:p>
        </w:tc>
        <w:tc>
          <w:tcPr>
            <w:tcW w:w="1219" w:type="dxa"/>
            <w:vAlign w:val="center"/>
          </w:tcPr>
          <w:p w14:paraId="1EFBECDE" w14:textId="77777777" w:rsidR="004617CA" w:rsidRPr="00F6284E" w:rsidRDefault="004617CA" w:rsidP="00326B55">
            <w:pPr>
              <w:jc w:val="right"/>
              <w:rPr>
                <w:rFonts w:ascii="Arial" w:hAnsi="Arial"/>
                <w:sz w:val="18"/>
              </w:rPr>
            </w:pPr>
            <w:r w:rsidRPr="00F6284E">
              <w:rPr>
                <w:sz w:val="18"/>
              </w:rPr>
              <w:t>-</w:t>
            </w:r>
          </w:p>
        </w:tc>
        <w:tc>
          <w:tcPr>
            <w:tcW w:w="1367" w:type="dxa"/>
            <w:vAlign w:val="center"/>
          </w:tcPr>
          <w:p w14:paraId="41BAB745" w14:textId="77777777" w:rsidR="004617CA" w:rsidRPr="00F6284E" w:rsidRDefault="004617CA" w:rsidP="00326B55">
            <w:pPr>
              <w:jc w:val="right"/>
              <w:rPr>
                <w:rFonts w:ascii="Arial" w:hAnsi="Arial"/>
                <w:sz w:val="18"/>
              </w:rPr>
            </w:pPr>
            <w:r w:rsidRPr="00F6284E">
              <w:rPr>
                <w:sz w:val="18"/>
              </w:rPr>
              <w:t>-</w:t>
            </w:r>
          </w:p>
        </w:tc>
      </w:tr>
      <w:tr w:rsidR="004617CA" w:rsidRPr="004617CA" w14:paraId="7F4BABA2" w14:textId="77777777" w:rsidTr="00F6284E">
        <w:trPr>
          <w:jc w:val="center"/>
        </w:trPr>
        <w:tc>
          <w:tcPr>
            <w:tcW w:w="1512" w:type="dxa"/>
            <w:vAlign w:val="center"/>
          </w:tcPr>
          <w:p w14:paraId="63D4F968" w14:textId="77777777" w:rsidR="004617CA" w:rsidRPr="000B3C14" w:rsidRDefault="004617CA" w:rsidP="00A111E9">
            <w:pPr>
              <w:ind w:right="170"/>
              <w:rPr>
                <w:rFonts w:ascii="Arial" w:hAnsi="Arial"/>
                <w:sz w:val="18"/>
              </w:rPr>
            </w:pPr>
            <w:r w:rsidRPr="00D711DD">
              <w:rPr>
                <w:sz w:val="18"/>
              </w:rPr>
              <w:t>105</w:t>
            </w:r>
          </w:p>
        </w:tc>
        <w:tc>
          <w:tcPr>
            <w:tcW w:w="1219" w:type="dxa"/>
            <w:vAlign w:val="center"/>
          </w:tcPr>
          <w:p w14:paraId="7C70E8BD" w14:textId="77777777" w:rsidR="004617CA" w:rsidRPr="00F6284E" w:rsidRDefault="004617CA" w:rsidP="00326B55">
            <w:pPr>
              <w:jc w:val="right"/>
              <w:rPr>
                <w:rFonts w:ascii="Arial" w:hAnsi="Arial"/>
                <w:sz w:val="18"/>
              </w:rPr>
            </w:pPr>
            <w:r w:rsidRPr="00F6284E">
              <w:rPr>
                <w:sz w:val="18"/>
              </w:rPr>
              <w:t>0.084 ± 0.134 (24)</w:t>
            </w:r>
          </w:p>
        </w:tc>
        <w:tc>
          <w:tcPr>
            <w:tcW w:w="1219" w:type="dxa"/>
            <w:vAlign w:val="center"/>
          </w:tcPr>
          <w:p w14:paraId="129D9253" w14:textId="77777777" w:rsidR="004617CA" w:rsidRPr="00F6284E" w:rsidRDefault="004617CA" w:rsidP="00326B55">
            <w:pPr>
              <w:jc w:val="right"/>
              <w:rPr>
                <w:rFonts w:ascii="Arial" w:hAnsi="Arial"/>
                <w:sz w:val="18"/>
              </w:rPr>
            </w:pPr>
            <w:r w:rsidRPr="00F6284E">
              <w:rPr>
                <w:sz w:val="18"/>
              </w:rPr>
              <w:t>4.35 ± 2.78 (15)</w:t>
            </w:r>
          </w:p>
        </w:tc>
        <w:tc>
          <w:tcPr>
            <w:tcW w:w="1219" w:type="dxa"/>
            <w:vAlign w:val="center"/>
          </w:tcPr>
          <w:p w14:paraId="420330C6" w14:textId="77777777" w:rsidR="004617CA" w:rsidRPr="00F6284E" w:rsidRDefault="004617CA" w:rsidP="00326B55">
            <w:pPr>
              <w:jc w:val="right"/>
              <w:rPr>
                <w:rFonts w:ascii="Arial" w:hAnsi="Arial"/>
                <w:sz w:val="18"/>
              </w:rPr>
            </w:pPr>
            <w:r w:rsidRPr="00F6284E">
              <w:rPr>
                <w:sz w:val="18"/>
              </w:rPr>
              <w:t>-</w:t>
            </w:r>
          </w:p>
        </w:tc>
        <w:tc>
          <w:tcPr>
            <w:tcW w:w="1219" w:type="dxa"/>
            <w:vAlign w:val="center"/>
          </w:tcPr>
          <w:p w14:paraId="0F7305BB" w14:textId="77777777" w:rsidR="004617CA" w:rsidRPr="00F6284E" w:rsidRDefault="004617CA" w:rsidP="00326B55">
            <w:pPr>
              <w:jc w:val="right"/>
              <w:rPr>
                <w:rFonts w:ascii="Arial" w:hAnsi="Arial"/>
                <w:sz w:val="18"/>
              </w:rPr>
            </w:pPr>
            <w:r w:rsidRPr="00F6284E">
              <w:rPr>
                <w:sz w:val="18"/>
              </w:rPr>
              <w:t>75.00 ± 45.70 (15)</w:t>
            </w:r>
          </w:p>
        </w:tc>
        <w:tc>
          <w:tcPr>
            <w:tcW w:w="1219" w:type="dxa"/>
            <w:vAlign w:val="center"/>
          </w:tcPr>
          <w:p w14:paraId="4AAF9CB1" w14:textId="77777777" w:rsidR="004617CA" w:rsidRPr="00F6284E" w:rsidRDefault="004617CA" w:rsidP="00326B55">
            <w:pPr>
              <w:jc w:val="right"/>
              <w:rPr>
                <w:rFonts w:ascii="Arial" w:hAnsi="Arial"/>
                <w:sz w:val="18"/>
              </w:rPr>
            </w:pPr>
            <w:r w:rsidRPr="00F6284E">
              <w:rPr>
                <w:sz w:val="18"/>
              </w:rPr>
              <w:t>233.0 ± 124.0 (25)</w:t>
            </w:r>
          </w:p>
        </w:tc>
        <w:tc>
          <w:tcPr>
            <w:tcW w:w="1367" w:type="dxa"/>
            <w:vAlign w:val="center"/>
          </w:tcPr>
          <w:p w14:paraId="4E1B1043" w14:textId="77777777" w:rsidR="004617CA" w:rsidRPr="00F6284E" w:rsidRDefault="004617CA" w:rsidP="00326B55">
            <w:pPr>
              <w:jc w:val="right"/>
              <w:rPr>
                <w:rFonts w:ascii="Arial" w:hAnsi="Arial"/>
                <w:sz w:val="18"/>
              </w:rPr>
            </w:pPr>
            <w:r w:rsidRPr="00F6284E">
              <w:rPr>
                <w:sz w:val="18"/>
              </w:rPr>
              <w:t>-</w:t>
            </w:r>
          </w:p>
        </w:tc>
      </w:tr>
      <w:tr w:rsidR="004617CA" w:rsidRPr="004617CA" w14:paraId="394D9067" w14:textId="77777777" w:rsidTr="00F6284E">
        <w:trPr>
          <w:jc w:val="center"/>
        </w:trPr>
        <w:tc>
          <w:tcPr>
            <w:tcW w:w="1512" w:type="dxa"/>
            <w:vAlign w:val="center"/>
          </w:tcPr>
          <w:p w14:paraId="15046921" w14:textId="77777777" w:rsidR="004617CA" w:rsidRPr="000B3C14" w:rsidRDefault="004617CA" w:rsidP="00A111E9">
            <w:pPr>
              <w:ind w:right="170"/>
              <w:rPr>
                <w:rFonts w:ascii="Arial" w:hAnsi="Arial"/>
                <w:sz w:val="18"/>
              </w:rPr>
            </w:pPr>
            <w:r w:rsidRPr="00D711DD">
              <w:rPr>
                <w:sz w:val="18"/>
              </w:rPr>
              <w:t>106</w:t>
            </w:r>
          </w:p>
        </w:tc>
        <w:tc>
          <w:tcPr>
            <w:tcW w:w="1219" w:type="dxa"/>
            <w:vAlign w:val="center"/>
          </w:tcPr>
          <w:p w14:paraId="6541D374" w14:textId="77777777" w:rsidR="004617CA" w:rsidRPr="00F6284E" w:rsidRDefault="004617CA" w:rsidP="00326B55">
            <w:pPr>
              <w:jc w:val="right"/>
              <w:rPr>
                <w:rFonts w:ascii="Arial" w:hAnsi="Arial"/>
                <w:sz w:val="18"/>
              </w:rPr>
            </w:pPr>
            <w:r w:rsidRPr="00F6284E">
              <w:rPr>
                <w:sz w:val="18"/>
              </w:rPr>
              <w:t>-</w:t>
            </w:r>
          </w:p>
        </w:tc>
        <w:tc>
          <w:tcPr>
            <w:tcW w:w="1219" w:type="dxa"/>
            <w:vAlign w:val="center"/>
          </w:tcPr>
          <w:p w14:paraId="2959F963" w14:textId="77777777" w:rsidR="004617CA" w:rsidRPr="00F6284E" w:rsidRDefault="004617CA" w:rsidP="00326B55">
            <w:pPr>
              <w:jc w:val="right"/>
              <w:rPr>
                <w:rFonts w:ascii="Arial" w:hAnsi="Arial"/>
                <w:sz w:val="18"/>
              </w:rPr>
            </w:pPr>
            <w:r w:rsidRPr="00F6284E">
              <w:rPr>
                <w:sz w:val="18"/>
              </w:rPr>
              <w:t>-</w:t>
            </w:r>
          </w:p>
        </w:tc>
        <w:tc>
          <w:tcPr>
            <w:tcW w:w="1219" w:type="dxa"/>
            <w:vAlign w:val="center"/>
          </w:tcPr>
          <w:p w14:paraId="7BC1022F" w14:textId="77777777" w:rsidR="004617CA" w:rsidRPr="00F6284E" w:rsidRDefault="004617CA" w:rsidP="00326B55">
            <w:pPr>
              <w:jc w:val="right"/>
              <w:rPr>
                <w:rFonts w:ascii="Arial" w:hAnsi="Arial"/>
                <w:sz w:val="18"/>
              </w:rPr>
            </w:pPr>
            <w:r w:rsidRPr="00F6284E">
              <w:rPr>
                <w:sz w:val="18"/>
              </w:rPr>
              <w:t>-</w:t>
            </w:r>
          </w:p>
        </w:tc>
        <w:tc>
          <w:tcPr>
            <w:tcW w:w="1219" w:type="dxa"/>
            <w:vAlign w:val="center"/>
          </w:tcPr>
          <w:p w14:paraId="367DC042" w14:textId="77777777" w:rsidR="004617CA" w:rsidRPr="00F6284E" w:rsidRDefault="004617CA" w:rsidP="00326B55">
            <w:pPr>
              <w:jc w:val="right"/>
              <w:rPr>
                <w:rFonts w:ascii="Arial" w:hAnsi="Arial"/>
                <w:sz w:val="18"/>
              </w:rPr>
            </w:pPr>
            <w:r w:rsidRPr="00F6284E">
              <w:rPr>
                <w:sz w:val="18"/>
              </w:rPr>
              <w:t>-</w:t>
            </w:r>
          </w:p>
        </w:tc>
        <w:tc>
          <w:tcPr>
            <w:tcW w:w="1219" w:type="dxa"/>
            <w:vAlign w:val="center"/>
          </w:tcPr>
          <w:p w14:paraId="11456F22" w14:textId="77777777" w:rsidR="004617CA" w:rsidRPr="00F6284E" w:rsidRDefault="004617CA" w:rsidP="00326B55">
            <w:pPr>
              <w:jc w:val="right"/>
              <w:rPr>
                <w:rFonts w:ascii="Arial" w:hAnsi="Arial"/>
                <w:sz w:val="18"/>
              </w:rPr>
            </w:pPr>
            <w:r w:rsidRPr="00F6284E">
              <w:rPr>
                <w:sz w:val="18"/>
              </w:rPr>
              <w:t>-</w:t>
            </w:r>
          </w:p>
        </w:tc>
        <w:tc>
          <w:tcPr>
            <w:tcW w:w="1367" w:type="dxa"/>
            <w:vAlign w:val="center"/>
          </w:tcPr>
          <w:p w14:paraId="2FC525F2" w14:textId="77777777" w:rsidR="004617CA" w:rsidRPr="00F6284E" w:rsidRDefault="004617CA" w:rsidP="00326B55">
            <w:pPr>
              <w:jc w:val="right"/>
              <w:rPr>
                <w:rFonts w:ascii="Arial" w:hAnsi="Arial"/>
                <w:sz w:val="18"/>
              </w:rPr>
            </w:pPr>
            <w:r w:rsidRPr="00F6284E">
              <w:rPr>
                <w:sz w:val="18"/>
              </w:rPr>
              <w:t>9.51 ± 8.70 (17)</w:t>
            </w:r>
          </w:p>
        </w:tc>
      </w:tr>
    </w:tbl>
    <w:p w14:paraId="6FA990F0" w14:textId="4687D606" w:rsidR="004617CA" w:rsidRPr="00EC1750" w:rsidRDefault="004617CA" w:rsidP="00A111E9">
      <w:pPr>
        <w:spacing w:before="120"/>
        <w:ind w:left="142"/>
        <w:rPr>
          <w:sz w:val="16"/>
          <w:szCs w:val="16"/>
        </w:rPr>
      </w:pPr>
      <w:r w:rsidRPr="00EC1750">
        <w:rPr>
          <w:sz w:val="16"/>
          <w:szCs w:val="16"/>
          <w:vertAlign w:val="superscript"/>
        </w:rPr>
        <w:t>1</w:t>
      </w:r>
      <w:r w:rsidRPr="00EC1750">
        <w:rPr>
          <w:sz w:val="16"/>
          <w:szCs w:val="16"/>
        </w:rPr>
        <w:t xml:space="preserve"> Grand mean taken from Butenhoff </w:t>
      </w:r>
      <w:r w:rsidR="00180A32" w:rsidRPr="00180A32">
        <w:rPr>
          <w:i/>
          <w:sz w:val="16"/>
          <w:szCs w:val="16"/>
        </w:rPr>
        <w:t xml:space="preserve">et al. </w:t>
      </w:r>
      <w:r w:rsidR="00F22DA6">
        <w:rPr>
          <w:sz w:val="16"/>
          <w:szCs w:val="16"/>
        </w:rPr>
        <w:t xml:space="preserve"> </w:t>
      </w:r>
      <w:r w:rsidRPr="00EC1750">
        <w:rPr>
          <w:sz w:val="16"/>
          <w:szCs w:val="16"/>
        </w:rPr>
        <w:t>2012 (Table 2)</w:t>
      </w:r>
    </w:p>
    <w:p w14:paraId="3705D027" w14:textId="6F3566B1" w:rsidR="004617CA" w:rsidRPr="00EC1750" w:rsidRDefault="004617CA" w:rsidP="00A111E9">
      <w:pPr>
        <w:ind w:left="142"/>
        <w:rPr>
          <w:sz w:val="16"/>
          <w:szCs w:val="16"/>
        </w:rPr>
      </w:pPr>
      <w:r w:rsidRPr="00EC1750">
        <w:rPr>
          <w:sz w:val="16"/>
          <w:szCs w:val="16"/>
        </w:rPr>
        <w:t xml:space="preserve">Data compiled from Butenhoff </w:t>
      </w:r>
      <w:r w:rsidR="00180A32" w:rsidRPr="00180A32">
        <w:rPr>
          <w:i/>
          <w:sz w:val="16"/>
          <w:szCs w:val="16"/>
        </w:rPr>
        <w:t xml:space="preserve">et al. </w:t>
      </w:r>
      <w:r w:rsidR="00F22DA6">
        <w:rPr>
          <w:sz w:val="16"/>
          <w:szCs w:val="16"/>
        </w:rPr>
        <w:t xml:space="preserve"> </w:t>
      </w:r>
      <w:r w:rsidRPr="00EC1750">
        <w:rPr>
          <w:sz w:val="16"/>
          <w:szCs w:val="16"/>
        </w:rPr>
        <w:t xml:space="preserve">2012 and Seacat </w:t>
      </w:r>
      <w:r w:rsidR="00180A32" w:rsidRPr="00180A32">
        <w:rPr>
          <w:i/>
          <w:sz w:val="16"/>
          <w:szCs w:val="16"/>
        </w:rPr>
        <w:t xml:space="preserve">et al. </w:t>
      </w:r>
      <w:r w:rsidRPr="00EC1750">
        <w:rPr>
          <w:sz w:val="16"/>
          <w:szCs w:val="16"/>
        </w:rPr>
        <w:t xml:space="preserve"> 2003</w:t>
      </w:r>
    </w:p>
    <w:p w14:paraId="750F43BA" w14:textId="77777777" w:rsidR="004617CA" w:rsidRPr="00EC1750" w:rsidRDefault="004617CA" w:rsidP="00A111E9">
      <w:pPr>
        <w:ind w:left="142"/>
        <w:rPr>
          <w:sz w:val="16"/>
          <w:szCs w:val="16"/>
        </w:rPr>
      </w:pPr>
      <w:r w:rsidRPr="00EC1750">
        <w:rPr>
          <w:sz w:val="16"/>
          <w:szCs w:val="16"/>
        </w:rPr>
        <w:t>Sample size 5, unless noted in ()</w:t>
      </w:r>
    </w:p>
    <w:p w14:paraId="65A6356C" w14:textId="2993F37F" w:rsidR="004617CA" w:rsidRPr="00EC1750" w:rsidRDefault="004617CA" w:rsidP="00A111E9">
      <w:pPr>
        <w:ind w:left="142"/>
        <w:rPr>
          <w:sz w:val="16"/>
          <w:szCs w:val="16"/>
        </w:rPr>
      </w:pPr>
      <w:r w:rsidRPr="00EC1750">
        <w:rPr>
          <w:sz w:val="16"/>
          <w:szCs w:val="16"/>
        </w:rPr>
        <w:t>Data presented as mean ±</w:t>
      </w:r>
      <w:r w:rsidR="00D2034C">
        <w:rPr>
          <w:sz w:val="16"/>
          <w:szCs w:val="16"/>
        </w:rPr>
        <w:t xml:space="preserve"> </w:t>
      </w:r>
      <w:r w:rsidRPr="00EC1750">
        <w:rPr>
          <w:sz w:val="16"/>
          <w:szCs w:val="16"/>
        </w:rPr>
        <w:t>standard deviation</w:t>
      </w:r>
    </w:p>
    <w:p w14:paraId="345C5E01" w14:textId="77777777" w:rsidR="004617CA" w:rsidRPr="004617CA" w:rsidRDefault="004617CA" w:rsidP="00A111E9"/>
    <w:p w14:paraId="167F989C" w14:textId="1A7D3D99" w:rsidR="00D05F8B" w:rsidRPr="00D05F8B" w:rsidRDefault="00D05F8B" w:rsidP="00112C61">
      <w:pPr>
        <w:pStyle w:val="Heading5"/>
      </w:pPr>
      <w:r w:rsidRPr="00D05F8B">
        <w:t>Genotoxicity</w:t>
      </w:r>
    </w:p>
    <w:p w14:paraId="0FEC932E" w14:textId="0B5C3885" w:rsidR="00E03C1B" w:rsidRDefault="004C3AF8" w:rsidP="00A111E9">
      <w:pPr>
        <w:rPr>
          <w:lang w:bidi="ar-SA"/>
        </w:rPr>
      </w:pPr>
      <w:r>
        <w:rPr>
          <w:lang w:bidi="ar-SA"/>
        </w:rPr>
        <w:t xml:space="preserve">EFSA (2008) and the US EPA (2016) concluded that PFOS is not genotoxic based on negative findings in </w:t>
      </w:r>
      <w:r w:rsidRPr="00AF679C">
        <w:rPr>
          <w:lang w:bidi="ar-SA"/>
        </w:rPr>
        <w:t>in vitro</w:t>
      </w:r>
      <w:r>
        <w:rPr>
          <w:lang w:bidi="ar-SA"/>
        </w:rPr>
        <w:t xml:space="preserve"> and </w:t>
      </w:r>
      <w:r w:rsidRPr="00AF679C">
        <w:rPr>
          <w:lang w:bidi="ar-SA"/>
        </w:rPr>
        <w:t>in vivo</w:t>
      </w:r>
      <w:r>
        <w:rPr>
          <w:lang w:bidi="ar-SA"/>
        </w:rPr>
        <w:t xml:space="preserve"> tests.</w:t>
      </w:r>
    </w:p>
    <w:p w14:paraId="482EA4EE" w14:textId="77777777" w:rsidR="007B197F" w:rsidRDefault="007B197F" w:rsidP="00A111E9">
      <w:pPr>
        <w:rPr>
          <w:lang w:bidi="ar-SA"/>
        </w:rPr>
      </w:pPr>
    </w:p>
    <w:p w14:paraId="482F4126" w14:textId="6BF10A46" w:rsidR="006B32AB" w:rsidRDefault="004C3AF8" w:rsidP="00A111E9">
      <w:pPr>
        <w:rPr>
          <w:lang w:bidi="ar-SA"/>
        </w:rPr>
      </w:pPr>
      <w:r>
        <w:rPr>
          <w:lang w:bidi="ar-SA"/>
        </w:rPr>
        <w:t xml:space="preserve">PFOS was negative in the </w:t>
      </w:r>
      <w:r w:rsidRPr="00E03C1B">
        <w:rPr>
          <w:i/>
          <w:lang w:bidi="ar-SA"/>
        </w:rPr>
        <w:t>Salmonella typhimurium</w:t>
      </w:r>
      <w:r>
        <w:rPr>
          <w:lang w:bidi="ar-SA"/>
        </w:rPr>
        <w:t xml:space="preserve"> reversion gene mutation assay and the mitotic recombination test in </w:t>
      </w:r>
      <w:r w:rsidR="00BE205C" w:rsidRPr="00E03C1B">
        <w:rPr>
          <w:i/>
          <w:lang w:bidi="ar-SA"/>
        </w:rPr>
        <w:t>Saccharomyces</w:t>
      </w:r>
      <w:r w:rsidRPr="00E03C1B">
        <w:rPr>
          <w:i/>
          <w:lang w:bidi="ar-SA"/>
        </w:rPr>
        <w:t xml:space="preserve"> cerevisiae</w:t>
      </w:r>
      <w:r>
        <w:rPr>
          <w:lang w:bidi="ar-SA"/>
        </w:rPr>
        <w:t xml:space="preserve"> (D4 strain) with and without metabolic action. </w:t>
      </w:r>
      <w:r w:rsidR="00E03C1B">
        <w:rPr>
          <w:lang w:bidi="ar-SA"/>
        </w:rPr>
        <w:t xml:space="preserve">It was also negative in a </w:t>
      </w:r>
      <w:r w:rsidR="00E03C1B" w:rsidRPr="00E03C1B">
        <w:rPr>
          <w:i/>
          <w:lang w:bidi="ar-SA"/>
        </w:rPr>
        <w:t>Salmonella-Escherichia coli</w:t>
      </w:r>
      <w:r w:rsidR="00E03C1B">
        <w:rPr>
          <w:lang w:bidi="ar-SA"/>
        </w:rPr>
        <w:t xml:space="preserve"> reverse mutation assay with and without metabolic activation. In mammalian cells, PFOS did not induce chromosomal aberrations in cultured human lymphocytes with and without metabolic activation, and was negative in an unscheduled DNA synthesis assay in rat liver primary cell cultures.</w:t>
      </w:r>
    </w:p>
    <w:p w14:paraId="406D15AF" w14:textId="77777777" w:rsidR="006B32AB" w:rsidRDefault="006B32AB" w:rsidP="00A111E9">
      <w:pPr>
        <w:rPr>
          <w:lang w:bidi="ar-SA"/>
        </w:rPr>
      </w:pPr>
    </w:p>
    <w:p w14:paraId="33ABFC35" w14:textId="192415F8" w:rsidR="00E03C1B" w:rsidRDefault="00E03C1B" w:rsidP="00A111E9">
      <w:pPr>
        <w:rPr>
          <w:lang w:bidi="ar-SA"/>
        </w:rPr>
      </w:pPr>
      <w:r>
        <w:rPr>
          <w:lang w:bidi="ar-SA"/>
        </w:rPr>
        <w:t xml:space="preserve">PFOS was also shown not to induce micronuclei in an </w:t>
      </w:r>
      <w:r w:rsidRPr="00AF679C">
        <w:rPr>
          <w:lang w:bidi="ar-SA"/>
        </w:rPr>
        <w:t>in vivo</w:t>
      </w:r>
      <w:r>
        <w:rPr>
          <w:lang w:bidi="ar-SA"/>
        </w:rPr>
        <w:t xml:space="preserve"> mouse micronucleus assay.</w:t>
      </w:r>
    </w:p>
    <w:p w14:paraId="121DD436" w14:textId="77777777" w:rsidR="00782193" w:rsidRDefault="00782193" w:rsidP="00A111E9">
      <w:pPr>
        <w:rPr>
          <w:lang w:bidi="ar-SA"/>
        </w:rPr>
      </w:pPr>
    </w:p>
    <w:p w14:paraId="4F1AC496" w14:textId="1E5DE346" w:rsidR="00782193" w:rsidRDefault="00782193" w:rsidP="00A111E9">
      <w:pPr>
        <w:rPr>
          <w:lang w:bidi="ar-SA"/>
        </w:rPr>
      </w:pPr>
      <w:r>
        <w:rPr>
          <w:lang w:bidi="ar-SA"/>
        </w:rPr>
        <w:t>The US EPA</w:t>
      </w:r>
      <w:r w:rsidR="00463B2B">
        <w:rPr>
          <w:lang w:bidi="ar-SA"/>
        </w:rPr>
        <w:t xml:space="preserve"> (2016)</w:t>
      </w:r>
      <w:r>
        <w:rPr>
          <w:lang w:bidi="ar-SA"/>
        </w:rPr>
        <w:t xml:space="preserve"> </w:t>
      </w:r>
      <w:r w:rsidR="00463B2B">
        <w:rPr>
          <w:lang w:bidi="ar-SA"/>
        </w:rPr>
        <w:t>notes that a 50% w/w solution of the d</w:t>
      </w:r>
      <w:r w:rsidR="00BD3BAC">
        <w:rPr>
          <w:lang w:bidi="ar-SA"/>
        </w:rPr>
        <w:t>iethanolammo</w:t>
      </w:r>
      <w:r w:rsidR="00463B2B">
        <w:rPr>
          <w:lang w:bidi="ar-SA"/>
        </w:rPr>
        <w:t xml:space="preserve">nium salt of PFOS in water (T-2247 CoC) was negative with and without metabolic activation in a bacterial reverse mutation assay. EFSA (2008) </w:t>
      </w:r>
      <w:r w:rsidR="008D2E50">
        <w:rPr>
          <w:lang w:bidi="ar-SA"/>
        </w:rPr>
        <w:t>reported</w:t>
      </w:r>
      <w:r w:rsidR="00463B2B">
        <w:rPr>
          <w:lang w:bidi="ar-SA"/>
        </w:rPr>
        <w:t xml:space="preserve"> that several PFOS precursors </w:t>
      </w:r>
      <w:r w:rsidR="00710F13">
        <w:rPr>
          <w:lang w:bidi="ar-SA"/>
        </w:rPr>
        <w:t>(</w:t>
      </w:r>
      <w:r w:rsidR="00710F13" w:rsidRPr="00710F13">
        <w:rPr>
          <w:i/>
          <w:lang w:bidi="ar-SA"/>
        </w:rPr>
        <w:t>N</w:t>
      </w:r>
      <w:r w:rsidR="00710F13">
        <w:rPr>
          <w:lang w:bidi="ar-SA"/>
        </w:rPr>
        <w:t xml:space="preserve">-ethyl perfluorooctane sulfonamidoethanol </w:t>
      </w:r>
      <w:r w:rsidR="00C35DE3">
        <w:rPr>
          <w:lang w:bidi="ar-SA"/>
        </w:rPr>
        <w:t>[</w:t>
      </w:r>
      <w:r w:rsidR="00710F13" w:rsidRPr="00710F13">
        <w:rPr>
          <w:i/>
          <w:lang w:bidi="ar-SA"/>
        </w:rPr>
        <w:t>N</w:t>
      </w:r>
      <w:r w:rsidR="00710F13">
        <w:rPr>
          <w:lang w:bidi="ar-SA"/>
        </w:rPr>
        <w:t>-EtFOSE</w:t>
      </w:r>
      <w:r w:rsidR="00C35DE3">
        <w:rPr>
          <w:lang w:bidi="ar-SA"/>
        </w:rPr>
        <w:t>]</w:t>
      </w:r>
      <w:r w:rsidR="00710F13">
        <w:rPr>
          <w:lang w:bidi="ar-SA"/>
        </w:rPr>
        <w:t xml:space="preserve">, </w:t>
      </w:r>
      <w:r w:rsidR="00710F13" w:rsidRPr="00710F13">
        <w:rPr>
          <w:i/>
          <w:lang w:bidi="ar-SA"/>
        </w:rPr>
        <w:t>N</w:t>
      </w:r>
      <w:r w:rsidR="00710F13">
        <w:rPr>
          <w:lang w:bidi="ar-SA"/>
        </w:rPr>
        <w:t xml:space="preserve">-ethyl perfluorooctane sulfonamide </w:t>
      </w:r>
      <w:r w:rsidR="00C35DE3">
        <w:rPr>
          <w:lang w:bidi="ar-SA"/>
        </w:rPr>
        <w:t>[</w:t>
      </w:r>
      <w:r w:rsidR="00710F13" w:rsidRPr="00710F13">
        <w:rPr>
          <w:i/>
          <w:lang w:bidi="ar-SA"/>
        </w:rPr>
        <w:t>N</w:t>
      </w:r>
      <w:r w:rsidR="00710F13">
        <w:rPr>
          <w:lang w:bidi="ar-SA"/>
        </w:rPr>
        <w:t>-EtFOSA</w:t>
      </w:r>
      <w:r w:rsidR="00C35DE3">
        <w:rPr>
          <w:lang w:bidi="ar-SA"/>
        </w:rPr>
        <w:t>]</w:t>
      </w:r>
      <w:r w:rsidR="00710F13">
        <w:rPr>
          <w:lang w:bidi="ar-SA"/>
        </w:rPr>
        <w:t xml:space="preserve">, </w:t>
      </w:r>
      <w:r w:rsidR="00710F13" w:rsidRPr="00710F13">
        <w:rPr>
          <w:i/>
          <w:lang w:bidi="ar-SA"/>
        </w:rPr>
        <w:t>N</w:t>
      </w:r>
      <w:r w:rsidR="00710F13">
        <w:rPr>
          <w:lang w:bidi="ar-SA"/>
        </w:rPr>
        <w:t>-</w:t>
      </w:r>
      <w:r w:rsidR="00283936">
        <w:rPr>
          <w:lang w:bidi="ar-SA"/>
        </w:rPr>
        <w:t>m</w:t>
      </w:r>
      <w:r w:rsidR="00710F13">
        <w:rPr>
          <w:lang w:bidi="ar-SA"/>
        </w:rPr>
        <w:t xml:space="preserve">ethylperfluorooctane sulfonamidoethanol </w:t>
      </w:r>
      <w:r w:rsidR="00C35DE3">
        <w:rPr>
          <w:lang w:bidi="ar-SA"/>
        </w:rPr>
        <w:t>[</w:t>
      </w:r>
      <w:r w:rsidR="00710F13" w:rsidRPr="00710F13">
        <w:rPr>
          <w:i/>
          <w:lang w:bidi="ar-SA"/>
        </w:rPr>
        <w:t>N</w:t>
      </w:r>
      <w:r w:rsidR="00710F13">
        <w:rPr>
          <w:i/>
          <w:lang w:bidi="ar-SA"/>
        </w:rPr>
        <w:t>-</w:t>
      </w:r>
      <w:r w:rsidR="00710F13">
        <w:rPr>
          <w:lang w:bidi="ar-SA"/>
        </w:rPr>
        <w:t>MeFOSE</w:t>
      </w:r>
      <w:r w:rsidR="00C35DE3">
        <w:rPr>
          <w:lang w:bidi="ar-SA"/>
        </w:rPr>
        <w:t>]</w:t>
      </w:r>
      <w:r w:rsidR="00710F13">
        <w:rPr>
          <w:lang w:bidi="ar-SA"/>
        </w:rPr>
        <w:t xml:space="preserve">, </w:t>
      </w:r>
      <w:r w:rsidR="00710F13" w:rsidRPr="00710F13">
        <w:rPr>
          <w:i/>
          <w:lang w:bidi="ar-SA"/>
        </w:rPr>
        <w:t>N</w:t>
      </w:r>
      <w:r w:rsidR="00710F13">
        <w:rPr>
          <w:lang w:bidi="ar-SA"/>
        </w:rPr>
        <w:t xml:space="preserve">-methyl </w:t>
      </w:r>
      <w:r w:rsidR="00710F13">
        <w:rPr>
          <w:lang w:bidi="ar-SA"/>
        </w:rPr>
        <w:lastRenderedPageBreak/>
        <w:t xml:space="preserve">perfluorooctane sulfonamide </w:t>
      </w:r>
      <w:r w:rsidR="00C35DE3">
        <w:rPr>
          <w:lang w:bidi="ar-SA"/>
        </w:rPr>
        <w:t>[</w:t>
      </w:r>
      <w:r w:rsidR="00710F13" w:rsidRPr="00710F13">
        <w:rPr>
          <w:i/>
          <w:lang w:bidi="ar-SA"/>
        </w:rPr>
        <w:t>N</w:t>
      </w:r>
      <w:r w:rsidR="00710F13">
        <w:rPr>
          <w:lang w:bidi="ar-SA"/>
        </w:rPr>
        <w:t>-MeFOSA</w:t>
      </w:r>
      <w:r w:rsidR="00C35DE3">
        <w:rPr>
          <w:lang w:bidi="ar-SA"/>
        </w:rPr>
        <w:t>]</w:t>
      </w:r>
      <w:r w:rsidR="00710F13">
        <w:rPr>
          <w:lang w:bidi="ar-SA"/>
        </w:rPr>
        <w:t xml:space="preserve"> and potassium-</w:t>
      </w:r>
      <w:r w:rsidR="00710F13" w:rsidRPr="00710F13">
        <w:rPr>
          <w:i/>
          <w:lang w:bidi="ar-SA"/>
        </w:rPr>
        <w:t>N</w:t>
      </w:r>
      <w:r w:rsidR="00710F13">
        <w:rPr>
          <w:lang w:bidi="ar-SA"/>
        </w:rPr>
        <w:t>-ethyl-</w:t>
      </w:r>
      <w:r w:rsidR="00710F13" w:rsidRPr="00710F13">
        <w:rPr>
          <w:i/>
          <w:lang w:bidi="ar-SA"/>
        </w:rPr>
        <w:t xml:space="preserve">N </w:t>
      </w:r>
      <w:r w:rsidR="00710F13">
        <w:rPr>
          <w:lang w:bidi="ar-SA"/>
        </w:rPr>
        <w:t xml:space="preserve">((hepatodecafluorooctyl)-sulfonyl)-glycinate </w:t>
      </w:r>
      <w:r w:rsidR="00C35DE3">
        <w:rPr>
          <w:lang w:bidi="ar-SA"/>
        </w:rPr>
        <w:t>[PFOSAA]</w:t>
      </w:r>
      <w:r w:rsidR="00710F13">
        <w:rPr>
          <w:lang w:bidi="ar-SA"/>
        </w:rPr>
        <w:t>)</w:t>
      </w:r>
      <w:r w:rsidR="00463B2B">
        <w:rPr>
          <w:lang w:bidi="ar-SA"/>
        </w:rPr>
        <w:t xml:space="preserve"> were negative in </w:t>
      </w:r>
      <w:r w:rsidR="00463B2B" w:rsidRPr="000200BB">
        <w:rPr>
          <w:lang w:bidi="ar-SA"/>
        </w:rPr>
        <w:t>in vitro</w:t>
      </w:r>
      <w:r w:rsidR="00463B2B">
        <w:rPr>
          <w:lang w:bidi="ar-SA"/>
        </w:rPr>
        <w:t xml:space="preserve"> and </w:t>
      </w:r>
      <w:r w:rsidR="00463B2B" w:rsidRPr="000200BB">
        <w:rPr>
          <w:lang w:bidi="ar-SA"/>
        </w:rPr>
        <w:t>in vivo</w:t>
      </w:r>
      <w:r w:rsidR="00463B2B">
        <w:rPr>
          <w:lang w:bidi="ar-SA"/>
        </w:rPr>
        <w:t xml:space="preserve"> tests.</w:t>
      </w:r>
    </w:p>
    <w:p w14:paraId="0843E229" w14:textId="08F035F8" w:rsidR="002550C0" w:rsidRDefault="002550C0" w:rsidP="00A111E9">
      <w:pPr>
        <w:rPr>
          <w:lang w:bidi="ar-SA"/>
        </w:rPr>
      </w:pPr>
    </w:p>
    <w:p w14:paraId="780A1994" w14:textId="6D0D6E0B" w:rsidR="002550C0" w:rsidRPr="000217D1" w:rsidRDefault="002550C0" w:rsidP="00112C61">
      <w:pPr>
        <w:pStyle w:val="Heading5"/>
      </w:pPr>
      <w:r w:rsidRPr="000217D1">
        <w:t>Reproductive and developmental toxicity</w:t>
      </w:r>
    </w:p>
    <w:p w14:paraId="30A496AC" w14:textId="578634EA" w:rsidR="00FE2AB9" w:rsidRDefault="00FE2AB9" w:rsidP="00112C61">
      <w:pPr>
        <w:pStyle w:val="Heading5"/>
      </w:pPr>
      <w:r>
        <w:t>Reproductive effects</w:t>
      </w:r>
    </w:p>
    <w:p w14:paraId="516E8EE8" w14:textId="6DB2AC20" w:rsidR="00FE2AB9" w:rsidRPr="00FE2AB9" w:rsidRDefault="00FE2AB9" w:rsidP="006F1600">
      <w:pPr>
        <w:pStyle w:val="Heading5"/>
      </w:pPr>
      <w:r w:rsidRPr="00FE2AB9">
        <w:t>Rats</w:t>
      </w:r>
    </w:p>
    <w:p w14:paraId="509CF60D" w14:textId="2BB1C506" w:rsidR="00FE2AB9" w:rsidRDefault="00FE2AB9" w:rsidP="00A111E9">
      <w:pPr>
        <w:rPr>
          <w:b/>
          <w:lang w:bidi="ar-SA"/>
        </w:rPr>
      </w:pPr>
      <w:r>
        <w:rPr>
          <w:b/>
          <w:lang w:bidi="ar-SA"/>
        </w:rPr>
        <w:t xml:space="preserve">Luebker </w:t>
      </w:r>
      <w:r w:rsidR="00180A32" w:rsidRPr="00180A32">
        <w:rPr>
          <w:b/>
          <w:i/>
          <w:lang w:bidi="ar-SA"/>
        </w:rPr>
        <w:t xml:space="preserve">et al. </w:t>
      </w:r>
      <w:r w:rsidR="00F22DA6">
        <w:rPr>
          <w:b/>
          <w:lang w:bidi="ar-SA"/>
        </w:rPr>
        <w:t xml:space="preserve"> </w:t>
      </w:r>
      <w:r>
        <w:rPr>
          <w:b/>
          <w:lang w:bidi="ar-SA"/>
        </w:rPr>
        <w:t xml:space="preserve">2005b </w:t>
      </w:r>
    </w:p>
    <w:p w14:paraId="44E157EE" w14:textId="77777777" w:rsidR="00FE2AB9" w:rsidRDefault="00FE2AB9" w:rsidP="00A111E9">
      <w:pPr>
        <w:rPr>
          <w:b/>
          <w:lang w:bidi="ar-SA"/>
        </w:rPr>
      </w:pPr>
    </w:p>
    <w:p w14:paraId="0822B98C" w14:textId="70F460EA" w:rsidR="00FE2AB9" w:rsidRDefault="00FE2AB9" w:rsidP="00A111E9">
      <w:pPr>
        <w:rPr>
          <w:lang w:bidi="ar-SA"/>
        </w:rPr>
      </w:pPr>
      <w:r>
        <w:rPr>
          <w:lang w:bidi="ar-SA"/>
        </w:rPr>
        <w:t>A two-generation reproductive toxicity study was conducted in Crl:CD(SD)IGS BR VAF rats. Groups of 35 rats/sex/group were administered PFOS potassium salt</w:t>
      </w:r>
      <w:r w:rsidR="001F068D">
        <w:rPr>
          <w:lang w:bidi="ar-SA"/>
        </w:rPr>
        <w:t xml:space="preserve"> by oral gavage</w:t>
      </w:r>
      <w:r>
        <w:rPr>
          <w:lang w:bidi="ar-SA"/>
        </w:rPr>
        <w:t xml:space="preserve"> at 0</w:t>
      </w:r>
      <w:r w:rsidR="008B6340">
        <w:rPr>
          <w:lang w:bidi="ar-SA"/>
        </w:rPr>
        <w:t>.0</w:t>
      </w:r>
      <w:r>
        <w:rPr>
          <w:lang w:bidi="ar-SA"/>
        </w:rPr>
        <w:t>, 0.1, 0.4, 1.6 and 3.2 mg/kg bw/day for 42 days prior to mating and during the mating period. Parental male animals were sacrificed at the end of the cohabitation period, while fem</w:t>
      </w:r>
      <w:r w:rsidR="00EF4192">
        <w:rPr>
          <w:lang w:bidi="ar-SA"/>
        </w:rPr>
        <w:t>ales continued to be treated through</w:t>
      </w:r>
      <w:r>
        <w:rPr>
          <w:lang w:bidi="ar-SA"/>
        </w:rPr>
        <w:t xml:space="preserve"> the gestation, parturition and lactation periods.</w:t>
      </w:r>
    </w:p>
    <w:p w14:paraId="59475371" w14:textId="24CEEF84" w:rsidR="00402AA7" w:rsidRDefault="00402AA7" w:rsidP="00A111E9">
      <w:pPr>
        <w:rPr>
          <w:lang w:bidi="ar-SA"/>
        </w:rPr>
      </w:pPr>
    </w:p>
    <w:p w14:paraId="5AAA6976" w14:textId="73156B1B" w:rsidR="00402AA7" w:rsidRDefault="00402AA7" w:rsidP="00A111E9">
      <w:pPr>
        <w:rPr>
          <w:lang w:bidi="ar-SA"/>
        </w:rPr>
      </w:pPr>
      <w:r>
        <w:rPr>
          <w:lang w:bidi="ar-SA"/>
        </w:rPr>
        <w:t>Serum and liver PFOS concentrations measured in</w:t>
      </w:r>
      <w:r w:rsidR="00485256">
        <w:rPr>
          <w:lang w:bidi="ar-SA"/>
        </w:rPr>
        <w:t xml:space="preserve"> parental generation rats and first filial generation</w:t>
      </w:r>
      <w:r w:rsidR="002F57CE">
        <w:rPr>
          <w:lang w:bidi="ar-SA"/>
        </w:rPr>
        <w:t xml:space="preserve"> </w:t>
      </w:r>
      <w:r w:rsidR="00485256">
        <w:rPr>
          <w:lang w:bidi="ar-SA"/>
        </w:rPr>
        <w:t>pups (</w:t>
      </w:r>
      <w:r w:rsidR="002F57CE">
        <w:rPr>
          <w:lang w:bidi="ar-SA"/>
        </w:rPr>
        <w:t>F0</w:t>
      </w:r>
      <w:r w:rsidR="006220E8">
        <w:rPr>
          <w:lang w:bidi="ar-SA"/>
        </w:rPr>
        <w:t xml:space="preserve"> </w:t>
      </w:r>
      <w:r w:rsidR="002F57CE">
        <w:rPr>
          <w:lang w:bidi="ar-SA"/>
        </w:rPr>
        <w:t xml:space="preserve">and F1 </w:t>
      </w:r>
      <w:r w:rsidR="00485256">
        <w:rPr>
          <w:lang w:bidi="ar-SA"/>
        </w:rPr>
        <w:t xml:space="preserve">respectively), </w:t>
      </w:r>
      <w:r w:rsidR="002F57CE">
        <w:rPr>
          <w:lang w:bidi="ar-SA"/>
        </w:rPr>
        <w:t xml:space="preserve">increased </w:t>
      </w:r>
      <w:r>
        <w:rPr>
          <w:lang w:bidi="ar-SA"/>
        </w:rPr>
        <w:t>with increasing dose.</w:t>
      </w:r>
    </w:p>
    <w:p w14:paraId="515A04E4" w14:textId="592CF995" w:rsidR="00FE2AB9" w:rsidRPr="00B32A87" w:rsidRDefault="006509F4" w:rsidP="00684A16">
      <w:pPr>
        <w:pStyle w:val="Heading5"/>
      </w:pPr>
      <w:r>
        <w:t>F0</w:t>
      </w:r>
      <w:r w:rsidR="00FE2AB9" w:rsidRPr="00B32A87">
        <w:t xml:space="preserve"> Generation</w:t>
      </w:r>
    </w:p>
    <w:p w14:paraId="3604854D" w14:textId="5EE10DA8" w:rsidR="00B32A87" w:rsidRDefault="00B32A87" w:rsidP="00A111E9">
      <w:pPr>
        <w:rPr>
          <w:lang w:bidi="ar-SA"/>
        </w:rPr>
      </w:pPr>
      <w:r>
        <w:rPr>
          <w:lang w:bidi="ar-SA"/>
        </w:rPr>
        <w:t xml:space="preserve">All </w:t>
      </w:r>
      <w:r w:rsidR="006509F4">
        <w:rPr>
          <w:lang w:bidi="ar-SA"/>
        </w:rPr>
        <w:t>F0</w:t>
      </w:r>
      <w:r>
        <w:rPr>
          <w:lang w:bidi="ar-SA"/>
        </w:rPr>
        <w:t xml:space="preserve"> rats were observed twice daily for viability and clinical signs, and body weights and feed consumption were recorded at regular intervals which varied depending on the phase of the study. Ten females in each group were assigned to caesarean sectioning on gestation day (GD) 10 and numbers of corp</w:t>
      </w:r>
      <w:r w:rsidR="00250FAA">
        <w:rPr>
          <w:lang w:bidi="ar-SA"/>
        </w:rPr>
        <w:t>or</w:t>
      </w:r>
      <w:r>
        <w:rPr>
          <w:lang w:bidi="ar-SA"/>
        </w:rPr>
        <w:t>a lutea, implantations and viable and non</w:t>
      </w:r>
      <w:r w:rsidR="000203C4">
        <w:rPr>
          <w:lang w:bidi="ar-SA"/>
        </w:rPr>
        <w:t>-viable</w:t>
      </w:r>
      <w:r>
        <w:rPr>
          <w:lang w:bidi="ar-SA"/>
        </w:rPr>
        <w:t xml:space="preserve"> embryos were recorded. The remaining females were allowed to deliver naturally and were </w:t>
      </w:r>
      <w:r w:rsidR="00250FAA">
        <w:rPr>
          <w:lang w:bidi="ar-SA"/>
        </w:rPr>
        <w:t>kill</w:t>
      </w:r>
      <w:r>
        <w:rPr>
          <w:lang w:bidi="ar-SA"/>
        </w:rPr>
        <w:t xml:space="preserve">ed on </w:t>
      </w:r>
      <w:r w:rsidR="00040A06">
        <w:rPr>
          <w:lang w:bidi="ar-SA"/>
        </w:rPr>
        <w:t>postnatal day (PND)</w:t>
      </w:r>
      <w:r>
        <w:rPr>
          <w:lang w:bidi="ar-SA"/>
        </w:rPr>
        <w:t xml:space="preserve"> 21.</w:t>
      </w:r>
      <w:r w:rsidR="008B6340">
        <w:rPr>
          <w:lang w:bidi="ar-SA"/>
        </w:rPr>
        <w:t xml:space="preserve"> A range of reproductive outcomes were assessed. Liver and blood samples from </w:t>
      </w:r>
      <w:r w:rsidR="006509F4">
        <w:rPr>
          <w:lang w:bidi="ar-SA"/>
        </w:rPr>
        <w:t>F0</w:t>
      </w:r>
      <w:r w:rsidR="008B6340">
        <w:rPr>
          <w:lang w:bidi="ar-SA"/>
        </w:rPr>
        <w:t xml:space="preserve"> females in the 0.0, 0.4 and 1.6 mg/kg bw/day dose groups were collected for PFOS analysis.</w:t>
      </w:r>
    </w:p>
    <w:p w14:paraId="3019733B" w14:textId="77777777" w:rsidR="008B6340" w:rsidRDefault="008B6340" w:rsidP="00A111E9">
      <w:pPr>
        <w:rPr>
          <w:lang w:bidi="ar-SA"/>
        </w:rPr>
      </w:pPr>
    </w:p>
    <w:p w14:paraId="5B66592D" w14:textId="7AD5DAD7" w:rsidR="008B6340" w:rsidRDefault="00C03FBE" w:rsidP="00A111E9">
      <w:pPr>
        <w:rPr>
          <w:lang w:bidi="ar-SA"/>
        </w:rPr>
      </w:pPr>
      <w:r>
        <w:rPr>
          <w:lang w:bidi="ar-SA"/>
        </w:rPr>
        <w:t xml:space="preserve">No deaths or clinical signs were observed in </w:t>
      </w:r>
      <w:r w:rsidR="006509F4">
        <w:rPr>
          <w:lang w:bidi="ar-SA"/>
        </w:rPr>
        <w:t>F0</w:t>
      </w:r>
      <w:r>
        <w:rPr>
          <w:lang w:bidi="ar-SA"/>
        </w:rPr>
        <w:t xml:space="preserve"> males. Statistically significant reductions in body weight were seen</w:t>
      </w:r>
      <w:r w:rsidR="006509F4">
        <w:rPr>
          <w:lang w:bidi="ar-SA"/>
        </w:rPr>
        <w:t xml:space="preserve"> in</w:t>
      </w:r>
      <w:r>
        <w:rPr>
          <w:lang w:bidi="ar-SA"/>
        </w:rPr>
        <w:t xml:space="preserve"> males administer</w:t>
      </w:r>
      <w:r w:rsidR="006509F4">
        <w:rPr>
          <w:lang w:bidi="ar-SA"/>
        </w:rPr>
        <w:t>e</w:t>
      </w:r>
      <w:r>
        <w:rPr>
          <w:lang w:bidi="ar-SA"/>
        </w:rPr>
        <w:t xml:space="preserve">d 1.6 and 3.2 mg/kg bw/day, and a significant reduction in overall body weight gain was seen in males treated with 0.4 mg/kg bw/day and higher. Significant reductions in absolute feed consumption were seen in males given </w:t>
      </w:r>
      <w:r>
        <w:rPr>
          <w:rFonts w:cs="Arial"/>
          <w:lang w:bidi="ar-SA"/>
        </w:rPr>
        <w:t>≥</w:t>
      </w:r>
      <w:r>
        <w:rPr>
          <w:lang w:bidi="ar-SA"/>
        </w:rPr>
        <w:t xml:space="preserve"> 1.6 mg/kg bw/day over the premating period, while significant reductions in absolute feed consumption were seen in males at </w:t>
      </w:r>
      <w:r>
        <w:rPr>
          <w:rFonts w:cs="Arial"/>
          <w:lang w:bidi="ar-SA"/>
        </w:rPr>
        <w:t>≥</w:t>
      </w:r>
      <w:r>
        <w:rPr>
          <w:lang w:bidi="ar-SA"/>
        </w:rPr>
        <w:t xml:space="preserve"> 0.4 mg/kg bw/day during the cohabitation period. </w:t>
      </w:r>
      <w:r w:rsidR="00F90205">
        <w:rPr>
          <w:lang w:bidi="ar-SA"/>
        </w:rPr>
        <w:t>The US EPA and UKCOT reviews of this study noted that a</w:t>
      </w:r>
      <w:r w:rsidR="000370A5">
        <w:rPr>
          <w:lang w:bidi="ar-SA"/>
        </w:rPr>
        <w:t xml:space="preserve"> significant reduction in absolute weights of the seminal vesicles and prostate was observed in males administered 3.2 mg/kg bw/day.</w:t>
      </w:r>
    </w:p>
    <w:p w14:paraId="0DCC0E23" w14:textId="77777777" w:rsidR="003E60E4" w:rsidRDefault="003E60E4" w:rsidP="00A111E9">
      <w:pPr>
        <w:rPr>
          <w:lang w:bidi="ar-SA"/>
        </w:rPr>
      </w:pPr>
    </w:p>
    <w:p w14:paraId="7D62B1E8" w14:textId="36FDFE58" w:rsidR="00C03FBE" w:rsidRDefault="00377053" w:rsidP="00A111E9">
      <w:pPr>
        <w:rPr>
          <w:lang w:bidi="ar-SA"/>
        </w:rPr>
      </w:pPr>
      <w:r>
        <w:rPr>
          <w:lang w:bidi="ar-SA"/>
        </w:rPr>
        <w:t xml:space="preserve">In the </w:t>
      </w:r>
      <w:r w:rsidR="006509F4">
        <w:rPr>
          <w:lang w:bidi="ar-SA"/>
        </w:rPr>
        <w:t>F0</w:t>
      </w:r>
      <w:r>
        <w:rPr>
          <w:lang w:bidi="ar-SA"/>
        </w:rPr>
        <w:t xml:space="preserve"> females, no deaths were observed. Increased </w:t>
      </w:r>
      <w:r w:rsidR="006509F4">
        <w:rPr>
          <w:lang w:bidi="ar-SA"/>
        </w:rPr>
        <w:t>incidences</w:t>
      </w:r>
      <w:r>
        <w:rPr>
          <w:lang w:bidi="ar-SA"/>
        </w:rPr>
        <w:t xml:space="preserve"> of localised alopecia were observed at 0.4 mg/kg bw/day and higher. </w:t>
      </w:r>
      <w:r w:rsidR="00BE205C">
        <w:rPr>
          <w:lang w:bidi="ar-SA"/>
        </w:rPr>
        <w:t>Statistically significant reductions in body weight were seen in F0 females administered 3.2 mg/kg bw/day throughout the pre</w:t>
      </w:r>
      <w:r w:rsidR="00CC26CA">
        <w:rPr>
          <w:lang w:bidi="ar-SA"/>
        </w:rPr>
        <w:t>cohabitation</w:t>
      </w:r>
      <w:r w:rsidR="00BE205C">
        <w:rPr>
          <w:lang w:bidi="ar-SA"/>
        </w:rPr>
        <w:t xml:space="preserve">, gestation and lactation phases of the study and in females given 1.6 mg/kg bw/day during the gestation and lactation periods. </w:t>
      </w:r>
      <w:r>
        <w:rPr>
          <w:lang w:bidi="ar-SA"/>
        </w:rPr>
        <w:t>Overall body weight gains were significantly reduced at 1.6 and 3.2 mg/kg bw/day during the premating period and at 3.2 mg/kg bw/day</w:t>
      </w:r>
      <w:r w:rsidR="00283936">
        <w:rPr>
          <w:lang w:bidi="ar-SA"/>
        </w:rPr>
        <w:t xml:space="preserve"> during</w:t>
      </w:r>
      <w:r>
        <w:rPr>
          <w:lang w:bidi="ar-SA"/>
        </w:rPr>
        <w:t xml:space="preserve"> gestation. Mean absolute feed consumption was significantly reduced in </w:t>
      </w:r>
      <w:r w:rsidR="006509F4">
        <w:rPr>
          <w:lang w:bidi="ar-SA"/>
        </w:rPr>
        <w:t>F0</w:t>
      </w:r>
      <w:r>
        <w:rPr>
          <w:lang w:bidi="ar-SA"/>
        </w:rPr>
        <w:t xml:space="preserve"> females given 3.2 mg/kg bw/day during premating and gestation, and in the 1.6 mg/kg bw/day group during lactation</w:t>
      </w:r>
      <w:r w:rsidR="00F90205">
        <w:rPr>
          <w:lang w:bidi="ar-SA"/>
        </w:rPr>
        <w:t xml:space="preserve"> (feed consumption was not calculated during lactation for the 3.2 mg/kg bw/day group as all pups died at this dose)</w:t>
      </w:r>
      <w:r>
        <w:rPr>
          <w:lang w:bidi="ar-SA"/>
        </w:rPr>
        <w:t>.</w:t>
      </w:r>
    </w:p>
    <w:p w14:paraId="6E2ABAD7" w14:textId="77777777" w:rsidR="003C6095" w:rsidRDefault="003C6095" w:rsidP="00A111E9">
      <w:pPr>
        <w:rPr>
          <w:lang w:bidi="ar-SA"/>
        </w:rPr>
      </w:pPr>
    </w:p>
    <w:p w14:paraId="2B1AFF1A" w14:textId="7663BBC4" w:rsidR="003C6095" w:rsidRDefault="00D80F25" w:rsidP="00A111E9">
      <w:pPr>
        <w:rPr>
          <w:lang w:bidi="ar-SA"/>
        </w:rPr>
      </w:pPr>
      <w:r>
        <w:rPr>
          <w:lang w:bidi="ar-SA"/>
        </w:rPr>
        <w:t>Mating and fertility parameters</w:t>
      </w:r>
      <w:r w:rsidR="00E81E7F">
        <w:rPr>
          <w:lang w:bidi="ar-SA"/>
        </w:rPr>
        <w:t xml:space="preserve"> such as estrous cycle, number of pregnancies per number of </w:t>
      </w:r>
      <w:r w:rsidR="00E81E7F">
        <w:rPr>
          <w:lang w:bidi="ar-SA"/>
        </w:rPr>
        <w:lastRenderedPageBreak/>
        <w:t>matings, number of days to inseminate and number of matings in the first week of cohabitation</w:t>
      </w:r>
      <w:r>
        <w:rPr>
          <w:lang w:bidi="ar-SA"/>
        </w:rPr>
        <w:t xml:space="preserve"> were unaffected by PFOS treatment at all doses. </w:t>
      </w:r>
      <w:r w:rsidR="00675679">
        <w:rPr>
          <w:lang w:bidi="ar-SA"/>
        </w:rPr>
        <w:t>H</w:t>
      </w:r>
      <w:r w:rsidR="006442E6">
        <w:rPr>
          <w:lang w:bidi="ar-SA"/>
        </w:rPr>
        <w:t xml:space="preserve">igh dose females had significant reductions in the numbers of implantation sites per delivered litter, decreased gestational </w:t>
      </w:r>
      <w:r w:rsidR="006F32C7">
        <w:rPr>
          <w:lang w:bidi="ar-SA"/>
        </w:rPr>
        <w:t>length, increased numbers of stillborn pups and increased numbers of dams with all pups dying on PND</w:t>
      </w:r>
      <w:r w:rsidR="00040A06">
        <w:rPr>
          <w:lang w:bidi="ar-SA"/>
        </w:rPr>
        <w:t>s</w:t>
      </w:r>
      <w:r w:rsidR="006F32C7">
        <w:rPr>
          <w:lang w:bidi="ar-SA"/>
        </w:rPr>
        <w:t xml:space="preserve"> 1 – 4. Two dams in the 1.6 mg/kg bw/day group (10%) also had litters </w:t>
      </w:r>
      <w:r w:rsidR="00C0116A">
        <w:rPr>
          <w:lang w:bidi="ar-SA"/>
        </w:rPr>
        <w:t>in which all pups died</w:t>
      </w:r>
      <w:r w:rsidR="006F32C7">
        <w:rPr>
          <w:lang w:bidi="ar-SA"/>
        </w:rPr>
        <w:t xml:space="preserve"> on PNDs 1 – 4. </w:t>
      </w:r>
      <w:r w:rsidR="00C0116A">
        <w:rPr>
          <w:lang w:bidi="ar-SA"/>
        </w:rPr>
        <w:t>T</w:t>
      </w:r>
      <w:r w:rsidR="006F32C7">
        <w:rPr>
          <w:lang w:bidi="ar-SA"/>
        </w:rPr>
        <w:t xml:space="preserve">he control value was 0% and the contract laboratory reported a historical control incidence of 0%, </w:t>
      </w:r>
      <w:r w:rsidR="00C0116A">
        <w:rPr>
          <w:lang w:bidi="ar-SA"/>
        </w:rPr>
        <w:t>suggesting that this effect is related to treatment</w:t>
      </w:r>
      <w:r w:rsidR="006F32C7">
        <w:rPr>
          <w:lang w:bidi="ar-SA"/>
        </w:rPr>
        <w:t>.</w:t>
      </w:r>
    </w:p>
    <w:p w14:paraId="13B8FC6F" w14:textId="7C29F256" w:rsidR="00D80F25" w:rsidRDefault="00A8179B" w:rsidP="00684A16">
      <w:pPr>
        <w:pStyle w:val="Heading5"/>
      </w:pPr>
      <w:r>
        <w:t>F</w:t>
      </w:r>
      <w:r w:rsidR="00EC1750">
        <w:t>1</w:t>
      </w:r>
      <w:r>
        <w:t xml:space="preserve"> generation</w:t>
      </w:r>
    </w:p>
    <w:p w14:paraId="50123470" w14:textId="4A26DE1B" w:rsidR="00AD741A" w:rsidRDefault="00DD3314" w:rsidP="00A111E9">
      <w:pPr>
        <w:rPr>
          <w:lang w:bidi="ar-SA"/>
        </w:rPr>
      </w:pPr>
      <w:r>
        <w:rPr>
          <w:lang w:bidi="ar-SA"/>
        </w:rPr>
        <w:t>A statistically significant reduction in the mean number of live</w:t>
      </w:r>
      <w:r w:rsidR="003861B4">
        <w:rPr>
          <w:lang w:bidi="ar-SA"/>
        </w:rPr>
        <w:t>-born</w:t>
      </w:r>
      <w:r>
        <w:rPr>
          <w:lang w:bidi="ar-SA"/>
        </w:rPr>
        <w:t xml:space="preserve"> pups was seen at 3.</w:t>
      </w:r>
      <w:r w:rsidR="00FE7820">
        <w:rPr>
          <w:lang w:bidi="ar-SA"/>
        </w:rPr>
        <w:t>2</w:t>
      </w:r>
      <w:r>
        <w:rPr>
          <w:lang w:bidi="ar-SA"/>
        </w:rPr>
        <w:t xml:space="preserve"> mg/kg bw/day (7.8 </w:t>
      </w:r>
      <w:r>
        <w:rPr>
          <w:rFonts w:cs="Arial"/>
          <w:lang w:bidi="ar-SA"/>
        </w:rPr>
        <w:t>±</w:t>
      </w:r>
      <w:r>
        <w:rPr>
          <w:lang w:bidi="ar-SA"/>
        </w:rPr>
        <w:t xml:space="preserve"> 4.0) compared with controls (13.6 </w:t>
      </w:r>
      <w:r>
        <w:rPr>
          <w:rFonts w:cs="Arial"/>
          <w:lang w:bidi="ar-SA"/>
        </w:rPr>
        <w:t>±</w:t>
      </w:r>
      <w:r>
        <w:rPr>
          <w:lang w:bidi="ar-SA"/>
        </w:rPr>
        <w:t xml:space="preserve"> 2.3), as well as a significant increase in the mean number of stillborn pups per litter compared with controls (2.2 </w:t>
      </w:r>
      <w:r>
        <w:rPr>
          <w:rFonts w:cs="Arial"/>
          <w:lang w:bidi="ar-SA"/>
        </w:rPr>
        <w:t>±</w:t>
      </w:r>
      <w:r>
        <w:rPr>
          <w:lang w:bidi="ar-SA"/>
        </w:rPr>
        <w:t xml:space="preserve"> 2</w:t>
      </w:r>
      <w:r w:rsidR="00F90205">
        <w:rPr>
          <w:lang w:bidi="ar-SA"/>
        </w:rPr>
        <w:t>.</w:t>
      </w:r>
      <w:r>
        <w:rPr>
          <w:lang w:bidi="ar-SA"/>
        </w:rPr>
        <w:t xml:space="preserve">3 versus 0.3 </w:t>
      </w:r>
      <w:r>
        <w:rPr>
          <w:rFonts w:cs="Arial"/>
          <w:lang w:bidi="ar-SA"/>
        </w:rPr>
        <w:t>±</w:t>
      </w:r>
      <w:r>
        <w:rPr>
          <w:lang w:bidi="ar-SA"/>
        </w:rPr>
        <w:t xml:space="preserve"> 0.7 respectively). </w:t>
      </w:r>
      <w:r w:rsidR="00FE7820">
        <w:rPr>
          <w:lang w:bidi="ar-SA"/>
        </w:rPr>
        <w:t>At 3.2 mg/</w:t>
      </w:r>
      <w:r w:rsidR="00717229">
        <w:rPr>
          <w:lang w:bidi="ar-SA"/>
        </w:rPr>
        <w:t>kg bw/day, there was</w:t>
      </w:r>
      <w:r w:rsidR="00FE7820">
        <w:rPr>
          <w:lang w:bidi="ar-SA"/>
        </w:rPr>
        <w:t xml:space="preserve"> 45.5% mortality</w:t>
      </w:r>
      <w:r w:rsidR="00717229">
        <w:rPr>
          <w:lang w:bidi="ar-SA"/>
        </w:rPr>
        <w:t xml:space="preserve"> of neonates</w:t>
      </w:r>
      <w:r w:rsidR="00FE7820">
        <w:rPr>
          <w:lang w:bidi="ar-SA"/>
        </w:rPr>
        <w:t xml:space="preserve"> on PND</w:t>
      </w:r>
      <w:r w:rsidR="00FA45D3">
        <w:rPr>
          <w:lang w:bidi="ar-SA"/>
        </w:rPr>
        <w:t xml:space="preserve"> 1</w:t>
      </w:r>
      <w:r w:rsidR="00CC489E">
        <w:rPr>
          <w:lang w:bidi="ar-SA"/>
        </w:rPr>
        <w:t xml:space="preserve"> and 100% of pups had died with</w:t>
      </w:r>
      <w:r w:rsidR="004F54D0">
        <w:rPr>
          <w:lang w:bidi="ar-SA"/>
        </w:rPr>
        <w:t>in</w:t>
      </w:r>
      <w:r w:rsidR="00CC489E">
        <w:rPr>
          <w:lang w:bidi="ar-SA"/>
        </w:rPr>
        <w:t xml:space="preserve"> the first two </w:t>
      </w:r>
      <w:r w:rsidR="00BE205C">
        <w:rPr>
          <w:lang w:bidi="ar-SA"/>
        </w:rPr>
        <w:t>post</w:t>
      </w:r>
      <w:r w:rsidR="00032CF6">
        <w:rPr>
          <w:lang w:bidi="ar-SA"/>
        </w:rPr>
        <w:t>natal</w:t>
      </w:r>
      <w:r w:rsidR="00CC489E">
        <w:rPr>
          <w:lang w:bidi="ar-SA"/>
        </w:rPr>
        <w:t xml:space="preserve"> days. In the 1.6 mg/kg bw/day group neonatal mortality was 10.6% on the first day and 33.9% by </w:t>
      </w:r>
      <w:r w:rsidR="00CC489E" w:rsidRPr="00D613F1">
        <w:t>PND 4</w:t>
      </w:r>
      <w:r w:rsidR="00CC489E">
        <w:rPr>
          <w:lang w:bidi="ar-SA"/>
        </w:rPr>
        <w:t>.</w:t>
      </w:r>
      <w:r w:rsidR="00657C8F">
        <w:rPr>
          <w:lang w:bidi="ar-SA"/>
        </w:rPr>
        <w:t xml:space="preserve"> The viability index was 0% and 66% at 3.2 and 1.6 mg/kg bw/day</w:t>
      </w:r>
      <w:r w:rsidR="004F54D0">
        <w:rPr>
          <w:lang w:bidi="ar-SA"/>
        </w:rPr>
        <w:t>,</w:t>
      </w:r>
      <w:r w:rsidR="00657C8F">
        <w:rPr>
          <w:lang w:bidi="ar-SA"/>
        </w:rPr>
        <w:t xml:space="preserve"> respectively. </w:t>
      </w:r>
      <w:r w:rsidR="00224EB6">
        <w:rPr>
          <w:lang w:bidi="ar-SA"/>
        </w:rPr>
        <w:t>Necropsy of the pups found dead or moribund did not reveal a cause of death. Observations of pups after birth did not find signs of respiratory distress.</w:t>
      </w:r>
    </w:p>
    <w:p w14:paraId="05D7F178" w14:textId="77777777" w:rsidR="00AD741A" w:rsidRDefault="00AD741A" w:rsidP="00A111E9">
      <w:pPr>
        <w:rPr>
          <w:lang w:bidi="ar-SA"/>
        </w:rPr>
      </w:pPr>
    </w:p>
    <w:p w14:paraId="70ACBE4B" w14:textId="0C36F8DA" w:rsidR="00224EB6" w:rsidRDefault="00224EB6" w:rsidP="00A111E9">
      <w:pPr>
        <w:rPr>
          <w:lang w:bidi="ar-SA"/>
        </w:rPr>
      </w:pPr>
      <w:r>
        <w:rPr>
          <w:lang w:bidi="ar-SA"/>
        </w:rPr>
        <w:t xml:space="preserve">The high dose group was precluded from further evaluation because there were no surviving pups by </w:t>
      </w:r>
      <w:r w:rsidR="00BD74C8" w:rsidRPr="00065627">
        <w:t>PND</w:t>
      </w:r>
      <w:r w:rsidRPr="00065627">
        <w:t xml:space="preserve"> 2</w:t>
      </w:r>
      <w:r>
        <w:rPr>
          <w:lang w:bidi="ar-SA"/>
        </w:rPr>
        <w:t>. Statistically significant reductions in pup weight per litter and pup weight gain per litter were seen at 1.6 mg/kg bw/day compared with controls. Significant delays compared with controls were seen in the mean number of days for 50% of pups achieving the developmental landmarks of pinna unfolding</w:t>
      </w:r>
      <w:r w:rsidR="0070573E">
        <w:rPr>
          <w:lang w:bidi="ar-SA"/>
        </w:rPr>
        <w:t xml:space="preserve"> (1.6 days)</w:t>
      </w:r>
      <w:r>
        <w:rPr>
          <w:lang w:bidi="ar-SA"/>
        </w:rPr>
        <w:t>, eye</w:t>
      </w:r>
      <w:r w:rsidR="001012A5">
        <w:rPr>
          <w:lang w:bidi="ar-SA"/>
        </w:rPr>
        <w:t>-</w:t>
      </w:r>
      <w:r>
        <w:rPr>
          <w:lang w:bidi="ar-SA"/>
        </w:rPr>
        <w:t>opening</w:t>
      </w:r>
      <w:r w:rsidR="0070573E">
        <w:rPr>
          <w:lang w:bidi="ar-SA"/>
        </w:rPr>
        <w:t xml:space="preserve"> (1.4 days)</w:t>
      </w:r>
      <w:r>
        <w:rPr>
          <w:lang w:bidi="ar-SA"/>
        </w:rPr>
        <w:t>, surface righting</w:t>
      </w:r>
      <w:r w:rsidR="0070573E">
        <w:rPr>
          <w:lang w:bidi="ar-SA"/>
        </w:rPr>
        <w:t xml:space="preserve"> (2.2 days)</w:t>
      </w:r>
      <w:r>
        <w:rPr>
          <w:lang w:bidi="ar-SA"/>
        </w:rPr>
        <w:t xml:space="preserve"> and air righting</w:t>
      </w:r>
      <w:r w:rsidR="0070573E">
        <w:rPr>
          <w:lang w:bidi="ar-SA"/>
        </w:rPr>
        <w:t xml:space="preserve"> (2.0 days)</w:t>
      </w:r>
      <w:r>
        <w:rPr>
          <w:lang w:bidi="ar-SA"/>
        </w:rPr>
        <w:t>. A slight delay in eye</w:t>
      </w:r>
      <w:r w:rsidR="001012A5">
        <w:rPr>
          <w:lang w:bidi="ar-SA"/>
        </w:rPr>
        <w:t>-</w:t>
      </w:r>
      <w:r>
        <w:rPr>
          <w:lang w:bidi="ar-SA"/>
        </w:rPr>
        <w:t>opening</w:t>
      </w:r>
      <w:r w:rsidR="0070573E">
        <w:rPr>
          <w:lang w:bidi="ar-SA"/>
        </w:rPr>
        <w:t xml:space="preserve"> compared with controls (0.6 days)</w:t>
      </w:r>
      <w:r>
        <w:rPr>
          <w:lang w:bidi="ar-SA"/>
        </w:rPr>
        <w:t xml:space="preserve"> was</w:t>
      </w:r>
      <w:r w:rsidR="004F54D0">
        <w:rPr>
          <w:lang w:bidi="ar-SA"/>
        </w:rPr>
        <w:t xml:space="preserve"> also</w:t>
      </w:r>
      <w:r>
        <w:rPr>
          <w:lang w:bidi="ar-SA"/>
        </w:rPr>
        <w:t xml:space="preserve"> observed in the 0.4 mg/kg bw/day pups </w:t>
      </w:r>
      <w:r w:rsidR="00675679">
        <w:rPr>
          <w:lang w:bidi="ar-SA"/>
        </w:rPr>
        <w:t>however</w:t>
      </w:r>
      <w:r w:rsidR="007F02A2">
        <w:rPr>
          <w:lang w:bidi="ar-SA"/>
        </w:rPr>
        <w:t>,</w:t>
      </w:r>
      <w:r w:rsidR="00675679">
        <w:rPr>
          <w:lang w:bidi="ar-SA"/>
        </w:rPr>
        <w:t xml:space="preserve"> this effect was not considered to be clearly treatment-related.</w:t>
      </w:r>
    </w:p>
    <w:p w14:paraId="6C87C8DE" w14:textId="6731DB50" w:rsidR="00C27ED1" w:rsidRDefault="00C27ED1" w:rsidP="00A111E9">
      <w:pPr>
        <w:rPr>
          <w:lang w:bidi="ar-SA"/>
        </w:rPr>
      </w:pPr>
    </w:p>
    <w:p w14:paraId="62E0DAAC" w14:textId="33F58C67" w:rsidR="00C27ED1" w:rsidRDefault="00C27ED1" w:rsidP="00A111E9">
      <w:pPr>
        <w:rPr>
          <w:lang w:bidi="ar-SA"/>
        </w:rPr>
      </w:pPr>
      <w:r>
        <w:rPr>
          <w:lang w:bidi="ar-SA"/>
        </w:rPr>
        <w:t xml:space="preserve">The 1.6 mg/kg bw/day F1 pups were not continued in the study past weaning because of their poor condition, so only pups from the 0.0, 0.1 and 0.4 mg/kg bw/day groups were involved in the remainder of the study. No treatment-related deaths or clinical signs were observed in the 0.1 and 0.4 mg/kg bw/day rats after </w:t>
      </w:r>
      <w:r w:rsidR="004F54D0">
        <w:rPr>
          <w:lang w:bidi="ar-SA"/>
        </w:rPr>
        <w:t xml:space="preserve">direct </w:t>
      </w:r>
      <w:r>
        <w:rPr>
          <w:lang w:bidi="ar-SA"/>
        </w:rPr>
        <w:t xml:space="preserve">dosing was initiated at weaning. Body weights, body weight gains and absolute and relative feed consumption were similar to controls at these doses. </w:t>
      </w:r>
      <w:r w:rsidR="00A27C70">
        <w:rPr>
          <w:lang w:bidi="ar-SA"/>
        </w:rPr>
        <w:t>Sexual maturation was not affected in males or females at 0.1 and 0.4 mg/kg bw/day. Passive avoidance and water maze tests did not find any effects on learning or memory.</w:t>
      </w:r>
    </w:p>
    <w:p w14:paraId="07C1A34C" w14:textId="77777777" w:rsidR="00351DAC" w:rsidRDefault="00351DAC" w:rsidP="00A111E9">
      <w:pPr>
        <w:rPr>
          <w:lang w:bidi="ar-SA"/>
        </w:rPr>
      </w:pPr>
    </w:p>
    <w:p w14:paraId="6B9B0513" w14:textId="01A98F90" w:rsidR="00351DAC" w:rsidRDefault="00351DAC" w:rsidP="00A111E9">
      <w:pPr>
        <w:rPr>
          <w:lang w:bidi="ar-SA"/>
        </w:rPr>
      </w:pPr>
      <w:r>
        <w:rPr>
          <w:lang w:bidi="ar-SA"/>
        </w:rPr>
        <w:t>There was no significant effect of PFOS treatment on the reproductive performance or delivery param</w:t>
      </w:r>
      <w:r w:rsidR="00E37E4F">
        <w:rPr>
          <w:lang w:bidi="ar-SA"/>
        </w:rPr>
        <w:t>e</w:t>
      </w:r>
      <w:r>
        <w:rPr>
          <w:lang w:bidi="ar-SA"/>
        </w:rPr>
        <w:t>ters of F1 parents at 0.1 and 0.4 mg/kg bw/day.</w:t>
      </w:r>
    </w:p>
    <w:p w14:paraId="49933D4A" w14:textId="1229B98E" w:rsidR="00A27C70" w:rsidRDefault="00351DAC" w:rsidP="00684A16">
      <w:pPr>
        <w:pStyle w:val="Heading5"/>
      </w:pPr>
      <w:r>
        <w:t>F</w:t>
      </w:r>
      <w:r w:rsidR="00F07090">
        <w:t>2</w:t>
      </w:r>
      <w:r>
        <w:t xml:space="preserve"> generation</w:t>
      </w:r>
    </w:p>
    <w:p w14:paraId="0E6DCC69" w14:textId="77777777" w:rsidR="00064C40" w:rsidRDefault="005D02F0" w:rsidP="00A111E9">
      <w:pPr>
        <w:rPr>
          <w:lang w:bidi="ar-SA"/>
        </w:rPr>
      </w:pPr>
      <w:r>
        <w:rPr>
          <w:lang w:bidi="ar-SA"/>
        </w:rPr>
        <w:t xml:space="preserve">No effects on pup mortality were observed in F2 litters at any time during the lactation period. All F2 generation pups were sacrificed on </w:t>
      </w:r>
      <w:r w:rsidR="00BD74C8">
        <w:rPr>
          <w:lang w:bidi="ar-SA"/>
        </w:rPr>
        <w:t>PND</w:t>
      </w:r>
      <w:r>
        <w:rPr>
          <w:lang w:bidi="ar-SA"/>
        </w:rPr>
        <w:t xml:space="preserve"> 21. A tra</w:t>
      </w:r>
      <w:r w:rsidR="00EF136B">
        <w:rPr>
          <w:lang w:bidi="ar-SA"/>
        </w:rPr>
        <w:t>nsient reduction in body weight</w:t>
      </w:r>
      <w:r>
        <w:rPr>
          <w:lang w:bidi="ar-SA"/>
        </w:rPr>
        <w:t xml:space="preserve"> and body weight gain was seen</w:t>
      </w:r>
      <w:r w:rsidR="00353C7B">
        <w:rPr>
          <w:lang w:bidi="ar-SA"/>
        </w:rPr>
        <w:t xml:space="preserve"> at 0.4 mg/kg bw/day</w:t>
      </w:r>
      <w:r>
        <w:rPr>
          <w:lang w:bidi="ar-SA"/>
        </w:rPr>
        <w:t xml:space="preserve">, but mean pup weight per litter on </w:t>
      </w:r>
      <w:r w:rsidR="00BD74C8">
        <w:rPr>
          <w:lang w:bidi="ar-SA"/>
        </w:rPr>
        <w:t>PND</w:t>
      </w:r>
      <w:r>
        <w:rPr>
          <w:lang w:bidi="ar-SA"/>
        </w:rPr>
        <w:t xml:space="preserve"> 21</w:t>
      </w:r>
      <w:r w:rsidR="00353C7B">
        <w:rPr>
          <w:lang w:bidi="ar-SA"/>
        </w:rPr>
        <w:t xml:space="preserve"> </w:t>
      </w:r>
      <w:r>
        <w:rPr>
          <w:lang w:bidi="ar-SA"/>
        </w:rPr>
        <w:t xml:space="preserve">and body weight gain between </w:t>
      </w:r>
      <w:r w:rsidR="00BD74C8">
        <w:rPr>
          <w:lang w:bidi="ar-SA"/>
        </w:rPr>
        <w:t>PND</w:t>
      </w:r>
      <w:r>
        <w:rPr>
          <w:lang w:bidi="ar-SA"/>
        </w:rPr>
        <w:t>s 14 – 21</w:t>
      </w:r>
      <w:r w:rsidR="00353C7B">
        <w:rPr>
          <w:lang w:bidi="ar-SA"/>
        </w:rPr>
        <w:t xml:space="preserve"> </w:t>
      </w:r>
      <w:r>
        <w:rPr>
          <w:lang w:bidi="ar-SA"/>
        </w:rPr>
        <w:t xml:space="preserve">were not </w:t>
      </w:r>
      <w:r w:rsidR="00BD0F2E">
        <w:rPr>
          <w:lang w:bidi="ar-SA"/>
        </w:rPr>
        <w:t>signifi</w:t>
      </w:r>
      <w:r>
        <w:rPr>
          <w:lang w:bidi="ar-SA"/>
        </w:rPr>
        <w:t>cantly different from controls.</w:t>
      </w:r>
      <w:r w:rsidR="003207A7">
        <w:rPr>
          <w:lang w:bidi="ar-SA"/>
        </w:rPr>
        <w:t xml:space="preserve"> At </w:t>
      </w:r>
      <w:r w:rsidR="00BD74C8">
        <w:rPr>
          <w:lang w:bidi="ar-SA"/>
        </w:rPr>
        <w:t>PND</w:t>
      </w:r>
      <w:r w:rsidR="00D2034C">
        <w:rPr>
          <w:lang w:bidi="ar-SA"/>
        </w:rPr>
        <w:t xml:space="preserve"> </w:t>
      </w:r>
      <w:r w:rsidR="003207A7">
        <w:rPr>
          <w:lang w:bidi="ar-SA"/>
        </w:rPr>
        <w:t>21 mean pup weights remained approximately 9% lower than controls but the results were not statistically significant. I</w:t>
      </w:r>
      <w:r w:rsidR="003207A7" w:rsidRPr="003207A7">
        <w:rPr>
          <w:lang w:bidi="ar-SA"/>
        </w:rPr>
        <w:t>t is noted that in a follow</w:t>
      </w:r>
      <w:r w:rsidR="001012A5">
        <w:rPr>
          <w:lang w:bidi="ar-SA"/>
        </w:rPr>
        <w:t>-</w:t>
      </w:r>
      <w:r w:rsidR="003207A7" w:rsidRPr="003207A7">
        <w:rPr>
          <w:lang w:bidi="ar-SA"/>
        </w:rPr>
        <w:t xml:space="preserve">up study by the same laboratory a significant reduction in birth weight and weight on </w:t>
      </w:r>
      <w:r w:rsidR="00BD74C8">
        <w:rPr>
          <w:lang w:bidi="ar-SA"/>
        </w:rPr>
        <w:t>PND</w:t>
      </w:r>
      <w:r w:rsidR="003207A7" w:rsidRPr="003207A7">
        <w:rPr>
          <w:lang w:bidi="ar-SA"/>
        </w:rPr>
        <w:t xml:space="preserve"> 5 was observed in F1 pups born to mothers treated with PFOS at 0.4 mg/kg bw/day (Luebker </w:t>
      </w:r>
      <w:r w:rsidR="00180A32" w:rsidRPr="00180A32">
        <w:rPr>
          <w:i/>
          <w:lang w:bidi="ar-SA"/>
        </w:rPr>
        <w:t xml:space="preserve">et al. </w:t>
      </w:r>
      <w:r w:rsidR="00F22DA6">
        <w:rPr>
          <w:lang w:bidi="ar-SA"/>
        </w:rPr>
        <w:t xml:space="preserve"> </w:t>
      </w:r>
      <w:r w:rsidR="003207A7" w:rsidRPr="003207A7">
        <w:rPr>
          <w:lang w:bidi="ar-SA"/>
        </w:rPr>
        <w:t>2005a).</w:t>
      </w:r>
      <w:r>
        <w:rPr>
          <w:lang w:bidi="ar-SA"/>
        </w:rPr>
        <w:t xml:space="preserve"> </w:t>
      </w:r>
      <w:r w:rsidR="00BD0F2E">
        <w:rPr>
          <w:lang w:bidi="ar-SA"/>
        </w:rPr>
        <w:t xml:space="preserve">Pup weight findings for the F2 generation are summarised in </w:t>
      </w:r>
      <w:r w:rsidR="00071788">
        <w:rPr>
          <w:lang w:bidi="ar-SA"/>
        </w:rPr>
        <w:fldChar w:fldCharType="begin"/>
      </w:r>
      <w:r w:rsidR="00071788">
        <w:rPr>
          <w:lang w:bidi="ar-SA"/>
        </w:rPr>
        <w:instrText xml:space="preserve"> REF _Ref467159809 \h </w:instrText>
      </w:r>
      <w:r w:rsidR="00071788">
        <w:rPr>
          <w:lang w:bidi="ar-SA"/>
        </w:rPr>
      </w:r>
      <w:r w:rsidR="00071788">
        <w:rPr>
          <w:lang w:bidi="ar-SA"/>
        </w:rPr>
        <w:fldChar w:fldCharType="separate"/>
      </w:r>
      <w:r w:rsidR="00F4394A">
        <w:t xml:space="preserve">Table </w:t>
      </w:r>
      <w:r w:rsidR="00F4394A">
        <w:rPr>
          <w:noProof/>
        </w:rPr>
        <w:t>8</w:t>
      </w:r>
      <w:r w:rsidR="00071788">
        <w:rPr>
          <w:lang w:bidi="ar-SA"/>
        </w:rPr>
        <w:fldChar w:fldCharType="end"/>
      </w:r>
      <w:r w:rsidR="00BD0F2E">
        <w:rPr>
          <w:lang w:bidi="ar-SA"/>
        </w:rPr>
        <w:t>.</w:t>
      </w:r>
    </w:p>
    <w:p w14:paraId="7605F517" w14:textId="25FF005E" w:rsidR="005F1486" w:rsidRDefault="00064C40" w:rsidP="00A111E9">
      <w:pPr>
        <w:rPr>
          <w:lang w:bidi="ar-SA"/>
        </w:rPr>
      </w:pPr>
      <w:r>
        <w:rPr>
          <w:lang w:bidi="ar-SA"/>
        </w:rPr>
        <w:t xml:space="preserve"> </w:t>
      </w:r>
    </w:p>
    <w:p w14:paraId="42BDE4D3" w14:textId="77777777" w:rsidR="005F1486" w:rsidRDefault="005F1486">
      <w:pPr>
        <w:widowControl/>
        <w:rPr>
          <w:lang w:bidi="ar-SA"/>
        </w:rPr>
      </w:pPr>
      <w:r>
        <w:rPr>
          <w:lang w:bidi="ar-SA"/>
        </w:rPr>
        <w:br w:type="page"/>
      </w:r>
    </w:p>
    <w:p w14:paraId="3E8E78DE" w14:textId="1249B69B" w:rsidR="00071788" w:rsidRPr="00071788" w:rsidRDefault="00071788" w:rsidP="00A111E9">
      <w:pPr>
        <w:pStyle w:val="FSTableTitle"/>
      </w:pPr>
      <w:bookmarkStart w:id="139" w:name="_Ref467159809"/>
      <w:r>
        <w:lastRenderedPageBreak/>
        <w:t xml:space="preserve">Table </w:t>
      </w:r>
      <w:r w:rsidR="00BC19E6">
        <w:fldChar w:fldCharType="begin"/>
      </w:r>
      <w:r w:rsidR="00BC19E6">
        <w:instrText xml:space="preserve"> SEQ Table \* ARABIC </w:instrText>
      </w:r>
      <w:r w:rsidR="00BC19E6">
        <w:fldChar w:fldCharType="separate"/>
      </w:r>
      <w:r w:rsidR="00F4394A">
        <w:rPr>
          <w:noProof/>
        </w:rPr>
        <w:t>8</w:t>
      </w:r>
      <w:r w:rsidR="00BC19E6">
        <w:rPr>
          <w:noProof/>
        </w:rPr>
        <w:fldChar w:fldCharType="end"/>
      </w:r>
      <w:bookmarkEnd w:id="139"/>
      <w:r w:rsidR="00BE256E">
        <w:rPr>
          <w:b w:val="0"/>
        </w:rPr>
        <w:t>:</w:t>
      </w:r>
      <w:r>
        <w:t xml:space="preserve"> Pup weight and weight change per litter for F2 pups during lactation</w:t>
      </w:r>
    </w:p>
    <w:tbl>
      <w:tblPr>
        <w:tblStyle w:val="TableGrid"/>
        <w:tblW w:w="0" w:type="auto"/>
        <w:jc w:val="center"/>
        <w:tblLook w:val="04A0" w:firstRow="1" w:lastRow="0" w:firstColumn="1" w:lastColumn="0" w:noHBand="0" w:noVBand="1"/>
        <w:tblCaption w:val="Table 8: Pup weight and weight change per litter for F2 pups during lactation"/>
        <w:tblDescription w:val="This table contains information about testing on rats, with pup weight and weight change per litter for F2 pups during lactation."/>
      </w:tblPr>
      <w:tblGrid>
        <w:gridCol w:w="2321"/>
        <w:gridCol w:w="2097"/>
        <w:gridCol w:w="2097"/>
        <w:gridCol w:w="2098"/>
      </w:tblGrid>
      <w:tr w:rsidR="00BD0F2E" w14:paraId="6E4DA792" w14:textId="77777777" w:rsidTr="00A111E9">
        <w:trPr>
          <w:tblHeader/>
          <w:jc w:val="center"/>
        </w:trPr>
        <w:tc>
          <w:tcPr>
            <w:tcW w:w="2321" w:type="dxa"/>
            <w:vMerge w:val="restart"/>
            <w:shd w:val="clear" w:color="auto" w:fill="F2F2F2" w:themeFill="background1" w:themeFillShade="F2"/>
            <w:vAlign w:val="bottom"/>
          </w:tcPr>
          <w:p w14:paraId="423B3C26" w14:textId="55C2C97D" w:rsidR="00BD0F2E" w:rsidRPr="000B3C14" w:rsidRDefault="00BD0F2E" w:rsidP="00A111E9">
            <w:pPr>
              <w:spacing w:after="40"/>
              <w:rPr>
                <w:rFonts w:ascii="Arial" w:hAnsi="Arial"/>
                <w:b/>
                <w:sz w:val="18"/>
              </w:rPr>
            </w:pPr>
            <w:r w:rsidRPr="00D711DD">
              <w:rPr>
                <w:b/>
                <w:sz w:val="18"/>
              </w:rPr>
              <w:t>Day of study</w:t>
            </w:r>
          </w:p>
        </w:tc>
        <w:tc>
          <w:tcPr>
            <w:tcW w:w="6292" w:type="dxa"/>
            <w:gridSpan w:val="3"/>
            <w:shd w:val="clear" w:color="auto" w:fill="F2F2F2" w:themeFill="background1" w:themeFillShade="F2"/>
          </w:tcPr>
          <w:p w14:paraId="72DEF443" w14:textId="5F16EB6C" w:rsidR="00BD0F2E" w:rsidRPr="00F6284E" w:rsidRDefault="00BD0F2E" w:rsidP="008A4114">
            <w:pPr>
              <w:spacing w:before="40" w:after="40"/>
              <w:jc w:val="center"/>
              <w:rPr>
                <w:rFonts w:ascii="Arial" w:hAnsi="Arial"/>
                <w:b/>
                <w:sz w:val="18"/>
              </w:rPr>
            </w:pPr>
            <w:r w:rsidRPr="00F6284E">
              <w:rPr>
                <w:b/>
                <w:sz w:val="18"/>
              </w:rPr>
              <w:t>Dose group (mg/kg bw/day PFOS)</w:t>
            </w:r>
          </w:p>
        </w:tc>
      </w:tr>
      <w:tr w:rsidR="00BD0F2E" w14:paraId="2B14A198" w14:textId="77777777" w:rsidTr="00A111E9">
        <w:trPr>
          <w:tblHeader/>
          <w:jc w:val="center"/>
        </w:trPr>
        <w:tc>
          <w:tcPr>
            <w:tcW w:w="2321" w:type="dxa"/>
            <w:vMerge/>
          </w:tcPr>
          <w:p w14:paraId="34228832" w14:textId="77777777" w:rsidR="00BD0F2E" w:rsidRPr="00F6284E" w:rsidRDefault="00BD0F2E" w:rsidP="00A111E9">
            <w:pPr>
              <w:rPr>
                <w:rFonts w:ascii="Arial" w:hAnsi="Arial"/>
                <w:b/>
                <w:sz w:val="18"/>
              </w:rPr>
            </w:pPr>
          </w:p>
        </w:tc>
        <w:tc>
          <w:tcPr>
            <w:tcW w:w="2097" w:type="dxa"/>
            <w:shd w:val="clear" w:color="auto" w:fill="F2F2F2" w:themeFill="background1" w:themeFillShade="F2"/>
            <w:vAlign w:val="center"/>
          </w:tcPr>
          <w:p w14:paraId="2BCFBF41" w14:textId="0D5273D7" w:rsidR="00BD0F2E" w:rsidRPr="00F6284E" w:rsidRDefault="00BD0F2E" w:rsidP="008A4114">
            <w:pPr>
              <w:spacing w:before="40" w:after="40"/>
              <w:jc w:val="right"/>
              <w:rPr>
                <w:rFonts w:ascii="Arial" w:hAnsi="Arial"/>
                <w:b/>
                <w:sz w:val="18"/>
              </w:rPr>
            </w:pPr>
            <w:r w:rsidRPr="00F6284E">
              <w:rPr>
                <w:b/>
                <w:sz w:val="18"/>
              </w:rPr>
              <w:t>0.0</w:t>
            </w:r>
          </w:p>
        </w:tc>
        <w:tc>
          <w:tcPr>
            <w:tcW w:w="2097" w:type="dxa"/>
            <w:shd w:val="clear" w:color="auto" w:fill="F2F2F2" w:themeFill="background1" w:themeFillShade="F2"/>
            <w:vAlign w:val="center"/>
          </w:tcPr>
          <w:p w14:paraId="5BE8F954" w14:textId="2F32BE45" w:rsidR="00BD0F2E" w:rsidRPr="00F6284E" w:rsidRDefault="00BD0F2E" w:rsidP="008A4114">
            <w:pPr>
              <w:spacing w:before="40" w:after="40"/>
              <w:jc w:val="right"/>
              <w:rPr>
                <w:rFonts w:ascii="Arial" w:hAnsi="Arial"/>
                <w:b/>
                <w:sz w:val="18"/>
              </w:rPr>
            </w:pPr>
            <w:r w:rsidRPr="00F6284E">
              <w:rPr>
                <w:b/>
                <w:sz w:val="18"/>
              </w:rPr>
              <w:t>0.1</w:t>
            </w:r>
          </w:p>
        </w:tc>
        <w:tc>
          <w:tcPr>
            <w:tcW w:w="2098" w:type="dxa"/>
            <w:shd w:val="clear" w:color="auto" w:fill="F2F2F2" w:themeFill="background1" w:themeFillShade="F2"/>
            <w:vAlign w:val="center"/>
          </w:tcPr>
          <w:p w14:paraId="13B1E7C1" w14:textId="36B45C82" w:rsidR="00BD0F2E" w:rsidRPr="00F6284E" w:rsidRDefault="00425E1C" w:rsidP="008A4114">
            <w:pPr>
              <w:spacing w:before="40" w:after="40"/>
              <w:jc w:val="right"/>
              <w:rPr>
                <w:rFonts w:ascii="Arial" w:hAnsi="Arial"/>
                <w:b/>
                <w:sz w:val="18"/>
              </w:rPr>
            </w:pPr>
            <w:r w:rsidRPr="00F6284E">
              <w:rPr>
                <w:b/>
                <w:sz w:val="18"/>
              </w:rPr>
              <w:t>0.4</w:t>
            </w:r>
          </w:p>
        </w:tc>
      </w:tr>
      <w:tr w:rsidR="00425E1C" w14:paraId="316E4306" w14:textId="77777777" w:rsidTr="00F6284E">
        <w:trPr>
          <w:jc w:val="center"/>
        </w:trPr>
        <w:tc>
          <w:tcPr>
            <w:tcW w:w="8613" w:type="dxa"/>
            <w:gridSpan w:val="4"/>
            <w:vAlign w:val="center"/>
          </w:tcPr>
          <w:p w14:paraId="491E7B55" w14:textId="6CCD6589" w:rsidR="00425E1C" w:rsidRPr="000B3C14" w:rsidRDefault="00425E1C" w:rsidP="008A4114">
            <w:pPr>
              <w:spacing w:before="40" w:after="40"/>
              <w:rPr>
                <w:rFonts w:ascii="Arial" w:hAnsi="Arial"/>
                <w:sz w:val="18"/>
              </w:rPr>
            </w:pPr>
            <w:r w:rsidRPr="00D711DD">
              <w:rPr>
                <w:b/>
                <w:sz w:val="18"/>
              </w:rPr>
              <w:t>Pup weight/litter (g)</w:t>
            </w:r>
          </w:p>
        </w:tc>
      </w:tr>
      <w:tr w:rsidR="00BD0F2E" w14:paraId="769AA19B" w14:textId="77777777" w:rsidTr="00F6284E">
        <w:trPr>
          <w:trHeight w:val="283"/>
          <w:jc w:val="center"/>
        </w:trPr>
        <w:tc>
          <w:tcPr>
            <w:tcW w:w="2321" w:type="dxa"/>
            <w:vAlign w:val="center"/>
          </w:tcPr>
          <w:p w14:paraId="6E0DFA2B" w14:textId="43422EA2" w:rsidR="00BD0F2E" w:rsidRPr="000B3C14" w:rsidRDefault="00BD0F2E" w:rsidP="00A111E9">
            <w:pPr>
              <w:rPr>
                <w:rFonts w:ascii="Arial" w:hAnsi="Arial"/>
                <w:sz w:val="18"/>
              </w:rPr>
            </w:pPr>
            <w:r w:rsidRPr="00D711DD">
              <w:rPr>
                <w:sz w:val="18"/>
              </w:rPr>
              <w:t>1</w:t>
            </w:r>
          </w:p>
        </w:tc>
        <w:tc>
          <w:tcPr>
            <w:tcW w:w="2097" w:type="dxa"/>
            <w:vAlign w:val="center"/>
          </w:tcPr>
          <w:p w14:paraId="29433E48" w14:textId="2BA81036" w:rsidR="00BD0F2E" w:rsidRPr="00F6284E" w:rsidRDefault="00266209" w:rsidP="008A4114">
            <w:pPr>
              <w:ind w:left="227"/>
              <w:jc w:val="right"/>
              <w:rPr>
                <w:rFonts w:ascii="Arial" w:hAnsi="Arial"/>
                <w:sz w:val="18"/>
              </w:rPr>
            </w:pPr>
            <w:r w:rsidRPr="00F6284E">
              <w:rPr>
                <w:sz w:val="18"/>
              </w:rPr>
              <w:t>6.3 ± 0.8</w:t>
            </w:r>
          </w:p>
        </w:tc>
        <w:tc>
          <w:tcPr>
            <w:tcW w:w="2097" w:type="dxa"/>
            <w:vAlign w:val="center"/>
          </w:tcPr>
          <w:p w14:paraId="13B910F9" w14:textId="46A3EC71" w:rsidR="00BD0F2E" w:rsidRPr="00F6284E" w:rsidRDefault="00266209" w:rsidP="008A4114">
            <w:pPr>
              <w:ind w:left="227"/>
              <w:jc w:val="right"/>
              <w:rPr>
                <w:rFonts w:ascii="Arial" w:hAnsi="Arial"/>
                <w:sz w:val="18"/>
              </w:rPr>
            </w:pPr>
            <w:r w:rsidRPr="00F6284E">
              <w:rPr>
                <w:sz w:val="18"/>
              </w:rPr>
              <w:t>6.1 ± 0.5</w:t>
            </w:r>
          </w:p>
        </w:tc>
        <w:tc>
          <w:tcPr>
            <w:tcW w:w="2098" w:type="dxa"/>
            <w:vAlign w:val="center"/>
          </w:tcPr>
          <w:p w14:paraId="3DCCD881" w14:textId="0D07BB6F" w:rsidR="00BD0F2E" w:rsidRPr="00F6284E" w:rsidRDefault="00266209" w:rsidP="008A4114">
            <w:pPr>
              <w:ind w:left="227"/>
              <w:jc w:val="right"/>
              <w:rPr>
                <w:rFonts w:ascii="Arial" w:hAnsi="Arial"/>
                <w:sz w:val="18"/>
              </w:rPr>
            </w:pPr>
            <w:r w:rsidRPr="00F6284E">
              <w:rPr>
                <w:sz w:val="18"/>
              </w:rPr>
              <w:t>6.2 ± 0.5</w:t>
            </w:r>
          </w:p>
        </w:tc>
      </w:tr>
      <w:tr w:rsidR="00BD0F2E" w14:paraId="0422B416" w14:textId="77777777" w:rsidTr="00F6284E">
        <w:trPr>
          <w:trHeight w:val="283"/>
          <w:jc w:val="center"/>
        </w:trPr>
        <w:tc>
          <w:tcPr>
            <w:tcW w:w="2321" w:type="dxa"/>
            <w:vAlign w:val="center"/>
          </w:tcPr>
          <w:p w14:paraId="2536A1DC" w14:textId="3AE5C7D6" w:rsidR="00BD0F2E" w:rsidRPr="000B3C14" w:rsidRDefault="00BD0F2E" w:rsidP="00A111E9">
            <w:pPr>
              <w:rPr>
                <w:rFonts w:ascii="Arial" w:hAnsi="Arial"/>
                <w:sz w:val="18"/>
              </w:rPr>
            </w:pPr>
            <w:r w:rsidRPr="00D711DD">
              <w:rPr>
                <w:sz w:val="18"/>
              </w:rPr>
              <w:t>4 (pre</w:t>
            </w:r>
            <w:r w:rsidR="00CC26CA">
              <w:rPr>
                <w:sz w:val="18"/>
              </w:rPr>
              <w:t>culling</w:t>
            </w:r>
            <w:r w:rsidRPr="00D711DD">
              <w:rPr>
                <w:sz w:val="18"/>
              </w:rPr>
              <w:t>)</w:t>
            </w:r>
          </w:p>
        </w:tc>
        <w:tc>
          <w:tcPr>
            <w:tcW w:w="2097" w:type="dxa"/>
            <w:vAlign w:val="center"/>
          </w:tcPr>
          <w:p w14:paraId="3BEC33A3" w14:textId="417EEF84" w:rsidR="00BD0F2E" w:rsidRPr="00F6284E" w:rsidRDefault="00266209" w:rsidP="008A4114">
            <w:pPr>
              <w:ind w:left="227"/>
              <w:jc w:val="right"/>
              <w:rPr>
                <w:rFonts w:ascii="Arial" w:hAnsi="Arial"/>
                <w:sz w:val="18"/>
              </w:rPr>
            </w:pPr>
            <w:r w:rsidRPr="00F6284E">
              <w:rPr>
                <w:sz w:val="18"/>
              </w:rPr>
              <w:t>8.7 ± 1.6</w:t>
            </w:r>
          </w:p>
        </w:tc>
        <w:tc>
          <w:tcPr>
            <w:tcW w:w="2097" w:type="dxa"/>
            <w:vAlign w:val="center"/>
          </w:tcPr>
          <w:p w14:paraId="6F85CF53" w14:textId="4737E1A4" w:rsidR="00BD0F2E" w:rsidRPr="00F6284E" w:rsidRDefault="00266209" w:rsidP="008A4114">
            <w:pPr>
              <w:ind w:left="227"/>
              <w:jc w:val="right"/>
              <w:rPr>
                <w:rFonts w:ascii="Arial" w:hAnsi="Arial"/>
                <w:sz w:val="18"/>
              </w:rPr>
            </w:pPr>
            <w:r w:rsidRPr="00F6284E">
              <w:rPr>
                <w:sz w:val="18"/>
              </w:rPr>
              <w:t>8.2 ± 1.0</w:t>
            </w:r>
          </w:p>
        </w:tc>
        <w:tc>
          <w:tcPr>
            <w:tcW w:w="2098" w:type="dxa"/>
            <w:vAlign w:val="center"/>
          </w:tcPr>
          <w:p w14:paraId="7B6F9E8E" w14:textId="15DDE0CE" w:rsidR="00BD0F2E" w:rsidRPr="00F6284E" w:rsidRDefault="00266209" w:rsidP="008A4114">
            <w:pPr>
              <w:ind w:left="227"/>
              <w:jc w:val="right"/>
              <w:rPr>
                <w:rFonts w:ascii="Arial" w:hAnsi="Arial"/>
                <w:sz w:val="18"/>
              </w:rPr>
            </w:pPr>
            <w:r w:rsidRPr="00F6284E">
              <w:rPr>
                <w:sz w:val="18"/>
              </w:rPr>
              <w:t>8.0 ± 1.3</w:t>
            </w:r>
          </w:p>
        </w:tc>
      </w:tr>
      <w:tr w:rsidR="00BD0F2E" w14:paraId="5A94DC64" w14:textId="77777777" w:rsidTr="00F6284E">
        <w:trPr>
          <w:trHeight w:val="283"/>
          <w:jc w:val="center"/>
        </w:trPr>
        <w:tc>
          <w:tcPr>
            <w:tcW w:w="2321" w:type="dxa"/>
            <w:vAlign w:val="center"/>
          </w:tcPr>
          <w:p w14:paraId="42636544" w14:textId="1C303E00" w:rsidR="00BD0F2E" w:rsidRPr="000B3C14" w:rsidRDefault="00BD0F2E" w:rsidP="00A111E9">
            <w:pPr>
              <w:rPr>
                <w:rFonts w:ascii="Arial" w:hAnsi="Arial"/>
                <w:sz w:val="18"/>
              </w:rPr>
            </w:pPr>
            <w:r w:rsidRPr="00D711DD">
              <w:rPr>
                <w:sz w:val="18"/>
              </w:rPr>
              <w:t>4 (post</w:t>
            </w:r>
            <w:r w:rsidR="000203C4">
              <w:rPr>
                <w:sz w:val="18"/>
              </w:rPr>
              <w:t>culling</w:t>
            </w:r>
            <w:r w:rsidRPr="00D711DD">
              <w:rPr>
                <w:sz w:val="18"/>
              </w:rPr>
              <w:t>)</w:t>
            </w:r>
          </w:p>
        </w:tc>
        <w:tc>
          <w:tcPr>
            <w:tcW w:w="2097" w:type="dxa"/>
            <w:vAlign w:val="center"/>
          </w:tcPr>
          <w:p w14:paraId="7A30C129" w14:textId="7F9D533F" w:rsidR="00BD0F2E" w:rsidRPr="00F6284E" w:rsidRDefault="00266209" w:rsidP="008A4114">
            <w:pPr>
              <w:ind w:left="227"/>
              <w:jc w:val="right"/>
              <w:rPr>
                <w:rFonts w:ascii="Arial" w:hAnsi="Arial"/>
                <w:sz w:val="18"/>
              </w:rPr>
            </w:pPr>
            <w:r w:rsidRPr="00F6284E">
              <w:rPr>
                <w:sz w:val="18"/>
              </w:rPr>
              <w:t>8.8 ± 1.6</w:t>
            </w:r>
          </w:p>
        </w:tc>
        <w:tc>
          <w:tcPr>
            <w:tcW w:w="2097" w:type="dxa"/>
            <w:vAlign w:val="center"/>
          </w:tcPr>
          <w:p w14:paraId="3B6F2B78" w14:textId="46CDD024" w:rsidR="00BD0F2E" w:rsidRPr="00F6284E" w:rsidRDefault="00266209" w:rsidP="008A4114">
            <w:pPr>
              <w:ind w:left="227"/>
              <w:jc w:val="right"/>
              <w:rPr>
                <w:rFonts w:ascii="Arial" w:hAnsi="Arial"/>
                <w:sz w:val="18"/>
              </w:rPr>
            </w:pPr>
            <w:r w:rsidRPr="00F6284E">
              <w:rPr>
                <w:sz w:val="18"/>
              </w:rPr>
              <w:t>8.3 ± 1.0</w:t>
            </w:r>
          </w:p>
        </w:tc>
        <w:tc>
          <w:tcPr>
            <w:tcW w:w="2098" w:type="dxa"/>
            <w:vAlign w:val="center"/>
          </w:tcPr>
          <w:p w14:paraId="32E371E3" w14:textId="39EBF45D" w:rsidR="00BD0F2E" w:rsidRPr="00F6284E" w:rsidRDefault="00266209" w:rsidP="008A4114">
            <w:pPr>
              <w:ind w:left="227"/>
              <w:jc w:val="right"/>
              <w:rPr>
                <w:rFonts w:ascii="Arial" w:hAnsi="Arial"/>
                <w:sz w:val="18"/>
              </w:rPr>
            </w:pPr>
            <w:r w:rsidRPr="00F6284E">
              <w:rPr>
                <w:sz w:val="18"/>
              </w:rPr>
              <w:t>8.0 ± 1.3</w:t>
            </w:r>
          </w:p>
        </w:tc>
      </w:tr>
      <w:tr w:rsidR="00BD0F2E" w14:paraId="0B8D11D6" w14:textId="77777777" w:rsidTr="00F6284E">
        <w:trPr>
          <w:trHeight w:val="283"/>
          <w:jc w:val="center"/>
        </w:trPr>
        <w:tc>
          <w:tcPr>
            <w:tcW w:w="2321" w:type="dxa"/>
            <w:vAlign w:val="center"/>
          </w:tcPr>
          <w:p w14:paraId="1BD7DABF" w14:textId="46B435E8" w:rsidR="00BD0F2E" w:rsidRPr="000B3C14" w:rsidRDefault="00BD0F2E" w:rsidP="00A111E9">
            <w:pPr>
              <w:rPr>
                <w:rFonts w:ascii="Arial" w:hAnsi="Arial"/>
                <w:sz w:val="18"/>
              </w:rPr>
            </w:pPr>
            <w:r w:rsidRPr="00D711DD">
              <w:rPr>
                <w:sz w:val="18"/>
              </w:rPr>
              <w:t>7</w:t>
            </w:r>
          </w:p>
        </w:tc>
        <w:tc>
          <w:tcPr>
            <w:tcW w:w="2097" w:type="dxa"/>
            <w:vAlign w:val="center"/>
          </w:tcPr>
          <w:p w14:paraId="42EF92E0" w14:textId="445A4C4C" w:rsidR="00BD0F2E" w:rsidRPr="00F6284E" w:rsidRDefault="00266209" w:rsidP="008A4114">
            <w:pPr>
              <w:ind w:left="227"/>
              <w:jc w:val="right"/>
              <w:rPr>
                <w:rFonts w:ascii="Arial" w:hAnsi="Arial"/>
                <w:sz w:val="18"/>
              </w:rPr>
            </w:pPr>
            <w:r w:rsidRPr="00F6284E">
              <w:rPr>
                <w:sz w:val="18"/>
              </w:rPr>
              <w:t>14.7 ± 2.4</w:t>
            </w:r>
          </w:p>
        </w:tc>
        <w:tc>
          <w:tcPr>
            <w:tcW w:w="2097" w:type="dxa"/>
            <w:vAlign w:val="center"/>
          </w:tcPr>
          <w:p w14:paraId="7BE26BC5" w14:textId="0AA9D21B" w:rsidR="00BD0F2E" w:rsidRPr="00F6284E" w:rsidRDefault="00266209" w:rsidP="008A4114">
            <w:pPr>
              <w:ind w:left="227"/>
              <w:jc w:val="right"/>
              <w:rPr>
                <w:rFonts w:ascii="Arial" w:hAnsi="Arial"/>
                <w:sz w:val="18"/>
              </w:rPr>
            </w:pPr>
            <w:r w:rsidRPr="00F6284E">
              <w:rPr>
                <w:sz w:val="18"/>
              </w:rPr>
              <w:t>13.9 ± 2.2</w:t>
            </w:r>
          </w:p>
        </w:tc>
        <w:tc>
          <w:tcPr>
            <w:tcW w:w="2098" w:type="dxa"/>
            <w:vAlign w:val="center"/>
          </w:tcPr>
          <w:p w14:paraId="384D60F3" w14:textId="75B695D3" w:rsidR="00BD0F2E" w:rsidRPr="00F6284E" w:rsidRDefault="00266209" w:rsidP="008A4114">
            <w:pPr>
              <w:ind w:left="227"/>
              <w:jc w:val="right"/>
              <w:rPr>
                <w:rFonts w:ascii="Arial" w:hAnsi="Arial"/>
                <w:sz w:val="18"/>
              </w:rPr>
            </w:pPr>
            <w:r w:rsidRPr="00F6284E">
              <w:rPr>
                <w:sz w:val="18"/>
              </w:rPr>
              <w:t>12.8 ± 2.6*</w:t>
            </w:r>
          </w:p>
        </w:tc>
      </w:tr>
      <w:tr w:rsidR="00BD0F2E" w14:paraId="5E78A79B" w14:textId="77777777" w:rsidTr="00F6284E">
        <w:trPr>
          <w:trHeight w:val="283"/>
          <w:jc w:val="center"/>
        </w:trPr>
        <w:tc>
          <w:tcPr>
            <w:tcW w:w="2321" w:type="dxa"/>
            <w:vAlign w:val="center"/>
          </w:tcPr>
          <w:p w14:paraId="3DF20420" w14:textId="0A84EF75" w:rsidR="00BD0F2E" w:rsidRPr="000B3C14" w:rsidRDefault="00BD0F2E" w:rsidP="00A111E9">
            <w:pPr>
              <w:rPr>
                <w:rFonts w:ascii="Arial" w:hAnsi="Arial"/>
                <w:sz w:val="18"/>
              </w:rPr>
            </w:pPr>
            <w:r w:rsidRPr="00D711DD">
              <w:rPr>
                <w:sz w:val="18"/>
              </w:rPr>
              <w:t>14</w:t>
            </w:r>
          </w:p>
        </w:tc>
        <w:tc>
          <w:tcPr>
            <w:tcW w:w="2097" w:type="dxa"/>
            <w:vAlign w:val="center"/>
          </w:tcPr>
          <w:p w14:paraId="0895211C" w14:textId="730DA9E9" w:rsidR="00BD0F2E" w:rsidRPr="00F6284E" w:rsidRDefault="00266209" w:rsidP="008A4114">
            <w:pPr>
              <w:ind w:left="227"/>
              <w:jc w:val="right"/>
              <w:rPr>
                <w:rFonts w:ascii="Arial" w:hAnsi="Arial"/>
                <w:sz w:val="18"/>
              </w:rPr>
            </w:pPr>
            <w:r w:rsidRPr="00F6284E">
              <w:rPr>
                <w:sz w:val="18"/>
              </w:rPr>
              <w:t>32.0 ± 3.5</w:t>
            </w:r>
          </w:p>
        </w:tc>
        <w:tc>
          <w:tcPr>
            <w:tcW w:w="2097" w:type="dxa"/>
            <w:vAlign w:val="center"/>
          </w:tcPr>
          <w:p w14:paraId="5C23EEB6" w14:textId="584747A7" w:rsidR="00BD0F2E" w:rsidRPr="00F6284E" w:rsidRDefault="00266209" w:rsidP="008A4114">
            <w:pPr>
              <w:ind w:left="227"/>
              <w:jc w:val="right"/>
              <w:rPr>
                <w:rFonts w:ascii="Arial" w:hAnsi="Arial"/>
                <w:sz w:val="18"/>
              </w:rPr>
            </w:pPr>
            <w:r w:rsidRPr="00F6284E">
              <w:rPr>
                <w:sz w:val="18"/>
              </w:rPr>
              <w:t>31.8 ± 3.1</w:t>
            </w:r>
          </w:p>
        </w:tc>
        <w:tc>
          <w:tcPr>
            <w:tcW w:w="2098" w:type="dxa"/>
            <w:vAlign w:val="center"/>
          </w:tcPr>
          <w:p w14:paraId="69899727" w14:textId="7A73B116" w:rsidR="00BD0F2E" w:rsidRPr="00F6284E" w:rsidRDefault="00266209" w:rsidP="008A4114">
            <w:pPr>
              <w:ind w:left="227"/>
              <w:jc w:val="right"/>
              <w:rPr>
                <w:rFonts w:ascii="Arial" w:hAnsi="Arial"/>
                <w:sz w:val="18"/>
              </w:rPr>
            </w:pPr>
            <w:r w:rsidRPr="00F6284E">
              <w:rPr>
                <w:sz w:val="18"/>
              </w:rPr>
              <w:t>28.9 ± 4.7**</w:t>
            </w:r>
          </w:p>
        </w:tc>
      </w:tr>
      <w:tr w:rsidR="00BD0F2E" w14:paraId="07BEFCB4" w14:textId="77777777" w:rsidTr="00F6284E">
        <w:trPr>
          <w:trHeight w:val="283"/>
          <w:jc w:val="center"/>
        </w:trPr>
        <w:tc>
          <w:tcPr>
            <w:tcW w:w="2321" w:type="dxa"/>
            <w:vAlign w:val="center"/>
          </w:tcPr>
          <w:p w14:paraId="5B60424F" w14:textId="5842D2B5" w:rsidR="00BD0F2E" w:rsidRPr="000B3C14" w:rsidRDefault="00BD0F2E" w:rsidP="00A111E9">
            <w:pPr>
              <w:rPr>
                <w:rFonts w:ascii="Arial" w:hAnsi="Arial"/>
                <w:sz w:val="18"/>
              </w:rPr>
            </w:pPr>
            <w:r w:rsidRPr="00D711DD">
              <w:rPr>
                <w:sz w:val="18"/>
              </w:rPr>
              <w:t>21</w:t>
            </w:r>
          </w:p>
        </w:tc>
        <w:tc>
          <w:tcPr>
            <w:tcW w:w="2097" w:type="dxa"/>
            <w:vAlign w:val="center"/>
          </w:tcPr>
          <w:p w14:paraId="16DCBAF3" w14:textId="40612BFE" w:rsidR="00BD0F2E" w:rsidRPr="00F6284E" w:rsidRDefault="00266209" w:rsidP="008A4114">
            <w:pPr>
              <w:ind w:left="227"/>
              <w:jc w:val="right"/>
              <w:rPr>
                <w:rFonts w:ascii="Arial" w:hAnsi="Arial"/>
                <w:sz w:val="18"/>
              </w:rPr>
            </w:pPr>
            <w:r w:rsidRPr="00F6284E">
              <w:rPr>
                <w:sz w:val="18"/>
              </w:rPr>
              <w:t>50.1 ± 5.1</w:t>
            </w:r>
          </w:p>
        </w:tc>
        <w:tc>
          <w:tcPr>
            <w:tcW w:w="2097" w:type="dxa"/>
            <w:vAlign w:val="center"/>
          </w:tcPr>
          <w:p w14:paraId="2CFCC57C" w14:textId="26F7BE44" w:rsidR="00BD0F2E" w:rsidRPr="00F6284E" w:rsidRDefault="00266209" w:rsidP="008A4114">
            <w:pPr>
              <w:ind w:left="227"/>
              <w:jc w:val="right"/>
              <w:rPr>
                <w:rFonts w:ascii="Arial" w:hAnsi="Arial"/>
                <w:sz w:val="18"/>
              </w:rPr>
            </w:pPr>
            <w:r w:rsidRPr="00F6284E">
              <w:rPr>
                <w:sz w:val="18"/>
              </w:rPr>
              <w:t>49.2 ± 5.0</w:t>
            </w:r>
          </w:p>
        </w:tc>
        <w:tc>
          <w:tcPr>
            <w:tcW w:w="2098" w:type="dxa"/>
            <w:vAlign w:val="center"/>
          </w:tcPr>
          <w:p w14:paraId="7830EB47" w14:textId="02D77714" w:rsidR="00BD0F2E" w:rsidRPr="00F6284E" w:rsidRDefault="00266209" w:rsidP="008A4114">
            <w:pPr>
              <w:ind w:left="227"/>
              <w:jc w:val="right"/>
              <w:rPr>
                <w:rFonts w:ascii="Arial" w:hAnsi="Arial"/>
                <w:sz w:val="18"/>
              </w:rPr>
            </w:pPr>
            <w:r w:rsidRPr="00F6284E">
              <w:rPr>
                <w:sz w:val="18"/>
              </w:rPr>
              <w:t>46.5 ± 6.3</w:t>
            </w:r>
          </w:p>
        </w:tc>
      </w:tr>
      <w:tr w:rsidR="00425E1C" w14:paraId="2DF06B88" w14:textId="77777777" w:rsidTr="00F6284E">
        <w:trPr>
          <w:jc w:val="center"/>
        </w:trPr>
        <w:tc>
          <w:tcPr>
            <w:tcW w:w="8613" w:type="dxa"/>
            <w:gridSpan w:val="4"/>
            <w:vAlign w:val="center"/>
          </w:tcPr>
          <w:p w14:paraId="2821A62A" w14:textId="4C1AB791" w:rsidR="00425E1C" w:rsidRPr="000B3C14" w:rsidRDefault="00425E1C" w:rsidP="008A4114">
            <w:pPr>
              <w:spacing w:before="40" w:after="40"/>
              <w:rPr>
                <w:rFonts w:ascii="Arial" w:hAnsi="Arial"/>
                <w:sz w:val="18"/>
              </w:rPr>
            </w:pPr>
            <w:r w:rsidRPr="00D711DD">
              <w:rPr>
                <w:b/>
                <w:sz w:val="18"/>
              </w:rPr>
              <w:t>Pup weight change/litter (g)</w:t>
            </w:r>
          </w:p>
        </w:tc>
      </w:tr>
      <w:tr w:rsidR="00BD0F2E" w14:paraId="10F8B3DF" w14:textId="77777777" w:rsidTr="00F6284E">
        <w:trPr>
          <w:trHeight w:val="283"/>
          <w:jc w:val="center"/>
        </w:trPr>
        <w:tc>
          <w:tcPr>
            <w:tcW w:w="2321" w:type="dxa"/>
            <w:vAlign w:val="center"/>
          </w:tcPr>
          <w:p w14:paraId="7D227998" w14:textId="238D54E5" w:rsidR="00BD0F2E" w:rsidRPr="00F6284E" w:rsidRDefault="00266209" w:rsidP="00A111E9">
            <w:pPr>
              <w:rPr>
                <w:rFonts w:ascii="Arial" w:hAnsi="Arial"/>
                <w:sz w:val="18"/>
              </w:rPr>
            </w:pPr>
            <w:r w:rsidRPr="00D711DD">
              <w:rPr>
                <w:sz w:val="18"/>
              </w:rPr>
              <w:t xml:space="preserve">1 – </w:t>
            </w:r>
            <w:r w:rsidR="00BD0F2E" w:rsidRPr="000B3C14">
              <w:rPr>
                <w:sz w:val="18"/>
              </w:rPr>
              <w:t>4</w:t>
            </w:r>
            <w:r w:rsidRPr="00F6284E">
              <w:rPr>
                <w:sz w:val="18"/>
              </w:rPr>
              <w:t xml:space="preserve"> </w:t>
            </w:r>
            <w:r w:rsidR="00BD0F2E" w:rsidRPr="00F6284E">
              <w:rPr>
                <w:sz w:val="18"/>
              </w:rPr>
              <w:t>(preculling)</w:t>
            </w:r>
          </w:p>
        </w:tc>
        <w:tc>
          <w:tcPr>
            <w:tcW w:w="2097" w:type="dxa"/>
            <w:vAlign w:val="center"/>
          </w:tcPr>
          <w:p w14:paraId="2E9FC617" w14:textId="287F1D66" w:rsidR="00BD0F2E" w:rsidRPr="00F6284E" w:rsidRDefault="00266209" w:rsidP="008A4114">
            <w:pPr>
              <w:ind w:left="227"/>
              <w:jc w:val="right"/>
              <w:rPr>
                <w:rFonts w:ascii="Arial" w:hAnsi="Arial"/>
                <w:sz w:val="18"/>
              </w:rPr>
            </w:pPr>
            <w:r w:rsidRPr="00F6284E">
              <w:rPr>
                <w:sz w:val="18"/>
              </w:rPr>
              <w:t>2.4 ± 1.0</w:t>
            </w:r>
          </w:p>
        </w:tc>
        <w:tc>
          <w:tcPr>
            <w:tcW w:w="2097" w:type="dxa"/>
            <w:vAlign w:val="center"/>
          </w:tcPr>
          <w:p w14:paraId="427F1C39" w14:textId="4BCEE191" w:rsidR="00BD0F2E" w:rsidRPr="00F6284E" w:rsidRDefault="00266209" w:rsidP="008A4114">
            <w:pPr>
              <w:ind w:left="227"/>
              <w:jc w:val="right"/>
              <w:rPr>
                <w:rFonts w:ascii="Arial" w:hAnsi="Arial"/>
                <w:sz w:val="18"/>
              </w:rPr>
            </w:pPr>
            <w:r w:rsidRPr="00F6284E">
              <w:rPr>
                <w:sz w:val="18"/>
              </w:rPr>
              <w:t>2.0 ± 0.9</w:t>
            </w:r>
          </w:p>
        </w:tc>
        <w:tc>
          <w:tcPr>
            <w:tcW w:w="2098" w:type="dxa"/>
            <w:vAlign w:val="center"/>
          </w:tcPr>
          <w:p w14:paraId="216A9592" w14:textId="04428501" w:rsidR="00BD0F2E" w:rsidRPr="00F6284E" w:rsidRDefault="00266209" w:rsidP="008A4114">
            <w:pPr>
              <w:ind w:left="227"/>
              <w:jc w:val="right"/>
              <w:rPr>
                <w:rFonts w:ascii="Arial" w:hAnsi="Arial"/>
                <w:sz w:val="18"/>
              </w:rPr>
            </w:pPr>
            <w:r w:rsidRPr="00F6284E">
              <w:rPr>
                <w:sz w:val="18"/>
              </w:rPr>
              <w:t>1.8 ± 1.0</w:t>
            </w:r>
          </w:p>
        </w:tc>
      </w:tr>
      <w:tr w:rsidR="00BD0F2E" w14:paraId="68BE9B09" w14:textId="77777777" w:rsidTr="00F6284E">
        <w:trPr>
          <w:trHeight w:val="283"/>
          <w:jc w:val="center"/>
        </w:trPr>
        <w:tc>
          <w:tcPr>
            <w:tcW w:w="2321" w:type="dxa"/>
            <w:vAlign w:val="center"/>
          </w:tcPr>
          <w:p w14:paraId="63D73057" w14:textId="00730E72" w:rsidR="00BD0F2E" w:rsidRPr="000B3C14" w:rsidRDefault="00266209" w:rsidP="00A111E9">
            <w:pPr>
              <w:rPr>
                <w:rFonts w:ascii="Arial" w:hAnsi="Arial"/>
                <w:sz w:val="18"/>
              </w:rPr>
            </w:pPr>
            <w:r w:rsidRPr="00D711DD">
              <w:rPr>
                <w:sz w:val="18"/>
              </w:rPr>
              <w:t xml:space="preserve">4 (postculling) – 7 </w:t>
            </w:r>
          </w:p>
        </w:tc>
        <w:tc>
          <w:tcPr>
            <w:tcW w:w="2097" w:type="dxa"/>
            <w:vAlign w:val="center"/>
          </w:tcPr>
          <w:p w14:paraId="51665E9C" w14:textId="3B5C5F0E" w:rsidR="00BD0F2E" w:rsidRPr="00F6284E" w:rsidRDefault="00266209" w:rsidP="008A4114">
            <w:pPr>
              <w:ind w:left="227"/>
              <w:jc w:val="right"/>
              <w:rPr>
                <w:rFonts w:ascii="Arial" w:hAnsi="Arial"/>
                <w:sz w:val="18"/>
              </w:rPr>
            </w:pPr>
            <w:r w:rsidRPr="00F6284E">
              <w:rPr>
                <w:sz w:val="18"/>
              </w:rPr>
              <w:t>5.9 ± 1.0</w:t>
            </w:r>
          </w:p>
        </w:tc>
        <w:tc>
          <w:tcPr>
            <w:tcW w:w="2097" w:type="dxa"/>
            <w:vAlign w:val="center"/>
          </w:tcPr>
          <w:p w14:paraId="5F485AD1" w14:textId="3EF20DCA" w:rsidR="00BD0F2E" w:rsidRPr="00F6284E" w:rsidRDefault="00266209" w:rsidP="008A4114">
            <w:pPr>
              <w:ind w:left="227"/>
              <w:jc w:val="right"/>
              <w:rPr>
                <w:rFonts w:ascii="Arial" w:hAnsi="Arial"/>
                <w:sz w:val="18"/>
              </w:rPr>
            </w:pPr>
            <w:r w:rsidRPr="00F6284E">
              <w:rPr>
                <w:sz w:val="18"/>
              </w:rPr>
              <w:t>5.7 ± 1.3</w:t>
            </w:r>
          </w:p>
        </w:tc>
        <w:tc>
          <w:tcPr>
            <w:tcW w:w="2098" w:type="dxa"/>
            <w:vAlign w:val="center"/>
          </w:tcPr>
          <w:p w14:paraId="75D0DD16" w14:textId="499B35BA" w:rsidR="00BD0F2E" w:rsidRPr="00F6284E" w:rsidRDefault="00266209" w:rsidP="008A4114">
            <w:pPr>
              <w:ind w:left="227"/>
              <w:jc w:val="right"/>
              <w:rPr>
                <w:rFonts w:ascii="Arial" w:hAnsi="Arial"/>
                <w:sz w:val="18"/>
              </w:rPr>
            </w:pPr>
            <w:r w:rsidRPr="00F6284E">
              <w:rPr>
                <w:sz w:val="18"/>
              </w:rPr>
              <w:t>4.8 ± 1.4**</w:t>
            </w:r>
          </w:p>
        </w:tc>
      </w:tr>
      <w:tr w:rsidR="00BD0F2E" w14:paraId="71BE10F8" w14:textId="77777777" w:rsidTr="00F6284E">
        <w:trPr>
          <w:trHeight w:val="283"/>
          <w:jc w:val="center"/>
        </w:trPr>
        <w:tc>
          <w:tcPr>
            <w:tcW w:w="2321" w:type="dxa"/>
            <w:vAlign w:val="center"/>
          </w:tcPr>
          <w:p w14:paraId="7B22065D" w14:textId="75C1EF0D" w:rsidR="00BD0F2E" w:rsidRPr="000B3C14" w:rsidRDefault="00266209" w:rsidP="00A111E9">
            <w:pPr>
              <w:rPr>
                <w:rFonts w:ascii="Arial" w:hAnsi="Arial"/>
                <w:sz w:val="18"/>
              </w:rPr>
            </w:pPr>
            <w:r w:rsidRPr="00D711DD">
              <w:rPr>
                <w:sz w:val="18"/>
              </w:rPr>
              <w:t xml:space="preserve">7 – 14 </w:t>
            </w:r>
          </w:p>
        </w:tc>
        <w:tc>
          <w:tcPr>
            <w:tcW w:w="2097" w:type="dxa"/>
            <w:vAlign w:val="center"/>
          </w:tcPr>
          <w:p w14:paraId="635B0915" w14:textId="5149D4BC" w:rsidR="00BD0F2E" w:rsidRPr="00F6284E" w:rsidRDefault="00266209" w:rsidP="008A4114">
            <w:pPr>
              <w:ind w:left="227"/>
              <w:jc w:val="right"/>
              <w:rPr>
                <w:rFonts w:ascii="Arial" w:hAnsi="Arial"/>
                <w:sz w:val="18"/>
              </w:rPr>
            </w:pPr>
            <w:r w:rsidRPr="00F6284E">
              <w:rPr>
                <w:sz w:val="18"/>
              </w:rPr>
              <w:t>17.4 ± 1.4</w:t>
            </w:r>
          </w:p>
        </w:tc>
        <w:tc>
          <w:tcPr>
            <w:tcW w:w="2097" w:type="dxa"/>
            <w:vAlign w:val="center"/>
          </w:tcPr>
          <w:p w14:paraId="367848AA" w14:textId="5EB7CCAC" w:rsidR="00BD0F2E" w:rsidRPr="00F6284E" w:rsidRDefault="00266209" w:rsidP="008A4114">
            <w:pPr>
              <w:ind w:left="227"/>
              <w:jc w:val="right"/>
              <w:rPr>
                <w:rFonts w:ascii="Arial" w:hAnsi="Arial"/>
                <w:sz w:val="18"/>
              </w:rPr>
            </w:pPr>
            <w:r w:rsidRPr="00F6284E">
              <w:rPr>
                <w:sz w:val="18"/>
              </w:rPr>
              <w:t>17.8 ± 1.5</w:t>
            </w:r>
          </w:p>
        </w:tc>
        <w:tc>
          <w:tcPr>
            <w:tcW w:w="2098" w:type="dxa"/>
            <w:vAlign w:val="center"/>
          </w:tcPr>
          <w:p w14:paraId="3F887A06" w14:textId="382C0275" w:rsidR="00BD0F2E" w:rsidRPr="00F6284E" w:rsidRDefault="00266209" w:rsidP="008A4114">
            <w:pPr>
              <w:ind w:left="227"/>
              <w:jc w:val="right"/>
              <w:rPr>
                <w:rFonts w:ascii="Arial" w:hAnsi="Arial"/>
                <w:sz w:val="18"/>
              </w:rPr>
            </w:pPr>
            <w:r w:rsidRPr="00F6284E">
              <w:rPr>
                <w:sz w:val="18"/>
              </w:rPr>
              <w:t>16.2 ± 2.5*</w:t>
            </w:r>
          </w:p>
        </w:tc>
      </w:tr>
      <w:tr w:rsidR="00BD0F2E" w14:paraId="0A32C1D6" w14:textId="77777777" w:rsidTr="00F6284E">
        <w:trPr>
          <w:trHeight w:val="283"/>
          <w:jc w:val="center"/>
        </w:trPr>
        <w:tc>
          <w:tcPr>
            <w:tcW w:w="2321" w:type="dxa"/>
            <w:vAlign w:val="center"/>
          </w:tcPr>
          <w:p w14:paraId="4E5CA705" w14:textId="7F2E6494" w:rsidR="00BD0F2E" w:rsidRPr="000B3C14" w:rsidRDefault="00266209" w:rsidP="00A111E9">
            <w:pPr>
              <w:rPr>
                <w:rFonts w:ascii="Arial" w:hAnsi="Arial"/>
                <w:sz w:val="18"/>
              </w:rPr>
            </w:pPr>
            <w:r w:rsidRPr="00D711DD">
              <w:rPr>
                <w:sz w:val="18"/>
              </w:rPr>
              <w:t>14 – 21</w:t>
            </w:r>
          </w:p>
        </w:tc>
        <w:tc>
          <w:tcPr>
            <w:tcW w:w="2097" w:type="dxa"/>
            <w:vAlign w:val="center"/>
          </w:tcPr>
          <w:p w14:paraId="53803871" w14:textId="7D2719D4" w:rsidR="00BD0F2E" w:rsidRPr="00F6284E" w:rsidRDefault="00266209" w:rsidP="008A4114">
            <w:pPr>
              <w:ind w:left="227"/>
              <w:jc w:val="right"/>
              <w:rPr>
                <w:rFonts w:ascii="Arial" w:hAnsi="Arial"/>
                <w:sz w:val="18"/>
              </w:rPr>
            </w:pPr>
            <w:r w:rsidRPr="00F6284E">
              <w:rPr>
                <w:sz w:val="18"/>
              </w:rPr>
              <w:t>18.1 ± 2.5</w:t>
            </w:r>
          </w:p>
        </w:tc>
        <w:tc>
          <w:tcPr>
            <w:tcW w:w="2097" w:type="dxa"/>
            <w:vAlign w:val="center"/>
          </w:tcPr>
          <w:p w14:paraId="790227C8" w14:textId="7D6C1928" w:rsidR="00BD0F2E" w:rsidRPr="00F6284E" w:rsidRDefault="00266209" w:rsidP="008A4114">
            <w:pPr>
              <w:ind w:left="227"/>
              <w:jc w:val="right"/>
              <w:rPr>
                <w:rFonts w:ascii="Arial" w:hAnsi="Arial"/>
                <w:sz w:val="18"/>
              </w:rPr>
            </w:pPr>
            <w:r w:rsidRPr="00F6284E">
              <w:rPr>
                <w:sz w:val="18"/>
              </w:rPr>
              <w:t>17.4 ± 2.4</w:t>
            </w:r>
          </w:p>
        </w:tc>
        <w:tc>
          <w:tcPr>
            <w:tcW w:w="2098" w:type="dxa"/>
            <w:vAlign w:val="center"/>
          </w:tcPr>
          <w:p w14:paraId="62BD109A" w14:textId="656249F3" w:rsidR="00BD0F2E" w:rsidRPr="00F6284E" w:rsidRDefault="00266209" w:rsidP="008A4114">
            <w:pPr>
              <w:ind w:left="227"/>
              <w:jc w:val="right"/>
              <w:rPr>
                <w:rFonts w:ascii="Arial" w:hAnsi="Arial"/>
                <w:sz w:val="18"/>
              </w:rPr>
            </w:pPr>
            <w:r w:rsidRPr="00F6284E">
              <w:rPr>
                <w:sz w:val="18"/>
              </w:rPr>
              <w:t>17.6 ± 2.2</w:t>
            </w:r>
          </w:p>
        </w:tc>
      </w:tr>
    </w:tbl>
    <w:p w14:paraId="6BFBD111" w14:textId="5DE04122" w:rsidR="00897772" w:rsidRPr="00A967A7" w:rsidRDefault="00897772" w:rsidP="00A111E9">
      <w:pPr>
        <w:spacing w:before="120"/>
        <w:ind w:left="284"/>
        <w:rPr>
          <w:sz w:val="16"/>
          <w:szCs w:val="16"/>
          <w:lang w:bidi="ar-SA"/>
        </w:rPr>
      </w:pPr>
      <w:r w:rsidRPr="00A967A7">
        <w:rPr>
          <w:sz w:val="16"/>
          <w:szCs w:val="16"/>
          <w:lang w:bidi="ar-SA"/>
        </w:rPr>
        <w:t>* significantly different from control: p &lt; 0.05</w:t>
      </w:r>
    </w:p>
    <w:p w14:paraId="36906C6B" w14:textId="7F2F99E7" w:rsidR="00897772" w:rsidRPr="00A967A7" w:rsidRDefault="00897772" w:rsidP="00A111E9">
      <w:pPr>
        <w:ind w:left="284"/>
        <w:rPr>
          <w:sz w:val="16"/>
          <w:szCs w:val="16"/>
          <w:lang w:bidi="ar-SA"/>
        </w:rPr>
      </w:pPr>
      <w:r w:rsidRPr="00A967A7">
        <w:rPr>
          <w:sz w:val="16"/>
          <w:szCs w:val="16"/>
          <w:lang w:bidi="ar-SA"/>
        </w:rPr>
        <w:t>** significantly different from control: p &lt; 0.01</w:t>
      </w:r>
    </w:p>
    <w:p w14:paraId="0073DBA3" w14:textId="77777777" w:rsidR="00402AA7" w:rsidRDefault="00402AA7" w:rsidP="00A111E9">
      <w:pPr>
        <w:rPr>
          <w:lang w:bidi="ar-SA"/>
        </w:rPr>
      </w:pPr>
    </w:p>
    <w:p w14:paraId="3049D2F2" w14:textId="22FFFC6D" w:rsidR="000345E5" w:rsidRDefault="006D65BE" w:rsidP="00A111E9">
      <w:r>
        <w:rPr>
          <w:lang w:bidi="ar-SA"/>
        </w:rPr>
        <w:t xml:space="preserve">The NOAEL for </w:t>
      </w:r>
      <w:r>
        <w:rPr>
          <w:rFonts w:cs="Arial"/>
          <w:lang w:bidi="ar-SA"/>
        </w:rPr>
        <w:t>p</w:t>
      </w:r>
      <w:r w:rsidR="00AE2B86">
        <w:rPr>
          <w:rFonts w:cs="Arial"/>
          <w:lang w:bidi="ar-SA"/>
        </w:rPr>
        <w:t>arental toxicity</w:t>
      </w:r>
      <w:r>
        <w:rPr>
          <w:rFonts w:cs="Arial"/>
          <w:lang w:bidi="ar-SA"/>
        </w:rPr>
        <w:t xml:space="preserve"> was</w:t>
      </w:r>
      <w:r w:rsidR="00BD0F2E">
        <w:t xml:space="preserve"> </w:t>
      </w:r>
      <w:r>
        <w:t>0.</w:t>
      </w:r>
      <w:r w:rsidR="00B12AA9">
        <w:t>1</w:t>
      </w:r>
      <w:r>
        <w:t xml:space="preserve"> mg/kg bw/day</w:t>
      </w:r>
      <w:r w:rsidR="00AE2B86">
        <w:t xml:space="preserve"> based on decreased body weight gain and food consumption</w:t>
      </w:r>
      <w:r w:rsidR="00BD0F2E">
        <w:t xml:space="preserve"> in the F0 generation</w:t>
      </w:r>
      <w:r w:rsidR="00586274">
        <w:t>.</w:t>
      </w:r>
      <w:r>
        <w:t xml:space="preserve"> The NOAEL for reproductive toxicity was 0.4 mg/kg bw/day </w:t>
      </w:r>
      <w:r w:rsidR="00DC1512">
        <w:t xml:space="preserve">based on </w:t>
      </w:r>
      <w:r w:rsidR="00283936">
        <w:t>increased numbers of dams with all pups dying on PNDs 1 – 4</w:t>
      </w:r>
      <w:r>
        <w:t xml:space="preserve">. </w:t>
      </w:r>
      <w:r w:rsidR="000345E5">
        <w:t xml:space="preserve">The NOAEL for </w:t>
      </w:r>
      <w:r w:rsidR="00283936">
        <w:t xml:space="preserve">offspring toxicity </w:t>
      </w:r>
      <w:r w:rsidR="000345E5">
        <w:t xml:space="preserve">was </w:t>
      </w:r>
      <w:r w:rsidR="005503D1">
        <w:t>0.1</w:t>
      </w:r>
      <w:r w:rsidR="000345E5">
        <w:t xml:space="preserve"> mg/kg bw/day </w:t>
      </w:r>
      <w:r w:rsidR="005503D1">
        <w:t>based on significant decreases in pup weight</w:t>
      </w:r>
      <w:r w:rsidR="00143DA6">
        <w:t xml:space="preserve"> and weight gain</w:t>
      </w:r>
      <w:r w:rsidR="003207A7">
        <w:t xml:space="preserve"> during lactation</w:t>
      </w:r>
      <w:r w:rsidR="000345E5">
        <w:t>.</w:t>
      </w:r>
    </w:p>
    <w:p w14:paraId="78C2CAE6" w14:textId="2DD0B044" w:rsidR="00071788" w:rsidRDefault="00071788" w:rsidP="00A111E9">
      <w:pPr>
        <w:rPr>
          <w:lang w:bidi="ar-SA"/>
        </w:rPr>
      </w:pPr>
    </w:p>
    <w:p w14:paraId="47CD6992" w14:textId="5142AF94" w:rsidR="00071788" w:rsidRDefault="00071788" w:rsidP="00A111E9">
      <w:pPr>
        <w:rPr>
          <w:lang w:bidi="ar-SA"/>
        </w:rPr>
      </w:pPr>
      <w:r>
        <w:rPr>
          <w:lang w:bidi="ar-SA"/>
        </w:rPr>
        <w:t xml:space="preserve">Serum levels of PFOS measured in this study are presented in </w:t>
      </w:r>
      <w:r w:rsidR="006E5C5A">
        <w:rPr>
          <w:lang w:bidi="ar-SA"/>
        </w:rPr>
        <w:fldChar w:fldCharType="begin"/>
      </w:r>
      <w:r w:rsidR="006E5C5A">
        <w:rPr>
          <w:lang w:bidi="ar-SA"/>
        </w:rPr>
        <w:instrText xml:space="preserve"> REF _Ref467846823 \h </w:instrText>
      </w:r>
      <w:r w:rsidR="006E5C5A">
        <w:rPr>
          <w:lang w:bidi="ar-SA"/>
        </w:rPr>
      </w:r>
      <w:r w:rsidR="006E5C5A">
        <w:rPr>
          <w:lang w:bidi="ar-SA"/>
        </w:rPr>
        <w:fldChar w:fldCharType="separate"/>
      </w:r>
      <w:r w:rsidR="00F4394A">
        <w:t xml:space="preserve">Table </w:t>
      </w:r>
      <w:r w:rsidR="00F4394A">
        <w:rPr>
          <w:noProof/>
        </w:rPr>
        <w:t>9</w:t>
      </w:r>
      <w:r w:rsidR="006E5C5A">
        <w:rPr>
          <w:lang w:bidi="ar-SA"/>
        </w:rPr>
        <w:fldChar w:fldCharType="end"/>
      </w:r>
      <w:r>
        <w:rPr>
          <w:lang w:bidi="ar-SA"/>
        </w:rPr>
        <w:t>.</w:t>
      </w:r>
    </w:p>
    <w:p w14:paraId="2E57D4A4" w14:textId="77777777" w:rsidR="00071788" w:rsidRDefault="00071788" w:rsidP="00A111E9">
      <w:pPr>
        <w:rPr>
          <w:lang w:bidi="ar-SA"/>
        </w:rPr>
      </w:pPr>
    </w:p>
    <w:p w14:paraId="51C4A79D" w14:textId="74FD0C0A" w:rsidR="00A967A7" w:rsidRPr="00A967A7" w:rsidRDefault="006E5C5A" w:rsidP="00A111E9">
      <w:pPr>
        <w:pStyle w:val="FSTableTitle"/>
      </w:pPr>
      <w:bookmarkStart w:id="140" w:name="_Ref467846823"/>
      <w:r>
        <w:t xml:space="preserve">Table </w:t>
      </w:r>
      <w:r w:rsidR="00BC19E6">
        <w:fldChar w:fldCharType="begin"/>
      </w:r>
      <w:r w:rsidR="00BC19E6">
        <w:instrText xml:space="preserve"> SEQ Table \* ARABIC </w:instrText>
      </w:r>
      <w:r w:rsidR="00BC19E6">
        <w:fldChar w:fldCharType="separate"/>
      </w:r>
      <w:r w:rsidR="00F4394A">
        <w:rPr>
          <w:noProof/>
        </w:rPr>
        <w:t>9</w:t>
      </w:r>
      <w:r w:rsidR="00BC19E6">
        <w:rPr>
          <w:noProof/>
        </w:rPr>
        <w:fldChar w:fldCharType="end"/>
      </w:r>
      <w:bookmarkEnd w:id="140"/>
      <w:r w:rsidR="00BE256E">
        <w:rPr>
          <w:b w:val="0"/>
        </w:rPr>
        <w:t>:</w:t>
      </w:r>
      <w:r>
        <w:t xml:space="preserve"> Maternal serum PFOS concentrations measured by Luebker </w:t>
      </w:r>
      <w:r w:rsidR="00180A32" w:rsidRPr="00180A32">
        <w:rPr>
          <w:i/>
        </w:rPr>
        <w:t xml:space="preserve">et al. </w:t>
      </w:r>
      <w:r w:rsidR="00F22DA6">
        <w:t xml:space="preserve"> </w:t>
      </w:r>
      <w:r>
        <w:t>(2005b)</w:t>
      </w:r>
    </w:p>
    <w:tbl>
      <w:tblPr>
        <w:tblStyle w:val="TableGrid1"/>
        <w:tblW w:w="0" w:type="auto"/>
        <w:jc w:val="center"/>
        <w:tblLook w:val="04A0" w:firstRow="1" w:lastRow="0" w:firstColumn="1" w:lastColumn="0" w:noHBand="0" w:noVBand="1"/>
        <w:tblCaption w:val="Table 9: Maternal serum PFOS concentrations measured by Luebker et al.  (2005b)"/>
        <w:tblDescription w:val="This table contains data relating to maternal serum Perfluorooctane sulfonate concentrations measured by Luebker et al."/>
      </w:tblPr>
      <w:tblGrid>
        <w:gridCol w:w="1162"/>
        <w:gridCol w:w="1495"/>
        <w:gridCol w:w="1495"/>
        <w:gridCol w:w="1495"/>
        <w:gridCol w:w="1495"/>
        <w:gridCol w:w="1496"/>
      </w:tblGrid>
      <w:tr w:rsidR="00071788" w:rsidRPr="005D01C3" w14:paraId="088864A9" w14:textId="77777777" w:rsidTr="00A111E9">
        <w:trPr>
          <w:trHeight w:val="100"/>
          <w:tblHeader/>
          <w:jc w:val="center"/>
        </w:trPr>
        <w:tc>
          <w:tcPr>
            <w:tcW w:w="8638" w:type="dxa"/>
            <w:gridSpan w:val="6"/>
            <w:shd w:val="clear" w:color="auto" w:fill="F2F2F2" w:themeFill="background1" w:themeFillShade="F2"/>
          </w:tcPr>
          <w:p w14:paraId="69B965EF" w14:textId="4D0E3C82" w:rsidR="00071788" w:rsidRPr="005D01C3" w:rsidRDefault="00071788" w:rsidP="007C3D18">
            <w:pPr>
              <w:pStyle w:val="FSTableHeading"/>
              <w:spacing w:before="60" w:after="60"/>
              <w:jc w:val="left"/>
              <w:rPr>
                <w:lang w:bidi="ar-SA"/>
              </w:rPr>
            </w:pPr>
            <w:r w:rsidRPr="005D01C3">
              <w:rPr>
                <w:lang w:bidi="ar-SA"/>
              </w:rPr>
              <w:t xml:space="preserve">Serum </w:t>
            </w:r>
            <w:r w:rsidR="007C3D18">
              <w:rPr>
                <w:lang w:bidi="ar-SA"/>
              </w:rPr>
              <w:t>l</w:t>
            </w:r>
            <w:r w:rsidR="007C3D18" w:rsidRPr="005D01C3">
              <w:rPr>
                <w:lang w:bidi="ar-SA"/>
              </w:rPr>
              <w:t xml:space="preserve">evels </w:t>
            </w:r>
            <w:r w:rsidRPr="005D01C3">
              <w:rPr>
                <w:lang w:bidi="ar-SA"/>
              </w:rPr>
              <w:t>of PFOS (</w:t>
            </w:r>
            <w:r w:rsidR="00CB500B">
              <w:t>µg/mL</w:t>
            </w:r>
            <w:r w:rsidRPr="005D01C3">
              <w:t xml:space="preserve">) in pregnant female Crl:CD®(SD)IGS VAF/Plus® </w:t>
            </w:r>
            <w:r w:rsidR="007C3D18">
              <w:t>r</w:t>
            </w:r>
            <w:r w:rsidR="007C3D18" w:rsidRPr="005D01C3">
              <w:t xml:space="preserve">ats </w:t>
            </w:r>
            <w:r w:rsidR="007C3D18">
              <w:t>d</w:t>
            </w:r>
            <w:r w:rsidR="007C3D18" w:rsidRPr="005D01C3">
              <w:t xml:space="preserve">osed </w:t>
            </w:r>
            <w:r w:rsidRPr="005D01C3">
              <w:t xml:space="preserve">by </w:t>
            </w:r>
            <w:r w:rsidR="007C3D18">
              <w:t>o</w:t>
            </w:r>
            <w:r w:rsidR="007C3D18" w:rsidRPr="005D01C3">
              <w:t xml:space="preserve">ral </w:t>
            </w:r>
            <w:r w:rsidR="007C3D18">
              <w:t>g</w:t>
            </w:r>
            <w:r w:rsidRPr="005D01C3">
              <w:t xml:space="preserve">avage from 42-days prior to mating up to day of </w:t>
            </w:r>
            <w:r w:rsidR="007C3D18">
              <w:t>s</w:t>
            </w:r>
            <w:r w:rsidR="007C3D18" w:rsidRPr="005D01C3">
              <w:t>ampling</w:t>
            </w:r>
          </w:p>
        </w:tc>
      </w:tr>
      <w:tr w:rsidR="00071788" w:rsidRPr="005D01C3" w14:paraId="19576E54" w14:textId="77777777" w:rsidTr="00A111E9">
        <w:trPr>
          <w:trHeight w:val="100"/>
          <w:tblHeader/>
          <w:jc w:val="center"/>
        </w:trPr>
        <w:tc>
          <w:tcPr>
            <w:tcW w:w="1162" w:type="dxa"/>
            <w:vMerge w:val="restart"/>
            <w:shd w:val="clear" w:color="auto" w:fill="F2F2F2" w:themeFill="background1" w:themeFillShade="F2"/>
            <w:vAlign w:val="bottom"/>
          </w:tcPr>
          <w:p w14:paraId="738A4AE8" w14:textId="77777777" w:rsidR="00071788" w:rsidRPr="000B3C14" w:rsidRDefault="00071788" w:rsidP="00A111E9">
            <w:pPr>
              <w:spacing w:after="40"/>
              <w:rPr>
                <w:rFonts w:ascii="Arial" w:hAnsi="Arial"/>
                <w:b/>
                <w:sz w:val="18"/>
              </w:rPr>
            </w:pPr>
            <w:r w:rsidRPr="00D711DD">
              <w:rPr>
                <w:b/>
                <w:sz w:val="18"/>
              </w:rPr>
              <w:t>Day</w:t>
            </w:r>
          </w:p>
        </w:tc>
        <w:tc>
          <w:tcPr>
            <w:tcW w:w="7476" w:type="dxa"/>
            <w:gridSpan w:val="5"/>
            <w:shd w:val="clear" w:color="auto" w:fill="F2F2F2" w:themeFill="background1" w:themeFillShade="F2"/>
          </w:tcPr>
          <w:p w14:paraId="1B68AA3C" w14:textId="168463CE" w:rsidR="00071788" w:rsidRPr="00F6284E" w:rsidRDefault="00A967A7" w:rsidP="008A4114">
            <w:pPr>
              <w:spacing w:before="40" w:after="40"/>
              <w:jc w:val="center"/>
              <w:rPr>
                <w:rFonts w:ascii="Arial" w:hAnsi="Arial"/>
                <w:b/>
                <w:sz w:val="18"/>
              </w:rPr>
            </w:pPr>
            <w:r w:rsidRPr="00F6284E">
              <w:rPr>
                <w:b/>
                <w:sz w:val="18"/>
              </w:rPr>
              <w:t xml:space="preserve">Oral </w:t>
            </w:r>
            <w:r w:rsidR="00071788" w:rsidRPr="00F6284E">
              <w:rPr>
                <w:b/>
                <w:sz w:val="18"/>
              </w:rPr>
              <w:t>K</w:t>
            </w:r>
            <w:r w:rsidR="00071788" w:rsidRPr="004503B1">
              <w:rPr>
                <w:b/>
                <w:sz w:val="18"/>
                <w:vertAlign w:val="superscript"/>
              </w:rPr>
              <w:t>+</w:t>
            </w:r>
            <w:r w:rsidR="00071788" w:rsidRPr="00F6284E">
              <w:rPr>
                <w:b/>
                <w:sz w:val="18"/>
              </w:rPr>
              <w:t>PFOS concentration (mg/kg</w:t>
            </w:r>
            <w:r w:rsidR="00B06C4E" w:rsidRPr="00F6284E">
              <w:rPr>
                <w:b/>
                <w:sz w:val="18"/>
              </w:rPr>
              <w:t xml:space="preserve"> bw</w:t>
            </w:r>
            <w:r w:rsidR="00071788" w:rsidRPr="00F6284E">
              <w:rPr>
                <w:b/>
                <w:sz w:val="18"/>
              </w:rPr>
              <w:t>/day)</w:t>
            </w:r>
          </w:p>
        </w:tc>
      </w:tr>
      <w:tr w:rsidR="00071788" w:rsidRPr="005D01C3" w14:paraId="69A4A739" w14:textId="77777777" w:rsidTr="00A111E9">
        <w:trPr>
          <w:trHeight w:val="100"/>
          <w:tblHeader/>
          <w:jc w:val="center"/>
        </w:trPr>
        <w:tc>
          <w:tcPr>
            <w:tcW w:w="1162" w:type="dxa"/>
            <w:vMerge/>
            <w:shd w:val="clear" w:color="auto" w:fill="F2F2F2" w:themeFill="background1" w:themeFillShade="F2"/>
          </w:tcPr>
          <w:p w14:paraId="4A305EA3" w14:textId="77777777" w:rsidR="00071788" w:rsidRPr="00F6284E" w:rsidRDefault="00071788" w:rsidP="00A111E9">
            <w:pPr>
              <w:rPr>
                <w:rFonts w:ascii="Arial" w:hAnsi="Arial"/>
                <w:b/>
                <w:sz w:val="18"/>
              </w:rPr>
            </w:pPr>
          </w:p>
        </w:tc>
        <w:tc>
          <w:tcPr>
            <w:tcW w:w="1495" w:type="dxa"/>
            <w:shd w:val="clear" w:color="auto" w:fill="F2F2F2" w:themeFill="background1" w:themeFillShade="F2"/>
          </w:tcPr>
          <w:p w14:paraId="3CAB700D" w14:textId="77777777" w:rsidR="00071788" w:rsidRPr="00F6284E" w:rsidRDefault="00071788" w:rsidP="008A4114">
            <w:pPr>
              <w:spacing w:before="40" w:after="40"/>
              <w:jc w:val="right"/>
              <w:rPr>
                <w:rFonts w:ascii="Arial" w:hAnsi="Arial"/>
                <w:b/>
                <w:sz w:val="18"/>
              </w:rPr>
            </w:pPr>
            <w:r w:rsidRPr="00F6284E">
              <w:rPr>
                <w:b/>
                <w:sz w:val="18"/>
              </w:rPr>
              <w:t>0</w:t>
            </w:r>
          </w:p>
        </w:tc>
        <w:tc>
          <w:tcPr>
            <w:tcW w:w="1495" w:type="dxa"/>
            <w:shd w:val="clear" w:color="auto" w:fill="F2F2F2" w:themeFill="background1" w:themeFillShade="F2"/>
          </w:tcPr>
          <w:p w14:paraId="17F67E96" w14:textId="77777777" w:rsidR="00071788" w:rsidRPr="00F6284E" w:rsidRDefault="00071788" w:rsidP="008A4114">
            <w:pPr>
              <w:spacing w:before="40" w:after="40"/>
              <w:jc w:val="right"/>
              <w:rPr>
                <w:rFonts w:ascii="Arial" w:hAnsi="Arial"/>
                <w:b/>
                <w:sz w:val="18"/>
              </w:rPr>
            </w:pPr>
            <w:r w:rsidRPr="00F6284E">
              <w:rPr>
                <w:b/>
                <w:sz w:val="18"/>
              </w:rPr>
              <w:t>0.1</w:t>
            </w:r>
          </w:p>
        </w:tc>
        <w:tc>
          <w:tcPr>
            <w:tcW w:w="1495" w:type="dxa"/>
            <w:shd w:val="clear" w:color="auto" w:fill="F2F2F2" w:themeFill="background1" w:themeFillShade="F2"/>
          </w:tcPr>
          <w:p w14:paraId="66630E7E" w14:textId="77777777" w:rsidR="00071788" w:rsidRPr="00F6284E" w:rsidRDefault="00071788" w:rsidP="008A4114">
            <w:pPr>
              <w:spacing w:before="40" w:after="40"/>
              <w:jc w:val="right"/>
              <w:rPr>
                <w:rFonts w:ascii="Arial" w:hAnsi="Arial"/>
                <w:b/>
                <w:sz w:val="18"/>
              </w:rPr>
            </w:pPr>
            <w:r w:rsidRPr="00F6284E">
              <w:rPr>
                <w:b/>
                <w:sz w:val="18"/>
              </w:rPr>
              <w:t>0.4</w:t>
            </w:r>
          </w:p>
        </w:tc>
        <w:tc>
          <w:tcPr>
            <w:tcW w:w="1495" w:type="dxa"/>
            <w:shd w:val="clear" w:color="auto" w:fill="F2F2F2" w:themeFill="background1" w:themeFillShade="F2"/>
          </w:tcPr>
          <w:p w14:paraId="012FD4FD" w14:textId="77777777" w:rsidR="00071788" w:rsidRPr="00F6284E" w:rsidRDefault="00071788" w:rsidP="008A4114">
            <w:pPr>
              <w:spacing w:before="40" w:after="40"/>
              <w:jc w:val="right"/>
              <w:rPr>
                <w:rFonts w:ascii="Arial" w:hAnsi="Arial"/>
                <w:b/>
                <w:sz w:val="18"/>
              </w:rPr>
            </w:pPr>
            <w:r w:rsidRPr="00F6284E">
              <w:rPr>
                <w:b/>
                <w:sz w:val="18"/>
              </w:rPr>
              <w:t>1.6</w:t>
            </w:r>
          </w:p>
        </w:tc>
        <w:tc>
          <w:tcPr>
            <w:tcW w:w="1496" w:type="dxa"/>
            <w:shd w:val="clear" w:color="auto" w:fill="F2F2F2" w:themeFill="background1" w:themeFillShade="F2"/>
          </w:tcPr>
          <w:p w14:paraId="230A9FE4" w14:textId="77777777" w:rsidR="00071788" w:rsidRPr="00F6284E" w:rsidRDefault="00071788" w:rsidP="008A4114">
            <w:pPr>
              <w:spacing w:before="40" w:after="40"/>
              <w:jc w:val="right"/>
              <w:rPr>
                <w:rFonts w:ascii="Arial" w:hAnsi="Arial"/>
                <w:b/>
                <w:sz w:val="18"/>
              </w:rPr>
            </w:pPr>
            <w:r w:rsidRPr="00F6284E">
              <w:rPr>
                <w:b/>
                <w:sz w:val="18"/>
              </w:rPr>
              <w:t>3.2</w:t>
            </w:r>
          </w:p>
        </w:tc>
      </w:tr>
      <w:tr w:rsidR="00071788" w:rsidRPr="005D01C3" w14:paraId="3BD3B2AA" w14:textId="77777777" w:rsidTr="00F6284E">
        <w:trPr>
          <w:jc w:val="center"/>
        </w:trPr>
        <w:tc>
          <w:tcPr>
            <w:tcW w:w="8638" w:type="dxa"/>
            <w:gridSpan w:val="6"/>
            <w:shd w:val="clear" w:color="auto" w:fill="F2F2F2" w:themeFill="background1" w:themeFillShade="F2"/>
            <w:vAlign w:val="center"/>
          </w:tcPr>
          <w:p w14:paraId="6CB0204A" w14:textId="77777777" w:rsidR="00071788" w:rsidRPr="000B3C14" w:rsidRDefault="00071788" w:rsidP="008A4114">
            <w:pPr>
              <w:spacing w:before="40" w:after="40"/>
              <w:rPr>
                <w:rFonts w:ascii="Arial" w:hAnsi="Arial"/>
                <w:b/>
                <w:sz w:val="18"/>
              </w:rPr>
            </w:pPr>
            <w:r w:rsidRPr="00D711DD">
              <w:rPr>
                <w:b/>
                <w:sz w:val="18"/>
              </w:rPr>
              <w:t>Dams</w:t>
            </w:r>
          </w:p>
        </w:tc>
      </w:tr>
      <w:tr w:rsidR="00071788" w:rsidRPr="005D01C3" w14:paraId="5C3121BF" w14:textId="77777777" w:rsidTr="00F6284E">
        <w:trPr>
          <w:trHeight w:val="283"/>
          <w:jc w:val="center"/>
        </w:trPr>
        <w:tc>
          <w:tcPr>
            <w:tcW w:w="1162" w:type="dxa"/>
            <w:vAlign w:val="center"/>
          </w:tcPr>
          <w:p w14:paraId="437A004B" w14:textId="4DBEF45B" w:rsidR="00071788" w:rsidRPr="000B3C14" w:rsidRDefault="00071788" w:rsidP="00A111E9">
            <w:pPr>
              <w:rPr>
                <w:rFonts w:ascii="Arial" w:hAnsi="Arial"/>
                <w:sz w:val="18"/>
              </w:rPr>
            </w:pPr>
            <w:r w:rsidRPr="00D711DD">
              <w:rPr>
                <w:sz w:val="18"/>
              </w:rPr>
              <w:t>GD</w:t>
            </w:r>
            <w:r w:rsidR="00AD2D18">
              <w:rPr>
                <w:sz w:val="18"/>
              </w:rPr>
              <w:t xml:space="preserve"> </w:t>
            </w:r>
            <w:r w:rsidRPr="00D711DD">
              <w:rPr>
                <w:sz w:val="18"/>
              </w:rPr>
              <w:t>1</w:t>
            </w:r>
          </w:p>
        </w:tc>
        <w:tc>
          <w:tcPr>
            <w:tcW w:w="1495" w:type="dxa"/>
            <w:vAlign w:val="center"/>
          </w:tcPr>
          <w:p w14:paraId="3A6A2399" w14:textId="5D36046D" w:rsidR="00071788" w:rsidRPr="00F6284E" w:rsidRDefault="00071788" w:rsidP="008A4114">
            <w:pPr>
              <w:jc w:val="right"/>
              <w:rPr>
                <w:rFonts w:ascii="Arial" w:hAnsi="Arial"/>
                <w:sz w:val="18"/>
              </w:rPr>
            </w:pPr>
            <w:r w:rsidRPr="00F6284E">
              <w:rPr>
                <w:sz w:val="18"/>
              </w:rPr>
              <w:t>ND</w:t>
            </w:r>
          </w:p>
        </w:tc>
        <w:tc>
          <w:tcPr>
            <w:tcW w:w="1495" w:type="dxa"/>
            <w:vAlign w:val="center"/>
          </w:tcPr>
          <w:p w14:paraId="14E48312" w14:textId="77777777" w:rsidR="00071788" w:rsidRPr="00F6284E" w:rsidRDefault="00071788" w:rsidP="008A4114">
            <w:pPr>
              <w:jc w:val="right"/>
              <w:rPr>
                <w:rFonts w:ascii="Arial" w:hAnsi="Arial"/>
                <w:sz w:val="18"/>
              </w:rPr>
            </w:pPr>
            <w:r w:rsidRPr="00F6284E">
              <w:rPr>
                <w:sz w:val="18"/>
              </w:rPr>
              <w:t>8.90 ± 1.10 (16)</w:t>
            </w:r>
          </w:p>
        </w:tc>
        <w:tc>
          <w:tcPr>
            <w:tcW w:w="1495" w:type="dxa"/>
            <w:vAlign w:val="center"/>
          </w:tcPr>
          <w:p w14:paraId="1D84FEE4" w14:textId="77777777" w:rsidR="00071788" w:rsidRPr="00F6284E" w:rsidRDefault="00071788" w:rsidP="008A4114">
            <w:pPr>
              <w:jc w:val="right"/>
              <w:rPr>
                <w:rFonts w:ascii="Arial" w:hAnsi="Arial"/>
                <w:sz w:val="18"/>
              </w:rPr>
            </w:pPr>
            <w:r w:rsidRPr="00F6284E">
              <w:rPr>
                <w:sz w:val="18"/>
              </w:rPr>
              <w:t>40.7 ± 4.46(16)</w:t>
            </w:r>
          </w:p>
        </w:tc>
        <w:tc>
          <w:tcPr>
            <w:tcW w:w="1495" w:type="dxa"/>
            <w:vAlign w:val="center"/>
          </w:tcPr>
          <w:p w14:paraId="123330E5" w14:textId="77777777" w:rsidR="00071788" w:rsidRPr="00F6284E" w:rsidRDefault="00071788" w:rsidP="008A4114">
            <w:pPr>
              <w:jc w:val="right"/>
              <w:rPr>
                <w:rFonts w:ascii="Arial" w:hAnsi="Arial"/>
                <w:sz w:val="18"/>
              </w:rPr>
            </w:pPr>
            <w:r w:rsidRPr="00F6284E">
              <w:rPr>
                <w:sz w:val="18"/>
              </w:rPr>
              <w:t>160 ± 12.5(16)</w:t>
            </w:r>
          </w:p>
        </w:tc>
        <w:tc>
          <w:tcPr>
            <w:tcW w:w="1496" w:type="dxa"/>
            <w:vAlign w:val="center"/>
          </w:tcPr>
          <w:p w14:paraId="50E78048" w14:textId="77777777" w:rsidR="00071788" w:rsidRPr="00F6284E" w:rsidRDefault="00071788" w:rsidP="008A4114">
            <w:pPr>
              <w:jc w:val="right"/>
              <w:rPr>
                <w:rFonts w:ascii="Arial" w:hAnsi="Arial"/>
                <w:sz w:val="18"/>
              </w:rPr>
            </w:pPr>
            <w:r w:rsidRPr="00F6284E">
              <w:rPr>
                <w:sz w:val="18"/>
              </w:rPr>
              <w:t>318 ± 21.1 (16)</w:t>
            </w:r>
          </w:p>
        </w:tc>
      </w:tr>
      <w:tr w:rsidR="00071788" w:rsidRPr="005D01C3" w14:paraId="1EBD8EA2" w14:textId="77777777" w:rsidTr="00F6284E">
        <w:trPr>
          <w:trHeight w:val="283"/>
          <w:jc w:val="center"/>
        </w:trPr>
        <w:tc>
          <w:tcPr>
            <w:tcW w:w="1162" w:type="dxa"/>
            <w:vAlign w:val="center"/>
          </w:tcPr>
          <w:p w14:paraId="63E88330" w14:textId="2C407EC7" w:rsidR="00071788" w:rsidRPr="000B3C14" w:rsidRDefault="00071788" w:rsidP="00A111E9">
            <w:pPr>
              <w:rPr>
                <w:rFonts w:ascii="Arial" w:hAnsi="Arial"/>
                <w:sz w:val="18"/>
              </w:rPr>
            </w:pPr>
            <w:r w:rsidRPr="00D711DD">
              <w:rPr>
                <w:sz w:val="18"/>
              </w:rPr>
              <w:t>GD</w:t>
            </w:r>
            <w:r w:rsidR="00AD2D18">
              <w:rPr>
                <w:sz w:val="18"/>
              </w:rPr>
              <w:t xml:space="preserve"> </w:t>
            </w:r>
            <w:r w:rsidRPr="00D711DD">
              <w:rPr>
                <w:sz w:val="18"/>
              </w:rPr>
              <w:t>7</w:t>
            </w:r>
          </w:p>
        </w:tc>
        <w:tc>
          <w:tcPr>
            <w:tcW w:w="1495" w:type="dxa"/>
            <w:vAlign w:val="center"/>
          </w:tcPr>
          <w:p w14:paraId="69FDAA5E" w14:textId="77777777" w:rsidR="00071788" w:rsidRPr="00F6284E" w:rsidRDefault="00071788" w:rsidP="008A4114">
            <w:pPr>
              <w:jc w:val="right"/>
              <w:rPr>
                <w:rFonts w:ascii="Arial" w:hAnsi="Arial"/>
                <w:sz w:val="18"/>
              </w:rPr>
            </w:pPr>
            <w:r w:rsidRPr="00F6284E">
              <w:rPr>
                <w:sz w:val="18"/>
              </w:rPr>
              <w:t>ND</w:t>
            </w:r>
          </w:p>
        </w:tc>
        <w:tc>
          <w:tcPr>
            <w:tcW w:w="1495" w:type="dxa"/>
            <w:vAlign w:val="center"/>
          </w:tcPr>
          <w:p w14:paraId="437DC17F" w14:textId="77777777" w:rsidR="00071788" w:rsidRPr="00F6284E" w:rsidRDefault="00071788" w:rsidP="008A4114">
            <w:pPr>
              <w:jc w:val="right"/>
              <w:rPr>
                <w:rFonts w:ascii="Arial" w:hAnsi="Arial"/>
                <w:sz w:val="18"/>
              </w:rPr>
            </w:pPr>
            <w:r w:rsidRPr="00F6284E">
              <w:rPr>
                <w:sz w:val="18"/>
              </w:rPr>
              <w:t>7.83 ± 1.11 (15)</w:t>
            </w:r>
          </w:p>
        </w:tc>
        <w:tc>
          <w:tcPr>
            <w:tcW w:w="1495" w:type="dxa"/>
            <w:vAlign w:val="center"/>
          </w:tcPr>
          <w:p w14:paraId="4A750DD0" w14:textId="77777777" w:rsidR="00071788" w:rsidRPr="00F6284E" w:rsidRDefault="00071788" w:rsidP="008A4114">
            <w:pPr>
              <w:jc w:val="right"/>
              <w:rPr>
                <w:rFonts w:ascii="Arial" w:hAnsi="Arial"/>
                <w:sz w:val="18"/>
              </w:rPr>
            </w:pPr>
            <w:r w:rsidRPr="00F6284E">
              <w:rPr>
                <w:sz w:val="18"/>
              </w:rPr>
              <w:t>40.9 ± 5.89 (14)</w:t>
            </w:r>
          </w:p>
        </w:tc>
        <w:tc>
          <w:tcPr>
            <w:tcW w:w="1495" w:type="dxa"/>
            <w:vAlign w:val="center"/>
          </w:tcPr>
          <w:p w14:paraId="079FB4E4" w14:textId="77777777" w:rsidR="00071788" w:rsidRPr="00F6284E" w:rsidRDefault="00071788" w:rsidP="008A4114">
            <w:pPr>
              <w:jc w:val="right"/>
              <w:rPr>
                <w:rFonts w:ascii="Arial" w:hAnsi="Arial"/>
                <w:sz w:val="18"/>
              </w:rPr>
            </w:pPr>
            <w:r w:rsidRPr="00F6284E">
              <w:rPr>
                <w:sz w:val="18"/>
              </w:rPr>
              <w:t>154 ± 14.0 (12)</w:t>
            </w:r>
          </w:p>
        </w:tc>
        <w:tc>
          <w:tcPr>
            <w:tcW w:w="1496" w:type="dxa"/>
            <w:vAlign w:val="center"/>
          </w:tcPr>
          <w:p w14:paraId="14EB3784" w14:textId="77777777" w:rsidR="00071788" w:rsidRPr="00F6284E" w:rsidRDefault="00071788" w:rsidP="008A4114">
            <w:pPr>
              <w:jc w:val="right"/>
              <w:rPr>
                <w:rFonts w:ascii="Arial" w:hAnsi="Arial"/>
                <w:sz w:val="18"/>
              </w:rPr>
            </w:pPr>
            <w:r w:rsidRPr="00F6284E">
              <w:rPr>
                <w:sz w:val="18"/>
              </w:rPr>
              <w:t>306 ± 32.1 (14)</w:t>
            </w:r>
          </w:p>
        </w:tc>
      </w:tr>
      <w:tr w:rsidR="00071788" w:rsidRPr="005D01C3" w14:paraId="641A54CB" w14:textId="77777777" w:rsidTr="00F6284E">
        <w:trPr>
          <w:trHeight w:val="283"/>
          <w:jc w:val="center"/>
        </w:trPr>
        <w:tc>
          <w:tcPr>
            <w:tcW w:w="1162" w:type="dxa"/>
            <w:vAlign w:val="center"/>
          </w:tcPr>
          <w:p w14:paraId="6915A1DC" w14:textId="3F3D5792" w:rsidR="00071788" w:rsidRPr="000B3C14" w:rsidRDefault="00071788" w:rsidP="00A111E9">
            <w:pPr>
              <w:rPr>
                <w:rFonts w:ascii="Arial" w:hAnsi="Arial"/>
                <w:sz w:val="18"/>
              </w:rPr>
            </w:pPr>
            <w:r w:rsidRPr="00D711DD">
              <w:rPr>
                <w:sz w:val="18"/>
              </w:rPr>
              <w:t>GD</w:t>
            </w:r>
            <w:r w:rsidR="00AD2D18">
              <w:rPr>
                <w:sz w:val="18"/>
              </w:rPr>
              <w:t xml:space="preserve"> </w:t>
            </w:r>
            <w:r w:rsidRPr="00D711DD">
              <w:rPr>
                <w:sz w:val="18"/>
              </w:rPr>
              <w:t>15</w:t>
            </w:r>
          </w:p>
        </w:tc>
        <w:tc>
          <w:tcPr>
            <w:tcW w:w="1495" w:type="dxa"/>
            <w:vAlign w:val="center"/>
          </w:tcPr>
          <w:p w14:paraId="7DEF59EC" w14:textId="77777777" w:rsidR="00071788" w:rsidRPr="00F6284E" w:rsidRDefault="00071788" w:rsidP="008A4114">
            <w:pPr>
              <w:jc w:val="right"/>
              <w:rPr>
                <w:rFonts w:ascii="Arial" w:hAnsi="Arial"/>
                <w:sz w:val="18"/>
              </w:rPr>
            </w:pPr>
            <w:r w:rsidRPr="00F6284E">
              <w:rPr>
                <w:sz w:val="18"/>
              </w:rPr>
              <w:t>ND</w:t>
            </w:r>
          </w:p>
        </w:tc>
        <w:tc>
          <w:tcPr>
            <w:tcW w:w="1495" w:type="dxa"/>
            <w:vAlign w:val="center"/>
          </w:tcPr>
          <w:p w14:paraId="6259AD3E" w14:textId="1A21529D" w:rsidR="00071788" w:rsidRPr="00F6284E" w:rsidRDefault="00071788" w:rsidP="008A4114">
            <w:pPr>
              <w:jc w:val="right"/>
              <w:rPr>
                <w:rFonts w:ascii="Arial" w:hAnsi="Arial"/>
                <w:sz w:val="18"/>
              </w:rPr>
            </w:pPr>
            <w:r w:rsidRPr="00F6284E">
              <w:rPr>
                <w:sz w:val="18"/>
              </w:rPr>
              <w:t>8.81 ± 1.47 (15)</w:t>
            </w:r>
          </w:p>
        </w:tc>
        <w:tc>
          <w:tcPr>
            <w:tcW w:w="1495" w:type="dxa"/>
            <w:vAlign w:val="center"/>
          </w:tcPr>
          <w:p w14:paraId="2557FCC4" w14:textId="77777777" w:rsidR="00071788" w:rsidRPr="00F6284E" w:rsidRDefault="00071788" w:rsidP="008A4114">
            <w:pPr>
              <w:jc w:val="right"/>
              <w:rPr>
                <w:rFonts w:ascii="Arial" w:hAnsi="Arial"/>
                <w:sz w:val="18"/>
              </w:rPr>
            </w:pPr>
            <w:r w:rsidRPr="00F6284E">
              <w:rPr>
                <w:sz w:val="18"/>
              </w:rPr>
              <w:t>41.4 ± 4.80 (14)</w:t>
            </w:r>
          </w:p>
        </w:tc>
        <w:tc>
          <w:tcPr>
            <w:tcW w:w="1495" w:type="dxa"/>
            <w:vAlign w:val="center"/>
          </w:tcPr>
          <w:p w14:paraId="3B88AB7E" w14:textId="37DAC2C6" w:rsidR="00071788" w:rsidRPr="00F6284E" w:rsidRDefault="00071788" w:rsidP="008A4114">
            <w:pPr>
              <w:jc w:val="right"/>
              <w:rPr>
                <w:rFonts w:ascii="Arial" w:hAnsi="Arial"/>
                <w:sz w:val="18"/>
              </w:rPr>
            </w:pPr>
            <w:r w:rsidRPr="00F6284E">
              <w:rPr>
                <w:sz w:val="18"/>
              </w:rPr>
              <w:t>156 ± 25.9 (12)</w:t>
            </w:r>
          </w:p>
        </w:tc>
        <w:tc>
          <w:tcPr>
            <w:tcW w:w="1496" w:type="dxa"/>
            <w:vAlign w:val="center"/>
          </w:tcPr>
          <w:p w14:paraId="0527D4C6" w14:textId="77777777" w:rsidR="00071788" w:rsidRPr="00F6284E" w:rsidRDefault="00071788" w:rsidP="008A4114">
            <w:pPr>
              <w:jc w:val="right"/>
              <w:rPr>
                <w:rFonts w:ascii="Arial" w:hAnsi="Arial"/>
                <w:sz w:val="18"/>
              </w:rPr>
            </w:pPr>
            <w:r w:rsidRPr="00F6284E">
              <w:rPr>
                <w:sz w:val="18"/>
              </w:rPr>
              <w:t>275 ± 26.7 (14)</w:t>
            </w:r>
          </w:p>
        </w:tc>
      </w:tr>
      <w:tr w:rsidR="00071788" w:rsidRPr="005D01C3" w14:paraId="63D6B4EE" w14:textId="77777777" w:rsidTr="00F6284E">
        <w:trPr>
          <w:trHeight w:val="283"/>
          <w:jc w:val="center"/>
        </w:trPr>
        <w:tc>
          <w:tcPr>
            <w:tcW w:w="1162" w:type="dxa"/>
            <w:vAlign w:val="center"/>
          </w:tcPr>
          <w:p w14:paraId="6133D7AC" w14:textId="7B46271A" w:rsidR="00071788" w:rsidRPr="000B3C14" w:rsidRDefault="00071788" w:rsidP="00A111E9">
            <w:pPr>
              <w:rPr>
                <w:rFonts w:ascii="Arial" w:hAnsi="Arial"/>
                <w:sz w:val="18"/>
              </w:rPr>
            </w:pPr>
            <w:r w:rsidRPr="00D711DD">
              <w:rPr>
                <w:sz w:val="18"/>
              </w:rPr>
              <w:t>GD</w:t>
            </w:r>
            <w:r w:rsidR="00AD2D18">
              <w:rPr>
                <w:sz w:val="18"/>
              </w:rPr>
              <w:t xml:space="preserve"> </w:t>
            </w:r>
            <w:r w:rsidRPr="00D711DD">
              <w:rPr>
                <w:sz w:val="18"/>
              </w:rPr>
              <w:t>21</w:t>
            </w:r>
          </w:p>
        </w:tc>
        <w:tc>
          <w:tcPr>
            <w:tcW w:w="1495" w:type="dxa"/>
            <w:vAlign w:val="center"/>
          </w:tcPr>
          <w:p w14:paraId="1CE5B8DA" w14:textId="77777777" w:rsidR="00071788" w:rsidRPr="00F6284E" w:rsidRDefault="00071788" w:rsidP="008A4114">
            <w:pPr>
              <w:jc w:val="right"/>
              <w:rPr>
                <w:rFonts w:ascii="Arial" w:hAnsi="Arial"/>
                <w:sz w:val="18"/>
              </w:rPr>
            </w:pPr>
            <w:r w:rsidRPr="00F6284E">
              <w:rPr>
                <w:sz w:val="18"/>
              </w:rPr>
              <w:t>ND</w:t>
            </w:r>
          </w:p>
        </w:tc>
        <w:tc>
          <w:tcPr>
            <w:tcW w:w="1495" w:type="dxa"/>
            <w:vAlign w:val="center"/>
          </w:tcPr>
          <w:p w14:paraId="33F15518" w14:textId="77777777" w:rsidR="00071788" w:rsidRPr="00F6284E" w:rsidRDefault="00071788" w:rsidP="008A4114">
            <w:pPr>
              <w:jc w:val="right"/>
              <w:rPr>
                <w:rFonts w:ascii="Arial" w:hAnsi="Arial"/>
                <w:sz w:val="18"/>
              </w:rPr>
            </w:pPr>
            <w:r w:rsidRPr="00F6284E">
              <w:rPr>
                <w:sz w:val="18"/>
              </w:rPr>
              <w:t>4.52 ± 1.15 (7)</w:t>
            </w:r>
          </w:p>
        </w:tc>
        <w:tc>
          <w:tcPr>
            <w:tcW w:w="1495" w:type="dxa"/>
            <w:vAlign w:val="center"/>
          </w:tcPr>
          <w:p w14:paraId="4C5A41A6" w14:textId="77777777" w:rsidR="00071788" w:rsidRPr="00F6284E" w:rsidRDefault="00071788" w:rsidP="008A4114">
            <w:pPr>
              <w:jc w:val="right"/>
              <w:rPr>
                <w:rFonts w:ascii="Arial" w:hAnsi="Arial"/>
                <w:sz w:val="18"/>
              </w:rPr>
            </w:pPr>
            <w:r w:rsidRPr="00F6284E">
              <w:rPr>
                <w:sz w:val="18"/>
              </w:rPr>
              <w:t>26.2 ± 16.1 (6)</w:t>
            </w:r>
          </w:p>
        </w:tc>
        <w:tc>
          <w:tcPr>
            <w:tcW w:w="1495" w:type="dxa"/>
            <w:vAlign w:val="center"/>
          </w:tcPr>
          <w:p w14:paraId="3D956588" w14:textId="77777777" w:rsidR="00071788" w:rsidRPr="00F6284E" w:rsidRDefault="00071788" w:rsidP="008A4114">
            <w:pPr>
              <w:jc w:val="right"/>
              <w:rPr>
                <w:rFonts w:ascii="Arial" w:hAnsi="Arial"/>
                <w:sz w:val="18"/>
              </w:rPr>
            </w:pPr>
            <w:r w:rsidRPr="00F6284E">
              <w:rPr>
                <w:sz w:val="18"/>
              </w:rPr>
              <w:t>136 ± 86.5 (4)</w:t>
            </w:r>
          </w:p>
        </w:tc>
        <w:tc>
          <w:tcPr>
            <w:tcW w:w="1496" w:type="dxa"/>
            <w:vAlign w:val="center"/>
          </w:tcPr>
          <w:p w14:paraId="2764DF49" w14:textId="77777777" w:rsidR="00071788" w:rsidRPr="00F6284E" w:rsidRDefault="00071788" w:rsidP="008A4114">
            <w:pPr>
              <w:jc w:val="right"/>
              <w:rPr>
                <w:rFonts w:ascii="Arial" w:hAnsi="Arial"/>
                <w:sz w:val="18"/>
              </w:rPr>
            </w:pPr>
            <w:r w:rsidRPr="00F6284E">
              <w:rPr>
                <w:sz w:val="18"/>
              </w:rPr>
              <w:t>155 ± 39.3 (6)</w:t>
            </w:r>
          </w:p>
        </w:tc>
      </w:tr>
    </w:tbl>
    <w:p w14:paraId="3EE7FE41" w14:textId="0453EF6D" w:rsidR="00071788" w:rsidRPr="00A967A7" w:rsidRDefault="00071788" w:rsidP="00A111E9">
      <w:pPr>
        <w:spacing w:before="120"/>
        <w:ind w:left="284"/>
        <w:rPr>
          <w:sz w:val="16"/>
          <w:szCs w:val="16"/>
        </w:rPr>
      </w:pPr>
      <w:r w:rsidRPr="00A967A7">
        <w:rPr>
          <w:sz w:val="16"/>
          <w:szCs w:val="16"/>
        </w:rPr>
        <w:t>Data presented as mean ±</w:t>
      </w:r>
      <w:r w:rsidR="00D2034C">
        <w:rPr>
          <w:sz w:val="16"/>
          <w:szCs w:val="16"/>
        </w:rPr>
        <w:t xml:space="preserve"> </w:t>
      </w:r>
      <w:r w:rsidRPr="00A967A7">
        <w:rPr>
          <w:sz w:val="16"/>
          <w:szCs w:val="16"/>
        </w:rPr>
        <w:t>standard deviation (sample size)</w:t>
      </w:r>
    </w:p>
    <w:p w14:paraId="6511DDC0" w14:textId="77777777" w:rsidR="00071788" w:rsidRPr="00A967A7" w:rsidRDefault="00071788" w:rsidP="00A111E9">
      <w:pPr>
        <w:ind w:left="284"/>
        <w:rPr>
          <w:sz w:val="16"/>
          <w:szCs w:val="16"/>
        </w:rPr>
      </w:pPr>
      <w:r w:rsidRPr="00A967A7">
        <w:rPr>
          <w:sz w:val="16"/>
          <w:szCs w:val="16"/>
        </w:rPr>
        <w:t>GD Gestational day</w:t>
      </w:r>
    </w:p>
    <w:p w14:paraId="17FFB884" w14:textId="094A9BC4" w:rsidR="00071788" w:rsidRPr="00A967A7" w:rsidRDefault="00071788" w:rsidP="00A111E9">
      <w:pPr>
        <w:ind w:left="284"/>
        <w:rPr>
          <w:sz w:val="16"/>
          <w:szCs w:val="16"/>
          <w:lang w:bidi="ar-SA"/>
        </w:rPr>
      </w:pPr>
      <w:r w:rsidRPr="00A967A7">
        <w:rPr>
          <w:sz w:val="16"/>
          <w:szCs w:val="16"/>
          <w:lang w:bidi="ar-SA"/>
        </w:rPr>
        <w:t xml:space="preserve">Limit of quantification = 0.004 </w:t>
      </w:r>
      <w:r w:rsidR="00CB500B" w:rsidRPr="00A967A7">
        <w:rPr>
          <w:rFonts w:cs="Arial"/>
          <w:sz w:val="16"/>
          <w:szCs w:val="16"/>
          <w:lang w:bidi="ar-SA"/>
        </w:rPr>
        <w:t>µg/mL</w:t>
      </w:r>
    </w:p>
    <w:p w14:paraId="48566FC0" w14:textId="34E708BC" w:rsidR="00071788" w:rsidRPr="00A967A7" w:rsidRDefault="00071788" w:rsidP="00A111E9">
      <w:pPr>
        <w:ind w:left="284"/>
        <w:rPr>
          <w:sz w:val="16"/>
          <w:szCs w:val="16"/>
          <w:lang w:bidi="ar-SA"/>
        </w:rPr>
      </w:pPr>
      <w:r w:rsidRPr="00A967A7">
        <w:rPr>
          <w:sz w:val="16"/>
          <w:szCs w:val="16"/>
          <w:lang w:bidi="ar-SA"/>
        </w:rPr>
        <w:t xml:space="preserve">Values compiled from Luebker </w:t>
      </w:r>
      <w:r w:rsidR="00180A32" w:rsidRPr="00180A32">
        <w:rPr>
          <w:i/>
          <w:sz w:val="16"/>
          <w:szCs w:val="16"/>
          <w:lang w:bidi="ar-SA"/>
        </w:rPr>
        <w:t xml:space="preserve">et al. </w:t>
      </w:r>
      <w:r w:rsidRPr="00A967A7">
        <w:rPr>
          <w:sz w:val="16"/>
          <w:szCs w:val="16"/>
          <w:lang w:bidi="ar-SA"/>
        </w:rPr>
        <w:t xml:space="preserve"> 2005b</w:t>
      </w:r>
    </w:p>
    <w:p w14:paraId="13DB61E8" w14:textId="77777777" w:rsidR="00071788" w:rsidRDefault="00071788" w:rsidP="00A111E9">
      <w:pPr>
        <w:rPr>
          <w:lang w:bidi="ar-SA"/>
        </w:rPr>
      </w:pPr>
    </w:p>
    <w:p w14:paraId="77582816" w14:textId="4E2FCAEC" w:rsidR="00270E23" w:rsidRDefault="00A410C4" w:rsidP="00A111E9">
      <w:pPr>
        <w:rPr>
          <w:lang w:bidi="ar-SA"/>
        </w:rPr>
      </w:pPr>
      <w:r>
        <w:rPr>
          <w:lang w:bidi="ar-SA"/>
        </w:rPr>
        <w:t>Given the significant mortality seen at the two highest doses, a</w:t>
      </w:r>
      <w:r w:rsidR="00843077">
        <w:rPr>
          <w:lang w:bidi="ar-SA"/>
        </w:rPr>
        <w:t xml:space="preserve"> cross-</w:t>
      </w:r>
      <w:r w:rsidR="00653720">
        <w:rPr>
          <w:lang w:bidi="ar-SA"/>
        </w:rPr>
        <w:t xml:space="preserve">fostering study was conducted to investigate </w:t>
      </w:r>
      <w:r w:rsidR="00AF4842">
        <w:rPr>
          <w:lang w:bidi="ar-SA"/>
        </w:rPr>
        <w:t xml:space="preserve">the potential roles of </w:t>
      </w:r>
      <w:r w:rsidR="00AF4842" w:rsidRPr="000200BB">
        <w:rPr>
          <w:lang w:bidi="ar-SA"/>
        </w:rPr>
        <w:t>in utero</w:t>
      </w:r>
      <w:r w:rsidR="00AF4842">
        <w:rPr>
          <w:lang w:bidi="ar-SA"/>
        </w:rPr>
        <w:t xml:space="preserve"> </w:t>
      </w:r>
      <w:r w:rsidR="004E386F">
        <w:rPr>
          <w:lang w:bidi="ar-SA"/>
        </w:rPr>
        <w:t>versus</w:t>
      </w:r>
      <w:r w:rsidR="00AF4842">
        <w:rPr>
          <w:lang w:bidi="ar-SA"/>
        </w:rPr>
        <w:t xml:space="preserve"> lactational exposure to PFOS, as well as altered maternal care. </w:t>
      </w:r>
      <w:r w:rsidR="0091088E">
        <w:rPr>
          <w:lang w:bidi="ar-SA"/>
        </w:rPr>
        <w:t xml:space="preserve">Female rats were administered 0.0 or 1.6 mg/kg bw/day PFOS, starting 42 days prior to mating with untreated males and continuing through gestation until </w:t>
      </w:r>
      <w:r w:rsidR="00BD74C8">
        <w:rPr>
          <w:lang w:bidi="ar-SA"/>
        </w:rPr>
        <w:t>PND</w:t>
      </w:r>
      <w:r w:rsidR="0091088E">
        <w:rPr>
          <w:lang w:bidi="ar-SA"/>
        </w:rPr>
        <w:t xml:space="preserve"> 21.</w:t>
      </w:r>
      <w:r w:rsidR="00843077">
        <w:rPr>
          <w:lang w:bidi="ar-SA"/>
        </w:rPr>
        <w:t xml:space="preserve">Twenty-five dams and litters per dose group were assigned to cross-fostering. </w:t>
      </w:r>
      <w:r w:rsidR="00247036">
        <w:rPr>
          <w:lang w:bidi="ar-SA"/>
        </w:rPr>
        <w:t>U</w:t>
      </w:r>
      <w:r w:rsidR="00843077">
        <w:rPr>
          <w:lang w:bidi="ar-SA"/>
        </w:rPr>
        <w:t>pon delivery</w:t>
      </w:r>
      <w:r w:rsidR="00247036">
        <w:rPr>
          <w:lang w:bidi="ar-SA"/>
        </w:rPr>
        <w:t>,</w:t>
      </w:r>
      <w:r w:rsidR="00843077">
        <w:rPr>
          <w:lang w:bidi="ar-SA"/>
        </w:rPr>
        <w:t xml:space="preserve"> F1 litters were not allowed to </w:t>
      </w:r>
      <w:r w:rsidR="00FA0A95">
        <w:rPr>
          <w:lang w:bidi="ar-SA"/>
        </w:rPr>
        <w:t xml:space="preserve">be </w:t>
      </w:r>
      <w:r w:rsidR="00843077">
        <w:rPr>
          <w:lang w:bidi="ar-SA"/>
        </w:rPr>
        <w:t>nurse</w:t>
      </w:r>
      <w:r w:rsidR="00FA0A95">
        <w:rPr>
          <w:lang w:bidi="ar-SA"/>
        </w:rPr>
        <w:t>d by</w:t>
      </w:r>
      <w:r w:rsidR="00843077">
        <w:rPr>
          <w:lang w:bidi="ar-SA"/>
        </w:rPr>
        <w:t xml:space="preserve"> their natural dams but were immediately cross-fostered to other dams. On </w:t>
      </w:r>
      <w:r w:rsidR="00BD74C8">
        <w:rPr>
          <w:lang w:bidi="ar-SA"/>
        </w:rPr>
        <w:t>PND</w:t>
      </w:r>
      <w:r w:rsidR="00843077">
        <w:rPr>
          <w:lang w:bidi="ar-SA"/>
        </w:rPr>
        <w:t xml:space="preserve"> 4, cross-fostered litters were culled to 5/sex/litter where </w:t>
      </w:r>
      <w:r w:rsidR="00BE205C">
        <w:rPr>
          <w:lang w:bidi="ar-SA"/>
        </w:rPr>
        <w:t>possible. The</w:t>
      </w:r>
      <w:r w:rsidR="00843077">
        <w:rPr>
          <w:lang w:bidi="ar-SA"/>
        </w:rPr>
        <w:t xml:space="preserve"> remaining pups were </w:t>
      </w:r>
      <w:r w:rsidR="0065647B">
        <w:rPr>
          <w:lang w:bidi="ar-SA"/>
        </w:rPr>
        <w:t>killed</w:t>
      </w:r>
      <w:r w:rsidR="00843077">
        <w:rPr>
          <w:lang w:bidi="ar-SA"/>
        </w:rPr>
        <w:t xml:space="preserve"> on </w:t>
      </w:r>
      <w:r w:rsidR="00BD74C8">
        <w:rPr>
          <w:lang w:bidi="ar-SA"/>
        </w:rPr>
        <w:t>PND</w:t>
      </w:r>
      <w:r w:rsidR="00843077">
        <w:rPr>
          <w:lang w:bidi="ar-SA"/>
        </w:rPr>
        <w:t xml:space="preserve"> 21 and the dams were </w:t>
      </w:r>
      <w:r w:rsidR="0065647B">
        <w:rPr>
          <w:lang w:bidi="ar-SA"/>
        </w:rPr>
        <w:t>killed</w:t>
      </w:r>
      <w:r w:rsidR="00843077">
        <w:rPr>
          <w:lang w:bidi="ar-SA"/>
        </w:rPr>
        <w:t xml:space="preserve"> on </w:t>
      </w:r>
      <w:r w:rsidR="00BD74C8">
        <w:rPr>
          <w:lang w:bidi="ar-SA"/>
        </w:rPr>
        <w:t>PND</w:t>
      </w:r>
      <w:r w:rsidR="00843077">
        <w:rPr>
          <w:lang w:bidi="ar-SA"/>
        </w:rPr>
        <w:t xml:space="preserve"> 22. Additional females not assigned to cross-fostering were used for biological </w:t>
      </w:r>
      <w:r w:rsidR="00843077">
        <w:rPr>
          <w:lang w:bidi="ar-SA"/>
        </w:rPr>
        <w:lastRenderedPageBreak/>
        <w:t xml:space="preserve">sample collection (milk, serum and liver) and were sacrificed on </w:t>
      </w:r>
      <w:r w:rsidR="00BD74C8">
        <w:rPr>
          <w:lang w:bidi="ar-SA"/>
        </w:rPr>
        <w:t>PND</w:t>
      </w:r>
      <w:r w:rsidR="00843077">
        <w:rPr>
          <w:lang w:bidi="ar-SA"/>
        </w:rPr>
        <w:t xml:space="preserve"> 14. </w:t>
      </w:r>
      <w:r w:rsidR="00270E23">
        <w:rPr>
          <w:lang w:bidi="ar-SA"/>
        </w:rPr>
        <w:t xml:space="preserve">Liver and lung samples were collected from the first 10 control pups and first 10 treated pups not used for cross-fostering. </w:t>
      </w:r>
      <w:r w:rsidR="00B374E7">
        <w:rPr>
          <w:lang w:bidi="ar-SA"/>
        </w:rPr>
        <w:t>Livers were examined for numbers of peroxisomes in</w:t>
      </w:r>
      <w:r w:rsidR="00CB5CE2">
        <w:rPr>
          <w:lang w:bidi="ar-SA"/>
        </w:rPr>
        <w:t xml:space="preserve"> </w:t>
      </w:r>
      <w:r w:rsidR="00B374E7">
        <w:rPr>
          <w:lang w:bidi="ar-SA"/>
        </w:rPr>
        <w:t xml:space="preserve">hepatocytes and lungs were assessed for potential effects on lamellar bodies within </w:t>
      </w:r>
      <w:r w:rsidR="0007229B">
        <w:rPr>
          <w:lang w:bidi="ar-SA"/>
        </w:rPr>
        <w:t>t</w:t>
      </w:r>
      <w:r w:rsidR="00B374E7">
        <w:rPr>
          <w:lang w:bidi="ar-SA"/>
        </w:rPr>
        <w:t>ype II cells and lung surfactant lining the alveoli.</w:t>
      </w:r>
    </w:p>
    <w:p w14:paraId="69070CE6" w14:textId="77777777" w:rsidR="00843077" w:rsidRDefault="00843077" w:rsidP="00A111E9">
      <w:pPr>
        <w:rPr>
          <w:lang w:bidi="ar-SA"/>
        </w:rPr>
      </w:pPr>
    </w:p>
    <w:p w14:paraId="2918EF15" w14:textId="1A888D5D" w:rsidR="00843077" w:rsidRDefault="00843077" w:rsidP="00A111E9">
      <w:pPr>
        <w:rPr>
          <w:lang w:bidi="ar-SA"/>
        </w:rPr>
      </w:pPr>
      <w:r>
        <w:rPr>
          <w:lang w:bidi="ar-SA"/>
        </w:rPr>
        <w:t>The following cross-fostered sub</w:t>
      </w:r>
      <w:r w:rsidR="00CC26CA">
        <w:rPr>
          <w:lang w:bidi="ar-SA"/>
        </w:rPr>
        <w:t>groups</w:t>
      </w:r>
      <w:r>
        <w:rPr>
          <w:lang w:bidi="ar-SA"/>
        </w:rPr>
        <w:t xml:space="preserve"> were created:</w:t>
      </w:r>
    </w:p>
    <w:p w14:paraId="0FE9F009" w14:textId="77777777" w:rsidR="00843077" w:rsidRDefault="00843077" w:rsidP="00A111E9">
      <w:pPr>
        <w:rPr>
          <w:lang w:bidi="ar-SA"/>
        </w:rPr>
      </w:pPr>
    </w:p>
    <w:p w14:paraId="019028E0" w14:textId="03A3E329" w:rsidR="006F587A" w:rsidRDefault="00986779" w:rsidP="00A111E9">
      <w:pPr>
        <w:pStyle w:val="FSBullet1"/>
      </w:pPr>
      <w:r>
        <w:t>c</w:t>
      </w:r>
      <w:r w:rsidR="006F587A">
        <w:t>ontrol litters fostered by control dams (CL/CD; negative control)</w:t>
      </w:r>
    </w:p>
    <w:p w14:paraId="47ABE490" w14:textId="7165026B" w:rsidR="006F587A" w:rsidRDefault="00986779" w:rsidP="00A111E9">
      <w:pPr>
        <w:pStyle w:val="FSBullet1"/>
      </w:pPr>
      <w:r>
        <w:t>c</w:t>
      </w:r>
      <w:r w:rsidR="006F587A">
        <w:t xml:space="preserve">ontrol litters fostered by treated dams (CL/TD; </w:t>
      </w:r>
      <w:r w:rsidR="00BE205C">
        <w:t>post</w:t>
      </w:r>
      <w:r w:rsidR="00032CF6">
        <w:t>natal</w:t>
      </w:r>
      <w:r w:rsidR="006F587A">
        <w:t xml:space="preserve"> exposure only)</w:t>
      </w:r>
    </w:p>
    <w:p w14:paraId="0A75DC96" w14:textId="4B1AB390" w:rsidR="006F587A" w:rsidRDefault="00986779" w:rsidP="00A111E9">
      <w:pPr>
        <w:pStyle w:val="FSBullet1"/>
      </w:pPr>
      <w:r>
        <w:t>t</w:t>
      </w:r>
      <w:r w:rsidR="006F587A">
        <w:t xml:space="preserve">reated litters fostered by control dams (TL/CD; </w:t>
      </w:r>
      <w:r w:rsidR="0008144B">
        <w:t>in utero</w:t>
      </w:r>
      <w:r w:rsidR="006F587A">
        <w:t xml:space="preserve"> exposure only)</w:t>
      </w:r>
    </w:p>
    <w:p w14:paraId="171DF119" w14:textId="4F1A1E6D" w:rsidR="006F587A" w:rsidRDefault="00986779" w:rsidP="00A111E9">
      <w:pPr>
        <w:pStyle w:val="FSBullet1"/>
      </w:pPr>
      <w:r>
        <w:t>t</w:t>
      </w:r>
      <w:r w:rsidR="006F587A">
        <w:t xml:space="preserve">reated litters fostered by treated dams (TL/TD; in utero and </w:t>
      </w:r>
      <w:r w:rsidR="00BE205C">
        <w:t>post</w:t>
      </w:r>
      <w:r w:rsidR="00032CF6">
        <w:t>natal</w:t>
      </w:r>
      <w:r w:rsidR="006F587A">
        <w:t xml:space="preserve"> exposure)</w:t>
      </w:r>
    </w:p>
    <w:p w14:paraId="2735D103" w14:textId="77777777" w:rsidR="006F587A" w:rsidRDefault="006F587A" w:rsidP="00A111E9">
      <w:pPr>
        <w:rPr>
          <w:lang w:bidi="ar-SA"/>
        </w:rPr>
      </w:pPr>
    </w:p>
    <w:p w14:paraId="10D9A269" w14:textId="0D7C10D5" w:rsidR="00AD741A" w:rsidRDefault="00AD741A" w:rsidP="00A111E9">
      <w:pPr>
        <w:rPr>
          <w:lang w:bidi="ar-SA"/>
        </w:rPr>
      </w:pPr>
      <w:r>
        <w:rPr>
          <w:lang w:bidi="ar-SA"/>
        </w:rPr>
        <w:t xml:space="preserve">No mortality or adverse clinical signs were seen in dams treated with 1.6 mg/kg bw/day. Maternal body weights were significantly reduced in treated dams during the end of the </w:t>
      </w:r>
      <w:r w:rsidR="00BE205C">
        <w:rPr>
          <w:lang w:bidi="ar-SA"/>
        </w:rPr>
        <w:t>pre</w:t>
      </w:r>
      <w:r w:rsidR="00CC26CA">
        <w:rPr>
          <w:lang w:bidi="ar-SA"/>
        </w:rPr>
        <w:t>cohabitation</w:t>
      </w:r>
      <w:r>
        <w:rPr>
          <w:lang w:bidi="ar-SA"/>
        </w:rPr>
        <w:t xml:space="preserve"> period and during gestation. Reduced body weights were also</w:t>
      </w:r>
      <w:r w:rsidR="0065647B">
        <w:rPr>
          <w:lang w:bidi="ar-SA"/>
        </w:rPr>
        <w:t xml:space="preserve"> observed</w:t>
      </w:r>
      <w:r>
        <w:rPr>
          <w:lang w:bidi="ar-SA"/>
        </w:rPr>
        <w:t xml:space="preserve"> </w:t>
      </w:r>
      <w:r w:rsidR="00366322">
        <w:rPr>
          <w:lang w:bidi="ar-SA"/>
        </w:rPr>
        <w:t>for</w:t>
      </w:r>
      <w:r>
        <w:rPr>
          <w:lang w:bidi="ar-SA"/>
        </w:rPr>
        <w:t xml:space="preserve"> treated dam</w:t>
      </w:r>
      <w:r w:rsidR="00366322">
        <w:rPr>
          <w:lang w:bidi="ar-SA"/>
        </w:rPr>
        <w:t>s</w:t>
      </w:r>
      <w:r>
        <w:rPr>
          <w:lang w:bidi="ar-SA"/>
        </w:rPr>
        <w:t xml:space="preserve"> during lactation but not at the end of the lactation period (</w:t>
      </w:r>
      <w:r w:rsidR="00BD74C8">
        <w:rPr>
          <w:lang w:bidi="ar-SA"/>
        </w:rPr>
        <w:t>PND</w:t>
      </w:r>
      <w:r>
        <w:rPr>
          <w:lang w:bidi="ar-SA"/>
        </w:rPr>
        <w:t xml:space="preserve"> 22). Significant reductions in gestation length, implantation sites per litter, total litter size and live litter size were observed for treated dams. Statistically significant reductions in these parameters were not observed at the 1.6 mg/kg bw/day dose group in the two-generation study, although they were seen at 3.2 mg/kg bw/day.</w:t>
      </w:r>
    </w:p>
    <w:p w14:paraId="7444E090" w14:textId="77777777" w:rsidR="00AD741A" w:rsidRDefault="00AD741A" w:rsidP="00A111E9">
      <w:pPr>
        <w:rPr>
          <w:lang w:bidi="ar-SA"/>
        </w:rPr>
      </w:pPr>
    </w:p>
    <w:p w14:paraId="3702452D" w14:textId="1B3A6B75" w:rsidR="006F587A" w:rsidRDefault="00C228E2" w:rsidP="00A111E9">
      <w:pPr>
        <w:rPr>
          <w:lang w:bidi="ar-SA"/>
        </w:rPr>
      </w:pPr>
      <w:r>
        <w:rPr>
          <w:lang w:bidi="ar-SA"/>
        </w:rPr>
        <w:t xml:space="preserve">Pup mortality was highest in the treated litters fostered by treated dams (group TL/TD) and 19.2% of pups died during the first four days of lactation. An apparent increase in pup mortality was also seen in </w:t>
      </w:r>
      <w:r w:rsidR="00B754EF">
        <w:rPr>
          <w:lang w:bidi="ar-SA"/>
        </w:rPr>
        <w:t xml:space="preserve">treated </w:t>
      </w:r>
      <w:r>
        <w:rPr>
          <w:lang w:bidi="ar-SA"/>
        </w:rPr>
        <w:t xml:space="preserve">pups </w:t>
      </w:r>
      <w:r w:rsidR="00B754EF">
        <w:rPr>
          <w:lang w:bidi="ar-SA"/>
        </w:rPr>
        <w:t>fostered by control dams (</w:t>
      </w:r>
      <w:r>
        <w:rPr>
          <w:lang w:bidi="ar-SA"/>
        </w:rPr>
        <w:t>TL/CD</w:t>
      </w:r>
      <w:r w:rsidR="00B754EF">
        <w:rPr>
          <w:lang w:bidi="ar-SA"/>
        </w:rPr>
        <w:t xml:space="preserve">; </w:t>
      </w:r>
      <w:r>
        <w:rPr>
          <w:lang w:bidi="ar-SA"/>
        </w:rPr>
        <w:t xml:space="preserve">9.0%) compared with the CL/CD </w:t>
      </w:r>
      <w:r w:rsidR="00B754EF">
        <w:rPr>
          <w:lang w:bidi="ar-SA"/>
        </w:rPr>
        <w:t xml:space="preserve">group </w:t>
      </w:r>
      <w:r>
        <w:rPr>
          <w:lang w:bidi="ar-SA"/>
        </w:rPr>
        <w:t xml:space="preserve">(1.6%), although this did not reach statistical significance. </w:t>
      </w:r>
      <w:r w:rsidR="00B754EF">
        <w:rPr>
          <w:lang w:bidi="ar-SA"/>
        </w:rPr>
        <w:t>No increase in pup mortality was seen in untreated pups fostered by treated dams (CL/TD; 1.1%).</w:t>
      </w:r>
    </w:p>
    <w:p w14:paraId="5AAA016C" w14:textId="77777777" w:rsidR="00C228E2" w:rsidRDefault="00C228E2" w:rsidP="00A111E9">
      <w:pPr>
        <w:rPr>
          <w:lang w:bidi="ar-SA"/>
        </w:rPr>
      </w:pPr>
    </w:p>
    <w:p w14:paraId="3E5D45F6" w14:textId="6B9E67F5" w:rsidR="00C228E2" w:rsidRDefault="00C228E2" w:rsidP="00A111E9">
      <w:pPr>
        <w:rPr>
          <w:lang w:bidi="ar-SA"/>
        </w:rPr>
      </w:pPr>
      <w:r>
        <w:rPr>
          <w:lang w:bidi="ar-SA"/>
        </w:rPr>
        <w:t>Significant reductions in mean pup body weight relative to the co</w:t>
      </w:r>
      <w:r w:rsidR="0008144B">
        <w:rPr>
          <w:lang w:bidi="ar-SA"/>
        </w:rPr>
        <w:t>ntrol group (CL/CD) were seen from</w:t>
      </w:r>
      <w:r>
        <w:rPr>
          <w:lang w:bidi="ar-SA"/>
        </w:rPr>
        <w:t xml:space="preserve"> </w:t>
      </w:r>
      <w:r w:rsidR="00BD74C8">
        <w:rPr>
          <w:lang w:bidi="ar-SA"/>
        </w:rPr>
        <w:t>PND</w:t>
      </w:r>
      <w:r>
        <w:rPr>
          <w:lang w:bidi="ar-SA"/>
        </w:rPr>
        <w:t xml:space="preserve"> 1 in all pups born to treated dams regardless of lactational exposure to PFOS</w:t>
      </w:r>
      <w:r w:rsidR="0008144B">
        <w:rPr>
          <w:lang w:bidi="ar-SA"/>
        </w:rPr>
        <w:t xml:space="preserve"> and these reductions persisted throughout the study. Reduced body weight compared with controls was also seen in the lactation-only exposure group (CL/TD) from </w:t>
      </w:r>
      <w:r w:rsidR="00BD74C8">
        <w:rPr>
          <w:lang w:bidi="ar-SA"/>
        </w:rPr>
        <w:t>PND</w:t>
      </w:r>
      <w:r w:rsidR="0008144B">
        <w:rPr>
          <w:lang w:bidi="ar-SA"/>
        </w:rPr>
        <w:t xml:space="preserve"> 7 onwards. Mean litter weight gains were significantly reduced compared to controls in the CL/TD, TL/CD and TL/TD groups at all time periods during </w:t>
      </w:r>
      <w:r w:rsidR="00BE205C">
        <w:rPr>
          <w:lang w:bidi="ar-SA"/>
        </w:rPr>
        <w:t>lactation</w:t>
      </w:r>
      <w:r w:rsidR="0008144B">
        <w:rPr>
          <w:lang w:bidi="ar-SA"/>
        </w:rPr>
        <w:t xml:space="preserve">, with the exception of </w:t>
      </w:r>
      <w:r w:rsidR="00BD74C8">
        <w:rPr>
          <w:lang w:bidi="ar-SA"/>
        </w:rPr>
        <w:t>PND</w:t>
      </w:r>
      <w:r w:rsidR="0008144B">
        <w:rPr>
          <w:lang w:bidi="ar-SA"/>
        </w:rPr>
        <w:t>s 7 – 14. The greatest reduction in body weight and body weight gain was seen in the group exposed during both gestation and lactation (TL/TD).</w:t>
      </w:r>
    </w:p>
    <w:p w14:paraId="0A4C5C97" w14:textId="65DCEAE1" w:rsidR="00986623" w:rsidRDefault="00986623" w:rsidP="00A111E9">
      <w:pPr>
        <w:rPr>
          <w:lang w:bidi="ar-SA"/>
        </w:rPr>
      </w:pPr>
    </w:p>
    <w:p w14:paraId="7620DD76" w14:textId="37072521" w:rsidR="00986623" w:rsidRDefault="00986623" w:rsidP="00A111E9">
      <w:pPr>
        <w:rPr>
          <w:lang w:bidi="ar-SA"/>
        </w:rPr>
      </w:pPr>
      <w:r>
        <w:rPr>
          <w:lang w:bidi="ar-SA"/>
        </w:rPr>
        <w:t xml:space="preserve">Electron microscopy of liver samples </w:t>
      </w:r>
      <w:r w:rsidR="00CB5CE2">
        <w:rPr>
          <w:lang w:bidi="ar-SA"/>
        </w:rPr>
        <w:t>showed an approximately 2-fold, statistically significant increase in the mean number of peroxisomes in the hepatocytes of treated pups compared with controls.</w:t>
      </w:r>
      <w:r w:rsidR="00730091">
        <w:rPr>
          <w:lang w:bidi="ar-SA"/>
        </w:rPr>
        <w:t xml:space="preserve"> Subjective evaluation indicated that glycogen stores might have been increased in livers of treated pups compared with controls.</w:t>
      </w:r>
      <w:r w:rsidR="00CB5CE2">
        <w:rPr>
          <w:lang w:bidi="ar-SA"/>
        </w:rPr>
        <w:t xml:space="preserve"> No significant differences in pup lung histopathology </w:t>
      </w:r>
      <w:r w:rsidR="00271F60">
        <w:rPr>
          <w:lang w:bidi="ar-SA"/>
        </w:rPr>
        <w:t xml:space="preserve">were observed </w:t>
      </w:r>
      <w:r w:rsidR="00CB5CE2">
        <w:rPr>
          <w:lang w:bidi="ar-SA"/>
        </w:rPr>
        <w:t>between control and treated pups.</w:t>
      </w:r>
    </w:p>
    <w:p w14:paraId="546946D9" w14:textId="791FB626" w:rsidR="00271F60" w:rsidRDefault="00271F60" w:rsidP="00A111E9">
      <w:pPr>
        <w:rPr>
          <w:lang w:bidi="ar-SA"/>
        </w:rPr>
      </w:pPr>
    </w:p>
    <w:p w14:paraId="5034153D" w14:textId="06E65A54" w:rsidR="00B754EF" w:rsidRDefault="00B754EF" w:rsidP="00A111E9">
      <w:pPr>
        <w:rPr>
          <w:lang w:bidi="ar-SA"/>
        </w:rPr>
      </w:pPr>
      <w:r>
        <w:rPr>
          <w:lang w:bidi="ar-SA"/>
        </w:rPr>
        <w:t xml:space="preserve">The cross-fostering study </w:t>
      </w:r>
      <w:r w:rsidR="00A4588F">
        <w:rPr>
          <w:lang w:bidi="ar-SA"/>
        </w:rPr>
        <w:t xml:space="preserve">results </w:t>
      </w:r>
      <w:r>
        <w:rPr>
          <w:lang w:bidi="ar-SA"/>
        </w:rPr>
        <w:t xml:space="preserve">indicate that neonatal toxicity is primarily caused by </w:t>
      </w:r>
      <w:r w:rsidRPr="000200BB">
        <w:rPr>
          <w:lang w:bidi="ar-SA"/>
        </w:rPr>
        <w:t>in utero</w:t>
      </w:r>
      <w:r>
        <w:rPr>
          <w:lang w:bidi="ar-SA"/>
        </w:rPr>
        <w:t xml:space="preserve"> exposure to PFOS</w:t>
      </w:r>
      <w:r w:rsidR="00A4588F">
        <w:rPr>
          <w:lang w:bidi="ar-SA"/>
        </w:rPr>
        <w:t xml:space="preserve">, while </w:t>
      </w:r>
      <w:r w:rsidR="00BE205C">
        <w:rPr>
          <w:lang w:bidi="ar-SA"/>
        </w:rPr>
        <w:t>post</w:t>
      </w:r>
      <w:r w:rsidR="00032CF6">
        <w:rPr>
          <w:lang w:bidi="ar-SA"/>
        </w:rPr>
        <w:t>natal</w:t>
      </w:r>
      <w:r>
        <w:rPr>
          <w:lang w:bidi="ar-SA"/>
        </w:rPr>
        <w:t xml:space="preserve"> exposure </w:t>
      </w:r>
      <w:r w:rsidR="00A4588F">
        <w:rPr>
          <w:lang w:bidi="ar-SA"/>
        </w:rPr>
        <w:t xml:space="preserve">via maternal milk </w:t>
      </w:r>
      <w:r>
        <w:rPr>
          <w:lang w:bidi="ar-SA"/>
        </w:rPr>
        <w:t xml:space="preserve">together with </w:t>
      </w:r>
      <w:r w:rsidRPr="000200BB">
        <w:rPr>
          <w:lang w:bidi="ar-SA"/>
        </w:rPr>
        <w:t>in utero</w:t>
      </w:r>
      <w:r>
        <w:rPr>
          <w:lang w:bidi="ar-SA"/>
        </w:rPr>
        <w:t xml:space="preserve"> exposure </w:t>
      </w:r>
      <w:r w:rsidR="00366322">
        <w:rPr>
          <w:lang w:bidi="ar-SA"/>
        </w:rPr>
        <w:t>also appears to cont</w:t>
      </w:r>
      <w:r w:rsidR="0065647B">
        <w:rPr>
          <w:lang w:bidi="ar-SA"/>
        </w:rPr>
        <w:t>r</w:t>
      </w:r>
      <w:r w:rsidR="00366322">
        <w:rPr>
          <w:lang w:bidi="ar-SA"/>
        </w:rPr>
        <w:t>ibute</w:t>
      </w:r>
      <w:r>
        <w:rPr>
          <w:lang w:bidi="ar-SA"/>
        </w:rPr>
        <w:t xml:space="preserve">. </w:t>
      </w:r>
      <w:r w:rsidR="00BE205C">
        <w:rPr>
          <w:lang w:bidi="ar-SA"/>
        </w:rPr>
        <w:t>Post</w:t>
      </w:r>
      <w:r w:rsidR="00032CF6">
        <w:rPr>
          <w:lang w:bidi="ar-SA"/>
        </w:rPr>
        <w:t>natal</w:t>
      </w:r>
      <w:r w:rsidR="00A4588F">
        <w:rPr>
          <w:lang w:bidi="ar-SA"/>
        </w:rPr>
        <w:t xml:space="preserve"> exposure alone had no impact on pup survival, but did result in reductions in body weight and body weight gain.</w:t>
      </w:r>
    </w:p>
    <w:p w14:paraId="433217FD" w14:textId="20FB9284" w:rsidR="00BE436E" w:rsidRDefault="00BE436E" w:rsidP="00A111E9">
      <w:pPr>
        <w:rPr>
          <w:lang w:bidi="ar-SA"/>
        </w:rPr>
      </w:pPr>
    </w:p>
    <w:p w14:paraId="6DBDAF50" w14:textId="09BA1148" w:rsidR="00BE436E" w:rsidRPr="00BE436E" w:rsidRDefault="00BE436E" w:rsidP="00A111E9">
      <w:pPr>
        <w:rPr>
          <w:b/>
          <w:lang w:bidi="ar-SA"/>
        </w:rPr>
      </w:pPr>
      <w:r w:rsidRPr="00BE436E">
        <w:rPr>
          <w:b/>
          <w:lang w:bidi="ar-SA"/>
        </w:rPr>
        <w:t xml:space="preserve">Luebker </w:t>
      </w:r>
      <w:r w:rsidR="00180A32" w:rsidRPr="00180A32">
        <w:rPr>
          <w:b/>
          <w:i/>
          <w:lang w:bidi="ar-SA"/>
        </w:rPr>
        <w:t xml:space="preserve">et al. </w:t>
      </w:r>
      <w:r w:rsidR="00F22DA6">
        <w:rPr>
          <w:b/>
          <w:lang w:bidi="ar-SA"/>
        </w:rPr>
        <w:t xml:space="preserve"> </w:t>
      </w:r>
      <w:r w:rsidRPr="00BE436E">
        <w:rPr>
          <w:b/>
          <w:lang w:bidi="ar-SA"/>
        </w:rPr>
        <w:t xml:space="preserve">2005a </w:t>
      </w:r>
    </w:p>
    <w:p w14:paraId="2E023D77" w14:textId="77777777" w:rsidR="00BE436E" w:rsidRDefault="00BE436E" w:rsidP="00A111E9">
      <w:pPr>
        <w:rPr>
          <w:lang w:bidi="ar-SA"/>
        </w:rPr>
      </w:pPr>
    </w:p>
    <w:p w14:paraId="5084034B" w14:textId="6D7F8595" w:rsidR="00BE436E" w:rsidRDefault="00DE4B09" w:rsidP="00A111E9">
      <w:pPr>
        <w:rPr>
          <w:lang w:bidi="ar-SA"/>
        </w:rPr>
      </w:pPr>
      <w:r>
        <w:rPr>
          <w:lang w:bidi="ar-SA"/>
        </w:rPr>
        <w:t>As a follow</w:t>
      </w:r>
      <w:r w:rsidR="001012A5">
        <w:rPr>
          <w:lang w:bidi="ar-SA"/>
        </w:rPr>
        <w:t>-</w:t>
      </w:r>
      <w:r>
        <w:rPr>
          <w:lang w:bidi="ar-SA"/>
        </w:rPr>
        <w:t>up to the two-generation study discussed above, the dose</w:t>
      </w:r>
      <w:r w:rsidR="001012A5">
        <w:rPr>
          <w:lang w:bidi="ar-SA"/>
        </w:rPr>
        <w:t>-</w:t>
      </w:r>
      <w:r>
        <w:rPr>
          <w:lang w:bidi="ar-SA"/>
        </w:rPr>
        <w:t xml:space="preserve">response curve for neonatal mortality in rat pups born to PFOS exposed dams was investigated in a companion study (Luebker </w:t>
      </w:r>
      <w:r w:rsidR="00180A32" w:rsidRPr="00180A32">
        <w:rPr>
          <w:i/>
          <w:lang w:bidi="ar-SA"/>
        </w:rPr>
        <w:t xml:space="preserve">et al. </w:t>
      </w:r>
      <w:r w:rsidR="00F22DA6">
        <w:rPr>
          <w:lang w:bidi="ar-SA"/>
        </w:rPr>
        <w:t xml:space="preserve"> </w:t>
      </w:r>
      <w:r>
        <w:rPr>
          <w:lang w:bidi="ar-SA"/>
        </w:rPr>
        <w:t xml:space="preserve">2005a). Biochemical and pharmacokinetic parameters potentially related to the </w:t>
      </w:r>
      <w:r w:rsidR="005E5FD4">
        <w:rPr>
          <w:lang w:bidi="ar-SA"/>
        </w:rPr>
        <w:t>a</w:t>
      </w:r>
      <w:r>
        <w:rPr>
          <w:lang w:bidi="ar-SA"/>
        </w:rPr>
        <w:t>etiology of the effects seen in neonatal pups were also assessed.</w:t>
      </w:r>
    </w:p>
    <w:p w14:paraId="0A99D097" w14:textId="77777777" w:rsidR="00DE4B09" w:rsidRDefault="00DE4B09" w:rsidP="00A111E9">
      <w:pPr>
        <w:rPr>
          <w:lang w:bidi="ar-SA"/>
        </w:rPr>
      </w:pPr>
    </w:p>
    <w:p w14:paraId="218D759F" w14:textId="0E212F11" w:rsidR="00DE4B09" w:rsidRDefault="003A7A07" w:rsidP="00A111E9">
      <w:pPr>
        <w:rPr>
          <w:lang w:bidi="ar-SA"/>
        </w:rPr>
      </w:pPr>
      <w:r>
        <w:rPr>
          <w:lang w:bidi="ar-SA"/>
        </w:rPr>
        <w:lastRenderedPageBreak/>
        <w:t>Female Crl:CD (SD)IGS VAF Plus rats were treated with 0.0, 0.4, 0.8, 1.0, 1.2, 1.6 and 2.0 mg/kg bw/day PFOS potassium salt by oral gavage. Females were dose</w:t>
      </w:r>
      <w:r w:rsidR="00881361">
        <w:rPr>
          <w:lang w:bidi="ar-SA"/>
        </w:rPr>
        <w:t>d</w:t>
      </w:r>
      <w:r>
        <w:rPr>
          <w:lang w:bidi="ar-SA"/>
        </w:rPr>
        <w:t xml:space="preserve"> for 42 days prior to mating with untreated males of the same strain. Dosing continued through the mating interval (maximum 14 days) until GD 20 for dams assigned to caesarean section (eight in each of the control, 1.6 and 2.0 mg/kg bw/day groups). Dams assigned to natural delivery (nominally 20 per dose group) were exposed until </w:t>
      </w:r>
      <w:r w:rsidR="00BD74C8">
        <w:rPr>
          <w:lang w:bidi="ar-SA"/>
        </w:rPr>
        <w:t>PND</w:t>
      </w:r>
      <w:r>
        <w:rPr>
          <w:lang w:bidi="ar-SA"/>
        </w:rPr>
        <w:t xml:space="preserve"> 4. Dams in the caesarean section group</w:t>
      </w:r>
      <w:r w:rsidR="00312081">
        <w:rPr>
          <w:lang w:bidi="ar-SA"/>
        </w:rPr>
        <w:t>s</w:t>
      </w:r>
      <w:r>
        <w:rPr>
          <w:lang w:bidi="ar-SA"/>
        </w:rPr>
        <w:t xml:space="preserve"> were sacrificed on GD 21, while dams and pups in the natural delivery groups were sacrificed on </w:t>
      </w:r>
      <w:r w:rsidR="00BD74C8">
        <w:rPr>
          <w:lang w:bidi="ar-SA"/>
        </w:rPr>
        <w:t>PND</w:t>
      </w:r>
      <w:r>
        <w:rPr>
          <w:lang w:bidi="ar-SA"/>
        </w:rPr>
        <w:t xml:space="preserve"> 5.</w:t>
      </w:r>
    </w:p>
    <w:p w14:paraId="7F6D05B8" w14:textId="77777777" w:rsidR="003A7A07" w:rsidRDefault="003A7A07" w:rsidP="00A111E9">
      <w:pPr>
        <w:rPr>
          <w:lang w:bidi="ar-SA"/>
        </w:rPr>
      </w:pPr>
    </w:p>
    <w:p w14:paraId="5140F99E" w14:textId="0A64D17F" w:rsidR="003A7A07" w:rsidRDefault="00312081" w:rsidP="00A111E9">
      <w:pPr>
        <w:rPr>
          <w:lang w:bidi="ar-SA"/>
        </w:rPr>
      </w:pPr>
      <w:r>
        <w:rPr>
          <w:lang w:bidi="ar-SA"/>
        </w:rPr>
        <w:t xml:space="preserve">Dams in the caesarean section group were examined for pregnancy, implantation sites, live/dead </w:t>
      </w:r>
      <w:r w:rsidR="0065647B">
        <w:rPr>
          <w:lang w:bidi="ar-SA"/>
        </w:rPr>
        <w:t>fetus</w:t>
      </w:r>
      <w:r>
        <w:rPr>
          <w:lang w:bidi="ar-SA"/>
        </w:rPr>
        <w:t>es and early/late resorptions. Pooled fetal body weights were also assessed. Reproductive and fetal parameters were assessed in the groups assigned to natural delivery. Biochemical parameters investigated in dams and litters included serum lipids, glucose, melavonic acid</w:t>
      </w:r>
      <w:r w:rsidR="00881361">
        <w:rPr>
          <w:lang w:bidi="ar-SA"/>
        </w:rPr>
        <w:t xml:space="preserve"> lactone</w:t>
      </w:r>
      <w:r>
        <w:rPr>
          <w:lang w:bidi="ar-SA"/>
        </w:rPr>
        <w:t xml:space="preserve"> and thyroid hormones, milk cholesterol and liver lipids</w:t>
      </w:r>
      <w:r w:rsidR="00B34863">
        <w:rPr>
          <w:lang w:bidi="ar-SA"/>
        </w:rPr>
        <w:t xml:space="preserve"> and glycogen</w:t>
      </w:r>
      <w:r>
        <w:rPr>
          <w:lang w:bidi="ar-SA"/>
        </w:rPr>
        <w:t xml:space="preserve">. </w:t>
      </w:r>
      <w:r w:rsidR="00DB44A7">
        <w:rPr>
          <w:lang w:bidi="ar-SA"/>
        </w:rPr>
        <w:t>Mevalonic acid</w:t>
      </w:r>
      <w:r w:rsidR="00804578">
        <w:rPr>
          <w:lang w:bidi="ar-SA"/>
        </w:rPr>
        <w:t xml:space="preserve"> lactone</w:t>
      </w:r>
      <w:r w:rsidR="00DB44A7">
        <w:rPr>
          <w:lang w:bidi="ar-SA"/>
        </w:rPr>
        <w:t xml:space="preserve"> was assessed as it is a marker of 3-hydroxy-3-methylglutaryl coenzyme A (HMG-CoA) reductase activity. HMG-CoA reductase converts HMG-CoA to mevalonic acid, which is the rate limiting step in cholesterol synthesis. Some inhibitors of this enzyme are known to cause developmental effect in rats. </w:t>
      </w:r>
      <w:r w:rsidR="00B34863">
        <w:rPr>
          <w:lang w:bidi="ar-SA"/>
        </w:rPr>
        <w:t>Effects on blood glucose and liver glycogen levels were assessed based on a previous observation of a poss</w:t>
      </w:r>
      <w:r w:rsidR="00881361">
        <w:rPr>
          <w:lang w:bidi="ar-SA"/>
        </w:rPr>
        <w:t>ible increase in liver glycogen stores</w:t>
      </w:r>
      <w:r w:rsidR="00B34863">
        <w:rPr>
          <w:lang w:bidi="ar-SA"/>
        </w:rPr>
        <w:t xml:space="preserve"> in rat pups born to rats treated with PFOS at 1.6 mg/kg bw/day (Luebker </w:t>
      </w:r>
      <w:r w:rsidR="00180A32" w:rsidRPr="00180A32">
        <w:rPr>
          <w:i/>
          <w:lang w:bidi="ar-SA"/>
        </w:rPr>
        <w:t xml:space="preserve">et al. </w:t>
      </w:r>
      <w:r w:rsidR="00F22DA6">
        <w:rPr>
          <w:lang w:bidi="ar-SA"/>
        </w:rPr>
        <w:t xml:space="preserve"> </w:t>
      </w:r>
      <w:r w:rsidR="00B34863">
        <w:rPr>
          <w:lang w:bidi="ar-SA"/>
        </w:rPr>
        <w:t>2005b). Liver malic enzyme activity, a marker for thyroid hormone response, was also assessed.</w:t>
      </w:r>
    </w:p>
    <w:p w14:paraId="25AB0895" w14:textId="77777777" w:rsidR="00B34863" w:rsidRDefault="00B34863" w:rsidP="00A111E9">
      <w:pPr>
        <w:rPr>
          <w:lang w:bidi="ar-SA"/>
        </w:rPr>
      </w:pPr>
    </w:p>
    <w:p w14:paraId="1D9E58CC" w14:textId="5205C5AF" w:rsidR="002B1C96" w:rsidRDefault="00675C66" w:rsidP="00A111E9">
      <w:pPr>
        <w:rPr>
          <w:lang w:bidi="ar-SA"/>
        </w:rPr>
      </w:pPr>
      <w:r>
        <w:rPr>
          <w:lang w:bidi="ar-SA"/>
        </w:rPr>
        <w:t xml:space="preserve">No mortality occurred in PFOS treated dams and no effects on mating or fertility were observed. </w:t>
      </w:r>
      <w:r w:rsidR="003C66A3">
        <w:rPr>
          <w:lang w:bidi="ar-SA"/>
        </w:rPr>
        <w:t xml:space="preserve">In the dams that underwent caesarean sections, no effects on reproductive parameters (corpora lutea, implantations, live/dead </w:t>
      </w:r>
      <w:r w:rsidR="0065647B">
        <w:rPr>
          <w:lang w:bidi="ar-SA"/>
        </w:rPr>
        <w:t>fetus</w:t>
      </w:r>
      <w:r w:rsidR="003C66A3">
        <w:rPr>
          <w:lang w:bidi="ar-SA"/>
        </w:rPr>
        <w:t>es, resor</w:t>
      </w:r>
      <w:r w:rsidR="002944C9">
        <w:rPr>
          <w:lang w:bidi="ar-SA"/>
        </w:rPr>
        <w:t>p</w:t>
      </w:r>
      <w:r w:rsidR="003C66A3">
        <w:rPr>
          <w:lang w:bidi="ar-SA"/>
        </w:rPr>
        <w:t xml:space="preserve">tions, pooled fetal body weights and sex ratio) were observed. Overall, maternal body weights were </w:t>
      </w:r>
      <w:r w:rsidR="00854A2B">
        <w:rPr>
          <w:lang w:bidi="ar-SA"/>
        </w:rPr>
        <w:t>sligh</w:t>
      </w:r>
      <w:r w:rsidR="002B1C96">
        <w:rPr>
          <w:lang w:bidi="ar-SA"/>
        </w:rPr>
        <w:t xml:space="preserve">tly but statistically </w:t>
      </w:r>
      <w:r w:rsidR="003C66A3">
        <w:rPr>
          <w:lang w:bidi="ar-SA"/>
        </w:rPr>
        <w:t>significantly reduced compared with controls in the 1.6 and 2.0 mg/kg bw/day dose groups during gestation</w:t>
      </w:r>
      <w:r w:rsidR="002B1C96">
        <w:rPr>
          <w:lang w:bidi="ar-SA"/>
        </w:rPr>
        <w:t xml:space="preserve"> (5% and 7% of controls respectively)</w:t>
      </w:r>
      <w:r w:rsidR="003C66A3">
        <w:rPr>
          <w:lang w:bidi="ar-SA"/>
        </w:rPr>
        <w:t xml:space="preserve"> and in the 2.0 mg/kg bw/day group during lactation</w:t>
      </w:r>
      <w:r w:rsidR="002B1C96">
        <w:rPr>
          <w:lang w:bidi="ar-SA"/>
        </w:rPr>
        <w:t xml:space="preserve"> (approximately 89% of control on </w:t>
      </w:r>
      <w:r w:rsidR="00BD74C8">
        <w:rPr>
          <w:lang w:bidi="ar-SA"/>
        </w:rPr>
        <w:t>PND</w:t>
      </w:r>
      <w:r w:rsidR="00E92204">
        <w:rPr>
          <w:lang w:bidi="ar-SA"/>
        </w:rPr>
        <w:t xml:space="preserve"> </w:t>
      </w:r>
      <w:r w:rsidR="002B1C96">
        <w:rPr>
          <w:lang w:bidi="ar-SA"/>
        </w:rPr>
        <w:t>5)</w:t>
      </w:r>
      <w:r w:rsidR="003C66A3">
        <w:rPr>
          <w:lang w:bidi="ar-SA"/>
        </w:rPr>
        <w:t xml:space="preserve">. Mean body weight gains were significantly reduced </w:t>
      </w:r>
      <w:r w:rsidR="002B1C96">
        <w:rPr>
          <w:lang w:bidi="ar-SA"/>
        </w:rPr>
        <w:t>at 2.0 mg/kg bw/day during the pre</w:t>
      </w:r>
      <w:r w:rsidR="00CC26CA">
        <w:rPr>
          <w:lang w:bidi="ar-SA"/>
        </w:rPr>
        <w:t>mating</w:t>
      </w:r>
      <w:r w:rsidR="002B1C96">
        <w:rPr>
          <w:lang w:bidi="ar-SA"/>
        </w:rPr>
        <w:t xml:space="preserve"> phase and at doses of 0.8 mg/kg bw/day and higher during lactation. The effect on body weight gain du</w:t>
      </w:r>
      <w:r w:rsidR="00B26C96">
        <w:rPr>
          <w:lang w:bidi="ar-SA"/>
        </w:rPr>
        <w:t>ring lactation was dose</w:t>
      </w:r>
      <w:r w:rsidR="001012A5">
        <w:rPr>
          <w:lang w:bidi="ar-SA"/>
        </w:rPr>
        <w:t>-</w:t>
      </w:r>
      <w:r w:rsidR="00B26C96">
        <w:rPr>
          <w:lang w:bidi="ar-SA"/>
        </w:rPr>
        <w:t>dependent</w:t>
      </w:r>
      <w:r w:rsidR="002B1C96">
        <w:rPr>
          <w:lang w:bidi="ar-SA"/>
        </w:rPr>
        <w:t xml:space="preserve"> with an overall negative body weight gain (i.e. loss of weight) at the highest dose. No apparent weight gain effects were observed during gestation. There was a general trend for decreased feed consumption with increasing dose during pre</w:t>
      </w:r>
      <w:r w:rsidR="00CC26CA">
        <w:rPr>
          <w:lang w:bidi="ar-SA"/>
        </w:rPr>
        <w:t>mating</w:t>
      </w:r>
      <w:r w:rsidR="002B1C96">
        <w:rPr>
          <w:lang w:bidi="ar-SA"/>
        </w:rPr>
        <w:t xml:space="preserve">, gestation and lactation. </w:t>
      </w:r>
      <w:r w:rsidR="004D371D">
        <w:rPr>
          <w:lang w:bidi="ar-SA"/>
        </w:rPr>
        <w:t xml:space="preserve">In natural delivery dose group dams, relative liver weights (to body weight) at terminal sacrifice were </w:t>
      </w:r>
      <w:r w:rsidR="002944C9">
        <w:rPr>
          <w:lang w:bidi="ar-SA"/>
        </w:rPr>
        <w:t xml:space="preserve">significantly </w:t>
      </w:r>
      <w:r w:rsidR="004D371D">
        <w:rPr>
          <w:lang w:bidi="ar-SA"/>
        </w:rPr>
        <w:t xml:space="preserve">increased </w:t>
      </w:r>
      <w:r w:rsidR="002944C9">
        <w:rPr>
          <w:lang w:bidi="ar-SA"/>
        </w:rPr>
        <w:t>(</w:t>
      </w:r>
      <w:r w:rsidR="004D371D">
        <w:rPr>
          <w:lang w:bidi="ar-SA"/>
        </w:rPr>
        <w:t>10</w:t>
      </w:r>
      <w:r w:rsidR="00854A2B">
        <w:rPr>
          <w:lang w:bidi="ar-SA"/>
        </w:rPr>
        <w:t>%</w:t>
      </w:r>
      <w:r w:rsidR="004D371D">
        <w:rPr>
          <w:lang w:bidi="ar-SA"/>
        </w:rPr>
        <w:t>, 17</w:t>
      </w:r>
      <w:r w:rsidR="00854A2B">
        <w:rPr>
          <w:lang w:bidi="ar-SA"/>
        </w:rPr>
        <w:t>%</w:t>
      </w:r>
      <w:r w:rsidR="004D371D">
        <w:rPr>
          <w:lang w:bidi="ar-SA"/>
        </w:rPr>
        <w:t xml:space="preserve"> and 12% in the 0.8, 1.2 and 2.0 mg/kg bw/day dose groups, respectively</w:t>
      </w:r>
      <w:r w:rsidR="002944C9">
        <w:rPr>
          <w:lang w:bidi="ar-SA"/>
        </w:rPr>
        <w:t>)</w:t>
      </w:r>
      <w:r w:rsidR="004D371D">
        <w:rPr>
          <w:lang w:bidi="ar-SA"/>
        </w:rPr>
        <w:t>. These changes were considered to be reflective of the slight decreases in terminal body weights and/or slight increases in liver weight, and are not considered to be</w:t>
      </w:r>
      <w:r w:rsidR="002944C9">
        <w:rPr>
          <w:lang w:bidi="ar-SA"/>
        </w:rPr>
        <w:t xml:space="preserve"> toxicologically significant</w:t>
      </w:r>
      <w:r w:rsidR="004D371D">
        <w:rPr>
          <w:lang w:bidi="ar-SA"/>
        </w:rPr>
        <w:t>.</w:t>
      </w:r>
    </w:p>
    <w:p w14:paraId="2000B140" w14:textId="77777777" w:rsidR="002B1C96" w:rsidRDefault="002B1C96" w:rsidP="00A111E9">
      <w:pPr>
        <w:rPr>
          <w:lang w:bidi="ar-SA"/>
        </w:rPr>
      </w:pPr>
    </w:p>
    <w:p w14:paraId="08538EE2" w14:textId="427DBD4A" w:rsidR="002B1C96" w:rsidRDefault="003C7172" w:rsidP="00A111E9">
      <w:pPr>
        <w:rPr>
          <w:lang w:bidi="ar-SA"/>
        </w:rPr>
      </w:pPr>
      <w:r>
        <w:rPr>
          <w:lang w:bidi="ar-SA"/>
        </w:rPr>
        <w:t>Among the dams allowed to deliver, the average number of implantation sites, gestation index and number of live births were similar in control and treatment groups. Gestation length was significantly decreased in a dose</w:t>
      </w:r>
      <w:r w:rsidR="001012A5">
        <w:rPr>
          <w:lang w:bidi="ar-SA"/>
        </w:rPr>
        <w:t>-</w:t>
      </w:r>
      <w:r>
        <w:rPr>
          <w:lang w:bidi="ar-SA"/>
        </w:rPr>
        <w:t>dependent manner at doses of 0.8 mg/kg bw/day and h</w:t>
      </w:r>
      <w:r w:rsidR="002431A8">
        <w:rPr>
          <w:lang w:bidi="ar-SA"/>
        </w:rPr>
        <w:t>igher (data shown graphically). The viability index compared with controls began to decrease at 0.8 mg/kg bw/day (93.1% compared with 97.3% in controls) and was statistically significant at 1.6 and 2.0 mg/kg bw/day (49.3% and 17.1% respectively). The number of dams with all pups dying was increased at 1.6 and 2.0</w:t>
      </w:r>
      <w:r w:rsidR="00236355">
        <w:rPr>
          <w:lang w:bidi="ar-SA"/>
        </w:rPr>
        <w:t xml:space="preserve"> mg/kg bw/day</w:t>
      </w:r>
      <w:r w:rsidR="002431A8">
        <w:rPr>
          <w:lang w:bidi="ar-SA"/>
        </w:rPr>
        <w:t xml:space="preserve"> (4 and 14 respectively) with statistical significance reached at 2.0 mg/kg bw/day. The control incidence of this parameter, as well as the historical control incidence provided by the performing laboratory, was 0.</w:t>
      </w:r>
    </w:p>
    <w:p w14:paraId="090339E4" w14:textId="1FA6A3A1" w:rsidR="00854A2B" w:rsidRDefault="00854A2B" w:rsidP="00A111E9">
      <w:pPr>
        <w:rPr>
          <w:lang w:bidi="ar-SA"/>
        </w:rPr>
      </w:pPr>
    </w:p>
    <w:p w14:paraId="39DA0C56" w14:textId="6CD39D3E" w:rsidR="00B26C96" w:rsidRDefault="00236355" w:rsidP="00A111E9">
      <w:pPr>
        <w:rPr>
          <w:lang w:bidi="ar-SA"/>
        </w:rPr>
      </w:pPr>
      <w:r>
        <w:rPr>
          <w:lang w:bidi="ar-SA"/>
        </w:rPr>
        <w:t>Mean pup birth weights per litter were significantly decreased in all PFOS treated groups</w:t>
      </w:r>
      <w:r w:rsidR="00915D46">
        <w:rPr>
          <w:lang w:bidi="ar-SA"/>
        </w:rPr>
        <w:t xml:space="preserve"> compared with controls</w:t>
      </w:r>
      <w:r>
        <w:rPr>
          <w:lang w:bidi="ar-SA"/>
        </w:rPr>
        <w:t xml:space="preserve">, as were mean pup weights per litter on </w:t>
      </w:r>
      <w:r w:rsidR="00BD74C8">
        <w:rPr>
          <w:lang w:bidi="ar-SA"/>
        </w:rPr>
        <w:t>PND</w:t>
      </w:r>
      <w:r>
        <w:rPr>
          <w:lang w:bidi="ar-SA"/>
        </w:rPr>
        <w:t xml:space="preserve"> 5 and mean pup weight gains per litter to </w:t>
      </w:r>
      <w:r w:rsidR="00BD74C8">
        <w:rPr>
          <w:lang w:bidi="ar-SA"/>
        </w:rPr>
        <w:t>PND</w:t>
      </w:r>
      <w:r>
        <w:rPr>
          <w:lang w:bidi="ar-SA"/>
        </w:rPr>
        <w:t xml:space="preserve"> 5.</w:t>
      </w:r>
    </w:p>
    <w:p w14:paraId="46B81912" w14:textId="40E85D9D" w:rsidR="00854A2B" w:rsidRDefault="00236355" w:rsidP="00A111E9">
      <w:pPr>
        <w:rPr>
          <w:lang w:bidi="ar-SA"/>
        </w:rPr>
      </w:pPr>
      <w:r>
        <w:rPr>
          <w:lang w:bidi="ar-SA"/>
        </w:rPr>
        <w:lastRenderedPageBreak/>
        <w:t>The mean per</w:t>
      </w:r>
      <w:r w:rsidR="001B6877">
        <w:rPr>
          <w:lang w:bidi="ar-SA"/>
        </w:rPr>
        <w:t xml:space="preserve"> cent</w:t>
      </w:r>
      <w:r>
        <w:rPr>
          <w:lang w:bidi="ar-SA"/>
        </w:rPr>
        <w:t xml:space="preserve"> of pups per litter </w:t>
      </w:r>
      <w:r w:rsidR="00915D46">
        <w:rPr>
          <w:lang w:bidi="ar-SA"/>
        </w:rPr>
        <w:t xml:space="preserve">surviving </w:t>
      </w:r>
      <w:r>
        <w:rPr>
          <w:lang w:bidi="ar-SA"/>
        </w:rPr>
        <w:t xml:space="preserve">to </w:t>
      </w:r>
      <w:r w:rsidR="00BD74C8">
        <w:rPr>
          <w:lang w:bidi="ar-SA"/>
        </w:rPr>
        <w:t>PND</w:t>
      </w:r>
      <w:r>
        <w:rPr>
          <w:lang w:bidi="ar-SA"/>
        </w:rPr>
        <w:t xml:space="preserve"> 5 was reduced in a dose-dependent manner with statistical significance attained in the 1.6 and 2.0 mg/kg bw/day maternal dose groups.</w:t>
      </w:r>
    </w:p>
    <w:p w14:paraId="76E82E6F" w14:textId="7E3F25C7" w:rsidR="00D70228" w:rsidRDefault="00D70228" w:rsidP="00A111E9">
      <w:pPr>
        <w:rPr>
          <w:lang w:bidi="ar-SA"/>
        </w:rPr>
      </w:pPr>
    </w:p>
    <w:p w14:paraId="7CF5D6D2" w14:textId="2D5C31F8" w:rsidR="00D70228" w:rsidRDefault="00D70228" w:rsidP="00A111E9">
      <w:pPr>
        <w:rPr>
          <w:lang w:bidi="ar-SA"/>
        </w:rPr>
      </w:pPr>
      <w:r>
        <w:rPr>
          <w:lang w:bidi="ar-SA"/>
        </w:rPr>
        <w:t>Data from the pharmacokinetic analysis indicated a linear proportionality of mean serum PFOS concentrations to maternal dose prior to mating and through the first part of gestation. However, at GD 21, mean serum PFOS concentration</w:t>
      </w:r>
      <w:r w:rsidR="004A1FC1">
        <w:rPr>
          <w:lang w:bidi="ar-SA"/>
        </w:rPr>
        <w:t xml:space="preserve"> </w:t>
      </w:r>
      <w:r>
        <w:rPr>
          <w:lang w:bidi="ar-SA"/>
        </w:rPr>
        <w:t xml:space="preserve">were notably reduced from values measured earlier in gestation. </w:t>
      </w:r>
      <w:r w:rsidR="002944C9">
        <w:rPr>
          <w:lang w:bidi="ar-SA"/>
        </w:rPr>
        <w:t>T</w:t>
      </w:r>
      <w:r>
        <w:rPr>
          <w:lang w:bidi="ar-SA"/>
        </w:rPr>
        <w:t xml:space="preserve">ransfer of PFOS from dams to fetuses </w:t>
      </w:r>
      <w:r w:rsidRPr="000200BB">
        <w:rPr>
          <w:lang w:bidi="ar-SA"/>
        </w:rPr>
        <w:t>in utero</w:t>
      </w:r>
      <w:r>
        <w:rPr>
          <w:lang w:bidi="ar-SA"/>
        </w:rPr>
        <w:t xml:space="preserve"> was confirmed.</w:t>
      </w:r>
    </w:p>
    <w:p w14:paraId="536671B1" w14:textId="77777777" w:rsidR="00D70228" w:rsidRDefault="00D70228" w:rsidP="00A111E9">
      <w:pPr>
        <w:rPr>
          <w:lang w:bidi="ar-SA"/>
        </w:rPr>
      </w:pPr>
    </w:p>
    <w:p w14:paraId="2EE40ABD" w14:textId="4235AC21" w:rsidR="00236355" w:rsidRDefault="00A967A7" w:rsidP="00A111E9">
      <w:pPr>
        <w:rPr>
          <w:lang w:bidi="ar-SA"/>
        </w:rPr>
      </w:pPr>
      <w:r>
        <w:rPr>
          <w:lang w:bidi="ar-SA"/>
        </w:rPr>
        <w:t>In the animals sacrificed on GD</w:t>
      </w:r>
      <w:r w:rsidR="00726D19">
        <w:rPr>
          <w:lang w:bidi="ar-SA"/>
        </w:rPr>
        <w:t xml:space="preserve"> </w:t>
      </w:r>
      <w:r>
        <w:rPr>
          <w:lang w:bidi="ar-SA"/>
        </w:rPr>
        <w:t>2</w:t>
      </w:r>
      <w:r w:rsidR="00804578">
        <w:rPr>
          <w:lang w:bidi="ar-SA"/>
        </w:rPr>
        <w:t xml:space="preserve">0, decreased cholesterol was seen in the liver of dams exposed to 1.6 or 2.0 mg/kg bw/day compared with controls, while </w:t>
      </w:r>
      <w:r w:rsidR="00915D46">
        <w:rPr>
          <w:lang w:bidi="ar-SA"/>
        </w:rPr>
        <w:t xml:space="preserve">increased </w:t>
      </w:r>
      <w:r w:rsidR="00804578">
        <w:rPr>
          <w:lang w:bidi="ar-SA"/>
        </w:rPr>
        <w:t xml:space="preserve">serum cholesterol and low density lipoproteins were </w:t>
      </w:r>
      <w:r w:rsidR="00915D46">
        <w:rPr>
          <w:lang w:bidi="ar-SA"/>
        </w:rPr>
        <w:t xml:space="preserve">seen </w:t>
      </w:r>
      <w:r w:rsidR="00804578">
        <w:rPr>
          <w:lang w:bidi="ar-SA"/>
        </w:rPr>
        <w:t xml:space="preserve">in </w:t>
      </w:r>
      <w:r w:rsidR="0065647B">
        <w:rPr>
          <w:lang w:bidi="ar-SA"/>
        </w:rPr>
        <w:t>fetus</w:t>
      </w:r>
      <w:r w:rsidR="00804578">
        <w:rPr>
          <w:lang w:bidi="ar-SA"/>
        </w:rPr>
        <w:t>es. There was no clear dose</w:t>
      </w:r>
      <w:r w:rsidR="001012A5">
        <w:rPr>
          <w:lang w:bidi="ar-SA"/>
        </w:rPr>
        <w:t>-</w:t>
      </w:r>
      <w:r w:rsidR="00804578">
        <w:rPr>
          <w:lang w:bidi="ar-SA"/>
        </w:rPr>
        <w:t xml:space="preserve">response however. Among the animals maintained until </w:t>
      </w:r>
      <w:r w:rsidR="00BD74C8">
        <w:rPr>
          <w:lang w:bidi="ar-SA"/>
        </w:rPr>
        <w:t>PND</w:t>
      </w:r>
      <w:r w:rsidR="001404D7">
        <w:rPr>
          <w:lang w:bidi="ar-SA"/>
        </w:rPr>
        <w:t xml:space="preserve"> </w:t>
      </w:r>
      <w:r w:rsidR="00804578">
        <w:rPr>
          <w:lang w:bidi="ar-SA"/>
        </w:rPr>
        <w:t>5, maternal serum cholesterol levels were significantly reduced in all treatment groups, but again without a clear dose</w:t>
      </w:r>
      <w:r w:rsidR="001012A5">
        <w:rPr>
          <w:lang w:bidi="ar-SA"/>
        </w:rPr>
        <w:t>-</w:t>
      </w:r>
      <w:r w:rsidR="00804578">
        <w:rPr>
          <w:lang w:bidi="ar-SA"/>
        </w:rPr>
        <w:t xml:space="preserve">response. </w:t>
      </w:r>
      <w:r w:rsidR="002014B2">
        <w:rPr>
          <w:lang w:bidi="ar-SA"/>
        </w:rPr>
        <w:t xml:space="preserve">No other effects on serum, liver or milk cholesterol or serum lipoproteins were observed in dams or pups on </w:t>
      </w:r>
      <w:r w:rsidR="00BD74C8">
        <w:rPr>
          <w:lang w:bidi="ar-SA"/>
        </w:rPr>
        <w:t>PND</w:t>
      </w:r>
      <w:r w:rsidR="001404D7">
        <w:rPr>
          <w:lang w:bidi="ar-SA"/>
        </w:rPr>
        <w:t xml:space="preserve"> </w:t>
      </w:r>
      <w:r w:rsidR="002014B2">
        <w:rPr>
          <w:lang w:bidi="ar-SA"/>
        </w:rPr>
        <w:t xml:space="preserve">5. </w:t>
      </w:r>
      <w:r w:rsidR="00354726">
        <w:rPr>
          <w:lang w:bidi="ar-SA"/>
        </w:rPr>
        <w:t>Pla</w:t>
      </w:r>
      <w:r w:rsidR="00954369">
        <w:rPr>
          <w:lang w:bidi="ar-SA"/>
        </w:rPr>
        <w:t>s</w:t>
      </w:r>
      <w:r w:rsidR="00354726">
        <w:rPr>
          <w:lang w:bidi="ar-SA"/>
        </w:rPr>
        <w:t xml:space="preserve">ma mevalonic acid lactone, measured as a marker of HMG-CoA reductase activity, </w:t>
      </w:r>
      <w:r w:rsidR="00915D46">
        <w:rPr>
          <w:lang w:bidi="ar-SA"/>
        </w:rPr>
        <w:t>was</w:t>
      </w:r>
      <w:r w:rsidR="00354726">
        <w:rPr>
          <w:lang w:bidi="ar-SA"/>
        </w:rPr>
        <w:t xml:space="preserve"> not significantly affected by treatment at GD 21 or </w:t>
      </w:r>
      <w:r w:rsidR="00BD74C8">
        <w:rPr>
          <w:lang w:bidi="ar-SA"/>
        </w:rPr>
        <w:t>PND</w:t>
      </w:r>
      <w:r w:rsidR="00354726">
        <w:rPr>
          <w:lang w:bidi="ar-SA"/>
        </w:rPr>
        <w:t xml:space="preserve"> 5.</w:t>
      </w:r>
    </w:p>
    <w:p w14:paraId="501FAC21" w14:textId="77777777" w:rsidR="00354726" w:rsidRDefault="00354726" w:rsidP="00A111E9">
      <w:pPr>
        <w:rPr>
          <w:lang w:bidi="ar-SA"/>
        </w:rPr>
      </w:pPr>
    </w:p>
    <w:p w14:paraId="724F8183" w14:textId="6BD37346" w:rsidR="008D5634" w:rsidRDefault="00354726" w:rsidP="00A111E9">
      <w:pPr>
        <w:rPr>
          <w:lang w:bidi="ar-SA"/>
        </w:rPr>
      </w:pPr>
      <w:r>
        <w:rPr>
          <w:lang w:bidi="ar-SA"/>
        </w:rPr>
        <w:t xml:space="preserve">No effects on serum glucose and triglyceride levels, or liver triglyceride levels, were seen in dams or </w:t>
      </w:r>
      <w:r w:rsidR="0065647B">
        <w:rPr>
          <w:lang w:bidi="ar-SA"/>
        </w:rPr>
        <w:t>fetus</w:t>
      </w:r>
      <w:r>
        <w:rPr>
          <w:lang w:bidi="ar-SA"/>
        </w:rPr>
        <w:t xml:space="preserve">es sacrificed on GD 21. On </w:t>
      </w:r>
      <w:r w:rsidR="00BD74C8">
        <w:rPr>
          <w:lang w:bidi="ar-SA"/>
        </w:rPr>
        <w:t>PND</w:t>
      </w:r>
      <w:r>
        <w:rPr>
          <w:lang w:bidi="ar-SA"/>
        </w:rPr>
        <w:t xml:space="preserve"> 5, maternal serum triglycerides were decreased and serum glucose increased in a dose</w:t>
      </w:r>
      <w:r w:rsidR="001012A5">
        <w:rPr>
          <w:lang w:bidi="ar-SA"/>
        </w:rPr>
        <w:t>-</w:t>
      </w:r>
      <w:r>
        <w:rPr>
          <w:lang w:bidi="ar-SA"/>
        </w:rPr>
        <w:t>dependent manner, with statistical significance at 1.6 and 2.0 mg/kg bw/day for triglycerides and at 2.0 mg/kg bw/day for glucose. Dam liver triglycerides were dose dependently increased, with statistical significan</w:t>
      </w:r>
      <w:r w:rsidR="0059104D">
        <w:rPr>
          <w:lang w:bidi="ar-SA"/>
        </w:rPr>
        <w:t xml:space="preserve">ce at the two highest doses. In pups, serum glucose and triglycerides were unchanged while liver triglycerides were significantly decreased at doses </w:t>
      </w:r>
      <w:r w:rsidR="0059104D">
        <w:rPr>
          <w:rFonts w:cs="Arial"/>
          <w:lang w:bidi="ar-SA"/>
        </w:rPr>
        <w:t>≥</w:t>
      </w:r>
      <w:r w:rsidR="0059104D">
        <w:rPr>
          <w:lang w:bidi="ar-SA"/>
        </w:rPr>
        <w:t xml:space="preserve"> 1.0 mg/kg bw/day. No significant differences in glycogen levels </w:t>
      </w:r>
      <w:r w:rsidR="008D5634">
        <w:rPr>
          <w:lang w:bidi="ar-SA"/>
        </w:rPr>
        <w:t xml:space="preserve">were seen </w:t>
      </w:r>
      <w:r w:rsidR="0059104D">
        <w:rPr>
          <w:lang w:bidi="ar-SA"/>
        </w:rPr>
        <w:t xml:space="preserve">in pup livers collected from the 0.0, 0.4, 1.6 and 2.0 mg/kg bw/day groups on </w:t>
      </w:r>
      <w:r w:rsidR="00BD74C8">
        <w:rPr>
          <w:lang w:bidi="ar-SA"/>
        </w:rPr>
        <w:t>PND</w:t>
      </w:r>
      <w:r w:rsidR="0059104D">
        <w:rPr>
          <w:lang w:bidi="ar-SA"/>
        </w:rPr>
        <w:t xml:space="preserve"> 5.</w:t>
      </w:r>
      <w:r w:rsidR="007071FB">
        <w:rPr>
          <w:lang w:bidi="ar-SA"/>
        </w:rPr>
        <w:t xml:space="preserve"> </w:t>
      </w:r>
      <w:r w:rsidR="007264E4">
        <w:rPr>
          <w:lang w:bidi="ar-SA"/>
        </w:rPr>
        <w:t>Overall, these findings do</w:t>
      </w:r>
      <w:r w:rsidR="007071FB">
        <w:rPr>
          <w:lang w:bidi="ar-SA"/>
        </w:rPr>
        <w:t xml:space="preserve"> not suggest that glycogen utilisation was impaired in PFOS treated pups.</w:t>
      </w:r>
    </w:p>
    <w:p w14:paraId="7EC8EC99" w14:textId="77777777" w:rsidR="008D5634" w:rsidRDefault="008D5634" w:rsidP="00A111E9">
      <w:pPr>
        <w:rPr>
          <w:lang w:bidi="ar-SA"/>
        </w:rPr>
      </w:pPr>
    </w:p>
    <w:p w14:paraId="2D194BFA" w14:textId="7E08B08C" w:rsidR="00354726" w:rsidRDefault="00CD3CC0" w:rsidP="00A111E9">
      <w:pPr>
        <w:rPr>
          <w:lang w:bidi="ar-SA"/>
        </w:rPr>
      </w:pPr>
      <w:r>
        <w:rPr>
          <w:lang w:bidi="ar-SA"/>
        </w:rPr>
        <w:t xml:space="preserve">Statistically significant reductions in total T3 (at </w:t>
      </w:r>
      <w:r>
        <w:rPr>
          <w:rFonts w:cs="Arial"/>
          <w:lang w:bidi="ar-SA"/>
        </w:rPr>
        <w:t>≥</w:t>
      </w:r>
      <w:r>
        <w:rPr>
          <w:lang w:bidi="ar-SA"/>
        </w:rPr>
        <w:t xml:space="preserve"> 1.2 mg/kg bw/day) and total T4 (at </w:t>
      </w:r>
      <w:r>
        <w:rPr>
          <w:rFonts w:cs="Arial"/>
          <w:lang w:bidi="ar-SA"/>
        </w:rPr>
        <w:t>≥</w:t>
      </w:r>
      <w:r>
        <w:rPr>
          <w:lang w:bidi="ar-SA"/>
        </w:rPr>
        <w:t xml:space="preserve"> 0.4 mg/kg bw/day) were seen in PFOS treated dams. </w:t>
      </w:r>
      <w:r w:rsidR="007D4B87">
        <w:rPr>
          <w:lang w:bidi="ar-SA"/>
        </w:rPr>
        <w:t xml:space="preserve">In pups from treated dams, significant reductions in total T4 down to </w:t>
      </w:r>
      <w:r w:rsidR="00D83B18">
        <w:rPr>
          <w:lang w:bidi="ar-SA"/>
        </w:rPr>
        <w:t>levels below the limit of detection</w:t>
      </w:r>
      <w:r w:rsidR="007D4B87">
        <w:rPr>
          <w:lang w:bidi="ar-SA"/>
        </w:rPr>
        <w:t xml:space="preserve"> were observed in all treated groups, with no change in total T3.</w:t>
      </w:r>
      <w:r w:rsidR="007264E4">
        <w:rPr>
          <w:lang w:bidi="ar-SA"/>
        </w:rPr>
        <w:t xml:space="preserve"> </w:t>
      </w:r>
      <w:r>
        <w:rPr>
          <w:lang w:bidi="ar-SA"/>
        </w:rPr>
        <w:t>However, a negative bias was suspected in the measurement of free T3 and free T4 by the radioimmunoassay methods used due to disturbances in equilibration of free and bound hormone. Therefore follow</w:t>
      </w:r>
      <w:r w:rsidR="001012A5">
        <w:rPr>
          <w:lang w:bidi="ar-SA"/>
        </w:rPr>
        <w:t>-</w:t>
      </w:r>
      <w:r>
        <w:rPr>
          <w:lang w:bidi="ar-SA"/>
        </w:rPr>
        <w:t xml:space="preserve">up analyses of free T3 and free T4 were made using reference methods in selected groups, as well as use of an alternative chemiluminometric method for total T3 and total T4. </w:t>
      </w:r>
      <w:r w:rsidR="007D4B87">
        <w:rPr>
          <w:lang w:bidi="ar-SA"/>
        </w:rPr>
        <w:t>TSH levels were also assessed.</w:t>
      </w:r>
    </w:p>
    <w:p w14:paraId="37C27532" w14:textId="77777777" w:rsidR="00CD3CC0" w:rsidRDefault="00CD3CC0" w:rsidP="00A111E9">
      <w:pPr>
        <w:rPr>
          <w:lang w:bidi="ar-SA"/>
        </w:rPr>
      </w:pPr>
    </w:p>
    <w:p w14:paraId="5CB4586B" w14:textId="309C7449" w:rsidR="00CD3CC0" w:rsidRDefault="007D4B87" w:rsidP="00A111E9">
      <w:pPr>
        <w:rPr>
          <w:lang w:bidi="ar-SA"/>
        </w:rPr>
      </w:pPr>
      <w:r>
        <w:rPr>
          <w:lang w:bidi="ar-SA"/>
        </w:rPr>
        <w:t>Follow</w:t>
      </w:r>
      <w:r w:rsidR="001012A5">
        <w:rPr>
          <w:lang w:bidi="ar-SA"/>
        </w:rPr>
        <w:t>-</w:t>
      </w:r>
      <w:r>
        <w:rPr>
          <w:lang w:bidi="ar-SA"/>
        </w:rPr>
        <w:t xml:space="preserve">up analysis of maternal serum found no effect of PFOS on free T4 levels and TSH levels were also unchanged. In pups, analysis using the chemiluminometric method found a statistically significant reduction in total T3 in the 1.0 mg/kg bw/day group, the highest dose group that was retested. No effect on free T3 was observed at this dose using the reference method, and no effect on free T4 was observed based on analysis of a limited number of samples from the control and 0.4 mg/kg bw/day groups. TSH levels were generally </w:t>
      </w:r>
      <w:r w:rsidR="00646417">
        <w:rPr>
          <w:lang w:bidi="ar-SA"/>
        </w:rPr>
        <w:t xml:space="preserve">unchanged: TSH was slightly elevated serum from pups in the 1.6 mg/kg maternal dose group with statistical significance in the reanalysis, but the magnitude of the increase (1.45 </w:t>
      </w:r>
      <w:r w:rsidR="00646417">
        <w:rPr>
          <w:rFonts w:cs="Arial"/>
          <w:lang w:bidi="ar-SA"/>
        </w:rPr>
        <w:t>±</w:t>
      </w:r>
      <w:r w:rsidR="00D60FEF">
        <w:rPr>
          <w:lang w:bidi="ar-SA"/>
        </w:rPr>
        <w:t xml:space="preserve"> 0.34 ng/mL</w:t>
      </w:r>
      <w:r w:rsidR="00646417">
        <w:rPr>
          <w:lang w:bidi="ar-SA"/>
        </w:rPr>
        <w:t xml:space="preserve"> versus 1.02 </w:t>
      </w:r>
      <w:r w:rsidR="00646417">
        <w:rPr>
          <w:rFonts w:cs="Arial"/>
          <w:lang w:bidi="ar-SA"/>
        </w:rPr>
        <w:t>±</w:t>
      </w:r>
      <w:r w:rsidR="00D60FEF">
        <w:rPr>
          <w:lang w:bidi="ar-SA"/>
        </w:rPr>
        <w:t xml:space="preserve"> 0.17 ng/mL</w:t>
      </w:r>
      <w:r w:rsidR="00646417">
        <w:rPr>
          <w:lang w:bidi="ar-SA"/>
        </w:rPr>
        <w:t xml:space="preserve"> in controls) did not suggest a hypothyroid state.</w:t>
      </w:r>
    </w:p>
    <w:p w14:paraId="35339D96" w14:textId="3E234E80" w:rsidR="002728C1" w:rsidRDefault="002728C1" w:rsidP="00A111E9">
      <w:pPr>
        <w:rPr>
          <w:lang w:bidi="ar-SA"/>
        </w:rPr>
      </w:pPr>
    </w:p>
    <w:p w14:paraId="1C45D5AF" w14:textId="3424A65C" w:rsidR="002728C1" w:rsidRDefault="002728C1" w:rsidP="00A111E9">
      <w:pPr>
        <w:rPr>
          <w:lang w:bidi="ar-SA"/>
        </w:rPr>
      </w:pPr>
      <w:r>
        <w:rPr>
          <w:lang w:bidi="ar-SA"/>
        </w:rPr>
        <w:t>Liver malic enzyme activity, a marker for thyroid hormone response, did not show significant differences between control and PFOS</w:t>
      </w:r>
      <w:r w:rsidR="00032CF6">
        <w:rPr>
          <w:lang w:bidi="ar-SA"/>
        </w:rPr>
        <w:t xml:space="preserve"> </w:t>
      </w:r>
      <w:r>
        <w:rPr>
          <w:lang w:bidi="ar-SA"/>
        </w:rPr>
        <w:t xml:space="preserve">treated samples obtained from dams and pups in the 0.0, 0.4, 1.6 and 2.0 mg/kg bw/day dose groups on </w:t>
      </w:r>
      <w:r w:rsidR="00BD74C8">
        <w:rPr>
          <w:lang w:bidi="ar-SA"/>
        </w:rPr>
        <w:t>PND</w:t>
      </w:r>
      <w:r>
        <w:rPr>
          <w:lang w:bidi="ar-SA"/>
        </w:rPr>
        <w:t xml:space="preserve"> 5. No microscopic changes were observed in hearts and thyroids collected from one male and one female pup in the 2.0 </w:t>
      </w:r>
      <w:r>
        <w:rPr>
          <w:lang w:bidi="ar-SA"/>
        </w:rPr>
        <w:lastRenderedPageBreak/>
        <w:t xml:space="preserve">mg/kg bw/day maternal dose group as compared to controls. Overall, the results of this study do not suggest </w:t>
      </w:r>
      <w:r w:rsidR="007264E4">
        <w:rPr>
          <w:lang w:bidi="ar-SA"/>
        </w:rPr>
        <w:t xml:space="preserve">that PFOS exposure in utero and via lactation induces </w:t>
      </w:r>
      <w:r>
        <w:rPr>
          <w:lang w:bidi="ar-SA"/>
        </w:rPr>
        <w:t>a hypothyroid state in pups.</w:t>
      </w:r>
    </w:p>
    <w:p w14:paraId="6F5C7432" w14:textId="77777777" w:rsidR="002728C1" w:rsidRDefault="002728C1" w:rsidP="00A111E9">
      <w:pPr>
        <w:rPr>
          <w:lang w:bidi="ar-SA"/>
        </w:rPr>
      </w:pPr>
    </w:p>
    <w:p w14:paraId="0B98F964" w14:textId="7D0EF41B" w:rsidR="00DA0CED" w:rsidRDefault="002728C1" w:rsidP="00A111E9">
      <w:pPr>
        <w:rPr>
          <w:lang w:bidi="ar-SA"/>
        </w:rPr>
      </w:pPr>
      <w:r>
        <w:rPr>
          <w:lang w:bidi="ar-SA"/>
        </w:rPr>
        <w:t>The</w:t>
      </w:r>
      <w:r w:rsidR="002D304D">
        <w:t xml:space="preserve"> NOAEL for maternal toxicity was 0.4 mg/kg bw/day based on decreased body weight gain at</w:t>
      </w:r>
      <w:r w:rsidR="002D304D" w:rsidRPr="002D304D">
        <w:t xml:space="preserve"> 0.8 mg/kg bw/day</w:t>
      </w:r>
      <w:r w:rsidR="002D304D">
        <w:t>. The NOAEL for reproductive toxicity was</w:t>
      </w:r>
      <w:r w:rsidR="00DA0CED">
        <w:t xml:space="preserve"> 0.4 mg/kg b</w:t>
      </w:r>
      <w:r w:rsidR="002D304D">
        <w:t xml:space="preserve">w/day </w:t>
      </w:r>
      <w:r w:rsidR="00DA0CED">
        <w:t>ba</w:t>
      </w:r>
      <w:r w:rsidR="002D304D">
        <w:t>sed on reduced gestation length at higher doses. The LOAEL for o</w:t>
      </w:r>
      <w:r w:rsidR="00DA0CED">
        <w:t>ffspring toxicity</w:t>
      </w:r>
      <w:r w:rsidR="002D304D">
        <w:t xml:space="preserve"> was</w:t>
      </w:r>
      <w:r w:rsidR="00DA0CED">
        <w:t xml:space="preserve"> 0.4 mg/kg bw/day (based on decreased body weight and body weight gain)</w:t>
      </w:r>
      <w:r w:rsidR="002D304D">
        <w:t>. A NOAEL for offspring toxicity was not identified.</w:t>
      </w:r>
    </w:p>
    <w:p w14:paraId="0CC15360" w14:textId="4A6BB216" w:rsidR="00FE2AB9" w:rsidRPr="00FE2AB9" w:rsidRDefault="00FE2AB9" w:rsidP="00112C61">
      <w:pPr>
        <w:pStyle w:val="Heading5"/>
      </w:pPr>
      <w:r w:rsidRPr="00FE2AB9">
        <w:t>Developmental effects</w:t>
      </w:r>
    </w:p>
    <w:p w14:paraId="56BEF395" w14:textId="1EE131E7" w:rsidR="00D9158A" w:rsidRDefault="00CB6C18" w:rsidP="005F1486">
      <w:pPr>
        <w:pStyle w:val="Heading5"/>
      </w:pPr>
      <w:r w:rsidRPr="00CB6C18">
        <w:t>Mice</w:t>
      </w:r>
    </w:p>
    <w:p w14:paraId="65D734B8" w14:textId="1F9C9E56" w:rsidR="00184072" w:rsidRPr="00F27FEB" w:rsidRDefault="000B53CD" w:rsidP="00A111E9">
      <w:pPr>
        <w:rPr>
          <w:b/>
          <w:sz w:val="20"/>
          <w:szCs w:val="20"/>
          <w:lang w:bidi="ar-SA"/>
        </w:rPr>
      </w:pPr>
      <w:r>
        <w:rPr>
          <w:b/>
          <w:szCs w:val="22"/>
          <w:lang w:bidi="ar-SA"/>
        </w:rPr>
        <w:t xml:space="preserve">Thibodeaux </w:t>
      </w:r>
      <w:r w:rsidR="00180A32" w:rsidRPr="00180A32">
        <w:rPr>
          <w:b/>
          <w:i/>
          <w:szCs w:val="22"/>
          <w:lang w:bidi="ar-SA"/>
        </w:rPr>
        <w:t xml:space="preserve">et al. </w:t>
      </w:r>
      <w:r w:rsidR="00F22DA6">
        <w:rPr>
          <w:b/>
          <w:szCs w:val="22"/>
          <w:lang w:bidi="ar-SA"/>
        </w:rPr>
        <w:t xml:space="preserve"> </w:t>
      </w:r>
      <w:r>
        <w:rPr>
          <w:b/>
          <w:szCs w:val="22"/>
          <w:lang w:bidi="ar-SA"/>
        </w:rPr>
        <w:t xml:space="preserve">2003 and Lau </w:t>
      </w:r>
      <w:r w:rsidR="00180A32" w:rsidRPr="00180A32">
        <w:rPr>
          <w:b/>
          <w:i/>
          <w:szCs w:val="22"/>
          <w:lang w:bidi="ar-SA"/>
        </w:rPr>
        <w:t xml:space="preserve">et al. </w:t>
      </w:r>
      <w:r w:rsidR="00713213">
        <w:rPr>
          <w:b/>
          <w:szCs w:val="22"/>
          <w:lang w:bidi="ar-SA"/>
        </w:rPr>
        <w:t xml:space="preserve"> </w:t>
      </w:r>
      <w:r>
        <w:rPr>
          <w:b/>
          <w:szCs w:val="22"/>
          <w:lang w:bidi="ar-SA"/>
        </w:rPr>
        <w:t>2003</w:t>
      </w:r>
      <w:r w:rsidRPr="00F27FEB">
        <w:rPr>
          <w:b/>
          <w:sz w:val="20"/>
          <w:szCs w:val="20"/>
          <w:lang w:bidi="ar-SA"/>
        </w:rPr>
        <w:t xml:space="preserve"> </w:t>
      </w:r>
    </w:p>
    <w:p w14:paraId="0C0E6785" w14:textId="77777777" w:rsidR="00184072" w:rsidRDefault="00184072" w:rsidP="00A111E9">
      <w:pPr>
        <w:rPr>
          <w:lang w:bidi="ar-SA"/>
        </w:rPr>
      </w:pPr>
    </w:p>
    <w:p w14:paraId="1FA61BDB" w14:textId="085D694C" w:rsidR="00184072" w:rsidRDefault="008A1194" w:rsidP="00A111E9">
      <w:pPr>
        <w:rPr>
          <w:lang w:bidi="ar-SA"/>
        </w:rPr>
      </w:pPr>
      <w:r>
        <w:rPr>
          <w:lang w:bidi="ar-SA"/>
        </w:rPr>
        <w:t>Pregnant CD-1 mice (20 – 29 per group) were administered PFOS potassium salt by oral gavage from GD 1 to GD 17, at doses of 0, 1, 5, 10, 15 and 20 mg/kg bw/day</w:t>
      </w:r>
      <w:r w:rsidR="001403E6">
        <w:rPr>
          <w:lang w:bidi="ar-SA"/>
        </w:rPr>
        <w:t xml:space="preserve"> (Thibodeaux </w:t>
      </w:r>
      <w:r w:rsidR="00180A32" w:rsidRPr="00180A32">
        <w:rPr>
          <w:i/>
          <w:lang w:bidi="ar-SA"/>
        </w:rPr>
        <w:t xml:space="preserve">et al. </w:t>
      </w:r>
      <w:r w:rsidR="00F22DA6">
        <w:rPr>
          <w:lang w:bidi="ar-SA"/>
        </w:rPr>
        <w:t xml:space="preserve"> </w:t>
      </w:r>
      <w:r w:rsidR="001403E6">
        <w:rPr>
          <w:lang w:bidi="ar-SA"/>
        </w:rPr>
        <w:t>2003)</w:t>
      </w:r>
      <w:r w:rsidR="00184072">
        <w:rPr>
          <w:lang w:bidi="ar-SA"/>
        </w:rPr>
        <w:t xml:space="preserve">. </w:t>
      </w:r>
      <w:r w:rsidR="001403E6">
        <w:rPr>
          <w:lang w:bidi="ar-SA"/>
        </w:rPr>
        <w:t>Maternal weight gain</w:t>
      </w:r>
      <w:r w:rsidR="0096026C">
        <w:rPr>
          <w:lang w:bidi="ar-SA"/>
        </w:rPr>
        <w:t xml:space="preserve"> and food and water consumption were monitored throughout gestation. Some mice (number not specified) were sacrificed on GDs 6 and 12 with the remaining dams sacrificed on GD 18. Blood samples were collected at sacrifice for serum PFOS, serum chemistry and thyroid hormone analysis. At sacrifice, the gravid uterus was removed and individual live </w:t>
      </w:r>
      <w:r w:rsidR="0065647B">
        <w:rPr>
          <w:lang w:bidi="ar-SA"/>
        </w:rPr>
        <w:t>fetus</w:t>
      </w:r>
      <w:r w:rsidR="0096026C">
        <w:rPr>
          <w:lang w:bidi="ar-SA"/>
        </w:rPr>
        <w:t>es were weighed and prepared for teratological evaluation.</w:t>
      </w:r>
    </w:p>
    <w:p w14:paraId="102C436A" w14:textId="77777777" w:rsidR="0096026C" w:rsidRDefault="0096026C" w:rsidP="00A111E9">
      <w:pPr>
        <w:rPr>
          <w:lang w:bidi="ar-SA"/>
        </w:rPr>
      </w:pPr>
    </w:p>
    <w:p w14:paraId="2C8FFE0C" w14:textId="5B16728D" w:rsidR="00284940" w:rsidRDefault="00284940" w:rsidP="00A111E9">
      <w:pPr>
        <w:rPr>
          <w:lang w:bidi="ar-SA"/>
        </w:rPr>
      </w:pPr>
      <w:r>
        <w:rPr>
          <w:lang w:bidi="ar-SA"/>
        </w:rPr>
        <w:t>Maternal serum and liver PFOS concentrations increased with dose with saturation appearing to occur at the two highest doses (data were presented graphically).</w:t>
      </w:r>
    </w:p>
    <w:p w14:paraId="6962D4EA" w14:textId="77777777" w:rsidR="00284940" w:rsidRDefault="00284940" w:rsidP="00A111E9">
      <w:pPr>
        <w:rPr>
          <w:lang w:bidi="ar-SA"/>
        </w:rPr>
      </w:pPr>
    </w:p>
    <w:p w14:paraId="7F201939" w14:textId="27B7B9DF" w:rsidR="0096026C" w:rsidRDefault="006D2F17" w:rsidP="00A111E9">
      <w:pPr>
        <w:rPr>
          <w:lang w:bidi="ar-SA"/>
        </w:rPr>
      </w:pPr>
      <w:r>
        <w:rPr>
          <w:lang w:bidi="ar-SA"/>
        </w:rPr>
        <w:t>Maternal body weight gain was significantly decreased at 20 mg/kg bw/day compared with controls</w:t>
      </w:r>
      <w:r w:rsidR="00E31999">
        <w:rPr>
          <w:lang w:bidi="ar-SA"/>
        </w:rPr>
        <w:t>. Food and water consumption were</w:t>
      </w:r>
      <w:r>
        <w:rPr>
          <w:lang w:bidi="ar-SA"/>
        </w:rPr>
        <w:t xml:space="preserve"> not significantly affected by treatment. Maternal liver weights (absolute and relative to body weight) were significant</w:t>
      </w:r>
      <w:r w:rsidR="00D83B18">
        <w:rPr>
          <w:lang w:bidi="ar-SA"/>
        </w:rPr>
        <w:t>ly</w:t>
      </w:r>
      <w:r>
        <w:rPr>
          <w:lang w:bidi="ar-SA"/>
        </w:rPr>
        <w:t xml:space="preserve"> increased compared with controls at doses </w:t>
      </w:r>
      <w:r>
        <w:rPr>
          <w:rFonts w:cs="Arial"/>
          <w:lang w:bidi="ar-SA"/>
        </w:rPr>
        <w:t>≥</w:t>
      </w:r>
      <w:r>
        <w:rPr>
          <w:lang w:bidi="ar-SA"/>
        </w:rPr>
        <w:t xml:space="preserve"> 5 mg/kg bw/day. Maternal serum triglycerides were significantly reduced at doses </w:t>
      </w:r>
      <w:r>
        <w:rPr>
          <w:rFonts w:cs="Arial"/>
          <w:lang w:bidi="ar-SA"/>
        </w:rPr>
        <w:t>≥</w:t>
      </w:r>
      <w:r>
        <w:rPr>
          <w:lang w:bidi="ar-SA"/>
        </w:rPr>
        <w:t xml:space="preserve"> 5 mg/kg bw/day. Serum cholesterol was significantly decreased at the highest dose only. Serum T4 levels were decreased in a dose</w:t>
      </w:r>
      <w:r w:rsidR="001012A5">
        <w:rPr>
          <w:lang w:bidi="ar-SA"/>
        </w:rPr>
        <w:t>-</w:t>
      </w:r>
      <w:r>
        <w:rPr>
          <w:lang w:bidi="ar-SA"/>
        </w:rPr>
        <w:t>dependent manner on GD 6 with statistical significance achieved at the highest dose, but T4 levels were no longer significantly different from controls during the last week of pregnancy. Levels of T3 and TSH were not affected by treatment.</w:t>
      </w:r>
    </w:p>
    <w:p w14:paraId="3D8542A8" w14:textId="77777777" w:rsidR="006D2F17" w:rsidRDefault="006D2F17" w:rsidP="00A111E9">
      <w:pPr>
        <w:rPr>
          <w:lang w:bidi="ar-SA"/>
        </w:rPr>
      </w:pPr>
    </w:p>
    <w:p w14:paraId="4B40D65C" w14:textId="4E627415" w:rsidR="0016358D" w:rsidRDefault="0016358D" w:rsidP="00A111E9">
      <w:pPr>
        <w:rPr>
          <w:lang w:bidi="ar-SA"/>
        </w:rPr>
      </w:pPr>
      <w:r>
        <w:rPr>
          <w:lang w:bidi="ar-SA"/>
        </w:rPr>
        <w:t xml:space="preserve">A significant increase in postimplantation loss was seen at 20 mg/kg bw/day compared with controls (89.1 </w:t>
      </w:r>
      <w:r>
        <w:rPr>
          <w:rFonts w:cs="Arial"/>
          <w:lang w:bidi="ar-SA"/>
        </w:rPr>
        <w:t xml:space="preserve">± </w:t>
      </w:r>
      <w:r>
        <w:rPr>
          <w:lang w:bidi="ar-SA"/>
        </w:rPr>
        <w:t xml:space="preserve">5.5 % live fetuses versus 97.9 </w:t>
      </w:r>
      <w:r>
        <w:rPr>
          <w:rFonts w:cs="Arial"/>
          <w:lang w:bidi="ar-SA"/>
        </w:rPr>
        <w:t>±</w:t>
      </w:r>
      <w:r>
        <w:rPr>
          <w:lang w:bidi="ar-SA"/>
        </w:rPr>
        <w:t xml:space="preserve"> 1.0 % respectively). Significantly reduced pup body weights were seen in 10 mg/kg bw and 15 mg/kg bw pups, but pup body weights were not affected at 20 mg/kg bw/day. The incidence of sternal defects was significantly increased compared with controls at doses </w:t>
      </w:r>
      <w:r>
        <w:rPr>
          <w:rFonts w:cs="Arial"/>
          <w:lang w:bidi="ar-SA"/>
        </w:rPr>
        <w:t>≥</w:t>
      </w:r>
      <w:r>
        <w:rPr>
          <w:lang w:bidi="ar-SA"/>
        </w:rPr>
        <w:t xml:space="preserve"> 5 mg/kg bw/day, an increased incidence of enlarged right atrium</w:t>
      </w:r>
      <w:r w:rsidR="0003008F">
        <w:rPr>
          <w:lang w:bidi="ar-SA"/>
        </w:rPr>
        <w:t xml:space="preserve"> and ventricular septal defects</w:t>
      </w:r>
      <w:r>
        <w:rPr>
          <w:lang w:bidi="ar-SA"/>
        </w:rPr>
        <w:t xml:space="preserve"> was seen at </w:t>
      </w:r>
      <w:r>
        <w:rPr>
          <w:rFonts w:cs="Arial"/>
          <w:lang w:bidi="ar-SA"/>
        </w:rPr>
        <w:t>≥</w:t>
      </w:r>
      <w:r>
        <w:rPr>
          <w:lang w:bidi="ar-SA"/>
        </w:rPr>
        <w:t xml:space="preserve"> 10 mg/kg bw/day, </w:t>
      </w:r>
      <w:r w:rsidR="00D116B2">
        <w:rPr>
          <w:lang w:bidi="ar-SA"/>
        </w:rPr>
        <w:t xml:space="preserve">and an </w:t>
      </w:r>
      <w:r>
        <w:rPr>
          <w:lang w:bidi="ar-SA"/>
        </w:rPr>
        <w:t xml:space="preserve">increased incidence of cleft palate was seen at </w:t>
      </w:r>
      <w:r>
        <w:rPr>
          <w:rFonts w:cs="Arial"/>
          <w:lang w:bidi="ar-SA"/>
        </w:rPr>
        <w:t>≥</w:t>
      </w:r>
      <w:r>
        <w:rPr>
          <w:lang w:bidi="ar-SA"/>
        </w:rPr>
        <w:t xml:space="preserve"> 15 mg/kg bw/day. The </w:t>
      </w:r>
      <w:r w:rsidR="0013189A">
        <w:rPr>
          <w:lang w:bidi="ar-SA"/>
        </w:rPr>
        <w:t>sternal defects were considered to be</w:t>
      </w:r>
      <w:r>
        <w:rPr>
          <w:lang w:bidi="ar-SA"/>
        </w:rPr>
        <w:t xml:space="preserve"> indications of delayed development.</w:t>
      </w:r>
    </w:p>
    <w:p w14:paraId="73DC7526" w14:textId="2A0A05C4" w:rsidR="00D116B2" w:rsidRDefault="00D116B2" w:rsidP="00A111E9">
      <w:pPr>
        <w:rPr>
          <w:lang w:bidi="ar-SA"/>
        </w:rPr>
      </w:pPr>
    </w:p>
    <w:p w14:paraId="18E1D08A" w14:textId="320C1BD4" w:rsidR="00D116B2" w:rsidRDefault="00D116B2" w:rsidP="00A111E9">
      <w:pPr>
        <w:rPr>
          <w:lang w:bidi="ar-SA"/>
        </w:rPr>
      </w:pPr>
      <w:r w:rsidRPr="00D116B2">
        <w:rPr>
          <w:lang w:bidi="ar-SA"/>
        </w:rPr>
        <w:t>The maternal NOAEL in this study was 1 mg/kg bw/day, based on the increased liver weight and reduced serum triglyceride levels seen at 5 mg/kg bw/day. The maternal serum PFOS concentration at the NOAEL</w:t>
      </w:r>
      <w:r w:rsidR="00D60FEF">
        <w:rPr>
          <w:lang w:bidi="ar-SA"/>
        </w:rPr>
        <w:t>, measured on GD 18, was 9 µg/mL</w:t>
      </w:r>
      <w:r w:rsidRPr="00D116B2">
        <w:rPr>
          <w:lang w:bidi="ar-SA"/>
        </w:rPr>
        <w:t>.</w:t>
      </w:r>
      <w:r w:rsidR="0013189A">
        <w:rPr>
          <w:lang w:bidi="ar-SA"/>
        </w:rPr>
        <w:t xml:space="preserve"> The NOAEL for embryo and fetal toxicity was 1 mg/kg bw/day based on an increase in fetal sternal effects at 5 mg/kg bw/day.</w:t>
      </w:r>
    </w:p>
    <w:p w14:paraId="54AEBEF3" w14:textId="77777777" w:rsidR="006601CA" w:rsidRDefault="006601CA" w:rsidP="00A111E9">
      <w:pPr>
        <w:rPr>
          <w:lang w:bidi="ar-SA"/>
        </w:rPr>
      </w:pPr>
    </w:p>
    <w:p w14:paraId="5C3C50F3" w14:textId="2D4FF581" w:rsidR="0022384F" w:rsidRDefault="00D53403" w:rsidP="00A111E9">
      <w:pPr>
        <w:rPr>
          <w:lang w:bidi="ar-SA"/>
        </w:rPr>
      </w:pPr>
      <w:r>
        <w:rPr>
          <w:lang w:bidi="ar-SA"/>
        </w:rPr>
        <w:t xml:space="preserve">Lau </w:t>
      </w:r>
      <w:r w:rsidR="00180A32" w:rsidRPr="00180A32">
        <w:rPr>
          <w:i/>
          <w:lang w:bidi="ar-SA"/>
        </w:rPr>
        <w:t xml:space="preserve">et al. </w:t>
      </w:r>
      <w:r w:rsidR="00713213">
        <w:rPr>
          <w:lang w:bidi="ar-SA"/>
        </w:rPr>
        <w:t xml:space="preserve"> </w:t>
      </w:r>
      <w:r>
        <w:rPr>
          <w:lang w:bidi="ar-SA"/>
        </w:rPr>
        <w:t xml:space="preserve">(2003) conducted a companion study to the Thibodeaux </w:t>
      </w:r>
      <w:r w:rsidR="00180A32" w:rsidRPr="00180A32">
        <w:rPr>
          <w:i/>
          <w:lang w:bidi="ar-SA"/>
        </w:rPr>
        <w:t xml:space="preserve">et al. </w:t>
      </w:r>
      <w:r w:rsidR="00713213">
        <w:rPr>
          <w:lang w:bidi="ar-SA"/>
        </w:rPr>
        <w:t xml:space="preserve"> </w:t>
      </w:r>
      <w:r>
        <w:rPr>
          <w:lang w:bidi="ar-SA"/>
        </w:rPr>
        <w:t xml:space="preserve">(2003) study, to assess the </w:t>
      </w:r>
      <w:r w:rsidR="00BE205C">
        <w:rPr>
          <w:lang w:bidi="ar-SA"/>
        </w:rPr>
        <w:t>post</w:t>
      </w:r>
      <w:r w:rsidR="00032CF6">
        <w:rPr>
          <w:lang w:bidi="ar-SA"/>
        </w:rPr>
        <w:t>natal</w:t>
      </w:r>
      <w:r>
        <w:rPr>
          <w:lang w:bidi="ar-SA"/>
        </w:rPr>
        <w:t xml:space="preserve"> effects of </w:t>
      </w:r>
      <w:r w:rsidRPr="000200BB">
        <w:rPr>
          <w:lang w:bidi="ar-SA"/>
        </w:rPr>
        <w:t>in utero</w:t>
      </w:r>
      <w:r>
        <w:rPr>
          <w:lang w:bidi="ar-SA"/>
        </w:rPr>
        <w:t xml:space="preserve"> PFOS exposure. PFOS potassium salt was administer</w:t>
      </w:r>
      <w:r w:rsidR="006601CA">
        <w:rPr>
          <w:lang w:bidi="ar-SA"/>
        </w:rPr>
        <w:t>e</w:t>
      </w:r>
      <w:r>
        <w:rPr>
          <w:lang w:bidi="ar-SA"/>
        </w:rPr>
        <w:t xml:space="preserve">d by oral gavage to </w:t>
      </w:r>
      <w:r w:rsidR="00DB14BE">
        <w:rPr>
          <w:lang w:bidi="ar-SA"/>
        </w:rPr>
        <w:t xml:space="preserve">pregnant </w:t>
      </w:r>
      <w:r>
        <w:rPr>
          <w:lang w:bidi="ar-SA"/>
        </w:rPr>
        <w:t xml:space="preserve">CD-1 mice </w:t>
      </w:r>
      <w:r w:rsidR="006E311F">
        <w:rPr>
          <w:lang w:bidi="ar-SA"/>
        </w:rPr>
        <w:t xml:space="preserve">at </w:t>
      </w:r>
      <w:r>
        <w:rPr>
          <w:lang w:bidi="ar-SA"/>
        </w:rPr>
        <w:t xml:space="preserve">doses of 0, 1, 5, 10, 15 and 20 mg/kg </w:t>
      </w:r>
      <w:r>
        <w:rPr>
          <w:lang w:bidi="ar-SA"/>
        </w:rPr>
        <w:lastRenderedPageBreak/>
        <w:t xml:space="preserve">bw/day from GDs 1 to 17. Time of parturition for each animal, number of live pups and the condition of the </w:t>
      </w:r>
      <w:r w:rsidR="00BE205C">
        <w:rPr>
          <w:lang w:bidi="ar-SA"/>
        </w:rPr>
        <w:t>newborn</w:t>
      </w:r>
      <w:r>
        <w:rPr>
          <w:lang w:bidi="ar-SA"/>
        </w:rPr>
        <w:t xml:space="preserve"> pups was assessed. The following day was designated P</w:t>
      </w:r>
      <w:r w:rsidR="006601CA">
        <w:rPr>
          <w:lang w:bidi="ar-SA"/>
        </w:rPr>
        <w:t>N</w:t>
      </w:r>
      <w:r>
        <w:rPr>
          <w:lang w:bidi="ar-SA"/>
        </w:rPr>
        <w:t xml:space="preserve">D 1. </w:t>
      </w:r>
      <w:r w:rsidR="00DB14BE">
        <w:rPr>
          <w:lang w:bidi="ar-SA"/>
        </w:rPr>
        <w:t>Age at eye</w:t>
      </w:r>
      <w:r w:rsidR="001012A5">
        <w:rPr>
          <w:lang w:bidi="ar-SA"/>
        </w:rPr>
        <w:t>-</w:t>
      </w:r>
      <w:r w:rsidR="00DB14BE">
        <w:rPr>
          <w:lang w:bidi="ar-SA"/>
        </w:rPr>
        <w:t>opening was tracked from P</w:t>
      </w:r>
      <w:r w:rsidR="006601CA">
        <w:rPr>
          <w:lang w:bidi="ar-SA"/>
        </w:rPr>
        <w:t>N</w:t>
      </w:r>
      <w:r w:rsidR="00DB14BE">
        <w:rPr>
          <w:lang w:bidi="ar-SA"/>
        </w:rPr>
        <w:t>D 12 and all pups were weaned on P</w:t>
      </w:r>
      <w:r w:rsidR="006601CA">
        <w:rPr>
          <w:lang w:bidi="ar-SA"/>
        </w:rPr>
        <w:t>N</w:t>
      </w:r>
      <w:r w:rsidR="00DB14BE">
        <w:rPr>
          <w:lang w:bidi="ar-SA"/>
        </w:rPr>
        <w:t>D 21. In a separate study pregnant mice were given PFOS as described above. Pups of both genders were sacrificed within 2-4 hours of birth and on P</w:t>
      </w:r>
      <w:r w:rsidR="006601CA">
        <w:rPr>
          <w:lang w:bidi="ar-SA"/>
        </w:rPr>
        <w:t>N</w:t>
      </w:r>
      <w:r w:rsidR="00DB14BE">
        <w:rPr>
          <w:lang w:bidi="ar-SA"/>
        </w:rPr>
        <w:t>Ds 3, 7, 14, 21, 28 and 35, and liver and blood samples were taken for</w:t>
      </w:r>
      <w:r w:rsidR="00186AF0">
        <w:rPr>
          <w:lang w:bidi="ar-SA"/>
        </w:rPr>
        <w:t xml:space="preserve"> weight and thyroid hormone</w:t>
      </w:r>
      <w:r w:rsidR="00DB14BE">
        <w:rPr>
          <w:lang w:bidi="ar-SA"/>
        </w:rPr>
        <w:t xml:space="preserve"> analysis</w:t>
      </w:r>
      <w:r w:rsidR="00186AF0">
        <w:rPr>
          <w:lang w:bidi="ar-SA"/>
        </w:rPr>
        <w:t>, respectively</w:t>
      </w:r>
      <w:r w:rsidR="00DB14BE">
        <w:rPr>
          <w:lang w:bidi="ar-SA"/>
        </w:rPr>
        <w:t>.</w:t>
      </w:r>
    </w:p>
    <w:p w14:paraId="3E7B0839" w14:textId="77777777" w:rsidR="00DB14BE" w:rsidRDefault="00DB14BE" w:rsidP="00A111E9">
      <w:pPr>
        <w:rPr>
          <w:lang w:bidi="ar-SA"/>
        </w:rPr>
      </w:pPr>
    </w:p>
    <w:p w14:paraId="6B561506" w14:textId="21AB7134" w:rsidR="00DB14BE" w:rsidRDefault="00C869B5" w:rsidP="00A111E9">
      <w:pPr>
        <w:rPr>
          <w:lang w:bidi="ar-SA"/>
        </w:rPr>
      </w:pPr>
      <w:r>
        <w:rPr>
          <w:lang w:bidi="ar-SA"/>
        </w:rPr>
        <w:t xml:space="preserve">Prenatal PFOS exposure reduced the postnatal survival of mice in a dose-dependent manner. Most offspring from dams administered 15 or 20 mg/kg bw/day did not survive for 24 hours after birth, while 50% mortality was seen at 10 mg/kg bw/day. Survival of pups from the 1 and 5 mg/kg bw/day dams was similar to controls. </w:t>
      </w:r>
      <w:r w:rsidR="00186AF0">
        <w:rPr>
          <w:lang w:bidi="ar-SA"/>
        </w:rPr>
        <w:t>Relative liver weights were significantly increased compared to controls in a dose</w:t>
      </w:r>
      <w:r w:rsidR="001012A5">
        <w:rPr>
          <w:lang w:bidi="ar-SA"/>
        </w:rPr>
        <w:t>-</w:t>
      </w:r>
      <w:r w:rsidR="00186AF0">
        <w:rPr>
          <w:lang w:bidi="ar-SA"/>
        </w:rPr>
        <w:t xml:space="preserve">dependent manner at doses </w:t>
      </w:r>
      <w:r w:rsidR="00186AF0">
        <w:rPr>
          <w:rFonts w:cs="Arial"/>
          <w:lang w:bidi="ar-SA"/>
        </w:rPr>
        <w:t>≥</w:t>
      </w:r>
      <w:r w:rsidR="00186AF0">
        <w:rPr>
          <w:lang w:bidi="ar-SA"/>
        </w:rPr>
        <w:t xml:space="preserve"> 5 mg/kg bw/day. No signif</w:t>
      </w:r>
      <w:r w:rsidR="006601CA">
        <w:rPr>
          <w:lang w:bidi="ar-SA"/>
        </w:rPr>
        <w:t>i</w:t>
      </w:r>
      <w:r w:rsidR="00186AF0">
        <w:rPr>
          <w:lang w:bidi="ar-SA"/>
        </w:rPr>
        <w:t>cant effects of PFOS treatment on serum T4 levels were found. A significant delay in eye</w:t>
      </w:r>
      <w:r w:rsidR="001012A5">
        <w:rPr>
          <w:lang w:bidi="ar-SA"/>
        </w:rPr>
        <w:t>-</w:t>
      </w:r>
      <w:r w:rsidR="00186AF0">
        <w:rPr>
          <w:lang w:bidi="ar-SA"/>
        </w:rPr>
        <w:t>opening was detected in PFOS</w:t>
      </w:r>
      <w:r w:rsidR="001012A5">
        <w:rPr>
          <w:lang w:bidi="ar-SA"/>
        </w:rPr>
        <w:t xml:space="preserve"> </w:t>
      </w:r>
      <w:r w:rsidR="00186AF0">
        <w:rPr>
          <w:lang w:bidi="ar-SA"/>
        </w:rPr>
        <w:t>exposed offspring</w:t>
      </w:r>
      <w:r w:rsidR="003D6D69">
        <w:rPr>
          <w:lang w:bidi="ar-SA"/>
        </w:rPr>
        <w:t xml:space="preserve"> (P</w:t>
      </w:r>
      <w:r w:rsidR="006601CA">
        <w:rPr>
          <w:lang w:bidi="ar-SA"/>
        </w:rPr>
        <w:t>N</w:t>
      </w:r>
      <w:r w:rsidR="003D6D69">
        <w:rPr>
          <w:lang w:bidi="ar-SA"/>
        </w:rPr>
        <w:t xml:space="preserve">D 14.8 </w:t>
      </w:r>
      <w:r w:rsidR="003D6D69">
        <w:rPr>
          <w:rFonts w:cs="Arial"/>
          <w:lang w:bidi="ar-SA"/>
        </w:rPr>
        <w:t>±</w:t>
      </w:r>
      <w:r w:rsidR="003D6D69">
        <w:rPr>
          <w:lang w:bidi="ar-SA"/>
        </w:rPr>
        <w:t xml:space="preserve"> 0.1 in controls versus 15.1 </w:t>
      </w:r>
      <w:r w:rsidR="003D6D69">
        <w:rPr>
          <w:rFonts w:cs="Arial"/>
          <w:lang w:bidi="ar-SA"/>
        </w:rPr>
        <w:t>±</w:t>
      </w:r>
      <w:r w:rsidR="003D6D69">
        <w:rPr>
          <w:lang w:bidi="ar-SA"/>
        </w:rPr>
        <w:t xml:space="preserve"> 0</w:t>
      </w:r>
      <w:r w:rsidR="006E311F">
        <w:rPr>
          <w:lang w:bidi="ar-SA"/>
        </w:rPr>
        <w:t>.</w:t>
      </w:r>
      <w:r w:rsidR="003D6D69">
        <w:rPr>
          <w:lang w:bidi="ar-SA"/>
        </w:rPr>
        <w:t xml:space="preserve">1, 15.5 </w:t>
      </w:r>
      <w:r w:rsidR="003D6D69">
        <w:rPr>
          <w:rFonts w:cs="Arial"/>
          <w:lang w:bidi="ar-SA"/>
        </w:rPr>
        <w:t>±</w:t>
      </w:r>
      <w:r w:rsidR="003D6D69">
        <w:rPr>
          <w:lang w:bidi="ar-SA"/>
        </w:rPr>
        <w:t xml:space="preserve"> 0.1 and 15.6 </w:t>
      </w:r>
      <w:r w:rsidR="003D6D69">
        <w:rPr>
          <w:rFonts w:cs="Arial"/>
          <w:lang w:bidi="ar-SA"/>
        </w:rPr>
        <w:t>±</w:t>
      </w:r>
      <w:r w:rsidR="003D6D69">
        <w:rPr>
          <w:lang w:bidi="ar-SA"/>
        </w:rPr>
        <w:t xml:space="preserve"> 0.1 at 1, 5 and 10 mg/kg bw/day respectively)</w:t>
      </w:r>
      <w:r w:rsidR="00186AF0">
        <w:rPr>
          <w:lang w:bidi="ar-SA"/>
        </w:rPr>
        <w:t xml:space="preserve">. </w:t>
      </w:r>
      <w:r w:rsidR="003D6D69">
        <w:rPr>
          <w:lang w:bidi="ar-SA"/>
        </w:rPr>
        <w:t xml:space="preserve">Lau </w:t>
      </w:r>
      <w:r w:rsidR="00180A32" w:rsidRPr="00180A32">
        <w:rPr>
          <w:i/>
          <w:lang w:bidi="ar-SA"/>
        </w:rPr>
        <w:t xml:space="preserve">et al. </w:t>
      </w:r>
      <w:r w:rsidR="00713213">
        <w:rPr>
          <w:lang w:bidi="ar-SA"/>
        </w:rPr>
        <w:t xml:space="preserve"> </w:t>
      </w:r>
      <w:r w:rsidR="003D6D69">
        <w:rPr>
          <w:lang w:bidi="ar-SA"/>
        </w:rPr>
        <w:t xml:space="preserve">do not specify at which doses the delay was statistically significant, but the US EPA (2016) reported that the delay was significant at </w:t>
      </w:r>
      <w:r w:rsidR="003D6D69">
        <w:rPr>
          <w:rFonts w:cs="Arial"/>
          <w:lang w:bidi="ar-SA"/>
        </w:rPr>
        <w:t>≥</w:t>
      </w:r>
      <w:r w:rsidR="003D6D69">
        <w:rPr>
          <w:lang w:bidi="ar-SA"/>
        </w:rPr>
        <w:t xml:space="preserve"> 5 mg/kg bw/day.</w:t>
      </w:r>
    </w:p>
    <w:p w14:paraId="50078297" w14:textId="77777777" w:rsidR="003D6D69" w:rsidRDefault="003D6D69" w:rsidP="00A111E9">
      <w:pPr>
        <w:rPr>
          <w:lang w:bidi="ar-SA"/>
        </w:rPr>
      </w:pPr>
    </w:p>
    <w:p w14:paraId="12DE4AA0" w14:textId="6103675E" w:rsidR="003D6D69" w:rsidRDefault="00F54646" w:rsidP="00A111E9">
      <w:pPr>
        <w:rPr>
          <w:lang w:bidi="ar-SA"/>
        </w:rPr>
      </w:pPr>
      <w:r>
        <w:rPr>
          <w:lang w:bidi="ar-SA"/>
        </w:rPr>
        <w:t>T</w:t>
      </w:r>
      <w:r w:rsidR="005A540E">
        <w:rPr>
          <w:lang w:bidi="ar-SA"/>
        </w:rPr>
        <w:t>he NOAEL</w:t>
      </w:r>
      <w:r w:rsidR="00DB0D50">
        <w:rPr>
          <w:lang w:bidi="ar-SA"/>
        </w:rPr>
        <w:t xml:space="preserve"> for offspring toxicity</w:t>
      </w:r>
      <w:r w:rsidR="005A540E">
        <w:rPr>
          <w:lang w:bidi="ar-SA"/>
        </w:rPr>
        <w:t xml:space="preserve"> is 1 mg/kg bw/day, based on increased liver weights and delays in eye</w:t>
      </w:r>
      <w:r w:rsidR="001012A5">
        <w:rPr>
          <w:lang w:bidi="ar-SA"/>
        </w:rPr>
        <w:t>-</w:t>
      </w:r>
      <w:r w:rsidR="005A540E">
        <w:rPr>
          <w:lang w:bidi="ar-SA"/>
        </w:rPr>
        <w:t xml:space="preserve">opening at 5 mg/kg bw/day. </w:t>
      </w:r>
      <w:r w:rsidR="00EC51C8">
        <w:rPr>
          <w:lang w:bidi="ar-SA"/>
        </w:rPr>
        <w:t xml:space="preserve">The maternal serum PFOS concentration at this dose, measured on GD 18, was 9 </w:t>
      </w:r>
      <w:r w:rsidR="00EC51C8">
        <w:rPr>
          <w:rFonts w:cs="Arial"/>
          <w:lang w:bidi="ar-SA"/>
        </w:rPr>
        <w:t>µ</w:t>
      </w:r>
      <w:r w:rsidR="00D60FEF">
        <w:rPr>
          <w:lang w:bidi="ar-SA"/>
        </w:rPr>
        <w:t>g/mL</w:t>
      </w:r>
      <w:r w:rsidR="00EC51C8">
        <w:rPr>
          <w:lang w:bidi="ar-SA"/>
        </w:rPr>
        <w:t>.</w:t>
      </w:r>
    </w:p>
    <w:p w14:paraId="17644E42" w14:textId="086CDE9D" w:rsidR="007D1462" w:rsidRDefault="007D1462" w:rsidP="00A111E9">
      <w:pPr>
        <w:rPr>
          <w:lang w:bidi="ar-SA"/>
        </w:rPr>
      </w:pPr>
    </w:p>
    <w:p w14:paraId="67476525" w14:textId="52682BD9" w:rsidR="007D1462" w:rsidRDefault="007D1462" w:rsidP="00A111E9">
      <w:pPr>
        <w:rPr>
          <w:lang w:bidi="ar-SA"/>
        </w:rPr>
      </w:pPr>
      <w:r>
        <w:rPr>
          <w:lang w:bidi="ar-SA"/>
        </w:rPr>
        <w:t xml:space="preserve">Serum PFOS concentrations in the mouse dams were only presented in graphical form in the published study paper. However, numerical values were reported in Lau </w:t>
      </w:r>
      <w:r w:rsidR="00180A32" w:rsidRPr="00180A32">
        <w:rPr>
          <w:i/>
          <w:lang w:bidi="ar-SA"/>
        </w:rPr>
        <w:t xml:space="preserve">et al. </w:t>
      </w:r>
      <w:r w:rsidR="00713213">
        <w:rPr>
          <w:lang w:bidi="ar-SA"/>
        </w:rPr>
        <w:t xml:space="preserve"> </w:t>
      </w:r>
      <w:r>
        <w:rPr>
          <w:lang w:bidi="ar-SA"/>
        </w:rPr>
        <w:t xml:space="preserve">(2007) and are presented in </w:t>
      </w:r>
      <w:r w:rsidR="006E5C5A">
        <w:rPr>
          <w:lang w:bidi="ar-SA"/>
        </w:rPr>
        <w:fldChar w:fldCharType="begin"/>
      </w:r>
      <w:r w:rsidR="006E5C5A">
        <w:rPr>
          <w:lang w:bidi="ar-SA"/>
        </w:rPr>
        <w:instrText xml:space="preserve"> REF _Ref467846959 \h </w:instrText>
      </w:r>
      <w:r w:rsidR="006E5C5A">
        <w:rPr>
          <w:lang w:bidi="ar-SA"/>
        </w:rPr>
      </w:r>
      <w:r w:rsidR="006E5C5A">
        <w:rPr>
          <w:lang w:bidi="ar-SA"/>
        </w:rPr>
        <w:fldChar w:fldCharType="separate"/>
      </w:r>
      <w:r w:rsidR="00F4394A">
        <w:t xml:space="preserve">Table </w:t>
      </w:r>
      <w:r w:rsidR="00F4394A">
        <w:rPr>
          <w:noProof/>
        </w:rPr>
        <w:t>10</w:t>
      </w:r>
      <w:r w:rsidR="006E5C5A">
        <w:rPr>
          <w:lang w:bidi="ar-SA"/>
        </w:rPr>
        <w:fldChar w:fldCharType="end"/>
      </w:r>
      <w:r>
        <w:rPr>
          <w:lang w:bidi="ar-SA"/>
        </w:rPr>
        <w:t>.</w:t>
      </w:r>
    </w:p>
    <w:p w14:paraId="390019CE" w14:textId="77777777" w:rsidR="007D1462" w:rsidRDefault="007D1462" w:rsidP="00A111E9">
      <w:pPr>
        <w:rPr>
          <w:lang w:bidi="ar-SA"/>
        </w:rPr>
      </w:pPr>
    </w:p>
    <w:p w14:paraId="6A04B2F1" w14:textId="7EBB3BD3" w:rsidR="00726D19" w:rsidRPr="00726D19" w:rsidRDefault="006E5C5A" w:rsidP="00A111E9">
      <w:pPr>
        <w:pStyle w:val="FSTableTitle"/>
      </w:pPr>
      <w:bookmarkStart w:id="141" w:name="_Ref467846959"/>
      <w:r>
        <w:t xml:space="preserve">Table </w:t>
      </w:r>
      <w:r w:rsidR="00BC19E6">
        <w:fldChar w:fldCharType="begin"/>
      </w:r>
      <w:r w:rsidR="00BC19E6">
        <w:instrText xml:space="preserve"> SEQ Table \* ARABIC </w:instrText>
      </w:r>
      <w:r w:rsidR="00BC19E6">
        <w:fldChar w:fldCharType="separate"/>
      </w:r>
      <w:r w:rsidR="00F4394A">
        <w:rPr>
          <w:noProof/>
        </w:rPr>
        <w:t>10</w:t>
      </w:r>
      <w:r w:rsidR="00BC19E6">
        <w:rPr>
          <w:noProof/>
        </w:rPr>
        <w:fldChar w:fldCharType="end"/>
      </w:r>
      <w:bookmarkEnd w:id="141"/>
      <w:r w:rsidR="00BE256E">
        <w:rPr>
          <w:b w:val="0"/>
        </w:rPr>
        <w:t>:</w:t>
      </w:r>
      <w:r>
        <w:t xml:space="preserve"> Maternal serum PFOS concentrations measured by Lau </w:t>
      </w:r>
      <w:r w:rsidR="00180A32" w:rsidRPr="00180A32">
        <w:rPr>
          <w:i/>
        </w:rPr>
        <w:t xml:space="preserve">et al. </w:t>
      </w:r>
      <w:r w:rsidR="00F22DA6">
        <w:t xml:space="preserve"> </w:t>
      </w:r>
      <w:r w:rsidR="00535C77">
        <w:t xml:space="preserve">2003 and Thibodeaux </w:t>
      </w:r>
      <w:r w:rsidR="00180A32" w:rsidRPr="00180A32">
        <w:rPr>
          <w:i/>
        </w:rPr>
        <w:t xml:space="preserve">et al. </w:t>
      </w:r>
      <w:r w:rsidR="00713213">
        <w:t xml:space="preserve"> </w:t>
      </w:r>
      <w:r>
        <w:t>(2003)</w:t>
      </w:r>
    </w:p>
    <w:tbl>
      <w:tblPr>
        <w:tblStyle w:val="TableGrid5"/>
        <w:tblW w:w="0" w:type="auto"/>
        <w:tblInd w:w="250" w:type="dxa"/>
        <w:tblLook w:val="04A0" w:firstRow="1" w:lastRow="0" w:firstColumn="1" w:lastColumn="0" w:noHBand="0" w:noVBand="1"/>
        <w:tblCaption w:val="Table 10: Maternal serum PFOS concentrations measured by Lau et al.  2003 and Thibodeaux et al. (2003)"/>
        <w:tblDescription w:val="This table contains data relating to serum levels of perfluorooctane sulfonate in pregnant CD-1 mouse Dams after oral gavage administration from GD 1 to GD 17."/>
      </w:tblPr>
      <w:tblGrid>
        <w:gridCol w:w="1143"/>
        <w:gridCol w:w="1472"/>
        <w:gridCol w:w="1472"/>
        <w:gridCol w:w="1473"/>
        <w:gridCol w:w="1472"/>
        <w:gridCol w:w="1473"/>
      </w:tblGrid>
      <w:tr w:rsidR="007D1462" w:rsidRPr="00B94127" w14:paraId="5CF0A489" w14:textId="77777777" w:rsidTr="00A111E9">
        <w:trPr>
          <w:trHeight w:val="100"/>
          <w:tblHeader/>
        </w:trPr>
        <w:tc>
          <w:tcPr>
            <w:tcW w:w="8505" w:type="dxa"/>
            <w:gridSpan w:val="6"/>
            <w:shd w:val="clear" w:color="auto" w:fill="F2F2F2" w:themeFill="background1" w:themeFillShade="F2"/>
          </w:tcPr>
          <w:p w14:paraId="6DFEA444" w14:textId="0D44CF5D" w:rsidR="007D1462" w:rsidRPr="00B94127" w:rsidRDefault="007D1462" w:rsidP="007C3D18">
            <w:pPr>
              <w:pStyle w:val="FSTableHeading"/>
              <w:spacing w:before="60" w:after="60"/>
              <w:jc w:val="left"/>
            </w:pPr>
            <w:r w:rsidRPr="00B94127">
              <w:rPr>
                <w:lang w:bidi="ar-SA"/>
              </w:rPr>
              <w:t xml:space="preserve">Serum </w:t>
            </w:r>
            <w:r w:rsidR="007C3D18">
              <w:rPr>
                <w:lang w:bidi="ar-SA"/>
              </w:rPr>
              <w:t>l</w:t>
            </w:r>
            <w:r w:rsidR="007C3D18" w:rsidRPr="00B94127">
              <w:rPr>
                <w:lang w:bidi="ar-SA"/>
              </w:rPr>
              <w:t xml:space="preserve">evels </w:t>
            </w:r>
            <w:r w:rsidRPr="00B94127">
              <w:rPr>
                <w:lang w:bidi="ar-SA"/>
              </w:rPr>
              <w:t xml:space="preserve">of PFOS </w:t>
            </w:r>
            <w:r w:rsidRPr="00B94127">
              <w:t>(</w:t>
            </w:r>
            <w:r w:rsidR="00CB500B">
              <w:t>µg/mL</w:t>
            </w:r>
            <w:r w:rsidRPr="00B94127">
              <w:t xml:space="preserve">) in pregnant </w:t>
            </w:r>
            <w:r>
              <w:t>CD-1 mouse</w:t>
            </w:r>
            <w:r w:rsidRPr="00B94127">
              <w:t xml:space="preserve"> Dams after </w:t>
            </w:r>
            <w:r w:rsidR="007C3D18">
              <w:t>o</w:t>
            </w:r>
            <w:r w:rsidR="007C3D18" w:rsidRPr="00B94127">
              <w:t>ra</w:t>
            </w:r>
            <w:r w:rsidR="007C3D18">
              <w:t xml:space="preserve">l gavage administration </w:t>
            </w:r>
            <w:r>
              <w:t>from GD</w:t>
            </w:r>
            <w:r w:rsidR="007C3D18">
              <w:t xml:space="preserve"> </w:t>
            </w:r>
            <w:r>
              <w:t>1</w:t>
            </w:r>
            <w:r w:rsidRPr="00B94127">
              <w:t xml:space="preserve"> to GD</w:t>
            </w:r>
            <w:r w:rsidR="007C3D18">
              <w:t xml:space="preserve"> </w:t>
            </w:r>
            <w:r>
              <w:t>17</w:t>
            </w:r>
            <w:r w:rsidRPr="00B94127">
              <w:t xml:space="preserve"> </w:t>
            </w:r>
          </w:p>
        </w:tc>
      </w:tr>
      <w:tr w:rsidR="007D1462" w:rsidRPr="00B94127" w14:paraId="496D666D" w14:textId="77777777" w:rsidTr="00A111E9">
        <w:trPr>
          <w:trHeight w:val="100"/>
          <w:tblHeader/>
        </w:trPr>
        <w:tc>
          <w:tcPr>
            <w:tcW w:w="1143" w:type="dxa"/>
            <w:vMerge w:val="restart"/>
            <w:shd w:val="clear" w:color="auto" w:fill="F2F2F2" w:themeFill="background1" w:themeFillShade="F2"/>
            <w:vAlign w:val="bottom"/>
          </w:tcPr>
          <w:p w14:paraId="16E501E6" w14:textId="77777777" w:rsidR="007D1462" w:rsidRPr="000B3C14" w:rsidRDefault="007D1462" w:rsidP="00A111E9">
            <w:pPr>
              <w:spacing w:after="40"/>
              <w:rPr>
                <w:rFonts w:ascii="Arial" w:hAnsi="Arial"/>
                <w:b/>
                <w:sz w:val="18"/>
              </w:rPr>
            </w:pPr>
            <w:r w:rsidRPr="00D711DD">
              <w:rPr>
                <w:b/>
                <w:sz w:val="18"/>
              </w:rPr>
              <w:t>Day</w:t>
            </w:r>
          </w:p>
        </w:tc>
        <w:tc>
          <w:tcPr>
            <w:tcW w:w="7362" w:type="dxa"/>
            <w:gridSpan w:val="5"/>
            <w:shd w:val="clear" w:color="auto" w:fill="F2F2F2" w:themeFill="background1" w:themeFillShade="F2"/>
          </w:tcPr>
          <w:p w14:paraId="6A869E22" w14:textId="4C83F8F1" w:rsidR="007D1462" w:rsidRPr="00F6284E" w:rsidRDefault="00726D19" w:rsidP="00230E14">
            <w:pPr>
              <w:spacing w:before="40" w:after="40"/>
              <w:jc w:val="center"/>
              <w:rPr>
                <w:rFonts w:ascii="Arial" w:hAnsi="Arial"/>
                <w:b/>
                <w:sz w:val="18"/>
              </w:rPr>
            </w:pPr>
            <w:r w:rsidRPr="00F6284E">
              <w:rPr>
                <w:b/>
                <w:sz w:val="18"/>
              </w:rPr>
              <w:t xml:space="preserve">Oral </w:t>
            </w:r>
            <w:r w:rsidR="007D1462" w:rsidRPr="00F6284E">
              <w:rPr>
                <w:b/>
                <w:sz w:val="18"/>
              </w:rPr>
              <w:t>K</w:t>
            </w:r>
            <w:r w:rsidR="007D1462" w:rsidRPr="00B217C6">
              <w:rPr>
                <w:b/>
                <w:sz w:val="18"/>
                <w:vertAlign w:val="superscript"/>
              </w:rPr>
              <w:t>+</w:t>
            </w:r>
            <w:r w:rsidR="007D1462" w:rsidRPr="00F6284E">
              <w:rPr>
                <w:b/>
                <w:sz w:val="18"/>
              </w:rPr>
              <w:t>PFOS concentration (mg/kg</w:t>
            </w:r>
            <w:r w:rsidR="00B06C4E" w:rsidRPr="00F6284E">
              <w:rPr>
                <w:b/>
                <w:sz w:val="18"/>
              </w:rPr>
              <w:t xml:space="preserve"> bw</w:t>
            </w:r>
            <w:r w:rsidR="007D1462" w:rsidRPr="00F6284E">
              <w:rPr>
                <w:b/>
                <w:sz w:val="18"/>
              </w:rPr>
              <w:t>/day)</w:t>
            </w:r>
          </w:p>
        </w:tc>
      </w:tr>
      <w:tr w:rsidR="007D1462" w:rsidRPr="00B94127" w14:paraId="4541DFD1" w14:textId="77777777" w:rsidTr="00A111E9">
        <w:trPr>
          <w:trHeight w:val="100"/>
          <w:tblHeader/>
        </w:trPr>
        <w:tc>
          <w:tcPr>
            <w:tcW w:w="1143" w:type="dxa"/>
            <w:vMerge/>
            <w:shd w:val="clear" w:color="auto" w:fill="F2F2F2" w:themeFill="background1" w:themeFillShade="F2"/>
          </w:tcPr>
          <w:p w14:paraId="04FF48E8" w14:textId="77777777" w:rsidR="007D1462" w:rsidRPr="00F6284E" w:rsidRDefault="007D1462" w:rsidP="00A111E9">
            <w:pPr>
              <w:rPr>
                <w:rFonts w:ascii="Arial" w:hAnsi="Arial"/>
                <w:b/>
                <w:sz w:val="18"/>
              </w:rPr>
            </w:pPr>
          </w:p>
        </w:tc>
        <w:tc>
          <w:tcPr>
            <w:tcW w:w="1472" w:type="dxa"/>
            <w:shd w:val="clear" w:color="auto" w:fill="F2F2F2" w:themeFill="background1" w:themeFillShade="F2"/>
          </w:tcPr>
          <w:p w14:paraId="509C8F92" w14:textId="77777777" w:rsidR="007D1462" w:rsidRPr="00F6284E" w:rsidRDefault="007D1462" w:rsidP="00230E14">
            <w:pPr>
              <w:spacing w:before="40" w:after="40"/>
              <w:jc w:val="right"/>
              <w:rPr>
                <w:rFonts w:ascii="Arial" w:hAnsi="Arial"/>
                <w:b/>
                <w:sz w:val="18"/>
              </w:rPr>
            </w:pPr>
            <w:r w:rsidRPr="00F6284E">
              <w:rPr>
                <w:b/>
                <w:sz w:val="18"/>
              </w:rPr>
              <w:t>1</w:t>
            </w:r>
          </w:p>
        </w:tc>
        <w:tc>
          <w:tcPr>
            <w:tcW w:w="1472" w:type="dxa"/>
            <w:shd w:val="clear" w:color="auto" w:fill="F2F2F2" w:themeFill="background1" w:themeFillShade="F2"/>
          </w:tcPr>
          <w:p w14:paraId="213CC316" w14:textId="106EB4C5" w:rsidR="007D1462" w:rsidRPr="00F6284E" w:rsidRDefault="00E501BC" w:rsidP="00230E14">
            <w:pPr>
              <w:spacing w:before="40" w:after="40"/>
              <w:jc w:val="right"/>
              <w:rPr>
                <w:rFonts w:ascii="Arial" w:hAnsi="Arial"/>
                <w:b/>
                <w:sz w:val="18"/>
              </w:rPr>
            </w:pPr>
            <w:r w:rsidRPr="00F6284E">
              <w:rPr>
                <w:b/>
                <w:sz w:val="18"/>
              </w:rPr>
              <w:t>5</w:t>
            </w:r>
          </w:p>
        </w:tc>
        <w:tc>
          <w:tcPr>
            <w:tcW w:w="1473" w:type="dxa"/>
            <w:shd w:val="clear" w:color="auto" w:fill="F2F2F2" w:themeFill="background1" w:themeFillShade="F2"/>
          </w:tcPr>
          <w:p w14:paraId="3314DDD0" w14:textId="5E05CDB6" w:rsidR="007D1462" w:rsidRPr="00F6284E" w:rsidRDefault="00E501BC" w:rsidP="00230E14">
            <w:pPr>
              <w:spacing w:before="40" w:after="40"/>
              <w:jc w:val="right"/>
              <w:rPr>
                <w:rFonts w:ascii="Arial" w:hAnsi="Arial"/>
                <w:b/>
                <w:sz w:val="18"/>
              </w:rPr>
            </w:pPr>
            <w:r w:rsidRPr="00F6284E">
              <w:rPr>
                <w:b/>
                <w:sz w:val="18"/>
              </w:rPr>
              <w:t>10</w:t>
            </w:r>
          </w:p>
        </w:tc>
        <w:tc>
          <w:tcPr>
            <w:tcW w:w="1472" w:type="dxa"/>
            <w:shd w:val="clear" w:color="auto" w:fill="F2F2F2" w:themeFill="background1" w:themeFillShade="F2"/>
          </w:tcPr>
          <w:p w14:paraId="428E3E98" w14:textId="49ECB0AE" w:rsidR="007D1462" w:rsidRPr="00F6284E" w:rsidRDefault="00E501BC" w:rsidP="00230E14">
            <w:pPr>
              <w:spacing w:before="40" w:after="40"/>
              <w:jc w:val="right"/>
              <w:rPr>
                <w:rFonts w:ascii="Arial" w:hAnsi="Arial"/>
                <w:b/>
                <w:sz w:val="18"/>
              </w:rPr>
            </w:pPr>
            <w:r w:rsidRPr="00F6284E">
              <w:rPr>
                <w:b/>
                <w:sz w:val="18"/>
              </w:rPr>
              <w:t>15</w:t>
            </w:r>
          </w:p>
        </w:tc>
        <w:tc>
          <w:tcPr>
            <w:tcW w:w="1473" w:type="dxa"/>
            <w:shd w:val="clear" w:color="auto" w:fill="F2F2F2" w:themeFill="background1" w:themeFillShade="F2"/>
          </w:tcPr>
          <w:p w14:paraId="66041260" w14:textId="7365C13C" w:rsidR="007D1462" w:rsidRPr="00F6284E" w:rsidRDefault="00E501BC" w:rsidP="00230E14">
            <w:pPr>
              <w:spacing w:before="40" w:after="40"/>
              <w:jc w:val="right"/>
              <w:rPr>
                <w:rFonts w:ascii="Arial" w:hAnsi="Arial"/>
                <w:b/>
                <w:sz w:val="18"/>
              </w:rPr>
            </w:pPr>
            <w:r w:rsidRPr="00F6284E">
              <w:rPr>
                <w:b/>
                <w:sz w:val="18"/>
              </w:rPr>
              <w:t>20</w:t>
            </w:r>
          </w:p>
        </w:tc>
      </w:tr>
      <w:tr w:rsidR="007D1462" w:rsidRPr="00B94127" w14:paraId="4167091A" w14:textId="77777777" w:rsidTr="00F6284E">
        <w:trPr>
          <w:trHeight w:val="283"/>
        </w:trPr>
        <w:tc>
          <w:tcPr>
            <w:tcW w:w="8505" w:type="dxa"/>
            <w:gridSpan w:val="6"/>
            <w:vAlign w:val="center"/>
          </w:tcPr>
          <w:p w14:paraId="69DC3EED" w14:textId="3EF54826" w:rsidR="007D1462" w:rsidRPr="00F6284E" w:rsidRDefault="00EC51C8" w:rsidP="00A111E9">
            <w:pPr>
              <w:rPr>
                <w:rFonts w:ascii="Arial" w:hAnsi="Arial"/>
                <w:sz w:val="18"/>
              </w:rPr>
            </w:pPr>
            <w:r w:rsidRPr="00D711DD">
              <w:rPr>
                <w:sz w:val="18"/>
              </w:rPr>
              <w:t>GD</w:t>
            </w:r>
            <w:r w:rsidR="00685591">
              <w:rPr>
                <w:sz w:val="18"/>
              </w:rPr>
              <w:t xml:space="preserve"> </w:t>
            </w:r>
            <w:r w:rsidRPr="00D711DD">
              <w:rPr>
                <w:sz w:val="18"/>
              </w:rPr>
              <w:t>18</w:t>
            </w:r>
            <w:r w:rsidR="007D1462" w:rsidRPr="000B3C14">
              <w:rPr>
                <w:sz w:val="18"/>
              </w:rPr>
              <w:t xml:space="preserve"> – Termination</w:t>
            </w:r>
          </w:p>
        </w:tc>
      </w:tr>
      <w:tr w:rsidR="007D1462" w:rsidRPr="00B94127" w14:paraId="51897240" w14:textId="77777777" w:rsidTr="00F6284E">
        <w:trPr>
          <w:trHeight w:val="283"/>
        </w:trPr>
        <w:tc>
          <w:tcPr>
            <w:tcW w:w="1143" w:type="dxa"/>
            <w:vAlign w:val="center"/>
          </w:tcPr>
          <w:p w14:paraId="28D4FFB7" w14:textId="77777777" w:rsidR="007D1462" w:rsidRPr="00F6284E" w:rsidRDefault="007D1462" w:rsidP="00A111E9">
            <w:pPr>
              <w:rPr>
                <w:rFonts w:ascii="Arial" w:hAnsi="Arial"/>
                <w:sz w:val="18"/>
                <w:vertAlign w:val="superscript"/>
              </w:rPr>
            </w:pPr>
            <w:r w:rsidRPr="00D711DD">
              <w:rPr>
                <w:sz w:val="18"/>
              </w:rPr>
              <w:t>Dams</w:t>
            </w:r>
            <w:r w:rsidRPr="000B3C14">
              <w:rPr>
                <w:sz w:val="18"/>
                <w:vertAlign w:val="superscript"/>
              </w:rPr>
              <w:t>1</w:t>
            </w:r>
          </w:p>
        </w:tc>
        <w:tc>
          <w:tcPr>
            <w:tcW w:w="1472" w:type="dxa"/>
            <w:vAlign w:val="center"/>
          </w:tcPr>
          <w:p w14:paraId="0E62DE15" w14:textId="4092EE05" w:rsidR="007D1462" w:rsidRPr="00F6284E" w:rsidRDefault="00E501BC" w:rsidP="00230E14">
            <w:pPr>
              <w:jc w:val="right"/>
              <w:rPr>
                <w:rFonts w:ascii="Arial" w:hAnsi="Arial"/>
                <w:sz w:val="18"/>
              </w:rPr>
            </w:pPr>
            <w:r w:rsidRPr="00F6284E">
              <w:rPr>
                <w:sz w:val="18"/>
              </w:rPr>
              <w:t>9</w:t>
            </w:r>
          </w:p>
        </w:tc>
        <w:tc>
          <w:tcPr>
            <w:tcW w:w="1472" w:type="dxa"/>
            <w:vAlign w:val="center"/>
          </w:tcPr>
          <w:p w14:paraId="01EE93DD" w14:textId="44877430" w:rsidR="007D1462" w:rsidRPr="00F6284E" w:rsidRDefault="00E501BC" w:rsidP="00230E14">
            <w:pPr>
              <w:jc w:val="right"/>
              <w:rPr>
                <w:rFonts w:ascii="Arial" w:hAnsi="Arial"/>
                <w:sz w:val="18"/>
              </w:rPr>
            </w:pPr>
            <w:r w:rsidRPr="00F6284E">
              <w:rPr>
                <w:sz w:val="18"/>
              </w:rPr>
              <w:t>50</w:t>
            </w:r>
          </w:p>
        </w:tc>
        <w:tc>
          <w:tcPr>
            <w:tcW w:w="1473" w:type="dxa"/>
            <w:vAlign w:val="center"/>
          </w:tcPr>
          <w:p w14:paraId="38AB3CA8" w14:textId="4914AE3F" w:rsidR="007D1462" w:rsidRPr="00F6284E" w:rsidRDefault="00E501BC" w:rsidP="00230E14">
            <w:pPr>
              <w:jc w:val="right"/>
              <w:rPr>
                <w:rFonts w:ascii="Arial" w:hAnsi="Arial"/>
                <w:sz w:val="18"/>
              </w:rPr>
            </w:pPr>
            <w:r w:rsidRPr="00F6284E">
              <w:rPr>
                <w:sz w:val="18"/>
              </w:rPr>
              <w:t>179</w:t>
            </w:r>
          </w:p>
        </w:tc>
        <w:tc>
          <w:tcPr>
            <w:tcW w:w="1472" w:type="dxa"/>
            <w:vAlign w:val="center"/>
          </w:tcPr>
          <w:p w14:paraId="1C42DBCB" w14:textId="49228693" w:rsidR="007D1462" w:rsidRPr="00F6284E" w:rsidRDefault="00E501BC" w:rsidP="00230E14">
            <w:pPr>
              <w:jc w:val="right"/>
              <w:rPr>
                <w:rFonts w:ascii="Arial" w:hAnsi="Arial"/>
                <w:sz w:val="18"/>
              </w:rPr>
            </w:pPr>
            <w:r w:rsidRPr="00F6284E">
              <w:rPr>
                <w:sz w:val="18"/>
              </w:rPr>
              <w:t>241</w:t>
            </w:r>
          </w:p>
        </w:tc>
        <w:tc>
          <w:tcPr>
            <w:tcW w:w="1473" w:type="dxa"/>
            <w:vAlign w:val="center"/>
          </w:tcPr>
          <w:p w14:paraId="4BF6AE4C" w14:textId="3EB15677" w:rsidR="007D1462" w:rsidRPr="00F6284E" w:rsidRDefault="00E501BC" w:rsidP="00230E14">
            <w:pPr>
              <w:jc w:val="right"/>
              <w:rPr>
                <w:rFonts w:ascii="Arial" w:hAnsi="Arial"/>
                <w:sz w:val="18"/>
              </w:rPr>
            </w:pPr>
            <w:r w:rsidRPr="00F6284E">
              <w:rPr>
                <w:sz w:val="18"/>
              </w:rPr>
              <w:t>261</w:t>
            </w:r>
          </w:p>
        </w:tc>
      </w:tr>
    </w:tbl>
    <w:p w14:paraId="2712519B" w14:textId="23D3E147" w:rsidR="007D1462" w:rsidRPr="00726D19" w:rsidRDefault="007D1462" w:rsidP="00A111E9">
      <w:pPr>
        <w:widowControl/>
        <w:spacing w:before="120"/>
        <w:ind w:left="284"/>
        <w:rPr>
          <w:sz w:val="16"/>
          <w:szCs w:val="16"/>
        </w:rPr>
      </w:pPr>
      <w:r w:rsidRPr="00726D19">
        <w:rPr>
          <w:sz w:val="16"/>
          <w:szCs w:val="16"/>
        </w:rPr>
        <w:t>GD Gestation Day</w:t>
      </w:r>
      <w:r w:rsidR="000C6044">
        <w:rPr>
          <w:sz w:val="16"/>
          <w:szCs w:val="16"/>
        </w:rPr>
        <w:t xml:space="preserve">; </w:t>
      </w:r>
      <w:r w:rsidRPr="00726D19">
        <w:rPr>
          <w:sz w:val="16"/>
          <w:szCs w:val="16"/>
        </w:rPr>
        <w:t xml:space="preserve">Sample size and </w:t>
      </w:r>
      <w:r w:rsidR="00D2034C">
        <w:rPr>
          <w:sz w:val="16"/>
          <w:szCs w:val="16"/>
        </w:rPr>
        <w:t>standard deviation</w:t>
      </w:r>
      <w:r w:rsidR="00D2034C" w:rsidRPr="00726D19">
        <w:rPr>
          <w:sz w:val="16"/>
          <w:szCs w:val="16"/>
        </w:rPr>
        <w:t xml:space="preserve"> </w:t>
      </w:r>
      <w:r w:rsidRPr="00726D19">
        <w:rPr>
          <w:sz w:val="16"/>
          <w:szCs w:val="16"/>
        </w:rPr>
        <w:t>data not available</w:t>
      </w:r>
      <w:r w:rsidR="000C6044">
        <w:rPr>
          <w:sz w:val="16"/>
          <w:szCs w:val="16"/>
        </w:rPr>
        <w:t xml:space="preserve">; </w:t>
      </w:r>
      <w:r w:rsidRPr="00726D19">
        <w:rPr>
          <w:sz w:val="16"/>
          <w:szCs w:val="16"/>
        </w:rPr>
        <w:t>No control values provided</w:t>
      </w:r>
    </w:p>
    <w:p w14:paraId="6F2A1BF7" w14:textId="5BCBCC45" w:rsidR="007D1462" w:rsidRPr="00726D19" w:rsidRDefault="007D1462" w:rsidP="00A111E9">
      <w:pPr>
        <w:widowControl/>
        <w:ind w:left="284"/>
        <w:rPr>
          <w:sz w:val="16"/>
          <w:szCs w:val="16"/>
        </w:rPr>
      </w:pPr>
      <w:r w:rsidRPr="00726D19">
        <w:rPr>
          <w:sz w:val="16"/>
          <w:szCs w:val="16"/>
          <w:vertAlign w:val="superscript"/>
        </w:rPr>
        <w:t xml:space="preserve">1 </w:t>
      </w:r>
      <w:r w:rsidRPr="00726D19">
        <w:rPr>
          <w:sz w:val="16"/>
          <w:szCs w:val="16"/>
        </w:rPr>
        <w:t xml:space="preserve">Taken from Lau </w:t>
      </w:r>
      <w:r w:rsidR="00180A32" w:rsidRPr="00180A32">
        <w:rPr>
          <w:i/>
          <w:sz w:val="16"/>
          <w:szCs w:val="16"/>
        </w:rPr>
        <w:t xml:space="preserve">et al. </w:t>
      </w:r>
      <w:r w:rsidR="00713213">
        <w:rPr>
          <w:sz w:val="16"/>
          <w:szCs w:val="16"/>
        </w:rPr>
        <w:t xml:space="preserve"> </w:t>
      </w:r>
      <w:r w:rsidRPr="00726D19">
        <w:rPr>
          <w:sz w:val="16"/>
          <w:szCs w:val="16"/>
        </w:rPr>
        <w:t>2007</w:t>
      </w:r>
    </w:p>
    <w:p w14:paraId="02C85BBE" w14:textId="118D2577" w:rsidR="00D9158A" w:rsidRDefault="00D9158A" w:rsidP="005F1486">
      <w:pPr>
        <w:pStyle w:val="Heading5"/>
      </w:pPr>
      <w:r w:rsidRPr="00D9158A">
        <w:t>Rats</w:t>
      </w:r>
    </w:p>
    <w:p w14:paraId="739728A5" w14:textId="2B52BB7F" w:rsidR="00184072" w:rsidRPr="00F27FEB" w:rsidRDefault="00BE2788" w:rsidP="00A111E9">
      <w:pPr>
        <w:rPr>
          <w:b/>
          <w:sz w:val="20"/>
          <w:szCs w:val="20"/>
          <w:lang w:bidi="ar-SA"/>
        </w:rPr>
      </w:pPr>
      <w:r>
        <w:rPr>
          <w:b/>
          <w:szCs w:val="22"/>
          <w:lang w:bidi="ar-SA"/>
        </w:rPr>
        <w:t>Thibodeaux</w:t>
      </w:r>
      <w:r w:rsidR="00184072">
        <w:rPr>
          <w:b/>
          <w:szCs w:val="22"/>
          <w:lang w:bidi="ar-SA"/>
        </w:rPr>
        <w:t xml:space="preserve"> </w:t>
      </w:r>
      <w:r w:rsidR="00180A32" w:rsidRPr="00180A32">
        <w:rPr>
          <w:b/>
          <w:i/>
          <w:szCs w:val="22"/>
          <w:lang w:bidi="ar-SA"/>
        </w:rPr>
        <w:t xml:space="preserve">et al. </w:t>
      </w:r>
      <w:r w:rsidR="00F22DA6">
        <w:rPr>
          <w:b/>
          <w:szCs w:val="22"/>
          <w:lang w:bidi="ar-SA"/>
        </w:rPr>
        <w:t xml:space="preserve"> </w:t>
      </w:r>
      <w:r>
        <w:rPr>
          <w:b/>
          <w:szCs w:val="22"/>
          <w:lang w:bidi="ar-SA"/>
        </w:rPr>
        <w:t xml:space="preserve">2003 and Lau </w:t>
      </w:r>
      <w:r w:rsidR="00180A32" w:rsidRPr="00180A32">
        <w:rPr>
          <w:b/>
          <w:i/>
          <w:szCs w:val="22"/>
          <w:lang w:bidi="ar-SA"/>
        </w:rPr>
        <w:t xml:space="preserve">et al. </w:t>
      </w:r>
      <w:r w:rsidR="00713213">
        <w:rPr>
          <w:b/>
          <w:szCs w:val="22"/>
          <w:lang w:bidi="ar-SA"/>
        </w:rPr>
        <w:t xml:space="preserve"> </w:t>
      </w:r>
      <w:r>
        <w:rPr>
          <w:b/>
          <w:szCs w:val="22"/>
          <w:lang w:bidi="ar-SA"/>
        </w:rPr>
        <w:t>2003</w:t>
      </w:r>
      <w:r w:rsidR="00184072" w:rsidRPr="00F27FEB">
        <w:rPr>
          <w:b/>
          <w:sz w:val="20"/>
          <w:szCs w:val="20"/>
          <w:lang w:bidi="ar-SA"/>
        </w:rPr>
        <w:t xml:space="preserve"> </w:t>
      </w:r>
    </w:p>
    <w:p w14:paraId="08FF3D94" w14:textId="77777777" w:rsidR="00184072" w:rsidRDefault="00184072" w:rsidP="00A111E9">
      <w:pPr>
        <w:rPr>
          <w:lang w:bidi="ar-SA"/>
        </w:rPr>
      </w:pPr>
    </w:p>
    <w:p w14:paraId="3586CD20" w14:textId="29B9AAE6" w:rsidR="00353646" w:rsidRDefault="0018009A" w:rsidP="00A111E9">
      <w:pPr>
        <w:rPr>
          <w:lang w:bidi="ar-SA"/>
        </w:rPr>
      </w:pPr>
      <w:r>
        <w:rPr>
          <w:lang w:bidi="ar-SA"/>
        </w:rPr>
        <w:t xml:space="preserve">PFOS potassium salt was administered </w:t>
      </w:r>
      <w:r w:rsidR="00A4060D">
        <w:rPr>
          <w:lang w:bidi="ar-SA"/>
        </w:rPr>
        <w:t xml:space="preserve">by </w:t>
      </w:r>
      <w:r w:rsidR="00B12F65">
        <w:rPr>
          <w:lang w:bidi="ar-SA"/>
        </w:rPr>
        <w:t xml:space="preserve">oral gavage to groups of </w:t>
      </w:r>
      <w:r>
        <w:rPr>
          <w:lang w:bidi="ar-SA"/>
        </w:rPr>
        <w:t>9-16 pregnant Sprague</w:t>
      </w:r>
      <w:r w:rsidR="00032CF6">
        <w:rPr>
          <w:lang w:bidi="ar-SA"/>
        </w:rPr>
        <w:t xml:space="preserve"> </w:t>
      </w:r>
      <w:r>
        <w:rPr>
          <w:lang w:bidi="ar-SA"/>
        </w:rPr>
        <w:t>Dawley rats on GD 2 to 20</w:t>
      </w:r>
      <w:r w:rsidR="00CA26F2">
        <w:rPr>
          <w:lang w:bidi="ar-SA"/>
        </w:rPr>
        <w:t xml:space="preserve"> (Thibodeaux </w:t>
      </w:r>
      <w:r w:rsidR="00180A32" w:rsidRPr="00180A32">
        <w:rPr>
          <w:i/>
          <w:lang w:bidi="ar-SA"/>
        </w:rPr>
        <w:t xml:space="preserve">et al. </w:t>
      </w:r>
      <w:r w:rsidR="00CA26F2">
        <w:rPr>
          <w:lang w:bidi="ar-SA"/>
        </w:rPr>
        <w:t xml:space="preserve"> 2003)</w:t>
      </w:r>
      <w:r>
        <w:rPr>
          <w:lang w:bidi="ar-SA"/>
        </w:rPr>
        <w:t>. The doses were 0, 1, 2, 3, 5 and</w:t>
      </w:r>
      <w:r w:rsidR="00685591">
        <w:rPr>
          <w:lang w:bidi="ar-SA"/>
        </w:rPr>
        <w:t xml:space="preserve"> </w:t>
      </w:r>
      <w:r>
        <w:rPr>
          <w:lang w:bidi="ar-SA"/>
        </w:rPr>
        <w:t xml:space="preserve">10 mg/kg bw/day. </w:t>
      </w:r>
      <w:r w:rsidR="00353646">
        <w:rPr>
          <w:lang w:bidi="ar-SA"/>
        </w:rPr>
        <w:t>Maternal body weights and food consumption were monitored, and blood samples were obtained on GDs 7 and 14 as well as at termina</w:t>
      </w:r>
      <w:r w:rsidR="00A4060D">
        <w:rPr>
          <w:lang w:bidi="ar-SA"/>
        </w:rPr>
        <w:t>tion</w:t>
      </w:r>
      <w:r w:rsidR="00353646">
        <w:rPr>
          <w:lang w:bidi="ar-SA"/>
        </w:rPr>
        <w:t xml:space="preserve"> for PFOS and serum chemistry analysis. Rats were euthanised on GD 21</w:t>
      </w:r>
      <w:r w:rsidR="0096026C">
        <w:rPr>
          <w:lang w:bidi="ar-SA"/>
        </w:rPr>
        <w:t>, the gravid uterus was removed</w:t>
      </w:r>
      <w:r w:rsidR="00353646">
        <w:rPr>
          <w:lang w:bidi="ar-SA"/>
        </w:rPr>
        <w:t xml:space="preserve"> and individual live </w:t>
      </w:r>
      <w:r w:rsidR="0065647B">
        <w:rPr>
          <w:lang w:bidi="ar-SA"/>
        </w:rPr>
        <w:t>fetus</w:t>
      </w:r>
      <w:r w:rsidR="00353646">
        <w:rPr>
          <w:lang w:bidi="ar-SA"/>
        </w:rPr>
        <w:t>es weighed and prepared for teratological evaluation. PFOS levels were determined in the maternal and f</w:t>
      </w:r>
      <w:r w:rsidR="001B6877">
        <w:rPr>
          <w:lang w:bidi="ar-SA"/>
        </w:rPr>
        <w:t>etal</w:t>
      </w:r>
      <w:r w:rsidR="00353646">
        <w:rPr>
          <w:lang w:bidi="ar-SA"/>
        </w:rPr>
        <w:t xml:space="preserve"> livers. </w:t>
      </w:r>
      <w:r w:rsidR="00143D48">
        <w:rPr>
          <w:lang w:bidi="ar-SA"/>
        </w:rPr>
        <w:t>An additional group of adult female non-preg</w:t>
      </w:r>
      <w:r w:rsidR="0070609E">
        <w:rPr>
          <w:lang w:bidi="ar-SA"/>
        </w:rPr>
        <w:t>n</w:t>
      </w:r>
      <w:r w:rsidR="00143D48">
        <w:rPr>
          <w:lang w:bidi="ar-SA"/>
        </w:rPr>
        <w:t>ant rats</w:t>
      </w:r>
      <w:r w:rsidR="00533B7B">
        <w:rPr>
          <w:lang w:bidi="ar-SA"/>
        </w:rPr>
        <w:t xml:space="preserve"> (6-8 per group)</w:t>
      </w:r>
      <w:r w:rsidR="00143D48">
        <w:rPr>
          <w:lang w:bidi="ar-SA"/>
        </w:rPr>
        <w:t xml:space="preserve"> were given PFOS at 0, 3 or 5 mg/kg bw/day for 20 days</w:t>
      </w:r>
      <w:r w:rsidR="00533B7B">
        <w:rPr>
          <w:lang w:bidi="ar-SA"/>
        </w:rPr>
        <w:t>. Blood samples were taken at 3, 7 and 14 days after the start of PFOS exposure, and at termina</w:t>
      </w:r>
      <w:r w:rsidR="00A4060D">
        <w:rPr>
          <w:lang w:bidi="ar-SA"/>
        </w:rPr>
        <w:t>tion</w:t>
      </w:r>
      <w:r w:rsidR="00533B7B">
        <w:rPr>
          <w:lang w:bidi="ar-SA"/>
        </w:rPr>
        <w:t>.</w:t>
      </w:r>
    </w:p>
    <w:p w14:paraId="104E4D6E" w14:textId="77777777" w:rsidR="00533B7B" w:rsidRDefault="00533B7B" w:rsidP="00A111E9">
      <w:pPr>
        <w:rPr>
          <w:lang w:bidi="ar-SA"/>
        </w:rPr>
      </w:pPr>
    </w:p>
    <w:p w14:paraId="368A002D" w14:textId="62F6B46C" w:rsidR="00533B7B" w:rsidRDefault="00BD410B" w:rsidP="00A111E9">
      <w:pPr>
        <w:rPr>
          <w:lang w:bidi="ar-SA"/>
        </w:rPr>
      </w:pPr>
      <w:r>
        <w:rPr>
          <w:lang w:bidi="ar-SA"/>
        </w:rPr>
        <w:t>PFOS significantly reduced maternal body weight gain at doses of 2 mg/kg bw/day and higher. Both the size and the time of onset of this effect was dose</w:t>
      </w:r>
      <w:r w:rsidR="001012A5">
        <w:rPr>
          <w:lang w:bidi="ar-SA"/>
        </w:rPr>
        <w:t>-</w:t>
      </w:r>
      <w:r>
        <w:rPr>
          <w:lang w:bidi="ar-SA"/>
        </w:rPr>
        <w:t xml:space="preserve">dependent, with a </w:t>
      </w:r>
      <w:r>
        <w:rPr>
          <w:lang w:bidi="ar-SA"/>
        </w:rPr>
        <w:lastRenderedPageBreak/>
        <w:t>significant weight deficit first seen on GDs 12, 7, 5 and 3 with doses of 2, 3, 5 and 10 mg/kg bw/day</w:t>
      </w:r>
      <w:r w:rsidR="00A4060D">
        <w:rPr>
          <w:lang w:bidi="ar-SA"/>
        </w:rPr>
        <w:t>, respectively</w:t>
      </w:r>
      <w:r>
        <w:rPr>
          <w:lang w:bidi="ar-SA"/>
        </w:rPr>
        <w:t xml:space="preserve">. Significant reductions in daily food and water consumption were observed in rats </w:t>
      </w:r>
      <w:r w:rsidR="00A4060D">
        <w:rPr>
          <w:lang w:bidi="ar-SA"/>
        </w:rPr>
        <w:t xml:space="preserve">administered </w:t>
      </w:r>
      <w:r>
        <w:rPr>
          <w:lang w:bidi="ar-SA"/>
        </w:rPr>
        <w:t>5 and 10 mg/kg bw/day.</w:t>
      </w:r>
    </w:p>
    <w:p w14:paraId="38E7B9C1" w14:textId="77777777" w:rsidR="00111D17" w:rsidRDefault="00111D17" w:rsidP="00A111E9">
      <w:pPr>
        <w:rPr>
          <w:lang w:bidi="ar-SA"/>
        </w:rPr>
      </w:pPr>
    </w:p>
    <w:p w14:paraId="25AB80DA" w14:textId="6F6E445C" w:rsidR="00111D17" w:rsidRDefault="00111D17" w:rsidP="00A111E9">
      <w:pPr>
        <w:rPr>
          <w:lang w:bidi="ar-SA"/>
        </w:rPr>
      </w:pPr>
      <w:r>
        <w:rPr>
          <w:lang w:bidi="ar-SA"/>
        </w:rPr>
        <w:t>Serum PFOS concentrations increased in proportion to dose, but the level in all groups fell towards the end of pregnancy. Maternal liver concentrations were approximately 4 times higher than serum levels at each dose, and f</w:t>
      </w:r>
      <w:r w:rsidR="001B6877">
        <w:rPr>
          <w:lang w:bidi="ar-SA"/>
        </w:rPr>
        <w:t>etal</w:t>
      </w:r>
      <w:r>
        <w:rPr>
          <w:lang w:bidi="ar-SA"/>
        </w:rPr>
        <w:t xml:space="preserve"> livers contained approximately half as much PFOS as their maternal counterparts. </w:t>
      </w:r>
      <w:r w:rsidR="001949C1">
        <w:rPr>
          <w:lang w:bidi="ar-SA"/>
        </w:rPr>
        <w:t>PFOS concentration data were only presented graphically, however</w:t>
      </w:r>
      <w:r w:rsidR="007F02A2">
        <w:rPr>
          <w:lang w:bidi="ar-SA"/>
        </w:rPr>
        <w:t>,</w:t>
      </w:r>
      <w:r w:rsidR="001949C1">
        <w:rPr>
          <w:lang w:bidi="ar-SA"/>
        </w:rPr>
        <w:t xml:space="preserve"> measured serum concentrations (time</w:t>
      </w:r>
      <w:r w:rsidR="00032CF6">
        <w:rPr>
          <w:lang w:bidi="ar-SA"/>
        </w:rPr>
        <w:t>point</w:t>
      </w:r>
      <w:r w:rsidR="001949C1">
        <w:rPr>
          <w:lang w:bidi="ar-SA"/>
        </w:rPr>
        <w:t xml:space="preserve"> not specified) were provided by the study authors to the US EPA.</w:t>
      </w:r>
    </w:p>
    <w:p w14:paraId="72519590" w14:textId="77777777" w:rsidR="00111D17" w:rsidRDefault="00111D17" w:rsidP="00A111E9">
      <w:pPr>
        <w:rPr>
          <w:lang w:bidi="ar-SA"/>
        </w:rPr>
      </w:pPr>
    </w:p>
    <w:p w14:paraId="4CC1775B" w14:textId="74417A2D" w:rsidR="00111D17" w:rsidRDefault="004A7AB6" w:rsidP="00A111E9">
      <w:pPr>
        <w:rPr>
          <w:lang w:bidi="ar-SA"/>
        </w:rPr>
      </w:pPr>
      <w:r>
        <w:rPr>
          <w:lang w:bidi="ar-SA"/>
        </w:rPr>
        <w:t xml:space="preserve">Maternal liver weights were not affected in the treated rats: a significant increase in relative liver weight was seen in the high dose group, but this was most likely due to the marked body weight reduction in these animals. Significant reductions in serum cholesterol (77.5 </w:t>
      </w:r>
      <w:r>
        <w:rPr>
          <w:rFonts w:cs="Arial"/>
          <w:lang w:bidi="ar-SA"/>
        </w:rPr>
        <w:t>±</w:t>
      </w:r>
      <w:r>
        <w:rPr>
          <w:lang w:bidi="ar-SA"/>
        </w:rPr>
        <w:t xml:space="preserve"> 4.0 mg/dl versus 90.6 </w:t>
      </w:r>
      <w:r>
        <w:rPr>
          <w:rFonts w:cs="Arial"/>
          <w:lang w:bidi="ar-SA"/>
        </w:rPr>
        <w:t>±</w:t>
      </w:r>
      <w:r>
        <w:rPr>
          <w:lang w:bidi="ar-SA"/>
        </w:rPr>
        <w:t xml:space="preserve"> 5.2 mg/dl) and triglycerides (337 </w:t>
      </w:r>
      <w:r>
        <w:rPr>
          <w:rFonts w:cs="Arial"/>
          <w:lang w:bidi="ar-SA"/>
        </w:rPr>
        <w:t>±</w:t>
      </w:r>
      <w:r>
        <w:rPr>
          <w:lang w:bidi="ar-SA"/>
        </w:rPr>
        <w:t xml:space="preserve"> 44 versus 510 </w:t>
      </w:r>
      <w:r>
        <w:rPr>
          <w:rFonts w:cs="Arial"/>
          <w:lang w:bidi="ar-SA"/>
        </w:rPr>
        <w:t>±</w:t>
      </w:r>
      <w:r>
        <w:rPr>
          <w:lang w:bidi="ar-SA"/>
        </w:rPr>
        <w:t xml:space="preserve"> 44) were seen in the high dose group compared with controls. </w:t>
      </w:r>
      <w:r w:rsidR="004C582A">
        <w:rPr>
          <w:lang w:bidi="ar-SA"/>
        </w:rPr>
        <w:t xml:space="preserve">Significant reductions in serum </w:t>
      </w:r>
      <w:r w:rsidR="00CC77D8">
        <w:rPr>
          <w:lang w:bidi="ar-SA"/>
        </w:rPr>
        <w:t xml:space="preserve">total and free </w:t>
      </w:r>
      <w:r w:rsidR="004C582A">
        <w:rPr>
          <w:lang w:bidi="ar-SA"/>
        </w:rPr>
        <w:t>T4</w:t>
      </w:r>
      <w:r w:rsidR="00CC77D8">
        <w:rPr>
          <w:lang w:bidi="ar-SA"/>
        </w:rPr>
        <w:t>,</w:t>
      </w:r>
      <w:r w:rsidR="004C582A">
        <w:rPr>
          <w:lang w:bidi="ar-SA"/>
        </w:rPr>
        <w:t xml:space="preserve"> and to a lesser extent T3</w:t>
      </w:r>
      <w:r w:rsidR="00CC77D8">
        <w:rPr>
          <w:lang w:bidi="ar-SA"/>
        </w:rPr>
        <w:t>,</w:t>
      </w:r>
      <w:r w:rsidR="004C582A">
        <w:rPr>
          <w:lang w:bidi="ar-SA"/>
        </w:rPr>
        <w:t xml:space="preserve"> were seen in all treated rats compared with controls. However, no </w:t>
      </w:r>
      <w:r w:rsidR="00EC4134">
        <w:rPr>
          <w:lang w:bidi="ar-SA"/>
        </w:rPr>
        <w:t xml:space="preserve">feedback </w:t>
      </w:r>
      <w:r w:rsidR="004C582A">
        <w:rPr>
          <w:lang w:bidi="ar-SA"/>
        </w:rPr>
        <w:t xml:space="preserve">effect on TSH was observed. </w:t>
      </w:r>
      <w:r w:rsidR="00A46A6E">
        <w:rPr>
          <w:lang w:bidi="ar-SA"/>
        </w:rPr>
        <w:t>In non-</w:t>
      </w:r>
      <w:r w:rsidR="00BE205C">
        <w:rPr>
          <w:lang w:bidi="ar-SA"/>
        </w:rPr>
        <w:t>pregnant</w:t>
      </w:r>
      <w:r w:rsidR="00A46A6E">
        <w:rPr>
          <w:lang w:bidi="ar-SA"/>
        </w:rPr>
        <w:t xml:space="preserve"> female rats, serum T4 and T3 levels were reduced by treatment with 3 and 5 mg/kg bw/day. </w:t>
      </w:r>
      <w:r w:rsidR="00657FEA">
        <w:rPr>
          <w:lang w:bidi="ar-SA"/>
        </w:rPr>
        <w:t>TSH</w:t>
      </w:r>
      <w:r w:rsidR="00AF090B">
        <w:rPr>
          <w:lang w:bidi="ar-SA"/>
        </w:rPr>
        <w:t xml:space="preserve"> response</w:t>
      </w:r>
      <w:r w:rsidR="00EC4134">
        <w:rPr>
          <w:lang w:bidi="ar-SA"/>
        </w:rPr>
        <w:t>s</w:t>
      </w:r>
      <w:r w:rsidR="00AF090B">
        <w:rPr>
          <w:lang w:bidi="ar-SA"/>
        </w:rPr>
        <w:t xml:space="preserve"> </w:t>
      </w:r>
      <w:r w:rsidR="00EC4134">
        <w:rPr>
          <w:lang w:bidi="ar-SA"/>
        </w:rPr>
        <w:t xml:space="preserve">in non-pregnant rats </w:t>
      </w:r>
      <w:r w:rsidR="00AF090B">
        <w:rPr>
          <w:lang w:bidi="ar-SA"/>
        </w:rPr>
        <w:t>were variable. At 3 mg/kg bw/day, TSH</w:t>
      </w:r>
      <w:r w:rsidR="00657FEA">
        <w:rPr>
          <w:lang w:bidi="ar-SA"/>
        </w:rPr>
        <w:t xml:space="preserve"> levels were increased after 7 days of PFOS treatment. This increase was maintained for a further week although it was no longer statistically different from controls, and no effect was seen after 20 days of treatment. In contrast, serum TSH levels were slightly reduced in the 5 mg/kg bw/day group after 3 and 7 days of treatment, but these changes were also absent after 20 days of treatment. </w:t>
      </w:r>
      <w:r w:rsidR="00CB1CD2">
        <w:rPr>
          <w:lang w:bidi="ar-SA"/>
        </w:rPr>
        <w:t>Thyroid weights or histopathology were not assessed in this study.</w:t>
      </w:r>
    </w:p>
    <w:p w14:paraId="34D69069" w14:textId="77777777" w:rsidR="004C582A" w:rsidRDefault="004C582A" w:rsidP="00A111E9">
      <w:pPr>
        <w:rPr>
          <w:lang w:bidi="ar-SA"/>
        </w:rPr>
      </w:pPr>
    </w:p>
    <w:p w14:paraId="540E7821" w14:textId="597EA64F" w:rsidR="0070609E" w:rsidRDefault="0070609E" w:rsidP="00A111E9">
      <w:pPr>
        <w:rPr>
          <w:lang w:bidi="ar-SA"/>
        </w:rPr>
      </w:pPr>
      <w:r>
        <w:rPr>
          <w:lang w:bidi="ar-SA"/>
        </w:rPr>
        <w:t xml:space="preserve">The number of live fetuses and postimplantation loss were not adversely affected by PFOS treatment. A significant reduction in fetal weight was observed at 10 mg/kg bw/day. Significant increases in cleft palate, defective sternebrae, anasarca, enlargement of the right atrium, ventricular septal defects were observed. These </w:t>
      </w:r>
      <w:r w:rsidR="0000593C">
        <w:rPr>
          <w:lang w:bidi="ar-SA"/>
        </w:rPr>
        <w:t>effects</w:t>
      </w:r>
      <w:r>
        <w:rPr>
          <w:lang w:bidi="ar-SA"/>
        </w:rPr>
        <w:t xml:space="preserve"> were primarily seen at 10 mg/kg bw/day, although increased incidences of enlarged right atrium and ventricular septal defects were seen at 5 and 10 mg/kg bw/day, while an increased incidence of anasarca was seen at </w:t>
      </w:r>
      <w:r>
        <w:rPr>
          <w:rFonts w:cs="Arial"/>
          <w:lang w:bidi="ar-SA"/>
        </w:rPr>
        <w:t>≥</w:t>
      </w:r>
      <w:r>
        <w:rPr>
          <w:lang w:bidi="ar-SA"/>
        </w:rPr>
        <w:t xml:space="preserve"> 3 mg/kg bw/day.</w:t>
      </w:r>
    </w:p>
    <w:p w14:paraId="69EDACF7" w14:textId="73EF4AC0" w:rsidR="0070609E" w:rsidRDefault="0070609E" w:rsidP="00A111E9">
      <w:pPr>
        <w:rPr>
          <w:lang w:bidi="ar-SA"/>
        </w:rPr>
      </w:pPr>
    </w:p>
    <w:p w14:paraId="272C125F" w14:textId="270C9029" w:rsidR="00477009" w:rsidRDefault="0029245F" w:rsidP="00A111E9">
      <w:pPr>
        <w:rPr>
          <w:lang w:bidi="ar-SA"/>
        </w:rPr>
      </w:pPr>
      <w:r>
        <w:rPr>
          <w:lang w:bidi="ar-SA"/>
        </w:rPr>
        <w:t>The</w:t>
      </w:r>
      <w:r w:rsidR="00477009">
        <w:rPr>
          <w:lang w:bidi="ar-SA"/>
        </w:rPr>
        <w:t xml:space="preserve"> maternal NOAEL for this study</w:t>
      </w:r>
      <w:r>
        <w:rPr>
          <w:lang w:bidi="ar-SA"/>
        </w:rPr>
        <w:t xml:space="preserve"> is </w:t>
      </w:r>
      <w:r w:rsidRPr="0029245F">
        <w:rPr>
          <w:lang w:bidi="ar-SA"/>
        </w:rPr>
        <w:t>1 mg/kg bw/day</w:t>
      </w:r>
      <w:r w:rsidR="00477009">
        <w:rPr>
          <w:lang w:bidi="ar-SA"/>
        </w:rPr>
        <w:t xml:space="preserve"> based on findings of reduced maternal body weight </w:t>
      </w:r>
      <w:r w:rsidR="00B26569">
        <w:rPr>
          <w:lang w:bidi="ar-SA"/>
        </w:rPr>
        <w:t xml:space="preserve">gain </w:t>
      </w:r>
      <w:r w:rsidR="00477009">
        <w:rPr>
          <w:lang w:bidi="ar-SA"/>
        </w:rPr>
        <w:t xml:space="preserve">at 2 mg/kg bw/day. </w:t>
      </w:r>
      <w:r w:rsidR="00D17072">
        <w:rPr>
          <w:lang w:bidi="ar-SA"/>
        </w:rPr>
        <w:t xml:space="preserve">Measured maternal serum concentrations provided </w:t>
      </w:r>
      <w:r w:rsidR="0016358D">
        <w:rPr>
          <w:lang w:bidi="ar-SA"/>
        </w:rPr>
        <w:t xml:space="preserve">to the US EPA </w:t>
      </w:r>
      <w:r w:rsidR="00D17072">
        <w:rPr>
          <w:lang w:bidi="ar-SA"/>
        </w:rPr>
        <w:t>by the study authors for these doses (time</w:t>
      </w:r>
      <w:r w:rsidR="00032CF6">
        <w:rPr>
          <w:lang w:bidi="ar-SA"/>
        </w:rPr>
        <w:t>point</w:t>
      </w:r>
      <w:r w:rsidR="00D17072">
        <w:rPr>
          <w:lang w:bidi="ar-SA"/>
        </w:rPr>
        <w:t xml:space="preserve"> not specified) are 19.69 </w:t>
      </w:r>
      <w:r w:rsidR="00CB500B">
        <w:rPr>
          <w:rFonts w:cs="Arial"/>
          <w:lang w:bidi="ar-SA"/>
        </w:rPr>
        <w:t>µg/mL</w:t>
      </w:r>
      <w:r w:rsidR="00D17072">
        <w:rPr>
          <w:lang w:bidi="ar-SA"/>
        </w:rPr>
        <w:t xml:space="preserve"> at the NOAEL and 44.33 </w:t>
      </w:r>
      <w:r w:rsidR="00CB500B">
        <w:rPr>
          <w:rFonts w:cs="Arial"/>
          <w:lang w:bidi="ar-SA"/>
        </w:rPr>
        <w:t>µg/mL</w:t>
      </w:r>
      <w:r w:rsidR="00D17072">
        <w:rPr>
          <w:lang w:bidi="ar-SA"/>
        </w:rPr>
        <w:t xml:space="preserve"> at the LOAEL. </w:t>
      </w:r>
      <w:r w:rsidR="0000593C">
        <w:rPr>
          <w:lang w:bidi="ar-SA"/>
        </w:rPr>
        <w:t>The NOAEL for embryo and fetal toxicity was 1 mg/kg bw/day based on an increased incidence of body weight effects, anasarca and cleft palate at higher doses.</w:t>
      </w:r>
    </w:p>
    <w:p w14:paraId="31811539" w14:textId="77777777" w:rsidR="00477009" w:rsidRDefault="00477009" w:rsidP="00A111E9">
      <w:pPr>
        <w:rPr>
          <w:lang w:bidi="ar-SA"/>
        </w:rPr>
      </w:pPr>
    </w:p>
    <w:p w14:paraId="22A3DF72" w14:textId="316CEDD4" w:rsidR="00547EE3" w:rsidRDefault="00CA26F2" w:rsidP="00A111E9">
      <w:pPr>
        <w:rPr>
          <w:lang w:bidi="ar-SA"/>
        </w:rPr>
      </w:pPr>
      <w:r>
        <w:rPr>
          <w:lang w:bidi="ar-SA"/>
        </w:rPr>
        <w:t xml:space="preserve">A companion study to the Thibodeaux </w:t>
      </w:r>
      <w:r w:rsidR="00180A32" w:rsidRPr="00180A32">
        <w:rPr>
          <w:i/>
          <w:lang w:bidi="ar-SA"/>
        </w:rPr>
        <w:t xml:space="preserve">et al. </w:t>
      </w:r>
      <w:r>
        <w:rPr>
          <w:lang w:bidi="ar-SA"/>
        </w:rPr>
        <w:t xml:space="preserve"> (2003) study was conducted in order to assess the postnatal effects of in utero exposure to PFOS (Lau </w:t>
      </w:r>
      <w:r w:rsidR="00180A32" w:rsidRPr="00180A32">
        <w:rPr>
          <w:i/>
          <w:lang w:bidi="ar-SA"/>
        </w:rPr>
        <w:t xml:space="preserve">et al. </w:t>
      </w:r>
      <w:r w:rsidR="00F22DA6">
        <w:rPr>
          <w:lang w:bidi="ar-SA"/>
        </w:rPr>
        <w:t xml:space="preserve"> </w:t>
      </w:r>
      <w:r>
        <w:rPr>
          <w:lang w:bidi="ar-SA"/>
        </w:rPr>
        <w:t xml:space="preserve">2003). </w:t>
      </w:r>
      <w:r w:rsidR="004452FC">
        <w:rPr>
          <w:lang w:bidi="ar-SA"/>
        </w:rPr>
        <w:t>Sprague</w:t>
      </w:r>
      <w:r w:rsidR="00032CF6">
        <w:rPr>
          <w:lang w:bidi="ar-SA"/>
        </w:rPr>
        <w:t xml:space="preserve"> </w:t>
      </w:r>
      <w:r w:rsidR="004452FC">
        <w:rPr>
          <w:lang w:bidi="ar-SA"/>
        </w:rPr>
        <w:t>Dawley rats were administered PFOS potassium salt by oral gavage at doses of 0, 1, 2, 3, 5 or 10 mg/kg bw/day on GDs 2 to 21. On GD 22, rats were monitored and time of parturition, number of live offspring and condition of the newborns were recorded. The following day was designated as P</w:t>
      </w:r>
      <w:r w:rsidR="0016358D">
        <w:rPr>
          <w:lang w:bidi="ar-SA"/>
        </w:rPr>
        <w:t>N</w:t>
      </w:r>
      <w:r w:rsidR="004452FC">
        <w:rPr>
          <w:lang w:bidi="ar-SA"/>
        </w:rPr>
        <w:t>D 1. All pups were weaned on P</w:t>
      </w:r>
      <w:r w:rsidR="0016358D">
        <w:rPr>
          <w:lang w:bidi="ar-SA"/>
        </w:rPr>
        <w:t>N</w:t>
      </w:r>
      <w:r w:rsidR="004452FC">
        <w:rPr>
          <w:lang w:bidi="ar-SA"/>
        </w:rPr>
        <w:t>D 21 and separated by gender, and developmental landmarks were monitored.</w:t>
      </w:r>
    </w:p>
    <w:p w14:paraId="71622B76" w14:textId="77777777" w:rsidR="00547EE3" w:rsidRDefault="00547EE3" w:rsidP="00A111E9">
      <w:pPr>
        <w:rPr>
          <w:lang w:bidi="ar-SA"/>
        </w:rPr>
      </w:pPr>
    </w:p>
    <w:p w14:paraId="53078786" w14:textId="466B02B1" w:rsidR="00A46A6E" w:rsidRDefault="009B0606" w:rsidP="00A111E9">
      <w:pPr>
        <w:rPr>
          <w:lang w:bidi="ar-SA"/>
        </w:rPr>
      </w:pPr>
      <w:r>
        <w:rPr>
          <w:lang w:bidi="ar-SA"/>
        </w:rPr>
        <w:t>Additional groups of pregnant rats were treated with PFOS at 0, 1, 2, 3 or 5 mg/kg bw/day as described above. Four pups from each litter were sacrificed within 2 – 4 hours after birth and blood and liver samples were taken for PFOS and thyroid hormone analysis. The remaining pups were maintained in the study and one from each litter was sacrificed on P</w:t>
      </w:r>
      <w:r w:rsidR="0016358D">
        <w:rPr>
          <w:lang w:bidi="ar-SA"/>
        </w:rPr>
        <w:t>N</w:t>
      </w:r>
      <w:r>
        <w:rPr>
          <w:lang w:bidi="ar-SA"/>
        </w:rPr>
        <w:t xml:space="preserve">Ds 2, 5, 9, 15, 21, 28 and 35 and serum were collected for PFOS and thyroid hormone analysis, while brain tissue samples were prepared for assessment of choline acetyltransferase </w:t>
      </w:r>
      <w:r w:rsidR="00547EE3">
        <w:rPr>
          <w:lang w:bidi="ar-SA"/>
        </w:rPr>
        <w:t xml:space="preserve">(ChAT) </w:t>
      </w:r>
      <w:r>
        <w:rPr>
          <w:lang w:bidi="ar-SA"/>
        </w:rPr>
        <w:lastRenderedPageBreak/>
        <w:t>activity. At weaning, one pup of each sex was taken from eight control litters and eight litters in the 3 mg/kg bw groups for a T-maze delayed alternation test.</w:t>
      </w:r>
    </w:p>
    <w:p w14:paraId="6A75D7B8" w14:textId="77777777" w:rsidR="009B0606" w:rsidRDefault="009B0606" w:rsidP="00A111E9">
      <w:pPr>
        <w:rPr>
          <w:lang w:bidi="ar-SA"/>
        </w:rPr>
      </w:pPr>
    </w:p>
    <w:p w14:paraId="443476D3" w14:textId="798EFF8C" w:rsidR="009B0606" w:rsidRDefault="006A2921" w:rsidP="00A111E9">
      <w:pPr>
        <w:rPr>
          <w:lang w:bidi="ar-SA"/>
        </w:rPr>
      </w:pPr>
      <w:r>
        <w:rPr>
          <w:lang w:bidi="ar-SA"/>
        </w:rPr>
        <w:t>At parturition all animals were born alive and pink in colour, and appeared to be active. However, neonates in the 10 mg/kg bw/day dose group became pale, inactive and moribund within 30 – 60 minutes and all died soon after. In the 5 mg/kg bw/day group, neonates also became moribund and over 95% of these animals did not survive the first day of neonatal life. Fetal mortality was around 50% at 3 mg/kg bw/day, and a significant increase in mortality was also observed at 2 mg/kg bw/day. A significant difference in mortality was not seen in pups from dams administered 1 mg/kg bw/day compared with controls.</w:t>
      </w:r>
    </w:p>
    <w:p w14:paraId="14BC34B7" w14:textId="77777777" w:rsidR="006A2921" w:rsidRDefault="006A2921" w:rsidP="00A111E9">
      <w:pPr>
        <w:rPr>
          <w:lang w:bidi="ar-SA"/>
        </w:rPr>
      </w:pPr>
    </w:p>
    <w:p w14:paraId="3AF17634" w14:textId="23034483" w:rsidR="006A2921" w:rsidRDefault="00445650" w:rsidP="00A111E9">
      <w:pPr>
        <w:rPr>
          <w:lang w:bidi="ar-SA"/>
        </w:rPr>
      </w:pPr>
      <w:r>
        <w:rPr>
          <w:lang w:bidi="ar-SA"/>
        </w:rPr>
        <w:t>Serum PFOS concentrations at birth increased w</w:t>
      </w:r>
      <w:r w:rsidR="00563CE7">
        <w:rPr>
          <w:lang w:bidi="ar-SA"/>
        </w:rPr>
        <w:t>ith</w:t>
      </w:r>
      <w:r>
        <w:rPr>
          <w:lang w:bidi="ar-SA"/>
        </w:rPr>
        <w:t xml:space="preserve"> dose, but the relationship was not linear, especially at the highest dose (data were presented graphically). At P</w:t>
      </w:r>
      <w:r w:rsidR="0016358D">
        <w:rPr>
          <w:lang w:bidi="ar-SA"/>
        </w:rPr>
        <w:t>N</w:t>
      </w:r>
      <w:r>
        <w:rPr>
          <w:lang w:bidi="ar-SA"/>
        </w:rPr>
        <w:t xml:space="preserve">D 5, the serum PFOS level of </w:t>
      </w:r>
      <w:r w:rsidR="00547EE3">
        <w:rPr>
          <w:lang w:bidi="ar-SA"/>
        </w:rPr>
        <w:t>all</w:t>
      </w:r>
      <w:r>
        <w:rPr>
          <w:lang w:bidi="ar-SA"/>
        </w:rPr>
        <w:t xml:space="preserve"> surviving treatment group</w:t>
      </w:r>
      <w:r w:rsidR="00547EE3">
        <w:rPr>
          <w:lang w:bidi="ar-SA"/>
        </w:rPr>
        <w:t>s</w:t>
      </w:r>
      <w:r>
        <w:rPr>
          <w:lang w:bidi="ar-SA"/>
        </w:rPr>
        <w:t xml:space="preserve"> was lower than the level at birth. PFOS was also found in the liver of newborn rats, however</w:t>
      </w:r>
      <w:r w:rsidR="007F02A2">
        <w:rPr>
          <w:lang w:bidi="ar-SA"/>
        </w:rPr>
        <w:t>,</w:t>
      </w:r>
      <w:r>
        <w:rPr>
          <w:lang w:bidi="ar-SA"/>
        </w:rPr>
        <w:t xml:space="preserve"> in contrast to the findings with the dams (Thibodeaux </w:t>
      </w:r>
      <w:r w:rsidR="00180A32" w:rsidRPr="00180A32">
        <w:rPr>
          <w:i/>
          <w:lang w:bidi="ar-SA"/>
        </w:rPr>
        <w:t xml:space="preserve">et al. </w:t>
      </w:r>
      <w:r w:rsidR="00713213">
        <w:rPr>
          <w:lang w:bidi="ar-SA"/>
        </w:rPr>
        <w:t xml:space="preserve"> </w:t>
      </w:r>
      <w:r>
        <w:rPr>
          <w:lang w:bidi="ar-SA"/>
        </w:rPr>
        <w:t>2003), liver PFOS levels were similar to those found in serum.</w:t>
      </w:r>
    </w:p>
    <w:p w14:paraId="6CCE1F7E" w14:textId="77777777" w:rsidR="00445650" w:rsidRDefault="00445650" w:rsidP="00A111E9">
      <w:pPr>
        <w:rPr>
          <w:lang w:bidi="ar-SA"/>
        </w:rPr>
      </w:pPr>
    </w:p>
    <w:p w14:paraId="025BD680" w14:textId="325022A3" w:rsidR="00445650" w:rsidRDefault="00445650" w:rsidP="00A111E9">
      <w:pPr>
        <w:rPr>
          <w:lang w:bidi="ar-SA"/>
        </w:rPr>
      </w:pPr>
      <w:r>
        <w:rPr>
          <w:lang w:bidi="ar-SA"/>
        </w:rPr>
        <w:t>Pup body weights at birth were significantly lower than control at 2 mg/kg bw/day and above, and the effect persisted in surviving animals over several days (past weaning at 5 mg/kg bw/day). No difference in neonate liver weights were seen. A significant delay in eye</w:t>
      </w:r>
      <w:r w:rsidR="001012A5">
        <w:rPr>
          <w:lang w:bidi="ar-SA"/>
        </w:rPr>
        <w:t>-</w:t>
      </w:r>
      <w:r>
        <w:rPr>
          <w:lang w:bidi="ar-SA"/>
        </w:rPr>
        <w:t xml:space="preserve">opening was seen at 2 mg/kg bw/day and higher, but no significant delays in onset of puberty were observed. </w:t>
      </w:r>
      <w:r w:rsidR="00C52AE7">
        <w:rPr>
          <w:lang w:bidi="ar-SA"/>
        </w:rPr>
        <w:t>Total T4 and free T4 serum concentrations were significantly decreased compared with controls at doses of 2 mg/kg bw/day and above. Total T4 levels appeared to have recovered by weaning but free T4 levels remained lower than controls. No significant changes in serum T3 or TSH were observed. ChAT activity</w:t>
      </w:r>
      <w:r w:rsidR="00D65EC0">
        <w:rPr>
          <w:lang w:bidi="ar-SA"/>
        </w:rPr>
        <w:t xml:space="preserve">, </w:t>
      </w:r>
      <w:r w:rsidR="00CC77D8">
        <w:rPr>
          <w:lang w:bidi="ar-SA"/>
        </w:rPr>
        <w:t>an enzyme sensitive to thyroid status,</w:t>
      </w:r>
      <w:r w:rsidR="00C52AE7">
        <w:rPr>
          <w:lang w:bidi="ar-SA"/>
        </w:rPr>
        <w:t xml:space="preserve"> was reduced in the prefrontal cortex of neonatal rats in the 3 mg/kg bw/day dose group (the only group tested) compared with controls. ChAT activity in the hippocampus was not affected by treatment. T-maze testing of controls and the 3 mg/kg bw/day group pups did not find any difference in learning and memory.</w:t>
      </w:r>
    </w:p>
    <w:p w14:paraId="5C20408C" w14:textId="77777777" w:rsidR="00C52AE7" w:rsidRDefault="00C52AE7" w:rsidP="00A111E9">
      <w:pPr>
        <w:rPr>
          <w:lang w:bidi="ar-SA"/>
        </w:rPr>
      </w:pPr>
    </w:p>
    <w:p w14:paraId="43238574" w14:textId="7ED79333" w:rsidR="00563CE7" w:rsidRDefault="00563CE7" w:rsidP="00A111E9">
      <w:pPr>
        <w:rPr>
          <w:lang w:bidi="ar-SA"/>
        </w:rPr>
      </w:pPr>
      <w:r>
        <w:rPr>
          <w:lang w:bidi="ar-SA"/>
        </w:rPr>
        <w:t>Because of the high number of fetal deaths, a follow</w:t>
      </w:r>
      <w:r w:rsidR="001012A5">
        <w:rPr>
          <w:lang w:bidi="ar-SA"/>
        </w:rPr>
        <w:t>-</w:t>
      </w:r>
      <w:r>
        <w:rPr>
          <w:lang w:bidi="ar-SA"/>
        </w:rPr>
        <w:t>up cross-fostering study was conducted using newborns from the 5 mg/kg bw/day PFOS dose group. Ten control and 10 PFOS</w:t>
      </w:r>
      <w:r w:rsidR="001012A5">
        <w:rPr>
          <w:lang w:bidi="ar-SA"/>
        </w:rPr>
        <w:t xml:space="preserve"> </w:t>
      </w:r>
      <w:r>
        <w:rPr>
          <w:lang w:bidi="ar-SA"/>
        </w:rPr>
        <w:t>exposed litters were subdivided evenly into four groups: (1) control pups remaining with their dams; (2) PFOS</w:t>
      </w:r>
      <w:r w:rsidR="001012A5">
        <w:rPr>
          <w:lang w:bidi="ar-SA"/>
        </w:rPr>
        <w:t xml:space="preserve"> </w:t>
      </w:r>
      <w:r>
        <w:rPr>
          <w:lang w:bidi="ar-SA"/>
        </w:rPr>
        <w:t>exposed pups remaining with their dams; (3) PFOS</w:t>
      </w:r>
      <w:r w:rsidR="001012A5">
        <w:rPr>
          <w:lang w:bidi="ar-SA"/>
        </w:rPr>
        <w:t xml:space="preserve"> </w:t>
      </w:r>
      <w:r>
        <w:rPr>
          <w:lang w:bidi="ar-SA"/>
        </w:rPr>
        <w:t>exposed pups transferred to control dams; and (4) control pups transferred to PFOS</w:t>
      </w:r>
      <w:r w:rsidR="00032CF6">
        <w:rPr>
          <w:lang w:bidi="ar-SA"/>
        </w:rPr>
        <w:t xml:space="preserve"> </w:t>
      </w:r>
      <w:r>
        <w:rPr>
          <w:lang w:bidi="ar-SA"/>
        </w:rPr>
        <w:t xml:space="preserve">treated dams. Survival was monitored for three days. </w:t>
      </w:r>
      <w:r w:rsidR="001554A5">
        <w:rPr>
          <w:lang w:bidi="ar-SA"/>
        </w:rPr>
        <w:t>Cross</w:t>
      </w:r>
      <w:r w:rsidR="001012A5">
        <w:rPr>
          <w:lang w:bidi="ar-SA"/>
        </w:rPr>
        <w:t>-</w:t>
      </w:r>
      <w:r w:rsidR="001554A5">
        <w:rPr>
          <w:lang w:bidi="ar-SA"/>
        </w:rPr>
        <w:t>fostering of PFOS</w:t>
      </w:r>
      <w:r w:rsidR="001012A5">
        <w:rPr>
          <w:lang w:bidi="ar-SA"/>
        </w:rPr>
        <w:t xml:space="preserve"> </w:t>
      </w:r>
      <w:r w:rsidR="001554A5">
        <w:rPr>
          <w:lang w:bidi="ar-SA"/>
        </w:rPr>
        <w:t>exposed pups to control nursing dams did not improve survival of the neonates. All control pups fostered by PFOS</w:t>
      </w:r>
      <w:r w:rsidR="00032CF6">
        <w:rPr>
          <w:lang w:bidi="ar-SA"/>
        </w:rPr>
        <w:t xml:space="preserve"> </w:t>
      </w:r>
      <w:r w:rsidR="001554A5">
        <w:rPr>
          <w:lang w:bidi="ar-SA"/>
        </w:rPr>
        <w:t>treated dams survived for the duration of the study.</w:t>
      </w:r>
    </w:p>
    <w:p w14:paraId="52F5AFE8" w14:textId="77777777" w:rsidR="00563CE7" w:rsidRDefault="00563CE7" w:rsidP="00A111E9">
      <w:pPr>
        <w:rPr>
          <w:lang w:bidi="ar-SA"/>
        </w:rPr>
      </w:pPr>
    </w:p>
    <w:p w14:paraId="2BADCA8A" w14:textId="6FF77D97" w:rsidR="00C52AE7" w:rsidRDefault="00C52AE7" w:rsidP="00A111E9">
      <w:pPr>
        <w:rPr>
          <w:lang w:bidi="ar-SA"/>
        </w:rPr>
      </w:pPr>
      <w:r>
        <w:rPr>
          <w:lang w:bidi="ar-SA"/>
        </w:rPr>
        <w:t>Taking together the</w:t>
      </w:r>
      <w:r w:rsidR="00A51185">
        <w:rPr>
          <w:lang w:bidi="ar-SA"/>
        </w:rPr>
        <w:t xml:space="preserve"> findings in the</w:t>
      </w:r>
      <w:r>
        <w:rPr>
          <w:lang w:bidi="ar-SA"/>
        </w:rPr>
        <w:t xml:space="preserve"> two studies, the NOAEL </w:t>
      </w:r>
      <w:r w:rsidR="001B7C20">
        <w:rPr>
          <w:lang w:bidi="ar-SA"/>
        </w:rPr>
        <w:t xml:space="preserve">based on embryo and fetal toxicity </w:t>
      </w:r>
      <w:r>
        <w:rPr>
          <w:lang w:bidi="ar-SA"/>
        </w:rPr>
        <w:t xml:space="preserve">is 1 mg/kg bw/day, </w:t>
      </w:r>
      <w:r w:rsidR="001B7C20">
        <w:rPr>
          <w:lang w:bidi="ar-SA"/>
        </w:rPr>
        <w:t>with</w:t>
      </w:r>
      <w:r>
        <w:rPr>
          <w:lang w:bidi="ar-SA"/>
        </w:rPr>
        <w:t xml:space="preserve"> reduced pup survival, decreased body weight and a significant delay in eye</w:t>
      </w:r>
      <w:r w:rsidR="001012A5">
        <w:rPr>
          <w:lang w:bidi="ar-SA"/>
        </w:rPr>
        <w:t>-</w:t>
      </w:r>
      <w:r>
        <w:rPr>
          <w:lang w:bidi="ar-SA"/>
        </w:rPr>
        <w:t>opening</w:t>
      </w:r>
      <w:r w:rsidR="001B7C20">
        <w:rPr>
          <w:lang w:bidi="ar-SA"/>
        </w:rPr>
        <w:t xml:space="preserve"> seen</w:t>
      </w:r>
      <w:r>
        <w:rPr>
          <w:lang w:bidi="ar-SA"/>
        </w:rPr>
        <w:t xml:space="preserve"> at 2 mg/kg bw/day.</w:t>
      </w:r>
    </w:p>
    <w:p w14:paraId="1B00F2E5" w14:textId="6070907B" w:rsidR="00A76F14" w:rsidRDefault="00A76F14" w:rsidP="00A111E9">
      <w:pPr>
        <w:rPr>
          <w:lang w:bidi="ar-SA"/>
        </w:rPr>
      </w:pPr>
    </w:p>
    <w:p w14:paraId="65FDC460" w14:textId="77777777" w:rsidR="00064C40" w:rsidRDefault="00A76F14" w:rsidP="00A111E9">
      <w:pPr>
        <w:rPr>
          <w:lang w:bidi="ar-SA"/>
        </w:rPr>
      </w:pPr>
      <w:r>
        <w:rPr>
          <w:lang w:bidi="ar-SA"/>
        </w:rPr>
        <w:t>Serum PFOS concentrations in the rat dams were only presented in</w:t>
      </w:r>
      <w:r w:rsidR="000433EB">
        <w:rPr>
          <w:lang w:bidi="ar-SA"/>
        </w:rPr>
        <w:t xml:space="preserve"> graphical form in</w:t>
      </w:r>
      <w:r>
        <w:rPr>
          <w:lang w:bidi="ar-SA"/>
        </w:rPr>
        <w:t xml:space="preserve"> the published </w:t>
      </w:r>
      <w:r w:rsidR="00CB600E">
        <w:rPr>
          <w:lang w:bidi="ar-SA"/>
        </w:rPr>
        <w:t xml:space="preserve">study </w:t>
      </w:r>
      <w:r>
        <w:rPr>
          <w:lang w:bidi="ar-SA"/>
        </w:rPr>
        <w:t xml:space="preserve">paper. However, values were provided to the US EPA by the study authors and are presented in </w:t>
      </w:r>
      <w:r w:rsidR="00535C77">
        <w:rPr>
          <w:lang w:bidi="ar-SA"/>
        </w:rPr>
        <w:fldChar w:fldCharType="begin"/>
      </w:r>
      <w:r w:rsidR="00535C77">
        <w:rPr>
          <w:lang w:bidi="ar-SA"/>
        </w:rPr>
        <w:instrText xml:space="preserve"> REF _Ref467848051 \h </w:instrText>
      </w:r>
      <w:r w:rsidR="00535C77">
        <w:rPr>
          <w:lang w:bidi="ar-SA"/>
        </w:rPr>
      </w:r>
      <w:r w:rsidR="00535C77">
        <w:rPr>
          <w:lang w:bidi="ar-SA"/>
        </w:rPr>
        <w:fldChar w:fldCharType="separate"/>
      </w:r>
      <w:r w:rsidR="00F4394A">
        <w:t xml:space="preserve">Table </w:t>
      </w:r>
      <w:r w:rsidR="00F4394A">
        <w:rPr>
          <w:noProof/>
        </w:rPr>
        <w:t>11</w:t>
      </w:r>
      <w:r w:rsidR="00535C77">
        <w:rPr>
          <w:lang w:bidi="ar-SA"/>
        </w:rPr>
        <w:fldChar w:fldCharType="end"/>
      </w:r>
      <w:r>
        <w:rPr>
          <w:lang w:bidi="ar-SA"/>
        </w:rPr>
        <w:t>.</w:t>
      </w:r>
    </w:p>
    <w:p w14:paraId="521D9CB3" w14:textId="457CE554" w:rsidR="005F1486" w:rsidRDefault="00064C40" w:rsidP="00A111E9">
      <w:pPr>
        <w:rPr>
          <w:lang w:bidi="ar-SA"/>
        </w:rPr>
      </w:pPr>
      <w:r>
        <w:rPr>
          <w:lang w:bidi="ar-SA"/>
        </w:rPr>
        <w:t xml:space="preserve"> </w:t>
      </w:r>
    </w:p>
    <w:p w14:paraId="6376AD44" w14:textId="77777777" w:rsidR="005F1486" w:rsidRDefault="005F1486">
      <w:pPr>
        <w:widowControl/>
        <w:rPr>
          <w:lang w:bidi="ar-SA"/>
        </w:rPr>
      </w:pPr>
      <w:r>
        <w:rPr>
          <w:lang w:bidi="ar-SA"/>
        </w:rPr>
        <w:br w:type="page"/>
      </w:r>
    </w:p>
    <w:p w14:paraId="7DF20B7D" w14:textId="1D23A272" w:rsidR="00726D19" w:rsidRPr="00726D19" w:rsidRDefault="00535C77" w:rsidP="00A111E9">
      <w:pPr>
        <w:pStyle w:val="FSTableTitle"/>
      </w:pPr>
      <w:bookmarkStart w:id="142" w:name="_Ref467848051"/>
      <w:r>
        <w:lastRenderedPageBreak/>
        <w:t xml:space="preserve">Table </w:t>
      </w:r>
      <w:r w:rsidR="00BC19E6">
        <w:fldChar w:fldCharType="begin"/>
      </w:r>
      <w:r w:rsidR="00BC19E6">
        <w:instrText xml:space="preserve"> SEQ Table \* ARABIC </w:instrText>
      </w:r>
      <w:r w:rsidR="00BC19E6">
        <w:fldChar w:fldCharType="separate"/>
      </w:r>
      <w:r w:rsidR="00F4394A">
        <w:rPr>
          <w:noProof/>
        </w:rPr>
        <w:t>11</w:t>
      </w:r>
      <w:r w:rsidR="00BC19E6">
        <w:rPr>
          <w:noProof/>
        </w:rPr>
        <w:fldChar w:fldCharType="end"/>
      </w:r>
      <w:bookmarkEnd w:id="142"/>
      <w:r w:rsidR="00BE256E">
        <w:rPr>
          <w:b w:val="0"/>
        </w:rPr>
        <w:t>:</w:t>
      </w:r>
      <w:r>
        <w:t xml:space="preserve"> </w:t>
      </w:r>
      <w:r w:rsidRPr="00CE6B71">
        <w:t xml:space="preserve">Maternal serum PFOS concentrations measured by Lau </w:t>
      </w:r>
      <w:r w:rsidR="00180A32" w:rsidRPr="00180A32">
        <w:rPr>
          <w:i/>
        </w:rPr>
        <w:t xml:space="preserve">et al. </w:t>
      </w:r>
      <w:r w:rsidR="00F22DA6">
        <w:t xml:space="preserve"> </w:t>
      </w:r>
      <w:r w:rsidRPr="00CE6B71">
        <w:t xml:space="preserve">2003 and Thibodeaux </w:t>
      </w:r>
      <w:r w:rsidR="00180A32" w:rsidRPr="00180A32">
        <w:rPr>
          <w:i/>
        </w:rPr>
        <w:t xml:space="preserve">et al. </w:t>
      </w:r>
      <w:r w:rsidR="00713213">
        <w:t xml:space="preserve"> </w:t>
      </w:r>
      <w:r w:rsidRPr="00CE6B71">
        <w:t>(2003)</w:t>
      </w:r>
    </w:p>
    <w:tbl>
      <w:tblPr>
        <w:tblStyle w:val="TableGrid5"/>
        <w:tblW w:w="0" w:type="auto"/>
        <w:tblInd w:w="250" w:type="dxa"/>
        <w:tblLook w:val="04A0" w:firstRow="1" w:lastRow="0" w:firstColumn="1" w:lastColumn="0" w:noHBand="0" w:noVBand="1"/>
        <w:tblCaption w:val="Table 11: Maternal serum PFOS concentrations measured by Lau et al.  2003 and Thibodeaux et al.  (2003)"/>
        <w:tblDescription w:val="This table contains information relating to serum levels of PFOS in pregnant Sprague Dawley rat dams after oral gavage administration from GD 2 to GD 21."/>
      </w:tblPr>
      <w:tblGrid>
        <w:gridCol w:w="1143"/>
        <w:gridCol w:w="1500"/>
        <w:gridCol w:w="1501"/>
        <w:gridCol w:w="1501"/>
        <w:gridCol w:w="1501"/>
        <w:gridCol w:w="1501"/>
      </w:tblGrid>
      <w:tr w:rsidR="00B94127" w:rsidRPr="00B94127" w14:paraId="44086775" w14:textId="77777777" w:rsidTr="00A111E9">
        <w:trPr>
          <w:trHeight w:val="100"/>
          <w:tblHeader/>
        </w:trPr>
        <w:tc>
          <w:tcPr>
            <w:tcW w:w="8647" w:type="dxa"/>
            <w:gridSpan w:val="6"/>
            <w:shd w:val="clear" w:color="auto" w:fill="F2F2F2" w:themeFill="background1" w:themeFillShade="F2"/>
          </w:tcPr>
          <w:p w14:paraId="7608A0A9" w14:textId="532279A4" w:rsidR="00B94127" w:rsidRPr="00B94127" w:rsidRDefault="00B94127" w:rsidP="007C3D18">
            <w:pPr>
              <w:pStyle w:val="FSTableHeading"/>
              <w:spacing w:before="40" w:after="40"/>
              <w:jc w:val="left"/>
            </w:pPr>
            <w:r w:rsidRPr="00B94127">
              <w:rPr>
                <w:lang w:bidi="ar-SA"/>
              </w:rPr>
              <w:t xml:space="preserve">Serum </w:t>
            </w:r>
            <w:r w:rsidR="007C3D18">
              <w:rPr>
                <w:lang w:bidi="ar-SA"/>
              </w:rPr>
              <w:t>l</w:t>
            </w:r>
            <w:r w:rsidR="007C3D18" w:rsidRPr="00B94127">
              <w:rPr>
                <w:lang w:bidi="ar-SA"/>
              </w:rPr>
              <w:t xml:space="preserve">evels </w:t>
            </w:r>
            <w:r w:rsidRPr="00B94127">
              <w:rPr>
                <w:lang w:bidi="ar-SA"/>
              </w:rPr>
              <w:t xml:space="preserve">of PFOS </w:t>
            </w:r>
            <w:r w:rsidRPr="00B94127">
              <w:t>(</w:t>
            </w:r>
            <w:r w:rsidR="00CB500B">
              <w:t>µg/mL</w:t>
            </w:r>
            <w:r w:rsidRPr="00B94127">
              <w:t xml:space="preserve">) in pregnant Sprague Dawley </w:t>
            </w:r>
            <w:r w:rsidR="007C3D18">
              <w:t>r</w:t>
            </w:r>
            <w:r w:rsidR="007C3D18" w:rsidRPr="00B94127">
              <w:t xml:space="preserve">at </w:t>
            </w:r>
            <w:r w:rsidR="007C3D18">
              <w:t>d</w:t>
            </w:r>
            <w:r w:rsidR="007C3D18" w:rsidRPr="00B94127">
              <w:t xml:space="preserve">ams </w:t>
            </w:r>
            <w:r w:rsidRPr="00B94127">
              <w:t xml:space="preserve">after </w:t>
            </w:r>
            <w:r w:rsidR="007C3D18">
              <w:t>o</w:t>
            </w:r>
            <w:r w:rsidR="007C3D18" w:rsidRPr="00B94127">
              <w:t xml:space="preserve">ral </w:t>
            </w:r>
            <w:r w:rsidR="007C3D18">
              <w:t>g</w:t>
            </w:r>
            <w:r w:rsidR="007C3D18" w:rsidRPr="00B94127">
              <w:t xml:space="preserve">avage </w:t>
            </w:r>
            <w:r w:rsidR="007C3D18">
              <w:t>a</w:t>
            </w:r>
            <w:r w:rsidR="007C3D18" w:rsidRPr="00B94127">
              <w:t xml:space="preserve">dministration </w:t>
            </w:r>
            <w:r w:rsidRPr="00B94127">
              <w:t>from GD</w:t>
            </w:r>
            <w:r w:rsidR="007C3D18">
              <w:t xml:space="preserve"> </w:t>
            </w:r>
            <w:r w:rsidRPr="00B94127">
              <w:t>2 to GD</w:t>
            </w:r>
            <w:r w:rsidR="007C3D18">
              <w:t xml:space="preserve"> </w:t>
            </w:r>
            <w:r>
              <w:t>21</w:t>
            </w:r>
          </w:p>
        </w:tc>
      </w:tr>
      <w:tr w:rsidR="00B94127" w:rsidRPr="00B94127" w14:paraId="0FBDAEA2" w14:textId="77777777" w:rsidTr="00A111E9">
        <w:trPr>
          <w:trHeight w:val="283"/>
          <w:tblHeader/>
        </w:trPr>
        <w:tc>
          <w:tcPr>
            <w:tcW w:w="1143" w:type="dxa"/>
            <w:vMerge w:val="restart"/>
            <w:shd w:val="clear" w:color="auto" w:fill="F2F2F2" w:themeFill="background1" w:themeFillShade="F2"/>
            <w:vAlign w:val="bottom"/>
          </w:tcPr>
          <w:p w14:paraId="1175DB48" w14:textId="77777777" w:rsidR="00B94127" w:rsidRPr="00F6284E" w:rsidRDefault="00B94127" w:rsidP="00A111E9">
            <w:pPr>
              <w:rPr>
                <w:rFonts w:ascii="Arial" w:hAnsi="Arial"/>
                <w:b/>
                <w:sz w:val="18"/>
              </w:rPr>
            </w:pPr>
            <w:r w:rsidRPr="000B3C14">
              <w:rPr>
                <w:b/>
                <w:sz w:val="18"/>
              </w:rPr>
              <w:t>Day</w:t>
            </w:r>
          </w:p>
        </w:tc>
        <w:tc>
          <w:tcPr>
            <w:tcW w:w="7504" w:type="dxa"/>
            <w:gridSpan w:val="5"/>
            <w:shd w:val="clear" w:color="auto" w:fill="F2F2F2" w:themeFill="background1" w:themeFillShade="F2"/>
            <w:vAlign w:val="center"/>
          </w:tcPr>
          <w:p w14:paraId="716A2295" w14:textId="5828B058" w:rsidR="00B94127" w:rsidRPr="00F6284E" w:rsidRDefault="00B94127" w:rsidP="00230E14">
            <w:pPr>
              <w:jc w:val="center"/>
              <w:rPr>
                <w:rFonts w:ascii="Arial" w:hAnsi="Arial"/>
                <w:b/>
                <w:sz w:val="18"/>
              </w:rPr>
            </w:pPr>
            <w:r w:rsidRPr="00F6284E">
              <w:rPr>
                <w:b/>
                <w:sz w:val="18"/>
              </w:rPr>
              <w:t>Ora K+ PFOS concentration (mg/kg</w:t>
            </w:r>
            <w:r w:rsidR="00B06C4E" w:rsidRPr="00F6284E">
              <w:rPr>
                <w:b/>
                <w:sz w:val="18"/>
              </w:rPr>
              <w:t xml:space="preserve"> bw</w:t>
            </w:r>
            <w:r w:rsidRPr="00F6284E">
              <w:rPr>
                <w:b/>
                <w:sz w:val="18"/>
              </w:rPr>
              <w:t>/day)</w:t>
            </w:r>
          </w:p>
        </w:tc>
      </w:tr>
      <w:tr w:rsidR="00B94127" w:rsidRPr="00B94127" w14:paraId="1C1F293A" w14:textId="77777777" w:rsidTr="00A111E9">
        <w:trPr>
          <w:trHeight w:val="60"/>
          <w:tblHeader/>
        </w:trPr>
        <w:tc>
          <w:tcPr>
            <w:tcW w:w="1143" w:type="dxa"/>
            <w:vMerge/>
            <w:shd w:val="clear" w:color="auto" w:fill="F2F2F2" w:themeFill="background1" w:themeFillShade="F2"/>
          </w:tcPr>
          <w:p w14:paraId="7AE1441B" w14:textId="77777777" w:rsidR="00B94127" w:rsidRPr="00F6284E" w:rsidRDefault="00B94127" w:rsidP="00A111E9">
            <w:pPr>
              <w:rPr>
                <w:rFonts w:ascii="Arial" w:hAnsi="Arial"/>
                <w:b/>
                <w:sz w:val="18"/>
              </w:rPr>
            </w:pPr>
          </w:p>
        </w:tc>
        <w:tc>
          <w:tcPr>
            <w:tcW w:w="1500" w:type="dxa"/>
            <w:shd w:val="clear" w:color="auto" w:fill="F2F2F2" w:themeFill="background1" w:themeFillShade="F2"/>
          </w:tcPr>
          <w:p w14:paraId="2EFEB60C" w14:textId="77777777" w:rsidR="00B94127" w:rsidRPr="00F6284E" w:rsidRDefault="00B94127" w:rsidP="00230E14">
            <w:pPr>
              <w:jc w:val="right"/>
              <w:rPr>
                <w:rFonts w:ascii="Arial" w:hAnsi="Arial"/>
                <w:b/>
                <w:sz w:val="18"/>
              </w:rPr>
            </w:pPr>
            <w:r w:rsidRPr="00F6284E">
              <w:rPr>
                <w:b/>
                <w:sz w:val="18"/>
              </w:rPr>
              <w:t>1</w:t>
            </w:r>
          </w:p>
        </w:tc>
        <w:tc>
          <w:tcPr>
            <w:tcW w:w="1501" w:type="dxa"/>
            <w:shd w:val="clear" w:color="auto" w:fill="F2F2F2" w:themeFill="background1" w:themeFillShade="F2"/>
          </w:tcPr>
          <w:p w14:paraId="7C9AB5F5" w14:textId="77777777" w:rsidR="00B94127" w:rsidRPr="00F6284E" w:rsidRDefault="00B94127" w:rsidP="00230E14">
            <w:pPr>
              <w:jc w:val="right"/>
              <w:rPr>
                <w:rFonts w:ascii="Arial" w:hAnsi="Arial"/>
                <w:b/>
                <w:sz w:val="18"/>
              </w:rPr>
            </w:pPr>
            <w:r w:rsidRPr="00F6284E">
              <w:rPr>
                <w:b/>
                <w:sz w:val="18"/>
              </w:rPr>
              <w:t>2</w:t>
            </w:r>
          </w:p>
        </w:tc>
        <w:tc>
          <w:tcPr>
            <w:tcW w:w="1501" w:type="dxa"/>
            <w:shd w:val="clear" w:color="auto" w:fill="F2F2F2" w:themeFill="background1" w:themeFillShade="F2"/>
          </w:tcPr>
          <w:p w14:paraId="564382C5" w14:textId="77777777" w:rsidR="00B94127" w:rsidRPr="00F6284E" w:rsidRDefault="00B94127" w:rsidP="00230E14">
            <w:pPr>
              <w:jc w:val="right"/>
              <w:rPr>
                <w:rFonts w:ascii="Arial" w:hAnsi="Arial"/>
                <w:b/>
                <w:sz w:val="18"/>
              </w:rPr>
            </w:pPr>
            <w:r w:rsidRPr="00F6284E">
              <w:rPr>
                <w:b/>
                <w:sz w:val="18"/>
              </w:rPr>
              <w:t>3</w:t>
            </w:r>
          </w:p>
        </w:tc>
        <w:tc>
          <w:tcPr>
            <w:tcW w:w="1501" w:type="dxa"/>
            <w:shd w:val="clear" w:color="auto" w:fill="F2F2F2" w:themeFill="background1" w:themeFillShade="F2"/>
          </w:tcPr>
          <w:p w14:paraId="76FCA8B0" w14:textId="77777777" w:rsidR="00B94127" w:rsidRPr="00F6284E" w:rsidRDefault="00B94127" w:rsidP="00230E14">
            <w:pPr>
              <w:jc w:val="right"/>
              <w:rPr>
                <w:rFonts w:ascii="Arial" w:hAnsi="Arial"/>
                <w:b/>
                <w:sz w:val="18"/>
              </w:rPr>
            </w:pPr>
            <w:r w:rsidRPr="00F6284E">
              <w:rPr>
                <w:b/>
                <w:sz w:val="18"/>
              </w:rPr>
              <w:t>5</w:t>
            </w:r>
          </w:p>
        </w:tc>
        <w:tc>
          <w:tcPr>
            <w:tcW w:w="1501" w:type="dxa"/>
            <w:shd w:val="clear" w:color="auto" w:fill="F2F2F2" w:themeFill="background1" w:themeFillShade="F2"/>
          </w:tcPr>
          <w:p w14:paraId="55E06212" w14:textId="77777777" w:rsidR="00B94127" w:rsidRPr="00F6284E" w:rsidRDefault="00B94127" w:rsidP="00230E14">
            <w:pPr>
              <w:jc w:val="right"/>
              <w:rPr>
                <w:rFonts w:ascii="Arial" w:hAnsi="Arial"/>
                <w:b/>
                <w:sz w:val="18"/>
              </w:rPr>
            </w:pPr>
            <w:r w:rsidRPr="00F6284E">
              <w:rPr>
                <w:b/>
                <w:sz w:val="18"/>
              </w:rPr>
              <w:t>10</w:t>
            </w:r>
          </w:p>
        </w:tc>
      </w:tr>
      <w:tr w:rsidR="00B94127" w:rsidRPr="00B94127" w14:paraId="640BAB46" w14:textId="77777777" w:rsidTr="00F6284E">
        <w:trPr>
          <w:trHeight w:val="283"/>
        </w:trPr>
        <w:tc>
          <w:tcPr>
            <w:tcW w:w="8647" w:type="dxa"/>
            <w:gridSpan w:val="6"/>
            <w:vAlign w:val="center"/>
          </w:tcPr>
          <w:p w14:paraId="4F7203E1" w14:textId="3083528E" w:rsidR="00B94127" w:rsidRPr="000B3C14" w:rsidRDefault="00B94127" w:rsidP="00A111E9">
            <w:pPr>
              <w:rPr>
                <w:rFonts w:ascii="Arial" w:hAnsi="Arial"/>
                <w:sz w:val="18"/>
              </w:rPr>
            </w:pPr>
            <w:r w:rsidRPr="00D711DD">
              <w:rPr>
                <w:sz w:val="18"/>
              </w:rPr>
              <w:t>GD</w:t>
            </w:r>
            <w:r w:rsidR="00685591">
              <w:rPr>
                <w:sz w:val="18"/>
              </w:rPr>
              <w:t xml:space="preserve"> </w:t>
            </w:r>
            <w:r w:rsidRPr="00D711DD">
              <w:rPr>
                <w:sz w:val="18"/>
              </w:rPr>
              <w:t>22 – Termination</w:t>
            </w:r>
          </w:p>
        </w:tc>
      </w:tr>
      <w:tr w:rsidR="00B94127" w:rsidRPr="00B94127" w14:paraId="341EFEC7" w14:textId="77777777" w:rsidTr="00F6284E">
        <w:trPr>
          <w:trHeight w:val="283"/>
        </w:trPr>
        <w:tc>
          <w:tcPr>
            <w:tcW w:w="1143" w:type="dxa"/>
            <w:vAlign w:val="center"/>
          </w:tcPr>
          <w:p w14:paraId="2EB682C8" w14:textId="77777777" w:rsidR="00B94127" w:rsidRPr="00F6284E" w:rsidRDefault="00B94127" w:rsidP="00A111E9">
            <w:pPr>
              <w:rPr>
                <w:rFonts w:ascii="Arial" w:hAnsi="Arial"/>
                <w:sz w:val="18"/>
                <w:vertAlign w:val="superscript"/>
              </w:rPr>
            </w:pPr>
            <w:r w:rsidRPr="00D711DD">
              <w:rPr>
                <w:sz w:val="18"/>
              </w:rPr>
              <w:t>Dams</w:t>
            </w:r>
            <w:r w:rsidRPr="000B3C14">
              <w:rPr>
                <w:sz w:val="18"/>
                <w:vertAlign w:val="superscript"/>
              </w:rPr>
              <w:t>1</w:t>
            </w:r>
          </w:p>
        </w:tc>
        <w:tc>
          <w:tcPr>
            <w:tcW w:w="1500" w:type="dxa"/>
            <w:vAlign w:val="center"/>
          </w:tcPr>
          <w:p w14:paraId="2AC41124" w14:textId="77777777" w:rsidR="00B94127" w:rsidRPr="00F6284E" w:rsidRDefault="00B94127" w:rsidP="00230E14">
            <w:pPr>
              <w:jc w:val="right"/>
              <w:rPr>
                <w:rFonts w:ascii="Arial" w:hAnsi="Arial"/>
                <w:sz w:val="18"/>
              </w:rPr>
            </w:pPr>
            <w:r w:rsidRPr="00F6284E">
              <w:rPr>
                <w:sz w:val="18"/>
              </w:rPr>
              <w:t>19.69</w:t>
            </w:r>
          </w:p>
        </w:tc>
        <w:tc>
          <w:tcPr>
            <w:tcW w:w="1501" w:type="dxa"/>
            <w:vAlign w:val="center"/>
          </w:tcPr>
          <w:p w14:paraId="3ED26DCA" w14:textId="77777777" w:rsidR="00B94127" w:rsidRPr="00F6284E" w:rsidRDefault="00B94127" w:rsidP="00230E14">
            <w:pPr>
              <w:jc w:val="right"/>
              <w:rPr>
                <w:rFonts w:ascii="Arial" w:hAnsi="Arial"/>
                <w:sz w:val="18"/>
              </w:rPr>
            </w:pPr>
            <w:r w:rsidRPr="00F6284E">
              <w:rPr>
                <w:sz w:val="18"/>
              </w:rPr>
              <w:t>44.33</w:t>
            </w:r>
          </w:p>
        </w:tc>
        <w:tc>
          <w:tcPr>
            <w:tcW w:w="1501" w:type="dxa"/>
            <w:vAlign w:val="center"/>
          </w:tcPr>
          <w:p w14:paraId="29CAC4D0" w14:textId="77777777" w:rsidR="00B94127" w:rsidRPr="00F6284E" w:rsidRDefault="00B94127" w:rsidP="00230E14">
            <w:pPr>
              <w:jc w:val="right"/>
              <w:rPr>
                <w:rFonts w:ascii="Arial" w:hAnsi="Arial"/>
                <w:sz w:val="18"/>
              </w:rPr>
            </w:pPr>
            <w:r w:rsidRPr="00F6284E">
              <w:rPr>
                <w:sz w:val="18"/>
              </w:rPr>
              <w:t>70.62</w:t>
            </w:r>
          </w:p>
        </w:tc>
        <w:tc>
          <w:tcPr>
            <w:tcW w:w="1501" w:type="dxa"/>
            <w:vAlign w:val="center"/>
          </w:tcPr>
          <w:p w14:paraId="62ED1EA6" w14:textId="77777777" w:rsidR="00B94127" w:rsidRPr="00F6284E" w:rsidRDefault="00B94127" w:rsidP="00230E14">
            <w:pPr>
              <w:jc w:val="right"/>
              <w:rPr>
                <w:rFonts w:ascii="Arial" w:hAnsi="Arial"/>
                <w:sz w:val="18"/>
              </w:rPr>
            </w:pPr>
            <w:r w:rsidRPr="00F6284E">
              <w:rPr>
                <w:sz w:val="18"/>
              </w:rPr>
              <w:t>79.39</w:t>
            </w:r>
          </w:p>
        </w:tc>
        <w:tc>
          <w:tcPr>
            <w:tcW w:w="1501" w:type="dxa"/>
            <w:vAlign w:val="center"/>
          </w:tcPr>
          <w:p w14:paraId="3DBDC442" w14:textId="77777777" w:rsidR="00B94127" w:rsidRPr="00F6284E" w:rsidRDefault="00B94127" w:rsidP="00230E14">
            <w:pPr>
              <w:jc w:val="right"/>
              <w:rPr>
                <w:rFonts w:ascii="Arial" w:hAnsi="Arial"/>
                <w:sz w:val="18"/>
              </w:rPr>
            </w:pPr>
            <w:r w:rsidRPr="00F6284E">
              <w:rPr>
                <w:sz w:val="18"/>
              </w:rPr>
              <w:t>189.4</w:t>
            </w:r>
          </w:p>
        </w:tc>
      </w:tr>
    </w:tbl>
    <w:p w14:paraId="5D886FC2" w14:textId="6CA16077" w:rsidR="00B94127" w:rsidRPr="00726D19" w:rsidRDefault="00B94127" w:rsidP="00A111E9">
      <w:pPr>
        <w:widowControl/>
        <w:spacing w:before="120"/>
        <w:ind w:left="284"/>
        <w:rPr>
          <w:sz w:val="16"/>
          <w:szCs w:val="16"/>
        </w:rPr>
      </w:pPr>
      <w:r w:rsidRPr="00726D19">
        <w:rPr>
          <w:sz w:val="16"/>
          <w:szCs w:val="16"/>
        </w:rPr>
        <w:t>GD Gestation Day</w:t>
      </w:r>
      <w:r w:rsidR="000C6044">
        <w:rPr>
          <w:sz w:val="16"/>
          <w:szCs w:val="16"/>
        </w:rPr>
        <w:t xml:space="preserve">; </w:t>
      </w:r>
      <w:r w:rsidRPr="00726D19">
        <w:rPr>
          <w:sz w:val="16"/>
          <w:szCs w:val="16"/>
        </w:rPr>
        <w:t xml:space="preserve">Sample size and </w:t>
      </w:r>
      <w:r w:rsidR="00D2034C">
        <w:rPr>
          <w:sz w:val="16"/>
          <w:szCs w:val="16"/>
        </w:rPr>
        <w:t>standard deviation</w:t>
      </w:r>
      <w:r w:rsidR="00D2034C" w:rsidRPr="00726D19">
        <w:rPr>
          <w:sz w:val="16"/>
          <w:szCs w:val="16"/>
        </w:rPr>
        <w:t xml:space="preserve"> </w:t>
      </w:r>
      <w:r w:rsidRPr="00726D19">
        <w:rPr>
          <w:sz w:val="16"/>
          <w:szCs w:val="16"/>
        </w:rPr>
        <w:t>data not available</w:t>
      </w:r>
      <w:r w:rsidR="000C6044">
        <w:rPr>
          <w:sz w:val="16"/>
          <w:szCs w:val="16"/>
        </w:rPr>
        <w:t xml:space="preserve">; </w:t>
      </w:r>
      <w:r w:rsidRPr="00726D19">
        <w:rPr>
          <w:sz w:val="16"/>
          <w:szCs w:val="16"/>
        </w:rPr>
        <w:t>No control values provided</w:t>
      </w:r>
    </w:p>
    <w:p w14:paraId="56345C29" w14:textId="71F13AAE" w:rsidR="00B94127" w:rsidRPr="00726D19" w:rsidRDefault="00B94127" w:rsidP="00A111E9">
      <w:pPr>
        <w:widowControl/>
        <w:ind w:left="284"/>
        <w:rPr>
          <w:sz w:val="16"/>
          <w:szCs w:val="16"/>
        </w:rPr>
      </w:pPr>
      <w:r w:rsidRPr="00726D19">
        <w:rPr>
          <w:sz w:val="16"/>
          <w:szCs w:val="16"/>
        </w:rPr>
        <w:t>Graphical data for GD</w:t>
      </w:r>
      <w:r w:rsidR="00685591">
        <w:rPr>
          <w:sz w:val="16"/>
          <w:szCs w:val="16"/>
        </w:rPr>
        <w:t xml:space="preserve"> </w:t>
      </w:r>
      <w:r w:rsidRPr="00726D19">
        <w:rPr>
          <w:sz w:val="16"/>
          <w:szCs w:val="16"/>
        </w:rPr>
        <w:t>7 and 14 presented in Thibodeaux but no numerical values; therefore no values presented here – values for all treated groups increased from GD7 to 21, indicating the earliest point of steady</w:t>
      </w:r>
      <w:r w:rsidR="00032CF6">
        <w:rPr>
          <w:sz w:val="16"/>
          <w:szCs w:val="16"/>
        </w:rPr>
        <w:t>-</w:t>
      </w:r>
      <w:r w:rsidRPr="00726D19">
        <w:rPr>
          <w:sz w:val="16"/>
          <w:szCs w:val="16"/>
        </w:rPr>
        <w:t>state would be GD 21 (can’t be confirmed as GD</w:t>
      </w:r>
      <w:r w:rsidR="00685591">
        <w:rPr>
          <w:sz w:val="16"/>
          <w:szCs w:val="16"/>
        </w:rPr>
        <w:t xml:space="preserve"> </w:t>
      </w:r>
      <w:r w:rsidRPr="00726D19">
        <w:rPr>
          <w:sz w:val="16"/>
          <w:szCs w:val="16"/>
        </w:rPr>
        <w:t>21 was a terminal sample)</w:t>
      </w:r>
    </w:p>
    <w:p w14:paraId="31C0864F" w14:textId="0C07BEBC" w:rsidR="00B94127" w:rsidRPr="00726D19" w:rsidRDefault="00B94127" w:rsidP="00A111E9">
      <w:pPr>
        <w:widowControl/>
        <w:ind w:left="284"/>
        <w:rPr>
          <w:sz w:val="16"/>
          <w:szCs w:val="16"/>
        </w:rPr>
      </w:pPr>
      <w:r w:rsidRPr="00726D19">
        <w:rPr>
          <w:sz w:val="16"/>
          <w:szCs w:val="16"/>
          <w:vertAlign w:val="superscript"/>
        </w:rPr>
        <w:t xml:space="preserve">1 </w:t>
      </w:r>
      <w:r w:rsidRPr="00726D19">
        <w:rPr>
          <w:sz w:val="16"/>
          <w:szCs w:val="16"/>
        </w:rPr>
        <w:t xml:space="preserve">Taken from US EPA PFOS Human Health </w:t>
      </w:r>
      <w:r w:rsidR="00A76F14" w:rsidRPr="00726D19">
        <w:rPr>
          <w:sz w:val="16"/>
          <w:szCs w:val="16"/>
        </w:rPr>
        <w:t>Effects Support Document (US EPA 2016)</w:t>
      </w:r>
    </w:p>
    <w:p w14:paraId="3AA8B47D" w14:textId="14C53BD8" w:rsidR="00AF1713" w:rsidRPr="00BE2788" w:rsidRDefault="00AF1713" w:rsidP="005F1486">
      <w:pPr>
        <w:pStyle w:val="Heading5"/>
      </w:pPr>
      <w:r w:rsidRPr="00BE2788">
        <w:t>Rabbits</w:t>
      </w:r>
    </w:p>
    <w:p w14:paraId="09E0DB47" w14:textId="17E210BB" w:rsidR="00AF1713" w:rsidRPr="008A5633" w:rsidRDefault="00AF1713" w:rsidP="00A111E9">
      <w:pPr>
        <w:rPr>
          <w:b/>
          <w:lang w:bidi="ar-SA"/>
        </w:rPr>
      </w:pPr>
      <w:r w:rsidRPr="008A5633">
        <w:rPr>
          <w:b/>
          <w:lang w:bidi="ar-SA"/>
        </w:rPr>
        <w:t xml:space="preserve">Case </w:t>
      </w:r>
      <w:r w:rsidR="00180A32" w:rsidRPr="00180A32">
        <w:rPr>
          <w:b/>
          <w:i/>
          <w:lang w:bidi="ar-SA"/>
        </w:rPr>
        <w:t xml:space="preserve">et al. </w:t>
      </w:r>
      <w:r w:rsidR="00F22DA6">
        <w:rPr>
          <w:b/>
          <w:lang w:bidi="ar-SA"/>
        </w:rPr>
        <w:t xml:space="preserve"> </w:t>
      </w:r>
      <w:r w:rsidRPr="008A5633">
        <w:rPr>
          <w:b/>
          <w:lang w:bidi="ar-SA"/>
        </w:rPr>
        <w:t xml:space="preserve">2001 </w:t>
      </w:r>
    </w:p>
    <w:p w14:paraId="1D82AB9B" w14:textId="77777777" w:rsidR="00AF1713" w:rsidRDefault="00AF1713" w:rsidP="00A111E9">
      <w:pPr>
        <w:rPr>
          <w:lang w:bidi="ar-SA"/>
        </w:rPr>
      </w:pPr>
    </w:p>
    <w:p w14:paraId="6A135FE3" w14:textId="7726DB33" w:rsidR="00AF1713" w:rsidRDefault="00A4166E" w:rsidP="00A111E9">
      <w:pPr>
        <w:rPr>
          <w:lang w:bidi="ar-SA"/>
        </w:rPr>
      </w:pPr>
      <w:r>
        <w:rPr>
          <w:lang w:bidi="ar-SA"/>
        </w:rPr>
        <w:t>Mated New Zealand White</w:t>
      </w:r>
      <w:r w:rsidR="00535084">
        <w:rPr>
          <w:lang w:bidi="ar-SA"/>
        </w:rPr>
        <w:t xml:space="preserve"> female</w:t>
      </w:r>
      <w:r>
        <w:rPr>
          <w:lang w:bidi="ar-SA"/>
        </w:rPr>
        <w:t xml:space="preserve"> rabbits (22/dose group) were administered </w:t>
      </w:r>
      <w:r w:rsidR="009159D4">
        <w:rPr>
          <w:lang w:bidi="ar-SA"/>
        </w:rPr>
        <w:t xml:space="preserve">PFOS by oral gavage at doses of 0, 0.1, 1.0, 2.5 and 3.75 mg/kg bw/day </w:t>
      </w:r>
      <w:r w:rsidR="00535084">
        <w:rPr>
          <w:lang w:bidi="ar-SA"/>
        </w:rPr>
        <w:t xml:space="preserve">on </w:t>
      </w:r>
      <w:r w:rsidR="009159D4">
        <w:rPr>
          <w:lang w:bidi="ar-SA"/>
        </w:rPr>
        <w:t>GD</w:t>
      </w:r>
      <w:r w:rsidR="00E52466">
        <w:rPr>
          <w:lang w:bidi="ar-SA"/>
        </w:rPr>
        <w:t>s</w:t>
      </w:r>
      <w:r w:rsidR="009159D4">
        <w:rPr>
          <w:lang w:bidi="ar-SA"/>
        </w:rPr>
        <w:t xml:space="preserve"> 7 – 20. </w:t>
      </w:r>
      <w:r w:rsidR="009C5183">
        <w:rPr>
          <w:lang w:bidi="ar-SA"/>
        </w:rPr>
        <w:t xml:space="preserve">These levels </w:t>
      </w:r>
      <w:r w:rsidR="00185073">
        <w:rPr>
          <w:lang w:bidi="ar-SA"/>
        </w:rPr>
        <w:t xml:space="preserve">were </w:t>
      </w:r>
      <w:r w:rsidR="009C5183">
        <w:rPr>
          <w:lang w:bidi="ar-SA"/>
        </w:rPr>
        <w:t xml:space="preserve">selected based on the results of a preliminary </w:t>
      </w:r>
      <w:r w:rsidR="009159D4">
        <w:rPr>
          <w:lang w:bidi="ar-SA"/>
        </w:rPr>
        <w:t>dose range finding</w:t>
      </w:r>
      <w:r w:rsidR="00185073">
        <w:rPr>
          <w:lang w:bidi="ar-SA"/>
        </w:rPr>
        <w:t xml:space="preserve"> </w:t>
      </w:r>
      <w:r w:rsidR="009C5183">
        <w:rPr>
          <w:lang w:bidi="ar-SA"/>
        </w:rPr>
        <w:t xml:space="preserve">study. </w:t>
      </w:r>
      <w:r w:rsidR="00535084">
        <w:rPr>
          <w:lang w:bidi="ar-SA"/>
        </w:rPr>
        <w:t xml:space="preserve">Clinical signs, body weight and feed consumption were monitored daily. On GD 29 the maternal animals were killed and gross necropsy was performed. The uteri of apparently non-pregnant females were examined for evidence of implantation sites. The number of corpora lutea in each ovary was recorded, as well as the number of live and dead </w:t>
      </w:r>
      <w:r w:rsidR="00837B29">
        <w:rPr>
          <w:lang w:bidi="ar-SA"/>
        </w:rPr>
        <w:t>fetus</w:t>
      </w:r>
      <w:r w:rsidR="00535084">
        <w:rPr>
          <w:lang w:bidi="ar-SA"/>
        </w:rPr>
        <w:t>es and early and late resorptions. Fetuses were weighed and examined.</w:t>
      </w:r>
    </w:p>
    <w:p w14:paraId="27612C5E" w14:textId="77777777" w:rsidR="00185073" w:rsidRDefault="00185073" w:rsidP="00A111E9">
      <w:pPr>
        <w:rPr>
          <w:lang w:bidi="ar-SA"/>
        </w:rPr>
      </w:pPr>
    </w:p>
    <w:p w14:paraId="16ED4F80" w14:textId="28B42EF0" w:rsidR="005102EC" w:rsidRDefault="005102EC" w:rsidP="00A111E9">
      <w:pPr>
        <w:rPr>
          <w:lang w:bidi="ar-SA"/>
        </w:rPr>
      </w:pPr>
      <w:r>
        <w:rPr>
          <w:lang w:bidi="ar-SA"/>
        </w:rPr>
        <w:t xml:space="preserve">There were no treatment-related maternal deaths. Maternal body weight gains on GDs 7 – 21 were </w:t>
      </w:r>
      <w:r w:rsidR="002925EC">
        <w:rPr>
          <w:lang w:bidi="ar-SA"/>
        </w:rPr>
        <w:t xml:space="preserve">significantly </w:t>
      </w:r>
      <w:r>
        <w:rPr>
          <w:lang w:bidi="ar-SA"/>
        </w:rPr>
        <w:t xml:space="preserve">lower than controls at doses </w:t>
      </w:r>
      <w:r>
        <w:rPr>
          <w:rFonts w:cs="Arial"/>
          <w:lang w:bidi="ar-SA"/>
        </w:rPr>
        <w:t>≥</w:t>
      </w:r>
      <w:r w:rsidR="000047DC">
        <w:rPr>
          <w:lang w:bidi="ar-SA"/>
        </w:rPr>
        <w:t xml:space="preserve"> 1.0 mg/kg bw/day. Reduced feed consumption was seen in the maternal animals administered 2.5 and 3.75 mg/kg bw/day</w:t>
      </w:r>
      <w:r w:rsidR="002925EC">
        <w:rPr>
          <w:lang w:bidi="ar-SA"/>
        </w:rPr>
        <w:t>.</w:t>
      </w:r>
    </w:p>
    <w:p w14:paraId="7AFE8413" w14:textId="5C56868C" w:rsidR="000047DC" w:rsidRDefault="000047DC" w:rsidP="00A111E9">
      <w:pPr>
        <w:rPr>
          <w:lang w:bidi="ar-SA"/>
        </w:rPr>
      </w:pPr>
    </w:p>
    <w:p w14:paraId="58B96B4E" w14:textId="2861DA7F" w:rsidR="000047DC" w:rsidRDefault="000047DC" w:rsidP="00A111E9">
      <w:pPr>
        <w:rPr>
          <w:lang w:bidi="ar-SA"/>
        </w:rPr>
      </w:pPr>
      <w:r>
        <w:rPr>
          <w:lang w:bidi="ar-SA"/>
        </w:rPr>
        <w:t xml:space="preserve">Abortions occured in one doe administered PFOS at 2.5 mg/kg bw/day (GD 25) and </w:t>
      </w:r>
      <w:r w:rsidR="001B6877">
        <w:rPr>
          <w:lang w:bidi="ar-SA"/>
        </w:rPr>
        <w:t>10</w:t>
      </w:r>
      <w:r>
        <w:rPr>
          <w:lang w:bidi="ar-SA"/>
        </w:rPr>
        <w:t xml:space="preserve"> </w:t>
      </w:r>
      <w:r w:rsidR="00685591">
        <w:rPr>
          <w:lang w:bidi="ar-SA"/>
        </w:rPr>
        <w:t xml:space="preserve">does </w:t>
      </w:r>
      <w:r>
        <w:rPr>
          <w:lang w:bidi="ar-SA"/>
        </w:rPr>
        <w:t>administered 3.75 mg/kg bw/day between GDs 22 and 28. Significantly reduced fetal weights were see</w:t>
      </w:r>
      <w:r w:rsidR="00136319">
        <w:rPr>
          <w:lang w:bidi="ar-SA"/>
        </w:rPr>
        <w:t>n at 2.5 and 3.75 mg/kg bw/day, as well as some reversible delays in ossification of the sternebrae, hyoid, metacarpal and pubic bones. These delays are considered to be a consequence of the reduced fetal body weights at these doses and are not considered to be teratogenic changes. No other compound related fetal alterations were found.</w:t>
      </w:r>
    </w:p>
    <w:p w14:paraId="24C2CEBB" w14:textId="77777777" w:rsidR="00136319" w:rsidRDefault="00136319" w:rsidP="00A111E9">
      <w:pPr>
        <w:rPr>
          <w:lang w:bidi="ar-SA"/>
        </w:rPr>
      </w:pPr>
    </w:p>
    <w:p w14:paraId="1721BB58" w14:textId="4D0810AE" w:rsidR="00136319" w:rsidRDefault="00136319" w:rsidP="00A111E9">
      <w:pPr>
        <w:rPr>
          <w:lang w:bidi="ar-SA"/>
        </w:rPr>
      </w:pPr>
      <w:r>
        <w:rPr>
          <w:lang w:bidi="ar-SA"/>
        </w:rPr>
        <w:t xml:space="preserve">The maternal NOAEL in this study was 0.1 mg/kg bw/day based on reduced body weight gain at the LOAEL of 1.0 mg/kg bw/day. The NOAEL for </w:t>
      </w:r>
      <w:r w:rsidR="00837B29">
        <w:rPr>
          <w:lang w:bidi="ar-SA"/>
        </w:rPr>
        <w:t xml:space="preserve">embryo and </w:t>
      </w:r>
      <w:r>
        <w:rPr>
          <w:lang w:bidi="ar-SA"/>
        </w:rPr>
        <w:t xml:space="preserve">fetal toxicity was 1 mg/kg bw/day based on reduced fetal body weights and abortions seen at the LOAEL of </w:t>
      </w:r>
      <w:r w:rsidR="00685591">
        <w:rPr>
          <w:lang w:bidi="ar-SA"/>
        </w:rPr>
        <w:t>2.5</w:t>
      </w:r>
      <w:r>
        <w:rPr>
          <w:lang w:bidi="ar-SA"/>
        </w:rPr>
        <w:t xml:space="preserve"> mg/kg bw/day.</w:t>
      </w:r>
    </w:p>
    <w:p w14:paraId="19DECB7D" w14:textId="7624AC55" w:rsidR="009C5183" w:rsidRPr="00D14335" w:rsidRDefault="00D14335" w:rsidP="00112C61">
      <w:pPr>
        <w:pStyle w:val="Heading5"/>
      </w:pPr>
      <w:r w:rsidRPr="00D14335">
        <w:t>Special reproductive and developmental toxicity studies</w:t>
      </w:r>
    </w:p>
    <w:p w14:paraId="41A34742" w14:textId="14393FF5" w:rsidR="00D14335" w:rsidRPr="00D14335" w:rsidRDefault="00D14335" w:rsidP="005F1486">
      <w:pPr>
        <w:pStyle w:val="Heading5"/>
      </w:pPr>
      <w:r w:rsidRPr="00D14335">
        <w:t>Developmental neurotoxicity</w:t>
      </w:r>
    </w:p>
    <w:p w14:paraId="6689A1BE" w14:textId="1D579AFA" w:rsidR="00D14335" w:rsidRPr="00A03EA5" w:rsidRDefault="00D14335" w:rsidP="00A111E9">
      <w:pPr>
        <w:rPr>
          <w:b/>
          <w:lang w:bidi="ar-SA"/>
        </w:rPr>
      </w:pPr>
      <w:r w:rsidRPr="00A03EA5">
        <w:rPr>
          <w:b/>
          <w:lang w:bidi="ar-SA"/>
        </w:rPr>
        <w:t xml:space="preserve">Butenhoff </w:t>
      </w:r>
      <w:r w:rsidR="00180A32" w:rsidRPr="00180A32">
        <w:rPr>
          <w:b/>
          <w:i/>
          <w:lang w:bidi="ar-SA"/>
        </w:rPr>
        <w:t xml:space="preserve">et al. </w:t>
      </w:r>
      <w:r w:rsidR="00F22DA6">
        <w:rPr>
          <w:b/>
          <w:lang w:bidi="ar-SA"/>
        </w:rPr>
        <w:t xml:space="preserve"> </w:t>
      </w:r>
      <w:r w:rsidRPr="00A03EA5">
        <w:rPr>
          <w:b/>
          <w:lang w:bidi="ar-SA"/>
        </w:rPr>
        <w:t xml:space="preserve">2009/Chang </w:t>
      </w:r>
      <w:r w:rsidR="00180A32" w:rsidRPr="00180A32">
        <w:rPr>
          <w:b/>
          <w:i/>
          <w:lang w:bidi="ar-SA"/>
        </w:rPr>
        <w:t xml:space="preserve">et al. </w:t>
      </w:r>
      <w:r w:rsidR="00F22DA6">
        <w:rPr>
          <w:b/>
          <w:lang w:bidi="ar-SA"/>
        </w:rPr>
        <w:t xml:space="preserve"> </w:t>
      </w:r>
      <w:r w:rsidRPr="00A03EA5">
        <w:rPr>
          <w:b/>
          <w:lang w:bidi="ar-SA"/>
        </w:rPr>
        <w:t xml:space="preserve">2009 </w:t>
      </w:r>
    </w:p>
    <w:p w14:paraId="42BD53A3" w14:textId="77777777" w:rsidR="00D14335" w:rsidRDefault="00D14335" w:rsidP="00A111E9">
      <w:pPr>
        <w:rPr>
          <w:lang w:bidi="ar-SA"/>
        </w:rPr>
      </w:pPr>
    </w:p>
    <w:p w14:paraId="490ED9FA" w14:textId="76D13E87" w:rsidR="00D14335" w:rsidRDefault="00D14335" w:rsidP="00A111E9">
      <w:pPr>
        <w:rPr>
          <w:lang w:bidi="ar-SA"/>
        </w:rPr>
      </w:pPr>
      <w:r>
        <w:rPr>
          <w:lang w:bidi="ar-SA"/>
        </w:rPr>
        <w:t>Mated female Sprague</w:t>
      </w:r>
      <w:r w:rsidR="00032CF6">
        <w:rPr>
          <w:lang w:bidi="ar-SA"/>
        </w:rPr>
        <w:t xml:space="preserve"> </w:t>
      </w:r>
      <w:r>
        <w:rPr>
          <w:lang w:bidi="ar-SA"/>
        </w:rPr>
        <w:t xml:space="preserve">Dawley (Crl:CD (SD)) rats (25 per group) were administered PFOS potassium salt at 0, 0.1, 0.3 and 1.0 mg/kg bw/day by oral gavage. </w:t>
      </w:r>
      <w:r w:rsidR="0061268F">
        <w:rPr>
          <w:lang w:bidi="ar-SA"/>
        </w:rPr>
        <w:t xml:space="preserve">An additional 10 mated females per group were assigned as satellites used to collect blood and tissue samples for evaluation of pharmacokinetic, thyroid hormone and morphology and hepatic gene expression endpoints on GD 20. Animals in the main study phase were dosed from GD 0 to PND 20, </w:t>
      </w:r>
      <w:r w:rsidR="002662DD">
        <w:rPr>
          <w:lang w:bidi="ar-SA"/>
        </w:rPr>
        <w:t>while</w:t>
      </w:r>
      <w:r w:rsidR="0061268F">
        <w:rPr>
          <w:lang w:bidi="ar-SA"/>
        </w:rPr>
        <w:t xml:space="preserve"> rats </w:t>
      </w:r>
      <w:r w:rsidR="002662DD">
        <w:rPr>
          <w:lang w:bidi="ar-SA"/>
        </w:rPr>
        <w:t xml:space="preserve">used in the satellite study </w:t>
      </w:r>
      <w:r w:rsidR="0061268F">
        <w:rPr>
          <w:lang w:bidi="ar-SA"/>
        </w:rPr>
        <w:t>were dosed from GD 0 to GD 19.</w:t>
      </w:r>
      <w:r w:rsidR="00F97109">
        <w:rPr>
          <w:lang w:bidi="ar-SA"/>
        </w:rPr>
        <w:t xml:space="preserve"> All satellite </w:t>
      </w:r>
      <w:r w:rsidR="00F97109">
        <w:rPr>
          <w:lang w:bidi="ar-SA"/>
        </w:rPr>
        <w:lastRenderedPageBreak/>
        <w:t xml:space="preserve">dams and their </w:t>
      </w:r>
      <w:r w:rsidR="0065647B">
        <w:rPr>
          <w:lang w:bidi="ar-SA"/>
        </w:rPr>
        <w:t>fetus</w:t>
      </w:r>
      <w:r w:rsidR="00F97109">
        <w:rPr>
          <w:lang w:bidi="ar-SA"/>
        </w:rPr>
        <w:t>es, and main study phase dams, were euthani</w:t>
      </w:r>
      <w:r w:rsidR="001B6877">
        <w:rPr>
          <w:lang w:bidi="ar-SA"/>
        </w:rPr>
        <w:t>s</w:t>
      </w:r>
      <w:r w:rsidR="00F97109">
        <w:rPr>
          <w:lang w:bidi="ar-SA"/>
        </w:rPr>
        <w:t>ed on GD 20 and PND 21, respectively.</w:t>
      </w:r>
    </w:p>
    <w:p w14:paraId="3D10B1D3" w14:textId="77777777" w:rsidR="00AF1713" w:rsidRDefault="00AF1713" w:rsidP="00A111E9">
      <w:pPr>
        <w:rPr>
          <w:lang w:bidi="ar-SA"/>
        </w:rPr>
      </w:pPr>
    </w:p>
    <w:p w14:paraId="17DA1167" w14:textId="5459026B" w:rsidR="00F97109" w:rsidRDefault="00F97109" w:rsidP="00A111E9">
      <w:pPr>
        <w:rPr>
          <w:lang w:bidi="ar-SA"/>
        </w:rPr>
      </w:pPr>
      <w:r>
        <w:rPr>
          <w:lang w:bidi="ar-SA"/>
        </w:rPr>
        <w:t>All maternal rats were monitored twice daily for moribundity and mortality and main study rats were monitored daily</w:t>
      </w:r>
      <w:r w:rsidR="00685591">
        <w:rPr>
          <w:lang w:bidi="ar-SA"/>
        </w:rPr>
        <w:t xml:space="preserve"> for</w:t>
      </w:r>
      <w:r>
        <w:rPr>
          <w:lang w:bidi="ar-SA"/>
        </w:rPr>
        <w:t xml:space="preserve"> signs of toxicity approximately 1 hour after dosing. Each litter was observed daily for survival and changes in appearance or behaviour, including nursing habit, until </w:t>
      </w:r>
      <w:r w:rsidR="002662DD">
        <w:rPr>
          <w:lang w:bidi="ar-SA"/>
        </w:rPr>
        <w:t>termination</w:t>
      </w:r>
      <w:r>
        <w:rPr>
          <w:lang w:bidi="ar-SA"/>
        </w:rPr>
        <w:t xml:space="preserve"> on PND 72. Pups were randomly selected and assigned to one of two subsets. Subset A consisted of 20 pups/sex/group (1 rat/sex/litter from 20 litters/group) and these animals underwent a functional observa</w:t>
      </w:r>
      <w:r w:rsidR="004C7DB7">
        <w:rPr>
          <w:lang w:bidi="ar-SA"/>
        </w:rPr>
        <w:t>tion</w:t>
      </w:r>
      <w:r>
        <w:rPr>
          <w:lang w:bidi="ar-SA"/>
        </w:rPr>
        <w:t xml:space="preserve"> battery</w:t>
      </w:r>
      <w:r w:rsidR="004C7DB7">
        <w:rPr>
          <w:lang w:bidi="ar-SA"/>
        </w:rPr>
        <w:t xml:space="preserve"> (FOB)</w:t>
      </w:r>
      <w:r>
        <w:rPr>
          <w:lang w:bidi="ar-SA"/>
        </w:rPr>
        <w:t>, acoustic startle response, locomotor activity and learning and memory. Subset B consisted of 15 pups/sex/group (1 rat/sex/litter from 15 litters/group); these animals were used for brain</w:t>
      </w:r>
      <w:r w:rsidR="001012A5">
        <w:rPr>
          <w:lang w:bidi="ar-SA"/>
        </w:rPr>
        <w:t xml:space="preserve"> </w:t>
      </w:r>
      <w:r>
        <w:rPr>
          <w:lang w:bidi="ar-SA"/>
        </w:rPr>
        <w:t>weight evaluations on PND 21.</w:t>
      </w:r>
      <w:r w:rsidR="006226B4">
        <w:rPr>
          <w:lang w:bidi="ar-SA"/>
        </w:rPr>
        <w:t xml:space="preserve"> Rats not included in either subset were necropsied on PND 21.</w:t>
      </w:r>
    </w:p>
    <w:p w14:paraId="542559E4" w14:textId="77777777" w:rsidR="00A22038" w:rsidRDefault="00A22038" w:rsidP="00A111E9">
      <w:pPr>
        <w:rPr>
          <w:lang w:bidi="ar-SA"/>
        </w:rPr>
      </w:pPr>
    </w:p>
    <w:p w14:paraId="284DA597" w14:textId="33151A02" w:rsidR="00A22038" w:rsidRDefault="00A22038" w:rsidP="00A111E9">
      <w:pPr>
        <w:rPr>
          <w:lang w:bidi="ar-SA"/>
        </w:rPr>
      </w:pPr>
      <w:r>
        <w:rPr>
          <w:lang w:bidi="ar-SA"/>
        </w:rPr>
        <w:t xml:space="preserve">Maternal rats administered 1.0 mg/kg bw/day had statistically significant lower body weights than controls on PND 21 (365 </w:t>
      </w:r>
      <w:r>
        <w:rPr>
          <w:rFonts w:cs="Arial"/>
          <w:lang w:bidi="ar-SA"/>
        </w:rPr>
        <w:t>±</w:t>
      </w:r>
      <w:r>
        <w:rPr>
          <w:lang w:bidi="ar-SA"/>
        </w:rPr>
        <w:t xml:space="preserve"> 23 g in controls versus 351 </w:t>
      </w:r>
      <w:r>
        <w:rPr>
          <w:rFonts w:cs="Arial"/>
          <w:lang w:bidi="ar-SA"/>
        </w:rPr>
        <w:t>±</w:t>
      </w:r>
      <w:r>
        <w:rPr>
          <w:lang w:bidi="ar-SA"/>
        </w:rPr>
        <w:t xml:space="preserve"> 17 g at 100 mg/kg bw/day). However, the effect</w:t>
      </w:r>
      <w:r w:rsidR="0083647B">
        <w:rPr>
          <w:lang w:bidi="ar-SA"/>
        </w:rPr>
        <w:t xml:space="preserve"> was slight and there were no significant effects on maternal body weight gain from GD 0 – 20 or from PND 1</w:t>
      </w:r>
      <w:r w:rsidR="003C2ED0">
        <w:rPr>
          <w:lang w:bidi="ar-SA"/>
        </w:rPr>
        <w:t xml:space="preserve"> to</w:t>
      </w:r>
      <w:r w:rsidR="0083647B">
        <w:rPr>
          <w:lang w:bidi="ar-SA"/>
        </w:rPr>
        <w:t xml:space="preserve"> PND 21. Dams in the high dose group also had transiently lower food consumption during GD 6 – 12 resulting in a significantly lower absolute food consumption value at this dose for the entire gestation period compared with controls (25 </w:t>
      </w:r>
      <w:r w:rsidR="0083647B">
        <w:rPr>
          <w:rFonts w:cs="Arial"/>
          <w:lang w:bidi="ar-SA"/>
        </w:rPr>
        <w:t>±</w:t>
      </w:r>
      <w:r w:rsidR="0083647B">
        <w:rPr>
          <w:lang w:bidi="ar-SA"/>
        </w:rPr>
        <w:t xml:space="preserve"> 2 g/rat/day in controls versus 23 </w:t>
      </w:r>
      <w:r w:rsidR="0083647B">
        <w:rPr>
          <w:rFonts w:cs="Arial"/>
          <w:lang w:bidi="ar-SA"/>
        </w:rPr>
        <w:t>±</w:t>
      </w:r>
      <w:r w:rsidR="0083647B">
        <w:rPr>
          <w:lang w:bidi="ar-SA"/>
        </w:rPr>
        <w:t xml:space="preserve"> 1 g/rat/day at 1.0 mg/kg bw/day). Again the effect was marginal and both these findings are not considered to be adverse.</w:t>
      </w:r>
    </w:p>
    <w:p w14:paraId="13F45071" w14:textId="77777777" w:rsidR="0083647B" w:rsidRDefault="0083647B" w:rsidP="00A111E9">
      <w:pPr>
        <w:rPr>
          <w:lang w:bidi="ar-SA"/>
        </w:rPr>
      </w:pPr>
    </w:p>
    <w:p w14:paraId="7B43A0FA" w14:textId="4B9399EA" w:rsidR="00E7590C" w:rsidRDefault="00E7590C" w:rsidP="00A111E9">
      <w:pPr>
        <w:rPr>
          <w:lang w:bidi="ar-SA"/>
        </w:rPr>
      </w:pPr>
      <w:r>
        <w:rPr>
          <w:lang w:bidi="ar-SA"/>
        </w:rPr>
        <w:t>No treatment-related effects were observed on pregnancy rates, implantation sites, number of pups born, birth weight, sex ratio and postnatal survival. Mean ages at vaginal patency and balanopreputial separation were also unaffected by treatment with PFOS.</w:t>
      </w:r>
    </w:p>
    <w:p w14:paraId="15634F16" w14:textId="77777777" w:rsidR="00E7590C" w:rsidRDefault="00E7590C" w:rsidP="00A111E9">
      <w:pPr>
        <w:rPr>
          <w:lang w:bidi="ar-SA"/>
        </w:rPr>
      </w:pPr>
    </w:p>
    <w:p w14:paraId="0D605BFB" w14:textId="44E12690" w:rsidR="0083647B" w:rsidRDefault="004C7DB7" w:rsidP="00A111E9">
      <w:pPr>
        <w:rPr>
          <w:lang w:bidi="ar-SA"/>
        </w:rPr>
      </w:pPr>
      <w:r>
        <w:rPr>
          <w:lang w:bidi="ar-SA"/>
        </w:rPr>
        <w:t xml:space="preserve">No PFOS-related effects were observed for male or female rats during FOB assessments on PND 4, 11, 21, 35, 45 and 60. </w:t>
      </w:r>
      <w:r w:rsidR="00DA2766">
        <w:rPr>
          <w:lang w:bidi="ar-SA"/>
        </w:rPr>
        <w:t xml:space="preserve">Although a significant decrease in hindlimb grip strength was noted in the 1.0 mg/kg </w:t>
      </w:r>
      <w:r w:rsidR="00685591">
        <w:rPr>
          <w:lang w:bidi="ar-SA"/>
        </w:rPr>
        <w:t>bw</w:t>
      </w:r>
      <w:r w:rsidR="00DA2766">
        <w:rPr>
          <w:lang w:bidi="ar-SA"/>
        </w:rPr>
        <w:t>/day maternal dose</w:t>
      </w:r>
      <w:r w:rsidR="001012A5">
        <w:rPr>
          <w:lang w:bidi="ar-SA"/>
        </w:rPr>
        <w:t xml:space="preserve"> </w:t>
      </w:r>
      <w:r w:rsidR="00DA2766">
        <w:rPr>
          <w:lang w:bidi="ar-SA"/>
        </w:rPr>
        <w:t xml:space="preserve">group males (66.7 g) when compared to the control group (79.8 g) on PND 21, </w:t>
      </w:r>
      <w:r w:rsidR="00DC6A9F">
        <w:rPr>
          <w:lang w:bidi="ar-SA"/>
        </w:rPr>
        <w:t xml:space="preserve">the mean value in the 1.0 mg/kg bw/day </w:t>
      </w:r>
      <w:r w:rsidR="00DA2766">
        <w:rPr>
          <w:lang w:bidi="ar-SA"/>
        </w:rPr>
        <w:t>group was within the mean value for the laboratory’s historical</w:t>
      </w:r>
      <w:r w:rsidR="00DC6A9F">
        <w:rPr>
          <w:lang w:bidi="ar-SA"/>
        </w:rPr>
        <w:t xml:space="preserve"> </w:t>
      </w:r>
      <w:r w:rsidR="00DA2766">
        <w:rPr>
          <w:lang w:bidi="ar-SA"/>
        </w:rPr>
        <w:t>control data, which was 70</w:t>
      </w:r>
      <w:r w:rsidR="00DC6A9F">
        <w:rPr>
          <w:lang w:bidi="ar-SA"/>
        </w:rPr>
        <w:t xml:space="preserve"> </w:t>
      </w:r>
      <w:r w:rsidR="00DA2766">
        <w:rPr>
          <w:lang w:bidi="ar-SA"/>
        </w:rPr>
        <w:t>±</w:t>
      </w:r>
      <w:r w:rsidR="00DC6A9F">
        <w:rPr>
          <w:lang w:bidi="ar-SA"/>
        </w:rPr>
        <w:t xml:space="preserve"> </w:t>
      </w:r>
      <w:r w:rsidR="00DA2766">
        <w:rPr>
          <w:lang w:bidi="ar-SA"/>
        </w:rPr>
        <w:t>26 g.</w:t>
      </w:r>
      <w:r w:rsidR="00DC6A9F">
        <w:rPr>
          <w:lang w:bidi="ar-SA"/>
        </w:rPr>
        <w:t xml:space="preserve"> Therefore this finding was not attributed to maternal PFOS exposure.</w:t>
      </w:r>
    </w:p>
    <w:p w14:paraId="09D6DEBE" w14:textId="77777777" w:rsidR="00DC6A9F" w:rsidRDefault="00DC6A9F" w:rsidP="00A111E9">
      <w:pPr>
        <w:rPr>
          <w:lang w:bidi="ar-SA"/>
        </w:rPr>
      </w:pPr>
    </w:p>
    <w:p w14:paraId="251155AB" w14:textId="420FCD73" w:rsidR="00DC6A9F" w:rsidRDefault="00DC6A9F" w:rsidP="00A111E9">
      <w:pPr>
        <w:rPr>
          <w:lang w:bidi="ar-SA"/>
        </w:rPr>
      </w:pPr>
      <w:r>
        <w:rPr>
          <w:lang w:bidi="ar-SA"/>
        </w:rPr>
        <w:t>Assessments of locomotor activity generally found no effect of PFOS exposure, however</w:t>
      </w:r>
      <w:r w:rsidR="007F02A2">
        <w:rPr>
          <w:lang w:bidi="ar-SA"/>
        </w:rPr>
        <w:t>,</w:t>
      </w:r>
      <w:r>
        <w:rPr>
          <w:lang w:bidi="ar-SA"/>
        </w:rPr>
        <w:t xml:space="preserve"> males in the 1.0 mg/kg bw/day dose group had a statistically significant increased locomotor activity accompanied by slightly increased ambulatory activity</w:t>
      </w:r>
      <w:r w:rsidR="00B85A06">
        <w:rPr>
          <w:lang w:bidi="ar-SA"/>
        </w:rPr>
        <w:t xml:space="preserve"> on PND 17</w:t>
      </w:r>
      <w:r w:rsidR="00996CF2">
        <w:rPr>
          <w:lang w:bidi="ar-SA"/>
        </w:rPr>
        <w:t>, but not on PNDs 13, 21 and 61</w:t>
      </w:r>
      <w:r>
        <w:rPr>
          <w:lang w:bidi="ar-SA"/>
        </w:rPr>
        <w:t>. The increased locomotor activity in males in this dose group was accompanied by a lack of habituation to the test environment</w:t>
      </w:r>
      <w:r w:rsidR="009613A2">
        <w:rPr>
          <w:lang w:bidi="ar-SA"/>
        </w:rPr>
        <w:t xml:space="preserve"> and was therefore considered by the study authors to be treatment</w:t>
      </w:r>
      <w:r w:rsidR="00032CF6">
        <w:rPr>
          <w:lang w:bidi="ar-SA"/>
        </w:rPr>
        <w:t>-</w:t>
      </w:r>
      <w:r w:rsidR="009613A2">
        <w:rPr>
          <w:lang w:bidi="ar-SA"/>
        </w:rPr>
        <w:t>related</w:t>
      </w:r>
      <w:r w:rsidR="00644582">
        <w:rPr>
          <w:lang w:bidi="ar-SA"/>
        </w:rPr>
        <w:t>.</w:t>
      </w:r>
      <w:r w:rsidR="009613A2">
        <w:rPr>
          <w:lang w:bidi="ar-SA"/>
        </w:rPr>
        <w:t xml:space="preserve"> A statistically significant increase in total and accumulative activity was also noted in males in the 0.3 mg/kg bw/day dose group on PND 17 and in females in the 1.0 mg/kg bw/day group on PND 21. The increased activity in these groups was not accompanied by an effect on habituation </w:t>
      </w:r>
      <w:r w:rsidR="00E3637E">
        <w:rPr>
          <w:lang w:bidi="ar-SA"/>
        </w:rPr>
        <w:t xml:space="preserve">and </w:t>
      </w:r>
      <w:r w:rsidR="009613A2">
        <w:rPr>
          <w:lang w:bidi="ar-SA"/>
        </w:rPr>
        <w:t>these findings were not considered to be treatment</w:t>
      </w:r>
      <w:r w:rsidR="00032CF6">
        <w:rPr>
          <w:lang w:bidi="ar-SA"/>
        </w:rPr>
        <w:t>-</w:t>
      </w:r>
      <w:r w:rsidR="009613A2">
        <w:rPr>
          <w:lang w:bidi="ar-SA"/>
        </w:rPr>
        <w:t>related.</w:t>
      </w:r>
    </w:p>
    <w:p w14:paraId="2D74CE57" w14:textId="77777777" w:rsidR="00644582" w:rsidRDefault="00644582" w:rsidP="00A111E9">
      <w:pPr>
        <w:rPr>
          <w:lang w:bidi="ar-SA"/>
        </w:rPr>
      </w:pPr>
    </w:p>
    <w:p w14:paraId="1B5A8A4D" w14:textId="73499163" w:rsidR="00644582" w:rsidRDefault="00644582" w:rsidP="00A111E9">
      <w:pPr>
        <w:rPr>
          <w:lang w:bidi="ar-SA"/>
        </w:rPr>
      </w:pPr>
      <w:r>
        <w:rPr>
          <w:lang w:bidi="ar-SA"/>
        </w:rPr>
        <w:t>No effects on auditory startle responsiveness or performance in Biel maze swimming l</w:t>
      </w:r>
      <w:r w:rsidR="00A20222">
        <w:rPr>
          <w:lang w:bidi="ar-SA"/>
        </w:rPr>
        <w:t>earning and memory trials were observed. Mean absolute and relative brain weights, brain length and width were similar in control and treated animals. No gross findings related to treatment were observed in the brain or spinal cord.</w:t>
      </w:r>
    </w:p>
    <w:p w14:paraId="5A8E2FB9" w14:textId="77777777" w:rsidR="00A20222" w:rsidRDefault="00A20222" w:rsidP="00A111E9">
      <w:pPr>
        <w:rPr>
          <w:lang w:bidi="ar-SA"/>
        </w:rPr>
      </w:pPr>
    </w:p>
    <w:p w14:paraId="3EF601E4" w14:textId="68B7F511" w:rsidR="00A20222" w:rsidRDefault="00A20222" w:rsidP="00A111E9">
      <w:pPr>
        <w:rPr>
          <w:lang w:bidi="ar-SA"/>
        </w:rPr>
      </w:pPr>
      <w:r>
        <w:rPr>
          <w:lang w:bidi="ar-SA"/>
        </w:rPr>
        <w:t>The NOAEL for maternal</w:t>
      </w:r>
      <w:r w:rsidR="00685591">
        <w:rPr>
          <w:lang w:bidi="ar-SA"/>
        </w:rPr>
        <w:t xml:space="preserve"> toxicity</w:t>
      </w:r>
      <w:r>
        <w:rPr>
          <w:lang w:bidi="ar-SA"/>
        </w:rPr>
        <w:t xml:space="preserve"> </w:t>
      </w:r>
      <w:r w:rsidR="004E475B">
        <w:rPr>
          <w:lang w:bidi="ar-SA"/>
        </w:rPr>
        <w:t xml:space="preserve">and developmental </w:t>
      </w:r>
      <w:r w:rsidR="00685591">
        <w:rPr>
          <w:lang w:bidi="ar-SA"/>
        </w:rPr>
        <w:t>neuro</w:t>
      </w:r>
      <w:r>
        <w:rPr>
          <w:lang w:bidi="ar-SA"/>
        </w:rPr>
        <w:t xml:space="preserve">toxicity was 1.0 mg/kg bw/day, the highest dose tested. </w:t>
      </w:r>
      <w:r w:rsidR="008A5341">
        <w:rPr>
          <w:lang w:bidi="ar-SA"/>
        </w:rPr>
        <w:t xml:space="preserve">Although </w:t>
      </w:r>
      <w:r>
        <w:rPr>
          <w:lang w:bidi="ar-SA"/>
        </w:rPr>
        <w:t>increased motor activity and failure to habituate</w:t>
      </w:r>
      <w:r w:rsidR="008A5341">
        <w:rPr>
          <w:lang w:bidi="ar-SA"/>
        </w:rPr>
        <w:t xml:space="preserve"> was seen</w:t>
      </w:r>
      <w:r>
        <w:rPr>
          <w:lang w:bidi="ar-SA"/>
        </w:rPr>
        <w:t xml:space="preserve"> in male rats at 1.0 mg/kg bw/day</w:t>
      </w:r>
      <w:r w:rsidR="008A5341">
        <w:rPr>
          <w:lang w:bidi="ar-SA"/>
        </w:rPr>
        <w:t xml:space="preserve"> on PND 17, this finding was not observed</w:t>
      </w:r>
      <w:r w:rsidR="009613A2">
        <w:rPr>
          <w:lang w:bidi="ar-SA"/>
        </w:rPr>
        <w:t xml:space="preserve"> in this group</w:t>
      </w:r>
      <w:r w:rsidR="008A5341">
        <w:rPr>
          <w:lang w:bidi="ar-SA"/>
        </w:rPr>
        <w:t xml:space="preserve"> at three other time points before and after </w:t>
      </w:r>
      <w:r w:rsidR="009613A2">
        <w:rPr>
          <w:lang w:bidi="ar-SA"/>
        </w:rPr>
        <w:t>PND 17</w:t>
      </w:r>
      <w:r w:rsidR="008A5341">
        <w:rPr>
          <w:lang w:bidi="ar-SA"/>
        </w:rPr>
        <w:t xml:space="preserve"> and therefore is not considered to be clearly treatment</w:t>
      </w:r>
      <w:r w:rsidR="00032CF6">
        <w:rPr>
          <w:lang w:bidi="ar-SA"/>
        </w:rPr>
        <w:t>-</w:t>
      </w:r>
      <w:r w:rsidR="008A5341">
        <w:rPr>
          <w:lang w:bidi="ar-SA"/>
        </w:rPr>
        <w:t>related</w:t>
      </w:r>
      <w:r>
        <w:rPr>
          <w:lang w:bidi="ar-SA"/>
        </w:rPr>
        <w:t xml:space="preserve">. </w:t>
      </w:r>
      <w:r w:rsidR="00B168AF">
        <w:rPr>
          <w:lang w:bidi="ar-SA"/>
        </w:rPr>
        <w:t xml:space="preserve">Mean serum PFOS concentrations on GD 20 at the NOAEL were </w:t>
      </w:r>
      <w:r w:rsidR="009613A2">
        <w:rPr>
          <w:lang w:bidi="ar-SA"/>
        </w:rPr>
        <w:t>26.6</w:t>
      </w:r>
      <w:r w:rsidR="00B168AF">
        <w:rPr>
          <w:lang w:bidi="ar-SA"/>
        </w:rPr>
        <w:t xml:space="preserve"> and </w:t>
      </w:r>
      <w:r w:rsidR="009613A2">
        <w:rPr>
          <w:lang w:bidi="ar-SA"/>
        </w:rPr>
        <w:t>31.5</w:t>
      </w:r>
      <w:r w:rsidR="00B168AF">
        <w:rPr>
          <w:lang w:bidi="ar-SA"/>
        </w:rPr>
        <w:t xml:space="preserve"> </w:t>
      </w:r>
      <w:r w:rsidR="00CB500B">
        <w:rPr>
          <w:rFonts w:cs="Arial"/>
          <w:lang w:bidi="ar-SA"/>
        </w:rPr>
        <w:t>µg/mL</w:t>
      </w:r>
      <w:r w:rsidR="00B168AF">
        <w:rPr>
          <w:lang w:bidi="ar-SA"/>
        </w:rPr>
        <w:t xml:space="preserve"> in dams and </w:t>
      </w:r>
      <w:r w:rsidR="0065647B">
        <w:rPr>
          <w:lang w:bidi="ar-SA"/>
        </w:rPr>
        <w:t>fetus</w:t>
      </w:r>
      <w:r w:rsidR="00B168AF">
        <w:rPr>
          <w:lang w:bidi="ar-SA"/>
        </w:rPr>
        <w:t>es, respectively.</w:t>
      </w:r>
    </w:p>
    <w:p w14:paraId="7E87892C" w14:textId="77777777" w:rsidR="00A20222" w:rsidRDefault="00A20222" w:rsidP="00A111E9">
      <w:pPr>
        <w:rPr>
          <w:lang w:bidi="ar-SA"/>
        </w:rPr>
      </w:pPr>
    </w:p>
    <w:p w14:paraId="62A9E20F" w14:textId="234CAF00" w:rsidR="00A20222" w:rsidRDefault="00AF0E37" w:rsidP="00A111E9">
      <w:pPr>
        <w:rPr>
          <w:lang w:bidi="ar-SA"/>
        </w:rPr>
      </w:pPr>
      <w:r>
        <w:rPr>
          <w:lang w:bidi="ar-SA"/>
        </w:rPr>
        <w:t>In a companion study, concentrations of PFOS in samples of serum, liver and brain taken during the developmental ne</w:t>
      </w:r>
      <w:r w:rsidR="00F86815">
        <w:rPr>
          <w:lang w:bidi="ar-SA"/>
        </w:rPr>
        <w:t xml:space="preserve">urotoxicity study were assessed (Chang </w:t>
      </w:r>
      <w:r w:rsidR="00180A32" w:rsidRPr="00180A32">
        <w:rPr>
          <w:i/>
          <w:lang w:bidi="ar-SA"/>
        </w:rPr>
        <w:t xml:space="preserve">et al. </w:t>
      </w:r>
      <w:r w:rsidR="00713213">
        <w:rPr>
          <w:lang w:bidi="ar-SA"/>
        </w:rPr>
        <w:t xml:space="preserve"> </w:t>
      </w:r>
      <w:r w:rsidR="00F86815">
        <w:rPr>
          <w:lang w:bidi="ar-SA"/>
        </w:rPr>
        <w:t>2009).</w:t>
      </w:r>
      <w:r w:rsidR="004E475B">
        <w:rPr>
          <w:lang w:bidi="ar-SA"/>
        </w:rPr>
        <w:t xml:space="preserve"> </w:t>
      </w:r>
      <w:r w:rsidR="00F86815">
        <w:rPr>
          <w:lang w:bidi="ar-SA"/>
        </w:rPr>
        <w:t>A</w:t>
      </w:r>
      <w:r>
        <w:rPr>
          <w:lang w:bidi="ar-SA"/>
        </w:rPr>
        <w:t>ssessment</w:t>
      </w:r>
      <w:r w:rsidR="00F86815">
        <w:rPr>
          <w:lang w:bidi="ar-SA"/>
        </w:rPr>
        <w:t>s</w:t>
      </w:r>
      <w:r>
        <w:rPr>
          <w:lang w:bidi="ar-SA"/>
        </w:rPr>
        <w:t xml:space="preserve"> of thyroid hormone status and </w:t>
      </w:r>
      <w:r w:rsidR="00F86815">
        <w:rPr>
          <w:lang w:bidi="ar-SA"/>
        </w:rPr>
        <w:t>hepatic expression of genes associated with liver hypertrophic modes of action, thyroid hormone and cholesterol metabolism and liver cell proliferation were also conducted.</w:t>
      </w:r>
    </w:p>
    <w:p w14:paraId="29C55692" w14:textId="77777777" w:rsidR="00F86815" w:rsidRDefault="00F86815" w:rsidP="00A111E9">
      <w:pPr>
        <w:rPr>
          <w:lang w:bidi="ar-SA"/>
        </w:rPr>
      </w:pPr>
    </w:p>
    <w:p w14:paraId="78D07B0B" w14:textId="6E897185" w:rsidR="00F86815" w:rsidRDefault="00693290" w:rsidP="00A111E9">
      <w:pPr>
        <w:rPr>
          <w:lang w:bidi="ar-SA"/>
        </w:rPr>
      </w:pPr>
      <w:r>
        <w:rPr>
          <w:lang w:bidi="ar-SA"/>
        </w:rPr>
        <w:t xml:space="preserve">PFOS concentrations in maternal rat serum, liver and brain from GD 20 through to PND 21 correlated well with the administered doses. Maternal liver-to-serum PFOS concentration ratios ranged from 1.8 to 4.9, while the corresponding maternal brain-to-serum ratios ranged from 0.04 to 0.09. PFOS concentrations in fetal and pup serum, liver and brain from GD 20 to PND 72 also correlated well with the daily litter matched maternal doses. Mean fetal serum PFOS concentrations were higher than those of dams on GD 20. As with maternal rats, liver PFOS concentrations were higher than the respective serum PFOS concentrations, and brain PFOS concentrations were lower than time-matched serum concentrations. No sex difference in serum, liver or brain PFOS concentrations was apparent in offspring up to PND 21. On PND 72, however, female offspring had higher serum PFOS concentrations than males in the same treatment groups. Liver PFOS concentrations remained comparable between male and female offspring on PND 72. </w:t>
      </w:r>
      <w:r w:rsidR="00535C77">
        <w:rPr>
          <w:lang w:bidi="ar-SA"/>
        </w:rPr>
        <w:t xml:space="preserve">Serum PFOS concentrations are shown in </w:t>
      </w:r>
      <w:r w:rsidR="00535C77">
        <w:rPr>
          <w:lang w:bidi="ar-SA"/>
        </w:rPr>
        <w:fldChar w:fldCharType="begin"/>
      </w:r>
      <w:r w:rsidR="00535C77">
        <w:rPr>
          <w:lang w:bidi="ar-SA"/>
        </w:rPr>
        <w:instrText xml:space="preserve"> REF _Ref467848193 \h </w:instrText>
      </w:r>
      <w:r w:rsidR="00535C77">
        <w:rPr>
          <w:lang w:bidi="ar-SA"/>
        </w:rPr>
      </w:r>
      <w:r w:rsidR="00535C77">
        <w:rPr>
          <w:lang w:bidi="ar-SA"/>
        </w:rPr>
        <w:fldChar w:fldCharType="separate"/>
      </w:r>
      <w:r w:rsidR="00F4394A">
        <w:t xml:space="preserve">Table </w:t>
      </w:r>
      <w:r w:rsidR="00F4394A">
        <w:rPr>
          <w:noProof/>
        </w:rPr>
        <w:t>12</w:t>
      </w:r>
      <w:r w:rsidR="00535C77">
        <w:rPr>
          <w:lang w:bidi="ar-SA"/>
        </w:rPr>
        <w:fldChar w:fldCharType="end"/>
      </w:r>
      <w:r w:rsidR="00535C77">
        <w:rPr>
          <w:lang w:bidi="ar-SA"/>
        </w:rPr>
        <w:t>.</w:t>
      </w:r>
    </w:p>
    <w:p w14:paraId="0E68BAD1" w14:textId="6C4F4B81" w:rsidR="00A420F8" w:rsidRDefault="00A420F8" w:rsidP="00A111E9">
      <w:pPr>
        <w:rPr>
          <w:lang w:bidi="ar-SA"/>
        </w:rPr>
      </w:pPr>
    </w:p>
    <w:p w14:paraId="3CA04A4D" w14:textId="3A5F0CAC" w:rsidR="00A420F8" w:rsidRDefault="00A420F8" w:rsidP="00A111E9">
      <w:pPr>
        <w:rPr>
          <w:lang w:bidi="ar-SA"/>
        </w:rPr>
      </w:pPr>
      <w:r>
        <w:rPr>
          <w:lang w:bidi="ar-SA"/>
        </w:rPr>
        <w:t xml:space="preserve">Mean serum TSH levels of PFOS treated maternal rats and offspring were not significantly different from controls. </w:t>
      </w:r>
      <w:r w:rsidR="00927FA5">
        <w:rPr>
          <w:lang w:bidi="ar-SA"/>
        </w:rPr>
        <w:t xml:space="preserve">Histopathological evaluation of thyroids taken from the high dose group on GD 20 and PNDs 4 and 21 found no treatment-related changes, including no effect on the number of follicles present and the distribution of follicle sizes. </w:t>
      </w:r>
      <w:r w:rsidR="001E4831">
        <w:rPr>
          <w:lang w:bidi="ar-SA"/>
        </w:rPr>
        <w:t>Morphometric assessment of mean thyroid follicular colloid area found no treatment</w:t>
      </w:r>
      <w:r w:rsidR="00032CF6">
        <w:rPr>
          <w:lang w:bidi="ar-SA"/>
        </w:rPr>
        <w:t>-</w:t>
      </w:r>
      <w:r w:rsidR="001E4831">
        <w:rPr>
          <w:lang w:bidi="ar-SA"/>
        </w:rPr>
        <w:t>related alterations in the high dose group on PND 4 and PND 21. Follicular epithelial cell height was similar in all groups on PND 4. Mean thyroid follicular epithelial cell height from high dose males on PND 21 was signif</w:t>
      </w:r>
      <w:r w:rsidR="004E475B">
        <w:rPr>
          <w:lang w:bidi="ar-SA"/>
        </w:rPr>
        <w:t>i</w:t>
      </w:r>
      <w:r w:rsidR="001E4831">
        <w:rPr>
          <w:lang w:bidi="ar-SA"/>
        </w:rPr>
        <w:t xml:space="preserve">cantly higher than controls, but this was suspected to be </w:t>
      </w:r>
      <w:r w:rsidR="00795158">
        <w:rPr>
          <w:lang w:bidi="ar-SA"/>
        </w:rPr>
        <w:t xml:space="preserve">unrelated to treatment </w:t>
      </w:r>
      <w:r w:rsidR="001E4831">
        <w:rPr>
          <w:lang w:bidi="ar-SA"/>
        </w:rPr>
        <w:t xml:space="preserve">due to an unusually low value in the male control group compared to female controls and the laboratory’s historical control values (historical data not </w:t>
      </w:r>
      <w:r w:rsidR="004E475B">
        <w:rPr>
          <w:lang w:bidi="ar-SA"/>
        </w:rPr>
        <w:t>provided in the study report</w:t>
      </w:r>
      <w:r w:rsidR="001E4831">
        <w:rPr>
          <w:lang w:bidi="ar-SA"/>
        </w:rPr>
        <w:t xml:space="preserve">). No significant differences in </w:t>
      </w:r>
      <w:r w:rsidR="00104C8E">
        <w:rPr>
          <w:lang w:bidi="ar-SA"/>
        </w:rPr>
        <w:t>thyroid</w:t>
      </w:r>
      <w:r w:rsidR="001E4831">
        <w:rPr>
          <w:lang w:bidi="ar-SA"/>
        </w:rPr>
        <w:t xml:space="preserve"> follicular epithelial cell proliferation were seen between controls and high dose males</w:t>
      </w:r>
      <w:r w:rsidR="008272CD">
        <w:rPr>
          <w:lang w:bidi="ar-SA"/>
        </w:rPr>
        <w:t xml:space="preserve"> in th</w:t>
      </w:r>
      <w:r w:rsidR="001E4831">
        <w:rPr>
          <w:lang w:bidi="ar-SA"/>
        </w:rPr>
        <w:t>y</w:t>
      </w:r>
      <w:r w:rsidR="008272CD">
        <w:rPr>
          <w:lang w:bidi="ar-SA"/>
        </w:rPr>
        <w:t>r</w:t>
      </w:r>
      <w:r w:rsidR="001E4831">
        <w:rPr>
          <w:lang w:bidi="ar-SA"/>
        </w:rPr>
        <w:t xml:space="preserve">oids taken on GD 20. The mean number of proliferating thyroid follicular cells </w:t>
      </w:r>
      <w:r w:rsidR="008272CD">
        <w:rPr>
          <w:lang w:bidi="ar-SA"/>
        </w:rPr>
        <w:t>from female fetal thyroids</w:t>
      </w:r>
      <w:r w:rsidR="00F219D3">
        <w:rPr>
          <w:lang w:bidi="ar-SA"/>
        </w:rPr>
        <w:t xml:space="preserve"> from the high dose group</w:t>
      </w:r>
      <w:r w:rsidR="008272CD">
        <w:rPr>
          <w:lang w:bidi="ar-SA"/>
        </w:rPr>
        <w:t xml:space="preserve"> </w:t>
      </w:r>
      <w:r w:rsidR="001E4831">
        <w:rPr>
          <w:lang w:bidi="ar-SA"/>
        </w:rPr>
        <w:t xml:space="preserve">was </w:t>
      </w:r>
      <w:r w:rsidR="008272CD">
        <w:rPr>
          <w:lang w:bidi="ar-SA"/>
        </w:rPr>
        <w:t xml:space="preserve">2.1-fold higher than the control group and was </w:t>
      </w:r>
      <w:r w:rsidR="00104C8E">
        <w:rPr>
          <w:lang w:bidi="ar-SA"/>
        </w:rPr>
        <w:t>statistically</w:t>
      </w:r>
      <w:r w:rsidR="008272CD">
        <w:rPr>
          <w:lang w:bidi="ar-SA"/>
        </w:rPr>
        <w:t xml:space="preserve"> significant. However, </w:t>
      </w:r>
      <w:r w:rsidR="00F219D3">
        <w:rPr>
          <w:lang w:bidi="ar-SA"/>
        </w:rPr>
        <w:t xml:space="preserve">the toxicological significance of this finding </w:t>
      </w:r>
      <w:r w:rsidR="003E0A76">
        <w:rPr>
          <w:lang w:bidi="ar-SA"/>
        </w:rPr>
        <w:t>is</w:t>
      </w:r>
      <w:r w:rsidR="00F219D3">
        <w:rPr>
          <w:lang w:bidi="ar-SA"/>
        </w:rPr>
        <w:t xml:space="preserve"> unclear as the range of values in female control thyroids was quite wide compared to the high dose females, and the highest individual counts were similar in both groups (4 – 113 in controls, 64 – 116 in high dose females).</w:t>
      </w:r>
    </w:p>
    <w:p w14:paraId="014C4AA3" w14:textId="77777777" w:rsidR="00693290" w:rsidRDefault="00693290" w:rsidP="00A111E9">
      <w:pPr>
        <w:rPr>
          <w:lang w:bidi="ar-SA"/>
        </w:rPr>
      </w:pPr>
    </w:p>
    <w:p w14:paraId="49AFC7BA" w14:textId="36FE64C3" w:rsidR="00726D19" w:rsidRPr="00726D19" w:rsidRDefault="00535C77" w:rsidP="00A111E9">
      <w:pPr>
        <w:pStyle w:val="FSTableTitle"/>
      </w:pPr>
      <w:bookmarkStart w:id="143" w:name="_Ref467848193"/>
      <w:r>
        <w:t xml:space="preserve">Table </w:t>
      </w:r>
      <w:r w:rsidR="00BC19E6">
        <w:fldChar w:fldCharType="begin"/>
      </w:r>
      <w:r w:rsidR="00BC19E6">
        <w:instrText xml:space="preserve"> SEQ Table \* ARABIC </w:instrText>
      </w:r>
      <w:r w:rsidR="00BC19E6">
        <w:fldChar w:fldCharType="separate"/>
      </w:r>
      <w:r w:rsidR="00F4394A">
        <w:rPr>
          <w:noProof/>
        </w:rPr>
        <w:t>12</w:t>
      </w:r>
      <w:r w:rsidR="00BC19E6">
        <w:rPr>
          <w:noProof/>
        </w:rPr>
        <w:fldChar w:fldCharType="end"/>
      </w:r>
      <w:bookmarkEnd w:id="143"/>
      <w:r w:rsidR="00BE256E">
        <w:rPr>
          <w:b w:val="0"/>
        </w:rPr>
        <w:t>:</w:t>
      </w:r>
      <w:r>
        <w:t xml:space="preserve"> Serum PFOS concentrations measured in dams, fetuses and pups from the study by Butenhoff </w:t>
      </w:r>
      <w:r w:rsidR="00180A32" w:rsidRPr="00180A32">
        <w:rPr>
          <w:i/>
        </w:rPr>
        <w:t xml:space="preserve">et al. </w:t>
      </w:r>
      <w:r w:rsidR="00F22DA6">
        <w:t xml:space="preserve"> </w:t>
      </w:r>
      <w:r>
        <w:t>(2009)</w:t>
      </w:r>
    </w:p>
    <w:tbl>
      <w:tblPr>
        <w:tblStyle w:val="TableGrid3"/>
        <w:tblW w:w="0" w:type="auto"/>
        <w:jc w:val="center"/>
        <w:tblLayout w:type="fixed"/>
        <w:tblLook w:val="04A0" w:firstRow="1" w:lastRow="0" w:firstColumn="1" w:lastColumn="0" w:noHBand="0" w:noVBand="1"/>
        <w:tblCaption w:val="Table 12: Serum PFOS concentrations measured in dams, fetuses and pups from the study by Butenhoff et al.(2009)"/>
        <w:tblDescription w:val="This table contains data relating to serum levels of PFOS for pregnant Sprague Dawley rat dams/fetuses/pups after oral gavage administration during the period GD 0 to PND 20."/>
      </w:tblPr>
      <w:tblGrid>
        <w:gridCol w:w="1101"/>
        <w:gridCol w:w="42"/>
        <w:gridCol w:w="951"/>
        <w:gridCol w:w="920"/>
        <w:gridCol w:w="32"/>
        <w:gridCol w:w="951"/>
        <w:gridCol w:w="931"/>
        <w:gridCol w:w="21"/>
        <w:gridCol w:w="951"/>
        <w:gridCol w:w="941"/>
        <w:gridCol w:w="11"/>
        <w:gridCol w:w="951"/>
        <w:gridCol w:w="952"/>
      </w:tblGrid>
      <w:tr w:rsidR="000927AF" w:rsidRPr="000927AF" w14:paraId="5A8B1681" w14:textId="77777777" w:rsidTr="00A111E9">
        <w:trPr>
          <w:tblHeader/>
          <w:jc w:val="center"/>
        </w:trPr>
        <w:tc>
          <w:tcPr>
            <w:tcW w:w="8755" w:type="dxa"/>
            <w:gridSpan w:val="13"/>
            <w:shd w:val="clear" w:color="auto" w:fill="F2F2F2" w:themeFill="background1" w:themeFillShade="F2"/>
          </w:tcPr>
          <w:p w14:paraId="6F95A295" w14:textId="0C912F91" w:rsidR="000927AF" w:rsidRPr="000927AF" w:rsidRDefault="000927AF" w:rsidP="007C3D18">
            <w:pPr>
              <w:pStyle w:val="FSTableHeading"/>
              <w:spacing w:before="60" w:after="60"/>
              <w:jc w:val="left"/>
              <w:rPr>
                <w:lang w:bidi="ar-SA"/>
              </w:rPr>
            </w:pPr>
            <w:r w:rsidRPr="000927AF">
              <w:rPr>
                <w:lang w:bidi="ar-SA"/>
              </w:rPr>
              <w:t xml:space="preserve">Serum </w:t>
            </w:r>
            <w:r w:rsidR="007C3D18">
              <w:rPr>
                <w:lang w:bidi="ar-SA"/>
              </w:rPr>
              <w:t>levels</w:t>
            </w:r>
            <w:r w:rsidR="007C3D18" w:rsidRPr="000927AF">
              <w:rPr>
                <w:lang w:bidi="ar-SA"/>
              </w:rPr>
              <w:t xml:space="preserve"> </w:t>
            </w:r>
            <w:r w:rsidRPr="000927AF">
              <w:rPr>
                <w:lang w:bidi="ar-SA"/>
              </w:rPr>
              <w:t xml:space="preserve">of PFOS </w:t>
            </w:r>
            <w:r w:rsidRPr="000927AF">
              <w:t>(</w:t>
            </w:r>
            <w:r w:rsidR="00CB500B">
              <w:t>µg/mL</w:t>
            </w:r>
            <w:r w:rsidRPr="000927AF">
              <w:t xml:space="preserve">) </w:t>
            </w:r>
            <w:r w:rsidRPr="000927AF">
              <w:rPr>
                <w:noProof/>
              </w:rPr>
              <w:t xml:space="preserve">for pregnant Sprague Dawley rat dams/fetuses/pups after </w:t>
            </w:r>
            <w:r w:rsidR="00795158">
              <w:rPr>
                <w:noProof/>
              </w:rPr>
              <w:t>o</w:t>
            </w:r>
            <w:r w:rsidRPr="000927AF">
              <w:rPr>
                <w:noProof/>
              </w:rPr>
              <w:t xml:space="preserve">ral </w:t>
            </w:r>
            <w:r w:rsidR="00795158">
              <w:rPr>
                <w:noProof/>
              </w:rPr>
              <w:t>g</w:t>
            </w:r>
            <w:r w:rsidRPr="000927AF">
              <w:rPr>
                <w:noProof/>
              </w:rPr>
              <w:t xml:space="preserve">avage </w:t>
            </w:r>
            <w:r w:rsidR="00795158">
              <w:rPr>
                <w:noProof/>
              </w:rPr>
              <w:t>a</w:t>
            </w:r>
            <w:r w:rsidRPr="000927AF">
              <w:rPr>
                <w:noProof/>
              </w:rPr>
              <w:t>dministration during the period GD</w:t>
            </w:r>
            <w:r w:rsidR="007C3D18">
              <w:rPr>
                <w:noProof/>
              </w:rPr>
              <w:t xml:space="preserve"> </w:t>
            </w:r>
            <w:r w:rsidRPr="000927AF">
              <w:rPr>
                <w:noProof/>
              </w:rPr>
              <w:t>0 to PND</w:t>
            </w:r>
            <w:r w:rsidR="007C3D18">
              <w:rPr>
                <w:noProof/>
              </w:rPr>
              <w:t xml:space="preserve"> </w:t>
            </w:r>
            <w:r w:rsidRPr="000927AF">
              <w:rPr>
                <w:noProof/>
              </w:rPr>
              <w:t xml:space="preserve">20 </w:t>
            </w:r>
          </w:p>
        </w:tc>
      </w:tr>
      <w:tr w:rsidR="000927AF" w:rsidRPr="000927AF" w14:paraId="58A154AC" w14:textId="77777777" w:rsidTr="00A111E9">
        <w:trPr>
          <w:tblHeader/>
          <w:jc w:val="center"/>
        </w:trPr>
        <w:tc>
          <w:tcPr>
            <w:tcW w:w="1101" w:type="dxa"/>
            <w:shd w:val="clear" w:color="auto" w:fill="F2F2F2" w:themeFill="background1" w:themeFillShade="F2"/>
          </w:tcPr>
          <w:p w14:paraId="24EB2DC1" w14:textId="77777777" w:rsidR="000927AF" w:rsidRPr="00F6284E" w:rsidRDefault="000927AF" w:rsidP="00A111E9">
            <w:pPr>
              <w:rPr>
                <w:rFonts w:ascii="Arial" w:hAnsi="Arial"/>
                <w:b/>
                <w:sz w:val="18"/>
              </w:rPr>
            </w:pPr>
          </w:p>
        </w:tc>
        <w:tc>
          <w:tcPr>
            <w:tcW w:w="7654" w:type="dxa"/>
            <w:gridSpan w:val="12"/>
            <w:shd w:val="clear" w:color="auto" w:fill="F2F2F2" w:themeFill="background1" w:themeFillShade="F2"/>
          </w:tcPr>
          <w:p w14:paraId="6D470540" w14:textId="48C3EF7E" w:rsidR="000927AF" w:rsidRPr="00F6284E" w:rsidRDefault="000927AF" w:rsidP="00230E14">
            <w:pPr>
              <w:spacing w:before="40" w:after="40"/>
              <w:jc w:val="center"/>
              <w:rPr>
                <w:rFonts w:ascii="Arial" w:hAnsi="Arial"/>
                <w:b/>
                <w:sz w:val="18"/>
              </w:rPr>
            </w:pPr>
            <w:r w:rsidRPr="00F6284E">
              <w:rPr>
                <w:b/>
                <w:sz w:val="18"/>
              </w:rPr>
              <w:t>Oral K</w:t>
            </w:r>
            <w:r w:rsidRPr="00B217C6">
              <w:rPr>
                <w:b/>
                <w:sz w:val="18"/>
                <w:vertAlign w:val="superscript"/>
              </w:rPr>
              <w:t>+</w:t>
            </w:r>
            <w:r w:rsidRPr="00F6284E">
              <w:rPr>
                <w:b/>
                <w:sz w:val="18"/>
              </w:rPr>
              <w:t>PFOS concentrations (mg/kg</w:t>
            </w:r>
            <w:r w:rsidR="00B06C4E" w:rsidRPr="00F6284E">
              <w:rPr>
                <w:b/>
                <w:sz w:val="18"/>
              </w:rPr>
              <w:t xml:space="preserve"> bw</w:t>
            </w:r>
            <w:r w:rsidRPr="00F6284E">
              <w:rPr>
                <w:b/>
                <w:sz w:val="18"/>
              </w:rPr>
              <w:t>/day)</w:t>
            </w:r>
          </w:p>
        </w:tc>
      </w:tr>
      <w:tr w:rsidR="000927AF" w:rsidRPr="000927AF" w14:paraId="07B895B5" w14:textId="77777777" w:rsidTr="00A111E9">
        <w:trPr>
          <w:tblHeader/>
          <w:jc w:val="center"/>
        </w:trPr>
        <w:tc>
          <w:tcPr>
            <w:tcW w:w="1101" w:type="dxa"/>
            <w:shd w:val="clear" w:color="auto" w:fill="F2F2F2" w:themeFill="background1" w:themeFillShade="F2"/>
          </w:tcPr>
          <w:p w14:paraId="403A1E08" w14:textId="77777777" w:rsidR="000927AF" w:rsidRPr="00D711DD" w:rsidRDefault="000927AF" w:rsidP="00A111E9">
            <w:pPr>
              <w:rPr>
                <w:rFonts w:ascii="Arial" w:hAnsi="Arial"/>
                <w:sz w:val="18"/>
              </w:rPr>
            </w:pPr>
          </w:p>
        </w:tc>
        <w:tc>
          <w:tcPr>
            <w:tcW w:w="1913" w:type="dxa"/>
            <w:gridSpan w:val="3"/>
            <w:shd w:val="clear" w:color="auto" w:fill="F2F2F2" w:themeFill="background1" w:themeFillShade="F2"/>
          </w:tcPr>
          <w:p w14:paraId="109EE0B1" w14:textId="77777777" w:rsidR="000927AF" w:rsidRPr="00F6284E" w:rsidRDefault="000927AF" w:rsidP="00230E14">
            <w:pPr>
              <w:spacing w:before="40" w:after="40"/>
              <w:jc w:val="center"/>
              <w:rPr>
                <w:rFonts w:ascii="Arial" w:hAnsi="Arial"/>
                <w:sz w:val="18"/>
              </w:rPr>
            </w:pPr>
            <w:r w:rsidRPr="000B3C14">
              <w:rPr>
                <w:b/>
                <w:sz w:val="18"/>
              </w:rPr>
              <w:t>0</w:t>
            </w:r>
          </w:p>
        </w:tc>
        <w:tc>
          <w:tcPr>
            <w:tcW w:w="1914" w:type="dxa"/>
            <w:gridSpan w:val="3"/>
            <w:shd w:val="clear" w:color="auto" w:fill="F2F2F2" w:themeFill="background1" w:themeFillShade="F2"/>
          </w:tcPr>
          <w:p w14:paraId="3A1E9A3A" w14:textId="77777777" w:rsidR="000927AF" w:rsidRPr="00F6284E" w:rsidRDefault="000927AF" w:rsidP="00230E14">
            <w:pPr>
              <w:spacing w:before="40" w:after="40"/>
              <w:jc w:val="center"/>
              <w:rPr>
                <w:rFonts w:ascii="Arial" w:hAnsi="Arial"/>
                <w:sz w:val="18"/>
              </w:rPr>
            </w:pPr>
            <w:r w:rsidRPr="00F6284E">
              <w:rPr>
                <w:b/>
                <w:sz w:val="18"/>
              </w:rPr>
              <w:t>0.1</w:t>
            </w:r>
          </w:p>
        </w:tc>
        <w:tc>
          <w:tcPr>
            <w:tcW w:w="1913" w:type="dxa"/>
            <w:gridSpan w:val="3"/>
            <w:shd w:val="clear" w:color="auto" w:fill="F2F2F2" w:themeFill="background1" w:themeFillShade="F2"/>
          </w:tcPr>
          <w:p w14:paraId="430F7830" w14:textId="77777777" w:rsidR="000927AF" w:rsidRPr="00F6284E" w:rsidRDefault="000927AF" w:rsidP="00230E14">
            <w:pPr>
              <w:spacing w:before="40" w:after="40"/>
              <w:jc w:val="center"/>
              <w:rPr>
                <w:rFonts w:ascii="Arial" w:hAnsi="Arial"/>
                <w:sz w:val="18"/>
              </w:rPr>
            </w:pPr>
            <w:r w:rsidRPr="00F6284E">
              <w:rPr>
                <w:b/>
                <w:sz w:val="18"/>
              </w:rPr>
              <w:t>0.3</w:t>
            </w:r>
          </w:p>
        </w:tc>
        <w:tc>
          <w:tcPr>
            <w:tcW w:w="1914" w:type="dxa"/>
            <w:gridSpan w:val="3"/>
            <w:shd w:val="clear" w:color="auto" w:fill="F2F2F2" w:themeFill="background1" w:themeFillShade="F2"/>
          </w:tcPr>
          <w:p w14:paraId="4382B077" w14:textId="77777777" w:rsidR="000927AF" w:rsidRPr="00F6284E" w:rsidRDefault="000927AF" w:rsidP="00230E14">
            <w:pPr>
              <w:spacing w:before="40" w:after="40"/>
              <w:jc w:val="center"/>
              <w:rPr>
                <w:rFonts w:ascii="Arial" w:hAnsi="Arial"/>
                <w:sz w:val="18"/>
              </w:rPr>
            </w:pPr>
            <w:r w:rsidRPr="00F6284E">
              <w:rPr>
                <w:b/>
                <w:sz w:val="18"/>
              </w:rPr>
              <w:t>1.0</w:t>
            </w:r>
          </w:p>
        </w:tc>
      </w:tr>
      <w:tr w:rsidR="000927AF" w:rsidRPr="000927AF" w14:paraId="634607AC" w14:textId="77777777" w:rsidTr="00F6284E">
        <w:trPr>
          <w:trHeight w:val="227"/>
          <w:jc w:val="center"/>
        </w:trPr>
        <w:tc>
          <w:tcPr>
            <w:tcW w:w="8755" w:type="dxa"/>
            <w:gridSpan w:val="13"/>
          </w:tcPr>
          <w:p w14:paraId="4F53F760" w14:textId="77777777" w:rsidR="000927AF" w:rsidRPr="000B3C14" w:rsidRDefault="000927AF" w:rsidP="00A111E9">
            <w:pPr>
              <w:rPr>
                <w:rFonts w:ascii="Arial" w:hAnsi="Arial"/>
                <w:b/>
                <w:sz w:val="18"/>
              </w:rPr>
            </w:pPr>
            <w:r w:rsidRPr="00D711DD">
              <w:rPr>
                <w:b/>
                <w:sz w:val="18"/>
              </w:rPr>
              <w:t>Dams</w:t>
            </w:r>
          </w:p>
        </w:tc>
      </w:tr>
      <w:tr w:rsidR="000927AF" w:rsidRPr="000927AF" w14:paraId="2543CA05" w14:textId="77777777" w:rsidTr="00F6284E">
        <w:trPr>
          <w:trHeight w:val="227"/>
          <w:jc w:val="center"/>
        </w:trPr>
        <w:tc>
          <w:tcPr>
            <w:tcW w:w="1143" w:type="dxa"/>
            <w:gridSpan w:val="2"/>
            <w:vAlign w:val="center"/>
          </w:tcPr>
          <w:p w14:paraId="10A13D9C" w14:textId="2881F437" w:rsidR="000927AF" w:rsidRPr="00F6284E" w:rsidRDefault="000927AF" w:rsidP="00A111E9">
            <w:pPr>
              <w:rPr>
                <w:rFonts w:ascii="Arial" w:hAnsi="Arial"/>
                <w:sz w:val="18"/>
                <w:vertAlign w:val="superscript"/>
              </w:rPr>
            </w:pPr>
            <w:r w:rsidRPr="00D711DD">
              <w:rPr>
                <w:sz w:val="18"/>
              </w:rPr>
              <w:t>GD</w:t>
            </w:r>
            <w:r w:rsidR="00685591">
              <w:rPr>
                <w:sz w:val="18"/>
              </w:rPr>
              <w:t xml:space="preserve"> </w:t>
            </w:r>
            <w:r w:rsidRPr="00D711DD">
              <w:rPr>
                <w:sz w:val="18"/>
              </w:rPr>
              <w:t>20</w:t>
            </w:r>
            <w:r w:rsidRPr="000B3C14">
              <w:rPr>
                <w:sz w:val="18"/>
                <w:vertAlign w:val="superscript"/>
              </w:rPr>
              <w:t>1</w:t>
            </w:r>
          </w:p>
        </w:tc>
        <w:tc>
          <w:tcPr>
            <w:tcW w:w="1903" w:type="dxa"/>
            <w:gridSpan w:val="3"/>
            <w:vAlign w:val="center"/>
          </w:tcPr>
          <w:p w14:paraId="14C54146" w14:textId="715E0DA1" w:rsidR="000927AF" w:rsidRPr="00F6284E" w:rsidRDefault="000927AF" w:rsidP="00230E14">
            <w:pPr>
              <w:jc w:val="right"/>
              <w:rPr>
                <w:rFonts w:ascii="Arial" w:hAnsi="Arial"/>
                <w:sz w:val="18"/>
              </w:rPr>
            </w:pPr>
            <w:r w:rsidRPr="00F6284E">
              <w:rPr>
                <w:sz w:val="18"/>
              </w:rPr>
              <w:t>&lt;LOQ</w:t>
            </w:r>
          </w:p>
        </w:tc>
        <w:tc>
          <w:tcPr>
            <w:tcW w:w="1903" w:type="dxa"/>
            <w:gridSpan w:val="3"/>
            <w:vAlign w:val="center"/>
          </w:tcPr>
          <w:p w14:paraId="6E65C55C" w14:textId="3A658D65" w:rsidR="000927AF" w:rsidRPr="00F6284E" w:rsidRDefault="000927AF" w:rsidP="00230E14">
            <w:pPr>
              <w:jc w:val="right"/>
              <w:rPr>
                <w:rFonts w:ascii="Arial" w:hAnsi="Arial"/>
                <w:sz w:val="18"/>
              </w:rPr>
            </w:pPr>
            <w:r w:rsidRPr="00F6284E">
              <w:rPr>
                <w:sz w:val="18"/>
              </w:rPr>
              <w:t>1.722± 0.068</w:t>
            </w:r>
          </w:p>
        </w:tc>
        <w:tc>
          <w:tcPr>
            <w:tcW w:w="1903" w:type="dxa"/>
            <w:gridSpan w:val="3"/>
            <w:vAlign w:val="center"/>
          </w:tcPr>
          <w:p w14:paraId="51515DB2" w14:textId="64EE4005" w:rsidR="000927AF" w:rsidRPr="00F6284E" w:rsidRDefault="000927AF" w:rsidP="00230E14">
            <w:pPr>
              <w:jc w:val="right"/>
              <w:rPr>
                <w:rFonts w:ascii="Arial" w:hAnsi="Arial"/>
                <w:sz w:val="18"/>
              </w:rPr>
            </w:pPr>
            <w:r w:rsidRPr="00F6284E">
              <w:rPr>
                <w:sz w:val="18"/>
              </w:rPr>
              <w:t>6.245 ± 0.901</w:t>
            </w:r>
          </w:p>
        </w:tc>
        <w:tc>
          <w:tcPr>
            <w:tcW w:w="1903" w:type="dxa"/>
            <w:gridSpan w:val="2"/>
            <w:vAlign w:val="center"/>
          </w:tcPr>
          <w:p w14:paraId="3984587F" w14:textId="231AE1F9" w:rsidR="000927AF" w:rsidRPr="00F6284E" w:rsidRDefault="000927AF" w:rsidP="00230E14">
            <w:pPr>
              <w:jc w:val="right"/>
              <w:rPr>
                <w:rFonts w:ascii="Arial" w:hAnsi="Arial"/>
                <w:sz w:val="18"/>
              </w:rPr>
            </w:pPr>
            <w:r w:rsidRPr="00F6284E">
              <w:rPr>
                <w:sz w:val="18"/>
              </w:rPr>
              <w:t>26.630 ± 3.943</w:t>
            </w:r>
          </w:p>
        </w:tc>
      </w:tr>
      <w:tr w:rsidR="000927AF" w:rsidRPr="000927AF" w14:paraId="6D72FAA7" w14:textId="77777777" w:rsidTr="00F6284E">
        <w:trPr>
          <w:trHeight w:val="227"/>
          <w:jc w:val="center"/>
        </w:trPr>
        <w:tc>
          <w:tcPr>
            <w:tcW w:w="1143" w:type="dxa"/>
            <w:gridSpan w:val="2"/>
            <w:vAlign w:val="center"/>
          </w:tcPr>
          <w:p w14:paraId="34A9D90A" w14:textId="31953887" w:rsidR="000927AF" w:rsidRPr="000B3C14" w:rsidRDefault="000927AF" w:rsidP="00A111E9">
            <w:pPr>
              <w:rPr>
                <w:rFonts w:ascii="Arial" w:hAnsi="Arial"/>
                <w:sz w:val="18"/>
              </w:rPr>
            </w:pPr>
            <w:r w:rsidRPr="00D711DD">
              <w:rPr>
                <w:sz w:val="18"/>
              </w:rPr>
              <w:t>PND</w:t>
            </w:r>
            <w:r w:rsidR="00685591">
              <w:rPr>
                <w:sz w:val="18"/>
              </w:rPr>
              <w:t xml:space="preserve"> </w:t>
            </w:r>
            <w:r w:rsidRPr="00D711DD">
              <w:rPr>
                <w:sz w:val="18"/>
              </w:rPr>
              <w:t>4</w:t>
            </w:r>
          </w:p>
        </w:tc>
        <w:tc>
          <w:tcPr>
            <w:tcW w:w="1903" w:type="dxa"/>
            <w:gridSpan w:val="3"/>
            <w:vAlign w:val="center"/>
          </w:tcPr>
          <w:p w14:paraId="72F82973" w14:textId="3BEED769" w:rsidR="000927AF" w:rsidRPr="00F6284E" w:rsidRDefault="000927AF" w:rsidP="00230E14">
            <w:pPr>
              <w:jc w:val="right"/>
              <w:rPr>
                <w:rFonts w:ascii="Arial" w:hAnsi="Arial"/>
                <w:sz w:val="18"/>
              </w:rPr>
            </w:pPr>
            <w:r w:rsidRPr="00F6284E">
              <w:rPr>
                <w:sz w:val="18"/>
              </w:rPr>
              <w:t>0.008± 0.000</w:t>
            </w:r>
          </w:p>
        </w:tc>
        <w:tc>
          <w:tcPr>
            <w:tcW w:w="1903" w:type="dxa"/>
            <w:gridSpan w:val="3"/>
            <w:vAlign w:val="center"/>
          </w:tcPr>
          <w:p w14:paraId="355B124B" w14:textId="77777777" w:rsidR="000927AF" w:rsidRPr="00F6284E" w:rsidRDefault="000927AF" w:rsidP="00230E14">
            <w:pPr>
              <w:jc w:val="right"/>
              <w:rPr>
                <w:rFonts w:ascii="Arial" w:hAnsi="Arial"/>
                <w:sz w:val="18"/>
              </w:rPr>
            </w:pPr>
            <w:r w:rsidRPr="00F6284E">
              <w:rPr>
                <w:sz w:val="18"/>
              </w:rPr>
              <w:t>3.307 ± 0.080</w:t>
            </w:r>
          </w:p>
        </w:tc>
        <w:tc>
          <w:tcPr>
            <w:tcW w:w="1903" w:type="dxa"/>
            <w:gridSpan w:val="3"/>
            <w:vAlign w:val="center"/>
          </w:tcPr>
          <w:p w14:paraId="01D9A848" w14:textId="77777777" w:rsidR="000927AF" w:rsidRPr="00F6284E" w:rsidRDefault="000927AF" w:rsidP="00230E14">
            <w:pPr>
              <w:jc w:val="right"/>
              <w:rPr>
                <w:rFonts w:ascii="Arial" w:hAnsi="Arial"/>
                <w:sz w:val="18"/>
              </w:rPr>
            </w:pPr>
            <w:r w:rsidRPr="00F6284E">
              <w:rPr>
                <w:sz w:val="18"/>
              </w:rPr>
              <w:t>10.449 ± 0.234</w:t>
            </w:r>
          </w:p>
        </w:tc>
        <w:tc>
          <w:tcPr>
            <w:tcW w:w="1903" w:type="dxa"/>
            <w:gridSpan w:val="2"/>
            <w:vAlign w:val="center"/>
          </w:tcPr>
          <w:p w14:paraId="16198E40" w14:textId="595BE559" w:rsidR="000927AF" w:rsidRPr="00F6284E" w:rsidRDefault="000927AF" w:rsidP="00230E14">
            <w:pPr>
              <w:jc w:val="right"/>
              <w:rPr>
                <w:rFonts w:ascii="Arial" w:hAnsi="Arial"/>
                <w:sz w:val="18"/>
              </w:rPr>
            </w:pPr>
            <w:r w:rsidRPr="00F6284E">
              <w:rPr>
                <w:sz w:val="18"/>
              </w:rPr>
              <w:t>34.320 ± 31.154</w:t>
            </w:r>
          </w:p>
        </w:tc>
      </w:tr>
      <w:tr w:rsidR="000927AF" w:rsidRPr="000927AF" w14:paraId="50259D97" w14:textId="77777777" w:rsidTr="00F6284E">
        <w:trPr>
          <w:trHeight w:val="227"/>
          <w:jc w:val="center"/>
        </w:trPr>
        <w:tc>
          <w:tcPr>
            <w:tcW w:w="1143" w:type="dxa"/>
            <w:gridSpan w:val="2"/>
            <w:vAlign w:val="center"/>
          </w:tcPr>
          <w:p w14:paraId="6F06BB7F" w14:textId="3AF80625" w:rsidR="000927AF" w:rsidRPr="000B3C14" w:rsidRDefault="000927AF" w:rsidP="00A111E9">
            <w:pPr>
              <w:rPr>
                <w:rFonts w:ascii="Arial" w:hAnsi="Arial"/>
                <w:sz w:val="18"/>
              </w:rPr>
            </w:pPr>
            <w:r w:rsidRPr="00D711DD">
              <w:rPr>
                <w:sz w:val="18"/>
              </w:rPr>
              <w:t>PND</w:t>
            </w:r>
            <w:r w:rsidR="00685591">
              <w:rPr>
                <w:sz w:val="18"/>
              </w:rPr>
              <w:t xml:space="preserve"> </w:t>
            </w:r>
            <w:r w:rsidRPr="00D711DD">
              <w:rPr>
                <w:sz w:val="18"/>
              </w:rPr>
              <w:t>21</w:t>
            </w:r>
          </w:p>
        </w:tc>
        <w:tc>
          <w:tcPr>
            <w:tcW w:w="1903" w:type="dxa"/>
            <w:gridSpan w:val="3"/>
            <w:vAlign w:val="center"/>
          </w:tcPr>
          <w:p w14:paraId="7053E774" w14:textId="54CAB03C" w:rsidR="000927AF" w:rsidRPr="00F6284E" w:rsidRDefault="000927AF" w:rsidP="00230E14">
            <w:pPr>
              <w:jc w:val="right"/>
              <w:rPr>
                <w:rFonts w:ascii="Arial" w:hAnsi="Arial"/>
                <w:sz w:val="18"/>
              </w:rPr>
            </w:pPr>
            <w:r w:rsidRPr="00F6284E">
              <w:rPr>
                <w:sz w:val="18"/>
              </w:rPr>
              <w:t>0.007± 0.000</w:t>
            </w:r>
          </w:p>
        </w:tc>
        <w:tc>
          <w:tcPr>
            <w:tcW w:w="1903" w:type="dxa"/>
            <w:gridSpan w:val="3"/>
            <w:vAlign w:val="center"/>
          </w:tcPr>
          <w:p w14:paraId="5DE331C5" w14:textId="77777777" w:rsidR="000927AF" w:rsidRPr="00F6284E" w:rsidRDefault="000927AF" w:rsidP="00230E14">
            <w:pPr>
              <w:jc w:val="right"/>
              <w:rPr>
                <w:rFonts w:ascii="Arial" w:hAnsi="Arial"/>
                <w:sz w:val="18"/>
              </w:rPr>
            </w:pPr>
            <w:r w:rsidRPr="00F6284E">
              <w:rPr>
                <w:sz w:val="18"/>
              </w:rPr>
              <w:t>3.159 ± 0.081</w:t>
            </w:r>
          </w:p>
        </w:tc>
        <w:tc>
          <w:tcPr>
            <w:tcW w:w="1903" w:type="dxa"/>
            <w:gridSpan w:val="3"/>
            <w:vAlign w:val="center"/>
          </w:tcPr>
          <w:p w14:paraId="6FF92A4E" w14:textId="357A63A5" w:rsidR="000927AF" w:rsidRPr="00F6284E" w:rsidRDefault="000927AF" w:rsidP="00230E14">
            <w:pPr>
              <w:jc w:val="right"/>
              <w:rPr>
                <w:rFonts w:ascii="Arial" w:hAnsi="Arial"/>
                <w:sz w:val="18"/>
              </w:rPr>
            </w:pPr>
            <w:r w:rsidRPr="00F6284E">
              <w:rPr>
                <w:sz w:val="18"/>
              </w:rPr>
              <w:t>8.981 ± 0.275</w:t>
            </w:r>
          </w:p>
        </w:tc>
        <w:tc>
          <w:tcPr>
            <w:tcW w:w="1903" w:type="dxa"/>
            <w:gridSpan w:val="2"/>
            <w:vAlign w:val="center"/>
          </w:tcPr>
          <w:p w14:paraId="44D8E713" w14:textId="334D8264" w:rsidR="000927AF" w:rsidRPr="00F6284E" w:rsidRDefault="000927AF" w:rsidP="00230E14">
            <w:pPr>
              <w:jc w:val="right"/>
              <w:rPr>
                <w:rFonts w:ascii="Arial" w:hAnsi="Arial"/>
                <w:sz w:val="18"/>
              </w:rPr>
            </w:pPr>
            <w:r w:rsidRPr="00F6284E">
              <w:rPr>
                <w:sz w:val="18"/>
              </w:rPr>
              <w:t>30.480 ± 1.294</w:t>
            </w:r>
          </w:p>
        </w:tc>
      </w:tr>
      <w:tr w:rsidR="000927AF" w:rsidRPr="000927AF" w14:paraId="1307D946" w14:textId="77777777" w:rsidTr="00F6284E">
        <w:trPr>
          <w:trHeight w:val="227"/>
          <w:jc w:val="center"/>
        </w:trPr>
        <w:tc>
          <w:tcPr>
            <w:tcW w:w="8755" w:type="dxa"/>
            <w:gridSpan w:val="13"/>
          </w:tcPr>
          <w:p w14:paraId="4E1B93F4" w14:textId="77777777" w:rsidR="000927AF" w:rsidRPr="000B3C14" w:rsidRDefault="000927AF" w:rsidP="00A111E9">
            <w:pPr>
              <w:rPr>
                <w:rFonts w:ascii="Arial" w:hAnsi="Arial"/>
                <w:sz w:val="18"/>
              </w:rPr>
            </w:pPr>
            <w:r w:rsidRPr="00D711DD">
              <w:rPr>
                <w:b/>
                <w:sz w:val="18"/>
              </w:rPr>
              <w:t>Fetuses</w:t>
            </w:r>
          </w:p>
        </w:tc>
      </w:tr>
      <w:tr w:rsidR="000927AF" w:rsidRPr="000927AF" w14:paraId="3B1F7D52" w14:textId="77777777" w:rsidTr="00F6284E">
        <w:trPr>
          <w:trHeight w:val="227"/>
          <w:jc w:val="center"/>
        </w:trPr>
        <w:tc>
          <w:tcPr>
            <w:tcW w:w="1143" w:type="dxa"/>
            <w:gridSpan w:val="2"/>
            <w:vAlign w:val="center"/>
          </w:tcPr>
          <w:p w14:paraId="2F271FE8" w14:textId="01F639ED" w:rsidR="000927AF" w:rsidRPr="00F6284E" w:rsidRDefault="000927AF" w:rsidP="00A111E9">
            <w:pPr>
              <w:rPr>
                <w:rFonts w:ascii="Arial" w:hAnsi="Arial"/>
                <w:sz w:val="18"/>
                <w:vertAlign w:val="superscript"/>
              </w:rPr>
            </w:pPr>
            <w:r w:rsidRPr="00D711DD">
              <w:rPr>
                <w:sz w:val="18"/>
              </w:rPr>
              <w:t>GD</w:t>
            </w:r>
            <w:r w:rsidR="00685591">
              <w:rPr>
                <w:sz w:val="18"/>
              </w:rPr>
              <w:t xml:space="preserve"> </w:t>
            </w:r>
            <w:r w:rsidRPr="00D711DD">
              <w:rPr>
                <w:sz w:val="18"/>
              </w:rPr>
              <w:t>20</w:t>
            </w:r>
            <w:r w:rsidRPr="000B3C14">
              <w:rPr>
                <w:sz w:val="18"/>
                <w:vertAlign w:val="superscript"/>
              </w:rPr>
              <w:t>2</w:t>
            </w:r>
          </w:p>
        </w:tc>
        <w:tc>
          <w:tcPr>
            <w:tcW w:w="1903" w:type="dxa"/>
            <w:gridSpan w:val="3"/>
            <w:vAlign w:val="center"/>
          </w:tcPr>
          <w:p w14:paraId="0AFFDA15" w14:textId="1AD3DF84" w:rsidR="000927AF" w:rsidRPr="00F6284E" w:rsidRDefault="000927AF" w:rsidP="00230E14">
            <w:pPr>
              <w:jc w:val="right"/>
              <w:rPr>
                <w:rFonts w:ascii="Arial" w:hAnsi="Arial"/>
                <w:sz w:val="18"/>
              </w:rPr>
            </w:pPr>
            <w:r w:rsidRPr="00F6284E">
              <w:rPr>
                <w:sz w:val="18"/>
              </w:rPr>
              <w:t>0.009± 0.001</w:t>
            </w:r>
          </w:p>
        </w:tc>
        <w:tc>
          <w:tcPr>
            <w:tcW w:w="1903" w:type="dxa"/>
            <w:gridSpan w:val="3"/>
            <w:vAlign w:val="center"/>
          </w:tcPr>
          <w:p w14:paraId="145E0018" w14:textId="4D328C37" w:rsidR="000927AF" w:rsidRPr="00F6284E" w:rsidRDefault="000927AF" w:rsidP="00230E14">
            <w:pPr>
              <w:jc w:val="right"/>
              <w:rPr>
                <w:rFonts w:ascii="Arial" w:hAnsi="Arial"/>
                <w:sz w:val="18"/>
              </w:rPr>
            </w:pPr>
            <w:r w:rsidRPr="00F6284E">
              <w:rPr>
                <w:sz w:val="18"/>
              </w:rPr>
              <w:t>3.906 ± 0.096</w:t>
            </w:r>
          </w:p>
        </w:tc>
        <w:tc>
          <w:tcPr>
            <w:tcW w:w="1903" w:type="dxa"/>
            <w:gridSpan w:val="3"/>
            <w:vAlign w:val="center"/>
          </w:tcPr>
          <w:p w14:paraId="75364F7D" w14:textId="2739FBD7" w:rsidR="000927AF" w:rsidRPr="00F6284E" w:rsidRDefault="000927AF" w:rsidP="00230E14">
            <w:pPr>
              <w:jc w:val="right"/>
              <w:rPr>
                <w:rFonts w:ascii="Arial" w:hAnsi="Arial"/>
                <w:sz w:val="18"/>
              </w:rPr>
            </w:pPr>
            <w:r w:rsidRPr="00F6284E">
              <w:rPr>
                <w:sz w:val="18"/>
              </w:rPr>
              <w:t>10.446 ± 0.291</w:t>
            </w:r>
          </w:p>
        </w:tc>
        <w:tc>
          <w:tcPr>
            <w:tcW w:w="1903" w:type="dxa"/>
            <w:gridSpan w:val="2"/>
            <w:vAlign w:val="center"/>
          </w:tcPr>
          <w:p w14:paraId="3F946625" w14:textId="77777777" w:rsidR="000927AF" w:rsidRPr="00F6284E" w:rsidRDefault="000927AF" w:rsidP="00230E14">
            <w:pPr>
              <w:jc w:val="right"/>
              <w:rPr>
                <w:rFonts w:ascii="Arial" w:hAnsi="Arial"/>
                <w:sz w:val="18"/>
              </w:rPr>
            </w:pPr>
            <w:r w:rsidRPr="00F6284E">
              <w:rPr>
                <w:sz w:val="18"/>
              </w:rPr>
              <w:t>31.463 ± 1.032</w:t>
            </w:r>
          </w:p>
        </w:tc>
      </w:tr>
      <w:tr w:rsidR="000927AF" w:rsidRPr="000927AF" w14:paraId="1D35A5C2" w14:textId="77777777" w:rsidTr="00F6284E">
        <w:trPr>
          <w:trHeight w:val="227"/>
          <w:jc w:val="center"/>
        </w:trPr>
        <w:tc>
          <w:tcPr>
            <w:tcW w:w="8755" w:type="dxa"/>
            <w:gridSpan w:val="13"/>
          </w:tcPr>
          <w:p w14:paraId="42179180" w14:textId="77777777" w:rsidR="000927AF" w:rsidRPr="000B3C14" w:rsidRDefault="000927AF" w:rsidP="00230E14">
            <w:pPr>
              <w:rPr>
                <w:rFonts w:ascii="Arial" w:hAnsi="Arial"/>
                <w:sz w:val="18"/>
              </w:rPr>
            </w:pPr>
            <w:r w:rsidRPr="00D711DD">
              <w:rPr>
                <w:b/>
                <w:sz w:val="18"/>
              </w:rPr>
              <w:t>Pups</w:t>
            </w:r>
          </w:p>
        </w:tc>
      </w:tr>
      <w:tr w:rsidR="000927AF" w:rsidRPr="000927AF" w14:paraId="32BF4D9E" w14:textId="77777777" w:rsidTr="00F6284E">
        <w:trPr>
          <w:jc w:val="center"/>
        </w:trPr>
        <w:tc>
          <w:tcPr>
            <w:tcW w:w="1143" w:type="dxa"/>
            <w:gridSpan w:val="2"/>
            <w:tcBorders>
              <w:bottom w:val="single" w:sz="4" w:space="0" w:color="000000"/>
            </w:tcBorders>
            <w:vAlign w:val="center"/>
          </w:tcPr>
          <w:p w14:paraId="2E24B72E" w14:textId="65BD070A" w:rsidR="000927AF" w:rsidRPr="00F6284E" w:rsidRDefault="000927AF" w:rsidP="00A111E9">
            <w:pPr>
              <w:rPr>
                <w:rFonts w:ascii="Arial" w:hAnsi="Arial"/>
                <w:sz w:val="18"/>
                <w:vertAlign w:val="superscript"/>
              </w:rPr>
            </w:pPr>
            <w:r w:rsidRPr="00D711DD">
              <w:rPr>
                <w:sz w:val="18"/>
              </w:rPr>
              <w:t>PND</w:t>
            </w:r>
            <w:r w:rsidR="00685591">
              <w:rPr>
                <w:sz w:val="18"/>
              </w:rPr>
              <w:t xml:space="preserve"> </w:t>
            </w:r>
            <w:r w:rsidRPr="00D711DD">
              <w:rPr>
                <w:sz w:val="18"/>
              </w:rPr>
              <w:t>4</w:t>
            </w:r>
            <w:r w:rsidRPr="000B3C14">
              <w:rPr>
                <w:sz w:val="18"/>
                <w:vertAlign w:val="superscript"/>
              </w:rPr>
              <w:t>2</w:t>
            </w:r>
          </w:p>
        </w:tc>
        <w:tc>
          <w:tcPr>
            <w:tcW w:w="1903" w:type="dxa"/>
            <w:gridSpan w:val="3"/>
            <w:tcBorders>
              <w:bottom w:val="single" w:sz="4" w:space="0" w:color="000000"/>
            </w:tcBorders>
            <w:vAlign w:val="center"/>
          </w:tcPr>
          <w:p w14:paraId="51941FEC" w14:textId="77777777" w:rsidR="000927AF" w:rsidRPr="00F6284E" w:rsidRDefault="000927AF" w:rsidP="00230E14">
            <w:pPr>
              <w:jc w:val="right"/>
              <w:rPr>
                <w:rFonts w:ascii="Arial" w:hAnsi="Arial"/>
                <w:sz w:val="18"/>
              </w:rPr>
            </w:pPr>
            <w:r w:rsidRPr="00F6284E">
              <w:rPr>
                <w:sz w:val="18"/>
              </w:rPr>
              <w:t>&lt;LOQ</w:t>
            </w:r>
          </w:p>
        </w:tc>
        <w:tc>
          <w:tcPr>
            <w:tcW w:w="1903" w:type="dxa"/>
            <w:gridSpan w:val="3"/>
            <w:tcBorders>
              <w:bottom w:val="single" w:sz="4" w:space="0" w:color="000000"/>
            </w:tcBorders>
            <w:vAlign w:val="center"/>
          </w:tcPr>
          <w:p w14:paraId="3A999420" w14:textId="77777777" w:rsidR="000927AF" w:rsidRPr="00F6284E" w:rsidRDefault="000927AF" w:rsidP="00230E14">
            <w:pPr>
              <w:jc w:val="right"/>
              <w:rPr>
                <w:rFonts w:ascii="Arial" w:hAnsi="Arial"/>
                <w:sz w:val="18"/>
              </w:rPr>
            </w:pPr>
            <w:r w:rsidRPr="00F6284E">
              <w:rPr>
                <w:sz w:val="18"/>
              </w:rPr>
              <w:t>2.236 ± 0.070</w:t>
            </w:r>
          </w:p>
        </w:tc>
        <w:tc>
          <w:tcPr>
            <w:tcW w:w="1903" w:type="dxa"/>
            <w:gridSpan w:val="3"/>
            <w:tcBorders>
              <w:bottom w:val="single" w:sz="4" w:space="0" w:color="000000"/>
            </w:tcBorders>
            <w:vAlign w:val="center"/>
          </w:tcPr>
          <w:p w14:paraId="30D45EFA" w14:textId="5E7C4267" w:rsidR="000927AF" w:rsidRPr="00F6284E" w:rsidRDefault="000927AF" w:rsidP="00230E14">
            <w:pPr>
              <w:jc w:val="right"/>
              <w:rPr>
                <w:rFonts w:ascii="Arial" w:hAnsi="Arial"/>
                <w:sz w:val="18"/>
              </w:rPr>
            </w:pPr>
            <w:r w:rsidRPr="00F6284E">
              <w:rPr>
                <w:sz w:val="18"/>
              </w:rPr>
              <w:t>6.960 ± 0.163</w:t>
            </w:r>
          </w:p>
        </w:tc>
        <w:tc>
          <w:tcPr>
            <w:tcW w:w="1903" w:type="dxa"/>
            <w:gridSpan w:val="2"/>
            <w:tcBorders>
              <w:bottom w:val="single" w:sz="4" w:space="0" w:color="000000"/>
            </w:tcBorders>
            <w:vAlign w:val="center"/>
          </w:tcPr>
          <w:p w14:paraId="5E4C5E02" w14:textId="77777777" w:rsidR="000927AF" w:rsidRPr="00F6284E" w:rsidRDefault="000927AF" w:rsidP="00230E14">
            <w:pPr>
              <w:jc w:val="right"/>
              <w:rPr>
                <w:rFonts w:ascii="Arial" w:hAnsi="Arial"/>
                <w:sz w:val="18"/>
              </w:rPr>
            </w:pPr>
            <w:r w:rsidRPr="00F6284E">
              <w:rPr>
                <w:sz w:val="18"/>
              </w:rPr>
              <w:t>22.440 ± 0.723</w:t>
            </w:r>
          </w:p>
        </w:tc>
      </w:tr>
      <w:tr w:rsidR="000927AF" w:rsidRPr="000927AF" w14:paraId="42536F8C" w14:textId="77777777" w:rsidTr="00F6284E">
        <w:trPr>
          <w:jc w:val="center"/>
        </w:trPr>
        <w:tc>
          <w:tcPr>
            <w:tcW w:w="1143" w:type="dxa"/>
            <w:gridSpan w:val="2"/>
            <w:shd w:val="clear" w:color="auto" w:fill="F2F2F2" w:themeFill="background1" w:themeFillShade="F2"/>
          </w:tcPr>
          <w:p w14:paraId="70116689" w14:textId="77777777" w:rsidR="000927AF" w:rsidRPr="00D711DD" w:rsidRDefault="000927AF" w:rsidP="00A111E9">
            <w:pPr>
              <w:rPr>
                <w:rFonts w:ascii="Arial" w:hAnsi="Arial"/>
                <w:sz w:val="18"/>
              </w:rPr>
            </w:pPr>
          </w:p>
        </w:tc>
        <w:tc>
          <w:tcPr>
            <w:tcW w:w="951" w:type="dxa"/>
            <w:shd w:val="clear" w:color="auto" w:fill="F2F2F2" w:themeFill="background1" w:themeFillShade="F2"/>
          </w:tcPr>
          <w:p w14:paraId="66978230" w14:textId="77777777" w:rsidR="000927AF" w:rsidRPr="00F6284E" w:rsidRDefault="000927AF" w:rsidP="00230E14">
            <w:pPr>
              <w:jc w:val="right"/>
              <w:rPr>
                <w:rFonts w:ascii="Arial" w:hAnsi="Arial"/>
                <w:b/>
                <w:sz w:val="18"/>
              </w:rPr>
            </w:pPr>
            <w:r w:rsidRPr="000B3C14">
              <w:rPr>
                <w:b/>
                <w:sz w:val="18"/>
              </w:rPr>
              <w:t>M pup</w:t>
            </w:r>
          </w:p>
        </w:tc>
        <w:tc>
          <w:tcPr>
            <w:tcW w:w="952" w:type="dxa"/>
            <w:gridSpan w:val="2"/>
            <w:shd w:val="clear" w:color="auto" w:fill="F2F2F2" w:themeFill="background1" w:themeFillShade="F2"/>
          </w:tcPr>
          <w:p w14:paraId="55BECF1D" w14:textId="265C9060" w:rsidR="000927AF" w:rsidRPr="00F6284E" w:rsidRDefault="000927AF" w:rsidP="00230E14">
            <w:pPr>
              <w:jc w:val="right"/>
              <w:rPr>
                <w:rFonts w:ascii="Arial" w:hAnsi="Arial"/>
                <w:b/>
                <w:sz w:val="18"/>
              </w:rPr>
            </w:pPr>
            <w:r w:rsidRPr="00F6284E">
              <w:rPr>
                <w:b/>
                <w:sz w:val="18"/>
              </w:rPr>
              <w:t>F</w:t>
            </w:r>
            <w:r w:rsidR="005E3DEB" w:rsidRPr="00F6284E">
              <w:rPr>
                <w:b/>
                <w:sz w:val="18"/>
              </w:rPr>
              <w:t xml:space="preserve"> </w:t>
            </w:r>
            <w:r w:rsidRPr="00F6284E">
              <w:rPr>
                <w:b/>
                <w:sz w:val="18"/>
              </w:rPr>
              <w:t>pup</w:t>
            </w:r>
          </w:p>
        </w:tc>
        <w:tc>
          <w:tcPr>
            <w:tcW w:w="951" w:type="dxa"/>
            <w:shd w:val="clear" w:color="auto" w:fill="F2F2F2" w:themeFill="background1" w:themeFillShade="F2"/>
          </w:tcPr>
          <w:p w14:paraId="141C65D4" w14:textId="77777777" w:rsidR="000927AF" w:rsidRPr="00F6284E" w:rsidRDefault="000927AF" w:rsidP="00230E14">
            <w:pPr>
              <w:jc w:val="right"/>
              <w:rPr>
                <w:rFonts w:ascii="Arial" w:hAnsi="Arial"/>
                <w:b/>
                <w:sz w:val="18"/>
              </w:rPr>
            </w:pPr>
            <w:r w:rsidRPr="00F6284E">
              <w:rPr>
                <w:b/>
                <w:sz w:val="18"/>
              </w:rPr>
              <w:t>M pup</w:t>
            </w:r>
          </w:p>
        </w:tc>
        <w:tc>
          <w:tcPr>
            <w:tcW w:w="952" w:type="dxa"/>
            <w:gridSpan w:val="2"/>
            <w:shd w:val="clear" w:color="auto" w:fill="F2F2F2" w:themeFill="background1" w:themeFillShade="F2"/>
          </w:tcPr>
          <w:p w14:paraId="207B24C6" w14:textId="77777777" w:rsidR="000927AF" w:rsidRPr="00F6284E" w:rsidRDefault="000927AF" w:rsidP="00230E14">
            <w:pPr>
              <w:jc w:val="right"/>
              <w:rPr>
                <w:rFonts w:ascii="Arial" w:hAnsi="Arial"/>
                <w:b/>
                <w:sz w:val="18"/>
              </w:rPr>
            </w:pPr>
            <w:r w:rsidRPr="00F6284E">
              <w:rPr>
                <w:b/>
                <w:sz w:val="18"/>
              </w:rPr>
              <w:t>F pup</w:t>
            </w:r>
          </w:p>
        </w:tc>
        <w:tc>
          <w:tcPr>
            <w:tcW w:w="951" w:type="dxa"/>
            <w:shd w:val="clear" w:color="auto" w:fill="F2F2F2" w:themeFill="background1" w:themeFillShade="F2"/>
          </w:tcPr>
          <w:p w14:paraId="2F3E8098" w14:textId="77777777" w:rsidR="000927AF" w:rsidRPr="00F6284E" w:rsidRDefault="000927AF" w:rsidP="00230E14">
            <w:pPr>
              <w:jc w:val="right"/>
              <w:rPr>
                <w:rFonts w:ascii="Arial" w:hAnsi="Arial"/>
                <w:b/>
                <w:sz w:val="18"/>
              </w:rPr>
            </w:pPr>
            <w:r w:rsidRPr="00F6284E">
              <w:rPr>
                <w:b/>
                <w:sz w:val="18"/>
              </w:rPr>
              <w:t>M pup</w:t>
            </w:r>
          </w:p>
        </w:tc>
        <w:tc>
          <w:tcPr>
            <w:tcW w:w="952" w:type="dxa"/>
            <w:gridSpan w:val="2"/>
            <w:shd w:val="clear" w:color="auto" w:fill="F2F2F2" w:themeFill="background1" w:themeFillShade="F2"/>
          </w:tcPr>
          <w:p w14:paraId="0BD817B2" w14:textId="77777777" w:rsidR="000927AF" w:rsidRPr="00F6284E" w:rsidRDefault="000927AF" w:rsidP="00230E14">
            <w:pPr>
              <w:jc w:val="right"/>
              <w:rPr>
                <w:rFonts w:ascii="Arial" w:hAnsi="Arial"/>
                <w:b/>
                <w:sz w:val="18"/>
              </w:rPr>
            </w:pPr>
            <w:r w:rsidRPr="00F6284E">
              <w:rPr>
                <w:b/>
                <w:sz w:val="18"/>
              </w:rPr>
              <w:t>F pup</w:t>
            </w:r>
          </w:p>
        </w:tc>
        <w:tc>
          <w:tcPr>
            <w:tcW w:w="951" w:type="dxa"/>
            <w:shd w:val="clear" w:color="auto" w:fill="F2F2F2" w:themeFill="background1" w:themeFillShade="F2"/>
          </w:tcPr>
          <w:p w14:paraId="7C11BE49" w14:textId="77777777" w:rsidR="000927AF" w:rsidRPr="00F6284E" w:rsidRDefault="000927AF" w:rsidP="00230E14">
            <w:pPr>
              <w:jc w:val="right"/>
              <w:rPr>
                <w:rFonts w:ascii="Arial" w:hAnsi="Arial"/>
                <w:b/>
                <w:sz w:val="18"/>
              </w:rPr>
            </w:pPr>
            <w:r w:rsidRPr="00F6284E">
              <w:rPr>
                <w:b/>
                <w:sz w:val="18"/>
              </w:rPr>
              <w:t>M pup</w:t>
            </w:r>
          </w:p>
        </w:tc>
        <w:tc>
          <w:tcPr>
            <w:tcW w:w="952" w:type="dxa"/>
            <w:shd w:val="clear" w:color="auto" w:fill="F2F2F2" w:themeFill="background1" w:themeFillShade="F2"/>
          </w:tcPr>
          <w:p w14:paraId="4FBDE051" w14:textId="77777777" w:rsidR="000927AF" w:rsidRPr="00F6284E" w:rsidRDefault="000927AF" w:rsidP="00230E14">
            <w:pPr>
              <w:jc w:val="right"/>
              <w:rPr>
                <w:rFonts w:ascii="Arial" w:hAnsi="Arial"/>
                <w:b/>
                <w:sz w:val="18"/>
              </w:rPr>
            </w:pPr>
            <w:r w:rsidRPr="00F6284E">
              <w:rPr>
                <w:b/>
                <w:sz w:val="18"/>
              </w:rPr>
              <w:t>F pup</w:t>
            </w:r>
          </w:p>
        </w:tc>
      </w:tr>
      <w:tr w:rsidR="000927AF" w:rsidRPr="000927AF" w14:paraId="54133022" w14:textId="77777777" w:rsidTr="00F6284E">
        <w:trPr>
          <w:trHeight w:val="454"/>
          <w:jc w:val="center"/>
        </w:trPr>
        <w:tc>
          <w:tcPr>
            <w:tcW w:w="1143" w:type="dxa"/>
            <w:gridSpan w:val="2"/>
            <w:vAlign w:val="center"/>
          </w:tcPr>
          <w:p w14:paraId="15EB2BD3" w14:textId="16543663" w:rsidR="000927AF" w:rsidRPr="000B3C14" w:rsidRDefault="000927AF" w:rsidP="00A111E9">
            <w:pPr>
              <w:rPr>
                <w:rFonts w:ascii="Arial" w:hAnsi="Arial"/>
                <w:sz w:val="18"/>
              </w:rPr>
            </w:pPr>
            <w:r w:rsidRPr="00D711DD">
              <w:rPr>
                <w:sz w:val="18"/>
              </w:rPr>
              <w:lastRenderedPageBreak/>
              <w:t>PND</w:t>
            </w:r>
            <w:r w:rsidR="00685591">
              <w:rPr>
                <w:sz w:val="18"/>
              </w:rPr>
              <w:t xml:space="preserve"> </w:t>
            </w:r>
            <w:r w:rsidRPr="00D711DD">
              <w:rPr>
                <w:sz w:val="18"/>
              </w:rPr>
              <w:t>21</w:t>
            </w:r>
          </w:p>
        </w:tc>
        <w:tc>
          <w:tcPr>
            <w:tcW w:w="951" w:type="dxa"/>
            <w:vAlign w:val="center"/>
          </w:tcPr>
          <w:p w14:paraId="79FCE895" w14:textId="77777777" w:rsidR="000927AF" w:rsidRPr="00F6284E" w:rsidRDefault="000927AF" w:rsidP="00230E14">
            <w:pPr>
              <w:jc w:val="right"/>
              <w:rPr>
                <w:rFonts w:ascii="Arial" w:hAnsi="Arial"/>
                <w:sz w:val="18"/>
              </w:rPr>
            </w:pPr>
            <w:r w:rsidRPr="00F6284E">
              <w:rPr>
                <w:sz w:val="18"/>
              </w:rPr>
              <w:t>&lt;LOQ</w:t>
            </w:r>
          </w:p>
        </w:tc>
        <w:tc>
          <w:tcPr>
            <w:tcW w:w="952" w:type="dxa"/>
            <w:gridSpan w:val="2"/>
            <w:vAlign w:val="center"/>
          </w:tcPr>
          <w:p w14:paraId="76739F66" w14:textId="77777777" w:rsidR="000927AF" w:rsidRPr="00F6284E" w:rsidRDefault="000927AF" w:rsidP="00230E14">
            <w:pPr>
              <w:jc w:val="right"/>
              <w:rPr>
                <w:rFonts w:ascii="Arial" w:hAnsi="Arial"/>
                <w:sz w:val="18"/>
              </w:rPr>
            </w:pPr>
            <w:r w:rsidRPr="00F6284E">
              <w:rPr>
                <w:sz w:val="18"/>
              </w:rPr>
              <w:t>&lt;LOQ</w:t>
            </w:r>
          </w:p>
        </w:tc>
        <w:tc>
          <w:tcPr>
            <w:tcW w:w="951" w:type="dxa"/>
            <w:vAlign w:val="center"/>
          </w:tcPr>
          <w:p w14:paraId="4CB7153F" w14:textId="3AFED5A1" w:rsidR="000927AF" w:rsidRPr="00F6284E" w:rsidRDefault="000927AF" w:rsidP="00230E14">
            <w:pPr>
              <w:jc w:val="right"/>
              <w:rPr>
                <w:rFonts w:ascii="Arial" w:hAnsi="Arial"/>
                <w:sz w:val="18"/>
              </w:rPr>
            </w:pPr>
            <w:r w:rsidRPr="00F6284E">
              <w:rPr>
                <w:sz w:val="18"/>
              </w:rPr>
              <w:t>1.729 ± 0.079</w:t>
            </w:r>
          </w:p>
        </w:tc>
        <w:tc>
          <w:tcPr>
            <w:tcW w:w="952" w:type="dxa"/>
            <w:gridSpan w:val="2"/>
            <w:vAlign w:val="center"/>
          </w:tcPr>
          <w:p w14:paraId="26B70235" w14:textId="5D5643A6" w:rsidR="000927AF" w:rsidRPr="00F6284E" w:rsidRDefault="000927AF" w:rsidP="00230E14">
            <w:pPr>
              <w:jc w:val="right"/>
              <w:rPr>
                <w:rFonts w:ascii="Arial" w:hAnsi="Arial"/>
                <w:sz w:val="18"/>
              </w:rPr>
            </w:pPr>
            <w:r w:rsidRPr="00F6284E">
              <w:rPr>
                <w:sz w:val="18"/>
              </w:rPr>
              <w:t>1.771 ± 0.076</w:t>
            </w:r>
          </w:p>
        </w:tc>
        <w:tc>
          <w:tcPr>
            <w:tcW w:w="951" w:type="dxa"/>
            <w:vAlign w:val="center"/>
          </w:tcPr>
          <w:p w14:paraId="55DC6972" w14:textId="77777777" w:rsidR="000927AF" w:rsidRPr="00F6284E" w:rsidRDefault="000927AF" w:rsidP="00230E14">
            <w:pPr>
              <w:jc w:val="right"/>
              <w:rPr>
                <w:rFonts w:ascii="Arial" w:hAnsi="Arial"/>
                <w:sz w:val="18"/>
              </w:rPr>
            </w:pPr>
            <w:r w:rsidRPr="00F6284E">
              <w:rPr>
                <w:sz w:val="18"/>
              </w:rPr>
              <w:t>5.048 ± 0.108</w:t>
            </w:r>
          </w:p>
        </w:tc>
        <w:tc>
          <w:tcPr>
            <w:tcW w:w="952" w:type="dxa"/>
            <w:gridSpan w:val="2"/>
            <w:vAlign w:val="center"/>
          </w:tcPr>
          <w:p w14:paraId="03C60B1E" w14:textId="516E200E" w:rsidR="000927AF" w:rsidRPr="00F6284E" w:rsidRDefault="000927AF" w:rsidP="00230E14">
            <w:pPr>
              <w:jc w:val="right"/>
              <w:rPr>
                <w:rFonts w:ascii="Arial" w:hAnsi="Arial"/>
                <w:sz w:val="18"/>
              </w:rPr>
            </w:pPr>
            <w:r w:rsidRPr="00F6284E">
              <w:rPr>
                <w:sz w:val="18"/>
              </w:rPr>
              <w:t>5.246 ± 0.138</w:t>
            </w:r>
          </w:p>
        </w:tc>
        <w:tc>
          <w:tcPr>
            <w:tcW w:w="951" w:type="dxa"/>
            <w:vAlign w:val="center"/>
          </w:tcPr>
          <w:p w14:paraId="5FA52310" w14:textId="08D09062" w:rsidR="000927AF" w:rsidRPr="00F6284E" w:rsidRDefault="000927AF" w:rsidP="00230E14">
            <w:pPr>
              <w:jc w:val="right"/>
              <w:rPr>
                <w:rFonts w:ascii="Arial" w:hAnsi="Arial"/>
                <w:sz w:val="18"/>
              </w:rPr>
            </w:pPr>
            <w:r w:rsidRPr="00F6284E">
              <w:rPr>
                <w:sz w:val="18"/>
              </w:rPr>
              <w:t>18.611 ± 1.011</w:t>
            </w:r>
          </w:p>
        </w:tc>
        <w:tc>
          <w:tcPr>
            <w:tcW w:w="952" w:type="dxa"/>
            <w:vAlign w:val="center"/>
          </w:tcPr>
          <w:p w14:paraId="5D3EFA3F" w14:textId="443FA42B" w:rsidR="000927AF" w:rsidRPr="00F6284E" w:rsidRDefault="000927AF" w:rsidP="00230E14">
            <w:pPr>
              <w:jc w:val="right"/>
              <w:rPr>
                <w:rFonts w:ascii="Arial" w:hAnsi="Arial"/>
                <w:sz w:val="18"/>
              </w:rPr>
            </w:pPr>
            <w:r w:rsidRPr="00F6284E">
              <w:rPr>
                <w:sz w:val="18"/>
              </w:rPr>
              <w:t>18.010 ± 0.744</w:t>
            </w:r>
          </w:p>
        </w:tc>
      </w:tr>
      <w:tr w:rsidR="000927AF" w:rsidRPr="000927AF" w14:paraId="2A21ADB8" w14:textId="77777777" w:rsidTr="00F6284E">
        <w:trPr>
          <w:trHeight w:val="454"/>
          <w:jc w:val="center"/>
        </w:trPr>
        <w:tc>
          <w:tcPr>
            <w:tcW w:w="1143" w:type="dxa"/>
            <w:gridSpan w:val="2"/>
            <w:vAlign w:val="center"/>
          </w:tcPr>
          <w:p w14:paraId="7F2A5BBE" w14:textId="150EDC68" w:rsidR="000927AF" w:rsidRPr="000B3C14" w:rsidRDefault="000927AF" w:rsidP="00A111E9">
            <w:pPr>
              <w:rPr>
                <w:rFonts w:ascii="Arial" w:hAnsi="Arial"/>
                <w:sz w:val="18"/>
              </w:rPr>
            </w:pPr>
            <w:r w:rsidRPr="00D711DD">
              <w:rPr>
                <w:sz w:val="18"/>
              </w:rPr>
              <w:t>PND</w:t>
            </w:r>
            <w:r w:rsidR="00685591">
              <w:rPr>
                <w:sz w:val="18"/>
              </w:rPr>
              <w:t xml:space="preserve"> </w:t>
            </w:r>
            <w:r w:rsidRPr="00D711DD">
              <w:rPr>
                <w:sz w:val="18"/>
              </w:rPr>
              <w:t>72</w:t>
            </w:r>
          </w:p>
        </w:tc>
        <w:tc>
          <w:tcPr>
            <w:tcW w:w="951" w:type="dxa"/>
            <w:vAlign w:val="center"/>
          </w:tcPr>
          <w:p w14:paraId="170E8E99" w14:textId="77777777" w:rsidR="000927AF" w:rsidRPr="00F6284E" w:rsidRDefault="000927AF" w:rsidP="00230E14">
            <w:pPr>
              <w:jc w:val="right"/>
              <w:rPr>
                <w:rFonts w:ascii="Arial" w:hAnsi="Arial"/>
                <w:sz w:val="18"/>
              </w:rPr>
            </w:pPr>
            <w:r w:rsidRPr="00F6284E">
              <w:rPr>
                <w:sz w:val="18"/>
              </w:rPr>
              <w:t>&lt;LOQ</w:t>
            </w:r>
          </w:p>
        </w:tc>
        <w:tc>
          <w:tcPr>
            <w:tcW w:w="952" w:type="dxa"/>
            <w:gridSpan w:val="2"/>
            <w:vAlign w:val="center"/>
          </w:tcPr>
          <w:p w14:paraId="24813FC0" w14:textId="77777777" w:rsidR="000927AF" w:rsidRPr="00F6284E" w:rsidRDefault="000927AF" w:rsidP="00230E14">
            <w:pPr>
              <w:jc w:val="right"/>
              <w:rPr>
                <w:rFonts w:ascii="Arial" w:hAnsi="Arial"/>
                <w:sz w:val="18"/>
              </w:rPr>
            </w:pPr>
            <w:r w:rsidRPr="00F6284E">
              <w:rPr>
                <w:sz w:val="18"/>
              </w:rPr>
              <w:t>&lt;LOQ</w:t>
            </w:r>
          </w:p>
        </w:tc>
        <w:tc>
          <w:tcPr>
            <w:tcW w:w="951" w:type="dxa"/>
            <w:vAlign w:val="center"/>
          </w:tcPr>
          <w:p w14:paraId="0D777D1F" w14:textId="5889D1AC" w:rsidR="000927AF" w:rsidRPr="00F6284E" w:rsidRDefault="000927AF" w:rsidP="00230E14">
            <w:pPr>
              <w:jc w:val="right"/>
              <w:rPr>
                <w:rFonts w:ascii="Arial" w:hAnsi="Arial"/>
                <w:sz w:val="18"/>
              </w:rPr>
            </w:pPr>
            <w:r w:rsidRPr="00F6284E">
              <w:rPr>
                <w:sz w:val="18"/>
              </w:rPr>
              <w:t>0.042 ± 0.004</w:t>
            </w:r>
          </w:p>
        </w:tc>
        <w:tc>
          <w:tcPr>
            <w:tcW w:w="952" w:type="dxa"/>
            <w:gridSpan w:val="2"/>
            <w:vAlign w:val="center"/>
          </w:tcPr>
          <w:p w14:paraId="3C07D5F8" w14:textId="3A3D9B56" w:rsidR="000927AF" w:rsidRPr="00F6284E" w:rsidRDefault="000927AF" w:rsidP="00230E14">
            <w:pPr>
              <w:jc w:val="right"/>
              <w:rPr>
                <w:rFonts w:ascii="Arial" w:hAnsi="Arial"/>
                <w:sz w:val="18"/>
              </w:rPr>
            </w:pPr>
            <w:r w:rsidRPr="00F6284E">
              <w:rPr>
                <w:sz w:val="18"/>
              </w:rPr>
              <w:t>0.207± 0.042</w:t>
            </w:r>
          </w:p>
        </w:tc>
        <w:tc>
          <w:tcPr>
            <w:tcW w:w="951" w:type="dxa"/>
            <w:vAlign w:val="center"/>
          </w:tcPr>
          <w:p w14:paraId="13A85E6B" w14:textId="687D02A3" w:rsidR="000927AF" w:rsidRPr="00F6284E" w:rsidRDefault="000927AF" w:rsidP="00230E14">
            <w:pPr>
              <w:jc w:val="right"/>
              <w:rPr>
                <w:rFonts w:ascii="Arial" w:hAnsi="Arial"/>
                <w:sz w:val="18"/>
              </w:rPr>
            </w:pPr>
            <w:r w:rsidRPr="00F6284E">
              <w:rPr>
                <w:sz w:val="18"/>
              </w:rPr>
              <w:t>0.120 ± 0.009</w:t>
            </w:r>
          </w:p>
        </w:tc>
        <w:tc>
          <w:tcPr>
            <w:tcW w:w="952" w:type="dxa"/>
            <w:gridSpan w:val="2"/>
            <w:vAlign w:val="center"/>
          </w:tcPr>
          <w:p w14:paraId="3D3AE1BF" w14:textId="1EDB2399" w:rsidR="000927AF" w:rsidRPr="00F6284E" w:rsidRDefault="000927AF" w:rsidP="00230E14">
            <w:pPr>
              <w:jc w:val="right"/>
              <w:rPr>
                <w:rFonts w:ascii="Arial" w:hAnsi="Arial"/>
                <w:sz w:val="18"/>
              </w:rPr>
            </w:pPr>
            <w:r w:rsidRPr="00F6284E">
              <w:rPr>
                <w:sz w:val="18"/>
              </w:rPr>
              <w:t>0.556± 0.062</w:t>
            </w:r>
          </w:p>
        </w:tc>
        <w:tc>
          <w:tcPr>
            <w:tcW w:w="951" w:type="dxa"/>
            <w:vAlign w:val="center"/>
          </w:tcPr>
          <w:p w14:paraId="16F3430B" w14:textId="57F16C23" w:rsidR="000927AF" w:rsidRPr="00F6284E" w:rsidRDefault="000927AF" w:rsidP="00230E14">
            <w:pPr>
              <w:jc w:val="right"/>
              <w:rPr>
                <w:rFonts w:ascii="Arial" w:hAnsi="Arial"/>
                <w:sz w:val="18"/>
              </w:rPr>
            </w:pPr>
            <w:r w:rsidRPr="00F6284E">
              <w:rPr>
                <w:sz w:val="18"/>
              </w:rPr>
              <w:t>0.560 ± 0.105</w:t>
            </w:r>
          </w:p>
        </w:tc>
        <w:tc>
          <w:tcPr>
            <w:tcW w:w="952" w:type="dxa"/>
            <w:vAlign w:val="center"/>
          </w:tcPr>
          <w:p w14:paraId="0D5FAAA1" w14:textId="63CE6676" w:rsidR="000927AF" w:rsidRPr="00F6284E" w:rsidRDefault="000927AF" w:rsidP="00230E14">
            <w:pPr>
              <w:jc w:val="right"/>
              <w:rPr>
                <w:rFonts w:ascii="Arial" w:hAnsi="Arial"/>
                <w:sz w:val="18"/>
              </w:rPr>
            </w:pPr>
            <w:r w:rsidRPr="00F6284E">
              <w:rPr>
                <w:sz w:val="18"/>
              </w:rPr>
              <w:t>1.993 ± 0.293</w:t>
            </w:r>
          </w:p>
        </w:tc>
      </w:tr>
    </w:tbl>
    <w:p w14:paraId="69122D67" w14:textId="77777777" w:rsidR="000927AF" w:rsidRPr="00726D19" w:rsidRDefault="000927AF" w:rsidP="00A111E9">
      <w:pPr>
        <w:spacing w:before="120"/>
        <w:ind w:left="284"/>
        <w:rPr>
          <w:sz w:val="16"/>
          <w:szCs w:val="16"/>
        </w:rPr>
      </w:pPr>
      <w:r w:rsidRPr="00726D19">
        <w:rPr>
          <w:sz w:val="16"/>
          <w:szCs w:val="16"/>
        </w:rPr>
        <w:t>Blood sampling method not provided</w:t>
      </w:r>
    </w:p>
    <w:p w14:paraId="7964C625" w14:textId="77777777" w:rsidR="000927AF" w:rsidRPr="00726D19" w:rsidRDefault="000927AF" w:rsidP="00A111E9">
      <w:pPr>
        <w:ind w:left="284"/>
        <w:rPr>
          <w:sz w:val="16"/>
          <w:szCs w:val="16"/>
        </w:rPr>
      </w:pPr>
      <w:r w:rsidRPr="00726D19">
        <w:rPr>
          <w:sz w:val="16"/>
          <w:szCs w:val="16"/>
        </w:rPr>
        <w:t>GD Gestation Day</w:t>
      </w:r>
    </w:p>
    <w:p w14:paraId="2A1271B4" w14:textId="7925C883" w:rsidR="000927AF" w:rsidRPr="00726D19" w:rsidRDefault="000927AF" w:rsidP="00A111E9">
      <w:pPr>
        <w:ind w:left="284"/>
        <w:rPr>
          <w:sz w:val="16"/>
          <w:szCs w:val="16"/>
        </w:rPr>
      </w:pPr>
      <w:r w:rsidRPr="00726D19">
        <w:rPr>
          <w:sz w:val="16"/>
          <w:szCs w:val="16"/>
        </w:rPr>
        <w:t>PND Post</w:t>
      </w:r>
      <w:r w:rsidR="00795158" w:rsidRPr="00726D19">
        <w:rPr>
          <w:sz w:val="16"/>
          <w:szCs w:val="16"/>
        </w:rPr>
        <w:t>n</w:t>
      </w:r>
      <w:r w:rsidRPr="00726D19">
        <w:rPr>
          <w:sz w:val="16"/>
          <w:szCs w:val="16"/>
        </w:rPr>
        <w:t>atal Day</w:t>
      </w:r>
    </w:p>
    <w:p w14:paraId="20A0CE66" w14:textId="77777777" w:rsidR="000927AF" w:rsidRPr="00726D19" w:rsidRDefault="000927AF" w:rsidP="00A111E9">
      <w:pPr>
        <w:ind w:left="284"/>
        <w:rPr>
          <w:sz w:val="16"/>
          <w:szCs w:val="16"/>
        </w:rPr>
      </w:pPr>
      <w:r w:rsidRPr="00726D19">
        <w:rPr>
          <w:sz w:val="16"/>
          <w:szCs w:val="16"/>
        </w:rPr>
        <w:t>M male</w:t>
      </w:r>
    </w:p>
    <w:p w14:paraId="541AE7E2" w14:textId="77777777" w:rsidR="000927AF" w:rsidRPr="00726D19" w:rsidRDefault="000927AF" w:rsidP="00A111E9">
      <w:pPr>
        <w:ind w:left="284"/>
        <w:rPr>
          <w:sz w:val="16"/>
          <w:szCs w:val="16"/>
        </w:rPr>
      </w:pPr>
      <w:r w:rsidRPr="00726D19">
        <w:rPr>
          <w:sz w:val="16"/>
          <w:szCs w:val="16"/>
        </w:rPr>
        <w:t>F Female</w:t>
      </w:r>
    </w:p>
    <w:p w14:paraId="273EB839" w14:textId="781F110F" w:rsidR="000927AF" w:rsidRPr="00726D19" w:rsidRDefault="000927AF" w:rsidP="00A111E9">
      <w:pPr>
        <w:ind w:left="284"/>
        <w:rPr>
          <w:sz w:val="16"/>
          <w:szCs w:val="16"/>
        </w:rPr>
      </w:pPr>
      <w:r w:rsidRPr="00726D19">
        <w:rPr>
          <w:sz w:val="16"/>
          <w:szCs w:val="16"/>
          <w:vertAlign w:val="superscript"/>
        </w:rPr>
        <w:t>1</w:t>
      </w:r>
      <w:r w:rsidRPr="00726D19">
        <w:rPr>
          <w:sz w:val="16"/>
          <w:szCs w:val="16"/>
        </w:rPr>
        <w:t xml:space="preserve"> Dosed from GD</w:t>
      </w:r>
      <w:r w:rsidR="00685591">
        <w:rPr>
          <w:sz w:val="16"/>
          <w:szCs w:val="16"/>
        </w:rPr>
        <w:t xml:space="preserve"> </w:t>
      </w:r>
      <w:r w:rsidRPr="00726D19">
        <w:rPr>
          <w:sz w:val="16"/>
          <w:szCs w:val="16"/>
        </w:rPr>
        <w:t>0 to PND</w:t>
      </w:r>
      <w:r w:rsidR="00685591">
        <w:rPr>
          <w:sz w:val="16"/>
          <w:szCs w:val="16"/>
        </w:rPr>
        <w:t xml:space="preserve"> </w:t>
      </w:r>
      <w:r w:rsidRPr="00726D19">
        <w:rPr>
          <w:sz w:val="16"/>
          <w:szCs w:val="16"/>
        </w:rPr>
        <w:t>19 and sampled (terminal) at GD</w:t>
      </w:r>
      <w:r w:rsidR="00685591">
        <w:rPr>
          <w:sz w:val="16"/>
          <w:szCs w:val="16"/>
        </w:rPr>
        <w:t xml:space="preserve"> </w:t>
      </w:r>
      <w:r w:rsidRPr="00726D19">
        <w:rPr>
          <w:sz w:val="16"/>
          <w:szCs w:val="16"/>
        </w:rPr>
        <w:t>20</w:t>
      </w:r>
    </w:p>
    <w:p w14:paraId="2C2E247F" w14:textId="77777777" w:rsidR="000927AF" w:rsidRPr="00726D19" w:rsidRDefault="000927AF" w:rsidP="00A111E9">
      <w:pPr>
        <w:ind w:left="284"/>
        <w:rPr>
          <w:sz w:val="16"/>
          <w:szCs w:val="16"/>
        </w:rPr>
      </w:pPr>
      <w:r w:rsidRPr="00726D19">
        <w:rPr>
          <w:sz w:val="16"/>
          <w:szCs w:val="16"/>
          <w:vertAlign w:val="superscript"/>
        </w:rPr>
        <w:t xml:space="preserve">2 </w:t>
      </w:r>
      <w:r w:rsidRPr="00726D19">
        <w:rPr>
          <w:sz w:val="16"/>
          <w:szCs w:val="16"/>
        </w:rPr>
        <w:t>Samples pooled by litter</w:t>
      </w:r>
    </w:p>
    <w:p w14:paraId="013AE20D" w14:textId="1719E979" w:rsidR="000927AF" w:rsidRPr="00726D19" w:rsidRDefault="000927AF" w:rsidP="00A111E9">
      <w:pPr>
        <w:ind w:left="284"/>
        <w:rPr>
          <w:sz w:val="16"/>
          <w:szCs w:val="16"/>
        </w:rPr>
      </w:pPr>
      <w:r w:rsidRPr="00726D19">
        <w:rPr>
          <w:sz w:val="16"/>
          <w:szCs w:val="16"/>
        </w:rPr>
        <w:t>Data presented as mean ±</w:t>
      </w:r>
      <w:r w:rsidR="00656F89">
        <w:rPr>
          <w:sz w:val="16"/>
          <w:szCs w:val="16"/>
        </w:rPr>
        <w:t xml:space="preserve"> </w:t>
      </w:r>
      <w:r w:rsidRPr="00726D19">
        <w:rPr>
          <w:sz w:val="16"/>
          <w:szCs w:val="16"/>
        </w:rPr>
        <w:t>standard deviation</w:t>
      </w:r>
    </w:p>
    <w:p w14:paraId="4AFEABE4" w14:textId="6D0BD410" w:rsidR="000927AF" w:rsidRPr="00726D19" w:rsidRDefault="000927AF" w:rsidP="00A111E9">
      <w:pPr>
        <w:ind w:left="284"/>
        <w:rPr>
          <w:sz w:val="16"/>
          <w:szCs w:val="16"/>
        </w:rPr>
      </w:pPr>
      <w:r w:rsidRPr="00726D19">
        <w:rPr>
          <w:sz w:val="16"/>
          <w:szCs w:val="16"/>
        </w:rPr>
        <w:t>Sample size not provided in original paper table.</w:t>
      </w:r>
    </w:p>
    <w:p w14:paraId="27153940" w14:textId="7081549C" w:rsidR="000927AF" w:rsidRPr="00726D19" w:rsidRDefault="000927AF" w:rsidP="00A111E9">
      <w:pPr>
        <w:ind w:left="284"/>
        <w:rPr>
          <w:sz w:val="16"/>
          <w:szCs w:val="16"/>
          <w:lang w:bidi="ar-SA"/>
        </w:rPr>
      </w:pPr>
      <w:r w:rsidRPr="00726D19">
        <w:rPr>
          <w:sz w:val="16"/>
          <w:szCs w:val="16"/>
          <w:lang w:bidi="ar-SA"/>
        </w:rPr>
        <w:t xml:space="preserve">Values taken from Chang </w:t>
      </w:r>
      <w:r w:rsidR="00180A32" w:rsidRPr="00180A32">
        <w:rPr>
          <w:i/>
          <w:sz w:val="16"/>
          <w:szCs w:val="16"/>
          <w:lang w:bidi="ar-SA"/>
        </w:rPr>
        <w:t xml:space="preserve">et al. </w:t>
      </w:r>
      <w:r w:rsidRPr="00726D19">
        <w:rPr>
          <w:sz w:val="16"/>
          <w:szCs w:val="16"/>
          <w:lang w:bidi="ar-SA"/>
        </w:rPr>
        <w:t xml:space="preserve"> 2009 (companion paper to Butenhoff </w:t>
      </w:r>
      <w:r w:rsidR="00180A32" w:rsidRPr="00180A32">
        <w:rPr>
          <w:i/>
          <w:sz w:val="16"/>
          <w:szCs w:val="16"/>
          <w:lang w:bidi="ar-SA"/>
        </w:rPr>
        <w:t xml:space="preserve">et al. </w:t>
      </w:r>
      <w:r w:rsidRPr="00726D19">
        <w:rPr>
          <w:sz w:val="16"/>
          <w:szCs w:val="16"/>
          <w:lang w:bidi="ar-SA"/>
        </w:rPr>
        <w:t xml:space="preserve"> 2009)</w:t>
      </w:r>
    </w:p>
    <w:p w14:paraId="74420F02" w14:textId="77777777" w:rsidR="000927AF" w:rsidRDefault="000927AF" w:rsidP="00A111E9">
      <w:pPr>
        <w:rPr>
          <w:sz w:val="18"/>
          <w:lang w:bidi="ar-SA"/>
        </w:rPr>
      </w:pPr>
    </w:p>
    <w:p w14:paraId="2C13756D" w14:textId="3AF0B74E" w:rsidR="005E3DEB" w:rsidRDefault="005E3DEB" w:rsidP="00A111E9">
      <w:pPr>
        <w:rPr>
          <w:lang w:bidi="ar-SA"/>
        </w:rPr>
      </w:pPr>
      <w:r>
        <w:rPr>
          <w:lang w:bidi="ar-SA"/>
        </w:rPr>
        <w:t>Compared with controls, hepatic Cyp2b2 mRNA levels were increased (2.8-fold) in the dams administered 1 mg/kg bw/day on GD 20 and in their male pups on PND 21 (1.8-fold). Increased expression of Cyp4a1 and acyl CoA (ACoA) (2.1-fold and 1.5-fold respectively) and decreased Cyp7a1 (3.5-fold) was also seen in male pups in the high dose group on PND 21.These findings were taken to suggest induction of hepatic CAR as well as PPAR</w:t>
      </w:r>
      <w:r>
        <w:rPr>
          <w:rFonts w:cs="Arial"/>
          <w:lang w:bidi="ar-SA"/>
        </w:rPr>
        <w:t>α</w:t>
      </w:r>
      <w:r>
        <w:rPr>
          <w:lang w:bidi="ar-SA"/>
        </w:rPr>
        <w:t>. Transcripts with a potential relationship to thyroid status were unaffected in dams and offspring following maternal treatment with PFOS.</w:t>
      </w:r>
    </w:p>
    <w:p w14:paraId="2FEC1930" w14:textId="77777777" w:rsidR="006F41FB" w:rsidRDefault="006F41FB" w:rsidP="00112C61">
      <w:pPr>
        <w:pStyle w:val="Heading5"/>
      </w:pPr>
      <w:r>
        <w:t>Special toxicity studies</w:t>
      </w:r>
    </w:p>
    <w:p w14:paraId="056B65BD" w14:textId="0F8F259A" w:rsidR="002550C0" w:rsidRDefault="002550C0" w:rsidP="005F1486">
      <w:pPr>
        <w:pStyle w:val="Heading5"/>
      </w:pPr>
      <w:r w:rsidRPr="006F41FB">
        <w:t>Immunotoxicity</w:t>
      </w:r>
    </w:p>
    <w:p w14:paraId="6EC3CF03" w14:textId="7AB04DF3" w:rsidR="00AE21D0" w:rsidRDefault="00AE21D0" w:rsidP="00A111E9">
      <w:pPr>
        <w:rPr>
          <w:i/>
          <w:lang w:bidi="ar-SA"/>
        </w:rPr>
      </w:pPr>
    </w:p>
    <w:p w14:paraId="105E1FD7" w14:textId="5636186D" w:rsidR="00143E4A" w:rsidRDefault="004E475B" w:rsidP="00A111E9">
      <w:pPr>
        <w:rPr>
          <w:sz w:val="23"/>
          <w:szCs w:val="23"/>
        </w:rPr>
      </w:pPr>
      <w:r w:rsidRPr="004E475B">
        <w:rPr>
          <w:szCs w:val="22"/>
          <w:lang w:bidi="ar-SA"/>
        </w:rPr>
        <w:t xml:space="preserve">The US EPA </w:t>
      </w:r>
      <w:r>
        <w:rPr>
          <w:szCs w:val="22"/>
          <w:lang w:bidi="ar-SA"/>
        </w:rPr>
        <w:t>considered a number of immu</w:t>
      </w:r>
      <w:r w:rsidR="00104C8E">
        <w:rPr>
          <w:szCs w:val="22"/>
          <w:lang w:bidi="ar-SA"/>
        </w:rPr>
        <w:t>n</w:t>
      </w:r>
      <w:r>
        <w:rPr>
          <w:szCs w:val="22"/>
          <w:lang w:bidi="ar-SA"/>
        </w:rPr>
        <w:t xml:space="preserve">otoxicity studies with PFOS when considering the appropriate endpoints to be used in establishing a RfD. </w:t>
      </w:r>
      <w:r w:rsidR="005A63AB">
        <w:rPr>
          <w:szCs w:val="22"/>
          <w:lang w:bidi="ar-SA"/>
        </w:rPr>
        <w:t>It was noted that three of four studies in experimental animals found immune effects at the same dose that caused increased liver weights.</w:t>
      </w:r>
      <w:r w:rsidR="00143E4A">
        <w:rPr>
          <w:szCs w:val="22"/>
          <w:lang w:bidi="ar-SA"/>
        </w:rPr>
        <w:t xml:space="preserve"> </w:t>
      </w:r>
      <w:r w:rsidR="005A63AB">
        <w:rPr>
          <w:szCs w:val="22"/>
          <w:lang w:bidi="ar-SA"/>
        </w:rPr>
        <w:t xml:space="preserve">Effects at a very low dose were found in a 28 day study in mice (Peden-Adams </w:t>
      </w:r>
      <w:r w:rsidR="00180A32" w:rsidRPr="00180A32">
        <w:rPr>
          <w:i/>
          <w:szCs w:val="22"/>
          <w:lang w:bidi="ar-SA"/>
        </w:rPr>
        <w:t xml:space="preserve">et al. </w:t>
      </w:r>
      <w:r w:rsidR="00713213">
        <w:rPr>
          <w:szCs w:val="22"/>
          <w:lang w:bidi="ar-SA"/>
        </w:rPr>
        <w:t xml:space="preserve"> </w:t>
      </w:r>
      <w:r w:rsidR="005A63AB">
        <w:rPr>
          <w:szCs w:val="22"/>
          <w:lang w:bidi="ar-SA"/>
        </w:rPr>
        <w:t>2008) but these findings are not supported by a higher LOAEL and NOAEL in another study in which mice were exposed to PFOS for 60 days</w:t>
      </w:r>
      <w:r w:rsidR="00E461E9">
        <w:rPr>
          <w:szCs w:val="22"/>
          <w:lang w:bidi="ar-SA"/>
        </w:rPr>
        <w:t xml:space="preserve"> (Dong </w:t>
      </w:r>
      <w:r w:rsidR="00180A32" w:rsidRPr="00180A32">
        <w:rPr>
          <w:i/>
          <w:szCs w:val="22"/>
          <w:lang w:bidi="ar-SA"/>
        </w:rPr>
        <w:t xml:space="preserve">et al. </w:t>
      </w:r>
      <w:r w:rsidR="00F22DA6">
        <w:rPr>
          <w:szCs w:val="22"/>
          <w:lang w:bidi="ar-SA"/>
        </w:rPr>
        <w:t xml:space="preserve"> </w:t>
      </w:r>
      <w:r w:rsidR="00E461E9">
        <w:rPr>
          <w:szCs w:val="22"/>
          <w:lang w:bidi="ar-SA"/>
        </w:rPr>
        <w:t>2009)</w:t>
      </w:r>
      <w:r w:rsidR="005A63AB">
        <w:rPr>
          <w:szCs w:val="22"/>
          <w:lang w:bidi="ar-SA"/>
        </w:rPr>
        <w:t xml:space="preserve">. The US EPA concluded that </w:t>
      </w:r>
      <w:r w:rsidR="005A63AB">
        <w:rPr>
          <w:sz w:val="23"/>
          <w:szCs w:val="23"/>
        </w:rPr>
        <w:t>the</w:t>
      </w:r>
      <w:r>
        <w:rPr>
          <w:sz w:val="23"/>
          <w:szCs w:val="23"/>
        </w:rPr>
        <w:t xml:space="preserve"> lack of low</w:t>
      </w:r>
      <w:r w:rsidR="001012A5">
        <w:rPr>
          <w:sz w:val="23"/>
          <w:szCs w:val="23"/>
        </w:rPr>
        <w:t xml:space="preserve"> </w:t>
      </w:r>
      <w:r>
        <w:rPr>
          <w:sz w:val="23"/>
          <w:szCs w:val="23"/>
        </w:rPr>
        <w:t>dose confirmation of effects in animals for the short</w:t>
      </w:r>
      <w:r w:rsidR="00032CF6">
        <w:rPr>
          <w:sz w:val="23"/>
          <w:szCs w:val="23"/>
        </w:rPr>
        <w:t xml:space="preserve"> </w:t>
      </w:r>
      <w:r>
        <w:rPr>
          <w:sz w:val="23"/>
          <w:szCs w:val="23"/>
        </w:rPr>
        <w:t>duration study precludes the use of these immunotoxicity data in setting the RfD.</w:t>
      </w:r>
      <w:r w:rsidR="00AB5528">
        <w:rPr>
          <w:sz w:val="23"/>
          <w:szCs w:val="23"/>
        </w:rPr>
        <w:t xml:space="preserve"> The Swedish EPA established a DNEL for immunotoxicity based on the NOAEL from the study by Peden-Adams </w:t>
      </w:r>
      <w:r w:rsidR="00180A32" w:rsidRPr="00180A32">
        <w:rPr>
          <w:i/>
          <w:sz w:val="23"/>
          <w:szCs w:val="23"/>
        </w:rPr>
        <w:t xml:space="preserve">et al. </w:t>
      </w:r>
      <w:r w:rsidR="00713213">
        <w:rPr>
          <w:i/>
          <w:sz w:val="23"/>
          <w:szCs w:val="23"/>
        </w:rPr>
        <w:t xml:space="preserve"> </w:t>
      </w:r>
      <w:r w:rsidR="00FE384E" w:rsidRPr="00D711DD">
        <w:rPr>
          <w:sz w:val="23"/>
        </w:rPr>
        <w:t>2008</w:t>
      </w:r>
      <w:r w:rsidR="00AB5528">
        <w:rPr>
          <w:sz w:val="23"/>
          <w:szCs w:val="23"/>
        </w:rPr>
        <w:t xml:space="preserve">. </w:t>
      </w:r>
      <w:r w:rsidR="00CD6064">
        <w:rPr>
          <w:sz w:val="23"/>
          <w:szCs w:val="23"/>
        </w:rPr>
        <w:t xml:space="preserve">The studies by Peden-Adams </w:t>
      </w:r>
      <w:r w:rsidR="00180A32" w:rsidRPr="00180A32">
        <w:rPr>
          <w:i/>
          <w:sz w:val="23"/>
          <w:szCs w:val="23"/>
        </w:rPr>
        <w:t xml:space="preserve">et al. </w:t>
      </w:r>
      <w:r w:rsidR="00713213">
        <w:rPr>
          <w:sz w:val="23"/>
          <w:szCs w:val="23"/>
        </w:rPr>
        <w:t xml:space="preserve"> </w:t>
      </w:r>
      <w:r w:rsidR="00CD6064">
        <w:rPr>
          <w:sz w:val="23"/>
          <w:szCs w:val="23"/>
        </w:rPr>
        <w:t xml:space="preserve">and Dong </w:t>
      </w:r>
      <w:r w:rsidR="00180A32" w:rsidRPr="00180A32">
        <w:rPr>
          <w:i/>
          <w:sz w:val="23"/>
          <w:szCs w:val="23"/>
        </w:rPr>
        <w:t xml:space="preserve">et al. </w:t>
      </w:r>
      <w:r w:rsidR="00F22DA6">
        <w:rPr>
          <w:sz w:val="23"/>
          <w:szCs w:val="23"/>
        </w:rPr>
        <w:t xml:space="preserve"> </w:t>
      </w:r>
      <w:r w:rsidR="00CD6064">
        <w:rPr>
          <w:sz w:val="23"/>
          <w:szCs w:val="23"/>
        </w:rPr>
        <w:t>are summarised below</w:t>
      </w:r>
      <w:r w:rsidR="00F7630C">
        <w:rPr>
          <w:sz w:val="23"/>
          <w:szCs w:val="23"/>
        </w:rPr>
        <w:t>,</w:t>
      </w:r>
      <w:r w:rsidR="00E3637E">
        <w:rPr>
          <w:sz w:val="23"/>
          <w:szCs w:val="23"/>
        </w:rPr>
        <w:t xml:space="preserve"> and</w:t>
      </w:r>
      <w:r w:rsidR="00F7630C">
        <w:rPr>
          <w:sz w:val="23"/>
          <w:szCs w:val="23"/>
        </w:rPr>
        <w:t xml:space="preserve"> a more extensive review of the literature regarding potential immunomodulating effects of PFOS can be found in Drew and Hagan (2016)</w:t>
      </w:r>
      <w:r w:rsidR="00FE384E">
        <w:rPr>
          <w:sz w:val="23"/>
          <w:szCs w:val="23"/>
        </w:rPr>
        <w:t xml:space="preserve">. This review also concluded that there are </w:t>
      </w:r>
      <w:r w:rsidR="00FE384E" w:rsidRPr="00FE384E">
        <w:rPr>
          <w:sz w:val="23"/>
          <w:szCs w:val="23"/>
        </w:rPr>
        <w:t>marked differences between studies with respect to the exposures necessary to cause such effects, and the quantitative aspects of pivotal studies have not been confirmed in independent investigations</w:t>
      </w:r>
      <w:r w:rsidR="00FE384E">
        <w:rPr>
          <w:sz w:val="23"/>
          <w:szCs w:val="23"/>
        </w:rPr>
        <w:t xml:space="preserve">. As such, it was considered inappropriate for </w:t>
      </w:r>
      <w:r w:rsidR="00FE384E" w:rsidRPr="00FE384E">
        <w:rPr>
          <w:sz w:val="23"/>
          <w:szCs w:val="23"/>
        </w:rPr>
        <w:t>potential modulation of the immune system by PFOS to be quantitatively incorporated into human health risk assessments for PFOS exposure at this time</w:t>
      </w:r>
      <w:r w:rsidR="00FE384E">
        <w:rPr>
          <w:sz w:val="23"/>
          <w:szCs w:val="23"/>
        </w:rPr>
        <w:t>.</w:t>
      </w:r>
    </w:p>
    <w:p w14:paraId="2F02BC22" w14:textId="77777777" w:rsidR="00FE384E" w:rsidRDefault="00FE384E" w:rsidP="00A111E9">
      <w:pPr>
        <w:rPr>
          <w:sz w:val="23"/>
          <w:szCs w:val="23"/>
        </w:rPr>
      </w:pPr>
    </w:p>
    <w:p w14:paraId="47DC5CA2" w14:textId="77777777" w:rsidR="00A111E9" w:rsidRDefault="00A111E9" w:rsidP="00A111E9">
      <w:pPr>
        <w:widowControl/>
        <w:rPr>
          <w:b/>
          <w:szCs w:val="22"/>
          <w:lang w:bidi="ar-SA"/>
        </w:rPr>
      </w:pPr>
      <w:r>
        <w:rPr>
          <w:b/>
          <w:szCs w:val="22"/>
          <w:lang w:bidi="ar-SA"/>
        </w:rPr>
        <w:br w:type="page"/>
      </w:r>
    </w:p>
    <w:p w14:paraId="5B644CA4" w14:textId="54B7F59C" w:rsidR="008A5633" w:rsidRPr="007C1D88" w:rsidRDefault="008C6E12" w:rsidP="00A111E9">
      <w:pPr>
        <w:rPr>
          <w:b/>
          <w:sz w:val="20"/>
        </w:rPr>
      </w:pPr>
      <w:r>
        <w:rPr>
          <w:b/>
          <w:szCs w:val="22"/>
          <w:lang w:bidi="ar-SA"/>
        </w:rPr>
        <w:lastRenderedPageBreak/>
        <w:t xml:space="preserve">Peden-Adams </w:t>
      </w:r>
      <w:r w:rsidR="00180A32" w:rsidRPr="00180A32">
        <w:rPr>
          <w:b/>
          <w:i/>
          <w:szCs w:val="22"/>
          <w:lang w:bidi="ar-SA"/>
        </w:rPr>
        <w:t xml:space="preserve">et al. </w:t>
      </w:r>
      <w:r w:rsidR="00F22DA6">
        <w:rPr>
          <w:b/>
          <w:szCs w:val="22"/>
          <w:lang w:bidi="ar-SA"/>
        </w:rPr>
        <w:t xml:space="preserve"> </w:t>
      </w:r>
      <w:r>
        <w:rPr>
          <w:b/>
          <w:szCs w:val="22"/>
          <w:lang w:bidi="ar-SA"/>
        </w:rPr>
        <w:t xml:space="preserve">2008 </w:t>
      </w:r>
    </w:p>
    <w:p w14:paraId="0E468AE5" w14:textId="77777777" w:rsidR="008C6E12" w:rsidRDefault="008C6E12" w:rsidP="00A111E9">
      <w:pPr>
        <w:rPr>
          <w:b/>
          <w:szCs w:val="22"/>
          <w:lang w:bidi="ar-SA"/>
        </w:rPr>
      </w:pPr>
    </w:p>
    <w:p w14:paraId="557A7658" w14:textId="379960B7" w:rsidR="008C6E12" w:rsidRDefault="007B62F7" w:rsidP="00A111E9">
      <w:pPr>
        <w:rPr>
          <w:szCs w:val="22"/>
          <w:lang w:bidi="ar-SA"/>
        </w:rPr>
      </w:pPr>
      <w:r>
        <w:rPr>
          <w:szCs w:val="22"/>
          <w:lang w:bidi="ar-SA"/>
        </w:rPr>
        <w:t xml:space="preserve">Adult B6C3F1 mice (5/sex/group) were administered PFOS by oral gavage doses of 0.0, 0.000166, 0.00166, 0.0033, 0.0166, 0.033 and 0.166 mg/kg bw/day daily for 28 days (Peden-Adams </w:t>
      </w:r>
      <w:r w:rsidR="00180A32" w:rsidRPr="00180A32">
        <w:rPr>
          <w:i/>
          <w:szCs w:val="22"/>
          <w:lang w:bidi="ar-SA"/>
        </w:rPr>
        <w:t xml:space="preserve">et al. </w:t>
      </w:r>
      <w:r w:rsidR="00F22DA6">
        <w:rPr>
          <w:szCs w:val="22"/>
          <w:lang w:bidi="ar-SA"/>
        </w:rPr>
        <w:t xml:space="preserve"> </w:t>
      </w:r>
      <w:r>
        <w:rPr>
          <w:szCs w:val="22"/>
          <w:lang w:bidi="ar-SA"/>
        </w:rPr>
        <w:t xml:space="preserve">2008). </w:t>
      </w:r>
      <w:r w:rsidR="005A0F07">
        <w:rPr>
          <w:szCs w:val="22"/>
          <w:lang w:bidi="ar-SA"/>
        </w:rPr>
        <w:t>Five days prior to euthanasia</w:t>
      </w:r>
      <w:r w:rsidR="00742197">
        <w:rPr>
          <w:szCs w:val="22"/>
          <w:lang w:bidi="ar-SA"/>
        </w:rPr>
        <w:t>,</w:t>
      </w:r>
      <w:r w:rsidR="005A0F07">
        <w:rPr>
          <w:szCs w:val="22"/>
          <w:lang w:bidi="ar-SA"/>
        </w:rPr>
        <w:t xml:space="preserve"> mice were immunised with </w:t>
      </w:r>
      <w:r w:rsidR="00F7630C">
        <w:rPr>
          <w:szCs w:val="22"/>
          <w:lang w:bidi="ar-SA"/>
        </w:rPr>
        <w:t xml:space="preserve">a </w:t>
      </w:r>
      <w:r w:rsidR="005A0F07">
        <w:rPr>
          <w:szCs w:val="22"/>
          <w:lang w:bidi="ar-SA"/>
        </w:rPr>
        <w:t xml:space="preserve">25% </w:t>
      </w:r>
      <w:r w:rsidR="00742197">
        <w:rPr>
          <w:szCs w:val="22"/>
          <w:lang w:bidi="ar-SA"/>
        </w:rPr>
        <w:t>Sheep Red Blood Cell (SRBC) suspension via intraperitoneal injection. Serum samples were collected at the end of the study for analysis of lysozyme activity and PFOS concentrations. Spleen, thymus, liver, kidney, uterus and testis were collected and weighed following euthanasia, and sp</w:t>
      </w:r>
      <w:r w:rsidR="00F7630C">
        <w:rPr>
          <w:szCs w:val="22"/>
          <w:lang w:bidi="ar-SA"/>
        </w:rPr>
        <w:t>leen and thymus samples were pro</w:t>
      </w:r>
      <w:r w:rsidR="00742197">
        <w:rPr>
          <w:szCs w:val="22"/>
          <w:lang w:bidi="ar-SA"/>
        </w:rPr>
        <w:t>cessed into single cell suspensions for T</w:t>
      </w:r>
      <w:r w:rsidR="00032CF6">
        <w:rPr>
          <w:szCs w:val="22"/>
          <w:lang w:bidi="ar-SA"/>
        </w:rPr>
        <w:t xml:space="preserve"> </w:t>
      </w:r>
      <w:r w:rsidR="00742197">
        <w:rPr>
          <w:szCs w:val="22"/>
          <w:lang w:bidi="ar-SA"/>
        </w:rPr>
        <w:t>cell immunophenotype determinations and assessment of functional immune endpoints.</w:t>
      </w:r>
    </w:p>
    <w:p w14:paraId="2683387B" w14:textId="77777777" w:rsidR="00742197" w:rsidRDefault="00742197" w:rsidP="00A111E9">
      <w:pPr>
        <w:rPr>
          <w:szCs w:val="22"/>
          <w:lang w:bidi="ar-SA"/>
        </w:rPr>
      </w:pPr>
    </w:p>
    <w:p w14:paraId="5AC89F1E" w14:textId="6FA04322" w:rsidR="00742197" w:rsidRDefault="001E4F78" w:rsidP="00A111E9">
      <w:pPr>
        <w:rPr>
          <w:szCs w:val="22"/>
          <w:lang w:bidi="ar-SA"/>
        </w:rPr>
      </w:pPr>
      <w:r>
        <w:rPr>
          <w:szCs w:val="22"/>
          <w:lang w:bidi="ar-SA"/>
        </w:rPr>
        <w:t xml:space="preserve">No mortality or clinical signs of toxicity were observed in any of the test animals. Body weight, as well as spleen, thymus, liver, kidney, uterus and testis weights were not affected by treatment. Cellularity and cell viability of the spleen and thymus were also </w:t>
      </w:r>
      <w:r w:rsidR="00230509">
        <w:rPr>
          <w:szCs w:val="22"/>
          <w:lang w:bidi="ar-SA"/>
        </w:rPr>
        <w:t>not altered by PFOS treatment compared with controls.</w:t>
      </w:r>
    </w:p>
    <w:p w14:paraId="3E8179A0" w14:textId="256FF92C" w:rsidR="0051033C" w:rsidRDefault="0051033C" w:rsidP="00A111E9">
      <w:pPr>
        <w:rPr>
          <w:szCs w:val="22"/>
          <w:lang w:bidi="ar-SA"/>
        </w:rPr>
      </w:pPr>
    </w:p>
    <w:p w14:paraId="1B9E5D5A" w14:textId="49D46699" w:rsidR="0051033C" w:rsidRDefault="0051033C" w:rsidP="00A111E9">
      <w:pPr>
        <w:rPr>
          <w:szCs w:val="22"/>
          <w:lang w:bidi="ar-SA"/>
        </w:rPr>
      </w:pPr>
      <w:r>
        <w:rPr>
          <w:szCs w:val="22"/>
          <w:lang w:bidi="ar-SA"/>
        </w:rPr>
        <w:t xml:space="preserve">No differences in lymphocyte proliferation responses to T- and B-lymphocyte mitogens were seen in treated animals compared with controls. Natural Killer (NK) cell activity was not affected in females, but was increased 2- to 2.5-fold in males at 0.0166, 0.033 and 0.166 mg/kg bw/day compared with controls. </w:t>
      </w:r>
      <w:r w:rsidR="0030117E">
        <w:rPr>
          <w:szCs w:val="22"/>
          <w:lang w:bidi="ar-SA"/>
        </w:rPr>
        <w:t>Plasma lysozyme activity was not affected by PFOS exposure in male mice. In females, activity was increased over controls at 0.0033 and 0.166 mg/kg bw/day</w:t>
      </w:r>
      <w:r w:rsidR="008629E3">
        <w:rPr>
          <w:szCs w:val="22"/>
          <w:lang w:bidi="ar-SA"/>
        </w:rPr>
        <w:t xml:space="preserve"> with statistical significance</w:t>
      </w:r>
      <w:r w:rsidR="0030117E">
        <w:rPr>
          <w:szCs w:val="22"/>
          <w:lang w:bidi="ar-SA"/>
        </w:rPr>
        <w:t xml:space="preserve">, but a dose-response was not observed. </w:t>
      </w:r>
      <w:r w:rsidR="008629E3">
        <w:rPr>
          <w:szCs w:val="22"/>
          <w:lang w:bidi="ar-SA"/>
        </w:rPr>
        <w:t>Thymic T</w:t>
      </w:r>
      <w:r w:rsidR="00032CF6">
        <w:rPr>
          <w:szCs w:val="22"/>
          <w:lang w:bidi="ar-SA"/>
        </w:rPr>
        <w:t xml:space="preserve"> </w:t>
      </w:r>
      <w:r w:rsidR="008629E3">
        <w:rPr>
          <w:szCs w:val="22"/>
          <w:lang w:bidi="ar-SA"/>
        </w:rPr>
        <w:t>cell immunophenotypes were not affected by PFOS exposure in males, while in females minimal but statistically significant increases in numbers of thymic CD4+/CD8- cells were observed at 0.033 and 0.166 mg/kg bw/day. Splenic T</w:t>
      </w:r>
      <w:r w:rsidR="00032CF6">
        <w:rPr>
          <w:szCs w:val="22"/>
          <w:lang w:bidi="ar-SA"/>
        </w:rPr>
        <w:t xml:space="preserve"> </w:t>
      </w:r>
      <w:r w:rsidR="008629E3">
        <w:rPr>
          <w:szCs w:val="22"/>
          <w:lang w:bidi="ar-SA"/>
        </w:rPr>
        <w:t xml:space="preserve">cell immunophenotypes were significantly modulated in males at doses of </w:t>
      </w:r>
      <w:r w:rsidR="008629E3">
        <w:rPr>
          <w:rFonts w:cs="Arial"/>
          <w:szCs w:val="22"/>
          <w:lang w:bidi="ar-SA"/>
        </w:rPr>
        <w:t>≥</w:t>
      </w:r>
      <w:r w:rsidR="008629E3">
        <w:rPr>
          <w:szCs w:val="22"/>
          <w:lang w:bidi="ar-SA"/>
        </w:rPr>
        <w:t xml:space="preserve"> 0.033 mg/kg bw/day</w:t>
      </w:r>
      <w:r w:rsidR="00E223BC">
        <w:rPr>
          <w:szCs w:val="22"/>
          <w:lang w:bidi="ar-SA"/>
        </w:rPr>
        <w:t xml:space="preserve">, while in females slight alterations were observed at some doses, but </w:t>
      </w:r>
      <w:r w:rsidR="00D64FD2">
        <w:rPr>
          <w:szCs w:val="22"/>
          <w:lang w:bidi="ar-SA"/>
        </w:rPr>
        <w:t>without a clear dose</w:t>
      </w:r>
      <w:r w:rsidR="001012A5">
        <w:rPr>
          <w:szCs w:val="22"/>
          <w:lang w:bidi="ar-SA"/>
        </w:rPr>
        <w:t>-</w:t>
      </w:r>
      <w:r w:rsidR="00E223BC">
        <w:rPr>
          <w:szCs w:val="22"/>
          <w:lang w:bidi="ar-SA"/>
        </w:rPr>
        <w:t>response.</w:t>
      </w:r>
    </w:p>
    <w:p w14:paraId="2C5D98D3" w14:textId="5C8351D2" w:rsidR="008629E3" w:rsidRDefault="008629E3" w:rsidP="00A111E9">
      <w:pPr>
        <w:rPr>
          <w:szCs w:val="22"/>
          <w:lang w:bidi="ar-SA"/>
        </w:rPr>
      </w:pPr>
    </w:p>
    <w:p w14:paraId="29DE9EEA" w14:textId="6412E05B" w:rsidR="008629E3" w:rsidRDefault="00161F20" w:rsidP="00A111E9">
      <w:pPr>
        <w:rPr>
          <w:szCs w:val="22"/>
          <w:lang w:bidi="ar-SA"/>
        </w:rPr>
      </w:pPr>
      <w:r>
        <w:rPr>
          <w:szCs w:val="22"/>
          <w:lang w:bidi="ar-SA"/>
        </w:rPr>
        <w:t>SRBC-specific</w:t>
      </w:r>
      <w:r w:rsidR="000C7387">
        <w:rPr>
          <w:szCs w:val="22"/>
          <w:lang w:bidi="ar-SA"/>
        </w:rPr>
        <w:t xml:space="preserve"> immunoglobulin M</w:t>
      </w:r>
      <w:r>
        <w:rPr>
          <w:szCs w:val="22"/>
          <w:lang w:bidi="ar-SA"/>
        </w:rPr>
        <w:t xml:space="preserve"> </w:t>
      </w:r>
      <w:r w:rsidR="000C7387">
        <w:rPr>
          <w:szCs w:val="22"/>
          <w:lang w:bidi="ar-SA"/>
        </w:rPr>
        <w:t>(</w:t>
      </w:r>
      <w:r>
        <w:rPr>
          <w:szCs w:val="22"/>
          <w:lang w:bidi="ar-SA"/>
        </w:rPr>
        <w:t>IgM</w:t>
      </w:r>
      <w:r w:rsidR="000C7387">
        <w:rPr>
          <w:szCs w:val="22"/>
          <w:lang w:bidi="ar-SA"/>
        </w:rPr>
        <w:t>)</w:t>
      </w:r>
      <w:r>
        <w:rPr>
          <w:szCs w:val="22"/>
          <w:lang w:bidi="ar-SA"/>
        </w:rPr>
        <w:t xml:space="preserve"> </w:t>
      </w:r>
      <w:r w:rsidR="00EA4648">
        <w:rPr>
          <w:szCs w:val="22"/>
          <w:lang w:bidi="ar-SA"/>
        </w:rPr>
        <w:t>production</w:t>
      </w:r>
      <w:r>
        <w:rPr>
          <w:szCs w:val="22"/>
          <w:lang w:bidi="ar-SA"/>
        </w:rPr>
        <w:t>, measured by antibody plaque</w:t>
      </w:r>
      <w:r w:rsidR="00032CF6">
        <w:rPr>
          <w:szCs w:val="22"/>
          <w:lang w:bidi="ar-SA"/>
        </w:rPr>
        <w:t xml:space="preserve"> </w:t>
      </w:r>
      <w:r>
        <w:rPr>
          <w:szCs w:val="22"/>
          <w:lang w:bidi="ar-SA"/>
        </w:rPr>
        <w:t>forming cell (PFC) assay</w:t>
      </w:r>
      <w:r w:rsidR="00C3134E">
        <w:rPr>
          <w:szCs w:val="22"/>
          <w:lang w:bidi="ar-SA"/>
        </w:rPr>
        <w:t xml:space="preserve"> rather than direct IgM measurement</w:t>
      </w:r>
      <w:r>
        <w:rPr>
          <w:szCs w:val="22"/>
          <w:lang w:bidi="ar-SA"/>
        </w:rPr>
        <w:t xml:space="preserve">, was suppressed </w:t>
      </w:r>
      <w:r w:rsidR="00EA4648">
        <w:rPr>
          <w:szCs w:val="22"/>
          <w:lang w:bidi="ar-SA"/>
        </w:rPr>
        <w:t>in a dose</w:t>
      </w:r>
      <w:r w:rsidR="001012A5">
        <w:rPr>
          <w:szCs w:val="22"/>
          <w:lang w:bidi="ar-SA"/>
        </w:rPr>
        <w:t>-</w:t>
      </w:r>
      <w:r w:rsidR="00EA4648">
        <w:rPr>
          <w:szCs w:val="22"/>
          <w:lang w:bidi="ar-SA"/>
        </w:rPr>
        <w:t xml:space="preserve">dependent manner </w:t>
      </w:r>
      <w:r>
        <w:rPr>
          <w:szCs w:val="22"/>
          <w:lang w:bidi="ar-SA"/>
        </w:rPr>
        <w:t xml:space="preserve">in </w:t>
      </w:r>
      <w:r w:rsidR="00EA4648">
        <w:rPr>
          <w:szCs w:val="22"/>
          <w:lang w:bidi="ar-SA"/>
        </w:rPr>
        <w:t xml:space="preserve">both sexes following PFOS exposure, with males being more sensitive than females. A significant suppression of the SRBC PFC response was seen at doses </w:t>
      </w:r>
      <w:r w:rsidR="00EA4648">
        <w:rPr>
          <w:rFonts w:cs="Arial"/>
          <w:szCs w:val="22"/>
          <w:lang w:bidi="ar-SA"/>
        </w:rPr>
        <w:t>≥</w:t>
      </w:r>
      <w:r w:rsidR="00EA4648">
        <w:rPr>
          <w:szCs w:val="22"/>
          <w:lang w:bidi="ar-SA"/>
        </w:rPr>
        <w:t xml:space="preserve"> 0.00166 mg/kg bw/day in males and at doses </w:t>
      </w:r>
      <w:r w:rsidR="00EA4648">
        <w:rPr>
          <w:rFonts w:cs="Arial"/>
          <w:szCs w:val="22"/>
          <w:lang w:bidi="ar-SA"/>
        </w:rPr>
        <w:t>≥</w:t>
      </w:r>
      <w:r w:rsidR="00EA4648">
        <w:rPr>
          <w:szCs w:val="22"/>
          <w:lang w:bidi="ar-SA"/>
        </w:rPr>
        <w:t xml:space="preserve"> 0.0166 mg/kg bw/day in females. In males the response was decreased by 52 – 78% compared with controls, and in females by 50 – 74%. Because suppression of IgM production by a T</w:t>
      </w:r>
      <w:r w:rsidR="00032CF6">
        <w:rPr>
          <w:szCs w:val="22"/>
          <w:lang w:bidi="ar-SA"/>
        </w:rPr>
        <w:t xml:space="preserve"> </w:t>
      </w:r>
      <w:r w:rsidR="00EA4648">
        <w:rPr>
          <w:szCs w:val="22"/>
          <w:lang w:bidi="ar-SA"/>
        </w:rPr>
        <w:t xml:space="preserve">cell antigen such as SRBC can be mediated by effects on T- or B-cells, </w:t>
      </w:r>
      <w:r w:rsidR="008D542E">
        <w:rPr>
          <w:szCs w:val="22"/>
          <w:lang w:bidi="ar-SA"/>
        </w:rPr>
        <w:t xml:space="preserve">a further study involving challenge with a T-independent antigen, trinitrophenyl (TNP) lipopolysaccharide (LPS) conjugate was conducted in female mice exposed to 0.0 or 0.334 mg/kg bw/day for 21 days. TNP-LPS was administered via intravenous injection seven days prior to euthanasia. Serum levels of TNP-specific IgM were significantly lower (62% decrease) in PFOS exposed mice than controls. </w:t>
      </w:r>
      <w:r w:rsidR="00A2790E">
        <w:rPr>
          <w:szCs w:val="22"/>
          <w:lang w:bidi="ar-SA"/>
        </w:rPr>
        <w:t>These findings suggest that the humoral immune effects of PFOS may be attributed to B-cells rather than T-cells.</w:t>
      </w:r>
    </w:p>
    <w:p w14:paraId="16DD3CC6" w14:textId="77777777" w:rsidR="00A2790E" w:rsidRDefault="00A2790E" w:rsidP="00A111E9">
      <w:pPr>
        <w:rPr>
          <w:szCs w:val="22"/>
          <w:lang w:bidi="ar-SA"/>
        </w:rPr>
      </w:pPr>
    </w:p>
    <w:p w14:paraId="2361F0D5" w14:textId="6B31B124" w:rsidR="00A2790E" w:rsidRDefault="00A2790E" w:rsidP="00A111E9">
      <w:pPr>
        <w:rPr>
          <w:szCs w:val="22"/>
          <w:lang w:bidi="ar-SA"/>
        </w:rPr>
      </w:pPr>
      <w:r>
        <w:rPr>
          <w:szCs w:val="22"/>
          <w:lang w:bidi="ar-SA"/>
        </w:rPr>
        <w:t xml:space="preserve">The NOAEL in this study was 0.000166 mg/kg bw/day in males, based on suppression of </w:t>
      </w:r>
      <w:r w:rsidR="00B23E77">
        <w:rPr>
          <w:szCs w:val="22"/>
          <w:lang w:bidi="ar-SA"/>
        </w:rPr>
        <w:t xml:space="preserve">SRBC-specific </w:t>
      </w:r>
      <w:r>
        <w:rPr>
          <w:szCs w:val="22"/>
          <w:lang w:bidi="ar-SA"/>
        </w:rPr>
        <w:t xml:space="preserve">PFC response at the LOAEL of 0.00166 mg/kg bw/day. </w:t>
      </w:r>
      <w:r w:rsidR="00B80B30">
        <w:rPr>
          <w:szCs w:val="22"/>
          <w:lang w:bidi="ar-SA"/>
        </w:rPr>
        <w:t xml:space="preserve">In females, the NOAEL was 0.0033 mg/kg bw/day based on reduced PFC response at the LOAEL of 0.0166 mg/kg bw/day. </w:t>
      </w:r>
      <w:r w:rsidR="00B23E77">
        <w:rPr>
          <w:szCs w:val="22"/>
          <w:lang w:bidi="ar-SA"/>
        </w:rPr>
        <w:t xml:space="preserve">Serum PFOS concentrations at the NOAEL and LOAEL in males were 17.8 </w:t>
      </w:r>
      <w:r w:rsidR="00B23E77">
        <w:rPr>
          <w:rFonts w:cs="Arial"/>
          <w:szCs w:val="22"/>
          <w:lang w:bidi="ar-SA"/>
        </w:rPr>
        <w:t>±</w:t>
      </w:r>
      <w:r w:rsidR="00B23E77">
        <w:rPr>
          <w:szCs w:val="22"/>
          <w:lang w:bidi="ar-SA"/>
        </w:rPr>
        <w:t xml:space="preserve"> 4.24 and 91.5 </w:t>
      </w:r>
      <w:r w:rsidR="00B23E77">
        <w:rPr>
          <w:rFonts w:cs="Arial"/>
          <w:szCs w:val="22"/>
          <w:lang w:bidi="ar-SA"/>
        </w:rPr>
        <w:t>±</w:t>
      </w:r>
      <w:r w:rsidR="00B23E77">
        <w:rPr>
          <w:szCs w:val="22"/>
          <w:lang w:bidi="ar-SA"/>
        </w:rPr>
        <w:t xml:space="preserve"> 22.2 ng/g, respectively. In females, serum PFOS concentrations at the NOAEL and LOAEL were 123 </w:t>
      </w:r>
      <w:r w:rsidR="00B23E77">
        <w:rPr>
          <w:rFonts w:cs="Arial"/>
          <w:szCs w:val="22"/>
          <w:lang w:bidi="ar-SA"/>
        </w:rPr>
        <w:t>±</w:t>
      </w:r>
      <w:r w:rsidR="00B23E77">
        <w:rPr>
          <w:szCs w:val="22"/>
          <w:lang w:bidi="ar-SA"/>
        </w:rPr>
        <w:t xml:space="preserve"> 18.7 and 666 </w:t>
      </w:r>
      <w:r w:rsidR="00B23E77">
        <w:rPr>
          <w:rFonts w:cs="Arial"/>
          <w:szCs w:val="22"/>
          <w:lang w:bidi="ar-SA"/>
        </w:rPr>
        <w:t>±</w:t>
      </w:r>
      <w:r w:rsidR="00B23E77">
        <w:rPr>
          <w:szCs w:val="22"/>
          <w:lang w:bidi="ar-SA"/>
        </w:rPr>
        <w:t xml:space="preserve"> 108 ng/g, respectively.</w:t>
      </w:r>
    </w:p>
    <w:p w14:paraId="114D77A0" w14:textId="77777777" w:rsidR="00535C77" w:rsidRDefault="00535C77" w:rsidP="00A111E9">
      <w:pPr>
        <w:rPr>
          <w:szCs w:val="22"/>
          <w:lang w:bidi="ar-SA"/>
        </w:rPr>
      </w:pPr>
    </w:p>
    <w:p w14:paraId="46457AC4" w14:textId="5C3311ED" w:rsidR="00566EEC" w:rsidRPr="005F1486" w:rsidRDefault="00535C77" w:rsidP="005F1486">
      <w:pPr>
        <w:widowControl/>
        <w:rPr>
          <w:rFonts w:cs="Arial"/>
          <w:b/>
        </w:rPr>
      </w:pPr>
      <w:r>
        <w:rPr>
          <w:szCs w:val="22"/>
          <w:lang w:bidi="ar-SA"/>
        </w:rPr>
        <w:t>Serum PFOS concentrations measured in this study are shown in</w:t>
      </w:r>
      <w:r w:rsidR="005F1486">
        <w:rPr>
          <w:szCs w:val="22"/>
          <w:lang w:bidi="ar-SA"/>
        </w:rPr>
        <w:fldChar w:fldCharType="begin"/>
      </w:r>
      <w:r w:rsidR="005F1486">
        <w:rPr>
          <w:szCs w:val="22"/>
          <w:lang w:bidi="ar-SA"/>
        </w:rPr>
        <w:instrText xml:space="preserve"> REF _Ref467848328 \h </w:instrText>
      </w:r>
      <w:r w:rsidR="005F1486">
        <w:rPr>
          <w:szCs w:val="22"/>
          <w:lang w:bidi="ar-SA"/>
        </w:rPr>
      </w:r>
      <w:r w:rsidR="005F1486">
        <w:rPr>
          <w:szCs w:val="22"/>
          <w:lang w:bidi="ar-SA"/>
        </w:rPr>
        <w:fldChar w:fldCharType="separate"/>
      </w:r>
      <w:r w:rsidR="005F1486">
        <w:rPr>
          <w:rFonts w:cs="Arial"/>
          <w:b/>
        </w:rPr>
        <w:t xml:space="preserve"> </w:t>
      </w:r>
      <w:r w:rsidR="005F1486">
        <w:t xml:space="preserve">Table </w:t>
      </w:r>
      <w:r w:rsidR="005F1486">
        <w:rPr>
          <w:noProof/>
        </w:rPr>
        <w:t>13</w:t>
      </w:r>
      <w:r w:rsidR="005F1486">
        <w:rPr>
          <w:szCs w:val="22"/>
          <w:lang w:bidi="ar-SA"/>
        </w:rPr>
        <w:fldChar w:fldCharType="end"/>
      </w:r>
    </w:p>
    <w:p w14:paraId="39BEBAB3" w14:textId="722174BE" w:rsidR="005F1486" w:rsidRDefault="005F1486">
      <w:pPr>
        <w:widowControl/>
        <w:rPr>
          <w:rFonts w:cs="Arial"/>
          <w:b/>
        </w:rPr>
      </w:pPr>
      <w:bookmarkStart w:id="144" w:name="_Ref467848328"/>
      <w:r>
        <w:rPr>
          <w:rFonts w:cs="Arial"/>
          <w:b/>
        </w:rPr>
        <w:br w:type="page"/>
      </w:r>
    </w:p>
    <w:p w14:paraId="08888E9E" w14:textId="77777777" w:rsidR="00A111E9" w:rsidRDefault="00A111E9" w:rsidP="00A111E9">
      <w:pPr>
        <w:widowControl/>
        <w:rPr>
          <w:rFonts w:cs="Arial"/>
          <w:b/>
        </w:rPr>
      </w:pPr>
    </w:p>
    <w:p w14:paraId="778DF412" w14:textId="7517B8B8" w:rsidR="00726D19" w:rsidRPr="00726D19" w:rsidRDefault="00535C77" w:rsidP="00A111E9">
      <w:pPr>
        <w:pStyle w:val="FSTableTitle"/>
      </w:pPr>
      <w:r>
        <w:t xml:space="preserve">Table </w:t>
      </w:r>
      <w:r w:rsidR="00BC19E6">
        <w:fldChar w:fldCharType="begin"/>
      </w:r>
      <w:r w:rsidR="00BC19E6">
        <w:instrText xml:space="preserve"> SEQ Table \* ARABIC </w:instrText>
      </w:r>
      <w:r w:rsidR="00BC19E6">
        <w:fldChar w:fldCharType="separate"/>
      </w:r>
      <w:r w:rsidR="00F4394A">
        <w:rPr>
          <w:noProof/>
        </w:rPr>
        <w:t>13</w:t>
      </w:r>
      <w:r w:rsidR="00BC19E6">
        <w:rPr>
          <w:noProof/>
        </w:rPr>
        <w:fldChar w:fldCharType="end"/>
      </w:r>
      <w:bookmarkEnd w:id="144"/>
      <w:r w:rsidR="00BE256E">
        <w:rPr>
          <w:b w:val="0"/>
        </w:rPr>
        <w:t>:</w:t>
      </w:r>
      <w:r>
        <w:t xml:space="preserve"> Serum PFOS concentrations measured by Peden-Adams </w:t>
      </w:r>
      <w:r w:rsidR="00180A32" w:rsidRPr="00180A32">
        <w:rPr>
          <w:i/>
        </w:rPr>
        <w:t xml:space="preserve">et al. </w:t>
      </w:r>
      <w:r w:rsidR="00F22DA6">
        <w:t xml:space="preserve"> </w:t>
      </w:r>
      <w:r>
        <w:t>(2008)</w:t>
      </w:r>
    </w:p>
    <w:tbl>
      <w:tblPr>
        <w:tblStyle w:val="TableGrid"/>
        <w:tblW w:w="9291" w:type="dxa"/>
        <w:tblLayout w:type="fixed"/>
        <w:tblLook w:val="04A0" w:firstRow="1" w:lastRow="0" w:firstColumn="1" w:lastColumn="0" w:noHBand="0" w:noVBand="1"/>
        <w:tblCaption w:val="Table 13: Serum PFOS concentrations measured by Peden-Adams et al.  (2008)"/>
        <w:tblDescription w:val="This table contains data relating to serum levels of PFOS (ng/mL) in B6C3F1 mice after oral gavage for 28 days "/>
      </w:tblPr>
      <w:tblGrid>
        <w:gridCol w:w="852"/>
        <w:gridCol w:w="1205"/>
        <w:gridCol w:w="1206"/>
        <w:gridCol w:w="1205"/>
        <w:gridCol w:w="1204"/>
        <w:gridCol w:w="1205"/>
        <w:gridCol w:w="1205"/>
        <w:gridCol w:w="1209"/>
      </w:tblGrid>
      <w:tr w:rsidR="00566EEC" w:rsidRPr="00AA0B40" w14:paraId="3DA000F9" w14:textId="77777777" w:rsidTr="00A111E9">
        <w:trPr>
          <w:trHeight w:val="100"/>
          <w:tblHeader/>
        </w:trPr>
        <w:tc>
          <w:tcPr>
            <w:tcW w:w="9291" w:type="dxa"/>
            <w:gridSpan w:val="8"/>
            <w:shd w:val="clear" w:color="auto" w:fill="F2F2F2" w:themeFill="background1" w:themeFillShade="F2"/>
          </w:tcPr>
          <w:p w14:paraId="51016582" w14:textId="31E24D78" w:rsidR="00566EEC" w:rsidRDefault="00D60FEF" w:rsidP="00656F89">
            <w:pPr>
              <w:pStyle w:val="FSTableHeading"/>
              <w:spacing w:before="60" w:after="60"/>
              <w:jc w:val="left"/>
              <w:rPr>
                <w:lang w:bidi="ar-SA"/>
              </w:rPr>
            </w:pPr>
            <w:r>
              <w:rPr>
                <w:lang w:bidi="ar-SA"/>
              </w:rPr>
              <w:t xml:space="preserve">Serum </w:t>
            </w:r>
            <w:r w:rsidR="00656F89">
              <w:rPr>
                <w:lang w:bidi="ar-SA"/>
              </w:rPr>
              <w:t xml:space="preserve">levels </w:t>
            </w:r>
            <w:r>
              <w:rPr>
                <w:lang w:bidi="ar-SA"/>
              </w:rPr>
              <w:t>of PFOS (ng/mL</w:t>
            </w:r>
            <w:r w:rsidR="00566EEC">
              <w:rPr>
                <w:lang w:bidi="ar-SA"/>
              </w:rPr>
              <w:t xml:space="preserve">) in B6C3F1 </w:t>
            </w:r>
            <w:r w:rsidR="00656F89">
              <w:rPr>
                <w:lang w:bidi="ar-SA"/>
              </w:rPr>
              <w:t xml:space="preserve">mice </w:t>
            </w:r>
            <w:r w:rsidR="00566EEC">
              <w:rPr>
                <w:lang w:bidi="ar-SA"/>
              </w:rPr>
              <w:t xml:space="preserve">after </w:t>
            </w:r>
            <w:r w:rsidR="00656F89">
              <w:rPr>
                <w:lang w:bidi="ar-SA"/>
              </w:rPr>
              <w:t xml:space="preserve">oral gavage </w:t>
            </w:r>
            <w:r w:rsidR="00566EEC">
              <w:rPr>
                <w:lang w:bidi="ar-SA"/>
              </w:rPr>
              <w:t xml:space="preserve">for 28 days </w:t>
            </w:r>
          </w:p>
        </w:tc>
      </w:tr>
      <w:tr w:rsidR="0022586F" w:rsidRPr="00AA0B40" w14:paraId="7AC85424" w14:textId="77777777" w:rsidTr="00A111E9">
        <w:trPr>
          <w:trHeight w:val="100"/>
          <w:tblHeader/>
        </w:trPr>
        <w:tc>
          <w:tcPr>
            <w:tcW w:w="9291" w:type="dxa"/>
            <w:gridSpan w:val="8"/>
            <w:shd w:val="clear" w:color="auto" w:fill="F2F2F2" w:themeFill="background1" w:themeFillShade="F2"/>
          </w:tcPr>
          <w:p w14:paraId="6DEEBCA7" w14:textId="7CF85C26" w:rsidR="0022586F" w:rsidRPr="00F6284E" w:rsidRDefault="0022586F" w:rsidP="00A111E9">
            <w:pPr>
              <w:spacing w:before="20" w:after="20"/>
              <w:rPr>
                <w:rFonts w:ascii="Arial" w:hAnsi="Arial"/>
                <w:b/>
                <w:sz w:val="18"/>
                <w:vertAlign w:val="superscript"/>
              </w:rPr>
            </w:pPr>
            <w:r w:rsidRPr="00D711DD">
              <w:rPr>
                <w:b/>
                <w:sz w:val="18"/>
              </w:rPr>
              <w:t>Oral PFOS ion concentration (mg/kg bw/day)</w:t>
            </w:r>
            <w:r w:rsidRPr="000B3C14">
              <w:rPr>
                <w:b/>
                <w:sz w:val="18"/>
                <w:vertAlign w:val="superscript"/>
              </w:rPr>
              <w:t>1</w:t>
            </w:r>
          </w:p>
        </w:tc>
      </w:tr>
      <w:tr w:rsidR="00566EEC" w:rsidRPr="00AA0B40" w14:paraId="18B534BA" w14:textId="77777777" w:rsidTr="00A111E9">
        <w:trPr>
          <w:trHeight w:val="100"/>
          <w:tblHeader/>
        </w:trPr>
        <w:tc>
          <w:tcPr>
            <w:tcW w:w="851" w:type="dxa"/>
            <w:shd w:val="clear" w:color="auto" w:fill="F2F2F2" w:themeFill="background1" w:themeFillShade="F2"/>
          </w:tcPr>
          <w:p w14:paraId="7250E47B" w14:textId="77777777" w:rsidR="00566EEC" w:rsidRPr="00D711DD" w:rsidRDefault="00566EEC" w:rsidP="00230E14">
            <w:pPr>
              <w:spacing w:before="20" w:after="20"/>
              <w:jc w:val="right"/>
              <w:rPr>
                <w:rFonts w:ascii="Arial" w:hAnsi="Arial"/>
                <w:b/>
                <w:sz w:val="18"/>
              </w:rPr>
            </w:pPr>
          </w:p>
        </w:tc>
        <w:tc>
          <w:tcPr>
            <w:tcW w:w="1205" w:type="dxa"/>
            <w:shd w:val="clear" w:color="auto" w:fill="F2F2F2" w:themeFill="background1" w:themeFillShade="F2"/>
          </w:tcPr>
          <w:p w14:paraId="245A492F" w14:textId="77777777" w:rsidR="00566EEC" w:rsidRPr="00F6284E" w:rsidRDefault="00566EEC" w:rsidP="00230E14">
            <w:pPr>
              <w:spacing w:before="20" w:after="20"/>
              <w:jc w:val="right"/>
              <w:rPr>
                <w:rFonts w:ascii="Arial" w:hAnsi="Arial"/>
                <w:b/>
                <w:sz w:val="18"/>
              </w:rPr>
            </w:pPr>
            <w:r w:rsidRPr="000B3C14">
              <w:rPr>
                <w:b/>
                <w:sz w:val="18"/>
              </w:rPr>
              <w:t>0</w:t>
            </w:r>
          </w:p>
        </w:tc>
        <w:tc>
          <w:tcPr>
            <w:tcW w:w="1205" w:type="dxa"/>
            <w:shd w:val="clear" w:color="auto" w:fill="F2F2F2" w:themeFill="background1" w:themeFillShade="F2"/>
          </w:tcPr>
          <w:p w14:paraId="36B64559" w14:textId="77777777" w:rsidR="00566EEC" w:rsidRPr="00F6284E" w:rsidRDefault="00566EEC" w:rsidP="00230E14">
            <w:pPr>
              <w:spacing w:before="20" w:after="20"/>
              <w:jc w:val="right"/>
              <w:rPr>
                <w:rFonts w:ascii="Arial" w:hAnsi="Arial"/>
                <w:b/>
                <w:sz w:val="18"/>
              </w:rPr>
            </w:pPr>
            <w:r w:rsidRPr="00F6284E">
              <w:rPr>
                <w:b/>
                <w:sz w:val="18"/>
              </w:rPr>
              <w:t>0.000166</w:t>
            </w:r>
          </w:p>
        </w:tc>
        <w:tc>
          <w:tcPr>
            <w:tcW w:w="1205" w:type="dxa"/>
            <w:shd w:val="clear" w:color="auto" w:fill="F2F2F2" w:themeFill="background1" w:themeFillShade="F2"/>
          </w:tcPr>
          <w:p w14:paraId="098F46CB" w14:textId="77777777" w:rsidR="00566EEC" w:rsidRPr="00F6284E" w:rsidRDefault="00566EEC" w:rsidP="00230E14">
            <w:pPr>
              <w:spacing w:before="20" w:after="20"/>
              <w:jc w:val="right"/>
              <w:rPr>
                <w:rFonts w:ascii="Arial" w:hAnsi="Arial"/>
                <w:b/>
                <w:sz w:val="18"/>
              </w:rPr>
            </w:pPr>
            <w:r w:rsidRPr="00F6284E">
              <w:rPr>
                <w:b/>
                <w:sz w:val="18"/>
              </w:rPr>
              <w:t>0.00166</w:t>
            </w:r>
          </w:p>
        </w:tc>
        <w:tc>
          <w:tcPr>
            <w:tcW w:w="1205" w:type="dxa"/>
            <w:shd w:val="clear" w:color="auto" w:fill="F2F2F2" w:themeFill="background1" w:themeFillShade="F2"/>
          </w:tcPr>
          <w:p w14:paraId="589B9CF5" w14:textId="77777777" w:rsidR="00566EEC" w:rsidRPr="00F6284E" w:rsidRDefault="00566EEC" w:rsidP="00230E14">
            <w:pPr>
              <w:spacing w:before="20" w:after="20"/>
              <w:jc w:val="right"/>
              <w:rPr>
                <w:rFonts w:ascii="Arial" w:hAnsi="Arial"/>
                <w:b/>
                <w:sz w:val="18"/>
              </w:rPr>
            </w:pPr>
            <w:r w:rsidRPr="00F6284E">
              <w:rPr>
                <w:b/>
                <w:sz w:val="18"/>
              </w:rPr>
              <w:t>0.00331</w:t>
            </w:r>
          </w:p>
        </w:tc>
        <w:tc>
          <w:tcPr>
            <w:tcW w:w="1205" w:type="dxa"/>
            <w:shd w:val="clear" w:color="auto" w:fill="F2F2F2" w:themeFill="background1" w:themeFillShade="F2"/>
          </w:tcPr>
          <w:p w14:paraId="64E13A38" w14:textId="77777777" w:rsidR="00566EEC" w:rsidRPr="00F6284E" w:rsidRDefault="00566EEC" w:rsidP="00230E14">
            <w:pPr>
              <w:spacing w:before="20" w:after="20"/>
              <w:jc w:val="right"/>
              <w:rPr>
                <w:rFonts w:ascii="Arial" w:hAnsi="Arial"/>
                <w:b/>
                <w:sz w:val="18"/>
              </w:rPr>
            </w:pPr>
            <w:r w:rsidRPr="00F6284E">
              <w:rPr>
                <w:b/>
                <w:sz w:val="18"/>
              </w:rPr>
              <w:t>0.0166</w:t>
            </w:r>
          </w:p>
        </w:tc>
        <w:tc>
          <w:tcPr>
            <w:tcW w:w="1205" w:type="dxa"/>
            <w:shd w:val="clear" w:color="auto" w:fill="F2F2F2" w:themeFill="background1" w:themeFillShade="F2"/>
          </w:tcPr>
          <w:p w14:paraId="2F8360AB" w14:textId="77777777" w:rsidR="00566EEC" w:rsidRPr="00F6284E" w:rsidRDefault="00566EEC" w:rsidP="00230E14">
            <w:pPr>
              <w:spacing w:before="20" w:after="20"/>
              <w:jc w:val="right"/>
              <w:rPr>
                <w:rFonts w:ascii="Arial" w:hAnsi="Arial"/>
                <w:b/>
                <w:sz w:val="18"/>
              </w:rPr>
            </w:pPr>
            <w:r w:rsidRPr="00F6284E">
              <w:rPr>
                <w:b/>
                <w:sz w:val="18"/>
              </w:rPr>
              <w:t>0.0331</w:t>
            </w:r>
          </w:p>
        </w:tc>
        <w:tc>
          <w:tcPr>
            <w:tcW w:w="1210" w:type="dxa"/>
            <w:shd w:val="clear" w:color="auto" w:fill="F2F2F2" w:themeFill="background1" w:themeFillShade="F2"/>
          </w:tcPr>
          <w:p w14:paraId="5E20504B" w14:textId="77777777" w:rsidR="00566EEC" w:rsidRPr="00F6284E" w:rsidRDefault="00566EEC" w:rsidP="00230E14">
            <w:pPr>
              <w:spacing w:before="20" w:after="20"/>
              <w:jc w:val="right"/>
              <w:rPr>
                <w:rFonts w:ascii="Arial" w:hAnsi="Arial"/>
                <w:b/>
                <w:sz w:val="18"/>
              </w:rPr>
            </w:pPr>
            <w:r w:rsidRPr="00F6284E">
              <w:rPr>
                <w:b/>
                <w:sz w:val="18"/>
              </w:rPr>
              <w:t>0.166</w:t>
            </w:r>
          </w:p>
        </w:tc>
      </w:tr>
      <w:tr w:rsidR="0022586F" w:rsidRPr="00AA0B40" w14:paraId="6FA33401" w14:textId="77777777" w:rsidTr="00A111E9">
        <w:trPr>
          <w:trHeight w:val="100"/>
          <w:tblHeader/>
        </w:trPr>
        <w:tc>
          <w:tcPr>
            <w:tcW w:w="9291" w:type="dxa"/>
            <w:gridSpan w:val="8"/>
            <w:shd w:val="clear" w:color="auto" w:fill="F2F2F2" w:themeFill="background1" w:themeFillShade="F2"/>
          </w:tcPr>
          <w:p w14:paraId="7764C33F" w14:textId="11956703" w:rsidR="0022586F" w:rsidRPr="00F6284E" w:rsidRDefault="0022586F" w:rsidP="00A111E9">
            <w:pPr>
              <w:spacing w:before="20" w:after="20"/>
              <w:rPr>
                <w:rFonts w:ascii="Arial" w:hAnsi="Arial"/>
                <w:b/>
                <w:sz w:val="18"/>
              </w:rPr>
            </w:pPr>
            <w:r w:rsidRPr="00D711DD">
              <w:rPr>
                <w:b/>
                <w:sz w:val="18"/>
              </w:rPr>
              <w:t>Oral PFOS ion concentration (mg/kg TAD</w:t>
            </w:r>
            <w:r w:rsidRPr="000B3C14">
              <w:rPr>
                <w:b/>
                <w:sz w:val="18"/>
                <w:vertAlign w:val="superscript"/>
              </w:rPr>
              <w:t>2</w:t>
            </w:r>
            <w:r w:rsidRPr="00F6284E">
              <w:rPr>
                <w:b/>
                <w:sz w:val="18"/>
              </w:rPr>
              <w:t>)</w:t>
            </w:r>
          </w:p>
        </w:tc>
      </w:tr>
      <w:tr w:rsidR="00566EEC" w:rsidRPr="00AA0B40" w14:paraId="4635B338" w14:textId="77777777" w:rsidTr="00A111E9">
        <w:trPr>
          <w:trHeight w:val="100"/>
          <w:tblHeader/>
        </w:trPr>
        <w:tc>
          <w:tcPr>
            <w:tcW w:w="851" w:type="dxa"/>
            <w:shd w:val="clear" w:color="auto" w:fill="F2F2F2" w:themeFill="background1" w:themeFillShade="F2"/>
          </w:tcPr>
          <w:p w14:paraId="630F0EC2" w14:textId="77777777" w:rsidR="00566EEC" w:rsidRPr="00D711DD" w:rsidRDefault="00566EEC" w:rsidP="00230E14">
            <w:pPr>
              <w:spacing w:before="20" w:after="20"/>
              <w:jc w:val="right"/>
              <w:rPr>
                <w:rFonts w:ascii="Arial" w:hAnsi="Arial"/>
                <w:b/>
                <w:sz w:val="18"/>
              </w:rPr>
            </w:pPr>
          </w:p>
        </w:tc>
        <w:tc>
          <w:tcPr>
            <w:tcW w:w="1205" w:type="dxa"/>
            <w:shd w:val="clear" w:color="auto" w:fill="F2F2F2" w:themeFill="background1" w:themeFillShade="F2"/>
          </w:tcPr>
          <w:p w14:paraId="53B6272E" w14:textId="77777777" w:rsidR="00566EEC" w:rsidRPr="00F6284E" w:rsidRDefault="00566EEC" w:rsidP="00230E14">
            <w:pPr>
              <w:spacing w:before="20" w:after="20"/>
              <w:jc w:val="right"/>
              <w:rPr>
                <w:rFonts w:ascii="Arial" w:hAnsi="Arial"/>
                <w:b/>
                <w:sz w:val="18"/>
              </w:rPr>
            </w:pPr>
            <w:r w:rsidRPr="000B3C14">
              <w:rPr>
                <w:b/>
                <w:sz w:val="18"/>
              </w:rPr>
              <w:t>0</w:t>
            </w:r>
          </w:p>
        </w:tc>
        <w:tc>
          <w:tcPr>
            <w:tcW w:w="1205" w:type="dxa"/>
            <w:shd w:val="clear" w:color="auto" w:fill="F2F2F2" w:themeFill="background1" w:themeFillShade="F2"/>
          </w:tcPr>
          <w:p w14:paraId="0E09EF79" w14:textId="77777777" w:rsidR="00566EEC" w:rsidRPr="00F6284E" w:rsidRDefault="00566EEC" w:rsidP="00230E14">
            <w:pPr>
              <w:spacing w:before="20" w:after="20"/>
              <w:jc w:val="right"/>
              <w:rPr>
                <w:rFonts w:ascii="Arial" w:hAnsi="Arial"/>
                <w:b/>
                <w:sz w:val="18"/>
              </w:rPr>
            </w:pPr>
            <w:r w:rsidRPr="00F6284E">
              <w:rPr>
                <w:b/>
                <w:sz w:val="18"/>
              </w:rPr>
              <w:t>0.00464</w:t>
            </w:r>
          </w:p>
        </w:tc>
        <w:tc>
          <w:tcPr>
            <w:tcW w:w="1205" w:type="dxa"/>
            <w:shd w:val="clear" w:color="auto" w:fill="F2F2F2" w:themeFill="background1" w:themeFillShade="F2"/>
          </w:tcPr>
          <w:p w14:paraId="2E34ADAE" w14:textId="77777777" w:rsidR="00566EEC" w:rsidRPr="00F6284E" w:rsidRDefault="00566EEC" w:rsidP="00230E14">
            <w:pPr>
              <w:spacing w:before="20" w:after="20"/>
              <w:jc w:val="right"/>
              <w:rPr>
                <w:rFonts w:ascii="Arial" w:hAnsi="Arial"/>
                <w:b/>
                <w:sz w:val="18"/>
              </w:rPr>
            </w:pPr>
            <w:r w:rsidRPr="00F6284E">
              <w:rPr>
                <w:b/>
                <w:sz w:val="18"/>
              </w:rPr>
              <w:t>0.0464</w:t>
            </w:r>
          </w:p>
        </w:tc>
        <w:tc>
          <w:tcPr>
            <w:tcW w:w="1205" w:type="dxa"/>
            <w:shd w:val="clear" w:color="auto" w:fill="F2F2F2" w:themeFill="background1" w:themeFillShade="F2"/>
          </w:tcPr>
          <w:p w14:paraId="35F7B2F2" w14:textId="77777777" w:rsidR="00566EEC" w:rsidRPr="00F6284E" w:rsidRDefault="00566EEC" w:rsidP="00230E14">
            <w:pPr>
              <w:spacing w:before="20" w:after="20"/>
              <w:jc w:val="right"/>
              <w:rPr>
                <w:rFonts w:ascii="Arial" w:hAnsi="Arial"/>
                <w:b/>
                <w:sz w:val="18"/>
              </w:rPr>
            </w:pPr>
            <w:r w:rsidRPr="00F6284E">
              <w:rPr>
                <w:b/>
                <w:sz w:val="18"/>
              </w:rPr>
              <w:t>0.0927</w:t>
            </w:r>
          </w:p>
        </w:tc>
        <w:tc>
          <w:tcPr>
            <w:tcW w:w="1205" w:type="dxa"/>
            <w:shd w:val="clear" w:color="auto" w:fill="F2F2F2" w:themeFill="background1" w:themeFillShade="F2"/>
          </w:tcPr>
          <w:p w14:paraId="7A98B35F" w14:textId="77777777" w:rsidR="00566EEC" w:rsidRPr="00F6284E" w:rsidRDefault="00566EEC" w:rsidP="00230E14">
            <w:pPr>
              <w:spacing w:before="20" w:after="20"/>
              <w:jc w:val="right"/>
              <w:rPr>
                <w:rFonts w:ascii="Arial" w:hAnsi="Arial"/>
                <w:b/>
                <w:sz w:val="18"/>
              </w:rPr>
            </w:pPr>
            <w:r w:rsidRPr="00F6284E">
              <w:rPr>
                <w:b/>
                <w:sz w:val="18"/>
              </w:rPr>
              <w:t>0.464</w:t>
            </w:r>
          </w:p>
        </w:tc>
        <w:tc>
          <w:tcPr>
            <w:tcW w:w="1205" w:type="dxa"/>
            <w:shd w:val="clear" w:color="auto" w:fill="F2F2F2" w:themeFill="background1" w:themeFillShade="F2"/>
          </w:tcPr>
          <w:p w14:paraId="4F262BF6" w14:textId="77777777" w:rsidR="00566EEC" w:rsidRPr="00F6284E" w:rsidRDefault="00566EEC" w:rsidP="00230E14">
            <w:pPr>
              <w:spacing w:before="20" w:after="20"/>
              <w:jc w:val="right"/>
              <w:rPr>
                <w:rFonts w:ascii="Arial" w:hAnsi="Arial"/>
                <w:b/>
                <w:sz w:val="18"/>
              </w:rPr>
            </w:pPr>
            <w:r w:rsidRPr="00F6284E">
              <w:rPr>
                <w:b/>
                <w:sz w:val="18"/>
              </w:rPr>
              <w:t>0.927</w:t>
            </w:r>
          </w:p>
        </w:tc>
        <w:tc>
          <w:tcPr>
            <w:tcW w:w="1210" w:type="dxa"/>
            <w:shd w:val="clear" w:color="auto" w:fill="F2F2F2" w:themeFill="background1" w:themeFillShade="F2"/>
          </w:tcPr>
          <w:p w14:paraId="06715E27" w14:textId="77777777" w:rsidR="00566EEC" w:rsidRPr="00F6284E" w:rsidRDefault="00566EEC" w:rsidP="00230E14">
            <w:pPr>
              <w:spacing w:before="20" w:after="20"/>
              <w:jc w:val="right"/>
              <w:rPr>
                <w:rFonts w:ascii="Arial" w:hAnsi="Arial"/>
                <w:b/>
                <w:sz w:val="18"/>
              </w:rPr>
            </w:pPr>
            <w:r w:rsidRPr="00F6284E">
              <w:rPr>
                <w:b/>
                <w:sz w:val="18"/>
              </w:rPr>
              <w:t>4.64</w:t>
            </w:r>
          </w:p>
        </w:tc>
      </w:tr>
      <w:tr w:rsidR="00751CBD" w14:paraId="14443015" w14:textId="77777777" w:rsidTr="00F6284E">
        <w:trPr>
          <w:trHeight w:val="283"/>
        </w:trPr>
        <w:tc>
          <w:tcPr>
            <w:tcW w:w="9291" w:type="dxa"/>
            <w:gridSpan w:val="8"/>
            <w:shd w:val="clear" w:color="auto" w:fill="F2F2F2" w:themeFill="background1" w:themeFillShade="F2"/>
            <w:vAlign w:val="center"/>
          </w:tcPr>
          <w:p w14:paraId="69058820" w14:textId="0EA084EF" w:rsidR="00751CBD" w:rsidRPr="000B3C14" w:rsidRDefault="00751CBD" w:rsidP="00A111E9">
            <w:pPr>
              <w:rPr>
                <w:rFonts w:ascii="Arial" w:hAnsi="Arial"/>
                <w:sz w:val="18"/>
              </w:rPr>
            </w:pPr>
            <w:r w:rsidRPr="00D711DD">
              <w:rPr>
                <w:sz w:val="18"/>
              </w:rPr>
              <w:t>Day 29 – Termination</w:t>
            </w:r>
          </w:p>
        </w:tc>
      </w:tr>
      <w:tr w:rsidR="00566EEC" w14:paraId="13A7667C" w14:textId="77777777" w:rsidTr="00F6284E">
        <w:trPr>
          <w:trHeight w:val="149"/>
        </w:trPr>
        <w:tc>
          <w:tcPr>
            <w:tcW w:w="851" w:type="dxa"/>
            <w:vAlign w:val="center"/>
          </w:tcPr>
          <w:p w14:paraId="16F56428" w14:textId="77777777" w:rsidR="00566EEC" w:rsidRPr="000B3C14" w:rsidRDefault="00566EEC" w:rsidP="00A111E9">
            <w:pPr>
              <w:rPr>
                <w:rFonts w:ascii="Arial" w:hAnsi="Arial"/>
                <w:sz w:val="18"/>
                <w:vertAlign w:val="superscript"/>
              </w:rPr>
            </w:pPr>
            <w:r w:rsidRPr="00D711DD">
              <w:rPr>
                <w:sz w:val="18"/>
              </w:rPr>
              <w:t>Male</w:t>
            </w:r>
          </w:p>
        </w:tc>
        <w:tc>
          <w:tcPr>
            <w:tcW w:w="1205" w:type="dxa"/>
            <w:vAlign w:val="center"/>
          </w:tcPr>
          <w:p w14:paraId="5F1013CB" w14:textId="77777777" w:rsidR="00566EEC" w:rsidRPr="000B3C14" w:rsidRDefault="00566EEC" w:rsidP="00230E14">
            <w:pPr>
              <w:jc w:val="right"/>
              <w:rPr>
                <w:rFonts w:ascii="Arial" w:hAnsi="Arial"/>
                <w:sz w:val="18"/>
              </w:rPr>
            </w:pPr>
            <w:r w:rsidRPr="00512F95">
              <w:rPr>
                <w:sz w:val="18"/>
              </w:rPr>
              <w:t>12.1</w:t>
            </w:r>
            <w:r w:rsidRPr="00D711DD">
              <w:rPr>
                <w:sz w:val="18"/>
              </w:rPr>
              <w:t>±4.64 (5)</w:t>
            </w:r>
          </w:p>
        </w:tc>
        <w:tc>
          <w:tcPr>
            <w:tcW w:w="1206" w:type="dxa"/>
            <w:vAlign w:val="center"/>
          </w:tcPr>
          <w:p w14:paraId="06D4349B" w14:textId="77777777" w:rsidR="00566EEC" w:rsidRPr="000B3C14" w:rsidRDefault="00566EEC" w:rsidP="00230E14">
            <w:pPr>
              <w:jc w:val="right"/>
              <w:rPr>
                <w:rFonts w:ascii="Arial" w:hAnsi="Arial"/>
                <w:sz w:val="18"/>
              </w:rPr>
            </w:pPr>
            <w:r w:rsidRPr="00512F95">
              <w:rPr>
                <w:sz w:val="18"/>
              </w:rPr>
              <w:t>17.8</w:t>
            </w:r>
            <w:r w:rsidRPr="00D711DD">
              <w:rPr>
                <w:sz w:val="18"/>
              </w:rPr>
              <w:t>±4.24 (5)</w:t>
            </w:r>
          </w:p>
        </w:tc>
        <w:tc>
          <w:tcPr>
            <w:tcW w:w="1206" w:type="dxa"/>
            <w:vAlign w:val="center"/>
          </w:tcPr>
          <w:p w14:paraId="20AE8EF3" w14:textId="302FDF6B" w:rsidR="00566EEC" w:rsidRPr="00D711DD" w:rsidRDefault="00566EEC" w:rsidP="00230E14">
            <w:pPr>
              <w:jc w:val="right"/>
              <w:rPr>
                <w:rFonts w:ascii="Arial" w:hAnsi="Arial"/>
                <w:sz w:val="18"/>
              </w:rPr>
            </w:pPr>
            <w:r w:rsidRPr="00512F95">
              <w:rPr>
                <w:sz w:val="18"/>
              </w:rPr>
              <w:t>91.5</w:t>
            </w:r>
            <w:r w:rsidRPr="00D711DD">
              <w:rPr>
                <w:sz w:val="18"/>
              </w:rPr>
              <w:t>±22.1</w:t>
            </w:r>
            <w:r w:rsidR="00751CBD" w:rsidRPr="000B3C14">
              <w:rPr>
                <w:sz w:val="18"/>
              </w:rPr>
              <w:t xml:space="preserve"> </w:t>
            </w:r>
            <w:r w:rsidRPr="00512F95">
              <w:rPr>
                <w:sz w:val="18"/>
              </w:rPr>
              <w:t>(4)</w:t>
            </w:r>
          </w:p>
        </w:tc>
        <w:tc>
          <w:tcPr>
            <w:tcW w:w="1205" w:type="dxa"/>
            <w:vAlign w:val="center"/>
          </w:tcPr>
          <w:p w14:paraId="63AED039" w14:textId="77777777" w:rsidR="00566EEC" w:rsidRPr="000B3C14" w:rsidRDefault="00566EEC" w:rsidP="00230E14">
            <w:pPr>
              <w:jc w:val="right"/>
              <w:rPr>
                <w:rFonts w:ascii="Arial" w:hAnsi="Arial"/>
                <w:sz w:val="18"/>
              </w:rPr>
            </w:pPr>
            <w:r w:rsidRPr="00512F95">
              <w:rPr>
                <w:sz w:val="18"/>
              </w:rPr>
              <w:t>131</w:t>
            </w:r>
            <w:r w:rsidRPr="00D711DD">
              <w:rPr>
                <w:sz w:val="18"/>
              </w:rPr>
              <w:t>±15.2 (5)</w:t>
            </w:r>
          </w:p>
        </w:tc>
        <w:tc>
          <w:tcPr>
            <w:tcW w:w="1206" w:type="dxa"/>
            <w:vAlign w:val="center"/>
          </w:tcPr>
          <w:p w14:paraId="447713A4" w14:textId="77777777" w:rsidR="00566EEC" w:rsidRPr="00D711DD" w:rsidRDefault="00566EEC" w:rsidP="00230E14">
            <w:pPr>
              <w:jc w:val="right"/>
              <w:rPr>
                <w:rFonts w:ascii="Arial" w:hAnsi="Arial"/>
                <w:sz w:val="18"/>
              </w:rPr>
            </w:pPr>
            <w:r w:rsidRPr="00512F95">
              <w:rPr>
                <w:sz w:val="18"/>
              </w:rPr>
              <w:t>ND</w:t>
            </w:r>
          </w:p>
        </w:tc>
        <w:tc>
          <w:tcPr>
            <w:tcW w:w="1206" w:type="dxa"/>
            <w:vAlign w:val="center"/>
          </w:tcPr>
          <w:p w14:paraId="27395ADD" w14:textId="77777777" w:rsidR="00566EEC" w:rsidRPr="00D711DD" w:rsidRDefault="00566EEC" w:rsidP="00230E14">
            <w:pPr>
              <w:jc w:val="right"/>
              <w:rPr>
                <w:rFonts w:ascii="Arial" w:hAnsi="Arial"/>
                <w:sz w:val="18"/>
              </w:rPr>
            </w:pPr>
            <w:r w:rsidRPr="00512F95">
              <w:rPr>
                <w:sz w:val="18"/>
              </w:rPr>
              <w:t>ND</w:t>
            </w:r>
          </w:p>
        </w:tc>
        <w:tc>
          <w:tcPr>
            <w:tcW w:w="1206" w:type="dxa"/>
            <w:vAlign w:val="center"/>
          </w:tcPr>
          <w:p w14:paraId="5E5F936B" w14:textId="77777777" w:rsidR="00566EEC" w:rsidRPr="00F6284E" w:rsidRDefault="00566EEC" w:rsidP="00230E14">
            <w:pPr>
              <w:jc w:val="right"/>
              <w:rPr>
                <w:rFonts w:ascii="Arial" w:hAnsi="Arial"/>
                <w:sz w:val="18"/>
              </w:rPr>
            </w:pPr>
            <w:r w:rsidRPr="000B3C14">
              <w:rPr>
                <w:sz w:val="18"/>
              </w:rPr>
              <w:t>NR</w:t>
            </w:r>
          </w:p>
        </w:tc>
      </w:tr>
      <w:tr w:rsidR="00566EEC" w14:paraId="624DCAD7" w14:textId="77777777" w:rsidTr="00F6284E">
        <w:trPr>
          <w:trHeight w:val="149"/>
        </w:trPr>
        <w:tc>
          <w:tcPr>
            <w:tcW w:w="851" w:type="dxa"/>
            <w:vAlign w:val="center"/>
          </w:tcPr>
          <w:p w14:paraId="18136B21" w14:textId="77777777" w:rsidR="00566EEC" w:rsidRPr="000B3C14" w:rsidRDefault="00566EEC" w:rsidP="00A111E9">
            <w:pPr>
              <w:rPr>
                <w:rFonts w:ascii="Arial" w:hAnsi="Arial"/>
                <w:sz w:val="18"/>
                <w:vertAlign w:val="superscript"/>
              </w:rPr>
            </w:pPr>
            <w:r w:rsidRPr="00D711DD">
              <w:rPr>
                <w:sz w:val="18"/>
              </w:rPr>
              <w:t>Female</w:t>
            </w:r>
          </w:p>
        </w:tc>
        <w:tc>
          <w:tcPr>
            <w:tcW w:w="1205" w:type="dxa"/>
            <w:vAlign w:val="center"/>
          </w:tcPr>
          <w:p w14:paraId="3C01A0CA" w14:textId="77777777" w:rsidR="00566EEC" w:rsidRPr="000B3C14" w:rsidRDefault="00566EEC" w:rsidP="00230E14">
            <w:pPr>
              <w:jc w:val="right"/>
              <w:rPr>
                <w:rFonts w:ascii="Arial" w:hAnsi="Arial"/>
                <w:sz w:val="18"/>
              </w:rPr>
            </w:pPr>
            <w:r w:rsidRPr="00512F95">
              <w:rPr>
                <w:sz w:val="18"/>
              </w:rPr>
              <w:t>16.8</w:t>
            </w:r>
            <w:r w:rsidRPr="00D711DD">
              <w:rPr>
                <w:sz w:val="18"/>
              </w:rPr>
              <w:t>±4.31 (5)</w:t>
            </w:r>
          </w:p>
        </w:tc>
        <w:tc>
          <w:tcPr>
            <w:tcW w:w="1206" w:type="dxa"/>
            <w:vAlign w:val="center"/>
          </w:tcPr>
          <w:p w14:paraId="25822A05" w14:textId="77777777" w:rsidR="00566EEC" w:rsidRPr="00D711DD" w:rsidRDefault="00566EEC" w:rsidP="00230E14">
            <w:pPr>
              <w:jc w:val="right"/>
              <w:rPr>
                <w:rFonts w:ascii="Arial" w:hAnsi="Arial"/>
                <w:sz w:val="18"/>
              </w:rPr>
            </w:pPr>
            <w:r w:rsidRPr="00512F95">
              <w:rPr>
                <w:sz w:val="18"/>
              </w:rPr>
              <w:t>ND</w:t>
            </w:r>
          </w:p>
        </w:tc>
        <w:tc>
          <w:tcPr>
            <w:tcW w:w="1206" w:type="dxa"/>
            <w:vAlign w:val="center"/>
          </w:tcPr>
          <w:p w14:paraId="52753692" w14:textId="532A85AB" w:rsidR="00566EEC" w:rsidRPr="00D711DD" w:rsidRDefault="00566EEC" w:rsidP="00230E14">
            <w:pPr>
              <w:jc w:val="right"/>
              <w:rPr>
                <w:rFonts w:ascii="Arial" w:hAnsi="Arial"/>
                <w:sz w:val="18"/>
              </w:rPr>
            </w:pPr>
            <w:r w:rsidRPr="00512F95">
              <w:rPr>
                <w:sz w:val="18"/>
              </w:rPr>
              <w:t>88.1</w:t>
            </w:r>
            <w:r w:rsidRPr="00D711DD">
              <w:rPr>
                <w:sz w:val="18"/>
              </w:rPr>
              <w:t>±10.</w:t>
            </w:r>
            <w:r w:rsidRPr="000B3C14">
              <w:rPr>
                <w:sz w:val="18"/>
              </w:rPr>
              <w:t>5</w:t>
            </w:r>
            <w:r w:rsidR="00751CBD" w:rsidRPr="00F6284E">
              <w:rPr>
                <w:sz w:val="18"/>
              </w:rPr>
              <w:t xml:space="preserve"> </w:t>
            </w:r>
            <w:r w:rsidRPr="00512F95">
              <w:rPr>
                <w:sz w:val="18"/>
              </w:rPr>
              <w:t>(5)</w:t>
            </w:r>
          </w:p>
        </w:tc>
        <w:tc>
          <w:tcPr>
            <w:tcW w:w="1205" w:type="dxa"/>
            <w:vAlign w:val="center"/>
          </w:tcPr>
          <w:p w14:paraId="75BB5654" w14:textId="77777777" w:rsidR="00566EEC" w:rsidRPr="000B3C14" w:rsidRDefault="00566EEC" w:rsidP="00230E14">
            <w:pPr>
              <w:jc w:val="right"/>
              <w:rPr>
                <w:rFonts w:ascii="Arial" w:hAnsi="Arial"/>
                <w:sz w:val="18"/>
              </w:rPr>
            </w:pPr>
            <w:r w:rsidRPr="00512F95">
              <w:rPr>
                <w:sz w:val="18"/>
              </w:rPr>
              <w:t>123</w:t>
            </w:r>
            <w:r w:rsidRPr="00D711DD">
              <w:rPr>
                <w:sz w:val="18"/>
              </w:rPr>
              <w:t>±18.7 (5)</w:t>
            </w:r>
          </w:p>
        </w:tc>
        <w:tc>
          <w:tcPr>
            <w:tcW w:w="1206" w:type="dxa"/>
            <w:vAlign w:val="center"/>
          </w:tcPr>
          <w:p w14:paraId="2EEBC5CF" w14:textId="77777777" w:rsidR="00566EEC" w:rsidRPr="000B3C14" w:rsidRDefault="00566EEC" w:rsidP="00230E14">
            <w:pPr>
              <w:jc w:val="right"/>
              <w:rPr>
                <w:rFonts w:ascii="Arial" w:hAnsi="Arial"/>
                <w:sz w:val="18"/>
              </w:rPr>
            </w:pPr>
            <w:r w:rsidRPr="00512F95">
              <w:rPr>
                <w:sz w:val="18"/>
              </w:rPr>
              <w:t>666</w:t>
            </w:r>
            <w:r w:rsidRPr="00D711DD">
              <w:rPr>
                <w:sz w:val="18"/>
              </w:rPr>
              <w:t>±108 (5)</w:t>
            </w:r>
          </w:p>
        </w:tc>
        <w:tc>
          <w:tcPr>
            <w:tcW w:w="1206" w:type="dxa"/>
            <w:vAlign w:val="center"/>
          </w:tcPr>
          <w:p w14:paraId="26106241" w14:textId="77777777" w:rsidR="00566EEC" w:rsidRPr="00D711DD" w:rsidRDefault="00566EEC" w:rsidP="00230E14">
            <w:pPr>
              <w:jc w:val="right"/>
              <w:rPr>
                <w:rFonts w:ascii="Arial" w:hAnsi="Arial"/>
                <w:sz w:val="18"/>
              </w:rPr>
            </w:pPr>
            <w:r w:rsidRPr="00512F95">
              <w:rPr>
                <w:sz w:val="18"/>
              </w:rPr>
              <w:t>ND</w:t>
            </w:r>
          </w:p>
        </w:tc>
        <w:tc>
          <w:tcPr>
            <w:tcW w:w="1206" w:type="dxa"/>
            <w:vAlign w:val="center"/>
          </w:tcPr>
          <w:p w14:paraId="5D961919" w14:textId="77777777" w:rsidR="00566EEC" w:rsidRPr="00F6284E" w:rsidRDefault="00566EEC" w:rsidP="00230E14">
            <w:pPr>
              <w:jc w:val="right"/>
              <w:rPr>
                <w:rFonts w:ascii="Arial" w:hAnsi="Arial"/>
                <w:sz w:val="18"/>
              </w:rPr>
            </w:pPr>
            <w:r w:rsidRPr="000B3C14">
              <w:rPr>
                <w:sz w:val="18"/>
              </w:rPr>
              <w:t>NR</w:t>
            </w:r>
          </w:p>
        </w:tc>
      </w:tr>
    </w:tbl>
    <w:p w14:paraId="5D6B967C" w14:textId="3727135A" w:rsidR="00566EEC" w:rsidRPr="00726D19" w:rsidRDefault="00566EEC" w:rsidP="00A111E9">
      <w:pPr>
        <w:spacing w:before="120"/>
        <w:rPr>
          <w:sz w:val="16"/>
          <w:szCs w:val="16"/>
        </w:rPr>
      </w:pPr>
      <w:r w:rsidRPr="00726D19">
        <w:rPr>
          <w:sz w:val="16"/>
          <w:szCs w:val="16"/>
        </w:rPr>
        <w:t xml:space="preserve">Data </w:t>
      </w:r>
      <w:r w:rsidR="00104C8E" w:rsidRPr="00726D19">
        <w:rPr>
          <w:sz w:val="16"/>
          <w:szCs w:val="16"/>
        </w:rPr>
        <w:t>compiled</w:t>
      </w:r>
      <w:r w:rsidRPr="00726D19">
        <w:rPr>
          <w:sz w:val="16"/>
          <w:szCs w:val="16"/>
        </w:rPr>
        <w:t xml:space="preserve"> from Peden-Adams </w:t>
      </w:r>
      <w:r w:rsidR="00180A32" w:rsidRPr="00180A32">
        <w:rPr>
          <w:i/>
          <w:sz w:val="16"/>
          <w:szCs w:val="16"/>
        </w:rPr>
        <w:t xml:space="preserve">et al. </w:t>
      </w:r>
      <w:r w:rsidRPr="00726D19">
        <w:rPr>
          <w:sz w:val="16"/>
          <w:szCs w:val="16"/>
        </w:rPr>
        <w:t xml:space="preserve"> 2008</w:t>
      </w:r>
    </w:p>
    <w:p w14:paraId="1722D16B" w14:textId="48A967AC" w:rsidR="00085304" w:rsidRPr="00726D19" w:rsidRDefault="00085304" w:rsidP="00A111E9">
      <w:pPr>
        <w:rPr>
          <w:sz w:val="16"/>
          <w:szCs w:val="16"/>
        </w:rPr>
      </w:pPr>
      <w:r w:rsidRPr="00726D19">
        <w:rPr>
          <w:sz w:val="16"/>
          <w:szCs w:val="16"/>
        </w:rPr>
        <w:t>Data presented as mean ±</w:t>
      </w:r>
      <w:r w:rsidR="00656F89">
        <w:rPr>
          <w:sz w:val="16"/>
          <w:szCs w:val="16"/>
        </w:rPr>
        <w:t xml:space="preserve"> </w:t>
      </w:r>
      <w:r w:rsidRPr="00726D19">
        <w:rPr>
          <w:sz w:val="16"/>
          <w:szCs w:val="16"/>
        </w:rPr>
        <w:t>standard deviation (sample size)</w:t>
      </w:r>
    </w:p>
    <w:p w14:paraId="037900F8" w14:textId="179BB09F" w:rsidR="00566EEC" w:rsidRPr="00726D19" w:rsidRDefault="00566EEC" w:rsidP="00A111E9">
      <w:pPr>
        <w:rPr>
          <w:sz w:val="16"/>
          <w:szCs w:val="16"/>
          <w:vertAlign w:val="superscript"/>
        </w:rPr>
      </w:pPr>
      <w:r w:rsidRPr="00726D19">
        <w:rPr>
          <w:sz w:val="16"/>
          <w:szCs w:val="16"/>
          <w:vertAlign w:val="superscript"/>
        </w:rPr>
        <w:t xml:space="preserve">1 </w:t>
      </w:r>
      <w:r w:rsidRPr="00726D19">
        <w:rPr>
          <w:sz w:val="16"/>
          <w:szCs w:val="16"/>
        </w:rPr>
        <w:t xml:space="preserve">(Actual </w:t>
      </w:r>
      <w:r w:rsidR="00656F89">
        <w:rPr>
          <w:sz w:val="16"/>
          <w:szCs w:val="16"/>
        </w:rPr>
        <w:t>total administered dose (</w:t>
      </w:r>
      <w:r w:rsidRPr="00726D19">
        <w:rPr>
          <w:sz w:val="16"/>
          <w:szCs w:val="16"/>
        </w:rPr>
        <w:t>TAD</w:t>
      </w:r>
      <w:r w:rsidR="00656F89">
        <w:rPr>
          <w:sz w:val="16"/>
          <w:szCs w:val="16"/>
        </w:rPr>
        <w:t>)</w:t>
      </w:r>
      <w:r w:rsidRPr="00726D19">
        <w:rPr>
          <w:sz w:val="16"/>
          <w:szCs w:val="16"/>
        </w:rPr>
        <w:t xml:space="preserve"> using mass of PFOS ion only/28 days) x1000</w:t>
      </w:r>
    </w:p>
    <w:p w14:paraId="5426EF7A" w14:textId="36B609AF" w:rsidR="00566EEC" w:rsidRPr="00726D19" w:rsidRDefault="00566EEC" w:rsidP="00A111E9">
      <w:pPr>
        <w:rPr>
          <w:sz w:val="16"/>
          <w:szCs w:val="16"/>
        </w:rPr>
      </w:pPr>
      <w:r w:rsidRPr="00726D19">
        <w:rPr>
          <w:sz w:val="16"/>
          <w:szCs w:val="16"/>
          <w:vertAlign w:val="superscript"/>
        </w:rPr>
        <w:t>2</w:t>
      </w:r>
      <w:r w:rsidRPr="00726D19">
        <w:rPr>
          <w:sz w:val="16"/>
          <w:szCs w:val="16"/>
        </w:rPr>
        <w:t xml:space="preserve">Targeted </w:t>
      </w:r>
      <w:r w:rsidR="00656F89">
        <w:rPr>
          <w:sz w:val="16"/>
          <w:szCs w:val="16"/>
        </w:rPr>
        <w:t>TAD</w:t>
      </w:r>
      <w:r w:rsidRPr="00726D19">
        <w:rPr>
          <w:sz w:val="16"/>
          <w:szCs w:val="16"/>
        </w:rPr>
        <w:t xml:space="preserve"> over 28 days. Dose concentrations were made by weighing the potassium salt of PFOS and therefore include the salt mass. Target dose is based on the PFOS ion after taking into account the mass of the potassium salt (molecular </w:t>
      </w:r>
      <w:r w:rsidR="00D60FEF">
        <w:rPr>
          <w:sz w:val="16"/>
          <w:szCs w:val="16"/>
        </w:rPr>
        <w:t>weight of PFOS ion = 499.12 g/mL</w:t>
      </w:r>
      <w:r w:rsidRPr="00726D19">
        <w:rPr>
          <w:sz w:val="16"/>
          <w:szCs w:val="16"/>
        </w:rPr>
        <w:t xml:space="preserve">); when rounded to a single significant digit the potassium salt or PFOS ion are identical </w:t>
      </w:r>
      <w:r w:rsidR="00104C8E" w:rsidRPr="00726D19">
        <w:rPr>
          <w:sz w:val="16"/>
          <w:szCs w:val="16"/>
        </w:rPr>
        <w:t>e.g.</w:t>
      </w:r>
      <w:r w:rsidRPr="00726D19">
        <w:rPr>
          <w:sz w:val="16"/>
          <w:szCs w:val="16"/>
        </w:rPr>
        <w:t xml:space="preserve"> 0.00464 PFOS ion (mg/kg TAD) = 0.005 PFOS salt (mg/kg TAD).</w:t>
      </w:r>
    </w:p>
    <w:p w14:paraId="74BDFCCD" w14:textId="07D12F1D" w:rsidR="00566EEC" w:rsidRPr="00726D19" w:rsidRDefault="00566EEC" w:rsidP="00A111E9">
      <w:pPr>
        <w:rPr>
          <w:sz w:val="16"/>
          <w:szCs w:val="16"/>
        </w:rPr>
      </w:pPr>
      <w:r w:rsidRPr="00726D19">
        <w:rPr>
          <w:sz w:val="16"/>
          <w:szCs w:val="16"/>
        </w:rPr>
        <w:t>If the potassium salt molecular weight is not removed the PFOS concentration is overestimated by 7% (according to the paper).</w:t>
      </w:r>
    </w:p>
    <w:p w14:paraId="639E7FE9" w14:textId="77777777" w:rsidR="00566EEC" w:rsidRPr="00726D19" w:rsidRDefault="00566EEC" w:rsidP="00A111E9">
      <w:pPr>
        <w:rPr>
          <w:sz w:val="16"/>
          <w:szCs w:val="16"/>
        </w:rPr>
      </w:pPr>
      <w:r w:rsidRPr="00726D19">
        <w:rPr>
          <w:sz w:val="16"/>
          <w:szCs w:val="16"/>
        </w:rPr>
        <w:t>ND not determined</w:t>
      </w:r>
    </w:p>
    <w:p w14:paraId="529E0215" w14:textId="7F09212E" w:rsidR="00566EEC" w:rsidRPr="00726D19" w:rsidRDefault="00566EEC" w:rsidP="00A111E9">
      <w:pPr>
        <w:rPr>
          <w:sz w:val="16"/>
          <w:szCs w:val="16"/>
        </w:rPr>
      </w:pPr>
      <w:r w:rsidRPr="00726D19">
        <w:rPr>
          <w:sz w:val="16"/>
          <w:szCs w:val="16"/>
        </w:rPr>
        <w:t>NR not reported (over calibration curve)</w:t>
      </w:r>
    </w:p>
    <w:p w14:paraId="0276EED2" w14:textId="77777777" w:rsidR="00566EEC" w:rsidRPr="00726D19" w:rsidRDefault="00566EEC" w:rsidP="00A111E9">
      <w:pPr>
        <w:rPr>
          <w:sz w:val="16"/>
          <w:szCs w:val="16"/>
          <w:lang w:bidi="ar-SA"/>
        </w:rPr>
      </w:pPr>
    </w:p>
    <w:p w14:paraId="7C0CC001" w14:textId="56DF62EA" w:rsidR="00184072" w:rsidRPr="007C1D88" w:rsidRDefault="0037793D" w:rsidP="00A111E9">
      <w:pPr>
        <w:rPr>
          <w:b/>
          <w:sz w:val="20"/>
        </w:rPr>
      </w:pPr>
      <w:r>
        <w:rPr>
          <w:b/>
          <w:szCs w:val="22"/>
          <w:lang w:bidi="ar-SA"/>
        </w:rPr>
        <w:t>Dong</w:t>
      </w:r>
      <w:r w:rsidR="00184072" w:rsidRPr="0037793D">
        <w:rPr>
          <w:b/>
          <w:szCs w:val="22"/>
          <w:lang w:bidi="ar-SA"/>
        </w:rPr>
        <w:t xml:space="preserve"> </w:t>
      </w:r>
      <w:r w:rsidR="00180A32" w:rsidRPr="00180A32">
        <w:rPr>
          <w:b/>
          <w:i/>
          <w:szCs w:val="22"/>
          <w:lang w:bidi="ar-SA"/>
        </w:rPr>
        <w:t xml:space="preserve">et al. </w:t>
      </w:r>
      <w:r w:rsidR="00713213">
        <w:rPr>
          <w:b/>
          <w:szCs w:val="22"/>
          <w:lang w:bidi="ar-SA"/>
        </w:rPr>
        <w:t xml:space="preserve"> </w:t>
      </w:r>
      <w:r>
        <w:rPr>
          <w:b/>
          <w:szCs w:val="22"/>
          <w:lang w:bidi="ar-SA"/>
        </w:rPr>
        <w:t>2009</w:t>
      </w:r>
      <w:r w:rsidR="00184072" w:rsidRPr="0037793D">
        <w:rPr>
          <w:b/>
          <w:szCs w:val="22"/>
          <w:lang w:bidi="ar-SA"/>
        </w:rPr>
        <w:t xml:space="preserve"> </w:t>
      </w:r>
    </w:p>
    <w:p w14:paraId="102EE479" w14:textId="77777777" w:rsidR="00184072" w:rsidRDefault="00184072" w:rsidP="00A111E9">
      <w:pPr>
        <w:rPr>
          <w:lang w:bidi="ar-SA"/>
        </w:rPr>
      </w:pPr>
    </w:p>
    <w:p w14:paraId="71FF9E0A" w14:textId="5A9FA4BD" w:rsidR="00184072" w:rsidRDefault="0037793D" w:rsidP="00A111E9">
      <w:pPr>
        <w:rPr>
          <w:lang w:bidi="ar-SA"/>
        </w:rPr>
      </w:pPr>
      <w:r>
        <w:rPr>
          <w:lang w:bidi="ar-SA"/>
        </w:rPr>
        <w:t xml:space="preserve">Adult male C57BL mice (10 per group) were administered PFOS potassium salt with 2% Tween 80 in deionised water by oral gavage for 60 days. The doses were 0, 0.008, 0.083, 0.417, 0.833 and 2.083 mg/kg bw/day. </w:t>
      </w:r>
      <w:r w:rsidR="00222B88">
        <w:rPr>
          <w:lang w:bidi="ar-SA"/>
        </w:rPr>
        <w:t xml:space="preserve">Food intake and body weight were measured daily. </w:t>
      </w:r>
      <w:r w:rsidR="00C15F98">
        <w:rPr>
          <w:lang w:bidi="ar-SA"/>
        </w:rPr>
        <w:t xml:space="preserve">Four days prior to the end of the study, mice were immunised with a 25% suspension of SRBC administered by intraperitoneal injection. </w:t>
      </w:r>
      <w:r w:rsidR="00F649AD">
        <w:rPr>
          <w:lang w:bidi="ar-SA"/>
        </w:rPr>
        <w:t xml:space="preserve">Blood was taken from mice on the </w:t>
      </w:r>
      <w:r w:rsidR="00CC26CA">
        <w:rPr>
          <w:lang w:bidi="ar-SA"/>
        </w:rPr>
        <w:t>sixty-first</w:t>
      </w:r>
      <w:r w:rsidR="00F649AD">
        <w:rPr>
          <w:lang w:bidi="ar-SA"/>
        </w:rPr>
        <w:t xml:space="preserve"> day (24 hours after the last treatment) and analysed for PFOS and corticosterone levels. The mice were subsequently sacrificed and spleen, thymus, liver and k</w:t>
      </w:r>
      <w:r w:rsidR="003F62BB">
        <w:rPr>
          <w:lang w:bidi="ar-SA"/>
        </w:rPr>
        <w:t>idneys were collected and weighed</w:t>
      </w:r>
      <w:r w:rsidR="00F649AD">
        <w:rPr>
          <w:lang w:bidi="ar-SA"/>
        </w:rPr>
        <w:t>. The spleen and thymus were processed into cell suspensions for use in assessments of functional immune endpoints and T cell immunophenotype determinations.</w:t>
      </w:r>
    </w:p>
    <w:p w14:paraId="3D2C58D8" w14:textId="77777777" w:rsidR="00F649AD" w:rsidRDefault="00F649AD" w:rsidP="00A111E9">
      <w:pPr>
        <w:rPr>
          <w:lang w:bidi="ar-SA"/>
        </w:rPr>
      </w:pPr>
    </w:p>
    <w:p w14:paraId="32C57837" w14:textId="779A789C" w:rsidR="00DB36CC" w:rsidRDefault="00807B9A" w:rsidP="00A111E9">
      <w:pPr>
        <w:rPr>
          <w:lang w:bidi="ar-SA"/>
        </w:rPr>
      </w:pPr>
      <w:r>
        <w:rPr>
          <w:lang w:bidi="ar-SA"/>
        </w:rPr>
        <w:t xml:space="preserve">At the end of the study, mice treated with </w:t>
      </w:r>
      <w:r>
        <w:rPr>
          <w:rFonts w:cs="Arial"/>
          <w:lang w:bidi="ar-SA"/>
        </w:rPr>
        <w:t>≥</w:t>
      </w:r>
      <w:r>
        <w:rPr>
          <w:lang w:bidi="ar-SA"/>
        </w:rPr>
        <w:t xml:space="preserve"> 0.417 mg/kg bw/day had significantly lower body weight</w:t>
      </w:r>
      <w:r w:rsidR="003F62BB">
        <w:rPr>
          <w:lang w:bidi="ar-SA"/>
        </w:rPr>
        <w:t>s</w:t>
      </w:r>
      <w:r>
        <w:rPr>
          <w:lang w:bidi="ar-SA"/>
        </w:rPr>
        <w:t xml:space="preserve"> compared with controls, as well as </w:t>
      </w:r>
      <w:r w:rsidR="007C1E39">
        <w:rPr>
          <w:lang w:bidi="ar-SA"/>
        </w:rPr>
        <w:t>significantly decreased spleen, thymus and kidney weights relative to body weight.</w:t>
      </w:r>
      <w:r w:rsidR="00EC1C7C">
        <w:rPr>
          <w:lang w:bidi="ar-SA"/>
        </w:rPr>
        <w:t xml:space="preserve"> Reduced cellularity in the spleen and thymus was also observed at these doses.</w:t>
      </w:r>
      <w:r w:rsidR="007C1E39">
        <w:rPr>
          <w:lang w:bidi="ar-SA"/>
        </w:rPr>
        <w:t xml:space="preserve"> Relative liver weights were significantly increased at doses </w:t>
      </w:r>
      <w:r w:rsidR="007C1E39">
        <w:rPr>
          <w:rFonts w:cs="Arial"/>
          <w:lang w:bidi="ar-SA"/>
        </w:rPr>
        <w:t>≥</w:t>
      </w:r>
      <w:r w:rsidR="007C1E39">
        <w:rPr>
          <w:lang w:bidi="ar-SA"/>
        </w:rPr>
        <w:t xml:space="preserve"> 0.083 mg/kg bw/day. </w:t>
      </w:r>
      <w:r w:rsidR="00A126B0">
        <w:rPr>
          <w:lang w:bidi="ar-SA"/>
        </w:rPr>
        <w:t xml:space="preserve">Serum cortisone levels were significantly increased compared with controls at 0.833 and 2.083 mg/kg bw/day. </w:t>
      </w:r>
      <w:r w:rsidR="006E2D36">
        <w:rPr>
          <w:lang w:bidi="ar-SA"/>
        </w:rPr>
        <w:t>Flow cytometry</w:t>
      </w:r>
      <w:r w:rsidR="003F62BB">
        <w:rPr>
          <w:lang w:bidi="ar-SA"/>
        </w:rPr>
        <w:t xml:space="preserve"> analysis of splen</w:t>
      </w:r>
      <w:r w:rsidR="00A126B0">
        <w:rPr>
          <w:lang w:bidi="ar-SA"/>
        </w:rPr>
        <w:t>ic and thymic lymphocytes indicated that the numbers of T cell CD4/CD8 subpopulations were significantly decreased at doses of 0.417 mg/kg bw/day and higher</w:t>
      </w:r>
      <w:r w:rsidR="000352AD">
        <w:rPr>
          <w:lang w:bidi="ar-SA"/>
        </w:rPr>
        <w:t xml:space="preserve">, and the number of </w:t>
      </w:r>
      <w:r w:rsidR="009E72CB">
        <w:rPr>
          <w:lang w:bidi="ar-SA"/>
        </w:rPr>
        <w:t xml:space="preserve">splenic </w:t>
      </w:r>
      <w:r w:rsidR="000352AD">
        <w:rPr>
          <w:lang w:bidi="ar-SA"/>
        </w:rPr>
        <w:t>B</w:t>
      </w:r>
      <w:r w:rsidR="001012A5">
        <w:rPr>
          <w:lang w:bidi="ar-SA"/>
        </w:rPr>
        <w:t>-</w:t>
      </w:r>
      <w:r w:rsidR="000352AD">
        <w:rPr>
          <w:lang w:bidi="ar-SA"/>
        </w:rPr>
        <w:t xml:space="preserve">cells were decreased at </w:t>
      </w:r>
      <w:r w:rsidR="000352AD">
        <w:rPr>
          <w:rFonts w:cs="Arial"/>
          <w:lang w:bidi="ar-SA"/>
        </w:rPr>
        <w:t>≥</w:t>
      </w:r>
      <w:r w:rsidR="000352AD">
        <w:rPr>
          <w:lang w:bidi="ar-SA"/>
        </w:rPr>
        <w:t xml:space="preserve"> 0.833 mg/kg bw/day</w:t>
      </w:r>
      <w:r w:rsidR="00A126B0">
        <w:rPr>
          <w:lang w:bidi="ar-SA"/>
        </w:rPr>
        <w:t>. NK cell function was significantly increased compared with</w:t>
      </w:r>
      <w:r w:rsidR="003B4848">
        <w:rPr>
          <w:lang w:bidi="ar-SA"/>
        </w:rPr>
        <w:t xml:space="preserve"> controls at 0.083 mg/kg bw/day but unchanged at 0.417</w:t>
      </w:r>
      <w:r w:rsidR="00A126B0">
        <w:rPr>
          <w:lang w:bidi="ar-SA"/>
        </w:rPr>
        <w:t xml:space="preserve"> </w:t>
      </w:r>
      <w:r w:rsidR="003B4848">
        <w:rPr>
          <w:lang w:bidi="ar-SA"/>
        </w:rPr>
        <w:t xml:space="preserve">mg/kg bw/day and </w:t>
      </w:r>
      <w:r w:rsidR="00A126B0">
        <w:rPr>
          <w:lang w:bidi="ar-SA"/>
        </w:rPr>
        <w:t xml:space="preserve">significantly decreased at 0.833 and 2.083 mg/kg bw/day. Splenic lymphocyte production </w:t>
      </w:r>
      <w:r w:rsidR="00AC527C">
        <w:rPr>
          <w:lang w:bidi="ar-SA"/>
        </w:rPr>
        <w:t xml:space="preserve">in response to the T cell mitogen </w:t>
      </w:r>
      <w:r w:rsidR="003F62BB">
        <w:rPr>
          <w:lang w:bidi="ar-SA"/>
        </w:rPr>
        <w:t>concavalin A</w:t>
      </w:r>
      <w:r w:rsidR="00AC527C">
        <w:rPr>
          <w:lang w:bidi="ar-SA"/>
        </w:rPr>
        <w:t xml:space="preserve"> </w:t>
      </w:r>
      <w:r w:rsidR="00A126B0">
        <w:rPr>
          <w:lang w:bidi="ar-SA"/>
        </w:rPr>
        <w:t xml:space="preserve">was </w:t>
      </w:r>
      <w:r w:rsidR="00AC527C">
        <w:rPr>
          <w:lang w:bidi="ar-SA"/>
        </w:rPr>
        <w:t xml:space="preserve">significantly reduced at the high dose, while lymphocyte production in response to the B cell mitogen </w:t>
      </w:r>
      <w:r w:rsidR="003F62BB">
        <w:rPr>
          <w:lang w:bidi="ar-SA"/>
        </w:rPr>
        <w:t>lipopolysaccharide</w:t>
      </w:r>
      <w:r w:rsidR="00AC527C">
        <w:rPr>
          <w:lang w:bidi="ar-SA"/>
        </w:rPr>
        <w:t xml:space="preserve"> was significantly reduced at the two highest doses. The SRBC-specific I</w:t>
      </w:r>
      <w:r w:rsidR="00B23E77">
        <w:rPr>
          <w:lang w:bidi="ar-SA"/>
        </w:rPr>
        <w:t>gM PFC</w:t>
      </w:r>
      <w:r w:rsidR="00AC527C">
        <w:rPr>
          <w:lang w:bidi="ar-SA"/>
        </w:rPr>
        <w:t xml:space="preserve"> response was significantly decreased in a dose-dependent manner at 0.083 mg/kg bw/day and higher.</w:t>
      </w:r>
    </w:p>
    <w:p w14:paraId="28EA6199" w14:textId="77777777" w:rsidR="00DB36CC" w:rsidRDefault="00DB36CC" w:rsidP="00A111E9">
      <w:pPr>
        <w:rPr>
          <w:lang w:bidi="ar-SA"/>
        </w:rPr>
      </w:pPr>
    </w:p>
    <w:p w14:paraId="130FB3D5" w14:textId="7AD0A271" w:rsidR="00F649AD" w:rsidRDefault="00E90034" w:rsidP="00A111E9">
      <w:pPr>
        <w:rPr>
          <w:lang w:bidi="ar-SA"/>
        </w:rPr>
      </w:pPr>
      <w:r>
        <w:rPr>
          <w:lang w:bidi="ar-SA"/>
        </w:rPr>
        <w:t>The NOAEL in this study was 0.008 mg/kg bw/day based on the reduced SRBC</w:t>
      </w:r>
      <w:r w:rsidR="00B23E77">
        <w:rPr>
          <w:lang w:bidi="ar-SA"/>
        </w:rPr>
        <w:t xml:space="preserve">-specific PFC </w:t>
      </w:r>
      <w:r>
        <w:rPr>
          <w:lang w:bidi="ar-SA"/>
        </w:rPr>
        <w:t xml:space="preserve">response at 0.083 mg/kg bw/day. Serum PFOS concentrations at the NOAEL and the LOAEL were 0.674 mg/l and 7.132 mg/l, respectively. </w:t>
      </w:r>
      <w:r w:rsidR="00193DC5">
        <w:rPr>
          <w:lang w:bidi="ar-SA"/>
        </w:rPr>
        <w:t xml:space="preserve">It is notable that the NOAEL and LOAEL for SRBC PFC response in this study are substantially higher than the NOAEL and LOAEL reported for the same effects in male mice in the 28-day study by Peden-Adams </w:t>
      </w:r>
      <w:r w:rsidR="00180A32" w:rsidRPr="00180A32">
        <w:rPr>
          <w:i/>
          <w:lang w:bidi="ar-SA"/>
        </w:rPr>
        <w:t xml:space="preserve">et al. </w:t>
      </w:r>
      <w:r w:rsidR="00F22DA6">
        <w:rPr>
          <w:lang w:bidi="ar-SA"/>
        </w:rPr>
        <w:t xml:space="preserve"> </w:t>
      </w:r>
      <w:r w:rsidR="00193DC5">
        <w:rPr>
          <w:lang w:bidi="ar-SA"/>
        </w:rPr>
        <w:t>(2008) discussed above.</w:t>
      </w:r>
    </w:p>
    <w:p w14:paraId="2FB51CD6" w14:textId="23591D83" w:rsidR="00E22A89" w:rsidRDefault="00E22A89" w:rsidP="00A111E9">
      <w:pPr>
        <w:rPr>
          <w:lang w:bidi="ar-SA"/>
        </w:rPr>
      </w:pPr>
    </w:p>
    <w:p w14:paraId="09EB4F98" w14:textId="63B94A18" w:rsidR="00E22A89" w:rsidRDefault="00E22A89" w:rsidP="00A111E9">
      <w:pPr>
        <w:rPr>
          <w:lang w:bidi="ar-SA"/>
        </w:rPr>
      </w:pPr>
      <w:r>
        <w:rPr>
          <w:lang w:bidi="ar-SA"/>
        </w:rPr>
        <w:lastRenderedPageBreak/>
        <w:t xml:space="preserve">Serum PFOS concentrations in this study are presented in </w:t>
      </w:r>
      <w:r w:rsidR="000921CE">
        <w:rPr>
          <w:lang w:bidi="ar-SA"/>
        </w:rPr>
        <w:fldChar w:fldCharType="begin"/>
      </w:r>
      <w:r w:rsidR="000921CE">
        <w:rPr>
          <w:lang w:bidi="ar-SA"/>
        </w:rPr>
        <w:instrText xml:space="preserve"> REF _Ref467848406 \h </w:instrText>
      </w:r>
      <w:r w:rsidR="000921CE">
        <w:rPr>
          <w:lang w:bidi="ar-SA"/>
        </w:rPr>
      </w:r>
      <w:r w:rsidR="000921CE">
        <w:rPr>
          <w:lang w:bidi="ar-SA"/>
        </w:rPr>
        <w:fldChar w:fldCharType="separate"/>
      </w:r>
      <w:r w:rsidR="00F4394A">
        <w:t xml:space="preserve">Table </w:t>
      </w:r>
      <w:r w:rsidR="00F4394A">
        <w:rPr>
          <w:noProof/>
        </w:rPr>
        <w:t>14</w:t>
      </w:r>
      <w:r w:rsidR="000921CE">
        <w:rPr>
          <w:lang w:bidi="ar-SA"/>
        </w:rPr>
        <w:fldChar w:fldCharType="end"/>
      </w:r>
      <w:r>
        <w:rPr>
          <w:lang w:bidi="ar-SA"/>
        </w:rPr>
        <w:t>.</w:t>
      </w:r>
    </w:p>
    <w:p w14:paraId="4BB046D2" w14:textId="77777777" w:rsidR="002550C0" w:rsidRDefault="002550C0" w:rsidP="00A111E9">
      <w:pPr>
        <w:rPr>
          <w:lang w:bidi="ar-SA"/>
        </w:rPr>
      </w:pPr>
    </w:p>
    <w:p w14:paraId="5EF40D72" w14:textId="3AA88B0D" w:rsidR="00726D19" w:rsidRPr="00726D19" w:rsidRDefault="00535C77" w:rsidP="00A111E9">
      <w:pPr>
        <w:pStyle w:val="FSTableTitle"/>
      </w:pPr>
      <w:bookmarkStart w:id="145" w:name="_Ref467848406"/>
      <w:r>
        <w:t xml:space="preserve">Table </w:t>
      </w:r>
      <w:r w:rsidR="00BC19E6">
        <w:fldChar w:fldCharType="begin"/>
      </w:r>
      <w:r w:rsidR="00BC19E6">
        <w:instrText xml:space="preserve"> SEQ Table \* ARABIC </w:instrText>
      </w:r>
      <w:r w:rsidR="00BC19E6">
        <w:fldChar w:fldCharType="separate"/>
      </w:r>
      <w:r w:rsidR="00F4394A">
        <w:rPr>
          <w:noProof/>
        </w:rPr>
        <w:t>14</w:t>
      </w:r>
      <w:r w:rsidR="00BC19E6">
        <w:rPr>
          <w:noProof/>
        </w:rPr>
        <w:fldChar w:fldCharType="end"/>
      </w:r>
      <w:bookmarkEnd w:id="145"/>
      <w:r w:rsidR="00BE256E">
        <w:rPr>
          <w:b w:val="0"/>
        </w:rPr>
        <w:t>:</w:t>
      </w:r>
      <w:r>
        <w:t xml:space="preserve"> Serum PFOS concentrations measured by Dong </w:t>
      </w:r>
      <w:r w:rsidR="00180A32" w:rsidRPr="00180A32">
        <w:rPr>
          <w:i/>
        </w:rPr>
        <w:t xml:space="preserve">et al. </w:t>
      </w:r>
      <w:r w:rsidR="00713213">
        <w:t xml:space="preserve"> </w:t>
      </w:r>
      <w:r>
        <w:t>(2009)</w:t>
      </w:r>
    </w:p>
    <w:tbl>
      <w:tblPr>
        <w:tblStyle w:val="TableGrid"/>
        <w:tblW w:w="0" w:type="auto"/>
        <w:jc w:val="center"/>
        <w:tblLayout w:type="fixed"/>
        <w:tblLook w:val="04A0" w:firstRow="1" w:lastRow="0" w:firstColumn="1" w:lastColumn="0" w:noHBand="0" w:noVBand="1"/>
        <w:tblCaption w:val="Table 14: Serum PFOS concentrations measured by Dong et al.  (2009)"/>
        <w:tblDescription w:val="This table contains data relating to serum Levels of PFOS (µg/mL) in male C57BL/6 mice after oral gavage administration for 60 days."/>
      </w:tblPr>
      <w:tblGrid>
        <w:gridCol w:w="675"/>
        <w:gridCol w:w="1322"/>
        <w:gridCol w:w="1322"/>
        <w:gridCol w:w="1322"/>
        <w:gridCol w:w="1322"/>
        <w:gridCol w:w="1322"/>
        <w:gridCol w:w="1322"/>
      </w:tblGrid>
      <w:tr w:rsidR="002B78D4" w:rsidRPr="00AA0B40" w14:paraId="29FA1797" w14:textId="77777777" w:rsidTr="00A111E9">
        <w:trPr>
          <w:trHeight w:val="100"/>
          <w:tblHeader/>
          <w:jc w:val="center"/>
        </w:trPr>
        <w:tc>
          <w:tcPr>
            <w:tcW w:w="8607" w:type="dxa"/>
            <w:gridSpan w:val="7"/>
            <w:shd w:val="clear" w:color="auto" w:fill="F2F2F2" w:themeFill="background1" w:themeFillShade="F2"/>
          </w:tcPr>
          <w:p w14:paraId="29AB416F" w14:textId="150742CB" w:rsidR="002B78D4" w:rsidRDefault="002B78D4" w:rsidP="00656F89">
            <w:pPr>
              <w:pStyle w:val="FSTableHeading"/>
              <w:jc w:val="left"/>
              <w:rPr>
                <w:lang w:bidi="ar-SA"/>
              </w:rPr>
            </w:pPr>
            <w:r w:rsidRPr="002B78D4">
              <w:t xml:space="preserve">Serum Levels of PFOS (µg/mL) in male C57BL/6 </w:t>
            </w:r>
            <w:r w:rsidR="00656F89">
              <w:t>m</w:t>
            </w:r>
            <w:r w:rsidR="00656F89" w:rsidRPr="002B78D4">
              <w:t xml:space="preserve">ice </w:t>
            </w:r>
            <w:r w:rsidRPr="002B78D4">
              <w:t xml:space="preserve">after </w:t>
            </w:r>
            <w:r w:rsidR="00656F89">
              <w:t>o</w:t>
            </w:r>
            <w:r w:rsidR="00656F89" w:rsidRPr="002B78D4">
              <w:t xml:space="preserve">ral </w:t>
            </w:r>
            <w:r w:rsidR="00656F89">
              <w:t>g</w:t>
            </w:r>
            <w:r w:rsidR="00656F89" w:rsidRPr="002B78D4">
              <w:t xml:space="preserve">avage </w:t>
            </w:r>
            <w:r w:rsidR="00656F89">
              <w:t>a</w:t>
            </w:r>
            <w:r w:rsidR="00656F89" w:rsidRPr="002B78D4">
              <w:t xml:space="preserve">dministration </w:t>
            </w:r>
            <w:r w:rsidRPr="002B78D4">
              <w:t>for 60 days</w:t>
            </w:r>
          </w:p>
        </w:tc>
      </w:tr>
      <w:tr w:rsidR="002B78D4" w:rsidRPr="00AA0B40" w14:paraId="7C13F529" w14:textId="77777777" w:rsidTr="00A111E9">
        <w:trPr>
          <w:trHeight w:val="100"/>
          <w:tblHeader/>
          <w:jc w:val="center"/>
        </w:trPr>
        <w:tc>
          <w:tcPr>
            <w:tcW w:w="8607" w:type="dxa"/>
            <w:gridSpan w:val="7"/>
            <w:shd w:val="clear" w:color="auto" w:fill="F2F2F2" w:themeFill="background1" w:themeFillShade="F2"/>
          </w:tcPr>
          <w:p w14:paraId="7C55A125" w14:textId="7BF04B73" w:rsidR="002B78D4" w:rsidRPr="00F6284E" w:rsidRDefault="002B78D4" w:rsidP="00A111E9">
            <w:pPr>
              <w:spacing w:before="20" w:after="20"/>
              <w:rPr>
                <w:rFonts w:ascii="Arial" w:hAnsi="Arial"/>
                <w:b/>
                <w:sz w:val="18"/>
              </w:rPr>
            </w:pPr>
            <w:r w:rsidRPr="00D711DD">
              <w:rPr>
                <w:b/>
                <w:sz w:val="18"/>
              </w:rPr>
              <w:t>Oral K+ PFOS concentration (mg/kg bw</w:t>
            </w:r>
            <w:r w:rsidRPr="000B3C14">
              <w:rPr>
                <w:b/>
                <w:sz w:val="18"/>
              </w:rPr>
              <w:t>/day)</w:t>
            </w:r>
          </w:p>
        </w:tc>
      </w:tr>
      <w:tr w:rsidR="00604886" w:rsidRPr="00AA0B40" w14:paraId="621775D6" w14:textId="77777777" w:rsidTr="00A111E9">
        <w:trPr>
          <w:trHeight w:val="100"/>
          <w:tblHeader/>
          <w:jc w:val="center"/>
        </w:trPr>
        <w:tc>
          <w:tcPr>
            <w:tcW w:w="675" w:type="dxa"/>
            <w:shd w:val="clear" w:color="auto" w:fill="F2F2F2" w:themeFill="background1" w:themeFillShade="F2"/>
          </w:tcPr>
          <w:p w14:paraId="24B11551" w14:textId="77777777" w:rsidR="00604886" w:rsidRPr="00D711DD" w:rsidRDefault="00604886" w:rsidP="00A111E9">
            <w:pPr>
              <w:spacing w:before="20" w:after="20"/>
              <w:rPr>
                <w:rFonts w:ascii="Arial" w:hAnsi="Arial"/>
                <w:b/>
                <w:sz w:val="18"/>
              </w:rPr>
            </w:pPr>
          </w:p>
        </w:tc>
        <w:tc>
          <w:tcPr>
            <w:tcW w:w="1322" w:type="dxa"/>
            <w:shd w:val="clear" w:color="auto" w:fill="F2F2F2" w:themeFill="background1" w:themeFillShade="F2"/>
          </w:tcPr>
          <w:p w14:paraId="388B7BCC" w14:textId="77777777" w:rsidR="00604886" w:rsidRPr="00F6284E" w:rsidRDefault="00604886" w:rsidP="00230E14">
            <w:pPr>
              <w:spacing w:before="20" w:after="20"/>
              <w:jc w:val="right"/>
              <w:rPr>
                <w:rFonts w:ascii="Arial" w:hAnsi="Arial"/>
                <w:b/>
                <w:sz w:val="18"/>
              </w:rPr>
            </w:pPr>
            <w:r w:rsidRPr="000B3C14">
              <w:rPr>
                <w:b/>
                <w:sz w:val="18"/>
              </w:rPr>
              <w:t>0</w:t>
            </w:r>
          </w:p>
        </w:tc>
        <w:tc>
          <w:tcPr>
            <w:tcW w:w="1322" w:type="dxa"/>
            <w:shd w:val="clear" w:color="auto" w:fill="F2F2F2" w:themeFill="background1" w:themeFillShade="F2"/>
          </w:tcPr>
          <w:p w14:paraId="5A1923DD" w14:textId="77777777" w:rsidR="00604886" w:rsidRPr="00F6284E" w:rsidRDefault="00604886" w:rsidP="00230E14">
            <w:pPr>
              <w:spacing w:before="20" w:after="20"/>
              <w:jc w:val="right"/>
              <w:rPr>
                <w:rFonts w:ascii="Arial" w:hAnsi="Arial"/>
                <w:b/>
                <w:sz w:val="18"/>
              </w:rPr>
            </w:pPr>
            <w:r w:rsidRPr="00F6284E">
              <w:rPr>
                <w:b/>
                <w:sz w:val="18"/>
              </w:rPr>
              <w:t>0.008</w:t>
            </w:r>
          </w:p>
        </w:tc>
        <w:tc>
          <w:tcPr>
            <w:tcW w:w="1322" w:type="dxa"/>
            <w:shd w:val="clear" w:color="auto" w:fill="F2F2F2" w:themeFill="background1" w:themeFillShade="F2"/>
          </w:tcPr>
          <w:p w14:paraId="1181BE90" w14:textId="77777777" w:rsidR="00604886" w:rsidRPr="00F6284E" w:rsidRDefault="00604886" w:rsidP="00230E14">
            <w:pPr>
              <w:spacing w:before="20" w:after="20"/>
              <w:jc w:val="right"/>
              <w:rPr>
                <w:rFonts w:ascii="Arial" w:hAnsi="Arial"/>
                <w:b/>
                <w:sz w:val="18"/>
              </w:rPr>
            </w:pPr>
            <w:r w:rsidRPr="00F6284E">
              <w:rPr>
                <w:b/>
                <w:sz w:val="18"/>
              </w:rPr>
              <w:t>0.083</w:t>
            </w:r>
          </w:p>
        </w:tc>
        <w:tc>
          <w:tcPr>
            <w:tcW w:w="1322" w:type="dxa"/>
            <w:shd w:val="clear" w:color="auto" w:fill="F2F2F2" w:themeFill="background1" w:themeFillShade="F2"/>
          </w:tcPr>
          <w:p w14:paraId="397855A8" w14:textId="2357EA9F" w:rsidR="00604886" w:rsidRPr="00F6284E" w:rsidRDefault="003B4848" w:rsidP="00230E14">
            <w:pPr>
              <w:spacing w:before="20" w:after="20"/>
              <w:jc w:val="right"/>
              <w:rPr>
                <w:rFonts w:ascii="Arial" w:hAnsi="Arial"/>
                <w:b/>
                <w:sz w:val="18"/>
              </w:rPr>
            </w:pPr>
            <w:r w:rsidRPr="00F6284E">
              <w:rPr>
                <w:b/>
                <w:sz w:val="18"/>
              </w:rPr>
              <w:t>0.</w:t>
            </w:r>
            <w:r w:rsidR="00604886" w:rsidRPr="00F6284E">
              <w:rPr>
                <w:b/>
                <w:sz w:val="18"/>
              </w:rPr>
              <w:t>417</w:t>
            </w:r>
          </w:p>
        </w:tc>
        <w:tc>
          <w:tcPr>
            <w:tcW w:w="1322" w:type="dxa"/>
            <w:shd w:val="clear" w:color="auto" w:fill="F2F2F2" w:themeFill="background1" w:themeFillShade="F2"/>
          </w:tcPr>
          <w:p w14:paraId="587AE279" w14:textId="73DD84E3" w:rsidR="00604886" w:rsidRPr="00F6284E" w:rsidRDefault="003B4848" w:rsidP="00230E14">
            <w:pPr>
              <w:spacing w:before="20" w:after="20"/>
              <w:jc w:val="right"/>
              <w:rPr>
                <w:rFonts w:ascii="Arial" w:hAnsi="Arial"/>
                <w:b/>
                <w:sz w:val="18"/>
              </w:rPr>
            </w:pPr>
            <w:r w:rsidRPr="00F6284E">
              <w:rPr>
                <w:b/>
                <w:sz w:val="18"/>
              </w:rPr>
              <w:t>0.</w:t>
            </w:r>
            <w:r w:rsidR="00604886" w:rsidRPr="00F6284E">
              <w:rPr>
                <w:b/>
                <w:sz w:val="18"/>
              </w:rPr>
              <w:t>833</w:t>
            </w:r>
          </w:p>
        </w:tc>
        <w:tc>
          <w:tcPr>
            <w:tcW w:w="1322" w:type="dxa"/>
            <w:shd w:val="clear" w:color="auto" w:fill="F2F2F2" w:themeFill="background1" w:themeFillShade="F2"/>
          </w:tcPr>
          <w:p w14:paraId="7D4F30FE" w14:textId="143FE57D" w:rsidR="00604886" w:rsidRPr="00F6284E" w:rsidRDefault="00604886" w:rsidP="00230E14">
            <w:pPr>
              <w:spacing w:before="20" w:after="20"/>
              <w:jc w:val="right"/>
              <w:rPr>
                <w:rFonts w:ascii="Arial" w:hAnsi="Arial"/>
                <w:b/>
                <w:sz w:val="18"/>
              </w:rPr>
            </w:pPr>
            <w:r w:rsidRPr="00F6284E">
              <w:rPr>
                <w:b/>
                <w:sz w:val="18"/>
              </w:rPr>
              <w:t>2</w:t>
            </w:r>
            <w:r w:rsidR="003B4848" w:rsidRPr="00F6284E">
              <w:rPr>
                <w:b/>
                <w:sz w:val="18"/>
              </w:rPr>
              <w:t>.</w:t>
            </w:r>
            <w:r w:rsidRPr="00F6284E">
              <w:rPr>
                <w:b/>
                <w:sz w:val="18"/>
              </w:rPr>
              <w:t>083</w:t>
            </w:r>
          </w:p>
        </w:tc>
      </w:tr>
      <w:tr w:rsidR="002B78D4" w:rsidRPr="00AA0B40" w14:paraId="5381FB14" w14:textId="77777777" w:rsidTr="00A111E9">
        <w:trPr>
          <w:trHeight w:val="100"/>
          <w:tblHeader/>
          <w:jc w:val="center"/>
        </w:trPr>
        <w:tc>
          <w:tcPr>
            <w:tcW w:w="8607" w:type="dxa"/>
            <w:gridSpan w:val="7"/>
            <w:shd w:val="clear" w:color="auto" w:fill="F2F2F2" w:themeFill="background1" w:themeFillShade="F2"/>
          </w:tcPr>
          <w:p w14:paraId="461CA20F" w14:textId="632824D3" w:rsidR="002B78D4" w:rsidRPr="00F6284E" w:rsidRDefault="002B78D4" w:rsidP="00A111E9">
            <w:pPr>
              <w:spacing w:before="20" w:after="20"/>
              <w:rPr>
                <w:rFonts w:ascii="Arial" w:hAnsi="Arial"/>
                <w:b/>
                <w:sz w:val="18"/>
              </w:rPr>
            </w:pPr>
            <w:r w:rsidRPr="00D711DD">
              <w:rPr>
                <w:b/>
                <w:sz w:val="18"/>
              </w:rPr>
              <w:t>Oral K</w:t>
            </w:r>
            <w:r w:rsidRPr="000B3C14">
              <w:rPr>
                <w:b/>
                <w:sz w:val="18"/>
                <w:vertAlign w:val="superscript"/>
              </w:rPr>
              <w:t>+</w:t>
            </w:r>
            <w:r w:rsidRPr="00F6284E">
              <w:rPr>
                <w:b/>
                <w:sz w:val="18"/>
              </w:rPr>
              <w:t>PFOS concentration (mg/kg TAD)</w:t>
            </w:r>
          </w:p>
        </w:tc>
      </w:tr>
      <w:tr w:rsidR="00604886" w:rsidRPr="00AA0B40" w14:paraId="088290F1" w14:textId="77777777" w:rsidTr="00A111E9">
        <w:trPr>
          <w:trHeight w:val="100"/>
          <w:tblHeader/>
          <w:jc w:val="center"/>
        </w:trPr>
        <w:tc>
          <w:tcPr>
            <w:tcW w:w="675" w:type="dxa"/>
            <w:shd w:val="clear" w:color="auto" w:fill="F2F2F2" w:themeFill="background1" w:themeFillShade="F2"/>
          </w:tcPr>
          <w:p w14:paraId="3C8A221B" w14:textId="77777777" w:rsidR="00604886" w:rsidRPr="00D711DD" w:rsidRDefault="00604886" w:rsidP="00A111E9">
            <w:pPr>
              <w:spacing w:before="20" w:after="20"/>
              <w:rPr>
                <w:rFonts w:ascii="Arial" w:hAnsi="Arial"/>
                <w:b/>
                <w:sz w:val="18"/>
              </w:rPr>
            </w:pPr>
          </w:p>
        </w:tc>
        <w:tc>
          <w:tcPr>
            <w:tcW w:w="1322" w:type="dxa"/>
            <w:shd w:val="clear" w:color="auto" w:fill="F2F2F2" w:themeFill="background1" w:themeFillShade="F2"/>
          </w:tcPr>
          <w:p w14:paraId="1A4B389B" w14:textId="77777777" w:rsidR="00604886" w:rsidRPr="00F6284E" w:rsidRDefault="00604886" w:rsidP="00230E14">
            <w:pPr>
              <w:spacing w:before="20" w:after="20"/>
              <w:jc w:val="right"/>
              <w:rPr>
                <w:rFonts w:ascii="Arial" w:hAnsi="Arial"/>
                <w:b/>
                <w:sz w:val="18"/>
              </w:rPr>
            </w:pPr>
            <w:r w:rsidRPr="000B3C14">
              <w:rPr>
                <w:b/>
                <w:sz w:val="18"/>
              </w:rPr>
              <w:t>0</w:t>
            </w:r>
          </w:p>
        </w:tc>
        <w:tc>
          <w:tcPr>
            <w:tcW w:w="1322" w:type="dxa"/>
            <w:shd w:val="clear" w:color="auto" w:fill="F2F2F2" w:themeFill="background1" w:themeFillShade="F2"/>
          </w:tcPr>
          <w:p w14:paraId="52C76122" w14:textId="77777777" w:rsidR="00604886" w:rsidRPr="00F6284E" w:rsidRDefault="00604886" w:rsidP="00230E14">
            <w:pPr>
              <w:spacing w:before="20" w:after="20"/>
              <w:jc w:val="right"/>
              <w:rPr>
                <w:rFonts w:ascii="Arial" w:hAnsi="Arial"/>
                <w:b/>
                <w:sz w:val="18"/>
              </w:rPr>
            </w:pPr>
            <w:r w:rsidRPr="00F6284E">
              <w:rPr>
                <w:b/>
                <w:sz w:val="18"/>
              </w:rPr>
              <w:t>0.5</w:t>
            </w:r>
          </w:p>
        </w:tc>
        <w:tc>
          <w:tcPr>
            <w:tcW w:w="1322" w:type="dxa"/>
            <w:shd w:val="clear" w:color="auto" w:fill="F2F2F2" w:themeFill="background1" w:themeFillShade="F2"/>
          </w:tcPr>
          <w:p w14:paraId="45E6327D" w14:textId="77777777" w:rsidR="00604886" w:rsidRPr="00F6284E" w:rsidRDefault="00604886" w:rsidP="00230E14">
            <w:pPr>
              <w:spacing w:before="20" w:after="20"/>
              <w:jc w:val="right"/>
              <w:rPr>
                <w:rFonts w:ascii="Arial" w:hAnsi="Arial"/>
                <w:b/>
                <w:sz w:val="18"/>
              </w:rPr>
            </w:pPr>
            <w:r w:rsidRPr="00F6284E">
              <w:rPr>
                <w:b/>
                <w:sz w:val="18"/>
              </w:rPr>
              <w:t>5</w:t>
            </w:r>
          </w:p>
        </w:tc>
        <w:tc>
          <w:tcPr>
            <w:tcW w:w="1322" w:type="dxa"/>
            <w:shd w:val="clear" w:color="auto" w:fill="F2F2F2" w:themeFill="background1" w:themeFillShade="F2"/>
          </w:tcPr>
          <w:p w14:paraId="2B2BB6C9" w14:textId="77777777" w:rsidR="00604886" w:rsidRPr="00F6284E" w:rsidRDefault="00604886" w:rsidP="00230E14">
            <w:pPr>
              <w:spacing w:before="20" w:after="20"/>
              <w:jc w:val="right"/>
              <w:rPr>
                <w:rFonts w:ascii="Arial" w:hAnsi="Arial"/>
                <w:b/>
                <w:sz w:val="18"/>
              </w:rPr>
            </w:pPr>
            <w:r w:rsidRPr="00F6284E">
              <w:rPr>
                <w:b/>
                <w:sz w:val="18"/>
              </w:rPr>
              <w:t>25</w:t>
            </w:r>
          </w:p>
        </w:tc>
        <w:tc>
          <w:tcPr>
            <w:tcW w:w="1322" w:type="dxa"/>
            <w:shd w:val="clear" w:color="auto" w:fill="F2F2F2" w:themeFill="background1" w:themeFillShade="F2"/>
          </w:tcPr>
          <w:p w14:paraId="470FFA89" w14:textId="77777777" w:rsidR="00604886" w:rsidRPr="00F6284E" w:rsidRDefault="00604886" w:rsidP="00230E14">
            <w:pPr>
              <w:spacing w:before="20" w:after="20"/>
              <w:jc w:val="right"/>
              <w:rPr>
                <w:rFonts w:ascii="Arial" w:hAnsi="Arial"/>
                <w:b/>
                <w:sz w:val="18"/>
              </w:rPr>
            </w:pPr>
            <w:r w:rsidRPr="00F6284E">
              <w:rPr>
                <w:b/>
                <w:sz w:val="18"/>
              </w:rPr>
              <w:t>50</w:t>
            </w:r>
          </w:p>
        </w:tc>
        <w:tc>
          <w:tcPr>
            <w:tcW w:w="1322" w:type="dxa"/>
            <w:shd w:val="clear" w:color="auto" w:fill="F2F2F2" w:themeFill="background1" w:themeFillShade="F2"/>
          </w:tcPr>
          <w:p w14:paraId="4B0B387B" w14:textId="77777777" w:rsidR="00604886" w:rsidRPr="00F6284E" w:rsidRDefault="00604886" w:rsidP="00230E14">
            <w:pPr>
              <w:spacing w:before="20" w:after="20"/>
              <w:jc w:val="right"/>
              <w:rPr>
                <w:rFonts w:ascii="Arial" w:hAnsi="Arial"/>
                <w:b/>
                <w:sz w:val="18"/>
              </w:rPr>
            </w:pPr>
            <w:r w:rsidRPr="00F6284E">
              <w:rPr>
                <w:b/>
                <w:sz w:val="18"/>
              </w:rPr>
              <w:t>125</w:t>
            </w:r>
          </w:p>
        </w:tc>
      </w:tr>
      <w:tr w:rsidR="00604886" w14:paraId="3DAB7AD4" w14:textId="77777777" w:rsidTr="00F6284E">
        <w:trPr>
          <w:trHeight w:val="283"/>
          <w:jc w:val="center"/>
        </w:trPr>
        <w:tc>
          <w:tcPr>
            <w:tcW w:w="8607" w:type="dxa"/>
            <w:gridSpan w:val="7"/>
            <w:shd w:val="clear" w:color="auto" w:fill="F2F2F2" w:themeFill="background1" w:themeFillShade="F2"/>
            <w:vAlign w:val="center"/>
          </w:tcPr>
          <w:p w14:paraId="13FF2141" w14:textId="77777777" w:rsidR="00604886" w:rsidRPr="000B3C14" w:rsidRDefault="00604886" w:rsidP="00A111E9">
            <w:pPr>
              <w:rPr>
                <w:rFonts w:ascii="Arial" w:hAnsi="Arial"/>
                <w:sz w:val="18"/>
              </w:rPr>
            </w:pPr>
            <w:r w:rsidRPr="00D711DD">
              <w:rPr>
                <w:sz w:val="18"/>
              </w:rPr>
              <w:t>Day 60 – Termination</w:t>
            </w:r>
          </w:p>
        </w:tc>
      </w:tr>
      <w:tr w:rsidR="00604886" w14:paraId="60D4456D" w14:textId="77777777" w:rsidTr="00F6284E">
        <w:trPr>
          <w:trHeight w:val="149"/>
          <w:jc w:val="center"/>
        </w:trPr>
        <w:tc>
          <w:tcPr>
            <w:tcW w:w="675" w:type="dxa"/>
            <w:vAlign w:val="center"/>
          </w:tcPr>
          <w:p w14:paraId="7693E40A" w14:textId="77777777" w:rsidR="00604886" w:rsidRPr="000B3C14" w:rsidRDefault="00604886" w:rsidP="00A111E9">
            <w:pPr>
              <w:rPr>
                <w:rFonts w:ascii="Arial" w:hAnsi="Arial"/>
                <w:sz w:val="18"/>
                <w:vertAlign w:val="superscript"/>
              </w:rPr>
            </w:pPr>
            <w:r w:rsidRPr="00D711DD">
              <w:rPr>
                <w:sz w:val="18"/>
              </w:rPr>
              <w:t>Male</w:t>
            </w:r>
          </w:p>
        </w:tc>
        <w:tc>
          <w:tcPr>
            <w:tcW w:w="1322" w:type="dxa"/>
            <w:vAlign w:val="center"/>
          </w:tcPr>
          <w:p w14:paraId="22A04959" w14:textId="586DBC7B" w:rsidR="00604886" w:rsidRPr="000B3C14" w:rsidRDefault="00604886" w:rsidP="00230E14">
            <w:pPr>
              <w:jc w:val="right"/>
              <w:rPr>
                <w:rFonts w:ascii="Arial" w:hAnsi="Arial"/>
                <w:sz w:val="18"/>
              </w:rPr>
            </w:pPr>
            <w:r w:rsidRPr="00512F95">
              <w:rPr>
                <w:sz w:val="18"/>
              </w:rPr>
              <w:t xml:space="preserve">48±14 </w:t>
            </w:r>
            <w:r w:rsidR="00F8065C" w:rsidRPr="00D711DD">
              <w:rPr>
                <w:sz w:val="18"/>
              </w:rPr>
              <w:t>(10)</w:t>
            </w:r>
          </w:p>
        </w:tc>
        <w:tc>
          <w:tcPr>
            <w:tcW w:w="1322" w:type="dxa"/>
            <w:vAlign w:val="center"/>
          </w:tcPr>
          <w:p w14:paraId="7A2A9C97" w14:textId="705EFA4E" w:rsidR="00604886" w:rsidRPr="000B3C14" w:rsidRDefault="00604886" w:rsidP="00230E14">
            <w:pPr>
              <w:jc w:val="right"/>
              <w:rPr>
                <w:rFonts w:ascii="Arial" w:hAnsi="Arial"/>
                <w:sz w:val="18"/>
              </w:rPr>
            </w:pPr>
            <w:r w:rsidRPr="00512F95">
              <w:rPr>
                <w:sz w:val="18"/>
              </w:rPr>
              <w:t>674±166</w:t>
            </w:r>
            <w:r w:rsidR="00F8065C" w:rsidRPr="00D711DD">
              <w:rPr>
                <w:sz w:val="18"/>
              </w:rPr>
              <w:t xml:space="preserve"> (10)</w:t>
            </w:r>
          </w:p>
        </w:tc>
        <w:tc>
          <w:tcPr>
            <w:tcW w:w="1322" w:type="dxa"/>
            <w:vAlign w:val="center"/>
          </w:tcPr>
          <w:p w14:paraId="4FC65513" w14:textId="7D65B3DC" w:rsidR="00604886" w:rsidRPr="00F6284E" w:rsidRDefault="00604886" w:rsidP="00230E14">
            <w:pPr>
              <w:jc w:val="right"/>
              <w:rPr>
                <w:rFonts w:ascii="Arial" w:hAnsi="Arial"/>
                <w:sz w:val="18"/>
              </w:rPr>
            </w:pPr>
            <w:r w:rsidRPr="00512F95">
              <w:rPr>
                <w:sz w:val="18"/>
              </w:rPr>
              <w:t>7</w:t>
            </w:r>
            <w:r w:rsidRPr="00D711DD">
              <w:rPr>
                <w:sz w:val="18"/>
              </w:rPr>
              <w:t>132±1039</w:t>
            </w:r>
            <w:r w:rsidR="00F8065C" w:rsidRPr="000B3C14">
              <w:rPr>
                <w:sz w:val="18"/>
              </w:rPr>
              <w:t xml:space="preserve"> (10)</w:t>
            </w:r>
          </w:p>
        </w:tc>
        <w:tc>
          <w:tcPr>
            <w:tcW w:w="1322" w:type="dxa"/>
            <w:vAlign w:val="center"/>
          </w:tcPr>
          <w:p w14:paraId="06BA9C49" w14:textId="0B96BB4C" w:rsidR="00604886" w:rsidRPr="00F6284E" w:rsidRDefault="000C7387" w:rsidP="000C7387">
            <w:pPr>
              <w:jc w:val="right"/>
              <w:rPr>
                <w:rFonts w:ascii="Arial" w:hAnsi="Arial"/>
                <w:sz w:val="18"/>
              </w:rPr>
            </w:pPr>
            <w:r w:rsidRPr="00512F95">
              <w:rPr>
                <w:sz w:val="18"/>
              </w:rPr>
              <w:t>2</w:t>
            </w:r>
            <w:r w:rsidRPr="00D711DD">
              <w:rPr>
                <w:sz w:val="18"/>
              </w:rPr>
              <w:t>1</w:t>
            </w:r>
            <w:r>
              <w:rPr>
                <w:sz w:val="18"/>
              </w:rPr>
              <w:t>,</w:t>
            </w:r>
            <w:r w:rsidR="00CC26CA">
              <w:rPr>
                <w:sz w:val="18"/>
              </w:rPr>
              <w:t>638</w:t>
            </w:r>
            <w:r w:rsidR="00604886" w:rsidRPr="00D711DD">
              <w:rPr>
                <w:sz w:val="18"/>
              </w:rPr>
              <w:t>±4410</w:t>
            </w:r>
            <w:r w:rsidR="00F8065C" w:rsidRPr="000B3C14">
              <w:rPr>
                <w:sz w:val="18"/>
              </w:rPr>
              <w:t xml:space="preserve"> (10)</w:t>
            </w:r>
          </w:p>
        </w:tc>
        <w:tc>
          <w:tcPr>
            <w:tcW w:w="1322" w:type="dxa"/>
            <w:vAlign w:val="center"/>
          </w:tcPr>
          <w:p w14:paraId="400A62F4" w14:textId="6F5FAC1B" w:rsidR="00604886" w:rsidRPr="00F6284E" w:rsidRDefault="00604886" w:rsidP="000C7387">
            <w:pPr>
              <w:jc w:val="right"/>
              <w:rPr>
                <w:rFonts w:ascii="Arial" w:hAnsi="Arial"/>
                <w:sz w:val="18"/>
              </w:rPr>
            </w:pPr>
            <w:r w:rsidRPr="00512F95">
              <w:rPr>
                <w:sz w:val="18"/>
              </w:rPr>
              <w:t>65</w:t>
            </w:r>
            <w:r w:rsidR="00CC26CA">
              <w:rPr>
                <w:sz w:val="18"/>
              </w:rPr>
              <w:t> 426</w:t>
            </w:r>
            <w:r w:rsidRPr="00512F95">
              <w:rPr>
                <w:sz w:val="18"/>
              </w:rPr>
              <w:t>±</w:t>
            </w:r>
            <w:r w:rsidR="000C7387" w:rsidRPr="00512F95">
              <w:rPr>
                <w:sz w:val="18"/>
              </w:rPr>
              <w:t>11</w:t>
            </w:r>
            <w:r w:rsidR="000C7387">
              <w:rPr>
                <w:sz w:val="18"/>
              </w:rPr>
              <w:t>,</w:t>
            </w:r>
            <w:r w:rsidR="00CC26CA">
              <w:rPr>
                <w:sz w:val="18"/>
              </w:rPr>
              <w:t>726</w:t>
            </w:r>
            <w:r w:rsidR="00F8065C" w:rsidRPr="000B3C14">
              <w:rPr>
                <w:sz w:val="18"/>
              </w:rPr>
              <w:t xml:space="preserve"> (10)</w:t>
            </w:r>
          </w:p>
        </w:tc>
        <w:tc>
          <w:tcPr>
            <w:tcW w:w="1322" w:type="dxa"/>
            <w:vAlign w:val="center"/>
          </w:tcPr>
          <w:p w14:paraId="6982FA96" w14:textId="5ED8FB94" w:rsidR="00604886" w:rsidRPr="00D711DD" w:rsidRDefault="000C7387" w:rsidP="000C7387">
            <w:pPr>
              <w:jc w:val="right"/>
              <w:rPr>
                <w:rFonts w:ascii="Arial" w:hAnsi="Arial"/>
                <w:sz w:val="18"/>
              </w:rPr>
            </w:pPr>
            <w:r w:rsidRPr="00512F95">
              <w:rPr>
                <w:sz w:val="18"/>
              </w:rPr>
              <w:t>120</w:t>
            </w:r>
            <w:r>
              <w:rPr>
                <w:sz w:val="18"/>
              </w:rPr>
              <w:t>,</w:t>
            </w:r>
            <w:r w:rsidR="00CC26CA">
              <w:rPr>
                <w:sz w:val="18"/>
              </w:rPr>
              <w:t>670</w:t>
            </w:r>
            <w:r w:rsidR="00604886" w:rsidRPr="00D711DD">
              <w:rPr>
                <w:sz w:val="18"/>
              </w:rPr>
              <w:t>±21</w:t>
            </w:r>
            <w:r w:rsidR="00CC26CA">
              <w:rPr>
                <w:sz w:val="18"/>
              </w:rPr>
              <w:t>759</w:t>
            </w:r>
            <w:r w:rsidR="00013591">
              <w:rPr>
                <w:rFonts w:ascii="Arial" w:hAnsi="Arial" w:cs="Arial"/>
                <w:sz w:val="18"/>
                <w:szCs w:val="18"/>
                <w:lang w:bidi="ar-SA"/>
              </w:rPr>
              <w:t xml:space="preserve"> </w:t>
            </w:r>
            <w:r w:rsidR="00F8065C" w:rsidRPr="00512F95">
              <w:rPr>
                <w:sz w:val="18"/>
              </w:rPr>
              <w:t>(10)</w:t>
            </w:r>
          </w:p>
        </w:tc>
      </w:tr>
    </w:tbl>
    <w:p w14:paraId="2F7C17AC" w14:textId="6D7080FE" w:rsidR="00F8065C" w:rsidRPr="00F6284E" w:rsidRDefault="00F8065C" w:rsidP="00A111E9">
      <w:pPr>
        <w:spacing w:before="120"/>
        <w:ind w:left="567"/>
        <w:rPr>
          <w:sz w:val="16"/>
        </w:rPr>
      </w:pPr>
      <w:r w:rsidRPr="00D711DD">
        <w:rPr>
          <w:sz w:val="16"/>
        </w:rPr>
        <w:t xml:space="preserve">Blood samples were taken </w:t>
      </w:r>
      <w:r w:rsidRPr="000B3C14">
        <w:rPr>
          <w:i/>
          <w:sz w:val="16"/>
        </w:rPr>
        <w:t xml:space="preserve">via </w:t>
      </w:r>
      <w:r w:rsidRPr="00F6284E">
        <w:rPr>
          <w:sz w:val="16"/>
        </w:rPr>
        <w:t>the orbital sinus route.</w:t>
      </w:r>
    </w:p>
    <w:p w14:paraId="316F4438" w14:textId="091C23FC" w:rsidR="00085304" w:rsidRPr="00F6284E" w:rsidRDefault="00085304" w:rsidP="00A111E9">
      <w:pPr>
        <w:ind w:left="567"/>
        <w:rPr>
          <w:sz w:val="16"/>
        </w:rPr>
      </w:pPr>
      <w:r w:rsidRPr="00F6284E">
        <w:rPr>
          <w:sz w:val="16"/>
        </w:rPr>
        <w:t>Data presented as mean ±</w:t>
      </w:r>
      <w:r w:rsidR="00656F89">
        <w:rPr>
          <w:sz w:val="16"/>
        </w:rPr>
        <w:t xml:space="preserve"> </w:t>
      </w:r>
      <w:r w:rsidRPr="00F6284E">
        <w:rPr>
          <w:sz w:val="16"/>
        </w:rPr>
        <w:t>standard deviation (sample size)</w:t>
      </w:r>
    </w:p>
    <w:p w14:paraId="331103EC" w14:textId="507FEA5C" w:rsidR="00085304" w:rsidRPr="00F6284E" w:rsidRDefault="00085304" w:rsidP="00A111E9">
      <w:pPr>
        <w:ind w:left="567"/>
        <w:rPr>
          <w:sz w:val="16"/>
        </w:rPr>
      </w:pPr>
      <w:r w:rsidRPr="00F6284E">
        <w:rPr>
          <w:sz w:val="16"/>
        </w:rPr>
        <w:t xml:space="preserve">Data </w:t>
      </w:r>
      <w:r w:rsidR="00104C8E" w:rsidRPr="00F6284E">
        <w:rPr>
          <w:sz w:val="16"/>
        </w:rPr>
        <w:t>compiled</w:t>
      </w:r>
      <w:r w:rsidRPr="00F6284E">
        <w:rPr>
          <w:sz w:val="16"/>
        </w:rPr>
        <w:t xml:space="preserve"> from Dong </w:t>
      </w:r>
      <w:r w:rsidR="00180A32" w:rsidRPr="00180A32">
        <w:rPr>
          <w:i/>
          <w:sz w:val="16"/>
        </w:rPr>
        <w:t xml:space="preserve">et al. </w:t>
      </w:r>
      <w:r w:rsidRPr="00F6284E">
        <w:rPr>
          <w:sz w:val="16"/>
        </w:rPr>
        <w:t xml:space="preserve"> 2009</w:t>
      </w:r>
    </w:p>
    <w:p w14:paraId="65096768" w14:textId="77777777" w:rsidR="00604886" w:rsidRPr="00F6284E" w:rsidRDefault="00604886" w:rsidP="00A111E9">
      <w:pPr>
        <w:ind w:left="567"/>
        <w:rPr>
          <w:sz w:val="16"/>
        </w:rPr>
      </w:pPr>
      <w:r w:rsidRPr="00F6284E">
        <w:rPr>
          <w:sz w:val="16"/>
        </w:rPr>
        <w:t>TAD Targeted total administered dose</w:t>
      </w:r>
    </w:p>
    <w:p w14:paraId="54988A91" w14:textId="443A0927" w:rsidR="00D5088F" w:rsidRPr="00D5088F" w:rsidRDefault="00D5088F" w:rsidP="005F1486">
      <w:pPr>
        <w:pStyle w:val="Heading5"/>
      </w:pPr>
      <w:r w:rsidRPr="00D5088F">
        <w:t>Neurotoxicity</w:t>
      </w:r>
    </w:p>
    <w:p w14:paraId="65D5D63C" w14:textId="3482F649" w:rsidR="00D5088F" w:rsidRPr="00A42273" w:rsidRDefault="00D5088F" w:rsidP="00A111E9">
      <w:pPr>
        <w:rPr>
          <w:b/>
          <w:lang w:bidi="ar-SA"/>
        </w:rPr>
      </w:pPr>
      <w:r w:rsidRPr="00A42273">
        <w:rPr>
          <w:b/>
          <w:lang w:bidi="ar-SA"/>
        </w:rPr>
        <w:t xml:space="preserve">Long </w:t>
      </w:r>
      <w:r w:rsidR="00180A32" w:rsidRPr="00180A32">
        <w:rPr>
          <w:b/>
          <w:i/>
          <w:lang w:bidi="ar-SA"/>
        </w:rPr>
        <w:t xml:space="preserve">et al. </w:t>
      </w:r>
      <w:r w:rsidR="00713213">
        <w:rPr>
          <w:b/>
          <w:lang w:bidi="ar-SA"/>
        </w:rPr>
        <w:t xml:space="preserve"> </w:t>
      </w:r>
      <w:r w:rsidRPr="00A42273">
        <w:rPr>
          <w:b/>
          <w:lang w:bidi="ar-SA"/>
        </w:rPr>
        <w:t xml:space="preserve">2013 </w:t>
      </w:r>
    </w:p>
    <w:p w14:paraId="5788B75A" w14:textId="77777777" w:rsidR="00D5088F" w:rsidRDefault="00D5088F" w:rsidP="00A111E9">
      <w:pPr>
        <w:rPr>
          <w:lang w:bidi="ar-SA"/>
        </w:rPr>
      </w:pPr>
    </w:p>
    <w:p w14:paraId="32EEE5B1" w14:textId="0C697190" w:rsidR="00D5088F" w:rsidRDefault="00D5088F" w:rsidP="00A111E9">
      <w:pPr>
        <w:rPr>
          <w:lang w:bidi="ar-SA"/>
        </w:rPr>
      </w:pPr>
      <w:r>
        <w:rPr>
          <w:lang w:bidi="ar-SA"/>
        </w:rPr>
        <w:t>In a study to assess the neurotoxicity of PFOS, adult C57BL6 mice (8 weeks old; 15 per group; number of each sex not stated) were administered doses of 0, 0.43, 2.15 and 10.75 mg/kg bw/day</w:t>
      </w:r>
      <w:r w:rsidR="003F62BB">
        <w:rPr>
          <w:lang w:bidi="ar-SA"/>
        </w:rPr>
        <w:t xml:space="preserve"> by gavage</w:t>
      </w:r>
      <w:r>
        <w:rPr>
          <w:lang w:bidi="ar-SA"/>
        </w:rPr>
        <w:t xml:space="preserve"> for three months (Long </w:t>
      </w:r>
      <w:r w:rsidR="00180A32" w:rsidRPr="00180A32">
        <w:rPr>
          <w:i/>
          <w:lang w:bidi="ar-SA"/>
        </w:rPr>
        <w:t xml:space="preserve">et al. </w:t>
      </w:r>
      <w:r w:rsidR="00F22DA6">
        <w:rPr>
          <w:lang w:bidi="ar-SA"/>
        </w:rPr>
        <w:t xml:space="preserve"> </w:t>
      </w:r>
      <w:r>
        <w:rPr>
          <w:lang w:bidi="ar-SA"/>
        </w:rPr>
        <w:t xml:space="preserve">2013). Spatial learning and memory were assessed in the Morris water maze. Apoptosis was assessed in hippocampal cells as well as levels of </w:t>
      </w:r>
      <w:r w:rsidRPr="00683622">
        <w:rPr>
          <w:lang w:bidi="ar-SA"/>
        </w:rPr>
        <w:t>glutamate, gamma-aminobutyric acid (GABA), dopamine</w:t>
      </w:r>
      <w:r>
        <w:rPr>
          <w:lang w:bidi="ar-SA"/>
        </w:rPr>
        <w:t>, 3,4-dihydrophenylacetic acid (DOPAC), and homovanillic acid (HVA). Differential expression of proteins in the hippocampus was also assessed using two-dimensional fluorescence difference in gel electrophoresis (2D-DIGE) and western blotting analysis. Serum levels of PFOS were not measured in this study.</w:t>
      </w:r>
    </w:p>
    <w:p w14:paraId="11EE83A8" w14:textId="77777777" w:rsidR="00D5088F" w:rsidRDefault="00D5088F" w:rsidP="00A111E9">
      <w:pPr>
        <w:rPr>
          <w:lang w:bidi="ar-SA"/>
        </w:rPr>
      </w:pPr>
    </w:p>
    <w:p w14:paraId="7696A376" w14:textId="1D344D1F" w:rsidR="00D5088F" w:rsidRDefault="00D5088F" w:rsidP="00A111E9">
      <w:pPr>
        <w:rPr>
          <w:lang w:bidi="ar-SA"/>
        </w:rPr>
      </w:pPr>
      <w:r>
        <w:rPr>
          <w:lang w:bidi="ar-SA"/>
        </w:rPr>
        <w:t xml:space="preserve">In the water maze trial, animals administered 2.15 and 10.75 mg/kg bw/day had a significantly decreased escape latency compared with controls, and spent a significantly reduced period of time in the target quadrant. A significant increase in the percentage of apoptotic cells in the hippocampus was found in the mid and high dose animals compared with controls (7.45 </w:t>
      </w:r>
      <w:r>
        <w:rPr>
          <w:rFonts w:cs="Arial"/>
          <w:lang w:bidi="ar-SA"/>
        </w:rPr>
        <w:t>±</w:t>
      </w:r>
      <w:r>
        <w:rPr>
          <w:lang w:bidi="ar-SA"/>
        </w:rPr>
        <w:t xml:space="preserve"> 2.0 % in controls, 9.2 </w:t>
      </w:r>
      <w:r>
        <w:rPr>
          <w:rFonts w:cs="Arial"/>
          <w:lang w:bidi="ar-SA"/>
        </w:rPr>
        <w:t>±</w:t>
      </w:r>
      <w:r>
        <w:rPr>
          <w:lang w:bidi="ar-SA"/>
        </w:rPr>
        <w:t xml:space="preserve"> 2.51% at 0.43 mg/kg bw, 20.70 </w:t>
      </w:r>
      <w:r>
        <w:rPr>
          <w:rFonts w:cs="Arial"/>
          <w:lang w:bidi="ar-SA"/>
        </w:rPr>
        <w:t>±</w:t>
      </w:r>
      <w:r>
        <w:rPr>
          <w:lang w:bidi="ar-SA"/>
        </w:rPr>
        <w:t xml:space="preserve"> 3.56</w:t>
      </w:r>
      <w:r w:rsidR="003327FB">
        <w:rPr>
          <w:lang w:bidi="ar-SA"/>
        </w:rPr>
        <w:t>%</w:t>
      </w:r>
      <w:r>
        <w:rPr>
          <w:lang w:bidi="ar-SA"/>
        </w:rPr>
        <w:t xml:space="preserve"> at 2.15 mg/kg bw and 33.49 </w:t>
      </w:r>
      <w:r>
        <w:rPr>
          <w:rFonts w:cs="Arial"/>
          <w:lang w:bidi="ar-SA"/>
        </w:rPr>
        <w:t>±</w:t>
      </w:r>
      <w:r>
        <w:rPr>
          <w:lang w:bidi="ar-SA"/>
        </w:rPr>
        <w:t xml:space="preserve"> 5.77 at 10.75 mg/kg bw). A significant increase in the expression of caspase 3 protein was seen at 2.15 and 10.75 mg/kg bw/day compared with controls, along with reduced expressions of Bcl-2 and survivin. Levels of the neurotransmitters dopamine and DOPAC were significantly reduced in the caudate putamen of animals administered 10.75 mg/kg bw/</w:t>
      </w:r>
      <w:r w:rsidR="00104C8E">
        <w:rPr>
          <w:lang w:bidi="ar-SA"/>
        </w:rPr>
        <w:t>day, and</w:t>
      </w:r>
      <w:r>
        <w:rPr>
          <w:lang w:bidi="ar-SA"/>
        </w:rPr>
        <w:t xml:space="preserve"> glutamate levels were significantly increased in the hippocampus at this dose. GABA and HVA levels were not affected by treatment with PFOS. A number of hippocampal proteins were found to be differentially expressed in the high dose group compared with controls, but the significance of these findings in relation to the effects on learning and memory are not clear. The NOAEL in this study was 0.43 mg/kg bw/day.</w:t>
      </w:r>
    </w:p>
    <w:p w14:paraId="25870454" w14:textId="46DC8BBB" w:rsidR="00AD236D" w:rsidRDefault="001B56C1" w:rsidP="00112C61">
      <w:pPr>
        <w:pStyle w:val="Heading4"/>
      </w:pPr>
      <w:bookmarkStart w:id="146" w:name="_Toc468699219"/>
      <w:bookmarkStart w:id="147" w:name="_Toc468712748"/>
      <w:bookmarkStart w:id="148" w:name="_Toc468716450"/>
      <w:bookmarkStart w:id="149" w:name="_Toc468709437"/>
      <w:bookmarkStart w:id="150" w:name="_Toc468717736"/>
      <w:bookmarkStart w:id="151" w:name="_Toc468718380"/>
      <w:bookmarkStart w:id="152" w:name="_Toc468719370"/>
      <w:bookmarkStart w:id="153" w:name="_Toc468722175"/>
      <w:bookmarkStart w:id="154" w:name="_Toc468799245"/>
      <w:bookmarkStart w:id="155" w:name="_Toc468806568"/>
      <w:bookmarkStart w:id="156" w:name="_Toc468980982"/>
      <w:r>
        <w:t>2.3</w:t>
      </w:r>
      <w:r w:rsidR="00565856">
        <w:t>.4</w:t>
      </w:r>
      <w:r w:rsidR="00AD236D">
        <w:tab/>
      </w:r>
      <w:r w:rsidR="00112C61">
        <w:tab/>
      </w:r>
      <w:r w:rsidR="00AD236D" w:rsidRPr="00112C61">
        <w:t>Human data</w:t>
      </w:r>
      <w:bookmarkEnd w:id="146"/>
      <w:bookmarkEnd w:id="147"/>
      <w:bookmarkEnd w:id="148"/>
      <w:bookmarkEnd w:id="149"/>
      <w:bookmarkEnd w:id="150"/>
      <w:bookmarkEnd w:id="151"/>
      <w:bookmarkEnd w:id="152"/>
      <w:bookmarkEnd w:id="153"/>
      <w:bookmarkEnd w:id="154"/>
      <w:bookmarkEnd w:id="155"/>
      <w:bookmarkEnd w:id="156"/>
    </w:p>
    <w:p w14:paraId="351211A8" w14:textId="3CE7CEF9" w:rsidR="00E3637E" w:rsidRDefault="009C0EF4" w:rsidP="00A111E9">
      <w:pPr>
        <w:rPr>
          <w:lang w:eastAsia="en-AU" w:bidi="ar-SA"/>
        </w:rPr>
      </w:pPr>
      <w:r>
        <w:rPr>
          <w:lang w:eastAsia="en-AU" w:bidi="ar-SA"/>
        </w:rPr>
        <w:t>Epidemiological</w:t>
      </w:r>
      <w:r w:rsidR="009115D5">
        <w:rPr>
          <w:lang w:eastAsia="en-AU" w:bidi="ar-SA"/>
        </w:rPr>
        <w:t xml:space="preserve"> studies </w:t>
      </w:r>
      <w:r w:rsidR="003C23AF">
        <w:rPr>
          <w:lang w:eastAsia="en-AU" w:bidi="ar-SA"/>
        </w:rPr>
        <w:t>on PF</w:t>
      </w:r>
      <w:r w:rsidR="00FF1EAC">
        <w:rPr>
          <w:lang w:eastAsia="en-AU" w:bidi="ar-SA"/>
        </w:rPr>
        <w:t>AS</w:t>
      </w:r>
      <w:r w:rsidR="003C23AF">
        <w:rPr>
          <w:lang w:eastAsia="en-AU" w:bidi="ar-SA"/>
        </w:rPr>
        <w:t xml:space="preserve"> have included occupational cohorts mainly exposed at the source of the contamination, communities exposed to high levels of PF</w:t>
      </w:r>
      <w:r w:rsidR="00FF1EAC">
        <w:rPr>
          <w:lang w:eastAsia="en-AU" w:bidi="ar-SA"/>
        </w:rPr>
        <w:t>AS</w:t>
      </w:r>
      <w:r w:rsidR="003C23AF">
        <w:rPr>
          <w:lang w:eastAsia="en-AU" w:bidi="ar-SA"/>
        </w:rPr>
        <w:t xml:space="preserve"> through environmental media (air, soil or water) and general populations exposed to background levels </w:t>
      </w:r>
      <w:r w:rsidR="00FF1EAC">
        <w:rPr>
          <w:lang w:eastAsia="en-AU" w:bidi="ar-SA"/>
        </w:rPr>
        <w:t>of PFA</w:t>
      </w:r>
      <w:r w:rsidR="003C23AF">
        <w:rPr>
          <w:lang w:eastAsia="en-AU" w:bidi="ar-SA"/>
        </w:rPr>
        <w:t xml:space="preserve">S. </w:t>
      </w:r>
      <w:r w:rsidR="00FF1EAC">
        <w:rPr>
          <w:lang w:eastAsia="en-AU" w:bidi="ar-SA"/>
        </w:rPr>
        <w:t xml:space="preserve">Study populations have included occupationally exposed workers at 3M manufacturing facilities in Decatur, Alabama and Antwerp, Belgium; communities with high exposure due to contamination of drinking water by leakages from a production plant in the US; and general populations in a range of geographical locations including North America, </w:t>
      </w:r>
      <w:r w:rsidR="00FF1EAC">
        <w:rPr>
          <w:lang w:eastAsia="en-AU" w:bidi="ar-SA"/>
        </w:rPr>
        <w:lastRenderedPageBreak/>
        <w:t>the UK and Scandinavian countries.</w:t>
      </w:r>
    </w:p>
    <w:p w14:paraId="1BF19A92" w14:textId="77777777" w:rsidR="00E3637E" w:rsidRDefault="00E3637E" w:rsidP="00A111E9">
      <w:pPr>
        <w:rPr>
          <w:lang w:eastAsia="en-AU" w:bidi="ar-SA"/>
        </w:rPr>
      </w:pPr>
    </w:p>
    <w:p w14:paraId="67F401DF" w14:textId="6FF00192" w:rsidR="00C33AED" w:rsidRDefault="00C33AED" w:rsidP="00A111E9">
      <w:pPr>
        <w:rPr>
          <w:lang w:eastAsia="en-AU" w:bidi="ar-SA"/>
        </w:rPr>
      </w:pPr>
      <w:r w:rsidRPr="00C33AED">
        <w:rPr>
          <w:lang w:eastAsia="en-AU" w:bidi="ar-SA"/>
        </w:rPr>
        <w:t xml:space="preserve">Blood levels of PFASs of occupationally exposed workers are 2 to 3 orders of magnitude (100 – </w:t>
      </w:r>
      <w:r w:rsidR="00EC447D" w:rsidRPr="00C33AED">
        <w:rPr>
          <w:lang w:eastAsia="en-AU" w:bidi="ar-SA"/>
        </w:rPr>
        <w:t>1</w:t>
      </w:r>
      <w:r w:rsidR="00CC26CA">
        <w:rPr>
          <w:lang w:eastAsia="en-AU" w:bidi="ar-SA"/>
        </w:rPr>
        <w:t xml:space="preserve">000 </w:t>
      </w:r>
      <w:r w:rsidR="00EC447D">
        <w:rPr>
          <w:lang w:eastAsia="en-AU" w:bidi="ar-SA"/>
        </w:rPr>
        <w:t>fold</w:t>
      </w:r>
      <w:r w:rsidRPr="00C33AED">
        <w:rPr>
          <w:lang w:eastAsia="en-AU" w:bidi="ar-SA"/>
        </w:rPr>
        <w:t xml:space="preserve">) higher than those of the general population, with levels in highly exposed subpopulations intermediate between the two. Mean serum PFOS concentrations in the general population of the US are 0.015 – 0.056 </w:t>
      </w:r>
      <w:r w:rsidR="00CB500B">
        <w:rPr>
          <w:lang w:eastAsia="en-AU" w:bidi="ar-SA"/>
        </w:rPr>
        <w:t>µg/mL</w:t>
      </w:r>
      <w:r w:rsidRPr="00C33AED">
        <w:rPr>
          <w:lang w:eastAsia="en-AU" w:bidi="ar-SA"/>
        </w:rPr>
        <w:t xml:space="preserve"> (ATSDR 2015).</w:t>
      </w:r>
    </w:p>
    <w:p w14:paraId="5ECFD28D" w14:textId="77777777" w:rsidR="00C33AED" w:rsidRDefault="00C33AED" w:rsidP="00A111E9">
      <w:pPr>
        <w:rPr>
          <w:lang w:eastAsia="en-AU" w:bidi="ar-SA"/>
        </w:rPr>
      </w:pPr>
    </w:p>
    <w:p w14:paraId="42C0DB75" w14:textId="58EF609A" w:rsidR="00E834F8" w:rsidRDefault="003C23AF" w:rsidP="00A111E9">
      <w:pPr>
        <w:rPr>
          <w:lang w:eastAsia="en-AU" w:bidi="ar-SA"/>
        </w:rPr>
      </w:pPr>
      <w:r>
        <w:rPr>
          <w:lang w:eastAsia="en-AU" w:bidi="ar-SA"/>
        </w:rPr>
        <w:t>The available studies have been considered in assessments conducted by a number of regulatory agencies or bodies</w:t>
      </w:r>
      <w:r w:rsidR="00FF1EAC">
        <w:rPr>
          <w:lang w:eastAsia="en-AU" w:bidi="ar-SA"/>
        </w:rPr>
        <w:t xml:space="preserve"> including EFSA, US EPA and ATSDR</w:t>
      </w:r>
      <w:r>
        <w:rPr>
          <w:lang w:eastAsia="en-AU" w:bidi="ar-SA"/>
        </w:rPr>
        <w:t>, however</w:t>
      </w:r>
      <w:r w:rsidR="007F02A2">
        <w:rPr>
          <w:lang w:eastAsia="en-AU" w:bidi="ar-SA"/>
        </w:rPr>
        <w:t>,</w:t>
      </w:r>
      <w:r>
        <w:rPr>
          <w:lang w:eastAsia="en-AU" w:bidi="ar-SA"/>
        </w:rPr>
        <w:t xml:space="preserve"> no agency has considered the available data in humans suitable as a basis to establish a HBGV for PFOS. </w:t>
      </w:r>
      <w:r w:rsidR="00E834F8">
        <w:rPr>
          <w:lang w:eastAsia="en-AU" w:bidi="ar-SA"/>
        </w:rPr>
        <w:t xml:space="preserve">The major </w:t>
      </w:r>
      <w:r w:rsidR="00C33AED">
        <w:rPr>
          <w:lang w:eastAsia="en-AU" w:bidi="ar-SA"/>
        </w:rPr>
        <w:t xml:space="preserve">conclusions </w:t>
      </w:r>
      <w:r w:rsidR="00E834F8">
        <w:rPr>
          <w:lang w:eastAsia="en-AU" w:bidi="ar-SA"/>
        </w:rPr>
        <w:t>from the EFSA (2008), US EPA (2016) and ATSDR</w:t>
      </w:r>
      <w:r w:rsidR="00C33AED">
        <w:rPr>
          <w:lang w:eastAsia="en-AU" w:bidi="ar-SA"/>
        </w:rPr>
        <w:t xml:space="preserve"> (2015)</w:t>
      </w:r>
      <w:r w:rsidR="00E834F8">
        <w:rPr>
          <w:lang w:eastAsia="en-AU" w:bidi="ar-SA"/>
        </w:rPr>
        <w:t xml:space="preserve"> </w:t>
      </w:r>
      <w:r w:rsidR="00C33AED">
        <w:rPr>
          <w:lang w:eastAsia="en-AU" w:bidi="ar-SA"/>
        </w:rPr>
        <w:t xml:space="preserve">assessments </w:t>
      </w:r>
      <w:r w:rsidR="00E834F8">
        <w:rPr>
          <w:lang w:eastAsia="en-AU" w:bidi="ar-SA"/>
        </w:rPr>
        <w:t xml:space="preserve">are </w:t>
      </w:r>
      <w:r>
        <w:rPr>
          <w:lang w:eastAsia="en-AU" w:bidi="ar-SA"/>
        </w:rPr>
        <w:t xml:space="preserve">briefly </w:t>
      </w:r>
      <w:r w:rsidR="00E834F8">
        <w:rPr>
          <w:lang w:eastAsia="en-AU" w:bidi="ar-SA"/>
        </w:rPr>
        <w:t xml:space="preserve">summarised below. </w:t>
      </w:r>
      <w:r w:rsidR="00EC447D">
        <w:rPr>
          <w:lang w:eastAsia="en-AU" w:bidi="ar-SA"/>
        </w:rPr>
        <w:t xml:space="preserve">A detailed consideration of individual epidemiological studies is beyond the scope of this review. </w:t>
      </w:r>
    </w:p>
    <w:p w14:paraId="7FC6115C" w14:textId="1329580C" w:rsidR="00E71C40" w:rsidRPr="008E039A" w:rsidRDefault="00E71C40" w:rsidP="00112C61">
      <w:pPr>
        <w:pStyle w:val="Heading5"/>
      </w:pPr>
      <w:r w:rsidRPr="008E039A">
        <w:t>Serum lipids</w:t>
      </w:r>
    </w:p>
    <w:p w14:paraId="3CE3A253" w14:textId="073417CB" w:rsidR="00450ED3" w:rsidRDefault="005D620F" w:rsidP="00A111E9">
      <w:pPr>
        <w:rPr>
          <w:lang w:eastAsia="en-AU" w:bidi="ar-SA"/>
        </w:rPr>
      </w:pPr>
      <w:r>
        <w:rPr>
          <w:lang w:eastAsia="en-AU" w:bidi="ar-SA"/>
        </w:rPr>
        <w:t xml:space="preserve">Associations between PFOS exposure and altered serum lipid levels have been identified in </w:t>
      </w:r>
      <w:r w:rsidR="00F33146">
        <w:rPr>
          <w:lang w:eastAsia="en-AU" w:bidi="ar-SA"/>
        </w:rPr>
        <w:t xml:space="preserve">some </w:t>
      </w:r>
      <w:r>
        <w:rPr>
          <w:lang w:eastAsia="en-AU" w:bidi="ar-SA"/>
        </w:rPr>
        <w:t xml:space="preserve">studies with workers, highly exposed </w:t>
      </w:r>
      <w:r w:rsidR="00C236BC">
        <w:rPr>
          <w:lang w:eastAsia="en-AU" w:bidi="ar-SA"/>
        </w:rPr>
        <w:t>residents</w:t>
      </w:r>
      <w:r>
        <w:rPr>
          <w:lang w:eastAsia="en-AU" w:bidi="ar-SA"/>
        </w:rPr>
        <w:t xml:space="preserve"> and the general population.</w:t>
      </w:r>
    </w:p>
    <w:p w14:paraId="6DC0ADA3" w14:textId="77777777" w:rsidR="00450ED3" w:rsidRDefault="00450ED3" w:rsidP="00A111E9">
      <w:pPr>
        <w:rPr>
          <w:lang w:eastAsia="en-AU" w:bidi="ar-SA"/>
        </w:rPr>
      </w:pPr>
    </w:p>
    <w:p w14:paraId="701FD70A" w14:textId="261B0FCE" w:rsidR="004D1DB3" w:rsidRDefault="005D620F" w:rsidP="00A111E9">
      <w:pPr>
        <w:rPr>
          <w:lang w:eastAsia="en-AU" w:bidi="ar-SA"/>
        </w:rPr>
      </w:pPr>
      <w:r>
        <w:rPr>
          <w:lang w:eastAsia="en-AU" w:bidi="ar-SA"/>
        </w:rPr>
        <w:t>The most consistently found change</w:t>
      </w:r>
      <w:r w:rsidR="00945D78">
        <w:rPr>
          <w:lang w:eastAsia="en-AU" w:bidi="ar-SA"/>
        </w:rPr>
        <w:t xml:space="preserve"> in exposed human populations</w:t>
      </w:r>
      <w:r>
        <w:rPr>
          <w:lang w:eastAsia="en-AU" w:bidi="ar-SA"/>
        </w:rPr>
        <w:t xml:space="preserve"> was increased total cholesterol levels (reviewed by ATSDR 2015 and US EPA 2016). Two studies found an association between high cholesterol levels (defined as cholesterol &gt; 240 mg/dL) and PFOS exposure (US EPA 2016), while a study of highly</w:t>
      </w:r>
      <w:r w:rsidR="001012A5">
        <w:rPr>
          <w:lang w:eastAsia="en-AU" w:bidi="ar-SA"/>
        </w:rPr>
        <w:t xml:space="preserve"> </w:t>
      </w:r>
      <w:r>
        <w:rPr>
          <w:lang w:eastAsia="en-AU" w:bidi="ar-SA"/>
        </w:rPr>
        <w:t xml:space="preserve">exposed residents </w:t>
      </w:r>
      <w:r w:rsidR="00C40B1F">
        <w:rPr>
          <w:lang w:eastAsia="en-AU" w:bidi="ar-SA"/>
        </w:rPr>
        <w:t xml:space="preserve">in which measurements were made twice with an interval of around 4 years </w:t>
      </w:r>
      <w:r>
        <w:rPr>
          <w:lang w:eastAsia="en-AU" w:bidi="ar-SA"/>
        </w:rPr>
        <w:t xml:space="preserve">found decreases </w:t>
      </w:r>
      <w:r w:rsidR="00C40B1F">
        <w:rPr>
          <w:lang w:eastAsia="en-AU" w:bidi="ar-SA"/>
        </w:rPr>
        <w:t xml:space="preserve">in serum LDL cholesterol and total cholesterol </w:t>
      </w:r>
      <w:r w:rsidR="00CE01C5">
        <w:rPr>
          <w:lang w:eastAsia="en-AU" w:bidi="ar-SA"/>
        </w:rPr>
        <w:t>over time</w:t>
      </w:r>
      <w:r w:rsidR="00F33146">
        <w:rPr>
          <w:lang w:eastAsia="en-AU" w:bidi="ar-SA"/>
        </w:rPr>
        <w:t>,</w:t>
      </w:r>
      <w:r w:rsidR="00CE01C5">
        <w:rPr>
          <w:lang w:eastAsia="en-AU" w:bidi="ar-SA"/>
        </w:rPr>
        <w:t xml:space="preserve"> that were </w:t>
      </w:r>
      <w:r w:rsidR="00C40B1F">
        <w:rPr>
          <w:lang w:eastAsia="en-AU" w:bidi="ar-SA"/>
        </w:rPr>
        <w:t>associated with decreases in serum PFOS levels.</w:t>
      </w:r>
    </w:p>
    <w:p w14:paraId="09595D41" w14:textId="77777777" w:rsidR="004D1DB3" w:rsidRDefault="004D1DB3" w:rsidP="00A111E9">
      <w:pPr>
        <w:rPr>
          <w:lang w:eastAsia="en-AU" w:bidi="ar-SA"/>
        </w:rPr>
      </w:pPr>
    </w:p>
    <w:p w14:paraId="7E50910A" w14:textId="7259E1DD" w:rsidR="00450ED3" w:rsidRDefault="004D1DB3" w:rsidP="00A111E9">
      <w:pPr>
        <w:rPr>
          <w:lang w:eastAsia="en-AU" w:bidi="ar-SA"/>
        </w:rPr>
      </w:pPr>
      <w:r>
        <w:rPr>
          <w:lang w:eastAsia="en-AU" w:bidi="ar-SA"/>
        </w:rPr>
        <w:t xml:space="preserve">EFSA (2008) and ATSDR </w:t>
      </w:r>
      <w:r w:rsidR="00F33146">
        <w:rPr>
          <w:lang w:eastAsia="en-AU" w:bidi="ar-SA"/>
        </w:rPr>
        <w:t xml:space="preserve">(2015) </w:t>
      </w:r>
      <w:r w:rsidR="00450ED3">
        <w:rPr>
          <w:lang w:eastAsia="en-AU" w:bidi="ar-SA"/>
        </w:rPr>
        <w:t xml:space="preserve">observed </w:t>
      </w:r>
      <w:r>
        <w:rPr>
          <w:lang w:eastAsia="en-AU" w:bidi="ar-SA"/>
        </w:rPr>
        <w:t>that the changes</w:t>
      </w:r>
      <w:r w:rsidR="00450ED3">
        <w:rPr>
          <w:lang w:eastAsia="en-AU" w:bidi="ar-SA"/>
        </w:rPr>
        <w:t xml:space="preserve"> </w:t>
      </w:r>
      <w:r w:rsidR="00366E90">
        <w:rPr>
          <w:lang w:eastAsia="en-AU" w:bidi="ar-SA"/>
        </w:rPr>
        <w:t xml:space="preserve">in cholesterol seen </w:t>
      </w:r>
      <w:r w:rsidR="00450ED3">
        <w:rPr>
          <w:lang w:eastAsia="en-AU" w:bidi="ar-SA"/>
        </w:rPr>
        <w:t xml:space="preserve">in epidemiological </w:t>
      </w:r>
      <w:r w:rsidR="00104C8E">
        <w:rPr>
          <w:lang w:eastAsia="en-AU" w:bidi="ar-SA"/>
        </w:rPr>
        <w:t>studies</w:t>
      </w:r>
      <w:r>
        <w:rPr>
          <w:lang w:eastAsia="en-AU" w:bidi="ar-SA"/>
        </w:rPr>
        <w:t xml:space="preserve"> are in the opposite direction to those observed in animal studies</w:t>
      </w:r>
      <w:r w:rsidR="00F33146">
        <w:rPr>
          <w:lang w:eastAsia="en-AU" w:bidi="ar-SA"/>
        </w:rPr>
        <w:t>,</w:t>
      </w:r>
      <w:r w:rsidR="00450ED3">
        <w:rPr>
          <w:lang w:eastAsia="en-AU" w:bidi="ar-SA"/>
        </w:rPr>
        <w:t xml:space="preserve"> and </w:t>
      </w:r>
      <w:r w:rsidR="00F33146">
        <w:rPr>
          <w:lang w:eastAsia="en-AU" w:bidi="ar-SA"/>
        </w:rPr>
        <w:t xml:space="preserve">that </w:t>
      </w:r>
      <w:r w:rsidR="00450ED3">
        <w:rPr>
          <w:lang w:eastAsia="en-AU" w:bidi="ar-SA"/>
        </w:rPr>
        <w:t>mechan</w:t>
      </w:r>
      <w:r w:rsidR="00F33146">
        <w:rPr>
          <w:lang w:eastAsia="en-AU" w:bidi="ar-SA"/>
        </w:rPr>
        <w:t>isms by which PFOS may increase</w:t>
      </w:r>
      <w:r w:rsidR="00450ED3">
        <w:rPr>
          <w:lang w:eastAsia="en-AU" w:bidi="ar-SA"/>
        </w:rPr>
        <w:t xml:space="preserve"> serum cholesterol have not been identified. It should also be noted that the exposures i</w:t>
      </w:r>
      <w:r w:rsidR="00540D65">
        <w:rPr>
          <w:lang w:eastAsia="en-AU" w:bidi="ar-SA"/>
        </w:rPr>
        <w:t xml:space="preserve">n animal studies </w:t>
      </w:r>
      <w:r w:rsidR="000C7387">
        <w:rPr>
          <w:lang w:eastAsia="en-AU" w:bidi="ar-SA"/>
        </w:rPr>
        <w:t xml:space="preserve">are </w:t>
      </w:r>
      <w:r w:rsidR="00540D65">
        <w:rPr>
          <w:lang w:eastAsia="en-AU" w:bidi="ar-SA"/>
        </w:rPr>
        <w:t>likely to</w:t>
      </w:r>
      <w:r w:rsidR="00450ED3">
        <w:rPr>
          <w:lang w:eastAsia="en-AU" w:bidi="ar-SA"/>
        </w:rPr>
        <w:t xml:space="preserve"> have been much higher than</w:t>
      </w:r>
      <w:r w:rsidR="00F33146">
        <w:rPr>
          <w:lang w:eastAsia="en-AU" w:bidi="ar-SA"/>
        </w:rPr>
        <w:t xml:space="preserve"> those in</w:t>
      </w:r>
      <w:r w:rsidR="00450ED3">
        <w:rPr>
          <w:lang w:eastAsia="en-AU" w:bidi="ar-SA"/>
        </w:rPr>
        <w:t xml:space="preserve"> epidemiological studies.</w:t>
      </w:r>
    </w:p>
    <w:p w14:paraId="3FF0C385" w14:textId="77777777" w:rsidR="00D34D8D" w:rsidRDefault="00D34D8D" w:rsidP="00A111E9">
      <w:pPr>
        <w:rPr>
          <w:lang w:eastAsia="en-AU" w:bidi="ar-SA"/>
        </w:rPr>
      </w:pPr>
    </w:p>
    <w:p w14:paraId="77025CE0" w14:textId="2E71BEBC" w:rsidR="00F33146" w:rsidRDefault="00F33146" w:rsidP="00A111E9">
      <w:pPr>
        <w:rPr>
          <w:lang w:eastAsia="en-AU" w:bidi="ar-SA"/>
        </w:rPr>
      </w:pPr>
      <w:r w:rsidRPr="00F33146">
        <w:rPr>
          <w:lang w:eastAsia="en-AU" w:bidi="ar-SA"/>
        </w:rPr>
        <w:t>The US EPA and ATSDR noted that the evidence for associations between PFOS and serum lipids other than total cholesterol is not as strong.</w:t>
      </w:r>
    </w:p>
    <w:p w14:paraId="456BBA9B" w14:textId="51885471" w:rsidR="00535E2F" w:rsidRDefault="00535E2F" w:rsidP="00A111E9">
      <w:pPr>
        <w:rPr>
          <w:lang w:eastAsia="en-AU" w:bidi="ar-SA"/>
        </w:rPr>
      </w:pPr>
    </w:p>
    <w:p w14:paraId="6A91C306" w14:textId="43A8A91E" w:rsidR="00E52F04" w:rsidRPr="00F81989" w:rsidRDefault="00E52F04" w:rsidP="00A111E9">
      <w:pPr>
        <w:rPr>
          <w:lang w:eastAsia="en-AU" w:bidi="ar-SA"/>
        </w:rPr>
      </w:pPr>
      <w:r w:rsidRPr="00F81989">
        <w:rPr>
          <w:lang w:eastAsia="en-AU" w:bidi="ar-SA"/>
        </w:rPr>
        <w:t>FSANZ reviewed the available epidemiological data relating to PFOS and PFOA exposure and serum cholesterol (Appendix 2). A number of studies that were not referred to in the EFSA and US EPA reviews were identified and included in the analysis. The FSANZ review noted that overall the cross-sectional studies show a fairly consistent finding of a positive association between total and LDL cholesterol and low serum concentrations of PFOS, with the association plateauing at higher PFOS levels. At around 40 ng/mL serum PFOS concentration,</w:t>
      </w:r>
      <w:r w:rsidR="00EC447D">
        <w:rPr>
          <w:lang w:eastAsia="en-AU" w:bidi="ar-SA"/>
        </w:rPr>
        <w:t xml:space="preserve"> </w:t>
      </w:r>
      <w:r w:rsidRPr="00F81989">
        <w:rPr>
          <w:lang w:eastAsia="en-AU" w:bidi="ar-SA"/>
        </w:rPr>
        <w:t>total cholesterol was around 0.3 mmol/L higher than the lowest PFOS exposure groups. The lack of association in some occupational groups might be explained because there were not enough low concentrations in the study group to detect the effect at low PFOS concentrations.</w:t>
      </w:r>
    </w:p>
    <w:p w14:paraId="74F3B669" w14:textId="77777777" w:rsidR="00E52F04" w:rsidRPr="00F81989" w:rsidRDefault="00E52F04" w:rsidP="00A111E9">
      <w:pPr>
        <w:rPr>
          <w:lang w:eastAsia="en-AU" w:bidi="ar-SA"/>
        </w:rPr>
      </w:pPr>
    </w:p>
    <w:p w14:paraId="44A9D64D" w14:textId="7342DC58" w:rsidR="00E52F04" w:rsidRDefault="00E52F04" w:rsidP="00A111E9">
      <w:pPr>
        <w:rPr>
          <w:lang w:eastAsia="en-AU" w:bidi="ar-SA"/>
        </w:rPr>
      </w:pPr>
      <w:r w:rsidRPr="00F81989">
        <w:rPr>
          <w:lang w:eastAsia="en-AU" w:bidi="ar-SA"/>
        </w:rPr>
        <w:t>The FSANZ review observed that a number of studies note a correlation between concentrations of PFOS and PFOA but do not adjust the results for each other. Similarly, populations with high exposure to PFAS may also be exposed to other contaminants but the</w:t>
      </w:r>
      <w:r w:rsidR="009C0EF4" w:rsidRPr="00F81989">
        <w:rPr>
          <w:lang w:eastAsia="en-AU" w:bidi="ar-SA"/>
        </w:rPr>
        <w:t>se have not been considered in most</w:t>
      </w:r>
      <w:r w:rsidRPr="00F81989">
        <w:rPr>
          <w:lang w:eastAsia="en-AU" w:bidi="ar-SA"/>
        </w:rPr>
        <w:t xml:space="preserve"> studies. Another limitation is that most studies do not adjust for diet. In addition, kidney function does not seem to have been examined together with cholesterol concentrations. This may be important as PFAS concentrations increase as glomerular filtration rate (GFR) decreases, and it is also known that </w:t>
      </w:r>
      <w:r w:rsidRPr="00F81989">
        <w:rPr>
          <w:lang w:bidi="ar-SA"/>
        </w:rPr>
        <w:t>there is an inverse correlation between serum LDL</w:t>
      </w:r>
      <w:r w:rsidR="003861B4">
        <w:rPr>
          <w:lang w:bidi="ar-SA"/>
        </w:rPr>
        <w:t xml:space="preserve"> </w:t>
      </w:r>
      <w:r w:rsidRPr="00F81989">
        <w:rPr>
          <w:lang w:bidi="ar-SA"/>
        </w:rPr>
        <w:t xml:space="preserve">cholesterol and GFR (Morita </w:t>
      </w:r>
      <w:r w:rsidR="00180A32" w:rsidRPr="00180A32">
        <w:rPr>
          <w:i/>
          <w:lang w:bidi="ar-SA"/>
        </w:rPr>
        <w:t xml:space="preserve">et al. </w:t>
      </w:r>
      <w:r w:rsidR="00F22DA6">
        <w:rPr>
          <w:lang w:bidi="ar-SA"/>
        </w:rPr>
        <w:t xml:space="preserve"> </w:t>
      </w:r>
      <w:r w:rsidRPr="00F81989">
        <w:rPr>
          <w:lang w:bidi="ar-SA"/>
        </w:rPr>
        <w:t>2010).</w:t>
      </w:r>
    </w:p>
    <w:p w14:paraId="3EF05B05" w14:textId="1F89D0F3" w:rsidR="008E039A" w:rsidRDefault="008E039A" w:rsidP="00112C61">
      <w:pPr>
        <w:pStyle w:val="Heading5"/>
      </w:pPr>
      <w:r w:rsidRPr="008E039A">
        <w:lastRenderedPageBreak/>
        <w:t>L</w:t>
      </w:r>
      <w:r w:rsidR="00CC5F73">
        <w:t>i</w:t>
      </w:r>
      <w:r w:rsidR="00CC5F73" w:rsidRPr="00112C61">
        <w:rPr>
          <w:rStyle w:val="Heading5Char"/>
        </w:rPr>
        <w:t>v</w:t>
      </w:r>
      <w:r w:rsidR="00CC5F73">
        <w:t>er</w:t>
      </w:r>
    </w:p>
    <w:p w14:paraId="2F44BDF7" w14:textId="41A727BF" w:rsidR="004D7301" w:rsidRDefault="004D7301" w:rsidP="00A111E9">
      <w:pPr>
        <w:rPr>
          <w:lang w:eastAsia="en-AU" w:bidi="ar-SA"/>
        </w:rPr>
      </w:pPr>
      <w:r>
        <w:rPr>
          <w:lang w:eastAsia="en-AU" w:bidi="ar-SA"/>
        </w:rPr>
        <w:t>The liver is a target organ in studies in rodents and monkeys with changes including increased liver weight, hypertrophy, changes in enzyme activity and on occasion changes in serum levels of liver enzymes.</w:t>
      </w:r>
    </w:p>
    <w:p w14:paraId="7B3875DB" w14:textId="77777777" w:rsidR="004D7301" w:rsidRDefault="004D7301" w:rsidP="00A111E9">
      <w:pPr>
        <w:rPr>
          <w:lang w:eastAsia="en-AU" w:bidi="ar-SA"/>
        </w:rPr>
      </w:pPr>
    </w:p>
    <w:p w14:paraId="34B3E9F3" w14:textId="44ACB143" w:rsidR="005C478D" w:rsidRDefault="00982761" w:rsidP="00A111E9">
      <w:pPr>
        <w:rPr>
          <w:lang w:eastAsia="en-AU" w:bidi="ar-SA"/>
        </w:rPr>
      </w:pPr>
      <w:r>
        <w:rPr>
          <w:lang w:eastAsia="en-AU" w:bidi="ar-SA"/>
        </w:rPr>
        <w:t>A</w:t>
      </w:r>
      <w:r w:rsidRPr="00982761">
        <w:rPr>
          <w:lang w:eastAsia="en-AU" w:bidi="ar-SA"/>
        </w:rPr>
        <w:t xml:space="preserve">ssociations between </w:t>
      </w:r>
      <w:r>
        <w:rPr>
          <w:lang w:eastAsia="en-AU" w:bidi="ar-SA"/>
        </w:rPr>
        <w:t xml:space="preserve">PFOS exposure and serum liver enzymes (mainly ALT, AST and </w:t>
      </w:r>
      <w:r>
        <w:rPr>
          <w:rFonts w:cs="Arial"/>
          <w:lang w:eastAsia="en-AU" w:bidi="ar-SA"/>
        </w:rPr>
        <w:t>γ</w:t>
      </w:r>
      <w:r>
        <w:rPr>
          <w:lang w:eastAsia="en-AU" w:bidi="ar-SA"/>
        </w:rPr>
        <w:t>-glutamyl transpeptidase [GGT]</w:t>
      </w:r>
      <w:r w:rsidR="000C5BEE">
        <w:rPr>
          <w:lang w:eastAsia="en-AU" w:bidi="ar-SA"/>
        </w:rPr>
        <w:t>)</w:t>
      </w:r>
      <w:r>
        <w:rPr>
          <w:lang w:eastAsia="en-AU" w:bidi="ar-SA"/>
        </w:rPr>
        <w:t xml:space="preserve"> were not consistently found in occupational exposure studies (reviewed by ATSDR 2015).</w:t>
      </w:r>
    </w:p>
    <w:p w14:paraId="5384A18A" w14:textId="77777777" w:rsidR="005C478D" w:rsidRDefault="005C478D" w:rsidP="00A111E9">
      <w:pPr>
        <w:rPr>
          <w:lang w:eastAsia="en-AU" w:bidi="ar-SA"/>
        </w:rPr>
      </w:pPr>
    </w:p>
    <w:p w14:paraId="749E386D" w14:textId="3019403E" w:rsidR="00982761" w:rsidRDefault="00CC5F73" w:rsidP="00A111E9">
      <w:pPr>
        <w:rPr>
          <w:lang w:eastAsia="en-AU" w:bidi="ar-SA"/>
        </w:rPr>
      </w:pPr>
      <w:r>
        <w:rPr>
          <w:lang w:eastAsia="en-AU" w:bidi="ar-SA"/>
        </w:rPr>
        <w:t xml:space="preserve">In a study of workers at the Decatur and Antwerp manufacturing plants, mean values of total bilirubin and ALT were significantly higher in male employees with PFOS levels in the highest quartile (reviewed by EFSA 2008). </w:t>
      </w:r>
      <w:r w:rsidR="00982761">
        <w:rPr>
          <w:lang w:eastAsia="en-AU" w:bidi="ar-SA"/>
        </w:rPr>
        <w:t xml:space="preserve">A study of highly exposed </w:t>
      </w:r>
      <w:r w:rsidR="00C236BC">
        <w:rPr>
          <w:lang w:eastAsia="en-AU" w:bidi="ar-SA"/>
        </w:rPr>
        <w:t>residents</w:t>
      </w:r>
      <w:r w:rsidR="00982761">
        <w:rPr>
          <w:lang w:eastAsia="en-AU" w:bidi="ar-SA"/>
        </w:rPr>
        <w:t>, and another of the US general population</w:t>
      </w:r>
      <w:r w:rsidR="00CE01C5">
        <w:rPr>
          <w:lang w:eastAsia="en-AU" w:bidi="ar-SA"/>
        </w:rPr>
        <w:t>,</w:t>
      </w:r>
      <w:r w:rsidR="00982761">
        <w:rPr>
          <w:lang w:eastAsia="en-AU" w:bidi="ar-SA"/>
        </w:rPr>
        <w:t xml:space="preserve"> found slight positive associations between serum PFOS levels and increased serum ALT values (reviewed by US EPA 2016). </w:t>
      </w:r>
      <w:r>
        <w:rPr>
          <w:lang w:eastAsia="en-AU" w:bidi="ar-SA"/>
        </w:rPr>
        <w:t xml:space="preserve">Overall levels of GGT and bilirubin did not appear to be affected </w:t>
      </w:r>
      <w:r w:rsidR="005C478D">
        <w:rPr>
          <w:lang w:eastAsia="en-AU" w:bidi="ar-SA"/>
        </w:rPr>
        <w:t xml:space="preserve">in epidemiological studies </w:t>
      </w:r>
      <w:r>
        <w:rPr>
          <w:lang w:eastAsia="en-AU" w:bidi="ar-SA"/>
        </w:rPr>
        <w:t>(reviewed by US EPA 2016).</w:t>
      </w:r>
    </w:p>
    <w:p w14:paraId="018BBADF" w14:textId="77777777" w:rsidR="00CC5F73" w:rsidRDefault="00CC5F73" w:rsidP="00A111E9">
      <w:pPr>
        <w:rPr>
          <w:lang w:eastAsia="en-AU" w:bidi="ar-SA"/>
        </w:rPr>
      </w:pPr>
    </w:p>
    <w:p w14:paraId="6973D024" w14:textId="53C24963" w:rsidR="00CC5F73" w:rsidRDefault="00CC5F73" w:rsidP="00A111E9">
      <w:pPr>
        <w:rPr>
          <w:lang w:eastAsia="en-AU" w:bidi="ar-SA"/>
        </w:rPr>
      </w:pPr>
      <w:r>
        <w:rPr>
          <w:lang w:eastAsia="en-AU" w:bidi="ar-SA"/>
        </w:rPr>
        <w:t xml:space="preserve">The ATSDR concluded that although </w:t>
      </w:r>
      <w:r w:rsidR="005C478D">
        <w:rPr>
          <w:lang w:eastAsia="en-AU" w:bidi="ar-SA"/>
        </w:rPr>
        <w:t xml:space="preserve">some </w:t>
      </w:r>
      <w:r>
        <w:rPr>
          <w:lang w:eastAsia="en-AU" w:bidi="ar-SA"/>
        </w:rPr>
        <w:t>associations were found, the magnitude of the increases in serum enzymes were not great and probably not biologically significant.</w:t>
      </w:r>
    </w:p>
    <w:p w14:paraId="3A24B6CE" w14:textId="55CF28BC" w:rsidR="00CC5F73" w:rsidRPr="00CC5F73" w:rsidRDefault="005F1486" w:rsidP="00112C61">
      <w:pPr>
        <w:pStyle w:val="Heading5"/>
      </w:pPr>
      <w:r>
        <w:t>K</w:t>
      </w:r>
      <w:r w:rsidR="00CC5F73" w:rsidRPr="00CC5F73">
        <w:t>idney</w:t>
      </w:r>
    </w:p>
    <w:p w14:paraId="3697EF51" w14:textId="52F25F89" w:rsidR="004C30F8" w:rsidRDefault="004C30F8" w:rsidP="00A111E9">
      <w:pPr>
        <w:rPr>
          <w:lang w:eastAsia="en-AU" w:bidi="ar-SA"/>
        </w:rPr>
      </w:pPr>
      <w:r>
        <w:rPr>
          <w:color w:val="000000"/>
          <w:szCs w:val="22"/>
        </w:rPr>
        <w:t xml:space="preserve">Kidney function, assessed by levels of </w:t>
      </w:r>
      <w:r w:rsidR="00AB35CC">
        <w:rPr>
          <w:color w:val="000000"/>
          <w:szCs w:val="22"/>
        </w:rPr>
        <w:t>BUN</w:t>
      </w:r>
      <w:r>
        <w:rPr>
          <w:color w:val="000000"/>
          <w:szCs w:val="22"/>
        </w:rPr>
        <w:t xml:space="preserve"> and serum creatinine, was not associated with exposure to PFOS and/or PFOA in occupational exposure studies (review</w:t>
      </w:r>
      <w:r w:rsidR="00CE01C5">
        <w:rPr>
          <w:color w:val="000000"/>
          <w:szCs w:val="22"/>
        </w:rPr>
        <w:t>e</w:t>
      </w:r>
      <w:r>
        <w:rPr>
          <w:color w:val="000000"/>
          <w:szCs w:val="22"/>
        </w:rPr>
        <w:t xml:space="preserve">d by ATSDR 2015). </w:t>
      </w:r>
      <w:r w:rsidR="003055BF">
        <w:rPr>
          <w:lang w:eastAsia="en-AU" w:bidi="ar-SA"/>
        </w:rPr>
        <w:t xml:space="preserve">A study in the general population of the USA found a positive association between increasing PFOS (and PFOA) levels and chronic kidney disease, </w:t>
      </w:r>
      <w:r w:rsidR="003055BF" w:rsidRPr="003055BF">
        <w:rPr>
          <w:lang w:eastAsia="en-AU" w:bidi="ar-SA"/>
        </w:rPr>
        <w:t xml:space="preserve">defined as a </w:t>
      </w:r>
      <w:r w:rsidR="008A1039">
        <w:rPr>
          <w:lang w:eastAsia="en-AU" w:bidi="ar-SA"/>
        </w:rPr>
        <w:t>GFR</w:t>
      </w:r>
      <w:r w:rsidR="003055BF" w:rsidRPr="003055BF">
        <w:rPr>
          <w:lang w:eastAsia="en-AU" w:bidi="ar-SA"/>
        </w:rPr>
        <w:t xml:space="preserve"> of &lt;60 </w:t>
      </w:r>
      <w:r w:rsidR="003055BF">
        <w:rPr>
          <w:lang w:eastAsia="en-AU" w:bidi="ar-SA"/>
        </w:rPr>
        <w:t>m</w:t>
      </w:r>
      <w:r w:rsidR="003055BF" w:rsidRPr="003055BF">
        <w:rPr>
          <w:lang w:eastAsia="en-AU" w:bidi="ar-SA"/>
        </w:rPr>
        <w:t>L/minute/1.73 m</w:t>
      </w:r>
      <w:r w:rsidR="003055BF" w:rsidRPr="003055BF">
        <w:rPr>
          <w:vertAlign w:val="superscript"/>
          <w:lang w:eastAsia="en-AU" w:bidi="ar-SA"/>
        </w:rPr>
        <w:t>2</w:t>
      </w:r>
      <w:r w:rsidR="003055BF">
        <w:rPr>
          <w:lang w:eastAsia="en-AU" w:bidi="ar-SA"/>
        </w:rPr>
        <w:t xml:space="preserve">. A study of highly exposed </w:t>
      </w:r>
      <w:r w:rsidR="00C236BC">
        <w:rPr>
          <w:lang w:eastAsia="en-AU" w:bidi="ar-SA"/>
        </w:rPr>
        <w:t>residents</w:t>
      </w:r>
      <w:r w:rsidR="003055BF">
        <w:rPr>
          <w:lang w:eastAsia="en-AU" w:bidi="ar-SA"/>
        </w:rPr>
        <w:t xml:space="preserve"> also found a significant negative association </w:t>
      </w:r>
      <w:r w:rsidR="00104C8E">
        <w:rPr>
          <w:lang w:eastAsia="en-AU" w:bidi="ar-SA"/>
        </w:rPr>
        <w:t>between</w:t>
      </w:r>
      <w:r w:rsidR="003055BF">
        <w:rPr>
          <w:lang w:eastAsia="en-AU" w:bidi="ar-SA"/>
        </w:rPr>
        <w:t xml:space="preserve"> serum PFOS (and other PFAS) and </w:t>
      </w:r>
      <w:r w:rsidR="008A1039">
        <w:rPr>
          <w:lang w:eastAsia="en-AU" w:bidi="ar-SA"/>
        </w:rPr>
        <w:t>GFR</w:t>
      </w:r>
      <w:r w:rsidR="003055BF">
        <w:rPr>
          <w:lang w:eastAsia="en-AU" w:bidi="ar-SA"/>
        </w:rPr>
        <w:t xml:space="preserve"> (reviewed by ATSDR 2015 and US EPA 2016). Associations between serum PFOS and </w:t>
      </w:r>
      <w:r>
        <w:rPr>
          <w:lang w:eastAsia="en-AU" w:bidi="ar-SA"/>
        </w:rPr>
        <w:t xml:space="preserve">increased </w:t>
      </w:r>
      <w:r w:rsidR="003055BF">
        <w:rPr>
          <w:lang w:eastAsia="en-AU" w:bidi="ar-SA"/>
        </w:rPr>
        <w:t>uric acid levels have</w:t>
      </w:r>
      <w:r>
        <w:rPr>
          <w:lang w:eastAsia="en-AU" w:bidi="ar-SA"/>
        </w:rPr>
        <w:t xml:space="preserve"> also </w:t>
      </w:r>
      <w:r w:rsidR="003055BF">
        <w:rPr>
          <w:lang w:eastAsia="en-AU" w:bidi="ar-SA"/>
        </w:rPr>
        <w:t>been observed in highly exposed individuals and the general population.</w:t>
      </w:r>
    </w:p>
    <w:p w14:paraId="7F999359" w14:textId="77777777" w:rsidR="004C30F8" w:rsidRDefault="004C30F8" w:rsidP="00A111E9">
      <w:pPr>
        <w:rPr>
          <w:lang w:eastAsia="en-AU" w:bidi="ar-SA"/>
        </w:rPr>
      </w:pPr>
    </w:p>
    <w:p w14:paraId="2A4833C6" w14:textId="585ACCC9" w:rsidR="00CC5F73" w:rsidRDefault="003055BF" w:rsidP="00A111E9">
      <w:pPr>
        <w:rPr>
          <w:lang w:eastAsia="en-AU" w:bidi="ar-SA"/>
        </w:rPr>
      </w:pPr>
      <w:r>
        <w:rPr>
          <w:lang w:eastAsia="en-AU" w:bidi="ar-SA"/>
        </w:rPr>
        <w:t xml:space="preserve">The US EPA concluded that these studies suggest an association between PFOS and chronic kidney disease, as defined by estimated </w:t>
      </w:r>
      <w:r w:rsidR="00903E6F">
        <w:rPr>
          <w:lang w:eastAsia="en-AU" w:bidi="ar-SA"/>
        </w:rPr>
        <w:t>GFR</w:t>
      </w:r>
      <w:r>
        <w:rPr>
          <w:lang w:eastAsia="en-AU" w:bidi="ar-SA"/>
        </w:rPr>
        <w:t xml:space="preserve">. However, </w:t>
      </w:r>
      <w:r w:rsidR="00CA4DB4">
        <w:rPr>
          <w:lang w:eastAsia="en-AU" w:bidi="ar-SA"/>
        </w:rPr>
        <w:t>it was also</w:t>
      </w:r>
      <w:r>
        <w:rPr>
          <w:lang w:eastAsia="en-AU" w:bidi="ar-SA"/>
        </w:rPr>
        <w:t xml:space="preserve"> noted that reverse causality could not be excluded: a low </w:t>
      </w:r>
      <w:r w:rsidR="00903E6F">
        <w:rPr>
          <w:lang w:eastAsia="en-AU" w:bidi="ar-SA"/>
        </w:rPr>
        <w:t>GFR</w:t>
      </w:r>
      <w:r>
        <w:rPr>
          <w:lang w:eastAsia="en-AU" w:bidi="ar-SA"/>
        </w:rPr>
        <w:t xml:space="preserve"> would reduce the removal of PFOS from the serum</w:t>
      </w:r>
      <w:r w:rsidR="004C30F8">
        <w:rPr>
          <w:lang w:eastAsia="en-AU" w:bidi="ar-SA"/>
        </w:rPr>
        <w:t xml:space="preserve"> for excretion by the kidney, leading to increased serum PFOS levels.</w:t>
      </w:r>
    </w:p>
    <w:p w14:paraId="64BDE649" w14:textId="77777777" w:rsidR="00CA4DB4" w:rsidRDefault="00CA4DB4" w:rsidP="00A111E9">
      <w:pPr>
        <w:rPr>
          <w:lang w:eastAsia="en-AU" w:bidi="ar-SA"/>
        </w:rPr>
      </w:pPr>
    </w:p>
    <w:p w14:paraId="5E546F8E" w14:textId="767D2DB8" w:rsidR="00CA4DB4" w:rsidRPr="00982761" w:rsidRDefault="00CA4DB4" w:rsidP="00A111E9">
      <w:pPr>
        <w:rPr>
          <w:lang w:eastAsia="en-AU" w:bidi="ar-SA"/>
        </w:rPr>
      </w:pPr>
      <w:r>
        <w:rPr>
          <w:lang w:eastAsia="en-AU" w:bidi="ar-SA"/>
        </w:rPr>
        <w:t>The ATSDR noted that increased uric acid levels can also be a risk factor</w:t>
      </w:r>
      <w:r w:rsidR="00F80988">
        <w:rPr>
          <w:lang w:eastAsia="en-AU" w:bidi="ar-SA"/>
        </w:rPr>
        <w:t xml:space="preserve"> for hypertension, and that a study of highly exposed residents found associations between serum PFOS and PFOA levels and the odds of pregnancy</w:t>
      </w:r>
      <w:r w:rsidR="00032CF6">
        <w:rPr>
          <w:lang w:eastAsia="en-AU" w:bidi="ar-SA"/>
        </w:rPr>
        <w:t xml:space="preserve"> </w:t>
      </w:r>
      <w:r w:rsidR="00F80988">
        <w:rPr>
          <w:lang w:eastAsia="en-AU" w:bidi="ar-SA"/>
        </w:rPr>
        <w:t>induced hypertension.</w:t>
      </w:r>
    </w:p>
    <w:p w14:paraId="3D0F3FF0" w14:textId="4B0025BA" w:rsidR="008F5345" w:rsidRPr="004C30F8" w:rsidRDefault="004C30F8" w:rsidP="00112C61">
      <w:pPr>
        <w:pStyle w:val="Heading5"/>
      </w:pPr>
      <w:r w:rsidRPr="004C30F8">
        <w:t>Fertility, pregnancy and birth outcomes</w:t>
      </w:r>
    </w:p>
    <w:p w14:paraId="5968543F" w14:textId="1F3F5754" w:rsidR="008F5345" w:rsidRDefault="004C30F8" w:rsidP="00A111E9">
      <w:pPr>
        <w:rPr>
          <w:lang w:eastAsia="en-AU" w:bidi="ar-SA"/>
        </w:rPr>
      </w:pPr>
      <w:r>
        <w:rPr>
          <w:lang w:eastAsia="en-AU" w:bidi="ar-SA"/>
        </w:rPr>
        <w:t>E</w:t>
      </w:r>
      <w:r w:rsidR="007D29E8">
        <w:rPr>
          <w:lang w:eastAsia="en-AU" w:bidi="ar-SA"/>
        </w:rPr>
        <w:t>FSA (2008</w:t>
      </w:r>
      <w:r>
        <w:rPr>
          <w:lang w:eastAsia="en-AU" w:bidi="ar-SA"/>
        </w:rPr>
        <w:t xml:space="preserve">) noted contradictory findings regarding associations between PFOS exposure and birth weight and gestational age, and concluded that the limited data available did not indicate a </w:t>
      </w:r>
      <w:r w:rsidR="007D29E8">
        <w:rPr>
          <w:lang w:eastAsia="en-AU" w:bidi="ar-SA"/>
        </w:rPr>
        <w:t>risk of reduced birth weight or gestational age</w:t>
      </w:r>
      <w:r w:rsidR="00233827">
        <w:rPr>
          <w:lang w:eastAsia="en-AU" w:bidi="ar-SA"/>
        </w:rPr>
        <w:t>.</w:t>
      </w:r>
    </w:p>
    <w:p w14:paraId="43EE1242" w14:textId="77777777" w:rsidR="007D29E8" w:rsidRDefault="007D29E8" w:rsidP="00A111E9">
      <w:pPr>
        <w:rPr>
          <w:lang w:eastAsia="en-AU" w:bidi="ar-SA"/>
        </w:rPr>
      </w:pPr>
    </w:p>
    <w:p w14:paraId="6F912CC8" w14:textId="3B4FEFB8" w:rsidR="007D29E8" w:rsidRDefault="007D29E8" w:rsidP="00A111E9">
      <w:pPr>
        <w:rPr>
          <w:lang w:eastAsia="en-AU" w:bidi="ar-SA"/>
        </w:rPr>
      </w:pPr>
      <w:r>
        <w:rPr>
          <w:lang w:eastAsia="en-AU" w:bidi="ar-SA"/>
        </w:rPr>
        <w:t>Although three studies were null, birth weight deficits ranging</w:t>
      </w:r>
      <w:r w:rsidR="00540D65">
        <w:rPr>
          <w:lang w:eastAsia="en-AU" w:bidi="ar-SA"/>
        </w:rPr>
        <w:t xml:space="preserve"> from</w:t>
      </w:r>
      <w:r>
        <w:rPr>
          <w:lang w:eastAsia="en-AU" w:bidi="ar-SA"/>
        </w:rPr>
        <w:t xml:space="preserve"> 29 – 149 grams were detected in five studies (reviewed by US EPA 2016</w:t>
      </w:r>
      <w:r w:rsidR="00950F4E">
        <w:rPr>
          <w:lang w:eastAsia="en-AU" w:bidi="ar-SA"/>
        </w:rPr>
        <w:t>)</w:t>
      </w:r>
      <w:r>
        <w:rPr>
          <w:lang w:eastAsia="en-AU" w:bidi="ar-SA"/>
        </w:rPr>
        <w:t xml:space="preserve">. </w:t>
      </w:r>
      <w:r w:rsidR="00C236BC">
        <w:rPr>
          <w:lang w:eastAsia="en-AU" w:bidi="ar-SA"/>
        </w:rPr>
        <w:t xml:space="preserve">The significant associations were found in studies of the general population as well as highly exposed residents. </w:t>
      </w:r>
      <w:r w:rsidR="00700833">
        <w:rPr>
          <w:lang w:eastAsia="en-AU" w:bidi="ar-SA"/>
        </w:rPr>
        <w:t>Although significant associations have been found, the decreases in birth weight were small and may not be biologically relevant</w:t>
      </w:r>
      <w:r w:rsidR="00950F4E">
        <w:rPr>
          <w:lang w:eastAsia="en-AU" w:bidi="ar-SA"/>
        </w:rPr>
        <w:t xml:space="preserve"> (reviewed by ATSDR 2015)</w:t>
      </w:r>
      <w:r w:rsidR="00700833">
        <w:rPr>
          <w:lang w:eastAsia="en-AU" w:bidi="ar-SA"/>
        </w:rPr>
        <w:t>.</w:t>
      </w:r>
    </w:p>
    <w:p w14:paraId="244511A0" w14:textId="1EEF64DE" w:rsidR="00AD53FD" w:rsidRDefault="00AD53FD" w:rsidP="00A111E9">
      <w:pPr>
        <w:rPr>
          <w:lang w:eastAsia="en-AU" w:bidi="ar-SA"/>
        </w:rPr>
      </w:pPr>
    </w:p>
    <w:p w14:paraId="7B19917D" w14:textId="552A294F" w:rsidR="00AD53FD" w:rsidRDefault="00AD53FD" w:rsidP="00A111E9">
      <w:pPr>
        <w:rPr>
          <w:lang w:eastAsia="en-AU" w:bidi="ar-SA"/>
        </w:rPr>
      </w:pPr>
      <w:r w:rsidRPr="00F81989">
        <w:rPr>
          <w:lang w:eastAsia="en-AU"/>
        </w:rPr>
        <w:t>FSANZ has reviewed the available epidemiological information regarding PFOS and PFOA and birthweight</w:t>
      </w:r>
      <w:r w:rsidR="00D60B37" w:rsidRPr="00F81989">
        <w:rPr>
          <w:lang w:eastAsia="en-AU"/>
        </w:rPr>
        <w:t xml:space="preserve"> (Appendix 1)</w:t>
      </w:r>
      <w:r w:rsidRPr="00F81989">
        <w:rPr>
          <w:lang w:eastAsia="en-AU"/>
        </w:rPr>
        <w:t xml:space="preserve">. FSANZ notes that the </w:t>
      </w:r>
      <w:r w:rsidR="00CE1658" w:rsidRPr="00F81989">
        <w:rPr>
          <w:lang w:eastAsia="en-AU"/>
        </w:rPr>
        <w:t xml:space="preserve">blood </w:t>
      </w:r>
      <w:r w:rsidRPr="00F81989">
        <w:rPr>
          <w:lang w:eastAsia="en-AU"/>
        </w:rPr>
        <w:t>concentration</w:t>
      </w:r>
      <w:r w:rsidR="00CE1658" w:rsidRPr="00F81989">
        <w:rPr>
          <w:lang w:eastAsia="en-AU"/>
        </w:rPr>
        <w:t>s</w:t>
      </w:r>
      <w:r w:rsidRPr="00F81989">
        <w:rPr>
          <w:lang w:eastAsia="en-AU"/>
        </w:rPr>
        <w:t xml:space="preserve"> in the human studies is about 1000-fold lower than that found in animal studies showing an effect on </w:t>
      </w:r>
      <w:r w:rsidRPr="00F81989">
        <w:rPr>
          <w:lang w:eastAsia="en-AU"/>
        </w:rPr>
        <w:lastRenderedPageBreak/>
        <w:t xml:space="preserve">birthweight. Overall the studies with numerical data report an association, </w:t>
      </w:r>
      <w:r w:rsidR="00CE1658" w:rsidRPr="00F81989">
        <w:rPr>
          <w:lang w:eastAsia="en-AU"/>
        </w:rPr>
        <w:t>but</w:t>
      </w:r>
      <w:r w:rsidRPr="00F81989">
        <w:rPr>
          <w:lang w:eastAsia="en-AU"/>
        </w:rPr>
        <w:t xml:space="preserve"> missing quantitative data from studies reporting no effect raises the possibility of </w:t>
      </w:r>
      <w:r w:rsidR="00CE1658" w:rsidRPr="00F81989">
        <w:rPr>
          <w:lang w:eastAsia="en-AU"/>
        </w:rPr>
        <w:t xml:space="preserve">selective reporting or publication bias affecting the body of evidence. It is not possible to determine whether the association reflects a causal relationship or is the result of a third factor that alters both PFAS concentration and birthweight. For example, changes in </w:t>
      </w:r>
      <w:r w:rsidR="008A1039">
        <w:rPr>
          <w:lang w:eastAsia="en-AU"/>
        </w:rPr>
        <w:t>GFR</w:t>
      </w:r>
      <w:r w:rsidR="00CE1658" w:rsidRPr="00F81989">
        <w:rPr>
          <w:lang w:eastAsia="en-AU"/>
        </w:rPr>
        <w:t xml:space="preserve"> that occur during pregnancy would be expected to affect both birthweight and the rate of excretion of PFAS.</w:t>
      </w:r>
      <w:r w:rsidR="00CF3875" w:rsidRPr="00F81989">
        <w:rPr>
          <w:lang w:eastAsia="en-AU"/>
        </w:rPr>
        <w:t xml:space="preserve"> This may require further investigation.</w:t>
      </w:r>
      <w:r w:rsidR="00CE1658" w:rsidRPr="00F81989">
        <w:rPr>
          <w:lang w:eastAsia="en-AU"/>
        </w:rPr>
        <w:t xml:space="preserve"> It is also not possible to determine whether the association between PFAS and birthweight may have been overstated due to selective reporting or publication.</w:t>
      </w:r>
    </w:p>
    <w:p w14:paraId="6A6A8C37" w14:textId="77777777" w:rsidR="00700833" w:rsidRDefault="00700833" w:rsidP="00A111E9">
      <w:pPr>
        <w:rPr>
          <w:lang w:eastAsia="en-AU" w:bidi="ar-SA"/>
        </w:rPr>
      </w:pPr>
    </w:p>
    <w:p w14:paraId="0D14BBD3" w14:textId="62924D97" w:rsidR="008F5345" w:rsidRDefault="00540D65" w:rsidP="00A111E9">
      <w:pPr>
        <w:rPr>
          <w:lang w:eastAsia="en-AU" w:bidi="ar-SA"/>
        </w:rPr>
      </w:pPr>
      <w:r>
        <w:rPr>
          <w:lang w:eastAsia="en-AU" w:bidi="ar-SA"/>
        </w:rPr>
        <w:t>A small set of studies report</w:t>
      </w:r>
      <w:r w:rsidR="0021605C">
        <w:rPr>
          <w:lang w:eastAsia="en-AU" w:bidi="ar-SA"/>
        </w:rPr>
        <w:t xml:space="preserve">ed associations with gestational diabetes, pre-eclampsia and pregnancy induced hypertension. These outcomes were also associated with </w:t>
      </w:r>
      <w:r>
        <w:rPr>
          <w:lang w:eastAsia="en-AU" w:bidi="ar-SA"/>
        </w:rPr>
        <w:t xml:space="preserve">increased </w:t>
      </w:r>
      <w:r w:rsidR="0021605C">
        <w:rPr>
          <w:lang w:eastAsia="en-AU" w:bidi="ar-SA"/>
        </w:rPr>
        <w:t>serum PFOA levels (reviewed by US EPA 2016).</w:t>
      </w:r>
    </w:p>
    <w:p w14:paraId="51D7543C" w14:textId="77777777" w:rsidR="0021605C" w:rsidRDefault="0021605C" w:rsidP="00A111E9">
      <w:pPr>
        <w:rPr>
          <w:lang w:eastAsia="en-AU" w:bidi="ar-SA"/>
        </w:rPr>
      </w:pPr>
    </w:p>
    <w:p w14:paraId="3C5CED98" w14:textId="5D4802F0" w:rsidR="0021605C" w:rsidRDefault="0021605C" w:rsidP="00A111E9">
      <w:pPr>
        <w:rPr>
          <w:lang w:eastAsia="en-AU" w:bidi="ar-SA"/>
        </w:rPr>
      </w:pPr>
      <w:r>
        <w:rPr>
          <w:lang w:eastAsia="en-AU" w:bidi="ar-SA"/>
        </w:rPr>
        <w:t>A small number of studies found assoc</w:t>
      </w:r>
      <w:r w:rsidR="00104C8E">
        <w:rPr>
          <w:lang w:eastAsia="en-AU" w:bidi="ar-SA"/>
        </w:rPr>
        <w:t>i</w:t>
      </w:r>
      <w:r>
        <w:rPr>
          <w:lang w:eastAsia="en-AU" w:bidi="ar-SA"/>
        </w:rPr>
        <w:t>ations between PFOS exposure and semen quality parameters,</w:t>
      </w:r>
      <w:r w:rsidR="004A40E9">
        <w:rPr>
          <w:lang w:eastAsia="en-AU" w:bidi="ar-SA"/>
        </w:rPr>
        <w:t xml:space="preserve"> however</w:t>
      </w:r>
      <w:r w:rsidR="007F02A2">
        <w:rPr>
          <w:lang w:eastAsia="en-AU" w:bidi="ar-SA"/>
        </w:rPr>
        <w:t>,</w:t>
      </w:r>
      <w:r>
        <w:rPr>
          <w:lang w:eastAsia="en-AU" w:bidi="ar-SA"/>
        </w:rPr>
        <w:t xml:space="preserve"> most stu</w:t>
      </w:r>
      <w:r w:rsidR="004A40E9">
        <w:rPr>
          <w:lang w:eastAsia="en-AU" w:bidi="ar-SA"/>
        </w:rPr>
        <w:t>d</w:t>
      </w:r>
      <w:r>
        <w:rPr>
          <w:lang w:eastAsia="en-AU" w:bidi="ar-SA"/>
        </w:rPr>
        <w:t>ies were null (reviewed by US EPA 2016).</w:t>
      </w:r>
    </w:p>
    <w:p w14:paraId="3EAE6E0B" w14:textId="77777777" w:rsidR="0021605C" w:rsidRDefault="0021605C" w:rsidP="00A111E9">
      <w:pPr>
        <w:rPr>
          <w:lang w:eastAsia="en-AU" w:bidi="ar-SA"/>
        </w:rPr>
      </w:pPr>
    </w:p>
    <w:p w14:paraId="4EE3B7AF" w14:textId="4EB59A07" w:rsidR="003B57E6" w:rsidRDefault="0021605C" w:rsidP="00A111E9">
      <w:pPr>
        <w:rPr>
          <w:lang w:eastAsia="en-AU" w:bidi="ar-SA"/>
        </w:rPr>
      </w:pPr>
      <w:r>
        <w:rPr>
          <w:lang w:eastAsia="en-AU" w:bidi="ar-SA"/>
        </w:rPr>
        <w:t xml:space="preserve">Some studies have observed </w:t>
      </w:r>
      <w:r w:rsidR="003B57E6">
        <w:rPr>
          <w:lang w:eastAsia="en-AU" w:bidi="ar-SA"/>
        </w:rPr>
        <w:t>increased odds for</w:t>
      </w:r>
      <w:r>
        <w:rPr>
          <w:lang w:eastAsia="en-AU" w:bidi="ar-SA"/>
        </w:rPr>
        <w:t xml:space="preserve"> infertility or reduced fecundity</w:t>
      </w:r>
      <w:r w:rsidR="003B57E6">
        <w:rPr>
          <w:lang w:eastAsia="en-AU" w:bidi="ar-SA"/>
        </w:rPr>
        <w:t xml:space="preserve"> in women </w:t>
      </w:r>
      <w:r w:rsidR="004A40E9">
        <w:rPr>
          <w:lang w:eastAsia="en-AU" w:bidi="ar-SA"/>
        </w:rPr>
        <w:t>with higher levels of PFOS</w:t>
      </w:r>
      <w:r>
        <w:rPr>
          <w:lang w:eastAsia="en-AU" w:bidi="ar-SA"/>
        </w:rPr>
        <w:t xml:space="preserve">, while </w:t>
      </w:r>
      <w:r w:rsidR="003B57E6">
        <w:rPr>
          <w:lang w:eastAsia="en-AU" w:bidi="ar-SA"/>
        </w:rPr>
        <w:t xml:space="preserve">another study found no association between time to pregnancy and serum </w:t>
      </w:r>
      <w:r w:rsidR="00F359FA">
        <w:rPr>
          <w:lang w:eastAsia="en-AU" w:bidi="ar-SA"/>
        </w:rPr>
        <w:t xml:space="preserve">PFOS </w:t>
      </w:r>
      <w:r w:rsidR="003B57E6">
        <w:rPr>
          <w:lang w:eastAsia="en-AU" w:bidi="ar-SA"/>
        </w:rPr>
        <w:t>levels (reviewed by US EPA 2016 and ATSDR 2015</w:t>
      </w:r>
      <w:r w:rsidR="005D7DBA">
        <w:rPr>
          <w:lang w:eastAsia="en-AU" w:bidi="ar-SA"/>
        </w:rPr>
        <w:t>)</w:t>
      </w:r>
      <w:r w:rsidR="003B57E6">
        <w:rPr>
          <w:lang w:eastAsia="en-AU" w:bidi="ar-SA"/>
        </w:rPr>
        <w:t>.</w:t>
      </w:r>
    </w:p>
    <w:p w14:paraId="66F3191A" w14:textId="77777777" w:rsidR="003B57E6" w:rsidRPr="003B57E6" w:rsidRDefault="003B57E6" w:rsidP="00112C61">
      <w:pPr>
        <w:pStyle w:val="Heading5"/>
      </w:pPr>
      <w:r w:rsidRPr="003B57E6">
        <w:t>Thyroid</w:t>
      </w:r>
    </w:p>
    <w:p w14:paraId="04A2E3CE" w14:textId="20D61194" w:rsidR="0099570F" w:rsidRDefault="003B57E6" w:rsidP="00A111E9">
      <w:pPr>
        <w:rPr>
          <w:lang w:eastAsia="en-AU" w:bidi="ar-SA"/>
        </w:rPr>
      </w:pPr>
      <w:r>
        <w:rPr>
          <w:lang w:eastAsia="en-AU" w:bidi="ar-SA"/>
        </w:rPr>
        <w:t>Increased levels of T3 have been observed in PFOS</w:t>
      </w:r>
      <w:r w:rsidR="001012A5">
        <w:rPr>
          <w:lang w:eastAsia="en-AU" w:bidi="ar-SA"/>
        </w:rPr>
        <w:t xml:space="preserve"> </w:t>
      </w:r>
      <w:r>
        <w:rPr>
          <w:lang w:eastAsia="en-AU" w:bidi="ar-SA"/>
        </w:rPr>
        <w:t>exposed workers, which is the opposite direction to findings in rodents and monkeys (reviewed by EFSA 2008).</w:t>
      </w:r>
    </w:p>
    <w:p w14:paraId="360B1D1A" w14:textId="77777777" w:rsidR="0099570F" w:rsidRDefault="0099570F" w:rsidP="00A111E9">
      <w:pPr>
        <w:rPr>
          <w:lang w:eastAsia="en-AU" w:bidi="ar-SA"/>
        </w:rPr>
      </w:pPr>
    </w:p>
    <w:p w14:paraId="6F9E06DF" w14:textId="315657A0" w:rsidR="0021605C" w:rsidRDefault="00DF7692" w:rsidP="00A111E9">
      <w:pPr>
        <w:rPr>
          <w:lang w:eastAsia="en-AU" w:bidi="ar-SA"/>
        </w:rPr>
      </w:pPr>
      <w:r>
        <w:rPr>
          <w:lang w:eastAsia="en-AU" w:bidi="ar-SA"/>
        </w:rPr>
        <w:t xml:space="preserve">The US EPA noted that the epidemiological studies provide limited support for an association between PFOS exposure and thyroid disease, but not thyroid hormone status. </w:t>
      </w:r>
      <w:r w:rsidR="00063094">
        <w:rPr>
          <w:lang w:eastAsia="en-AU" w:bidi="ar-SA"/>
        </w:rPr>
        <w:t>However, associations between PFOS exposure and TSH (increased) and T4 (reduced) levels have been found in people at risk for thyroid insufficiency (i.e. people with low iodide status and positive anti</w:t>
      </w:r>
      <w:r w:rsidR="000203C4">
        <w:rPr>
          <w:lang w:eastAsia="en-AU" w:bidi="ar-SA"/>
        </w:rPr>
        <w:t>thyroperoxidase</w:t>
      </w:r>
      <w:r w:rsidR="0099570F">
        <w:rPr>
          <w:lang w:eastAsia="en-AU" w:bidi="ar-SA"/>
        </w:rPr>
        <w:t xml:space="preserve"> antibodies; reviewed by US EPA 2016).</w:t>
      </w:r>
    </w:p>
    <w:p w14:paraId="0FB837C0" w14:textId="77777777" w:rsidR="0006226D" w:rsidRDefault="0006226D" w:rsidP="00A111E9">
      <w:pPr>
        <w:rPr>
          <w:lang w:eastAsia="en-AU" w:bidi="ar-SA"/>
        </w:rPr>
      </w:pPr>
    </w:p>
    <w:p w14:paraId="5BC0196B" w14:textId="36ACC91D" w:rsidR="0099570F" w:rsidRDefault="0099570F" w:rsidP="00A111E9">
      <w:pPr>
        <w:rPr>
          <w:lang w:eastAsia="en-AU" w:bidi="ar-SA"/>
        </w:rPr>
      </w:pPr>
      <w:r>
        <w:rPr>
          <w:lang w:eastAsia="en-AU" w:bidi="ar-SA"/>
        </w:rPr>
        <w:t>The ATSDR (2015) concluded that b</w:t>
      </w:r>
      <w:r w:rsidRPr="0099570F">
        <w:rPr>
          <w:lang w:eastAsia="en-AU" w:bidi="ar-SA"/>
        </w:rPr>
        <w:t xml:space="preserve">ased on the results of studies of adolescents, adults, and pregnant women, exposure to serum </w:t>
      </w:r>
      <w:r>
        <w:rPr>
          <w:lang w:eastAsia="en-AU" w:bidi="ar-SA"/>
        </w:rPr>
        <w:t>PFAS</w:t>
      </w:r>
      <w:r w:rsidR="00F359FA">
        <w:rPr>
          <w:lang w:eastAsia="en-AU" w:bidi="ar-SA"/>
        </w:rPr>
        <w:t>s</w:t>
      </w:r>
      <w:r w:rsidRPr="0099570F">
        <w:rPr>
          <w:lang w:eastAsia="en-AU" w:bidi="ar-SA"/>
        </w:rPr>
        <w:t xml:space="preserve"> does not appear to result in thyroid toxicity.</w:t>
      </w:r>
    </w:p>
    <w:p w14:paraId="3D096103" w14:textId="288275B7" w:rsidR="0099570F" w:rsidRPr="00776D30" w:rsidRDefault="00776D30" w:rsidP="00112C61">
      <w:pPr>
        <w:pStyle w:val="Heading5"/>
      </w:pPr>
      <w:r w:rsidRPr="00776D30">
        <w:t>Immune function</w:t>
      </w:r>
    </w:p>
    <w:p w14:paraId="4EA7FF09" w14:textId="5B3A7A34" w:rsidR="00031A10" w:rsidRDefault="00031A10" w:rsidP="00A111E9">
      <w:pPr>
        <w:rPr>
          <w:lang w:eastAsia="en-AU" w:bidi="ar-SA"/>
        </w:rPr>
      </w:pPr>
      <w:r w:rsidRPr="00031A10">
        <w:rPr>
          <w:lang w:eastAsia="en-AU" w:bidi="ar-SA"/>
        </w:rPr>
        <w:t>Limited information is available on the immunotoxicity of perfluoroalkyl compounds in humans</w:t>
      </w:r>
      <w:r>
        <w:rPr>
          <w:lang w:eastAsia="en-AU" w:bidi="ar-SA"/>
        </w:rPr>
        <w:t xml:space="preserve"> (reviewed by ATSDR 2015)</w:t>
      </w:r>
      <w:r w:rsidRPr="00031A10">
        <w:rPr>
          <w:lang w:eastAsia="en-AU" w:bidi="ar-SA"/>
        </w:rPr>
        <w:t>.</w:t>
      </w:r>
    </w:p>
    <w:p w14:paraId="3AF41F54" w14:textId="77777777" w:rsidR="00031A10" w:rsidRDefault="00031A10" w:rsidP="00A111E9">
      <w:pPr>
        <w:rPr>
          <w:lang w:eastAsia="en-AU" w:bidi="ar-SA"/>
        </w:rPr>
      </w:pPr>
    </w:p>
    <w:p w14:paraId="57BC5B56" w14:textId="2FDA58A4" w:rsidR="002555A6" w:rsidRDefault="002555A6" w:rsidP="00A111E9">
      <w:pPr>
        <w:rPr>
          <w:lang w:eastAsia="en-AU" w:bidi="ar-SA"/>
        </w:rPr>
      </w:pPr>
      <w:r>
        <w:rPr>
          <w:lang w:eastAsia="en-AU" w:bidi="ar-SA"/>
        </w:rPr>
        <w:t>Two studies have reported decreased responses to vaccines in children associated with increasing prenatal serum PFOS levels or levels at 5 years of age. Decreased rubella and mumps antibody concentrations in relation to serum PFOS levels have been found in a study of 12 – 19 year olds in the US general population.</w:t>
      </w:r>
      <w:r w:rsidR="00FF4300">
        <w:rPr>
          <w:lang w:eastAsia="en-AU" w:bidi="ar-SA"/>
        </w:rPr>
        <w:t xml:space="preserve"> In contrast, a</w:t>
      </w:r>
      <w:r>
        <w:rPr>
          <w:lang w:eastAsia="en-AU" w:bidi="ar-SA"/>
        </w:rPr>
        <w:t xml:space="preserve"> study in adults found no association between PFOS levels and antibody response to the influenza vaccine. In the three studies with children, the findings were also correlated with other PFAS, limiting the ability to make conclusions specific to PFOS (reviewed by US EPA 2016).</w:t>
      </w:r>
    </w:p>
    <w:p w14:paraId="20C002CE" w14:textId="77777777" w:rsidR="002555A6" w:rsidRDefault="002555A6" w:rsidP="00A111E9">
      <w:pPr>
        <w:rPr>
          <w:lang w:eastAsia="en-AU" w:bidi="ar-SA"/>
        </w:rPr>
      </w:pPr>
    </w:p>
    <w:p w14:paraId="47170871" w14:textId="586C5410" w:rsidR="00776D30" w:rsidRDefault="002555A6" w:rsidP="00A111E9">
      <w:pPr>
        <w:rPr>
          <w:lang w:eastAsia="en-AU" w:bidi="ar-SA"/>
        </w:rPr>
      </w:pPr>
      <w:r>
        <w:rPr>
          <w:lang w:eastAsia="en-AU" w:bidi="ar-SA"/>
        </w:rPr>
        <w:t xml:space="preserve">Higher odds ratios for asthma with increasing serum PFOS concentrations </w:t>
      </w:r>
      <w:r w:rsidR="006D0E3B">
        <w:rPr>
          <w:lang w:eastAsia="en-AU" w:bidi="ar-SA"/>
        </w:rPr>
        <w:t>were seen in a study of children</w:t>
      </w:r>
      <w:r>
        <w:rPr>
          <w:lang w:eastAsia="en-AU" w:bidi="ar-SA"/>
        </w:rPr>
        <w:t xml:space="preserve"> </w:t>
      </w:r>
      <w:r w:rsidR="006D0E3B">
        <w:rPr>
          <w:lang w:eastAsia="en-AU" w:bidi="ar-SA"/>
        </w:rPr>
        <w:t>in Taiwan, while a study in the USA found no association between serum PFOS and risk of ever having had asthma (reviewed by US EPA 2016).</w:t>
      </w:r>
    </w:p>
    <w:p w14:paraId="5178D7F2" w14:textId="257C9CEB" w:rsidR="006E7968" w:rsidRDefault="006E7968" w:rsidP="00A111E9">
      <w:pPr>
        <w:rPr>
          <w:lang w:eastAsia="en-AU" w:bidi="ar-SA"/>
        </w:rPr>
      </w:pPr>
    </w:p>
    <w:p w14:paraId="6BA7F55B" w14:textId="650D2EAE" w:rsidR="006E7968" w:rsidRDefault="006E7968" w:rsidP="00A111E9">
      <w:pPr>
        <w:rPr>
          <w:lang w:eastAsia="en-AU" w:bidi="ar-SA"/>
        </w:rPr>
      </w:pPr>
      <w:r>
        <w:rPr>
          <w:lang w:eastAsia="en-AU" w:bidi="ar-SA"/>
        </w:rPr>
        <w:t>The US N</w:t>
      </w:r>
      <w:r w:rsidR="00060C53">
        <w:rPr>
          <w:lang w:eastAsia="en-AU" w:bidi="ar-SA"/>
        </w:rPr>
        <w:t>TP</w:t>
      </w:r>
      <w:r>
        <w:rPr>
          <w:lang w:eastAsia="en-AU" w:bidi="ar-SA"/>
        </w:rPr>
        <w:t xml:space="preserve"> recently published a draft systematic review of immunotoxicity associated with exposure to PFOS or PFOA (NTP 2016). This review </w:t>
      </w:r>
      <w:r>
        <w:rPr>
          <w:szCs w:val="22"/>
        </w:rPr>
        <w:t>conclude</w:t>
      </w:r>
      <w:r w:rsidR="006B2FE9">
        <w:rPr>
          <w:szCs w:val="22"/>
        </w:rPr>
        <w:t>d</w:t>
      </w:r>
      <w:r>
        <w:rPr>
          <w:szCs w:val="22"/>
        </w:rPr>
        <w:t xml:space="preserve"> that exposure to PFOS should be </w:t>
      </w:r>
      <w:r w:rsidRPr="006E7968">
        <w:rPr>
          <w:iCs/>
          <w:szCs w:val="22"/>
        </w:rPr>
        <w:t>presumed to be an immune hazard to humans</w:t>
      </w:r>
      <w:r>
        <w:rPr>
          <w:i/>
          <w:iCs/>
          <w:szCs w:val="22"/>
        </w:rPr>
        <w:t xml:space="preserve"> </w:t>
      </w:r>
      <w:r>
        <w:rPr>
          <w:szCs w:val="22"/>
        </w:rPr>
        <w:t>based on a high level of evidence</w:t>
      </w:r>
      <w:r w:rsidR="00540D65">
        <w:rPr>
          <w:szCs w:val="22"/>
        </w:rPr>
        <w:t xml:space="preserve"> </w:t>
      </w:r>
      <w:r w:rsidR="00540D65">
        <w:rPr>
          <w:szCs w:val="22"/>
        </w:rPr>
        <w:lastRenderedPageBreak/>
        <w:t>that</w:t>
      </w:r>
      <w:r>
        <w:rPr>
          <w:szCs w:val="22"/>
        </w:rPr>
        <w:t xml:space="preserve"> PFOS suppressed the antibody response from animal studies</w:t>
      </w:r>
      <w:r w:rsidR="00540D65">
        <w:rPr>
          <w:szCs w:val="22"/>
        </w:rPr>
        <w:t>,</w:t>
      </w:r>
      <w:r>
        <w:rPr>
          <w:szCs w:val="22"/>
        </w:rPr>
        <w:t xml:space="preserve"> and a moderate level of evidence from studies in humans</w:t>
      </w:r>
      <w:r w:rsidR="00540D65">
        <w:rPr>
          <w:szCs w:val="22"/>
        </w:rPr>
        <w:t>.</w:t>
      </w:r>
    </w:p>
    <w:p w14:paraId="7D29D99D" w14:textId="199D740F" w:rsidR="00FE46E2" w:rsidRDefault="00FE46E2" w:rsidP="00A111E9">
      <w:pPr>
        <w:rPr>
          <w:lang w:eastAsia="en-AU" w:bidi="ar-SA"/>
        </w:rPr>
      </w:pPr>
    </w:p>
    <w:p w14:paraId="1F584D62" w14:textId="4EE1D9D4" w:rsidR="00FE46E2" w:rsidRDefault="005B7D51" w:rsidP="00A111E9">
      <w:pPr>
        <w:rPr>
          <w:lang w:eastAsia="en-AU" w:bidi="ar-SA"/>
        </w:rPr>
      </w:pPr>
      <w:r>
        <w:rPr>
          <w:lang w:eastAsia="en-AU" w:bidi="ar-SA"/>
        </w:rPr>
        <w:t xml:space="preserve">FSANZ commissioned a </w:t>
      </w:r>
      <w:r w:rsidR="00FE46E2">
        <w:rPr>
          <w:lang w:eastAsia="en-AU" w:bidi="ar-SA"/>
        </w:rPr>
        <w:t xml:space="preserve">review of the potential of PFASs to modulate the immune system </w:t>
      </w:r>
      <w:r>
        <w:rPr>
          <w:lang w:eastAsia="en-AU" w:bidi="ar-SA"/>
        </w:rPr>
        <w:t xml:space="preserve">(Drew and Hagen 2016). The review noted that that there are both positive and negative epidemiology studies on associations between serum PFOS concentrations and compromised antibody production. The report </w:t>
      </w:r>
      <w:r w:rsidR="00FE46E2">
        <w:rPr>
          <w:lang w:eastAsia="en-AU" w:bidi="ar-SA"/>
        </w:rPr>
        <w:t>concluded that</w:t>
      </w:r>
      <w:r>
        <w:rPr>
          <w:lang w:eastAsia="en-AU" w:bidi="ar-SA"/>
        </w:rPr>
        <w:t xml:space="preserve"> while PFOS may present an immune hazard to humans,</w:t>
      </w:r>
      <w:r w:rsidR="00FE46E2">
        <w:rPr>
          <w:lang w:eastAsia="en-AU" w:bidi="ar-SA"/>
        </w:rPr>
        <w:t xml:space="preserve"> the epidemiology data available </w:t>
      </w:r>
      <w:r>
        <w:rPr>
          <w:lang w:eastAsia="en-AU" w:bidi="ar-SA"/>
        </w:rPr>
        <w:t>do not provide compelling evidence for increased incidence of disease associated with PFOS effects on immune function</w:t>
      </w:r>
      <w:r w:rsidR="00FE46E2">
        <w:rPr>
          <w:lang w:eastAsia="en-AU" w:bidi="ar-SA"/>
        </w:rPr>
        <w:t xml:space="preserve">. A number of limitations with the </w:t>
      </w:r>
      <w:r w:rsidR="00557CF6">
        <w:rPr>
          <w:lang w:eastAsia="en-AU" w:bidi="ar-SA"/>
        </w:rPr>
        <w:t>available data were noted. These included</w:t>
      </w:r>
      <w:r w:rsidR="00FE46E2">
        <w:rPr>
          <w:lang w:eastAsia="en-AU" w:bidi="ar-SA"/>
        </w:rPr>
        <w:t xml:space="preserve"> comparisons of ‘low’ and ‘high’ exposure groups where the differences are over a very low and narrow </w:t>
      </w:r>
      <w:r w:rsidR="00557CF6">
        <w:rPr>
          <w:lang w:eastAsia="en-AU" w:bidi="ar-SA"/>
        </w:rPr>
        <w:t xml:space="preserve">serum </w:t>
      </w:r>
      <w:r w:rsidR="00FE46E2">
        <w:rPr>
          <w:lang w:eastAsia="en-AU" w:bidi="ar-SA"/>
        </w:rPr>
        <w:t>concentration range</w:t>
      </w:r>
      <w:r w:rsidR="00557CF6">
        <w:rPr>
          <w:lang w:eastAsia="en-AU" w:bidi="ar-SA"/>
        </w:rPr>
        <w:t xml:space="preserve"> (0.002 – 0.05 mg/L), and potential co-exposures to other environmental chemicals that are known to have immunomodulating effects. It was noted that many of the associations are weak and the effects are small and of questionable clinical significance.</w:t>
      </w:r>
    </w:p>
    <w:p w14:paraId="266FC01E" w14:textId="07C83D6F" w:rsidR="00031A10" w:rsidRPr="00031A10" w:rsidRDefault="00031A10" w:rsidP="00112C61">
      <w:pPr>
        <w:pStyle w:val="Heading5"/>
      </w:pPr>
      <w:r w:rsidRPr="00031A10">
        <w:t>Carcinogencity</w:t>
      </w:r>
    </w:p>
    <w:p w14:paraId="378F0A42" w14:textId="496E890F" w:rsidR="00FF1EAC" w:rsidRDefault="00FF1EAC" w:rsidP="00A111E9">
      <w:pPr>
        <w:rPr>
          <w:color w:val="000000"/>
          <w:szCs w:val="22"/>
        </w:rPr>
      </w:pPr>
      <w:r w:rsidRPr="00FF1EAC">
        <w:rPr>
          <w:color w:val="000000"/>
          <w:szCs w:val="22"/>
        </w:rPr>
        <w:t>None of the agencies considered that epidemiological studies provided convincing evidence of a correlation between PFOS and any cancer type.</w:t>
      </w:r>
    </w:p>
    <w:p w14:paraId="6FED6613" w14:textId="77777777" w:rsidR="006C73B6" w:rsidRDefault="006C73B6" w:rsidP="00A111E9">
      <w:pPr>
        <w:rPr>
          <w:color w:val="000000"/>
          <w:szCs w:val="22"/>
        </w:rPr>
      </w:pPr>
    </w:p>
    <w:p w14:paraId="6F9B4A61" w14:textId="285241E2" w:rsidR="00F30A67" w:rsidRPr="00FE384E" w:rsidRDefault="006C73B6" w:rsidP="00A111E9">
      <w:pPr>
        <w:rPr>
          <w:color w:val="000000"/>
          <w:szCs w:val="22"/>
        </w:rPr>
      </w:pPr>
      <w:r>
        <w:rPr>
          <w:color w:val="000000"/>
          <w:szCs w:val="22"/>
        </w:rPr>
        <w:t>The US EPA (2016) noted that human epidemiology studies did not find a correlation between PFOS exposure and cancer incidence in occupational populations, and general population studies found no statistically</w:t>
      </w:r>
      <w:r w:rsidR="00032CF6">
        <w:rPr>
          <w:color w:val="000000"/>
          <w:szCs w:val="22"/>
        </w:rPr>
        <w:t xml:space="preserve"> </w:t>
      </w:r>
      <w:r>
        <w:rPr>
          <w:color w:val="000000"/>
          <w:szCs w:val="22"/>
        </w:rPr>
        <w:t>significa</w:t>
      </w:r>
      <w:r w:rsidR="00FE384E">
        <w:rPr>
          <w:color w:val="000000"/>
          <w:szCs w:val="22"/>
        </w:rPr>
        <w:t>nt trends for any cancer type.</w:t>
      </w:r>
    </w:p>
    <w:p w14:paraId="6530B77B" w14:textId="1C84E982" w:rsidR="00CA168D" w:rsidRPr="00112C61" w:rsidRDefault="00AC7054" w:rsidP="00112C61">
      <w:pPr>
        <w:pStyle w:val="Heading3"/>
      </w:pPr>
      <w:bookmarkStart w:id="157" w:name="_Toc468699220"/>
      <w:bookmarkStart w:id="158" w:name="_Toc468712749"/>
      <w:bookmarkStart w:id="159" w:name="_Toc468716451"/>
      <w:bookmarkStart w:id="160" w:name="_Toc468709438"/>
      <w:bookmarkStart w:id="161" w:name="_Toc468717737"/>
      <w:bookmarkStart w:id="162" w:name="_Toc468718381"/>
      <w:bookmarkStart w:id="163" w:name="_Toc468719371"/>
      <w:bookmarkStart w:id="164" w:name="_Toc468722176"/>
      <w:bookmarkStart w:id="165" w:name="_Toc468799246"/>
      <w:bookmarkStart w:id="166" w:name="_Toc468806569"/>
      <w:bookmarkStart w:id="167" w:name="_Toc468980983"/>
      <w:bookmarkStart w:id="168" w:name="_Toc482805099"/>
      <w:r w:rsidRPr="00112C61">
        <w:t>2.</w:t>
      </w:r>
      <w:r w:rsidR="00F85EB2" w:rsidRPr="00112C61">
        <w:t>4</w:t>
      </w:r>
      <w:r w:rsidR="00565856" w:rsidRPr="00112C61">
        <w:tab/>
      </w:r>
      <w:r w:rsidR="00565856" w:rsidRPr="00112C61">
        <w:rPr>
          <w:rStyle w:val="Heading3Char"/>
          <w:b/>
        </w:rPr>
        <w:t>D</w:t>
      </w:r>
      <w:r w:rsidR="00AD236D" w:rsidRPr="00112C61">
        <w:rPr>
          <w:rStyle w:val="Heading3Char"/>
          <w:b/>
        </w:rPr>
        <w:t>iscussion</w:t>
      </w:r>
      <w:r w:rsidR="00565856" w:rsidRPr="00112C61">
        <w:rPr>
          <w:rStyle w:val="Heading3Char"/>
          <w:b/>
        </w:rPr>
        <w:t xml:space="preserve"> and conclusions</w:t>
      </w:r>
      <w:bookmarkEnd w:id="157"/>
      <w:bookmarkEnd w:id="158"/>
      <w:bookmarkEnd w:id="159"/>
      <w:bookmarkEnd w:id="160"/>
      <w:bookmarkEnd w:id="161"/>
      <w:bookmarkEnd w:id="162"/>
      <w:bookmarkEnd w:id="163"/>
      <w:bookmarkEnd w:id="164"/>
      <w:bookmarkEnd w:id="165"/>
      <w:bookmarkEnd w:id="166"/>
      <w:r w:rsidR="00210893" w:rsidRPr="00112C61">
        <w:rPr>
          <w:rStyle w:val="Heading3Char"/>
          <w:b/>
        </w:rPr>
        <w:t xml:space="preserve"> PFOS</w:t>
      </w:r>
      <w:bookmarkEnd w:id="167"/>
      <w:bookmarkEnd w:id="168"/>
    </w:p>
    <w:p w14:paraId="2FF0AF72" w14:textId="5AEFEE4B" w:rsidR="00297C09" w:rsidRDefault="00BD44DD" w:rsidP="00A111E9">
      <w:pPr>
        <w:rPr>
          <w:lang w:bidi="ar-SA"/>
        </w:rPr>
      </w:pPr>
      <w:r w:rsidRPr="00BD44DD">
        <w:rPr>
          <w:lang w:bidi="ar-SA"/>
        </w:rPr>
        <w:t>Epidemiology studies on PFAS have included occupational cohorts mainly exposed at the source of the contamination, communities exposed to high levels of PFAS through environmental media (air, soil or water) and general populations exposed to background levels of PFAS.</w:t>
      </w:r>
      <w:r w:rsidR="00751A76">
        <w:rPr>
          <w:lang w:bidi="ar-SA"/>
        </w:rPr>
        <w:t xml:space="preserve"> </w:t>
      </w:r>
      <w:r w:rsidR="00297C09" w:rsidRPr="00297C09">
        <w:rPr>
          <w:lang w:bidi="ar-SA"/>
        </w:rPr>
        <w:t>Associations between PFOS exposure and several health effects have been reported in a number of epidemiological studies, although a number of findings are inconsistent between studies and the biological significance of some of the observed effects is questionable. EFSA and ATSDR concluded that it is not possible to identify any causal associations based on limitations in study design and/or inconsistencies in study results. However, the US EPA concluded that associations that appear to be reasonably consistent and repeatable are those with increased serum cholesterol and decreased body weights in offspring.</w:t>
      </w:r>
    </w:p>
    <w:p w14:paraId="385DE252" w14:textId="6D53F16B" w:rsidR="00BD44DD" w:rsidRDefault="00BD44DD" w:rsidP="00A111E9">
      <w:pPr>
        <w:rPr>
          <w:lang w:bidi="ar-SA"/>
        </w:rPr>
      </w:pPr>
    </w:p>
    <w:p w14:paraId="67DFF039" w14:textId="39420454" w:rsidR="00E52F04" w:rsidRPr="00F81989" w:rsidRDefault="00E52F04" w:rsidP="00A111E9">
      <w:pPr>
        <w:rPr>
          <w:lang w:bidi="ar-SA"/>
        </w:rPr>
      </w:pPr>
      <w:r w:rsidRPr="00F81989">
        <w:t xml:space="preserve">FSANZ has reviewed the available epidemiological information regarding PFOS and PFOA and birthweight. It is noted that the blood concentrations in the human studies is </w:t>
      </w:r>
      <w:r w:rsidR="00893E0F">
        <w:t>order</w:t>
      </w:r>
      <w:r w:rsidR="00D06ED6">
        <w:t>s</w:t>
      </w:r>
      <w:r w:rsidRPr="00F81989">
        <w:t xml:space="preserve"> of magnitude lower than that found in animal studies s</w:t>
      </w:r>
      <w:r w:rsidR="002468EE" w:rsidRPr="00F81989">
        <w:t>howing an effect on birthweight</w:t>
      </w:r>
      <w:r w:rsidRPr="00F81989">
        <w:t>. Overall the studies with numerical data report an association, but missing quantitative data from studies reporting no effect raises the possibility of selective reporting or publication bias affecting the body of evidence. FSANZ has concluded that it is currently not possible to determine whether the association reflects a causal relationship or is the result of a third factor that alters both PFAS concentration and birthweight. For example, changes in GFR that occur during pregnancy would be expected to affect both birthweight and the rate of excretion of PFAS. This may require further investigation.</w:t>
      </w:r>
    </w:p>
    <w:p w14:paraId="150FA363" w14:textId="77777777" w:rsidR="00E52F04" w:rsidRPr="00F81989" w:rsidRDefault="00E52F04" w:rsidP="00A111E9">
      <w:pPr>
        <w:rPr>
          <w:lang w:bidi="ar-SA"/>
        </w:rPr>
      </w:pPr>
    </w:p>
    <w:p w14:paraId="2FD7EF55" w14:textId="5B36F45F" w:rsidR="00B91A69" w:rsidRPr="00F81989" w:rsidRDefault="00E52F04" w:rsidP="00A111E9">
      <w:pPr>
        <w:rPr>
          <w:lang w:eastAsia="en-AU" w:bidi="ar-SA"/>
        </w:rPr>
      </w:pPr>
      <w:r w:rsidRPr="00F81989">
        <w:rPr>
          <w:lang w:eastAsia="en-AU" w:bidi="ar-SA"/>
        </w:rPr>
        <w:t xml:space="preserve">FSANZ reviewed the available epidemiological data relating to PFOS and PFOA exposure and serum cholesterol. A number of studies that were not referred to in the EFSA and US EPA reviews were identified and included in the analysis. The FSANZ review noted that overall the cross-sectional studies show a fairly consistent finding of a positive association between total and LDL cholesterol at low serum concentrations of PFOS, with the </w:t>
      </w:r>
      <w:r w:rsidRPr="00F81989">
        <w:rPr>
          <w:lang w:eastAsia="en-AU" w:bidi="ar-SA"/>
        </w:rPr>
        <w:lastRenderedPageBreak/>
        <w:t xml:space="preserve">association plateauing at higher PFOS levels. </w:t>
      </w:r>
      <w:r w:rsidR="00B91A69" w:rsidRPr="00F81989">
        <w:rPr>
          <w:lang w:eastAsia="en-AU" w:bidi="ar-SA"/>
        </w:rPr>
        <w:t>However</w:t>
      </w:r>
      <w:r w:rsidR="003861B4">
        <w:rPr>
          <w:lang w:eastAsia="en-AU" w:bidi="ar-SA"/>
        </w:rPr>
        <w:t>,</w:t>
      </w:r>
      <w:r w:rsidR="00B91A69" w:rsidRPr="00F81989">
        <w:rPr>
          <w:lang w:eastAsia="en-AU" w:bidi="ar-SA"/>
        </w:rPr>
        <w:t xml:space="preserve"> a number limitions were observed including that </w:t>
      </w:r>
      <w:r w:rsidR="009C0EF4" w:rsidRPr="00F81989">
        <w:rPr>
          <w:lang w:eastAsia="en-AU" w:bidi="ar-SA"/>
        </w:rPr>
        <w:t xml:space="preserve">some </w:t>
      </w:r>
      <w:r w:rsidR="00B91A69" w:rsidRPr="00F81989">
        <w:rPr>
          <w:lang w:eastAsia="en-AU" w:bidi="ar-SA"/>
        </w:rPr>
        <w:t>studies note a correlation between concentrations of PFOS and PFOA but do not adjust the results for each other. Similarly, populations with high exposure to PFAS may also be exposed to other contaminants but these have not been considered in the studies, and most studies do not adjust for diet</w:t>
      </w:r>
      <w:r w:rsidR="004C68FF" w:rsidRPr="00F81989">
        <w:rPr>
          <w:lang w:eastAsia="en-AU" w:bidi="ar-SA"/>
        </w:rPr>
        <w:t xml:space="preserve"> or consider the impact of GFR</w:t>
      </w:r>
      <w:r w:rsidR="00B91A69" w:rsidRPr="00F81989">
        <w:rPr>
          <w:lang w:eastAsia="en-AU" w:bidi="ar-SA"/>
        </w:rPr>
        <w:t>.</w:t>
      </w:r>
    </w:p>
    <w:p w14:paraId="18E68BC9" w14:textId="77777777" w:rsidR="001A23D5" w:rsidRDefault="001A23D5" w:rsidP="00A111E9">
      <w:pPr>
        <w:rPr>
          <w:lang w:eastAsia="en-AU" w:bidi="ar-SA"/>
        </w:rPr>
      </w:pPr>
    </w:p>
    <w:p w14:paraId="722192C2" w14:textId="4D7F9936" w:rsidR="00BD44DD" w:rsidRDefault="008A1039" w:rsidP="00A111E9">
      <w:pPr>
        <w:rPr>
          <w:lang w:bidi="ar-SA"/>
        </w:rPr>
      </w:pPr>
      <w:r>
        <w:rPr>
          <w:lang w:bidi="ar-SA"/>
        </w:rPr>
        <w:t>A</w:t>
      </w:r>
      <w:r w:rsidR="00BD44DD">
        <w:rPr>
          <w:lang w:bidi="ar-SA"/>
        </w:rPr>
        <w:t xml:space="preserve"> recent draft systematic review of immunotoxicity associated with exposure to PFOA or PFOS by the US N</w:t>
      </w:r>
      <w:r w:rsidR="00060C53">
        <w:rPr>
          <w:lang w:bidi="ar-SA"/>
        </w:rPr>
        <w:t>TP</w:t>
      </w:r>
      <w:r w:rsidR="00BD44DD">
        <w:rPr>
          <w:lang w:bidi="ar-SA"/>
        </w:rPr>
        <w:t xml:space="preserve"> 2016) concluded that PFOS is presumed to be an immune hazard to humans. This conclusion was based on a ‘high level of evidence’ that PFOS suppressed antibody responses in animal studies and a ‘moderate level of evidence’ from epidemiology studies that higher serum PFOS levels are associated with suppression of antibody response. The NTP report is focused on hazard identification and does not identify a level of exposure at which immune function in humans is likely to be compromised. A literature review commissioned by FSANZ concluded that the weight of evidence from the available animal studies indicates that PFOS can adversely modulate immune system responsiveness (Drew and Hagan 2016). However, there are significant uncertainties regarding species sensitivity, strain sensitivity and the influence of route of administration on immune system modulation by PFOS that have yet to be resolved. As a result, it is not possible to determine a reliable NOAEL or LOAEL for adverse effects on immune function for use in a quantitative risk assessment of PFOS at this time. Drew and Hagan (2016) concluded that the epidemiology data available do not provide compelling evidence for increased incidence of disease associated with PFOS effects on immune function.</w:t>
      </w:r>
    </w:p>
    <w:p w14:paraId="0D08106E" w14:textId="77777777" w:rsidR="00BD44DD" w:rsidRDefault="00BD44DD" w:rsidP="00A111E9">
      <w:pPr>
        <w:rPr>
          <w:lang w:bidi="ar-SA"/>
        </w:rPr>
      </w:pPr>
    </w:p>
    <w:p w14:paraId="096B1612" w14:textId="48CC16EB" w:rsidR="00BD44DD" w:rsidRDefault="00BD44DD" w:rsidP="00A111E9">
      <w:pPr>
        <w:rPr>
          <w:lang w:bidi="ar-SA"/>
        </w:rPr>
      </w:pPr>
      <w:r>
        <w:rPr>
          <w:lang w:bidi="ar-SA"/>
        </w:rPr>
        <w:t>E</w:t>
      </w:r>
      <w:r w:rsidRPr="00FB16DF">
        <w:rPr>
          <w:lang w:bidi="ar-SA"/>
        </w:rPr>
        <w:t xml:space="preserve">pidemiological studies </w:t>
      </w:r>
      <w:r>
        <w:rPr>
          <w:lang w:bidi="ar-SA"/>
        </w:rPr>
        <w:t xml:space="preserve">have not </w:t>
      </w:r>
      <w:r w:rsidRPr="00FB16DF">
        <w:rPr>
          <w:lang w:bidi="ar-SA"/>
        </w:rPr>
        <w:t>provided convincing evidence of a correlation between PFOS and any cancer type.</w:t>
      </w:r>
    </w:p>
    <w:p w14:paraId="6C3A564D" w14:textId="77777777" w:rsidR="00BD44DD" w:rsidRDefault="00BD44DD" w:rsidP="00A111E9">
      <w:pPr>
        <w:rPr>
          <w:lang w:bidi="ar-SA"/>
        </w:rPr>
      </w:pPr>
    </w:p>
    <w:p w14:paraId="150DB6CB" w14:textId="3FD81CDE" w:rsidR="00BD44DD" w:rsidRDefault="00BD44DD" w:rsidP="00A111E9">
      <w:pPr>
        <w:rPr>
          <w:lang w:bidi="ar-SA"/>
        </w:rPr>
      </w:pPr>
      <w:r>
        <w:rPr>
          <w:lang w:bidi="ar-SA"/>
        </w:rPr>
        <w:t xml:space="preserve">In animal studies, PFOS is rapidly and virtually completely absorbed in laboratory animals. </w:t>
      </w:r>
      <w:r w:rsidRPr="00F70212">
        <w:rPr>
          <w:lang w:bidi="ar-SA"/>
        </w:rPr>
        <w:t xml:space="preserve">PFOS is highly bound to albumin in </w:t>
      </w:r>
      <w:r>
        <w:rPr>
          <w:lang w:bidi="ar-SA"/>
        </w:rPr>
        <w:t xml:space="preserve">the </w:t>
      </w:r>
      <w:r w:rsidRPr="00F70212">
        <w:rPr>
          <w:lang w:bidi="ar-SA"/>
        </w:rPr>
        <w:t>circulation</w:t>
      </w:r>
      <w:r>
        <w:rPr>
          <w:lang w:bidi="ar-SA"/>
        </w:rPr>
        <w:t xml:space="preserve"> and the highest concentrations were generally found in </w:t>
      </w:r>
      <w:r w:rsidRPr="00F70212">
        <w:rPr>
          <w:lang w:bidi="ar-SA"/>
        </w:rPr>
        <w:t xml:space="preserve">liver, </w:t>
      </w:r>
      <w:r>
        <w:rPr>
          <w:lang w:bidi="ar-SA"/>
        </w:rPr>
        <w:t xml:space="preserve">serum, </w:t>
      </w:r>
      <w:r w:rsidRPr="00F70212">
        <w:rPr>
          <w:lang w:bidi="ar-SA"/>
        </w:rPr>
        <w:t xml:space="preserve">lung and kidney of </w:t>
      </w:r>
      <w:r>
        <w:rPr>
          <w:lang w:bidi="ar-SA"/>
        </w:rPr>
        <w:t>laboratory animals</w:t>
      </w:r>
      <w:r w:rsidRPr="00F70212">
        <w:rPr>
          <w:lang w:bidi="ar-SA"/>
        </w:rPr>
        <w:t xml:space="preserve">. </w:t>
      </w:r>
      <w:r>
        <w:rPr>
          <w:lang w:bidi="ar-SA"/>
        </w:rPr>
        <w:t xml:space="preserve">There are no reports that PFOS is metabolised in vivo. PFOS was excreted primarily in the urine with lower amounts recovered in the faeces. </w:t>
      </w:r>
      <w:r w:rsidRPr="00E6269A">
        <w:rPr>
          <w:lang w:bidi="ar-SA"/>
        </w:rPr>
        <w:t>Elimination half-life in rats is approximately 38 days in males and 62 days females. Elimination half-life i</w:t>
      </w:r>
      <w:r>
        <w:rPr>
          <w:lang w:bidi="ar-SA"/>
        </w:rPr>
        <w:t>s in the range</w:t>
      </w:r>
      <w:r w:rsidR="00540D65">
        <w:rPr>
          <w:lang w:bidi="ar-SA"/>
        </w:rPr>
        <w:t xml:space="preserve"> of</w:t>
      </w:r>
      <w:r>
        <w:rPr>
          <w:lang w:bidi="ar-SA"/>
        </w:rPr>
        <w:t xml:space="preserve"> 110-132 days in </w:t>
      </w:r>
      <w:r w:rsidR="00E5397E">
        <w:rPr>
          <w:lang w:bidi="ar-SA"/>
        </w:rPr>
        <w:t>cynomolgus</w:t>
      </w:r>
      <w:r w:rsidR="00E5397E" w:rsidRPr="00E6269A">
        <w:rPr>
          <w:lang w:bidi="ar-SA"/>
        </w:rPr>
        <w:t xml:space="preserve"> </w:t>
      </w:r>
      <w:r w:rsidRPr="00E6269A">
        <w:rPr>
          <w:lang w:bidi="ar-SA"/>
        </w:rPr>
        <w:t>monkeys and is estimated to be approximately 5.4 years in human beings.</w:t>
      </w:r>
    </w:p>
    <w:p w14:paraId="2E8439E4" w14:textId="77777777" w:rsidR="00297C09" w:rsidRDefault="00297C09" w:rsidP="00A111E9">
      <w:pPr>
        <w:rPr>
          <w:lang w:bidi="ar-SA"/>
        </w:rPr>
      </w:pPr>
    </w:p>
    <w:p w14:paraId="748050D3" w14:textId="60D8513B" w:rsidR="00297C09" w:rsidRDefault="00297C09" w:rsidP="00A111E9">
      <w:pPr>
        <w:rPr>
          <w:lang w:bidi="ar-SA"/>
        </w:rPr>
      </w:pPr>
      <w:r>
        <w:rPr>
          <w:lang w:bidi="ar-SA"/>
        </w:rPr>
        <w:t>Mechanisms of toxicity have</w:t>
      </w:r>
      <w:r w:rsidRPr="00B050AF">
        <w:rPr>
          <w:lang w:bidi="ar-SA"/>
        </w:rPr>
        <w:t xml:space="preserve"> </w:t>
      </w:r>
      <w:r>
        <w:rPr>
          <w:lang w:bidi="ar-SA"/>
        </w:rPr>
        <w:t>not been fully elucidated but are</w:t>
      </w:r>
      <w:r w:rsidRPr="00B050AF">
        <w:rPr>
          <w:lang w:bidi="ar-SA"/>
        </w:rPr>
        <w:t xml:space="preserve"> likely to at least partly involve activation of PPARα. Activation of other nuclear receptors such as CAR and PXR has also been observed and PFOS administration has been found to induce the expression of </w:t>
      </w:r>
      <w:r>
        <w:rPr>
          <w:lang w:bidi="ar-SA"/>
        </w:rPr>
        <w:t>a range of genes</w:t>
      </w:r>
      <w:r w:rsidRPr="00B050AF">
        <w:rPr>
          <w:lang w:bidi="ar-SA"/>
        </w:rPr>
        <w:t xml:space="preserve"> involved in lipid metabolism, fatty acid u</w:t>
      </w:r>
      <w:r>
        <w:rPr>
          <w:lang w:bidi="ar-SA"/>
        </w:rPr>
        <w:t>ptake and xenobiotic metabolism</w:t>
      </w:r>
      <w:r w:rsidRPr="00B050AF">
        <w:rPr>
          <w:lang w:bidi="ar-SA"/>
        </w:rPr>
        <w:t>. The strong protein binding affinity of PFOS, for example to FABP</w:t>
      </w:r>
      <w:r w:rsidR="008A1039">
        <w:rPr>
          <w:lang w:bidi="ar-SA"/>
        </w:rPr>
        <w:t xml:space="preserve"> in the liver</w:t>
      </w:r>
      <w:r w:rsidRPr="00B050AF">
        <w:rPr>
          <w:lang w:bidi="ar-SA"/>
        </w:rPr>
        <w:t>, may also contribu</w:t>
      </w:r>
      <w:r>
        <w:rPr>
          <w:lang w:bidi="ar-SA"/>
        </w:rPr>
        <w:t>te to its toxicological profile</w:t>
      </w:r>
      <w:r w:rsidRPr="00B050AF">
        <w:rPr>
          <w:lang w:bidi="ar-SA"/>
        </w:rPr>
        <w:t>.</w:t>
      </w:r>
    </w:p>
    <w:p w14:paraId="79A99DEB" w14:textId="77777777" w:rsidR="00297C09" w:rsidRDefault="00297C09" w:rsidP="00A111E9">
      <w:pPr>
        <w:rPr>
          <w:lang w:bidi="ar-SA"/>
        </w:rPr>
      </w:pPr>
    </w:p>
    <w:p w14:paraId="5535DA71" w14:textId="57A98C2D" w:rsidR="00BD44DD" w:rsidRDefault="00BD44DD" w:rsidP="00A111E9">
      <w:pPr>
        <w:rPr>
          <w:lang w:bidi="ar-SA"/>
        </w:rPr>
      </w:pPr>
      <w:r>
        <w:rPr>
          <w:lang w:bidi="ar-SA"/>
        </w:rPr>
        <w:t>PFOS was of moderate acute toxicity following oral ingestion. In repeat dose studies the primary target organ was the liver. Toxicological findings in the liver included i</w:t>
      </w:r>
      <w:r w:rsidRPr="00FC6633">
        <w:rPr>
          <w:lang w:bidi="ar-SA"/>
        </w:rPr>
        <w:t>ncreased liver weight associated with hepatocytic hypertro</w:t>
      </w:r>
      <w:r>
        <w:rPr>
          <w:lang w:bidi="ar-SA"/>
        </w:rPr>
        <w:t xml:space="preserve">phy, and </w:t>
      </w:r>
      <w:r w:rsidRPr="00FC6633">
        <w:rPr>
          <w:lang w:bidi="ar-SA"/>
        </w:rPr>
        <w:t>occasionally vacuolation</w:t>
      </w:r>
      <w:r>
        <w:rPr>
          <w:lang w:bidi="ar-SA"/>
        </w:rPr>
        <w:t xml:space="preserve"> and increased enzyme markers of liver toxicity in serum</w:t>
      </w:r>
      <w:r w:rsidRPr="00FC6633">
        <w:rPr>
          <w:lang w:bidi="ar-SA"/>
        </w:rPr>
        <w:t>. In the absence of histopathological correlates</w:t>
      </w:r>
      <w:r w:rsidR="00540D65">
        <w:rPr>
          <w:lang w:bidi="ar-SA"/>
        </w:rPr>
        <w:t>,</w:t>
      </w:r>
      <w:r w:rsidRPr="00FC6633">
        <w:rPr>
          <w:lang w:bidi="ar-SA"/>
        </w:rPr>
        <w:t xml:space="preserve"> increased liver weight and hepa</w:t>
      </w:r>
      <w:r>
        <w:rPr>
          <w:lang w:bidi="ar-SA"/>
        </w:rPr>
        <w:t xml:space="preserve">tocytic hypertrophy </w:t>
      </w:r>
      <w:r w:rsidR="008A1039">
        <w:rPr>
          <w:lang w:bidi="ar-SA"/>
        </w:rPr>
        <w:t>are</w:t>
      </w:r>
      <w:r w:rsidR="008A1039" w:rsidRPr="00FC6633">
        <w:rPr>
          <w:lang w:bidi="ar-SA"/>
        </w:rPr>
        <w:t xml:space="preserve"> </w:t>
      </w:r>
      <w:r w:rsidRPr="00FC6633">
        <w:rPr>
          <w:lang w:bidi="ar-SA"/>
        </w:rPr>
        <w:t xml:space="preserve">not considered adverse (Hall </w:t>
      </w:r>
      <w:r w:rsidR="00180A32" w:rsidRPr="00180A32">
        <w:rPr>
          <w:i/>
          <w:lang w:bidi="ar-SA"/>
        </w:rPr>
        <w:t xml:space="preserve">et al. </w:t>
      </w:r>
      <w:r w:rsidR="00F22DA6">
        <w:rPr>
          <w:lang w:bidi="ar-SA"/>
        </w:rPr>
        <w:t xml:space="preserve"> </w:t>
      </w:r>
      <w:r w:rsidRPr="00FC6633">
        <w:rPr>
          <w:lang w:bidi="ar-SA"/>
        </w:rPr>
        <w:t>2012; WHO, 2015).</w:t>
      </w:r>
      <w:r>
        <w:rPr>
          <w:lang w:bidi="ar-SA"/>
        </w:rPr>
        <w:t xml:space="preserve"> Notably, a steep dose</w:t>
      </w:r>
      <w:r w:rsidR="001012A5">
        <w:rPr>
          <w:lang w:bidi="ar-SA"/>
        </w:rPr>
        <w:t>-</w:t>
      </w:r>
      <w:r>
        <w:rPr>
          <w:lang w:bidi="ar-SA"/>
        </w:rPr>
        <w:t xml:space="preserve">response curve was observed in monkeys with </w:t>
      </w:r>
      <w:r w:rsidR="003150D8">
        <w:rPr>
          <w:lang w:bidi="ar-SA"/>
        </w:rPr>
        <w:t xml:space="preserve">no adverse effects observed in a 6-month study at 0.15 mg/kg bw/day and then </w:t>
      </w:r>
      <w:r>
        <w:rPr>
          <w:lang w:bidi="ar-SA"/>
        </w:rPr>
        <w:t>mortality</w:t>
      </w:r>
      <w:r w:rsidR="003150D8">
        <w:rPr>
          <w:lang w:bidi="ar-SA"/>
        </w:rPr>
        <w:t xml:space="preserve"> occur</w:t>
      </w:r>
      <w:r w:rsidR="00CC26CA">
        <w:rPr>
          <w:lang w:bidi="ar-SA"/>
        </w:rPr>
        <w:t>ring</w:t>
      </w:r>
      <w:r w:rsidR="003150D8">
        <w:rPr>
          <w:lang w:bidi="ar-SA"/>
        </w:rPr>
        <w:t xml:space="preserve"> at the next highest dose of 0.75 mg/kg bw/day</w:t>
      </w:r>
      <w:r>
        <w:rPr>
          <w:lang w:bidi="ar-SA"/>
        </w:rPr>
        <w:t>.</w:t>
      </w:r>
      <w:r w:rsidR="003150D8">
        <w:rPr>
          <w:lang w:bidi="ar-SA"/>
        </w:rPr>
        <w:t xml:space="preserve"> In contrast, no treatment-related effect on survival of adult rats was seen in subchronic and chronic toxicity studies</w:t>
      </w:r>
      <w:r w:rsidR="008C6ABD">
        <w:rPr>
          <w:lang w:bidi="ar-SA"/>
        </w:rPr>
        <w:t>.</w:t>
      </w:r>
      <w:r>
        <w:rPr>
          <w:lang w:bidi="ar-SA"/>
        </w:rPr>
        <w:t xml:space="preserve"> PFOS induced liver tumours in rats at high doses above which non-neoplastic effects were observed in liver. The weight of evidence from a range of genotoxicity studies suggests that this occurs through a non-genotoxic mechanism.</w:t>
      </w:r>
    </w:p>
    <w:p w14:paraId="0E0A0755" w14:textId="77777777" w:rsidR="00BD44DD" w:rsidRDefault="00BD44DD" w:rsidP="00A111E9">
      <w:pPr>
        <w:rPr>
          <w:lang w:bidi="ar-SA"/>
        </w:rPr>
      </w:pPr>
    </w:p>
    <w:p w14:paraId="31C7F908" w14:textId="10819B37" w:rsidR="00BD44DD" w:rsidRDefault="00BD44DD" w:rsidP="00A111E9">
      <w:pPr>
        <w:rPr>
          <w:lang w:bidi="ar-SA"/>
        </w:rPr>
      </w:pPr>
      <w:r>
        <w:rPr>
          <w:lang w:bidi="ar-SA"/>
        </w:rPr>
        <w:t xml:space="preserve">Fetal and neonatal toxicity was observed in reproductive and developmental studies at doses </w:t>
      </w:r>
      <w:r>
        <w:rPr>
          <w:lang w:bidi="ar-SA"/>
        </w:rPr>
        <w:lastRenderedPageBreak/>
        <w:t xml:space="preserve">which were similar to or below those producing maternal toxicity. Developmental effects </w:t>
      </w:r>
      <w:r w:rsidR="009E04A7">
        <w:rPr>
          <w:lang w:bidi="ar-SA"/>
        </w:rPr>
        <w:t>ranged from reduced pup body weights and body weight gains at low doses to mortality at higher doses. Developmental delays such as delayed eye</w:t>
      </w:r>
      <w:r w:rsidR="001012A5">
        <w:rPr>
          <w:lang w:bidi="ar-SA"/>
        </w:rPr>
        <w:t>-</w:t>
      </w:r>
      <w:r w:rsidR="009E04A7">
        <w:rPr>
          <w:lang w:bidi="ar-SA"/>
        </w:rPr>
        <w:t xml:space="preserve">opening were also </w:t>
      </w:r>
      <w:r w:rsidR="00B91A69">
        <w:rPr>
          <w:lang w:bidi="ar-SA"/>
        </w:rPr>
        <w:t>observed in rats, and increased incidences of sternal</w:t>
      </w:r>
      <w:r w:rsidR="00473928">
        <w:rPr>
          <w:lang w:bidi="ar-SA"/>
        </w:rPr>
        <w:t xml:space="preserve"> defects were seen at high doses in mice</w:t>
      </w:r>
      <w:r w:rsidR="009E04A7">
        <w:rPr>
          <w:lang w:bidi="ar-SA"/>
        </w:rPr>
        <w:t xml:space="preserve">. </w:t>
      </w:r>
      <w:r w:rsidR="00473928">
        <w:rPr>
          <w:lang w:bidi="ar-SA"/>
        </w:rPr>
        <w:t>There was a</w:t>
      </w:r>
      <w:r w:rsidR="009E04A7">
        <w:rPr>
          <w:lang w:bidi="ar-SA"/>
        </w:rPr>
        <w:t xml:space="preserve"> steep dose</w:t>
      </w:r>
      <w:r w:rsidR="001012A5">
        <w:rPr>
          <w:lang w:bidi="ar-SA"/>
        </w:rPr>
        <w:t>-</w:t>
      </w:r>
      <w:r w:rsidR="009E04A7">
        <w:rPr>
          <w:lang w:bidi="ar-SA"/>
        </w:rPr>
        <w:t xml:space="preserve">response </w:t>
      </w:r>
      <w:r w:rsidR="00473928">
        <w:rPr>
          <w:lang w:bidi="ar-SA"/>
        </w:rPr>
        <w:t>in multigeneration studies in rats, with pup body weights being reduced at 0.4 mg/kg bw/day, reduced gestation length and indications of decreased pup viability at 0.8 mg/kg bw/day and significantly decreased viability at 1.6 mg/kg bw/day.</w:t>
      </w:r>
    </w:p>
    <w:p w14:paraId="5FA987BD" w14:textId="77777777" w:rsidR="00BD44DD" w:rsidRDefault="00BD44DD" w:rsidP="00A111E9">
      <w:pPr>
        <w:rPr>
          <w:lang w:bidi="ar-SA"/>
        </w:rPr>
      </w:pPr>
    </w:p>
    <w:p w14:paraId="15378618" w14:textId="6F8098D6" w:rsidR="00BD44DD" w:rsidRDefault="00BD44DD" w:rsidP="00A111E9">
      <w:pPr>
        <w:rPr>
          <w:lang w:bidi="ar-SA"/>
        </w:rPr>
      </w:pPr>
      <w:r>
        <w:rPr>
          <w:lang w:bidi="ar-SA"/>
        </w:rPr>
        <w:t>R</w:t>
      </w:r>
      <w:r w:rsidRPr="00FB16DF">
        <w:rPr>
          <w:lang w:bidi="ar-SA"/>
        </w:rPr>
        <w:t>egulatory agencies have calculated HBGVs using different approaches. Consequently, although the same animal studies were</w:t>
      </w:r>
      <w:r w:rsidR="000135A0">
        <w:rPr>
          <w:lang w:bidi="ar-SA"/>
        </w:rPr>
        <w:t xml:space="preserve"> generally assessed</w:t>
      </w:r>
      <w:r w:rsidRPr="00FB16DF">
        <w:rPr>
          <w:lang w:bidi="ar-SA"/>
        </w:rPr>
        <w:t xml:space="preserve"> by different agencies, the H</w:t>
      </w:r>
      <w:r>
        <w:rPr>
          <w:lang w:bidi="ar-SA"/>
        </w:rPr>
        <w:t>BGVs vary substantially</w:t>
      </w:r>
      <w:r w:rsidRPr="00FB16DF">
        <w:rPr>
          <w:lang w:bidi="ar-SA"/>
        </w:rPr>
        <w:t xml:space="preserve">. </w:t>
      </w:r>
      <w:r w:rsidR="000135A0" w:rsidRPr="000135A0">
        <w:rPr>
          <w:lang w:bidi="ar-SA"/>
        </w:rPr>
        <w:t>The main reasons related to the use of PBPK modelling b</w:t>
      </w:r>
      <w:r w:rsidR="00540D65">
        <w:rPr>
          <w:lang w:bidi="ar-SA"/>
        </w:rPr>
        <w:t xml:space="preserve">y the US EPA and ATSDR </w:t>
      </w:r>
      <w:r w:rsidR="000135A0" w:rsidRPr="000135A0">
        <w:rPr>
          <w:lang w:bidi="ar-SA"/>
        </w:rPr>
        <w:t xml:space="preserve">and </w:t>
      </w:r>
      <w:r w:rsidR="00540D65">
        <w:rPr>
          <w:lang w:bidi="ar-SA"/>
        </w:rPr>
        <w:t>the selection of uncertainty factors</w:t>
      </w:r>
      <w:r w:rsidR="000135A0">
        <w:rPr>
          <w:lang w:bidi="ar-SA"/>
        </w:rPr>
        <w:t xml:space="preserve">. </w:t>
      </w:r>
      <w:r>
        <w:rPr>
          <w:lang w:bidi="ar-SA"/>
        </w:rPr>
        <w:t>FSANZ has commissioned a review of the validity and limitations of PBPK modelling for PFOS and PFOA, and has concluded that given the</w:t>
      </w:r>
      <w:r w:rsidRPr="00FB16DF">
        <w:rPr>
          <w:lang w:bidi="ar-SA"/>
        </w:rPr>
        <w:t xml:space="preserve"> considerable inter</w:t>
      </w:r>
      <w:r w:rsidR="000203C4">
        <w:rPr>
          <w:lang w:bidi="ar-SA"/>
        </w:rPr>
        <w:t>species</w:t>
      </w:r>
      <w:r w:rsidRPr="00FB16DF">
        <w:rPr>
          <w:lang w:bidi="ar-SA"/>
        </w:rPr>
        <w:t xml:space="preserve"> differences in pharmacokinetics it </w:t>
      </w:r>
      <w:r w:rsidR="00540D65">
        <w:rPr>
          <w:lang w:bidi="ar-SA"/>
        </w:rPr>
        <w:t xml:space="preserve">is </w:t>
      </w:r>
      <w:r>
        <w:rPr>
          <w:lang w:bidi="ar-SA"/>
        </w:rPr>
        <w:t>appropriate to correct for those</w:t>
      </w:r>
      <w:r w:rsidRPr="00FB16DF">
        <w:rPr>
          <w:lang w:bidi="ar-SA"/>
        </w:rPr>
        <w:t xml:space="preserve"> </w:t>
      </w:r>
      <w:r>
        <w:rPr>
          <w:lang w:bidi="ar-SA"/>
        </w:rPr>
        <w:t xml:space="preserve">using </w:t>
      </w:r>
      <w:r w:rsidR="00733D86">
        <w:rPr>
          <w:lang w:bidi="ar-SA"/>
        </w:rPr>
        <w:t>PB</w:t>
      </w:r>
      <w:r>
        <w:rPr>
          <w:lang w:bidi="ar-SA"/>
        </w:rPr>
        <w:t xml:space="preserve">PK modelling (Roberts </w:t>
      </w:r>
      <w:r w:rsidR="00180A32" w:rsidRPr="00180A32">
        <w:rPr>
          <w:i/>
          <w:lang w:bidi="ar-SA"/>
        </w:rPr>
        <w:t xml:space="preserve">et al. </w:t>
      </w:r>
      <w:r w:rsidR="00F22DA6">
        <w:rPr>
          <w:lang w:bidi="ar-SA"/>
        </w:rPr>
        <w:t xml:space="preserve"> </w:t>
      </w:r>
      <w:r>
        <w:rPr>
          <w:lang w:bidi="ar-SA"/>
        </w:rPr>
        <w:t xml:space="preserve">2016). The </w:t>
      </w:r>
      <w:r w:rsidRPr="00FB16DF">
        <w:rPr>
          <w:lang w:bidi="ar-SA"/>
        </w:rPr>
        <w:t xml:space="preserve">HBGV </w:t>
      </w:r>
      <w:r>
        <w:rPr>
          <w:lang w:bidi="ar-SA"/>
        </w:rPr>
        <w:t xml:space="preserve">is therefore based </w:t>
      </w:r>
      <w:r w:rsidRPr="00FB16DF">
        <w:rPr>
          <w:lang w:bidi="ar-SA"/>
        </w:rPr>
        <w:t>on serum concentration as an index of internal dose.</w:t>
      </w:r>
    </w:p>
    <w:p w14:paraId="14C7ACC0" w14:textId="112B1500" w:rsidR="00CC4FE8" w:rsidRDefault="007B0AA1" w:rsidP="00112C61">
      <w:pPr>
        <w:pStyle w:val="Heading3"/>
      </w:pPr>
      <w:bookmarkStart w:id="169" w:name="_Toc468699221"/>
      <w:bookmarkStart w:id="170" w:name="_Toc468712750"/>
      <w:bookmarkStart w:id="171" w:name="_Toc468716452"/>
      <w:bookmarkStart w:id="172" w:name="_Toc468709439"/>
      <w:bookmarkStart w:id="173" w:name="_Toc468717738"/>
      <w:bookmarkStart w:id="174" w:name="_Toc468718382"/>
      <w:bookmarkStart w:id="175" w:name="_Toc468719372"/>
      <w:bookmarkStart w:id="176" w:name="_Toc468722177"/>
      <w:bookmarkStart w:id="177" w:name="_Toc468799247"/>
      <w:bookmarkStart w:id="178" w:name="_Toc468806570"/>
      <w:bookmarkStart w:id="179" w:name="_Toc468980984"/>
      <w:bookmarkStart w:id="180" w:name="_Toc482805100"/>
      <w:r>
        <w:t>2.</w:t>
      </w:r>
      <w:r w:rsidR="00F85EB2">
        <w:t xml:space="preserve">5 </w:t>
      </w:r>
      <w:r w:rsidR="00EE33A0">
        <w:tab/>
      </w:r>
      <w:r w:rsidR="00E25E3D">
        <w:t>Derivation of the TDI for PFOS</w:t>
      </w:r>
      <w:bookmarkEnd w:id="169"/>
      <w:bookmarkEnd w:id="170"/>
      <w:bookmarkEnd w:id="171"/>
      <w:bookmarkEnd w:id="172"/>
      <w:bookmarkEnd w:id="173"/>
      <w:bookmarkEnd w:id="174"/>
      <w:bookmarkEnd w:id="175"/>
      <w:bookmarkEnd w:id="176"/>
      <w:bookmarkEnd w:id="177"/>
      <w:bookmarkEnd w:id="178"/>
      <w:bookmarkEnd w:id="179"/>
      <w:bookmarkEnd w:id="180"/>
    </w:p>
    <w:p w14:paraId="369AE1C1" w14:textId="1E738A4B" w:rsidR="00E25E3D" w:rsidRDefault="00AD53FD" w:rsidP="00A111E9">
      <w:pPr>
        <w:rPr>
          <w:lang w:eastAsia="en-AU" w:bidi="ar-SA"/>
        </w:rPr>
      </w:pPr>
      <w:r>
        <w:rPr>
          <w:lang w:eastAsia="en-AU" w:bidi="ar-SA"/>
        </w:rPr>
        <w:t xml:space="preserve">At present, the available epidemiology data are not suitable to support the </w:t>
      </w:r>
      <w:r w:rsidR="00104C8E">
        <w:rPr>
          <w:lang w:eastAsia="en-AU" w:bidi="ar-SA"/>
        </w:rPr>
        <w:t>derivation</w:t>
      </w:r>
      <w:r>
        <w:rPr>
          <w:lang w:eastAsia="en-AU" w:bidi="ar-SA"/>
        </w:rPr>
        <w:t xml:space="preserve"> of a HBGV for PFOS. Therefore the TDI </w:t>
      </w:r>
      <w:r w:rsidR="007F1C4B">
        <w:rPr>
          <w:lang w:eastAsia="en-AU" w:bidi="ar-SA"/>
        </w:rPr>
        <w:t>is</w:t>
      </w:r>
      <w:r>
        <w:rPr>
          <w:lang w:eastAsia="en-AU" w:bidi="ar-SA"/>
        </w:rPr>
        <w:t xml:space="preserve"> based on the findings in toxicological s</w:t>
      </w:r>
      <w:r w:rsidR="007F1C4B">
        <w:rPr>
          <w:lang w:eastAsia="en-AU" w:bidi="ar-SA"/>
        </w:rPr>
        <w:t xml:space="preserve">tudies in laboratory animals. </w:t>
      </w:r>
      <w:r w:rsidR="00E25E3D">
        <w:rPr>
          <w:lang w:eastAsia="en-AU" w:bidi="ar-SA"/>
        </w:rPr>
        <w:t xml:space="preserve">Derivation of a HBGV for PFOS from the available toxicological studies is complicated by significant differences in toxicokinetics of PFOS between species. The </w:t>
      </w:r>
      <w:r w:rsidR="00CD705F">
        <w:rPr>
          <w:lang w:eastAsia="en-AU" w:bidi="ar-SA"/>
        </w:rPr>
        <w:t>half-life</w:t>
      </w:r>
      <w:r w:rsidR="00E25E3D">
        <w:rPr>
          <w:lang w:eastAsia="en-AU" w:bidi="ar-SA"/>
        </w:rPr>
        <w:t xml:space="preserve"> of PFOS in the mouse, rat and monkey is 37, 48 and 121 days respectively, whereas in humans the </w:t>
      </w:r>
      <w:r w:rsidR="00CD705F">
        <w:rPr>
          <w:lang w:eastAsia="en-AU" w:bidi="ar-SA"/>
        </w:rPr>
        <w:t>half-life</w:t>
      </w:r>
      <w:r w:rsidR="00540D65">
        <w:rPr>
          <w:lang w:eastAsia="en-AU" w:bidi="ar-SA"/>
        </w:rPr>
        <w:t xml:space="preserve"> is estimated to be</w:t>
      </w:r>
      <w:r w:rsidR="00E25E3D">
        <w:rPr>
          <w:lang w:eastAsia="en-AU" w:bidi="ar-SA"/>
        </w:rPr>
        <w:t xml:space="preserve"> between 4.1 </w:t>
      </w:r>
      <w:r w:rsidR="00540D65">
        <w:rPr>
          <w:lang w:eastAsia="en-AU" w:bidi="ar-SA"/>
        </w:rPr>
        <w:t xml:space="preserve">and </w:t>
      </w:r>
      <w:r w:rsidR="00E25E3D">
        <w:rPr>
          <w:lang w:eastAsia="en-AU" w:bidi="ar-SA"/>
        </w:rPr>
        <w:t>8.67 years.</w:t>
      </w:r>
    </w:p>
    <w:p w14:paraId="6ED370D1" w14:textId="77777777" w:rsidR="00E25E3D" w:rsidRDefault="00E25E3D" w:rsidP="00A111E9">
      <w:pPr>
        <w:rPr>
          <w:lang w:eastAsia="en-AU" w:bidi="ar-SA"/>
        </w:rPr>
      </w:pPr>
    </w:p>
    <w:p w14:paraId="300142D9" w14:textId="77777777" w:rsidR="00DA648E" w:rsidRDefault="00E25E3D" w:rsidP="00A111E9">
      <w:pPr>
        <w:rPr>
          <w:lang w:eastAsia="en-AU" w:bidi="ar-SA"/>
        </w:rPr>
      </w:pPr>
      <w:r>
        <w:rPr>
          <w:lang w:eastAsia="en-AU" w:bidi="ar-SA"/>
        </w:rPr>
        <w:t>Given the</w:t>
      </w:r>
      <w:r w:rsidR="007F1C4B">
        <w:rPr>
          <w:lang w:eastAsia="en-AU" w:bidi="ar-SA"/>
        </w:rPr>
        <w:t xml:space="preserve"> significant</w:t>
      </w:r>
      <w:r>
        <w:rPr>
          <w:lang w:eastAsia="en-AU" w:bidi="ar-SA"/>
        </w:rPr>
        <w:t xml:space="preserve"> differences in toxicokinetics an approach based on serum PFOS concentrations is considered to be the most appr</w:t>
      </w:r>
      <w:r w:rsidR="007F1C4B">
        <w:rPr>
          <w:lang w:eastAsia="en-AU" w:bidi="ar-SA"/>
        </w:rPr>
        <w:t>opriate means of establishing a</w:t>
      </w:r>
      <w:r>
        <w:rPr>
          <w:lang w:eastAsia="en-AU" w:bidi="ar-SA"/>
        </w:rPr>
        <w:t xml:space="preserve"> HBGV. </w:t>
      </w:r>
    </w:p>
    <w:p w14:paraId="2B90653C" w14:textId="77777777" w:rsidR="00DA648E" w:rsidRDefault="00DA648E" w:rsidP="00A111E9">
      <w:pPr>
        <w:rPr>
          <w:lang w:eastAsia="en-AU" w:bidi="ar-SA"/>
        </w:rPr>
      </w:pPr>
    </w:p>
    <w:p w14:paraId="4D0DF561" w14:textId="249803C0" w:rsidR="007E0E36" w:rsidRDefault="005649A5" w:rsidP="00A111E9">
      <w:pPr>
        <w:rPr>
          <w:lang w:eastAsia="en-AU" w:bidi="ar-SA"/>
        </w:rPr>
      </w:pPr>
      <w:r w:rsidRPr="005649A5">
        <w:rPr>
          <w:lang w:eastAsia="en-AU" w:bidi="ar-SA"/>
        </w:rPr>
        <w:t xml:space="preserve">PBPK modelling was applied to the pivotal toxicity studies for PFOS for which serum PFOS concentrations are available according to the supporting document A Critical Review of Pharmacokinetic Modelling of PFOS and PFOA to Assist in Establishing HGBVs for these Chemicals by Roberts </w:t>
      </w:r>
      <w:r w:rsidR="00180A32" w:rsidRPr="00180A32">
        <w:rPr>
          <w:i/>
          <w:lang w:eastAsia="en-AU" w:bidi="ar-SA"/>
        </w:rPr>
        <w:t xml:space="preserve">et al. </w:t>
      </w:r>
      <w:r w:rsidRPr="005649A5">
        <w:rPr>
          <w:lang w:eastAsia="en-AU" w:bidi="ar-SA"/>
        </w:rPr>
        <w:t xml:space="preserve"> 2016. </w:t>
      </w:r>
      <w:r w:rsidR="007E0E36">
        <w:rPr>
          <w:lang w:eastAsia="en-AU" w:bidi="ar-SA"/>
        </w:rPr>
        <w:t>The studies included in the PBPK modelling are listed below:</w:t>
      </w:r>
    </w:p>
    <w:p w14:paraId="2B8B5791" w14:textId="77777777" w:rsidR="007E0E36" w:rsidRDefault="007E0E36" w:rsidP="00A111E9">
      <w:pPr>
        <w:rPr>
          <w:lang w:eastAsia="en-AU" w:bidi="ar-SA"/>
        </w:rPr>
      </w:pPr>
    </w:p>
    <w:p w14:paraId="1BAB1A8A" w14:textId="09AA6EB6" w:rsidR="007E0E36" w:rsidRDefault="006B31CC" w:rsidP="00A111E9">
      <w:pPr>
        <w:pStyle w:val="FSBullet1"/>
        <w:rPr>
          <w:lang w:eastAsia="en-AU"/>
        </w:rPr>
      </w:pPr>
      <w:r>
        <w:rPr>
          <w:lang w:eastAsia="en-AU"/>
        </w:rPr>
        <w:t>s</w:t>
      </w:r>
      <w:r w:rsidR="007E0E36">
        <w:rPr>
          <w:lang w:eastAsia="en-AU"/>
        </w:rPr>
        <w:t xml:space="preserve">ubchronic toxicity study in nonhuman primates (Seacat </w:t>
      </w:r>
      <w:r w:rsidR="00180A32" w:rsidRPr="00180A32">
        <w:rPr>
          <w:i/>
          <w:lang w:eastAsia="en-AU"/>
        </w:rPr>
        <w:t xml:space="preserve">et al. </w:t>
      </w:r>
      <w:r w:rsidR="00F22DA6">
        <w:rPr>
          <w:lang w:eastAsia="en-AU"/>
        </w:rPr>
        <w:t xml:space="preserve"> </w:t>
      </w:r>
      <w:r w:rsidR="007E0E36">
        <w:rPr>
          <w:lang w:eastAsia="en-AU"/>
        </w:rPr>
        <w:t>2002)</w:t>
      </w:r>
    </w:p>
    <w:p w14:paraId="0E25D0D7" w14:textId="667F8B0A" w:rsidR="007E0E36" w:rsidRDefault="00986779" w:rsidP="00A111E9">
      <w:pPr>
        <w:pStyle w:val="FSBullet1"/>
        <w:rPr>
          <w:lang w:eastAsia="en-AU"/>
        </w:rPr>
      </w:pPr>
      <w:r>
        <w:rPr>
          <w:lang w:eastAsia="en-AU"/>
        </w:rPr>
        <w:t>c</w:t>
      </w:r>
      <w:r w:rsidR="007E0E36">
        <w:rPr>
          <w:lang w:eastAsia="en-AU"/>
        </w:rPr>
        <w:t xml:space="preserve">hronic toxicity and carcinogenicity study in rats (Butenhoff </w:t>
      </w:r>
      <w:r w:rsidR="00180A32" w:rsidRPr="00180A32">
        <w:rPr>
          <w:i/>
          <w:lang w:eastAsia="en-AU"/>
        </w:rPr>
        <w:t xml:space="preserve">et al. </w:t>
      </w:r>
      <w:r w:rsidR="00F22DA6">
        <w:rPr>
          <w:lang w:eastAsia="en-AU"/>
        </w:rPr>
        <w:t xml:space="preserve"> </w:t>
      </w:r>
      <w:r w:rsidR="007E0E36">
        <w:rPr>
          <w:lang w:eastAsia="en-AU"/>
        </w:rPr>
        <w:t>2012/Thomford 2002)</w:t>
      </w:r>
    </w:p>
    <w:p w14:paraId="5BC97E21" w14:textId="0074C70A" w:rsidR="007E0E36" w:rsidRDefault="00986779" w:rsidP="00A111E9">
      <w:pPr>
        <w:pStyle w:val="FSBullet1"/>
        <w:rPr>
          <w:lang w:eastAsia="en-AU"/>
        </w:rPr>
      </w:pPr>
      <w:r>
        <w:rPr>
          <w:lang w:eastAsia="en-AU"/>
        </w:rPr>
        <w:t>d</w:t>
      </w:r>
      <w:r w:rsidR="007E0E36">
        <w:rPr>
          <w:lang w:eastAsia="en-AU"/>
        </w:rPr>
        <w:t xml:space="preserve">evelopmental toxicity in the rat (Thibodeaux </w:t>
      </w:r>
      <w:r w:rsidR="00180A32" w:rsidRPr="00180A32">
        <w:rPr>
          <w:i/>
          <w:lang w:eastAsia="en-AU"/>
        </w:rPr>
        <w:t xml:space="preserve">et al. </w:t>
      </w:r>
      <w:r w:rsidR="00F22DA6">
        <w:rPr>
          <w:lang w:eastAsia="en-AU"/>
        </w:rPr>
        <w:t xml:space="preserve"> </w:t>
      </w:r>
      <w:r w:rsidR="007E0E36">
        <w:rPr>
          <w:lang w:eastAsia="en-AU"/>
        </w:rPr>
        <w:t xml:space="preserve">2003/Lau </w:t>
      </w:r>
      <w:r w:rsidR="00180A32" w:rsidRPr="00180A32">
        <w:rPr>
          <w:i/>
          <w:lang w:eastAsia="en-AU"/>
        </w:rPr>
        <w:t xml:space="preserve">et al. </w:t>
      </w:r>
      <w:r w:rsidR="002A12A9">
        <w:rPr>
          <w:lang w:eastAsia="en-AU"/>
        </w:rPr>
        <w:t xml:space="preserve"> </w:t>
      </w:r>
      <w:r w:rsidR="007E0E36">
        <w:rPr>
          <w:lang w:eastAsia="en-AU"/>
        </w:rPr>
        <w:t>2003)</w:t>
      </w:r>
    </w:p>
    <w:p w14:paraId="5BF89067" w14:textId="1510B93D" w:rsidR="007E0E36" w:rsidRDefault="00986779" w:rsidP="00A111E9">
      <w:pPr>
        <w:pStyle w:val="FSBullet1"/>
        <w:rPr>
          <w:lang w:eastAsia="en-AU"/>
        </w:rPr>
      </w:pPr>
      <w:r>
        <w:rPr>
          <w:lang w:eastAsia="en-AU"/>
        </w:rPr>
        <w:t>t</w:t>
      </w:r>
      <w:r w:rsidR="007E0E36">
        <w:rPr>
          <w:lang w:eastAsia="en-AU"/>
        </w:rPr>
        <w:t>wo</w:t>
      </w:r>
      <w:r w:rsidR="00032CF6">
        <w:rPr>
          <w:lang w:eastAsia="en-AU"/>
        </w:rPr>
        <w:t>-</w:t>
      </w:r>
      <w:r w:rsidR="007E0E36">
        <w:rPr>
          <w:lang w:eastAsia="en-AU"/>
        </w:rPr>
        <w:t xml:space="preserve">generation reproductive toxicity in the rat (Luebker </w:t>
      </w:r>
      <w:r w:rsidR="00180A32" w:rsidRPr="00180A32">
        <w:rPr>
          <w:i/>
          <w:lang w:eastAsia="en-AU"/>
        </w:rPr>
        <w:t xml:space="preserve">et al. </w:t>
      </w:r>
      <w:r w:rsidR="00F22DA6">
        <w:rPr>
          <w:lang w:eastAsia="en-AU"/>
        </w:rPr>
        <w:t xml:space="preserve"> </w:t>
      </w:r>
      <w:r w:rsidR="007E0E36">
        <w:rPr>
          <w:lang w:eastAsia="en-AU"/>
        </w:rPr>
        <w:t>2005b)</w:t>
      </w:r>
      <w:r w:rsidR="00540D65">
        <w:rPr>
          <w:lang w:eastAsia="en-AU"/>
        </w:rPr>
        <w:t>.</w:t>
      </w:r>
    </w:p>
    <w:p w14:paraId="756B8A3D" w14:textId="77777777" w:rsidR="00195021" w:rsidRDefault="00195021" w:rsidP="00A111E9">
      <w:pPr>
        <w:rPr>
          <w:lang w:eastAsia="en-AU" w:bidi="ar-SA"/>
        </w:rPr>
      </w:pPr>
    </w:p>
    <w:p w14:paraId="1A3D5302" w14:textId="4843134D" w:rsidR="007E0E36" w:rsidRPr="007E0E36" w:rsidRDefault="005649A5" w:rsidP="00A111E9">
      <w:pPr>
        <w:rPr>
          <w:lang w:eastAsia="en-AU" w:bidi="ar-SA"/>
        </w:rPr>
      </w:pPr>
      <w:r w:rsidRPr="005649A5">
        <w:rPr>
          <w:lang w:eastAsia="en-AU" w:bidi="ar-SA"/>
        </w:rPr>
        <w:t xml:space="preserve">Human equivalent doses (HED) were based on average serum concentration prediction, derived from predicted AUC over the duration of dosing using the US EPA PK model and parameters (Wambaugh </w:t>
      </w:r>
      <w:r w:rsidR="00180A32" w:rsidRPr="00180A32">
        <w:rPr>
          <w:i/>
          <w:lang w:eastAsia="en-AU" w:bidi="ar-SA"/>
        </w:rPr>
        <w:t xml:space="preserve">et al. </w:t>
      </w:r>
      <w:r w:rsidRPr="005649A5">
        <w:rPr>
          <w:lang w:eastAsia="en-AU" w:bidi="ar-SA"/>
        </w:rPr>
        <w:t xml:space="preserve"> 2013). The average serum PFOS concentrations were converted to HEDs using the following equation, which was also used by the US EPA:</w:t>
      </w:r>
    </w:p>
    <w:p w14:paraId="3DA633DE" w14:textId="77777777" w:rsidR="007E0E36" w:rsidRPr="007E0E36" w:rsidRDefault="00B41DB6" w:rsidP="00A111E9">
      <w:pPr>
        <w:rPr>
          <w:lang w:bidi="ar-SA"/>
        </w:rPr>
      </w:pPr>
      <w:r w:rsidRPr="007E0E36">
        <w:t>HED</w:t>
      </w:r>
      <w:r w:rsidRPr="007E0E36">
        <w:tab/>
        <w:t>= average serum concentration (µg/mL) x CL</w:t>
      </w:r>
    </w:p>
    <w:p w14:paraId="2C2091B5" w14:textId="77777777" w:rsidR="007E0E36" w:rsidRPr="007E0E36" w:rsidRDefault="007E0E36" w:rsidP="00A111E9">
      <w:pPr>
        <w:rPr>
          <w:lang w:bidi="ar-SA"/>
        </w:rPr>
      </w:pPr>
    </w:p>
    <w:p w14:paraId="7882A039" w14:textId="27EECD18" w:rsidR="007E0E36" w:rsidRPr="007E0E36" w:rsidRDefault="007E0E36" w:rsidP="00A111E9">
      <w:pPr>
        <w:rPr>
          <w:lang w:bidi="ar-SA"/>
        </w:rPr>
      </w:pPr>
      <w:r w:rsidRPr="007E0E36">
        <w:rPr>
          <w:lang w:bidi="ar-SA"/>
        </w:rPr>
        <w:t>Where</w:t>
      </w:r>
    </w:p>
    <w:p w14:paraId="464991E2" w14:textId="77777777" w:rsidR="007E0E36" w:rsidRPr="007E0E36" w:rsidRDefault="007E0E36" w:rsidP="00A111E9">
      <w:pPr>
        <w:rPr>
          <w:lang w:bidi="ar-SA"/>
        </w:rPr>
      </w:pPr>
    </w:p>
    <w:p w14:paraId="0F6E6997" w14:textId="77777777" w:rsidR="007E0E36" w:rsidRPr="007E0E36" w:rsidRDefault="007E0E36" w:rsidP="00A111E9">
      <w:pPr>
        <w:rPr>
          <w:lang w:bidi="ar-SA"/>
        </w:rPr>
      </w:pPr>
      <w:r w:rsidRPr="007E0E36">
        <w:rPr>
          <w:lang w:bidi="ar-SA"/>
        </w:rPr>
        <w:t>CL</w:t>
      </w:r>
      <w:r w:rsidRPr="007E0E36">
        <w:rPr>
          <w:lang w:bidi="ar-SA"/>
        </w:rPr>
        <w:tab/>
        <w:t>= V</w:t>
      </w:r>
      <w:r w:rsidRPr="007E0E36">
        <w:rPr>
          <w:vertAlign w:val="subscript"/>
          <w:lang w:bidi="ar-SA"/>
        </w:rPr>
        <w:t>d</w:t>
      </w:r>
      <w:r w:rsidRPr="007E0E36">
        <w:rPr>
          <w:lang w:bidi="ar-SA"/>
        </w:rPr>
        <w:t xml:space="preserve"> x (ln 2 </w:t>
      </w:r>
      <w:r w:rsidRPr="007E0E36">
        <w:rPr>
          <w:rFonts w:cs="Arial"/>
          <w:lang w:bidi="ar-SA"/>
        </w:rPr>
        <w:t>÷</w:t>
      </w:r>
      <w:r w:rsidRPr="007E0E36">
        <w:rPr>
          <w:lang w:bidi="ar-SA"/>
        </w:rPr>
        <w:t xml:space="preserve"> t</w:t>
      </w:r>
      <w:r w:rsidRPr="007E0E36">
        <w:rPr>
          <w:rFonts w:cs="Arial"/>
          <w:lang w:bidi="ar-SA"/>
        </w:rPr>
        <w:t>½</w:t>
      </w:r>
      <w:r w:rsidRPr="007E0E36">
        <w:rPr>
          <w:lang w:bidi="ar-SA"/>
        </w:rPr>
        <w:t>)</w:t>
      </w:r>
    </w:p>
    <w:p w14:paraId="19D57B35" w14:textId="77777777" w:rsidR="007E0E36" w:rsidRPr="007E0E36" w:rsidRDefault="007E0E36" w:rsidP="00A111E9">
      <w:pPr>
        <w:rPr>
          <w:lang w:bidi="ar-SA"/>
        </w:rPr>
      </w:pPr>
      <w:r w:rsidRPr="007E0E36">
        <w:rPr>
          <w:lang w:bidi="ar-SA"/>
        </w:rPr>
        <w:t xml:space="preserve"> </w:t>
      </w:r>
      <w:r w:rsidRPr="007E0E36">
        <w:rPr>
          <w:lang w:bidi="ar-SA"/>
        </w:rPr>
        <w:tab/>
        <w:t xml:space="preserve">= 0.23 L/kg bw x (0.693 </w:t>
      </w:r>
      <w:r w:rsidRPr="007E0E36">
        <w:rPr>
          <w:rFonts w:cs="Arial"/>
          <w:lang w:bidi="ar-SA"/>
        </w:rPr>
        <w:t>÷</w:t>
      </w:r>
      <w:r w:rsidRPr="007E0E36">
        <w:rPr>
          <w:lang w:bidi="ar-SA"/>
        </w:rPr>
        <w:t xml:space="preserve"> 1971 days)</w:t>
      </w:r>
    </w:p>
    <w:p w14:paraId="2DE46052" w14:textId="28009B8A" w:rsidR="007E0E36" w:rsidRDefault="007E0E36" w:rsidP="00A111E9">
      <w:pPr>
        <w:rPr>
          <w:lang w:bidi="ar-SA"/>
        </w:rPr>
      </w:pPr>
      <w:r w:rsidRPr="007E0E36">
        <w:rPr>
          <w:lang w:bidi="ar-SA"/>
        </w:rPr>
        <w:tab/>
        <w:t>= 0.000081 L/kg bw/d</w:t>
      </w:r>
      <w:r w:rsidR="00E85AD8">
        <w:rPr>
          <w:lang w:bidi="ar-SA"/>
        </w:rPr>
        <w:t>ay</w:t>
      </w:r>
    </w:p>
    <w:p w14:paraId="10851B3E" w14:textId="77777777" w:rsidR="007E0E36" w:rsidRDefault="007E0E36" w:rsidP="00A111E9"/>
    <w:p w14:paraId="40F3A7D9" w14:textId="3B478E65" w:rsidR="004F49E1" w:rsidRDefault="005649A5" w:rsidP="00A111E9">
      <w:r w:rsidRPr="005649A5">
        <w:t xml:space="preserve">The model diagram is shown in Figure 1. The model assumes that PFOA or PFOS is absorbed from a gut compartment through a first order process with rate constant ka into central compartment. After that, the free fraction of PFOA or PFOS in the central </w:t>
      </w:r>
      <w:r w:rsidRPr="005649A5">
        <w:lastRenderedPageBreak/>
        <w:t>compartment (given by free*C1) distribute to second compartment based on inter-compartmental rate constants (i.e. k</w:t>
      </w:r>
      <w:r w:rsidRPr="00BC19E6">
        <w:rPr>
          <w:vertAlign w:val="subscript"/>
        </w:rPr>
        <w:t>12</w:t>
      </w:r>
      <w:r w:rsidRPr="005649A5">
        <w:t xml:space="preserve"> and k</w:t>
      </w:r>
      <w:r w:rsidRPr="00BC19E6">
        <w:rPr>
          <w:vertAlign w:val="subscript"/>
        </w:rPr>
        <w:t>21</w:t>
      </w:r>
      <w:r w:rsidRPr="005649A5">
        <w:t>) and is cleared to a filtrate compartment where it is either excreted or resorbed via a saturable process with a Michaelis-Menten form.</w:t>
      </w:r>
      <w:r w:rsidR="004F49E1">
        <w:br/>
      </w:r>
    </w:p>
    <w:p w14:paraId="7029F0CD" w14:textId="09FB2883" w:rsidR="007E0E36" w:rsidRDefault="007E0E36" w:rsidP="00A111E9">
      <w:r>
        <w:rPr>
          <w:noProof/>
          <w:lang w:eastAsia="en-GB" w:bidi="ar-SA"/>
        </w:rPr>
        <w:drawing>
          <wp:inline distT="0" distB="0" distL="0" distR="0" wp14:anchorId="034DD281" wp14:editId="272DD33A">
            <wp:extent cx="4599094" cy="2886642"/>
            <wp:effectExtent l="0" t="0" r="0" b="9525"/>
            <wp:docPr id="1" name="Picture 1" descr="Figure 1: Modified US EPA PBPK Model " title="Figure 1: Modified US EPA PBPK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99474" cy="2886881"/>
                    </a:xfrm>
                    <a:prstGeom prst="rect">
                      <a:avLst/>
                    </a:prstGeom>
                    <a:noFill/>
                  </pic:spPr>
                </pic:pic>
              </a:graphicData>
            </a:graphic>
          </wp:inline>
        </w:drawing>
      </w:r>
    </w:p>
    <w:p w14:paraId="1407CAC8" w14:textId="77777777" w:rsidR="007E0E36" w:rsidRDefault="007E0E36" w:rsidP="00A111E9"/>
    <w:p w14:paraId="50B83065" w14:textId="432E8EEF" w:rsidR="00A95AD6" w:rsidRPr="0003759F" w:rsidRDefault="00A95AD6" w:rsidP="00A111E9">
      <w:pPr>
        <w:pStyle w:val="FSFigureTitle"/>
        <w:spacing w:after="120"/>
      </w:pPr>
      <w:r w:rsidRPr="0003759F">
        <w:t>Figure 1: US EPA PBPK Model</w:t>
      </w:r>
    </w:p>
    <w:p w14:paraId="240D2E04" w14:textId="77777777" w:rsidR="00112C61" w:rsidRDefault="00112C61" w:rsidP="00A111E9">
      <w:pPr>
        <w:spacing w:after="120"/>
      </w:pPr>
    </w:p>
    <w:p w14:paraId="2494E0C7" w14:textId="1F5B71DB" w:rsidR="00195021" w:rsidRDefault="00195021" w:rsidP="00A111E9">
      <w:pPr>
        <w:spacing w:after="120"/>
      </w:pPr>
      <w:r>
        <w:t>The primary and secondary par</w:t>
      </w:r>
      <w:r w:rsidR="00B23F14">
        <w:t>ameters of the model are summaris</w:t>
      </w:r>
      <w:r>
        <w:t xml:space="preserve">ed in </w:t>
      </w:r>
      <w:r w:rsidR="00505804">
        <w:t>T</w:t>
      </w:r>
      <w:r>
        <w:t>ables</w:t>
      </w:r>
      <w:r w:rsidR="004D7F61">
        <w:t xml:space="preserve"> 15 and 16</w:t>
      </w:r>
      <w:r>
        <w:t xml:space="preserve"> below:</w:t>
      </w:r>
    </w:p>
    <w:p w14:paraId="24111EAA" w14:textId="71388876" w:rsidR="00B23F14" w:rsidRPr="00B23F14" w:rsidRDefault="004D7F61" w:rsidP="00A111E9">
      <w:pPr>
        <w:pStyle w:val="FSTableTitle"/>
        <w:rPr>
          <w:szCs w:val="20"/>
        </w:rPr>
      </w:pPr>
      <w:r>
        <w:t xml:space="preserve">Table 15: </w:t>
      </w:r>
      <w:r w:rsidR="00B23F14" w:rsidRPr="00B23F14">
        <w:rPr>
          <w:szCs w:val="20"/>
        </w:rPr>
        <w:t>Primary parameters</w:t>
      </w:r>
    </w:p>
    <w:tbl>
      <w:tblPr>
        <w:tblStyle w:val="TableGrid"/>
        <w:tblW w:w="0" w:type="auto"/>
        <w:tblLook w:val="04A0" w:firstRow="1" w:lastRow="0" w:firstColumn="1" w:lastColumn="0" w:noHBand="0" w:noVBand="1"/>
        <w:tblCaption w:val="Table 15: Primary parameters"/>
        <w:tblDescription w:val="This table contains summarised information relating to the primary perameters of the model. "/>
      </w:tblPr>
      <w:tblGrid>
        <w:gridCol w:w="1417"/>
        <w:gridCol w:w="5174"/>
        <w:gridCol w:w="1296"/>
      </w:tblGrid>
      <w:tr w:rsidR="00B23F14" w14:paraId="4AA2294E" w14:textId="77777777" w:rsidTr="00A111E9">
        <w:trPr>
          <w:tblHeader/>
        </w:trPr>
        <w:tc>
          <w:tcPr>
            <w:tcW w:w="1417" w:type="dxa"/>
            <w:shd w:val="clear" w:color="auto" w:fill="F2F2F2" w:themeFill="background1" w:themeFillShade="F2"/>
          </w:tcPr>
          <w:p w14:paraId="3FD22FDB" w14:textId="77777777" w:rsidR="00B23F14" w:rsidRDefault="00B23F14" w:rsidP="00A111E9">
            <w:pPr>
              <w:pStyle w:val="FSTableHeading"/>
              <w:jc w:val="left"/>
            </w:pPr>
            <w:r>
              <w:t>Parameters</w:t>
            </w:r>
          </w:p>
        </w:tc>
        <w:tc>
          <w:tcPr>
            <w:tcW w:w="5174" w:type="dxa"/>
            <w:shd w:val="clear" w:color="auto" w:fill="F2F2F2" w:themeFill="background1" w:themeFillShade="F2"/>
          </w:tcPr>
          <w:p w14:paraId="7D82C510" w14:textId="77777777" w:rsidR="00B23F14" w:rsidRDefault="00B23F14" w:rsidP="00A111E9">
            <w:pPr>
              <w:pStyle w:val="FSTableHeading"/>
              <w:jc w:val="left"/>
            </w:pPr>
            <w:r>
              <w:t>Definition</w:t>
            </w:r>
          </w:p>
        </w:tc>
        <w:tc>
          <w:tcPr>
            <w:tcW w:w="1296" w:type="dxa"/>
            <w:shd w:val="clear" w:color="auto" w:fill="F2F2F2" w:themeFill="background1" w:themeFillShade="F2"/>
          </w:tcPr>
          <w:p w14:paraId="1CCEF538" w14:textId="77777777" w:rsidR="00B23F14" w:rsidRDefault="00B23F14" w:rsidP="00A111E9">
            <w:pPr>
              <w:pStyle w:val="FSTableHeading"/>
              <w:jc w:val="left"/>
            </w:pPr>
            <w:r>
              <w:t>Unit</w:t>
            </w:r>
          </w:p>
        </w:tc>
      </w:tr>
      <w:tr w:rsidR="00B23F14" w14:paraId="2C202553" w14:textId="77777777" w:rsidTr="00A111E9">
        <w:trPr>
          <w:trHeight w:val="227"/>
        </w:trPr>
        <w:tc>
          <w:tcPr>
            <w:tcW w:w="1417" w:type="dxa"/>
            <w:vAlign w:val="center"/>
          </w:tcPr>
          <w:p w14:paraId="4A176582" w14:textId="77777777" w:rsidR="00B23F14" w:rsidRPr="000B3C14" w:rsidRDefault="00B23F14" w:rsidP="00A111E9">
            <w:pPr>
              <w:pStyle w:val="FSTableText"/>
              <w:rPr>
                <w:rFonts w:ascii="Arial" w:hAnsi="Arial"/>
                <w:sz w:val="18"/>
              </w:rPr>
            </w:pPr>
            <w:r w:rsidRPr="00D711DD">
              <w:rPr>
                <w:sz w:val="18"/>
              </w:rPr>
              <w:t>BW</w:t>
            </w:r>
          </w:p>
        </w:tc>
        <w:tc>
          <w:tcPr>
            <w:tcW w:w="5174" w:type="dxa"/>
            <w:vAlign w:val="center"/>
          </w:tcPr>
          <w:p w14:paraId="7E9E13B3" w14:textId="77777777" w:rsidR="00B23F14" w:rsidRPr="00F6284E" w:rsidRDefault="00B23F14" w:rsidP="00A111E9">
            <w:pPr>
              <w:pStyle w:val="FSTableText"/>
              <w:rPr>
                <w:rFonts w:ascii="Arial" w:hAnsi="Arial"/>
                <w:sz w:val="18"/>
              </w:rPr>
            </w:pPr>
            <w:r w:rsidRPr="00F6284E">
              <w:rPr>
                <w:sz w:val="18"/>
              </w:rPr>
              <w:t>Body weight</w:t>
            </w:r>
          </w:p>
        </w:tc>
        <w:tc>
          <w:tcPr>
            <w:tcW w:w="1296" w:type="dxa"/>
            <w:vAlign w:val="center"/>
          </w:tcPr>
          <w:p w14:paraId="1166B450" w14:textId="59393991" w:rsidR="00B23F14" w:rsidRPr="00F6284E" w:rsidRDefault="007159B2" w:rsidP="00A111E9">
            <w:pPr>
              <w:pStyle w:val="FSTableText"/>
              <w:rPr>
                <w:rFonts w:ascii="Arial" w:hAnsi="Arial"/>
                <w:sz w:val="18"/>
              </w:rPr>
            </w:pPr>
            <w:r w:rsidRPr="00F6284E">
              <w:rPr>
                <w:sz w:val="18"/>
              </w:rPr>
              <w:t>K</w:t>
            </w:r>
            <w:r w:rsidR="00B23F14" w:rsidRPr="00F6284E">
              <w:rPr>
                <w:sz w:val="18"/>
              </w:rPr>
              <w:t>g</w:t>
            </w:r>
          </w:p>
        </w:tc>
      </w:tr>
      <w:tr w:rsidR="00B23F14" w14:paraId="21C50C05" w14:textId="77777777" w:rsidTr="00A111E9">
        <w:trPr>
          <w:trHeight w:val="227"/>
        </w:trPr>
        <w:tc>
          <w:tcPr>
            <w:tcW w:w="1417" w:type="dxa"/>
            <w:vAlign w:val="center"/>
          </w:tcPr>
          <w:p w14:paraId="6844A6D5" w14:textId="77777777" w:rsidR="00B23F14" w:rsidRPr="00F6284E" w:rsidRDefault="00B23F14" w:rsidP="00A111E9">
            <w:pPr>
              <w:pStyle w:val="FSTableText"/>
              <w:rPr>
                <w:rFonts w:ascii="Arial" w:hAnsi="Arial"/>
                <w:sz w:val="18"/>
              </w:rPr>
            </w:pPr>
            <w:r w:rsidRPr="00D711DD">
              <w:rPr>
                <w:sz w:val="18"/>
              </w:rPr>
              <w:t>V</w:t>
            </w:r>
            <w:r w:rsidRPr="000B3C14">
              <w:rPr>
                <w:sz w:val="18"/>
                <w:vertAlign w:val="subscript"/>
              </w:rPr>
              <w:t>cc</w:t>
            </w:r>
          </w:p>
        </w:tc>
        <w:tc>
          <w:tcPr>
            <w:tcW w:w="5174" w:type="dxa"/>
            <w:vAlign w:val="center"/>
          </w:tcPr>
          <w:p w14:paraId="2CC136BC" w14:textId="7647F671" w:rsidR="00B23F14" w:rsidRPr="00F6284E" w:rsidRDefault="00B23F14" w:rsidP="00A111E9">
            <w:pPr>
              <w:pStyle w:val="FSTableText"/>
              <w:rPr>
                <w:rFonts w:ascii="Arial" w:hAnsi="Arial"/>
                <w:sz w:val="18"/>
              </w:rPr>
            </w:pPr>
            <w:r w:rsidRPr="00F6284E">
              <w:rPr>
                <w:sz w:val="18"/>
              </w:rPr>
              <w:t>Volume of distribution (</w:t>
            </w:r>
            <w:r w:rsidR="00185513">
              <w:rPr>
                <w:sz w:val="18"/>
              </w:rPr>
              <w:t>c</w:t>
            </w:r>
            <w:r w:rsidRPr="00F6284E">
              <w:rPr>
                <w:sz w:val="18"/>
              </w:rPr>
              <w:t>entral compartment)</w:t>
            </w:r>
          </w:p>
        </w:tc>
        <w:tc>
          <w:tcPr>
            <w:tcW w:w="1296" w:type="dxa"/>
            <w:vAlign w:val="center"/>
          </w:tcPr>
          <w:p w14:paraId="0B5D9FB8" w14:textId="77777777" w:rsidR="00B23F14" w:rsidRPr="00F6284E" w:rsidRDefault="00B23F14" w:rsidP="00A111E9">
            <w:pPr>
              <w:pStyle w:val="FSTableText"/>
              <w:rPr>
                <w:rFonts w:ascii="Arial" w:hAnsi="Arial"/>
                <w:sz w:val="18"/>
              </w:rPr>
            </w:pPr>
            <w:r w:rsidRPr="00F6284E">
              <w:rPr>
                <w:sz w:val="18"/>
              </w:rPr>
              <w:t>L/kg</w:t>
            </w:r>
          </w:p>
        </w:tc>
      </w:tr>
      <w:tr w:rsidR="00B23F14" w14:paraId="6ACF31ED" w14:textId="77777777" w:rsidTr="00A111E9">
        <w:trPr>
          <w:trHeight w:val="227"/>
        </w:trPr>
        <w:tc>
          <w:tcPr>
            <w:tcW w:w="1417" w:type="dxa"/>
            <w:vAlign w:val="center"/>
          </w:tcPr>
          <w:p w14:paraId="1F6ADBCF" w14:textId="77777777" w:rsidR="00B23F14" w:rsidRPr="00F6284E" w:rsidRDefault="00B23F14" w:rsidP="00A111E9">
            <w:pPr>
              <w:pStyle w:val="FSTableText"/>
              <w:rPr>
                <w:rFonts w:ascii="Arial" w:hAnsi="Arial"/>
                <w:sz w:val="18"/>
              </w:rPr>
            </w:pPr>
            <w:r w:rsidRPr="00D711DD">
              <w:rPr>
                <w:sz w:val="18"/>
              </w:rPr>
              <w:t>QC</w:t>
            </w:r>
            <w:r w:rsidRPr="000B3C14">
              <w:rPr>
                <w:sz w:val="18"/>
                <w:vertAlign w:val="subscript"/>
              </w:rPr>
              <w:t>c</w:t>
            </w:r>
          </w:p>
        </w:tc>
        <w:tc>
          <w:tcPr>
            <w:tcW w:w="5174" w:type="dxa"/>
            <w:vAlign w:val="center"/>
          </w:tcPr>
          <w:p w14:paraId="617F4C52" w14:textId="77777777" w:rsidR="00B23F14" w:rsidRPr="00F6284E" w:rsidRDefault="00B23F14" w:rsidP="00A111E9">
            <w:pPr>
              <w:pStyle w:val="FSTableText"/>
              <w:rPr>
                <w:rFonts w:ascii="Arial" w:hAnsi="Arial"/>
                <w:sz w:val="18"/>
              </w:rPr>
            </w:pPr>
            <w:r w:rsidRPr="00F6284E">
              <w:rPr>
                <w:sz w:val="18"/>
              </w:rPr>
              <w:t xml:space="preserve">Cardiac output per kg </w:t>
            </w:r>
          </w:p>
        </w:tc>
        <w:tc>
          <w:tcPr>
            <w:tcW w:w="1296" w:type="dxa"/>
            <w:vAlign w:val="center"/>
          </w:tcPr>
          <w:p w14:paraId="6B9FC180" w14:textId="77777777" w:rsidR="00B23F14" w:rsidRPr="00F6284E" w:rsidRDefault="00B23F14" w:rsidP="00A111E9">
            <w:pPr>
              <w:pStyle w:val="FSTableText"/>
              <w:rPr>
                <w:rFonts w:ascii="Arial" w:hAnsi="Arial"/>
                <w:sz w:val="18"/>
              </w:rPr>
            </w:pPr>
            <w:r w:rsidRPr="00F6284E">
              <w:rPr>
                <w:sz w:val="18"/>
              </w:rPr>
              <w:t>L/h/kg</w:t>
            </w:r>
          </w:p>
        </w:tc>
      </w:tr>
      <w:tr w:rsidR="00B23F14" w14:paraId="74F7DBCF" w14:textId="77777777" w:rsidTr="00A111E9">
        <w:trPr>
          <w:trHeight w:val="227"/>
        </w:trPr>
        <w:tc>
          <w:tcPr>
            <w:tcW w:w="1417" w:type="dxa"/>
            <w:vAlign w:val="center"/>
          </w:tcPr>
          <w:p w14:paraId="29BB36A1" w14:textId="77777777" w:rsidR="00B23F14" w:rsidRPr="00F6284E" w:rsidRDefault="00B23F14" w:rsidP="00A111E9">
            <w:pPr>
              <w:pStyle w:val="FSTableText"/>
              <w:rPr>
                <w:rFonts w:ascii="Arial" w:hAnsi="Arial"/>
                <w:sz w:val="18"/>
              </w:rPr>
            </w:pPr>
            <w:r w:rsidRPr="00D711DD">
              <w:rPr>
                <w:sz w:val="18"/>
              </w:rPr>
              <w:t>Q</w:t>
            </w:r>
            <w:r w:rsidRPr="000B3C14">
              <w:rPr>
                <w:sz w:val="18"/>
                <w:vertAlign w:val="subscript"/>
              </w:rPr>
              <w:t>filc</w:t>
            </w:r>
          </w:p>
        </w:tc>
        <w:tc>
          <w:tcPr>
            <w:tcW w:w="5174" w:type="dxa"/>
            <w:vAlign w:val="center"/>
          </w:tcPr>
          <w:p w14:paraId="0E2B76C3" w14:textId="77777777" w:rsidR="00B23F14" w:rsidRPr="00F6284E" w:rsidRDefault="00B23F14" w:rsidP="00A111E9">
            <w:pPr>
              <w:pStyle w:val="FSTableText"/>
              <w:rPr>
                <w:rFonts w:ascii="Arial" w:hAnsi="Arial"/>
                <w:sz w:val="18"/>
              </w:rPr>
            </w:pPr>
            <w:r w:rsidRPr="00F6284E">
              <w:rPr>
                <w:sz w:val="18"/>
              </w:rPr>
              <w:t>Renal plasma filtration rate, fraction of cardiac output</w:t>
            </w:r>
          </w:p>
        </w:tc>
        <w:tc>
          <w:tcPr>
            <w:tcW w:w="1296" w:type="dxa"/>
            <w:vAlign w:val="center"/>
          </w:tcPr>
          <w:p w14:paraId="3477DA20" w14:textId="77777777" w:rsidR="00B23F14" w:rsidRPr="00F6284E" w:rsidRDefault="00B23F14" w:rsidP="00A111E9">
            <w:pPr>
              <w:pStyle w:val="FSTableText"/>
              <w:rPr>
                <w:rFonts w:ascii="Arial" w:hAnsi="Arial"/>
                <w:sz w:val="18"/>
              </w:rPr>
            </w:pPr>
            <w:r w:rsidRPr="00F6284E">
              <w:rPr>
                <w:sz w:val="18"/>
              </w:rPr>
              <w:t>-</w:t>
            </w:r>
          </w:p>
        </w:tc>
      </w:tr>
      <w:tr w:rsidR="00B23F14" w14:paraId="292CE341" w14:textId="77777777" w:rsidTr="00A111E9">
        <w:trPr>
          <w:trHeight w:val="227"/>
        </w:trPr>
        <w:tc>
          <w:tcPr>
            <w:tcW w:w="1417" w:type="dxa"/>
            <w:vAlign w:val="center"/>
          </w:tcPr>
          <w:p w14:paraId="63B87A66" w14:textId="77777777" w:rsidR="00B23F14" w:rsidRPr="00F6284E" w:rsidRDefault="00B23F14" w:rsidP="00A111E9">
            <w:pPr>
              <w:pStyle w:val="FSTableText"/>
              <w:rPr>
                <w:rFonts w:ascii="Arial" w:hAnsi="Arial"/>
                <w:sz w:val="18"/>
              </w:rPr>
            </w:pPr>
            <w:r w:rsidRPr="00D711DD">
              <w:rPr>
                <w:sz w:val="18"/>
              </w:rPr>
              <w:t>Tm</w:t>
            </w:r>
            <w:r w:rsidRPr="000B3C14">
              <w:rPr>
                <w:sz w:val="18"/>
                <w:vertAlign w:val="subscript"/>
              </w:rPr>
              <w:t>c</w:t>
            </w:r>
          </w:p>
        </w:tc>
        <w:tc>
          <w:tcPr>
            <w:tcW w:w="5174" w:type="dxa"/>
            <w:vAlign w:val="center"/>
          </w:tcPr>
          <w:p w14:paraId="373C91F7" w14:textId="77777777" w:rsidR="00B23F14" w:rsidRPr="00F6284E" w:rsidRDefault="00B23F14" w:rsidP="00A111E9">
            <w:pPr>
              <w:pStyle w:val="FSTableText"/>
              <w:rPr>
                <w:rFonts w:ascii="Arial" w:hAnsi="Arial"/>
                <w:sz w:val="18"/>
              </w:rPr>
            </w:pPr>
            <w:r w:rsidRPr="00F6284E">
              <w:rPr>
                <w:sz w:val="18"/>
              </w:rPr>
              <w:t>Transport maximum constant</w:t>
            </w:r>
          </w:p>
        </w:tc>
        <w:tc>
          <w:tcPr>
            <w:tcW w:w="1296" w:type="dxa"/>
            <w:vAlign w:val="center"/>
          </w:tcPr>
          <w:p w14:paraId="29B894B0" w14:textId="77777777" w:rsidR="00B23F14" w:rsidRPr="00F6284E" w:rsidRDefault="00B23F14" w:rsidP="00A111E9">
            <w:pPr>
              <w:pStyle w:val="FSTableText"/>
              <w:rPr>
                <w:rFonts w:ascii="Arial" w:hAnsi="Arial"/>
                <w:sz w:val="18"/>
              </w:rPr>
            </w:pPr>
            <w:r w:rsidRPr="00F6284E">
              <w:rPr>
                <w:sz w:val="18"/>
              </w:rPr>
              <w:t xml:space="preserve">mg/h/kg </w:t>
            </w:r>
          </w:p>
        </w:tc>
      </w:tr>
      <w:tr w:rsidR="00B23F14" w14:paraId="7220BE89" w14:textId="77777777" w:rsidTr="00A111E9">
        <w:trPr>
          <w:trHeight w:val="227"/>
        </w:trPr>
        <w:tc>
          <w:tcPr>
            <w:tcW w:w="1417" w:type="dxa"/>
            <w:vAlign w:val="center"/>
          </w:tcPr>
          <w:p w14:paraId="3A16FABF" w14:textId="77777777" w:rsidR="00B23F14" w:rsidRPr="000B3C14" w:rsidRDefault="00B23F14" w:rsidP="00A111E9">
            <w:pPr>
              <w:pStyle w:val="FSTableText"/>
              <w:rPr>
                <w:rFonts w:ascii="Arial" w:hAnsi="Arial"/>
                <w:sz w:val="18"/>
              </w:rPr>
            </w:pPr>
            <w:r w:rsidRPr="00D711DD">
              <w:rPr>
                <w:sz w:val="18"/>
              </w:rPr>
              <w:t>Kt</w:t>
            </w:r>
          </w:p>
        </w:tc>
        <w:tc>
          <w:tcPr>
            <w:tcW w:w="5174" w:type="dxa"/>
            <w:vAlign w:val="center"/>
          </w:tcPr>
          <w:p w14:paraId="1E9E4BD4" w14:textId="77777777" w:rsidR="00B23F14" w:rsidRPr="00F6284E" w:rsidRDefault="00B23F14" w:rsidP="00A111E9">
            <w:pPr>
              <w:pStyle w:val="FSTableText"/>
              <w:rPr>
                <w:rFonts w:ascii="Arial" w:hAnsi="Arial"/>
                <w:sz w:val="18"/>
              </w:rPr>
            </w:pPr>
            <w:r w:rsidRPr="00F6284E">
              <w:rPr>
                <w:sz w:val="18"/>
              </w:rPr>
              <w:t>Transporter affinity constant</w:t>
            </w:r>
          </w:p>
        </w:tc>
        <w:tc>
          <w:tcPr>
            <w:tcW w:w="1296" w:type="dxa"/>
            <w:vAlign w:val="center"/>
          </w:tcPr>
          <w:p w14:paraId="39CFC0B5" w14:textId="77777777" w:rsidR="00B23F14" w:rsidRPr="00F6284E" w:rsidRDefault="00B23F14" w:rsidP="00A111E9">
            <w:pPr>
              <w:pStyle w:val="FSTableText"/>
              <w:rPr>
                <w:rFonts w:ascii="Arial" w:hAnsi="Arial"/>
                <w:sz w:val="18"/>
              </w:rPr>
            </w:pPr>
            <w:r w:rsidRPr="00F6284E">
              <w:rPr>
                <w:sz w:val="18"/>
              </w:rPr>
              <w:t>mg/L</w:t>
            </w:r>
          </w:p>
        </w:tc>
      </w:tr>
      <w:tr w:rsidR="00B23F14" w14:paraId="6C326217" w14:textId="77777777" w:rsidTr="00A111E9">
        <w:trPr>
          <w:trHeight w:val="227"/>
        </w:trPr>
        <w:tc>
          <w:tcPr>
            <w:tcW w:w="1417" w:type="dxa"/>
            <w:vAlign w:val="center"/>
          </w:tcPr>
          <w:p w14:paraId="6D3A855A" w14:textId="77777777" w:rsidR="00B23F14" w:rsidRPr="000B3C14" w:rsidRDefault="00B23F14" w:rsidP="00A111E9">
            <w:pPr>
              <w:pStyle w:val="FSTableText"/>
              <w:rPr>
                <w:rFonts w:ascii="Arial" w:hAnsi="Arial"/>
                <w:sz w:val="18"/>
              </w:rPr>
            </w:pPr>
            <w:r w:rsidRPr="00D711DD">
              <w:rPr>
                <w:sz w:val="18"/>
              </w:rPr>
              <w:t>Free</w:t>
            </w:r>
          </w:p>
        </w:tc>
        <w:tc>
          <w:tcPr>
            <w:tcW w:w="5174" w:type="dxa"/>
            <w:vAlign w:val="center"/>
          </w:tcPr>
          <w:p w14:paraId="791ACA00" w14:textId="77777777" w:rsidR="00B23F14" w:rsidRPr="00F6284E" w:rsidRDefault="00B23F14" w:rsidP="00A111E9">
            <w:pPr>
              <w:pStyle w:val="FSTableText"/>
              <w:rPr>
                <w:rFonts w:ascii="Arial" w:hAnsi="Arial"/>
                <w:sz w:val="18"/>
              </w:rPr>
            </w:pPr>
            <w:r w:rsidRPr="00F6284E">
              <w:rPr>
                <w:sz w:val="18"/>
              </w:rPr>
              <w:t>Fraction of free compound in blood</w:t>
            </w:r>
          </w:p>
        </w:tc>
        <w:tc>
          <w:tcPr>
            <w:tcW w:w="1296" w:type="dxa"/>
            <w:vAlign w:val="center"/>
          </w:tcPr>
          <w:p w14:paraId="13C44908" w14:textId="77777777" w:rsidR="00B23F14" w:rsidRPr="00F6284E" w:rsidRDefault="00B23F14" w:rsidP="00A111E9">
            <w:pPr>
              <w:pStyle w:val="FSTableText"/>
              <w:rPr>
                <w:rFonts w:ascii="Arial" w:hAnsi="Arial"/>
                <w:sz w:val="18"/>
              </w:rPr>
            </w:pPr>
            <w:r w:rsidRPr="00F6284E">
              <w:rPr>
                <w:sz w:val="18"/>
              </w:rPr>
              <w:t>-</w:t>
            </w:r>
          </w:p>
        </w:tc>
      </w:tr>
      <w:tr w:rsidR="00B23F14" w14:paraId="560A15F3" w14:textId="77777777" w:rsidTr="00A111E9">
        <w:trPr>
          <w:trHeight w:val="227"/>
        </w:trPr>
        <w:tc>
          <w:tcPr>
            <w:tcW w:w="1417" w:type="dxa"/>
            <w:vAlign w:val="center"/>
          </w:tcPr>
          <w:p w14:paraId="63E9F04F" w14:textId="77777777" w:rsidR="00B23F14" w:rsidRPr="00F6284E" w:rsidRDefault="00B23F14" w:rsidP="00A111E9">
            <w:pPr>
              <w:pStyle w:val="FSTableText"/>
              <w:rPr>
                <w:rFonts w:ascii="Arial" w:hAnsi="Arial"/>
                <w:sz w:val="18"/>
              </w:rPr>
            </w:pPr>
            <w:r w:rsidRPr="00D711DD">
              <w:rPr>
                <w:sz w:val="18"/>
              </w:rPr>
              <w:t>V</w:t>
            </w:r>
            <w:r w:rsidRPr="000B3C14">
              <w:rPr>
                <w:sz w:val="18"/>
                <w:vertAlign w:val="subscript"/>
              </w:rPr>
              <w:t>filc</w:t>
            </w:r>
          </w:p>
        </w:tc>
        <w:tc>
          <w:tcPr>
            <w:tcW w:w="5174" w:type="dxa"/>
            <w:vAlign w:val="center"/>
          </w:tcPr>
          <w:p w14:paraId="20B4EC61" w14:textId="77777777" w:rsidR="00B23F14" w:rsidRPr="00F6284E" w:rsidRDefault="00B23F14" w:rsidP="00A111E9">
            <w:pPr>
              <w:pStyle w:val="FSTableText"/>
              <w:rPr>
                <w:rFonts w:ascii="Arial" w:hAnsi="Arial"/>
                <w:sz w:val="18"/>
              </w:rPr>
            </w:pPr>
            <w:r w:rsidRPr="00F6284E">
              <w:rPr>
                <w:sz w:val="18"/>
              </w:rPr>
              <w:t>Volume of renal filtration</w:t>
            </w:r>
          </w:p>
        </w:tc>
        <w:tc>
          <w:tcPr>
            <w:tcW w:w="1296" w:type="dxa"/>
            <w:vAlign w:val="center"/>
          </w:tcPr>
          <w:p w14:paraId="57DD0B5F" w14:textId="77777777" w:rsidR="00B23F14" w:rsidRPr="00F6284E" w:rsidRDefault="00B23F14" w:rsidP="00A111E9">
            <w:pPr>
              <w:pStyle w:val="FSTableText"/>
              <w:rPr>
                <w:rFonts w:ascii="Arial" w:hAnsi="Arial"/>
                <w:sz w:val="18"/>
              </w:rPr>
            </w:pPr>
            <w:r w:rsidRPr="00F6284E">
              <w:rPr>
                <w:sz w:val="18"/>
              </w:rPr>
              <w:t>L/kg</w:t>
            </w:r>
          </w:p>
        </w:tc>
      </w:tr>
      <w:tr w:rsidR="00B23F14" w14:paraId="6A6DAE20" w14:textId="77777777" w:rsidTr="00A111E9">
        <w:trPr>
          <w:trHeight w:val="227"/>
        </w:trPr>
        <w:tc>
          <w:tcPr>
            <w:tcW w:w="1417" w:type="dxa"/>
            <w:vAlign w:val="center"/>
          </w:tcPr>
          <w:p w14:paraId="5BF8EE55" w14:textId="77777777" w:rsidR="00B23F14" w:rsidRPr="00F6284E" w:rsidRDefault="00B23F14" w:rsidP="00A111E9">
            <w:pPr>
              <w:pStyle w:val="FSTableText"/>
              <w:rPr>
                <w:rFonts w:ascii="Arial" w:hAnsi="Arial"/>
                <w:sz w:val="18"/>
              </w:rPr>
            </w:pPr>
            <w:r w:rsidRPr="00D711DD">
              <w:rPr>
                <w:sz w:val="18"/>
              </w:rPr>
              <w:t>k</w:t>
            </w:r>
            <w:r w:rsidRPr="000B3C14">
              <w:rPr>
                <w:sz w:val="18"/>
                <w:vertAlign w:val="subscript"/>
              </w:rPr>
              <w:t>12</w:t>
            </w:r>
          </w:p>
        </w:tc>
        <w:tc>
          <w:tcPr>
            <w:tcW w:w="5174" w:type="dxa"/>
            <w:vAlign w:val="center"/>
          </w:tcPr>
          <w:p w14:paraId="77DC11A9" w14:textId="77777777" w:rsidR="00B23F14" w:rsidRPr="00F6284E" w:rsidRDefault="00B23F14" w:rsidP="00A111E9">
            <w:pPr>
              <w:pStyle w:val="FSTableText"/>
              <w:rPr>
                <w:rFonts w:ascii="Arial" w:hAnsi="Arial"/>
                <w:sz w:val="18"/>
              </w:rPr>
            </w:pPr>
            <w:r w:rsidRPr="00F6284E">
              <w:rPr>
                <w:sz w:val="18"/>
              </w:rPr>
              <w:t>Transfer rate constant from central to tissue compartment</w:t>
            </w:r>
          </w:p>
        </w:tc>
        <w:tc>
          <w:tcPr>
            <w:tcW w:w="1296" w:type="dxa"/>
            <w:vAlign w:val="center"/>
          </w:tcPr>
          <w:p w14:paraId="509E77FB" w14:textId="77777777" w:rsidR="00B23F14" w:rsidRPr="00F6284E" w:rsidRDefault="00B23F14" w:rsidP="00A111E9">
            <w:pPr>
              <w:pStyle w:val="FSTableText"/>
              <w:rPr>
                <w:rFonts w:ascii="Arial" w:hAnsi="Arial"/>
                <w:sz w:val="18"/>
              </w:rPr>
            </w:pPr>
            <w:r w:rsidRPr="00F6284E">
              <w:rPr>
                <w:sz w:val="18"/>
              </w:rPr>
              <w:t>h</w:t>
            </w:r>
            <w:r w:rsidRPr="00F6284E">
              <w:rPr>
                <w:sz w:val="18"/>
                <w:vertAlign w:val="superscript"/>
              </w:rPr>
              <w:t>-1</w:t>
            </w:r>
          </w:p>
        </w:tc>
      </w:tr>
      <w:tr w:rsidR="00B23F14" w14:paraId="21975069" w14:textId="77777777" w:rsidTr="00A111E9">
        <w:trPr>
          <w:trHeight w:val="227"/>
        </w:trPr>
        <w:tc>
          <w:tcPr>
            <w:tcW w:w="1417" w:type="dxa"/>
            <w:vAlign w:val="center"/>
          </w:tcPr>
          <w:p w14:paraId="0CBDE894" w14:textId="77777777" w:rsidR="00B23F14" w:rsidRPr="00F6284E" w:rsidRDefault="00B23F14" w:rsidP="00A111E9">
            <w:pPr>
              <w:pStyle w:val="FSTableText"/>
              <w:rPr>
                <w:rFonts w:ascii="Arial" w:hAnsi="Arial"/>
                <w:sz w:val="18"/>
              </w:rPr>
            </w:pPr>
            <w:r w:rsidRPr="00D711DD">
              <w:rPr>
                <w:sz w:val="18"/>
              </w:rPr>
              <w:t>Rv</w:t>
            </w:r>
            <w:r w:rsidRPr="000B3C14">
              <w:rPr>
                <w:sz w:val="18"/>
                <w:vertAlign w:val="subscript"/>
              </w:rPr>
              <w:t>2:V1</w:t>
            </w:r>
          </w:p>
        </w:tc>
        <w:tc>
          <w:tcPr>
            <w:tcW w:w="5174" w:type="dxa"/>
            <w:vAlign w:val="center"/>
          </w:tcPr>
          <w:p w14:paraId="6C903F45" w14:textId="41C6569F" w:rsidR="00B23F14" w:rsidRPr="00F6284E" w:rsidRDefault="00B23F14" w:rsidP="00A111E9">
            <w:pPr>
              <w:pStyle w:val="FSTableText"/>
              <w:rPr>
                <w:rFonts w:ascii="Arial" w:hAnsi="Arial"/>
                <w:sz w:val="18"/>
              </w:rPr>
            </w:pPr>
            <w:r w:rsidRPr="00F6284E">
              <w:rPr>
                <w:sz w:val="18"/>
              </w:rPr>
              <w:t>Transfer rate constant from tissue to central compartment</w:t>
            </w:r>
          </w:p>
        </w:tc>
        <w:tc>
          <w:tcPr>
            <w:tcW w:w="1296" w:type="dxa"/>
            <w:vAlign w:val="center"/>
          </w:tcPr>
          <w:p w14:paraId="74D81B2C" w14:textId="77777777" w:rsidR="00B23F14" w:rsidRPr="00F6284E" w:rsidRDefault="00B23F14" w:rsidP="00A111E9">
            <w:pPr>
              <w:pStyle w:val="FSTableText"/>
              <w:rPr>
                <w:rFonts w:ascii="Arial" w:hAnsi="Arial"/>
                <w:sz w:val="18"/>
              </w:rPr>
            </w:pPr>
          </w:p>
        </w:tc>
      </w:tr>
      <w:tr w:rsidR="00B23F14" w14:paraId="19C06CFE" w14:textId="77777777" w:rsidTr="00A111E9">
        <w:trPr>
          <w:trHeight w:val="227"/>
        </w:trPr>
        <w:tc>
          <w:tcPr>
            <w:tcW w:w="1417" w:type="dxa"/>
            <w:vAlign w:val="center"/>
          </w:tcPr>
          <w:p w14:paraId="44F49580" w14:textId="77777777" w:rsidR="00B23F14" w:rsidRPr="000B3C14" w:rsidRDefault="00B23F14" w:rsidP="00A111E9">
            <w:pPr>
              <w:pStyle w:val="FSTableText"/>
              <w:rPr>
                <w:rFonts w:ascii="Arial" w:hAnsi="Arial"/>
                <w:sz w:val="18"/>
              </w:rPr>
            </w:pPr>
            <w:r w:rsidRPr="00D711DD">
              <w:rPr>
                <w:sz w:val="18"/>
              </w:rPr>
              <w:t>input</w:t>
            </w:r>
          </w:p>
        </w:tc>
        <w:tc>
          <w:tcPr>
            <w:tcW w:w="5174" w:type="dxa"/>
            <w:vAlign w:val="center"/>
          </w:tcPr>
          <w:p w14:paraId="761822AB" w14:textId="77777777" w:rsidR="00B23F14" w:rsidRPr="00F6284E" w:rsidRDefault="00B23F14" w:rsidP="00A111E9">
            <w:pPr>
              <w:pStyle w:val="FSTableText"/>
              <w:rPr>
                <w:rFonts w:ascii="Arial" w:hAnsi="Arial"/>
                <w:sz w:val="18"/>
              </w:rPr>
            </w:pPr>
            <w:r w:rsidRPr="00F6284E">
              <w:rPr>
                <w:sz w:val="18"/>
              </w:rPr>
              <w:t>Daily dose</w:t>
            </w:r>
          </w:p>
        </w:tc>
        <w:tc>
          <w:tcPr>
            <w:tcW w:w="1296" w:type="dxa"/>
            <w:vAlign w:val="center"/>
          </w:tcPr>
          <w:p w14:paraId="16F6EBCA" w14:textId="77777777" w:rsidR="00B23F14" w:rsidRPr="00F6284E" w:rsidRDefault="00B23F14" w:rsidP="00A111E9">
            <w:pPr>
              <w:pStyle w:val="FSTableText"/>
              <w:rPr>
                <w:rFonts w:ascii="Arial" w:hAnsi="Arial"/>
                <w:sz w:val="18"/>
              </w:rPr>
            </w:pPr>
            <w:r w:rsidRPr="00F6284E">
              <w:rPr>
                <w:sz w:val="18"/>
              </w:rPr>
              <w:t>mg/kg/day</w:t>
            </w:r>
          </w:p>
        </w:tc>
      </w:tr>
      <w:tr w:rsidR="00B23F14" w14:paraId="6062CB5D" w14:textId="77777777" w:rsidTr="00A111E9">
        <w:trPr>
          <w:trHeight w:val="227"/>
        </w:trPr>
        <w:tc>
          <w:tcPr>
            <w:tcW w:w="1417" w:type="dxa"/>
            <w:vAlign w:val="center"/>
          </w:tcPr>
          <w:p w14:paraId="06220021" w14:textId="77777777" w:rsidR="00B23F14" w:rsidRPr="00F6284E" w:rsidRDefault="00B23F14" w:rsidP="00A111E9">
            <w:pPr>
              <w:pStyle w:val="FSTableText"/>
              <w:rPr>
                <w:rFonts w:ascii="Arial" w:hAnsi="Arial"/>
                <w:sz w:val="18"/>
              </w:rPr>
            </w:pPr>
            <w:r w:rsidRPr="00D711DD">
              <w:rPr>
                <w:sz w:val="18"/>
              </w:rPr>
              <w:t>k</w:t>
            </w:r>
            <w:r w:rsidRPr="000B3C14">
              <w:rPr>
                <w:sz w:val="18"/>
                <w:vertAlign w:val="subscript"/>
              </w:rPr>
              <w:t>a</w:t>
            </w:r>
          </w:p>
        </w:tc>
        <w:tc>
          <w:tcPr>
            <w:tcW w:w="5174" w:type="dxa"/>
            <w:vAlign w:val="center"/>
          </w:tcPr>
          <w:p w14:paraId="616B99C6" w14:textId="77777777" w:rsidR="00B23F14" w:rsidRPr="00F6284E" w:rsidRDefault="00B23F14" w:rsidP="00A111E9">
            <w:pPr>
              <w:pStyle w:val="FSTableText"/>
              <w:rPr>
                <w:rFonts w:ascii="Arial" w:hAnsi="Arial"/>
                <w:sz w:val="18"/>
              </w:rPr>
            </w:pPr>
            <w:r w:rsidRPr="00F6284E">
              <w:rPr>
                <w:sz w:val="18"/>
              </w:rPr>
              <w:t>Absorption rate constant</w:t>
            </w:r>
          </w:p>
        </w:tc>
        <w:tc>
          <w:tcPr>
            <w:tcW w:w="1296" w:type="dxa"/>
            <w:vAlign w:val="center"/>
          </w:tcPr>
          <w:p w14:paraId="77F72C13" w14:textId="77777777" w:rsidR="00B23F14" w:rsidRPr="00F6284E" w:rsidRDefault="00B23F14" w:rsidP="00A111E9">
            <w:pPr>
              <w:pStyle w:val="FSTableText"/>
              <w:rPr>
                <w:rFonts w:ascii="Arial" w:hAnsi="Arial"/>
                <w:sz w:val="18"/>
              </w:rPr>
            </w:pPr>
            <w:r w:rsidRPr="00F6284E">
              <w:rPr>
                <w:sz w:val="18"/>
              </w:rPr>
              <w:t>h</w:t>
            </w:r>
            <w:r w:rsidRPr="00F6284E">
              <w:rPr>
                <w:sz w:val="18"/>
                <w:vertAlign w:val="superscript"/>
              </w:rPr>
              <w:t>-1</w:t>
            </w:r>
          </w:p>
        </w:tc>
      </w:tr>
    </w:tbl>
    <w:p w14:paraId="453FB1A7" w14:textId="77777777" w:rsidR="004D7F61" w:rsidRDefault="004D7F61" w:rsidP="00A111E9">
      <w:pPr>
        <w:pStyle w:val="FSTableTitle"/>
      </w:pPr>
    </w:p>
    <w:p w14:paraId="49208F5E" w14:textId="6AE4883B" w:rsidR="00B23F14" w:rsidRDefault="004D7F61" w:rsidP="00A111E9">
      <w:pPr>
        <w:pStyle w:val="FSTableTitle"/>
        <w:rPr>
          <w:szCs w:val="22"/>
        </w:rPr>
      </w:pPr>
      <w:r>
        <w:t>Table 16</w:t>
      </w:r>
      <w:r w:rsidR="004F49E1">
        <w:t xml:space="preserve">: </w:t>
      </w:r>
      <w:r w:rsidR="00B23F14" w:rsidRPr="00B23F14">
        <w:rPr>
          <w:szCs w:val="22"/>
        </w:rPr>
        <w:t>Secondary parameters:</w:t>
      </w:r>
    </w:p>
    <w:tbl>
      <w:tblPr>
        <w:tblStyle w:val="TableGrid"/>
        <w:tblW w:w="8036" w:type="dxa"/>
        <w:tblLook w:val="04A0" w:firstRow="1" w:lastRow="0" w:firstColumn="1" w:lastColumn="0" w:noHBand="0" w:noVBand="1"/>
        <w:tblCaption w:val="Table 16: Secondary parameters"/>
        <w:tblDescription w:val="This table contains summarised information relating to the secondary perameters of the model. "/>
      </w:tblPr>
      <w:tblGrid>
        <w:gridCol w:w="1473"/>
        <w:gridCol w:w="5475"/>
        <w:gridCol w:w="1088"/>
      </w:tblGrid>
      <w:tr w:rsidR="00B23F14" w14:paraId="2367FC09" w14:textId="77777777" w:rsidTr="00A111E9">
        <w:trPr>
          <w:trHeight w:val="329"/>
          <w:tblHeader/>
        </w:trPr>
        <w:tc>
          <w:tcPr>
            <w:tcW w:w="1473" w:type="dxa"/>
            <w:shd w:val="clear" w:color="auto" w:fill="F2F2F2" w:themeFill="background1" w:themeFillShade="F2"/>
          </w:tcPr>
          <w:p w14:paraId="0128E829" w14:textId="77777777" w:rsidR="00B23F14" w:rsidRDefault="00B23F14" w:rsidP="00A111E9">
            <w:pPr>
              <w:pStyle w:val="FSTableHeading"/>
              <w:jc w:val="left"/>
            </w:pPr>
            <w:r>
              <w:t>Parameters</w:t>
            </w:r>
          </w:p>
        </w:tc>
        <w:tc>
          <w:tcPr>
            <w:tcW w:w="5475" w:type="dxa"/>
            <w:shd w:val="clear" w:color="auto" w:fill="F2F2F2" w:themeFill="background1" w:themeFillShade="F2"/>
          </w:tcPr>
          <w:p w14:paraId="195F2CA9" w14:textId="77777777" w:rsidR="00B23F14" w:rsidRDefault="00B23F14" w:rsidP="00A111E9">
            <w:pPr>
              <w:pStyle w:val="FSTableHeading"/>
              <w:jc w:val="left"/>
            </w:pPr>
            <w:r>
              <w:t>Definition</w:t>
            </w:r>
          </w:p>
        </w:tc>
        <w:tc>
          <w:tcPr>
            <w:tcW w:w="1088" w:type="dxa"/>
            <w:shd w:val="clear" w:color="auto" w:fill="F2F2F2" w:themeFill="background1" w:themeFillShade="F2"/>
          </w:tcPr>
          <w:p w14:paraId="734118F9" w14:textId="77777777" w:rsidR="00B23F14" w:rsidRDefault="00B23F14" w:rsidP="00A111E9">
            <w:pPr>
              <w:pStyle w:val="FSTableHeading"/>
              <w:jc w:val="left"/>
            </w:pPr>
            <w:r>
              <w:t>Unit</w:t>
            </w:r>
          </w:p>
        </w:tc>
      </w:tr>
      <w:tr w:rsidR="00B23F14" w14:paraId="06DB75E6" w14:textId="77777777" w:rsidTr="00A111E9">
        <w:trPr>
          <w:trHeight w:val="397"/>
        </w:trPr>
        <w:tc>
          <w:tcPr>
            <w:tcW w:w="1473" w:type="dxa"/>
            <w:vAlign w:val="center"/>
          </w:tcPr>
          <w:p w14:paraId="673CB2D1" w14:textId="77777777" w:rsidR="00B23F14" w:rsidRPr="00F6284E" w:rsidRDefault="00B23F14" w:rsidP="00A111E9">
            <w:pPr>
              <w:pStyle w:val="FSTableText"/>
              <w:rPr>
                <w:rFonts w:ascii="Arial" w:hAnsi="Arial"/>
                <w:sz w:val="18"/>
              </w:rPr>
            </w:pPr>
            <w:r w:rsidRPr="00D711DD">
              <w:rPr>
                <w:sz w:val="18"/>
              </w:rPr>
              <w:t>Q</w:t>
            </w:r>
            <w:r w:rsidRPr="000B3C14">
              <w:rPr>
                <w:sz w:val="18"/>
                <w:vertAlign w:val="subscript"/>
              </w:rPr>
              <w:t>fil</w:t>
            </w:r>
          </w:p>
        </w:tc>
        <w:tc>
          <w:tcPr>
            <w:tcW w:w="5475" w:type="dxa"/>
            <w:vAlign w:val="center"/>
          </w:tcPr>
          <w:p w14:paraId="1EA4FC0E" w14:textId="70F5D81E" w:rsidR="00B23F14" w:rsidRPr="00F6284E" w:rsidRDefault="00B23F14" w:rsidP="00A111E9">
            <w:pPr>
              <w:pStyle w:val="FSTableText"/>
              <w:rPr>
                <w:rFonts w:ascii="Arial" w:hAnsi="Arial"/>
                <w:sz w:val="18"/>
              </w:rPr>
            </w:pPr>
            <w:r w:rsidRPr="00F6284E">
              <w:rPr>
                <w:sz w:val="18"/>
              </w:rPr>
              <w:t>Q</w:t>
            </w:r>
            <w:r w:rsidRPr="00F6284E">
              <w:rPr>
                <w:sz w:val="18"/>
                <w:vertAlign w:val="subscript"/>
              </w:rPr>
              <w:t>fil</w:t>
            </w:r>
            <w:r w:rsidRPr="00F6284E">
              <w:rPr>
                <w:sz w:val="18"/>
              </w:rPr>
              <w:t>= Q</w:t>
            </w:r>
            <w:r w:rsidRPr="00F6284E">
              <w:rPr>
                <w:sz w:val="18"/>
                <w:vertAlign w:val="subscript"/>
              </w:rPr>
              <w:t>filc</w:t>
            </w:r>
            <w:r w:rsidRPr="00F6284E">
              <w:rPr>
                <w:sz w:val="18"/>
              </w:rPr>
              <w:t>× QC</w:t>
            </w:r>
            <w:r w:rsidRPr="00F6284E">
              <w:rPr>
                <w:sz w:val="18"/>
                <w:vertAlign w:val="subscript"/>
              </w:rPr>
              <w:t>c</w:t>
            </w:r>
            <w:r w:rsidRPr="00F6284E">
              <w:rPr>
                <w:sz w:val="18"/>
              </w:rPr>
              <w:t>×BW</w:t>
            </w:r>
            <w:r w:rsidRPr="00F6284E">
              <w:rPr>
                <w:sz w:val="18"/>
                <w:vertAlign w:val="superscript"/>
              </w:rPr>
              <w:t xml:space="preserve">0.74 </w:t>
            </w:r>
            <w:r w:rsidRPr="00F6284E">
              <w:rPr>
                <w:sz w:val="18"/>
              </w:rPr>
              <w:t>filtration rate for individual animal</w:t>
            </w:r>
          </w:p>
        </w:tc>
        <w:tc>
          <w:tcPr>
            <w:tcW w:w="1088" w:type="dxa"/>
            <w:vAlign w:val="center"/>
          </w:tcPr>
          <w:p w14:paraId="3A666FCA" w14:textId="77777777" w:rsidR="00B23F14" w:rsidRPr="00F6284E" w:rsidRDefault="00B23F14" w:rsidP="00A111E9">
            <w:pPr>
              <w:pStyle w:val="FSTableText"/>
              <w:rPr>
                <w:rFonts w:ascii="Arial" w:hAnsi="Arial"/>
                <w:sz w:val="18"/>
              </w:rPr>
            </w:pPr>
            <w:r w:rsidRPr="00F6284E">
              <w:rPr>
                <w:sz w:val="18"/>
              </w:rPr>
              <w:t>L/h</w:t>
            </w:r>
          </w:p>
        </w:tc>
      </w:tr>
      <w:tr w:rsidR="00B23F14" w14:paraId="04DAB751" w14:textId="77777777" w:rsidTr="00A111E9">
        <w:trPr>
          <w:trHeight w:val="397"/>
        </w:trPr>
        <w:tc>
          <w:tcPr>
            <w:tcW w:w="1473" w:type="dxa"/>
            <w:vAlign w:val="center"/>
          </w:tcPr>
          <w:p w14:paraId="2C46A00B" w14:textId="77777777" w:rsidR="00B23F14" w:rsidRPr="00F6284E" w:rsidRDefault="00B23F14" w:rsidP="00A111E9">
            <w:pPr>
              <w:pStyle w:val="FSTableText"/>
              <w:rPr>
                <w:rFonts w:ascii="Arial" w:hAnsi="Arial"/>
                <w:sz w:val="18"/>
              </w:rPr>
            </w:pPr>
            <w:r w:rsidRPr="00D711DD">
              <w:rPr>
                <w:sz w:val="18"/>
              </w:rPr>
              <w:t>V</w:t>
            </w:r>
            <w:r w:rsidRPr="000B3C14">
              <w:rPr>
                <w:sz w:val="18"/>
                <w:vertAlign w:val="subscript"/>
              </w:rPr>
              <w:t>c</w:t>
            </w:r>
          </w:p>
        </w:tc>
        <w:tc>
          <w:tcPr>
            <w:tcW w:w="5475" w:type="dxa"/>
            <w:vAlign w:val="center"/>
          </w:tcPr>
          <w:p w14:paraId="2C769546" w14:textId="2270E63E" w:rsidR="00B23F14" w:rsidRPr="00F6284E" w:rsidRDefault="00B23F14" w:rsidP="00A111E9">
            <w:pPr>
              <w:pStyle w:val="FSTableText"/>
              <w:rPr>
                <w:rFonts w:ascii="Arial" w:hAnsi="Arial"/>
                <w:sz w:val="18"/>
              </w:rPr>
            </w:pPr>
            <w:r w:rsidRPr="00F6284E">
              <w:rPr>
                <w:sz w:val="18"/>
              </w:rPr>
              <w:t>V</w:t>
            </w:r>
            <w:r w:rsidRPr="00F6284E">
              <w:rPr>
                <w:sz w:val="18"/>
                <w:vertAlign w:val="subscript"/>
              </w:rPr>
              <w:t xml:space="preserve">c </w:t>
            </w:r>
            <w:r w:rsidRPr="00F6284E">
              <w:rPr>
                <w:sz w:val="18"/>
              </w:rPr>
              <w:t>= V</w:t>
            </w:r>
            <w:r w:rsidRPr="00F6284E">
              <w:rPr>
                <w:sz w:val="18"/>
                <w:vertAlign w:val="subscript"/>
              </w:rPr>
              <w:t>cc</w:t>
            </w:r>
            <w:r w:rsidRPr="00F6284E">
              <w:rPr>
                <w:sz w:val="18"/>
              </w:rPr>
              <w:t xml:space="preserve"> × BW volume of distribution (</w:t>
            </w:r>
            <w:r w:rsidR="00185513">
              <w:rPr>
                <w:sz w:val="18"/>
              </w:rPr>
              <w:t>c</w:t>
            </w:r>
            <w:r w:rsidRPr="00F6284E">
              <w:rPr>
                <w:sz w:val="18"/>
              </w:rPr>
              <w:t>entral compartment)</w:t>
            </w:r>
          </w:p>
        </w:tc>
        <w:tc>
          <w:tcPr>
            <w:tcW w:w="1088" w:type="dxa"/>
            <w:vAlign w:val="center"/>
          </w:tcPr>
          <w:p w14:paraId="5C4958A6" w14:textId="77777777" w:rsidR="00B23F14" w:rsidRPr="00F6284E" w:rsidRDefault="00B23F14" w:rsidP="00A111E9">
            <w:pPr>
              <w:pStyle w:val="FSTableText"/>
              <w:rPr>
                <w:rFonts w:ascii="Arial" w:hAnsi="Arial"/>
                <w:sz w:val="18"/>
              </w:rPr>
            </w:pPr>
            <w:r w:rsidRPr="00F6284E">
              <w:rPr>
                <w:sz w:val="18"/>
              </w:rPr>
              <w:t>L</w:t>
            </w:r>
          </w:p>
        </w:tc>
      </w:tr>
      <w:tr w:rsidR="00B23F14" w14:paraId="2D06AE71" w14:textId="77777777" w:rsidTr="00A111E9">
        <w:trPr>
          <w:trHeight w:val="397"/>
        </w:trPr>
        <w:tc>
          <w:tcPr>
            <w:tcW w:w="1473" w:type="dxa"/>
            <w:vAlign w:val="center"/>
          </w:tcPr>
          <w:p w14:paraId="55B75E30" w14:textId="77777777" w:rsidR="00B23F14" w:rsidRPr="00F6284E" w:rsidRDefault="00B23F14" w:rsidP="00A111E9">
            <w:pPr>
              <w:pStyle w:val="FSTableText"/>
              <w:rPr>
                <w:rFonts w:ascii="Arial" w:hAnsi="Arial"/>
                <w:sz w:val="18"/>
              </w:rPr>
            </w:pPr>
            <w:r w:rsidRPr="00D711DD">
              <w:rPr>
                <w:sz w:val="18"/>
              </w:rPr>
              <w:t>V</w:t>
            </w:r>
            <w:r w:rsidRPr="000B3C14">
              <w:rPr>
                <w:sz w:val="18"/>
                <w:vertAlign w:val="subscript"/>
              </w:rPr>
              <w:t>fil</w:t>
            </w:r>
          </w:p>
        </w:tc>
        <w:tc>
          <w:tcPr>
            <w:tcW w:w="5475" w:type="dxa"/>
            <w:vAlign w:val="center"/>
          </w:tcPr>
          <w:p w14:paraId="76A54761" w14:textId="77777777" w:rsidR="00B23F14" w:rsidRPr="00F6284E" w:rsidRDefault="00B23F14" w:rsidP="00A111E9">
            <w:pPr>
              <w:pStyle w:val="FSTableText"/>
              <w:rPr>
                <w:rFonts w:ascii="Arial" w:hAnsi="Arial"/>
                <w:sz w:val="18"/>
              </w:rPr>
            </w:pPr>
            <w:r w:rsidRPr="00F6284E">
              <w:rPr>
                <w:sz w:val="18"/>
              </w:rPr>
              <w:t>V</w:t>
            </w:r>
            <w:r w:rsidRPr="00F6284E">
              <w:rPr>
                <w:sz w:val="18"/>
                <w:vertAlign w:val="subscript"/>
              </w:rPr>
              <w:t xml:space="preserve">fil </w:t>
            </w:r>
            <w:r w:rsidRPr="00F6284E">
              <w:rPr>
                <w:sz w:val="18"/>
              </w:rPr>
              <w:t>= V</w:t>
            </w:r>
            <w:r w:rsidRPr="00F6284E">
              <w:rPr>
                <w:sz w:val="18"/>
                <w:vertAlign w:val="subscript"/>
              </w:rPr>
              <w:t>filc</w:t>
            </w:r>
            <w:r w:rsidRPr="00F6284E">
              <w:rPr>
                <w:sz w:val="18"/>
              </w:rPr>
              <w:t xml:space="preserve">× BW volume of renal filtration </w:t>
            </w:r>
          </w:p>
        </w:tc>
        <w:tc>
          <w:tcPr>
            <w:tcW w:w="1088" w:type="dxa"/>
            <w:vAlign w:val="center"/>
          </w:tcPr>
          <w:p w14:paraId="3DB03C50" w14:textId="77777777" w:rsidR="00B23F14" w:rsidRPr="00F6284E" w:rsidRDefault="00B23F14" w:rsidP="00A111E9">
            <w:pPr>
              <w:pStyle w:val="FSTableText"/>
              <w:rPr>
                <w:rFonts w:ascii="Arial" w:hAnsi="Arial"/>
                <w:sz w:val="18"/>
              </w:rPr>
            </w:pPr>
            <w:r w:rsidRPr="00F6284E">
              <w:rPr>
                <w:sz w:val="18"/>
              </w:rPr>
              <w:t>L</w:t>
            </w:r>
          </w:p>
        </w:tc>
      </w:tr>
      <w:tr w:rsidR="00B23F14" w14:paraId="036EAD10" w14:textId="77777777" w:rsidTr="00A111E9">
        <w:trPr>
          <w:trHeight w:val="397"/>
        </w:trPr>
        <w:tc>
          <w:tcPr>
            <w:tcW w:w="1473" w:type="dxa"/>
            <w:vAlign w:val="center"/>
          </w:tcPr>
          <w:p w14:paraId="745EF5AC" w14:textId="77777777" w:rsidR="00B23F14" w:rsidRPr="000B3C14" w:rsidRDefault="00B23F14" w:rsidP="00A111E9">
            <w:pPr>
              <w:pStyle w:val="FSTableText"/>
              <w:rPr>
                <w:rFonts w:ascii="Arial" w:hAnsi="Arial"/>
                <w:sz w:val="18"/>
              </w:rPr>
            </w:pPr>
            <w:r w:rsidRPr="00D711DD">
              <w:rPr>
                <w:sz w:val="18"/>
              </w:rPr>
              <w:t>Tm</w:t>
            </w:r>
          </w:p>
        </w:tc>
        <w:tc>
          <w:tcPr>
            <w:tcW w:w="5475" w:type="dxa"/>
            <w:vAlign w:val="center"/>
          </w:tcPr>
          <w:p w14:paraId="7A03B267" w14:textId="77777777" w:rsidR="00B23F14" w:rsidRPr="00F6284E" w:rsidRDefault="00B23F14" w:rsidP="00A111E9">
            <w:pPr>
              <w:pStyle w:val="FSTableText"/>
              <w:rPr>
                <w:rFonts w:ascii="Arial" w:hAnsi="Arial"/>
                <w:sz w:val="18"/>
              </w:rPr>
            </w:pPr>
            <w:r w:rsidRPr="00F6284E">
              <w:rPr>
                <w:sz w:val="18"/>
              </w:rPr>
              <w:t>Tm = Tm</w:t>
            </w:r>
            <w:r w:rsidRPr="00F6284E">
              <w:rPr>
                <w:sz w:val="18"/>
                <w:vertAlign w:val="subscript"/>
              </w:rPr>
              <w:t>c</w:t>
            </w:r>
            <w:r w:rsidRPr="00F6284E">
              <w:rPr>
                <w:sz w:val="18"/>
              </w:rPr>
              <w:t xml:space="preserve"> × BW transport maximum</w:t>
            </w:r>
          </w:p>
        </w:tc>
        <w:tc>
          <w:tcPr>
            <w:tcW w:w="1088" w:type="dxa"/>
            <w:vAlign w:val="center"/>
          </w:tcPr>
          <w:p w14:paraId="7AE02169" w14:textId="77777777" w:rsidR="00B23F14" w:rsidRPr="00F6284E" w:rsidRDefault="00B23F14" w:rsidP="00A111E9">
            <w:pPr>
              <w:pStyle w:val="FSTableText"/>
              <w:rPr>
                <w:rFonts w:ascii="Arial" w:hAnsi="Arial"/>
                <w:sz w:val="18"/>
              </w:rPr>
            </w:pPr>
            <w:r w:rsidRPr="00F6284E">
              <w:rPr>
                <w:sz w:val="18"/>
              </w:rPr>
              <w:t>mg/h</w:t>
            </w:r>
          </w:p>
        </w:tc>
      </w:tr>
    </w:tbl>
    <w:p w14:paraId="47F1F24A" w14:textId="77777777" w:rsidR="00B23F14" w:rsidRDefault="00B23F14" w:rsidP="00A111E9"/>
    <w:p w14:paraId="27E8D28E" w14:textId="603DAF5D" w:rsidR="00B23F14" w:rsidRDefault="00B23F14" w:rsidP="00A111E9">
      <w:r>
        <w:t>The differen</w:t>
      </w:r>
      <w:r w:rsidR="009E04A7">
        <w:t>tial equations for mass balance are</w:t>
      </w:r>
      <w:r>
        <w:t xml:space="preserve"> described below:</w:t>
      </w:r>
    </w:p>
    <w:p w14:paraId="0C0A04FE" w14:textId="77777777" w:rsidR="00B23F14" w:rsidRDefault="00B23F14" w:rsidP="00A111E9"/>
    <w:p w14:paraId="631BBEF4" w14:textId="112153AC" w:rsidR="005649A5" w:rsidRPr="00633E23" w:rsidRDefault="00FA183D" w:rsidP="005649A5">
      <w:pPr>
        <w:rPr>
          <w:rFonts w:eastAsiaTheme="minorEastAsia"/>
        </w:rPr>
      </w:p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A</m:t>
                </m:r>
              </m:e>
              <m:sub>
                <m:r>
                  <w:rPr>
                    <w:rFonts w:ascii="Cambria Math" w:hAnsi="Cambria Math"/>
                  </w:rPr>
                  <m:t>gut</m:t>
                </m:r>
              </m:sub>
            </m:sSub>
          </m:num>
          <m:den>
            <m:r>
              <w:rPr>
                <w:rFonts w:ascii="Cambria Math" w:hAnsi="Cambria Math"/>
              </w:rPr>
              <m:t>dt</m:t>
            </m:r>
          </m:den>
        </m:f>
        <m:r>
          <w:rPr>
            <w:rFonts w:ascii="Cambria Math" w:hAnsi="Cambria Math"/>
          </w:rPr>
          <m:t>=Input-</m:t>
        </m:r>
        <m:sSub>
          <m:sSubPr>
            <m:ctrlPr>
              <w:rPr>
                <w:rFonts w:ascii="Cambria Math" w:hAnsi="Cambria Math"/>
                <w:i/>
              </w:rPr>
            </m:ctrlPr>
          </m:sSubPr>
          <m:e>
            <m:r>
              <w:rPr>
                <w:rFonts w:ascii="Cambria Math" w:hAnsi="Cambria Math"/>
              </w:rPr>
              <m:t>k</m:t>
            </m:r>
          </m:e>
          <m:sub>
            <m:r>
              <w:rPr>
                <w:rFonts w:ascii="Cambria Math" w:hAnsi="Cambria Math"/>
              </w:rPr>
              <m:t>a</m:t>
            </m:r>
          </m:sub>
        </m:sSub>
        <m:sSub>
          <m:sSubPr>
            <m:ctrlPr>
              <w:rPr>
                <w:rFonts w:ascii="Cambria Math" w:hAnsi="Cambria Math"/>
                <w:i/>
              </w:rPr>
            </m:ctrlPr>
          </m:sSubPr>
          <m:e>
            <m:r>
              <w:rPr>
                <w:rFonts w:ascii="Cambria Math" w:hAnsi="Cambria Math"/>
              </w:rPr>
              <m:t>A</m:t>
            </m:r>
          </m:e>
          <m:sub>
            <m:r>
              <w:rPr>
                <w:rFonts w:ascii="Cambria Math" w:hAnsi="Cambria Math"/>
              </w:rPr>
              <m:t>gut</m:t>
            </m:r>
          </m:sub>
        </m:sSub>
      </m:oMath>
      <w:r w:rsidR="00064C40">
        <w:rPr>
          <w:rFonts w:eastAsiaTheme="minorEastAsia"/>
        </w:rPr>
        <w:t xml:space="preserve"> </w:t>
      </w:r>
      <w:r w:rsidR="005649A5">
        <w:rPr>
          <w:rFonts w:eastAsiaTheme="minorEastAsia"/>
        </w:rPr>
        <w:t>(Gut compartment)</w:t>
      </w:r>
    </w:p>
    <w:p w14:paraId="3A79732E" w14:textId="77777777" w:rsidR="005649A5" w:rsidRPr="00FA505F" w:rsidRDefault="00FA183D" w:rsidP="005649A5">
      <w:pPr>
        <w:rPr>
          <w:rFonts w:eastAsiaTheme="minorEastAsia"/>
        </w:rPr>
      </w:pP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c</m:t>
                </m:r>
              </m:sub>
            </m:sSub>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num>
          <m:den>
            <m:r>
              <w:rPr>
                <w:rFonts w:ascii="Cambria Math" w:eastAsiaTheme="minorEastAsia" w:hAnsi="Cambria Math"/>
              </w:rPr>
              <m:t>dt</m:t>
            </m:r>
          </m:den>
        </m:f>
        <m:r>
          <w:rPr>
            <w:rFonts w:ascii="Cambria Math" w:eastAsiaTheme="minorEastAsia" w:hAnsi="Cambria Math"/>
          </w:rPr>
          <m:t>=</m:t>
        </m:r>
        <m:sSub>
          <m:sSubPr>
            <m:ctrlPr>
              <w:rPr>
                <w:rFonts w:ascii="Cambria Math" w:hAnsi="Cambria Math"/>
                <w:i/>
              </w:rPr>
            </m:ctrlPr>
          </m:sSubPr>
          <m:e>
            <m:r>
              <w:rPr>
                <w:rFonts w:ascii="Cambria Math" w:hAnsi="Cambria Math"/>
              </w:rPr>
              <m:t>k</m:t>
            </m:r>
          </m:e>
          <m:sub>
            <m:r>
              <w:rPr>
                <w:rFonts w:ascii="Cambria Math" w:hAnsi="Cambria Math"/>
              </w:rPr>
              <m:t>a</m:t>
            </m:r>
          </m:sub>
        </m:sSub>
        <m:sSub>
          <m:sSubPr>
            <m:ctrlPr>
              <w:rPr>
                <w:rFonts w:ascii="Cambria Math" w:hAnsi="Cambria Math"/>
                <w:i/>
              </w:rPr>
            </m:ctrlPr>
          </m:sSubPr>
          <m:e>
            <m:r>
              <w:rPr>
                <w:rFonts w:ascii="Cambria Math" w:hAnsi="Cambria Math"/>
              </w:rPr>
              <m:t>A</m:t>
            </m:r>
          </m:e>
          <m:sub>
            <m:r>
              <w:rPr>
                <w:rFonts w:ascii="Cambria Math" w:hAnsi="Cambria Math"/>
              </w:rPr>
              <m:t>gut</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k</m:t>
                </m:r>
              </m:e>
              <m:sub>
                <m:r>
                  <w:rPr>
                    <w:rFonts w:ascii="Cambria Math" w:hAnsi="Cambria Math"/>
                  </w:rPr>
                  <m:t>21</m:t>
                </m:r>
              </m:sub>
            </m:sSub>
            <m:r>
              <w:rPr>
                <w:rFonts w:ascii="Cambria Math" w:hAnsi="Cambria Math"/>
              </w:rPr>
              <m:t>A</m:t>
            </m:r>
          </m:e>
          <m:sub>
            <m:r>
              <w:rPr>
                <w:rFonts w:ascii="Cambria Math" w:hAnsi="Cambria Math"/>
              </w:rPr>
              <m:t>tissue</m:t>
            </m:r>
          </m:sub>
        </m:sSub>
        <m:sSub>
          <m:sSubPr>
            <m:ctrlPr>
              <w:rPr>
                <w:rFonts w:ascii="Cambria Math" w:eastAsiaTheme="minorEastAsia" w:hAnsi="Cambria Math"/>
                <w:i/>
              </w:rPr>
            </m:ctrlPr>
          </m:sSubPr>
          <m:e>
            <m:r>
              <w:rPr>
                <w:rFonts w:ascii="Cambria Math" w:eastAsiaTheme="minorEastAsia" w:hAnsi="Cambria Math"/>
              </w:rPr>
              <m:t>-</m:t>
            </m:r>
            <m:sSub>
              <m:sSubPr>
                <m:ctrlPr>
                  <w:rPr>
                    <w:rFonts w:ascii="Cambria Math" w:hAnsi="Cambria Math"/>
                    <w:i/>
                  </w:rPr>
                </m:ctrlPr>
              </m:sSubPr>
              <m:e>
                <m:r>
                  <w:rPr>
                    <w:rFonts w:ascii="Cambria Math" w:hAnsi="Cambria Math"/>
                  </w:rPr>
                  <m:t>k</m:t>
                </m:r>
              </m:e>
              <m:sub>
                <m:r>
                  <w:rPr>
                    <w:rFonts w:ascii="Cambria Math" w:hAnsi="Cambria Math"/>
                  </w:rPr>
                  <m:t>12</m:t>
                </m:r>
              </m:sub>
            </m:sSub>
            <m:r>
              <w:rPr>
                <w:rFonts w:ascii="Cambria Math" w:eastAsiaTheme="minorEastAsia" w:hAnsi="Cambria Math"/>
              </w:rPr>
              <m:t>V</m:t>
            </m:r>
          </m:e>
          <m:sub>
            <m:r>
              <w:rPr>
                <w:rFonts w:ascii="Cambria Math" w:eastAsiaTheme="minorEastAsia" w:hAnsi="Cambria Math"/>
              </w:rPr>
              <m:t>c</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Free-</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fil</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Free</m:t>
        </m:r>
      </m:oMath>
      <w:r w:rsidR="005649A5">
        <w:rPr>
          <w:rFonts w:eastAsiaTheme="minorEastAsia"/>
        </w:rPr>
        <w:t xml:space="preserve"> </w:t>
      </w:r>
      <w:r w:rsidR="005649A5">
        <w:rPr>
          <w:rFonts w:eastAsiaTheme="minorEastAsia"/>
        </w:rPr>
        <w:tab/>
        <w:t>(Central compartment)</w:t>
      </w:r>
    </w:p>
    <w:p w14:paraId="604482B3" w14:textId="286D70B9" w:rsidR="005649A5" w:rsidRPr="00FA505F" w:rsidRDefault="00FA183D" w:rsidP="005649A5">
      <w:pPr>
        <w:rPr>
          <w:rFonts w:eastAsiaTheme="minorEastAsia"/>
        </w:rPr>
      </w:pP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dA</m:t>
                </m:r>
              </m:e>
              <m:sub>
                <m:r>
                  <w:rPr>
                    <w:rFonts w:ascii="Cambria Math" w:eastAsiaTheme="minorEastAsia" w:hAnsi="Cambria Math"/>
                  </w:rPr>
                  <m:t>tissue</m:t>
                </m:r>
              </m:sub>
            </m:sSub>
          </m:num>
          <m:den>
            <m:r>
              <w:rPr>
                <w:rFonts w:ascii="Cambria Math" w:eastAsiaTheme="minorEastAsia" w:hAnsi="Cambria Math"/>
              </w:rPr>
              <m:t>dt</m:t>
            </m:r>
          </m:den>
        </m:f>
        <m:r>
          <w:rPr>
            <w:rFonts w:ascii="Cambria Math" w:eastAsiaTheme="minorEastAsia" w:hAnsi="Cambria Math"/>
          </w:rPr>
          <m:t>=</m:t>
        </m:r>
        <m:sSub>
          <m:sSubPr>
            <m:ctrlPr>
              <w:rPr>
                <w:rFonts w:ascii="Cambria Math" w:eastAsiaTheme="minorEastAsia" w:hAnsi="Cambria Math"/>
                <w:i/>
              </w:rPr>
            </m:ctrlPr>
          </m:sSubPr>
          <m:e>
            <m:sSub>
              <m:sSubPr>
                <m:ctrlPr>
                  <w:rPr>
                    <w:rFonts w:ascii="Cambria Math" w:hAnsi="Cambria Math"/>
                    <w:i/>
                  </w:rPr>
                </m:ctrlPr>
              </m:sSubPr>
              <m:e>
                <m:r>
                  <w:rPr>
                    <w:rFonts w:ascii="Cambria Math" w:hAnsi="Cambria Math"/>
                  </w:rPr>
                  <m:t>k</m:t>
                </m:r>
              </m:e>
              <m:sub>
                <m:r>
                  <w:rPr>
                    <w:rFonts w:ascii="Cambria Math" w:hAnsi="Cambria Math"/>
                  </w:rPr>
                  <m:t>12</m:t>
                </m:r>
              </m:sub>
            </m:sSub>
            <m:r>
              <w:rPr>
                <w:rFonts w:ascii="Cambria Math" w:eastAsiaTheme="minorEastAsia" w:hAnsi="Cambria Math"/>
              </w:rPr>
              <m:t>V</m:t>
            </m:r>
          </m:e>
          <m:sub>
            <m:r>
              <w:rPr>
                <w:rFonts w:ascii="Cambria Math" w:eastAsiaTheme="minorEastAsia" w:hAnsi="Cambria Math"/>
              </w:rPr>
              <m:t>c</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Free</m:t>
        </m:r>
        <m:sSub>
          <m:sSubPr>
            <m:ctrlPr>
              <w:rPr>
                <w:rFonts w:ascii="Cambria Math" w:hAnsi="Cambria Math"/>
                <w:i/>
              </w:rPr>
            </m:ctrlPr>
          </m:sSubPr>
          <m:e>
            <m:sSub>
              <m:sSubPr>
                <m:ctrlPr>
                  <w:rPr>
                    <w:rFonts w:ascii="Cambria Math" w:hAnsi="Cambria Math"/>
                    <w:i/>
                  </w:rPr>
                </m:ctrlPr>
              </m:sSubPr>
              <m:e>
                <m:r>
                  <w:rPr>
                    <w:rFonts w:ascii="Cambria Math" w:hAnsi="Cambria Math"/>
                  </w:rPr>
                  <m:t>k</m:t>
                </m:r>
              </m:e>
              <m:sub>
                <m:r>
                  <w:rPr>
                    <w:rFonts w:ascii="Cambria Math" w:hAnsi="Cambria Math"/>
                  </w:rPr>
                  <m:t>21</m:t>
                </m:r>
              </m:sub>
            </m:sSub>
            <m:r>
              <w:rPr>
                <w:rFonts w:ascii="Cambria Math" w:hAnsi="Cambria Math"/>
              </w:rPr>
              <m:t>A</m:t>
            </m:r>
          </m:e>
          <m:sub>
            <m:r>
              <w:rPr>
                <w:rFonts w:ascii="Cambria Math" w:hAnsi="Cambria Math"/>
              </w:rPr>
              <m:t>tissue</m:t>
            </m:r>
          </m:sub>
        </m:sSub>
      </m:oMath>
      <w:r w:rsidR="00064C40">
        <w:rPr>
          <w:rFonts w:eastAsiaTheme="minorEastAsia"/>
        </w:rPr>
        <w:t xml:space="preserve"> </w:t>
      </w:r>
      <w:r w:rsidR="005649A5">
        <w:rPr>
          <w:rFonts w:eastAsiaTheme="minorEastAsia"/>
        </w:rPr>
        <w:t>(Second compartment)</w:t>
      </w:r>
    </w:p>
    <w:p w14:paraId="3F5708CF" w14:textId="14B17DC6" w:rsidR="005649A5" w:rsidRDefault="00FA183D" w:rsidP="005649A5">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fil</m:t>
                </m:r>
              </m:sub>
            </m:sSub>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fil</m:t>
                </m:r>
              </m:sub>
            </m:sSub>
          </m:num>
          <m:den>
            <m:r>
              <w:rPr>
                <w:rFonts w:ascii="Cambria Math" w:eastAsiaTheme="minorEastAsia" w:hAnsi="Cambria Math"/>
              </w:rPr>
              <m:t>dt</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fil</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Free-</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fil</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fil</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m</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fil</m:t>
                </m:r>
              </m:sub>
            </m:sSub>
          </m:num>
          <m:den>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fil</m:t>
                </m:r>
              </m:sub>
            </m:sSub>
          </m:den>
        </m:f>
      </m:oMath>
      <w:r w:rsidR="00064C40">
        <w:t xml:space="preserve"> </w:t>
      </w:r>
      <w:r w:rsidR="005649A5">
        <w:t>(Filtrate compartment)</w:t>
      </w:r>
    </w:p>
    <w:p w14:paraId="59C6DD2B" w14:textId="77777777" w:rsidR="005649A5" w:rsidRDefault="005649A5" w:rsidP="00A111E9"/>
    <w:p w14:paraId="6B5FF70B" w14:textId="77777777" w:rsidR="00E25E3D" w:rsidRDefault="00E25E3D" w:rsidP="00A111E9">
      <w:pPr>
        <w:rPr>
          <w:lang w:eastAsia="en-AU" w:bidi="ar-SA"/>
        </w:rPr>
      </w:pPr>
    </w:p>
    <w:p w14:paraId="5B01F50A" w14:textId="073F5BEA" w:rsidR="00176573" w:rsidRDefault="00B41DB6" w:rsidP="007C647C">
      <w:pPr>
        <w:rPr>
          <w:lang w:eastAsia="en-AU" w:bidi="ar-SA"/>
        </w:rPr>
      </w:pPr>
      <w:r>
        <w:rPr>
          <w:lang w:eastAsia="en-AU" w:bidi="ar-SA"/>
        </w:rPr>
        <w:t xml:space="preserve">The calculated HEDs are shown in </w:t>
      </w:r>
      <w:r w:rsidR="008042EE">
        <w:rPr>
          <w:lang w:eastAsia="en-AU" w:bidi="ar-SA"/>
        </w:rPr>
        <w:t>Table 17</w:t>
      </w:r>
      <w:r>
        <w:rPr>
          <w:lang w:eastAsia="en-AU" w:bidi="ar-SA"/>
        </w:rPr>
        <w:t>.</w:t>
      </w:r>
    </w:p>
    <w:p w14:paraId="3A65C3FE" w14:textId="3F23C1D0" w:rsidR="00726D19" w:rsidRDefault="00726D19" w:rsidP="00A111E9">
      <w:pPr>
        <w:widowControl/>
        <w:rPr>
          <w:lang w:eastAsia="en-AU" w:bidi="ar-SA"/>
        </w:rPr>
      </w:pPr>
    </w:p>
    <w:p w14:paraId="382BB44F" w14:textId="5C4B3DC3" w:rsidR="00726D19" w:rsidRPr="00726D19" w:rsidRDefault="001316FC" w:rsidP="00A111E9">
      <w:pPr>
        <w:pStyle w:val="FSTableTitle"/>
      </w:pPr>
      <w:bookmarkStart w:id="181" w:name="_Ref468283128"/>
      <w:r>
        <w:t xml:space="preserve">Table </w:t>
      </w:r>
      <w:bookmarkEnd w:id="181"/>
      <w:r w:rsidR="008042EE">
        <w:t>17</w:t>
      </w:r>
      <w:r w:rsidR="004F49E1">
        <w:t>:</w:t>
      </w:r>
      <w:r>
        <w:t xml:space="preserve"> HEDs derived from modelled animal average PFOS serum concentrations</w:t>
      </w:r>
    </w:p>
    <w:tbl>
      <w:tblPr>
        <w:tblStyle w:val="TableGrid"/>
        <w:tblW w:w="0" w:type="auto"/>
        <w:jc w:val="center"/>
        <w:tblLook w:val="04A0" w:firstRow="1" w:lastRow="0" w:firstColumn="1" w:lastColumn="0" w:noHBand="0" w:noVBand="1"/>
        <w:tblCaption w:val="Table 17: HEDs derived from modelled animal average PFOS serum concentrations"/>
        <w:tblDescription w:val="This table contains data relting to human equivalent doses derived from modelled animal average PFOS serum concentrations."/>
      </w:tblPr>
      <w:tblGrid>
        <w:gridCol w:w="1693"/>
        <w:gridCol w:w="1150"/>
        <w:gridCol w:w="1129"/>
        <w:gridCol w:w="1835"/>
        <w:gridCol w:w="1096"/>
      </w:tblGrid>
      <w:tr w:rsidR="00527581" w14:paraId="6BFBDE8C" w14:textId="77777777" w:rsidTr="00A111E9">
        <w:trPr>
          <w:tblHeader/>
          <w:jc w:val="center"/>
        </w:trPr>
        <w:tc>
          <w:tcPr>
            <w:tcW w:w="1693" w:type="dxa"/>
            <w:shd w:val="clear" w:color="auto" w:fill="F2F2F2" w:themeFill="background1" w:themeFillShade="F2"/>
            <w:vAlign w:val="center"/>
          </w:tcPr>
          <w:p w14:paraId="4695550E" w14:textId="1588D0D4" w:rsidR="00527581" w:rsidRDefault="00527581" w:rsidP="00A111E9">
            <w:pPr>
              <w:pStyle w:val="FSTableHeading"/>
              <w:jc w:val="left"/>
              <w:rPr>
                <w:lang w:eastAsia="en-AU" w:bidi="ar-SA"/>
              </w:rPr>
            </w:pPr>
            <w:r>
              <w:rPr>
                <w:lang w:eastAsia="en-AU" w:bidi="ar-SA"/>
              </w:rPr>
              <w:t>Study</w:t>
            </w:r>
          </w:p>
        </w:tc>
        <w:tc>
          <w:tcPr>
            <w:tcW w:w="1150" w:type="dxa"/>
            <w:shd w:val="clear" w:color="auto" w:fill="F2F2F2" w:themeFill="background1" w:themeFillShade="F2"/>
            <w:vAlign w:val="center"/>
          </w:tcPr>
          <w:p w14:paraId="69ECCC48" w14:textId="3CC023EA" w:rsidR="00527581" w:rsidRDefault="00527581" w:rsidP="00230E14">
            <w:pPr>
              <w:pStyle w:val="FSTableHeading"/>
              <w:jc w:val="right"/>
              <w:rPr>
                <w:lang w:eastAsia="en-AU" w:bidi="ar-SA"/>
              </w:rPr>
            </w:pPr>
            <w:r>
              <w:rPr>
                <w:lang w:eastAsia="en-AU" w:bidi="ar-SA"/>
              </w:rPr>
              <w:t>Dosing duration (days)</w:t>
            </w:r>
          </w:p>
        </w:tc>
        <w:tc>
          <w:tcPr>
            <w:tcW w:w="1129" w:type="dxa"/>
            <w:shd w:val="clear" w:color="auto" w:fill="F2F2F2" w:themeFill="background1" w:themeFillShade="F2"/>
            <w:vAlign w:val="center"/>
          </w:tcPr>
          <w:p w14:paraId="3C65C9F6" w14:textId="71F39A61" w:rsidR="00527581" w:rsidRDefault="00527581" w:rsidP="00230E14">
            <w:pPr>
              <w:pStyle w:val="FSTableHeading"/>
              <w:jc w:val="right"/>
              <w:rPr>
                <w:lang w:eastAsia="en-AU" w:bidi="ar-SA"/>
              </w:rPr>
            </w:pPr>
            <w:r>
              <w:rPr>
                <w:lang w:eastAsia="en-AU" w:bidi="ar-SA"/>
              </w:rPr>
              <w:t>NOAEL (mg/kg bw/day)</w:t>
            </w:r>
          </w:p>
        </w:tc>
        <w:tc>
          <w:tcPr>
            <w:tcW w:w="1835" w:type="dxa"/>
            <w:shd w:val="clear" w:color="auto" w:fill="F2F2F2" w:themeFill="background1" w:themeFillShade="F2"/>
            <w:vAlign w:val="center"/>
          </w:tcPr>
          <w:p w14:paraId="2801BA1C" w14:textId="6A9AF514" w:rsidR="00527581" w:rsidRDefault="00527581" w:rsidP="00230E14">
            <w:pPr>
              <w:pStyle w:val="FSTableHeading"/>
              <w:jc w:val="right"/>
              <w:rPr>
                <w:lang w:eastAsia="en-AU" w:bidi="ar-SA"/>
              </w:rPr>
            </w:pPr>
            <w:r>
              <w:rPr>
                <w:lang w:eastAsia="en-AU" w:bidi="ar-SA"/>
              </w:rPr>
              <w:t>NOAEL (Average serum concentration [µg/mL])</w:t>
            </w:r>
          </w:p>
        </w:tc>
        <w:tc>
          <w:tcPr>
            <w:tcW w:w="1096" w:type="dxa"/>
            <w:shd w:val="clear" w:color="auto" w:fill="F2F2F2" w:themeFill="background1" w:themeFillShade="F2"/>
            <w:vAlign w:val="center"/>
          </w:tcPr>
          <w:p w14:paraId="654D928B" w14:textId="3498F5AC" w:rsidR="00527581" w:rsidRDefault="00527581" w:rsidP="00230E14">
            <w:pPr>
              <w:pStyle w:val="FSTableHeading"/>
              <w:jc w:val="right"/>
              <w:rPr>
                <w:lang w:eastAsia="en-AU" w:bidi="ar-SA"/>
              </w:rPr>
            </w:pPr>
            <w:r>
              <w:rPr>
                <w:lang w:eastAsia="en-AU" w:bidi="ar-SA"/>
              </w:rPr>
              <w:t>HED (mg/kg bw/day)</w:t>
            </w:r>
          </w:p>
        </w:tc>
      </w:tr>
      <w:tr w:rsidR="00527581" w14:paraId="3D32B76B" w14:textId="77777777" w:rsidTr="00A111E9">
        <w:trPr>
          <w:jc w:val="center"/>
        </w:trPr>
        <w:tc>
          <w:tcPr>
            <w:tcW w:w="1693" w:type="dxa"/>
            <w:vAlign w:val="center"/>
          </w:tcPr>
          <w:p w14:paraId="38958AF5" w14:textId="44351EC3" w:rsidR="00527581" w:rsidRPr="00F6284E" w:rsidRDefault="00527581" w:rsidP="00A111E9">
            <w:pPr>
              <w:pStyle w:val="FSTableText"/>
              <w:rPr>
                <w:rFonts w:ascii="Arial" w:hAnsi="Arial"/>
                <w:sz w:val="18"/>
                <w:lang w:eastAsia="en-AU"/>
              </w:rPr>
            </w:pPr>
            <w:r w:rsidRPr="00D711DD">
              <w:rPr>
                <w:sz w:val="18"/>
                <w:lang w:eastAsia="en-AU"/>
              </w:rPr>
              <w:t xml:space="preserve">Seacat </w:t>
            </w:r>
            <w:r w:rsidR="00180A32" w:rsidRPr="00180A32">
              <w:rPr>
                <w:i/>
                <w:sz w:val="18"/>
                <w:lang w:eastAsia="en-AU"/>
              </w:rPr>
              <w:t xml:space="preserve">et al. </w:t>
            </w:r>
            <w:r>
              <w:rPr>
                <w:sz w:val="18"/>
                <w:lang w:eastAsia="en-AU"/>
              </w:rPr>
              <w:t xml:space="preserve"> </w:t>
            </w:r>
            <w:r w:rsidRPr="00F6284E">
              <w:rPr>
                <w:sz w:val="18"/>
                <w:lang w:eastAsia="en-AU"/>
              </w:rPr>
              <w:t>2002; monkey</w:t>
            </w:r>
          </w:p>
        </w:tc>
        <w:tc>
          <w:tcPr>
            <w:tcW w:w="1150" w:type="dxa"/>
            <w:vAlign w:val="center"/>
          </w:tcPr>
          <w:p w14:paraId="5C00BAA2" w14:textId="48272018" w:rsidR="00527581" w:rsidRPr="00F6284E" w:rsidRDefault="00527581" w:rsidP="00230E14">
            <w:pPr>
              <w:pStyle w:val="FSTableText"/>
              <w:jc w:val="right"/>
              <w:rPr>
                <w:rFonts w:ascii="Arial" w:hAnsi="Arial"/>
                <w:sz w:val="18"/>
                <w:lang w:eastAsia="en-AU"/>
              </w:rPr>
            </w:pPr>
            <w:r w:rsidRPr="00F6284E">
              <w:rPr>
                <w:sz w:val="18"/>
                <w:lang w:eastAsia="en-AU"/>
              </w:rPr>
              <w:t>182</w:t>
            </w:r>
          </w:p>
        </w:tc>
        <w:tc>
          <w:tcPr>
            <w:tcW w:w="1129" w:type="dxa"/>
            <w:vAlign w:val="center"/>
          </w:tcPr>
          <w:p w14:paraId="2304CCB1" w14:textId="39C3F117" w:rsidR="00527581" w:rsidRPr="00F6284E" w:rsidRDefault="00527581" w:rsidP="00230E14">
            <w:pPr>
              <w:pStyle w:val="FSTableText"/>
              <w:jc w:val="right"/>
              <w:rPr>
                <w:rFonts w:ascii="Arial" w:hAnsi="Arial"/>
                <w:sz w:val="18"/>
                <w:lang w:eastAsia="en-AU"/>
              </w:rPr>
            </w:pPr>
            <w:r w:rsidRPr="00F6284E">
              <w:rPr>
                <w:sz w:val="18"/>
                <w:lang w:eastAsia="en-AU"/>
              </w:rPr>
              <w:t>0.15</w:t>
            </w:r>
          </w:p>
        </w:tc>
        <w:tc>
          <w:tcPr>
            <w:tcW w:w="1835" w:type="dxa"/>
            <w:vAlign w:val="center"/>
          </w:tcPr>
          <w:p w14:paraId="0A2D751A" w14:textId="5164F13E" w:rsidR="00527581" w:rsidRPr="00F6284E" w:rsidRDefault="00527581" w:rsidP="00230E14">
            <w:pPr>
              <w:pStyle w:val="FSTableText"/>
              <w:jc w:val="right"/>
              <w:rPr>
                <w:rFonts w:ascii="Arial" w:hAnsi="Arial"/>
                <w:sz w:val="18"/>
                <w:lang w:eastAsia="en-AU"/>
              </w:rPr>
            </w:pPr>
            <w:r w:rsidRPr="00F6284E">
              <w:rPr>
                <w:sz w:val="18"/>
                <w:lang w:eastAsia="en-AU"/>
              </w:rPr>
              <w:t>38.1</w:t>
            </w:r>
          </w:p>
        </w:tc>
        <w:tc>
          <w:tcPr>
            <w:tcW w:w="1096" w:type="dxa"/>
            <w:vAlign w:val="center"/>
          </w:tcPr>
          <w:p w14:paraId="0CF20EE9" w14:textId="76035DCF" w:rsidR="00527581" w:rsidRPr="00F6284E" w:rsidRDefault="00527581" w:rsidP="00230E14">
            <w:pPr>
              <w:pStyle w:val="FSTableText"/>
              <w:jc w:val="right"/>
              <w:rPr>
                <w:rFonts w:ascii="Arial" w:hAnsi="Arial"/>
                <w:sz w:val="18"/>
                <w:lang w:eastAsia="en-AU"/>
              </w:rPr>
            </w:pPr>
            <w:r w:rsidRPr="00F6284E">
              <w:rPr>
                <w:sz w:val="18"/>
                <w:lang w:eastAsia="en-AU"/>
              </w:rPr>
              <w:t>0.0031</w:t>
            </w:r>
          </w:p>
        </w:tc>
      </w:tr>
      <w:tr w:rsidR="00527581" w14:paraId="47CBD612" w14:textId="77777777" w:rsidTr="00A111E9">
        <w:trPr>
          <w:jc w:val="center"/>
        </w:trPr>
        <w:tc>
          <w:tcPr>
            <w:tcW w:w="1693" w:type="dxa"/>
            <w:vAlign w:val="center"/>
          </w:tcPr>
          <w:p w14:paraId="5DB3553E" w14:textId="2C461C2E" w:rsidR="00527581" w:rsidRPr="00F6284E" w:rsidRDefault="00527581" w:rsidP="00A111E9">
            <w:pPr>
              <w:pStyle w:val="FSTableText"/>
              <w:spacing w:before="20" w:after="20"/>
              <w:rPr>
                <w:rFonts w:ascii="Arial" w:hAnsi="Arial"/>
                <w:sz w:val="18"/>
                <w:lang w:eastAsia="en-AU"/>
              </w:rPr>
            </w:pPr>
            <w:r w:rsidRPr="00D711DD">
              <w:rPr>
                <w:sz w:val="18"/>
                <w:lang w:eastAsia="en-AU"/>
              </w:rPr>
              <w:t xml:space="preserve">Butenhoff </w:t>
            </w:r>
            <w:r w:rsidR="00180A32" w:rsidRPr="00180A32">
              <w:rPr>
                <w:i/>
                <w:sz w:val="18"/>
                <w:lang w:eastAsia="en-AU"/>
              </w:rPr>
              <w:t xml:space="preserve">et al. </w:t>
            </w:r>
            <w:r>
              <w:rPr>
                <w:sz w:val="18"/>
                <w:lang w:eastAsia="en-AU"/>
              </w:rPr>
              <w:t xml:space="preserve"> </w:t>
            </w:r>
            <w:r w:rsidRPr="00F6284E">
              <w:rPr>
                <w:sz w:val="18"/>
                <w:lang w:eastAsia="en-AU"/>
              </w:rPr>
              <w:t>2012/Thomford 2002; male rat</w:t>
            </w:r>
          </w:p>
        </w:tc>
        <w:tc>
          <w:tcPr>
            <w:tcW w:w="1150" w:type="dxa"/>
            <w:vAlign w:val="center"/>
          </w:tcPr>
          <w:p w14:paraId="43DA0F67" w14:textId="2007170E" w:rsidR="00527581" w:rsidRPr="00F6284E" w:rsidRDefault="00527581" w:rsidP="00230E14">
            <w:pPr>
              <w:pStyle w:val="FSTableText"/>
              <w:jc w:val="right"/>
              <w:rPr>
                <w:rFonts w:ascii="Arial" w:hAnsi="Arial"/>
                <w:sz w:val="18"/>
                <w:lang w:eastAsia="en-AU"/>
              </w:rPr>
            </w:pPr>
            <w:r w:rsidRPr="00F6284E">
              <w:rPr>
                <w:sz w:val="18"/>
                <w:lang w:eastAsia="en-AU"/>
              </w:rPr>
              <w:t>728</w:t>
            </w:r>
          </w:p>
        </w:tc>
        <w:tc>
          <w:tcPr>
            <w:tcW w:w="1129" w:type="dxa"/>
            <w:vAlign w:val="center"/>
          </w:tcPr>
          <w:p w14:paraId="1F8DC121" w14:textId="491238A8" w:rsidR="00527581" w:rsidRPr="00F6284E" w:rsidRDefault="00527581" w:rsidP="00230E14">
            <w:pPr>
              <w:pStyle w:val="FSTableText"/>
              <w:jc w:val="right"/>
              <w:rPr>
                <w:rFonts w:ascii="Arial" w:hAnsi="Arial"/>
                <w:sz w:val="18"/>
                <w:lang w:eastAsia="en-AU"/>
              </w:rPr>
            </w:pPr>
            <w:r w:rsidRPr="00F6284E">
              <w:rPr>
                <w:sz w:val="18"/>
                <w:lang w:eastAsia="en-AU"/>
              </w:rPr>
              <w:t>0.098</w:t>
            </w:r>
          </w:p>
        </w:tc>
        <w:tc>
          <w:tcPr>
            <w:tcW w:w="1835" w:type="dxa"/>
            <w:vAlign w:val="center"/>
          </w:tcPr>
          <w:p w14:paraId="1C36D93F" w14:textId="2D81F66E" w:rsidR="00527581" w:rsidRPr="00F6284E" w:rsidRDefault="00527581" w:rsidP="00230E14">
            <w:pPr>
              <w:pStyle w:val="FSTableText"/>
              <w:jc w:val="right"/>
              <w:rPr>
                <w:rFonts w:ascii="Arial" w:hAnsi="Arial"/>
                <w:sz w:val="18"/>
                <w:lang w:eastAsia="en-AU"/>
              </w:rPr>
            </w:pPr>
            <w:r w:rsidRPr="00F6284E">
              <w:rPr>
                <w:sz w:val="18"/>
                <w:lang w:eastAsia="en-AU"/>
              </w:rPr>
              <w:t>8.65</w:t>
            </w:r>
          </w:p>
        </w:tc>
        <w:tc>
          <w:tcPr>
            <w:tcW w:w="1096" w:type="dxa"/>
            <w:vAlign w:val="center"/>
          </w:tcPr>
          <w:p w14:paraId="7F38F995" w14:textId="4A719633" w:rsidR="00527581" w:rsidRPr="00F6284E" w:rsidRDefault="00527581" w:rsidP="00230E14">
            <w:pPr>
              <w:pStyle w:val="FSTableText"/>
              <w:jc w:val="right"/>
              <w:rPr>
                <w:rFonts w:ascii="Arial" w:hAnsi="Arial"/>
                <w:sz w:val="18"/>
                <w:lang w:eastAsia="en-AU"/>
              </w:rPr>
            </w:pPr>
            <w:r w:rsidRPr="00F6284E">
              <w:rPr>
                <w:sz w:val="18"/>
                <w:lang w:eastAsia="en-AU"/>
              </w:rPr>
              <w:t>0.0007</w:t>
            </w:r>
          </w:p>
        </w:tc>
      </w:tr>
      <w:tr w:rsidR="00527581" w14:paraId="338DAA20" w14:textId="77777777" w:rsidTr="00A111E9">
        <w:trPr>
          <w:jc w:val="center"/>
        </w:trPr>
        <w:tc>
          <w:tcPr>
            <w:tcW w:w="1693" w:type="dxa"/>
            <w:vAlign w:val="center"/>
          </w:tcPr>
          <w:p w14:paraId="0B9140DA" w14:textId="18B3DF3D" w:rsidR="00527581" w:rsidRPr="00F6284E" w:rsidRDefault="00527581" w:rsidP="00A111E9">
            <w:pPr>
              <w:pStyle w:val="FSTableText"/>
              <w:spacing w:before="20" w:after="20"/>
              <w:rPr>
                <w:rFonts w:ascii="Arial" w:hAnsi="Arial"/>
                <w:sz w:val="18"/>
                <w:lang w:eastAsia="en-AU"/>
              </w:rPr>
            </w:pPr>
            <w:r w:rsidRPr="00D711DD">
              <w:rPr>
                <w:sz w:val="18"/>
                <w:lang w:eastAsia="en-AU"/>
              </w:rPr>
              <w:t xml:space="preserve">Butenhoff </w:t>
            </w:r>
            <w:r w:rsidR="00180A32" w:rsidRPr="00180A32">
              <w:rPr>
                <w:i/>
                <w:sz w:val="18"/>
                <w:lang w:eastAsia="en-AU"/>
              </w:rPr>
              <w:t xml:space="preserve">et al. </w:t>
            </w:r>
            <w:r>
              <w:rPr>
                <w:sz w:val="18"/>
                <w:lang w:eastAsia="en-AU"/>
              </w:rPr>
              <w:t xml:space="preserve"> </w:t>
            </w:r>
            <w:r w:rsidRPr="00F6284E">
              <w:rPr>
                <w:sz w:val="18"/>
                <w:lang w:eastAsia="en-AU"/>
              </w:rPr>
              <w:t>2012/Thomford 2002; Female rat</w:t>
            </w:r>
          </w:p>
        </w:tc>
        <w:tc>
          <w:tcPr>
            <w:tcW w:w="1150" w:type="dxa"/>
            <w:vAlign w:val="center"/>
          </w:tcPr>
          <w:p w14:paraId="5E71A1F7" w14:textId="4B0C41DC" w:rsidR="00527581" w:rsidRPr="00F6284E" w:rsidRDefault="00527581" w:rsidP="00230E14">
            <w:pPr>
              <w:pStyle w:val="FSTableText"/>
              <w:jc w:val="right"/>
              <w:rPr>
                <w:rFonts w:ascii="Arial" w:hAnsi="Arial"/>
                <w:sz w:val="18"/>
                <w:lang w:eastAsia="en-AU"/>
              </w:rPr>
            </w:pPr>
            <w:r w:rsidRPr="00F6284E">
              <w:rPr>
                <w:sz w:val="18"/>
                <w:lang w:eastAsia="en-AU"/>
              </w:rPr>
              <w:t>728</w:t>
            </w:r>
          </w:p>
        </w:tc>
        <w:tc>
          <w:tcPr>
            <w:tcW w:w="1129" w:type="dxa"/>
            <w:vAlign w:val="center"/>
          </w:tcPr>
          <w:p w14:paraId="119D511D" w14:textId="6ECC9C9D" w:rsidR="00527581" w:rsidRPr="00F6284E" w:rsidRDefault="00527581" w:rsidP="00230E14">
            <w:pPr>
              <w:pStyle w:val="FSTableText"/>
              <w:jc w:val="right"/>
              <w:rPr>
                <w:rFonts w:ascii="Arial" w:hAnsi="Arial"/>
                <w:sz w:val="18"/>
                <w:lang w:eastAsia="en-AU"/>
              </w:rPr>
            </w:pPr>
            <w:r w:rsidRPr="00F6284E">
              <w:rPr>
                <w:sz w:val="18"/>
                <w:lang w:eastAsia="en-AU"/>
              </w:rPr>
              <w:t>0.120</w:t>
            </w:r>
          </w:p>
        </w:tc>
        <w:tc>
          <w:tcPr>
            <w:tcW w:w="1835" w:type="dxa"/>
            <w:vAlign w:val="center"/>
          </w:tcPr>
          <w:p w14:paraId="5B3D7DE1" w14:textId="1B47DC49" w:rsidR="00527581" w:rsidRPr="00F6284E" w:rsidRDefault="00527581" w:rsidP="00230E14">
            <w:pPr>
              <w:pStyle w:val="FSTableText"/>
              <w:jc w:val="right"/>
              <w:rPr>
                <w:rFonts w:ascii="Arial" w:hAnsi="Arial"/>
                <w:sz w:val="18"/>
                <w:lang w:eastAsia="en-AU"/>
              </w:rPr>
            </w:pPr>
            <w:r w:rsidRPr="00F6284E">
              <w:rPr>
                <w:sz w:val="18"/>
                <w:lang w:eastAsia="en-AU"/>
              </w:rPr>
              <w:t>46</w:t>
            </w:r>
          </w:p>
        </w:tc>
        <w:tc>
          <w:tcPr>
            <w:tcW w:w="1096" w:type="dxa"/>
            <w:vAlign w:val="center"/>
          </w:tcPr>
          <w:p w14:paraId="6113115B" w14:textId="20C33067" w:rsidR="00527581" w:rsidRPr="00F6284E" w:rsidRDefault="00527581" w:rsidP="00230E14">
            <w:pPr>
              <w:pStyle w:val="FSTableText"/>
              <w:jc w:val="right"/>
              <w:rPr>
                <w:rFonts w:ascii="Arial" w:hAnsi="Arial"/>
                <w:sz w:val="18"/>
                <w:lang w:eastAsia="en-AU"/>
              </w:rPr>
            </w:pPr>
            <w:r w:rsidRPr="00F6284E">
              <w:rPr>
                <w:sz w:val="18"/>
                <w:lang w:eastAsia="en-AU"/>
              </w:rPr>
              <w:t>0.0037</w:t>
            </w:r>
          </w:p>
        </w:tc>
      </w:tr>
      <w:tr w:rsidR="00527581" w14:paraId="1BA59ECA" w14:textId="77777777" w:rsidTr="00A111E9">
        <w:trPr>
          <w:jc w:val="center"/>
        </w:trPr>
        <w:tc>
          <w:tcPr>
            <w:tcW w:w="1693" w:type="dxa"/>
            <w:vAlign w:val="center"/>
          </w:tcPr>
          <w:p w14:paraId="71E03DA3" w14:textId="4787E86C" w:rsidR="00527581" w:rsidRPr="00F6284E" w:rsidRDefault="00527581" w:rsidP="00433537">
            <w:pPr>
              <w:pStyle w:val="FSTableText"/>
              <w:rPr>
                <w:rFonts w:ascii="Arial" w:hAnsi="Arial"/>
                <w:sz w:val="18"/>
                <w:lang w:eastAsia="en-AU"/>
              </w:rPr>
            </w:pPr>
            <w:r w:rsidRPr="00F6284E">
              <w:rPr>
                <w:sz w:val="18"/>
                <w:lang w:eastAsia="en-AU"/>
              </w:rPr>
              <w:t xml:space="preserve">Thibodeaux </w:t>
            </w:r>
            <w:r w:rsidR="00180A32" w:rsidRPr="00180A32">
              <w:rPr>
                <w:i/>
                <w:sz w:val="18"/>
                <w:lang w:eastAsia="en-AU"/>
              </w:rPr>
              <w:t xml:space="preserve">et al. </w:t>
            </w:r>
            <w:r>
              <w:rPr>
                <w:sz w:val="18"/>
                <w:lang w:eastAsia="en-AU"/>
              </w:rPr>
              <w:t xml:space="preserve"> </w:t>
            </w:r>
            <w:r w:rsidRPr="00F6284E">
              <w:rPr>
                <w:sz w:val="18"/>
                <w:lang w:eastAsia="en-AU"/>
              </w:rPr>
              <w:t xml:space="preserve">2003/Lau </w:t>
            </w:r>
            <w:r w:rsidR="00180A32" w:rsidRPr="00180A32">
              <w:rPr>
                <w:i/>
                <w:sz w:val="18"/>
                <w:lang w:eastAsia="en-AU"/>
              </w:rPr>
              <w:t xml:space="preserve">et al. </w:t>
            </w:r>
            <w:r>
              <w:rPr>
                <w:sz w:val="18"/>
                <w:lang w:eastAsia="en-AU"/>
              </w:rPr>
              <w:t xml:space="preserve"> </w:t>
            </w:r>
            <w:r w:rsidRPr="00F6284E">
              <w:rPr>
                <w:sz w:val="18"/>
                <w:lang w:eastAsia="en-AU"/>
              </w:rPr>
              <w:t>2003; female rat</w:t>
            </w:r>
          </w:p>
        </w:tc>
        <w:tc>
          <w:tcPr>
            <w:tcW w:w="1150" w:type="dxa"/>
            <w:vAlign w:val="center"/>
          </w:tcPr>
          <w:p w14:paraId="42A992E5" w14:textId="30478398" w:rsidR="00527581" w:rsidRPr="00F6284E" w:rsidRDefault="00527581" w:rsidP="00230E14">
            <w:pPr>
              <w:pStyle w:val="FSTableText"/>
              <w:jc w:val="right"/>
              <w:rPr>
                <w:rFonts w:ascii="Arial" w:hAnsi="Arial"/>
                <w:sz w:val="18"/>
                <w:lang w:eastAsia="en-AU"/>
              </w:rPr>
            </w:pPr>
            <w:r w:rsidRPr="00F6284E">
              <w:rPr>
                <w:sz w:val="18"/>
                <w:lang w:eastAsia="en-AU"/>
              </w:rPr>
              <w:t>19</w:t>
            </w:r>
          </w:p>
        </w:tc>
        <w:tc>
          <w:tcPr>
            <w:tcW w:w="1129" w:type="dxa"/>
            <w:vAlign w:val="center"/>
          </w:tcPr>
          <w:p w14:paraId="7E753E9E" w14:textId="37CB1F71" w:rsidR="00527581" w:rsidRPr="00F6284E" w:rsidRDefault="00527581" w:rsidP="00230E14">
            <w:pPr>
              <w:pStyle w:val="FSTableText"/>
              <w:jc w:val="right"/>
              <w:rPr>
                <w:rFonts w:ascii="Arial" w:hAnsi="Arial"/>
                <w:sz w:val="18"/>
                <w:lang w:eastAsia="en-AU"/>
              </w:rPr>
            </w:pPr>
            <w:r w:rsidRPr="00F6284E">
              <w:rPr>
                <w:sz w:val="18"/>
                <w:lang w:eastAsia="en-AU"/>
              </w:rPr>
              <w:t>1.0</w:t>
            </w:r>
          </w:p>
        </w:tc>
        <w:tc>
          <w:tcPr>
            <w:tcW w:w="1835" w:type="dxa"/>
            <w:vAlign w:val="center"/>
          </w:tcPr>
          <w:p w14:paraId="72F03506" w14:textId="2017405D" w:rsidR="00527581" w:rsidRPr="00F6284E" w:rsidRDefault="00527581" w:rsidP="00230E14">
            <w:pPr>
              <w:pStyle w:val="FSTableText"/>
              <w:jc w:val="right"/>
              <w:rPr>
                <w:rFonts w:ascii="Arial" w:hAnsi="Arial"/>
                <w:sz w:val="18"/>
                <w:lang w:eastAsia="en-AU"/>
              </w:rPr>
            </w:pPr>
            <w:r w:rsidRPr="00F6284E">
              <w:rPr>
                <w:sz w:val="18"/>
                <w:lang w:eastAsia="en-AU"/>
              </w:rPr>
              <w:t>15.6</w:t>
            </w:r>
          </w:p>
        </w:tc>
        <w:tc>
          <w:tcPr>
            <w:tcW w:w="1096" w:type="dxa"/>
            <w:vAlign w:val="center"/>
          </w:tcPr>
          <w:p w14:paraId="042F0A2A" w14:textId="4D4138A5" w:rsidR="00527581" w:rsidRPr="00F6284E" w:rsidRDefault="00527581" w:rsidP="00230E14">
            <w:pPr>
              <w:pStyle w:val="FSTableText"/>
              <w:jc w:val="right"/>
              <w:rPr>
                <w:rFonts w:ascii="Arial" w:hAnsi="Arial"/>
                <w:sz w:val="18"/>
                <w:lang w:eastAsia="en-AU"/>
              </w:rPr>
            </w:pPr>
            <w:r w:rsidRPr="00F6284E">
              <w:rPr>
                <w:sz w:val="18"/>
                <w:lang w:eastAsia="en-AU"/>
              </w:rPr>
              <w:t>0.0013</w:t>
            </w:r>
          </w:p>
        </w:tc>
      </w:tr>
      <w:tr w:rsidR="00527581" w14:paraId="4328F697" w14:textId="77777777" w:rsidTr="00A111E9">
        <w:trPr>
          <w:jc w:val="center"/>
        </w:trPr>
        <w:tc>
          <w:tcPr>
            <w:tcW w:w="1693" w:type="dxa"/>
            <w:vAlign w:val="center"/>
          </w:tcPr>
          <w:p w14:paraId="3BC96155" w14:textId="43EC5917" w:rsidR="00527581" w:rsidRPr="00F6284E" w:rsidRDefault="00527581" w:rsidP="00433537">
            <w:pPr>
              <w:pStyle w:val="FSTableText"/>
              <w:rPr>
                <w:rFonts w:ascii="Arial" w:hAnsi="Arial"/>
                <w:sz w:val="18"/>
                <w:lang w:eastAsia="en-AU"/>
              </w:rPr>
            </w:pPr>
            <w:r w:rsidRPr="00F6284E">
              <w:rPr>
                <w:sz w:val="18"/>
                <w:lang w:eastAsia="en-AU"/>
              </w:rPr>
              <w:t xml:space="preserve">Luebker </w:t>
            </w:r>
            <w:r w:rsidR="00180A32" w:rsidRPr="00180A32">
              <w:rPr>
                <w:i/>
                <w:sz w:val="18"/>
                <w:lang w:eastAsia="en-AU"/>
              </w:rPr>
              <w:t xml:space="preserve">et al. </w:t>
            </w:r>
            <w:r>
              <w:rPr>
                <w:sz w:val="18"/>
                <w:lang w:eastAsia="en-AU"/>
              </w:rPr>
              <w:t xml:space="preserve"> </w:t>
            </w:r>
            <w:r w:rsidRPr="00F6284E">
              <w:rPr>
                <w:sz w:val="18"/>
                <w:lang w:eastAsia="en-AU"/>
              </w:rPr>
              <w:t>2005</w:t>
            </w:r>
            <w:r w:rsidR="008A1039">
              <w:rPr>
                <w:sz w:val="18"/>
                <w:lang w:eastAsia="en-AU"/>
              </w:rPr>
              <w:t>b</w:t>
            </w:r>
            <w:r w:rsidRPr="00F6284E">
              <w:rPr>
                <w:sz w:val="18"/>
                <w:lang w:eastAsia="en-AU"/>
              </w:rPr>
              <w:t>; female rat</w:t>
            </w:r>
          </w:p>
        </w:tc>
        <w:tc>
          <w:tcPr>
            <w:tcW w:w="1150" w:type="dxa"/>
            <w:vAlign w:val="center"/>
          </w:tcPr>
          <w:p w14:paraId="37A7CB54" w14:textId="42901C8F" w:rsidR="00527581" w:rsidRPr="00F6284E" w:rsidRDefault="00527581" w:rsidP="00230E14">
            <w:pPr>
              <w:pStyle w:val="FSTableText"/>
              <w:jc w:val="right"/>
              <w:rPr>
                <w:rFonts w:ascii="Arial" w:hAnsi="Arial"/>
                <w:sz w:val="18"/>
                <w:lang w:eastAsia="en-AU"/>
              </w:rPr>
            </w:pPr>
            <w:r w:rsidRPr="00F6284E">
              <w:rPr>
                <w:sz w:val="18"/>
                <w:lang w:eastAsia="en-AU"/>
              </w:rPr>
              <w:t>84</w:t>
            </w:r>
          </w:p>
        </w:tc>
        <w:tc>
          <w:tcPr>
            <w:tcW w:w="1129" w:type="dxa"/>
            <w:vAlign w:val="center"/>
          </w:tcPr>
          <w:p w14:paraId="3B301A00" w14:textId="5E892BDF" w:rsidR="00527581" w:rsidRPr="00F6284E" w:rsidRDefault="00527581" w:rsidP="00230E14">
            <w:pPr>
              <w:pStyle w:val="FSTableText"/>
              <w:jc w:val="right"/>
              <w:rPr>
                <w:rFonts w:ascii="Arial" w:hAnsi="Arial"/>
                <w:sz w:val="18"/>
                <w:lang w:eastAsia="en-AU"/>
              </w:rPr>
            </w:pPr>
            <w:r w:rsidRPr="00F6284E">
              <w:rPr>
                <w:sz w:val="18"/>
                <w:lang w:eastAsia="en-AU"/>
              </w:rPr>
              <w:t>0.1</w:t>
            </w:r>
          </w:p>
        </w:tc>
        <w:tc>
          <w:tcPr>
            <w:tcW w:w="1835" w:type="dxa"/>
            <w:vAlign w:val="center"/>
          </w:tcPr>
          <w:p w14:paraId="3F624C97" w14:textId="2370D483" w:rsidR="00527581" w:rsidRPr="00F6284E" w:rsidRDefault="00527581" w:rsidP="00230E14">
            <w:pPr>
              <w:pStyle w:val="FSTableText"/>
              <w:jc w:val="right"/>
              <w:rPr>
                <w:rFonts w:ascii="Arial" w:hAnsi="Arial"/>
                <w:sz w:val="18"/>
                <w:lang w:eastAsia="en-AU"/>
              </w:rPr>
            </w:pPr>
            <w:r w:rsidRPr="00F6284E">
              <w:rPr>
                <w:sz w:val="18"/>
                <w:lang w:eastAsia="en-AU"/>
              </w:rPr>
              <w:t>7.14</w:t>
            </w:r>
          </w:p>
        </w:tc>
        <w:tc>
          <w:tcPr>
            <w:tcW w:w="1096" w:type="dxa"/>
            <w:vAlign w:val="center"/>
          </w:tcPr>
          <w:p w14:paraId="3921077C" w14:textId="76A71A12" w:rsidR="00527581" w:rsidRPr="00F6284E" w:rsidRDefault="00527581" w:rsidP="00230E14">
            <w:pPr>
              <w:pStyle w:val="FSTableText"/>
              <w:jc w:val="right"/>
              <w:rPr>
                <w:rFonts w:ascii="Arial" w:hAnsi="Arial"/>
                <w:sz w:val="18"/>
                <w:lang w:eastAsia="en-AU"/>
              </w:rPr>
            </w:pPr>
            <w:r w:rsidRPr="00F6284E">
              <w:rPr>
                <w:sz w:val="18"/>
                <w:lang w:eastAsia="en-AU"/>
              </w:rPr>
              <w:t>0.0006</w:t>
            </w:r>
          </w:p>
        </w:tc>
      </w:tr>
    </w:tbl>
    <w:p w14:paraId="76D09B4B" w14:textId="77777777" w:rsidR="00B41DB6" w:rsidRDefault="00B41DB6" w:rsidP="00A111E9">
      <w:pPr>
        <w:rPr>
          <w:lang w:eastAsia="en-AU" w:bidi="ar-SA"/>
        </w:rPr>
      </w:pPr>
    </w:p>
    <w:p w14:paraId="5E0729B2" w14:textId="15D67E18" w:rsidR="005649A5" w:rsidRDefault="005649A5" w:rsidP="005649A5">
      <w:r>
        <w:t>To further consider the uncertainties in the modelling based on the US EPA PK model and parameters, HEDs were also calculated using</w:t>
      </w:r>
      <w:r w:rsidRPr="00851D56">
        <w:t xml:space="preserve"> species specific PK parameters </w:t>
      </w:r>
      <w:r>
        <w:t>to predict</w:t>
      </w:r>
      <w:r w:rsidRPr="00851D56">
        <w:t xml:space="preserve"> average serum concentration using Berkeley Madonna™ software</w:t>
      </w:r>
      <w:r>
        <w:t xml:space="preserve"> (described in detail in Roberts </w:t>
      </w:r>
      <w:r w:rsidR="00180A32" w:rsidRPr="00180A32">
        <w:rPr>
          <w:i/>
        </w:rPr>
        <w:t xml:space="preserve">et al. </w:t>
      </w:r>
      <w:r>
        <w:t xml:space="preserve"> 2016)</w:t>
      </w:r>
      <w:r w:rsidRPr="00851D56">
        <w:t>.</w:t>
      </w:r>
      <w:r>
        <w:t xml:space="preserve"> Using those </w:t>
      </w:r>
      <w:r w:rsidRPr="00851D56">
        <w:t xml:space="preserve">parameter estimates and </w:t>
      </w:r>
      <w:r>
        <w:t xml:space="preserve">the </w:t>
      </w:r>
      <w:r w:rsidRPr="00851D56">
        <w:t xml:space="preserve">commercial simulation software package, the EPA estimates for the </w:t>
      </w:r>
      <w:r w:rsidR="00BF2031">
        <w:t>HED</w:t>
      </w:r>
      <w:r w:rsidRPr="00851D56">
        <w:t xml:space="preserve"> of a range of studies could be replicated with an error of less than 80%.</w:t>
      </w:r>
      <w:r>
        <w:t xml:space="preserve"> </w:t>
      </w:r>
      <w:r w:rsidRPr="00851D56">
        <w:t>In the context of the uncertainty factors of 30 fold applied to derive the TDI to take into account pharmacodynamic and intra-species differences this uncertainty of 1.5 to 1.8 fold is a very small component of the total uncertainty.</w:t>
      </w:r>
      <w:r>
        <w:t xml:space="preserve"> On that basis, candidate TDIs were</w:t>
      </w:r>
      <w:r>
        <w:rPr>
          <w:lang w:eastAsia="en-AU"/>
        </w:rPr>
        <w:t xml:space="preserve"> calculated by applying uncertainty factors to the HEDs</w:t>
      </w:r>
      <w:r>
        <w:t xml:space="preserve"> estimated using the US EPA model.</w:t>
      </w:r>
    </w:p>
    <w:p w14:paraId="42FD4075" w14:textId="2E961CC2" w:rsidR="005649A5" w:rsidRDefault="005649A5" w:rsidP="00A111E9">
      <w:pPr>
        <w:rPr>
          <w:lang w:eastAsia="en-AU" w:bidi="ar-SA"/>
        </w:rPr>
      </w:pPr>
    </w:p>
    <w:p w14:paraId="21DCCC4B" w14:textId="77777777" w:rsidR="005649A5" w:rsidRDefault="005649A5" w:rsidP="00A111E9">
      <w:pPr>
        <w:rPr>
          <w:lang w:eastAsia="en-AU" w:bidi="ar-SA"/>
        </w:rPr>
      </w:pPr>
    </w:p>
    <w:p w14:paraId="6DE5DAAF" w14:textId="77777777" w:rsidR="00064C40" w:rsidRDefault="00715DCF" w:rsidP="00064C40">
      <w:pPr>
        <w:rPr>
          <w:lang w:eastAsia="en-AU" w:bidi="ar-SA"/>
        </w:rPr>
      </w:pPr>
      <w:r>
        <w:rPr>
          <w:lang w:eastAsia="en-AU" w:bidi="ar-SA"/>
        </w:rPr>
        <w:t>For all studies a</w:t>
      </w:r>
      <w:r w:rsidR="00AF73BC">
        <w:rPr>
          <w:lang w:eastAsia="en-AU" w:bidi="ar-SA"/>
        </w:rPr>
        <w:t xml:space="preserve"> default</w:t>
      </w:r>
      <w:r>
        <w:rPr>
          <w:lang w:eastAsia="en-AU" w:bidi="ar-SA"/>
        </w:rPr>
        <w:t xml:space="preserve"> uncertainty factor of 10 has been applied to account for </w:t>
      </w:r>
      <w:r w:rsidR="00C44270">
        <w:rPr>
          <w:lang w:eastAsia="en-AU" w:bidi="ar-SA"/>
        </w:rPr>
        <w:t>human variability</w:t>
      </w:r>
      <w:r>
        <w:rPr>
          <w:lang w:eastAsia="en-AU" w:bidi="ar-SA"/>
        </w:rPr>
        <w:t>. For inter</w:t>
      </w:r>
      <w:r w:rsidR="000203C4">
        <w:rPr>
          <w:lang w:eastAsia="en-AU" w:bidi="ar-SA"/>
        </w:rPr>
        <w:t>species</w:t>
      </w:r>
      <w:r>
        <w:rPr>
          <w:lang w:eastAsia="en-AU" w:bidi="ar-SA"/>
        </w:rPr>
        <w:t xml:space="preserve"> variability, a</w:t>
      </w:r>
      <w:r w:rsidR="00AF73BC">
        <w:rPr>
          <w:lang w:eastAsia="en-AU" w:bidi="ar-SA"/>
        </w:rPr>
        <w:t xml:space="preserve"> default</w:t>
      </w:r>
      <w:r>
        <w:rPr>
          <w:lang w:eastAsia="en-AU" w:bidi="ar-SA"/>
        </w:rPr>
        <w:t xml:space="preserve"> uncertainty factor of 3 has been applied to account for potential differences in toxicodynamics between animals and humans. </w:t>
      </w:r>
      <w:r w:rsidR="00B716D0">
        <w:rPr>
          <w:lang w:eastAsia="en-AU" w:bidi="ar-SA"/>
        </w:rPr>
        <w:t>An uncertainty factor to account for inter</w:t>
      </w:r>
      <w:r w:rsidR="000203C4">
        <w:rPr>
          <w:lang w:eastAsia="en-AU" w:bidi="ar-SA"/>
        </w:rPr>
        <w:t>species</w:t>
      </w:r>
      <w:r w:rsidR="00B716D0">
        <w:rPr>
          <w:lang w:eastAsia="en-AU" w:bidi="ar-SA"/>
        </w:rPr>
        <w:t xml:space="preserve"> differences in toxicokinetics is not required due to the use of PBPK modelling to derive HEDs. </w:t>
      </w:r>
      <w:r w:rsidR="000D7A72">
        <w:rPr>
          <w:lang w:eastAsia="en-AU" w:bidi="ar-SA"/>
        </w:rPr>
        <w:t xml:space="preserve">No </w:t>
      </w:r>
      <w:r w:rsidR="00EB3544">
        <w:rPr>
          <w:lang w:eastAsia="en-AU" w:bidi="ar-SA"/>
        </w:rPr>
        <w:t>additional uncertainty factor</w:t>
      </w:r>
      <w:r w:rsidR="000D7A72">
        <w:rPr>
          <w:lang w:eastAsia="en-AU" w:bidi="ar-SA"/>
        </w:rPr>
        <w:t>s</w:t>
      </w:r>
      <w:r w:rsidR="00EB3544">
        <w:rPr>
          <w:lang w:eastAsia="en-AU" w:bidi="ar-SA"/>
        </w:rPr>
        <w:t xml:space="preserve"> </w:t>
      </w:r>
      <w:r w:rsidR="000D7A72">
        <w:rPr>
          <w:lang w:eastAsia="en-AU" w:bidi="ar-SA"/>
        </w:rPr>
        <w:t>were considered to be required</w:t>
      </w:r>
      <w:r w:rsidR="00EB3544">
        <w:rPr>
          <w:lang w:eastAsia="en-AU" w:bidi="ar-SA"/>
        </w:rPr>
        <w:t>, and therefore a total uncertainty factor of 30 was applied</w:t>
      </w:r>
      <w:r w:rsidR="00C44270">
        <w:rPr>
          <w:lang w:eastAsia="en-AU" w:bidi="ar-SA"/>
        </w:rPr>
        <w:t xml:space="preserve"> to all modelled HEDs</w:t>
      </w:r>
      <w:r w:rsidR="00EB3544">
        <w:rPr>
          <w:lang w:eastAsia="en-AU" w:bidi="ar-SA"/>
        </w:rPr>
        <w:t xml:space="preserve">. </w:t>
      </w:r>
      <w:r w:rsidR="000D7A72">
        <w:rPr>
          <w:lang w:eastAsia="en-AU" w:bidi="ar-SA"/>
        </w:rPr>
        <w:t xml:space="preserve">The </w:t>
      </w:r>
      <w:r w:rsidR="00C44270">
        <w:rPr>
          <w:lang w:eastAsia="en-AU" w:bidi="ar-SA"/>
        </w:rPr>
        <w:t>candidate TDIs</w:t>
      </w:r>
      <w:r w:rsidR="000D7A72">
        <w:rPr>
          <w:lang w:eastAsia="en-AU" w:bidi="ar-SA"/>
        </w:rPr>
        <w:t xml:space="preserve"> are shown in</w:t>
      </w:r>
      <w:r w:rsidR="00974A17">
        <w:rPr>
          <w:lang w:eastAsia="en-AU" w:bidi="ar-SA"/>
        </w:rPr>
        <w:t xml:space="preserve"> Table </w:t>
      </w:r>
      <w:r w:rsidR="008042EE">
        <w:rPr>
          <w:lang w:eastAsia="en-AU" w:bidi="ar-SA"/>
        </w:rPr>
        <w:t>18</w:t>
      </w:r>
      <w:r w:rsidR="00974A17">
        <w:rPr>
          <w:lang w:eastAsia="en-AU" w:bidi="ar-SA"/>
        </w:rPr>
        <w:t>.</w:t>
      </w:r>
      <w:bookmarkStart w:id="182" w:name="_Ref468364810"/>
    </w:p>
    <w:p w14:paraId="6C058624" w14:textId="77777777" w:rsidR="00064C40" w:rsidRDefault="00064C40">
      <w:pPr>
        <w:widowControl/>
        <w:rPr>
          <w:lang w:eastAsia="en-AU" w:bidi="ar-SA"/>
        </w:rPr>
      </w:pPr>
      <w:r>
        <w:rPr>
          <w:lang w:eastAsia="en-AU" w:bidi="ar-SA"/>
        </w:rPr>
        <w:br w:type="page"/>
      </w:r>
    </w:p>
    <w:p w14:paraId="6076FA9B" w14:textId="4188EB4D" w:rsidR="00EA5533" w:rsidRPr="00EA5533" w:rsidRDefault="00FE5FA3" w:rsidP="00A111E9">
      <w:pPr>
        <w:pStyle w:val="FSTableTitle"/>
      </w:pPr>
      <w:r>
        <w:lastRenderedPageBreak/>
        <w:t xml:space="preserve">Table </w:t>
      </w:r>
      <w:bookmarkEnd w:id="182"/>
      <w:r w:rsidR="008042EE">
        <w:t>18</w:t>
      </w:r>
      <w:r w:rsidR="004F49E1">
        <w:t>:</w:t>
      </w:r>
      <w:r>
        <w:t xml:space="preserve"> Candidate HBGVs for PFOS</w:t>
      </w:r>
    </w:p>
    <w:tbl>
      <w:tblPr>
        <w:tblStyle w:val="TableGrid"/>
        <w:tblW w:w="9286" w:type="dxa"/>
        <w:jc w:val="center"/>
        <w:tblLook w:val="04A0" w:firstRow="1" w:lastRow="0" w:firstColumn="1" w:lastColumn="0" w:noHBand="0" w:noVBand="1"/>
        <w:tblCaption w:val="Table 18: Candidate HBGVs for PFOS"/>
        <w:tblDescription w:val="This table contains data relating to candidate health-based guidance values for PFOS."/>
      </w:tblPr>
      <w:tblGrid>
        <w:gridCol w:w="2367"/>
        <w:gridCol w:w="1547"/>
        <w:gridCol w:w="1173"/>
        <w:gridCol w:w="1134"/>
        <w:gridCol w:w="1134"/>
        <w:gridCol w:w="1931"/>
      </w:tblGrid>
      <w:tr w:rsidR="00753A2E" w14:paraId="0E3FCA0F" w14:textId="77777777" w:rsidTr="00CA2815">
        <w:trPr>
          <w:tblHeader/>
          <w:jc w:val="center"/>
        </w:trPr>
        <w:tc>
          <w:tcPr>
            <w:tcW w:w="2367" w:type="dxa"/>
            <w:shd w:val="clear" w:color="auto" w:fill="F2F2F2" w:themeFill="background1" w:themeFillShade="F2"/>
            <w:vAlign w:val="center"/>
          </w:tcPr>
          <w:p w14:paraId="75B5AF15" w14:textId="7B72A3CE" w:rsidR="00753A2E" w:rsidRDefault="00753A2E" w:rsidP="00A111E9">
            <w:pPr>
              <w:pStyle w:val="FSTableHeading"/>
              <w:spacing w:before="40" w:after="40"/>
              <w:jc w:val="left"/>
              <w:rPr>
                <w:lang w:bidi="ar-SA"/>
              </w:rPr>
            </w:pPr>
            <w:r>
              <w:rPr>
                <w:lang w:bidi="ar-SA"/>
              </w:rPr>
              <w:t>Point of departure</w:t>
            </w:r>
          </w:p>
        </w:tc>
        <w:tc>
          <w:tcPr>
            <w:tcW w:w="1547" w:type="dxa"/>
            <w:shd w:val="clear" w:color="auto" w:fill="F2F2F2" w:themeFill="background1" w:themeFillShade="F2"/>
            <w:vAlign w:val="center"/>
          </w:tcPr>
          <w:p w14:paraId="560AB53C" w14:textId="1B3EA589" w:rsidR="00753A2E" w:rsidRDefault="00753A2E" w:rsidP="00230E14">
            <w:pPr>
              <w:pStyle w:val="FSTableHeading"/>
              <w:spacing w:before="40" w:after="40"/>
              <w:jc w:val="right"/>
              <w:rPr>
                <w:lang w:bidi="ar-SA"/>
              </w:rPr>
            </w:pPr>
            <w:r>
              <w:rPr>
                <w:lang w:bidi="ar-SA"/>
              </w:rPr>
              <w:t>HED (mg/kg bw/day)</w:t>
            </w:r>
          </w:p>
        </w:tc>
        <w:tc>
          <w:tcPr>
            <w:tcW w:w="1173" w:type="dxa"/>
            <w:shd w:val="clear" w:color="auto" w:fill="F2F2F2" w:themeFill="background1" w:themeFillShade="F2"/>
            <w:vAlign w:val="center"/>
          </w:tcPr>
          <w:p w14:paraId="73D79B55" w14:textId="4D613430" w:rsidR="00753A2E" w:rsidRDefault="00753A2E" w:rsidP="00230E14">
            <w:pPr>
              <w:pStyle w:val="FSTableHeading"/>
              <w:spacing w:before="40" w:after="40"/>
              <w:jc w:val="right"/>
              <w:rPr>
                <w:lang w:bidi="ar-SA"/>
              </w:rPr>
            </w:pPr>
            <w:r>
              <w:rPr>
                <w:lang w:bidi="ar-SA"/>
              </w:rPr>
              <w:t>UF</w:t>
            </w:r>
            <w:r w:rsidRPr="00753A2E">
              <w:rPr>
                <w:vertAlign w:val="subscript"/>
                <w:lang w:bidi="ar-SA"/>
              </w:rPr>
              <w:t>H</w:t>
            </w:r>
          </w:p>
        </w:tc>
        <w:tc>
          <w:tcPr>
            <w:tcW w:w="1134" w:type="dxa"/>
            <w:shd w:val="clear" w:color="auto" w:fill="F2F2F2" w:themeFill="background1" w:themeFillShade="F2"/>
            <w:vAlign w:val="center"/>
          </w:tcPr>
          <w:p w14:paraId="316EF23B" w14:textId="251BF0DA" w:rsidR="00753A2E" w:rsidRDefault="00753A2E" w:rsidP="00230E14">
            <w:pPr>
              <w:pStyle w:val="FSTableHeading"/>
              <w:spacing w:before="40" w:after="40"/>
              <w:jc w:val="right"/>
              <w:rPr>
                <w:lang w:bidi="ar-SA"/>
              </w:rPr>
            </w:pPr>
            <w:r>
              <w:rPr>
                <w:lang w:bidi="ar-SA"/>
              </w:rPr>
              <w:t>UF</w:t>
            </w:r>
            <w:r w:rsidRPr="00753A2E">
              <w:rPr>
                <w:vertAlign w:val="subscript"/>
                <w:lang w:bidi="ar-SA"/>
              </w:rPr>
              <w:t>A</w:t>
            </w:r>
          </w:p>
        </w:tc>
        <w:tc>
          <w:tcPr>
            <w:tcW w:w="1134" w:type="dxa"/>
            <w:shd w:val="clear" w:color="auto" w:fill="F2F2F2" w:themeFill="background1" w:themeFillShade="F2"/>
            <w:vAlign w:val="center"/>
          </w:tcPr>
          <w:p w14:paraId="084F9FEC" w14:textId="3BF3A5C0" w:rsidR="00753A2E" w:rsidRDefault="00753A2E" w:rsidP="00230E14">
            <w:pPr>
              <w:pStyle w:val="FSTableHeading"/>
              <w:spacing w:before="40" w:after="40"/>
              <w:jc w:val="right"/>
              <w:rPr>
                <w:lang w:bidi="ar-SA"/>
              </w:rPr>
            </w:pPr>
            <w:r>
              <w:rPr>
                <w:lang w:bidi="ar-SA"/>
              </w:rPr>
              <w:t>UF</w:t>
            </w:r>
            <w:r w:rsidRPr="00753A2E">
              <w:rPr>
                <w:vertAlign w:val="subscript"/>
                <w:lang w:bidi="ar-SA"/>
              </w:rPr>
              <w:t>total</w:t>
            </w:r>
          </w:p>
        </w:tc>
        <w:tc>
          <w:tcPr>
            <w:tcW w:w="1931" w:type="dxa"/>
            <w:shd w:val="clear" w:color="auto" w:fill="F2F2F2" w:themeFill="background1" w:themeFillShade="F2"/>
            <w:vAlign w:val="center"/>
          </w:tcPr>
          <w:p w14:paraId="71B6D615" w14:textId="45E3498A" w:rsidR="00753A2E" w:rsidRDefault="00753A2E" w:rsidP="00230E14">
            <w:pPr>
              <w:pStyle w:val="FSTableHeading"/>
              <w:spacing w:before="40" w:after="40"/>
              <w:jc w:val="right"/>
              <w:rPr>
                <w:lang w:bidi="ar-SA"/>
              </w:rPr>
            </w:pPr>
            <w:r>
              <w:rPr>
                <w:lang w:bidi="ar-SA"/>
              </w:rPr>
              <w:t xml:space="preserve">Candidate </w:t>
            </w:r>
            <w:r w:rsidR="007F1C4B">
              <w:rPr>
                <w:lang w:bidi="ar-SA"/>
              </w:rPr>
              <w:t>TDI</w:t>
            </w:r>
            <w:r>
              <w:rPr>
                <w:lang w:bidi="ar-SA"/>
              </w:rPr>
              <w:t xml:space="preserve"> (mg/kg bw/day)</w:t>
            </w:r>
          </w:p>
        </w:tc>
      </w:tr>
      <w:tr w:rsidR="00753A2E" w14:paraId="6203DB5B" w14:textId="77777777" w:rsidTr="00F6284E">
        <w:trPr>
          <w:jc w:val="center"/>
        </w:trPr>
        <w:tc>
          <w:tcPr>
            <w:tcW w:w="2367" w:type="dxa"/>
          </w:tcPr>
          <w:p w14:paraId="4037609D" w14:textId="6F9A2755" w:rsidR="00753A2E" w:rsidRPr="00F6284E" w:rsidRDefault="00753A2E" w:rsidP="008A1039">
            <w:pPr>
              <w:pStyle w:val="FSTableText"/>
              <w:spacing w:before="20" w:after="20"/>
              <w:rPr>
                <w:rFonts w:ascii="Arial" w:hAnsi="Arial"/>
                <w:sz w:val="18"/>
              </w:rPr>
            </w:pPr>
            <w:r w:rsidRPr="00D711DD">
              <w:rPr>
                <w:sz w:val="18"/>
              </w:rPr>
              <w:t>HED</w:t>
            </w:r>
            <w:r w:rsidRPr="000B3C14">
              <w:rPr>
                <w:sz w:val="18"/>
                <w:vertAlign w:val="subscript"/>
              </w:rPr>
              <w:t>NOAEL</w:t>
            </w:r>
            <w:r w:rsidRPr="00F6284E">
              <w:rPr>
                <w:sz w:val="18"/>
              </w:rPr>
              <w:t xml:space="preserve"> </w:t>
            </w:r>
            <w:r w:rsidRPr="00BC19E6">
              <w:rPr>
                <w:sz w:val="18"/>
                <w:vertAlign w:val="subscript"/>
              </w:rPr>
              <w:t>Seacat</w:t>
            </w:r>
            <w:r w:rsidRPr="00F6284E">
              <w:rPr>
                <w:sz w:val="18"/>
              </w:rPr>
              <w:t xml:space="preserve"> monkey</w:t>
            </w:r>
          </w:p>
        </w:tc>
        <w:tc>
          <w:tcPr>
            <w:tcW w:w="1547" w:type="dxa"/>
            <w:vAlign w:val="center"/>
          </w:tcPr>
          <w:p w14:paraId="27824599" w14:textId="47716C64" w:rsidR="00753A2E" w:rsidRPr="00F6284E" w:rsidRDefault="00753A2E" w:rsidP="00230E14">
            <w:pPr>
              <w:pStyle w:val="FSTableText"/>
              <w:jc w:val="right"/>
              <w:rPr>
                <w:rFonts w:ascii="Arial" w:hAnsi="Arial"/>
                <w:sz w:val="18"/>
              </w:rPr>
            </w:pPr>
            <w:r w:rsidRPr="00F6284E">
              <w:rPr>
                <w:sz w:val="18"/>
                <w:lang w:eastAsia="en-AU"/>
              </w:rPr>
              <w:t>0.0031</w:t>
            </w:r>
          </w:p>
        </w:tc>
        <w:tc>
          <w:tcPr>
            <w:tcW w:w="1173" w:type="dxa"/>
            <w:vAlign w:val="center"/>
          </w:tcPr>
          <w:p w14:paraId="4BB4BAE6" w14:textId="3B960164" w:rsidR="00753A2E" w:rsidRPr="00F6284E" w:rsidRDefault="00753A2E" w:rsidP="00230E14">
            <w:pPr>
              <w:pStyle w:val="FSTableText"/>
              <w:jc w:val="right"/>
              <w:rPr>
                <w:rFonts w:ascii="Arial" w:hAnsi="Arial"/>
                <w:sz w:val="18"/>
              </w:rPr>
            </w:pPr>
            <w:r w:rsidRPr="00F6284E">
              <w:rPr>
                <w:sz w:val="18"/>
              </w:rPr>
              <w:t>10</w:t>
            </w:r>
          </w:p>
        </w:tc>
        <w:tc>
          <w:tcPr>
            <w:tcW w:w="1134" w:type="dxa"/>
            <w:vAlign w:val="center"/>
          </w:tcPr>
          <w:p w14:paraId="6F72EBDC" w14:textId="7F97D736" w:rsidR="00753A2E" w:rsidRPr="00F6284E" w:rsidRDefault="00753A2E" w:rsidP="00230E14">
            <w:pPr>
              <w:pStyle w:val="FSTableText"/>
              <w:jc w:val="right"/>
              <w:rPr>
                <w:rFonts w:ascii="Arial" w:hAnsi="Arial"/>
                <w:sz w:val="18"/>
              </w:rPr>
            </w:pPr>
            <w:r w:rsidRPr="00F6284E">
              <w:rPr>
                <w:sz w:val="18"/>
              </w:rPr>
              <w:t>3</w:t>
            </w:r>
          </w:p>
        </w:tc>
        <w:tc>
          <w:tcPr>
            <w:tcW w:w="1134" w:type="dxa"/>
            <w:vAlign w:val="center"/>
          </w:tcPr>
          <w:p w14:paraId="26CF3CC0" w14:textId="4A466644" w:rsidR="00753A2E" w:rsidRPr="00F6284E" w:rsidRDefault="00753A2E" w:rsidP="00230E14">
            <w:pPr>
              <w:pStyle w:val="FSTableText"/>
              <w:jc w:val="right"/>
              <w:rPr>
                <w:rFonts w:ascii="Arial" w:hAnsi="Arial"/>
                <w:sz w:val="18"/>
              </w:rPr>
            </w:pPr>
            <w:r w:rsidRPr="00F6284E">
              <w:rPr>
                <w:sz w:val="18"/>
              </w:rPr>
              <w:t>30</w:t>
            </w:r>
          </w:p>
        </w:tc>
        <w:tc>
          <w:tcPr>
            <w:tcW w:w="1931" w:type="dxa"/>
            <w:vAlign w:val="center"/>
          </w:tcPr>
          <w:p w14:paraId="775A65E4" w14:textId="74BA4A27" w:rsidR="00753A2E" w:rsidRPr="00F6284E" w:rsidRDefault="00753A2E" w:rsidP="00230E14">
            <w:pPr>
              <w:pStyle w:val="FSTableText"/>
              <w:jc w:val="right"/>
              <w:rPr>
                <w:rFonts w:ascii="Arial" w:hAnsi="Arial"/>
                <w:sz w:val="18"/>
              </w:rPr>
            </w:pPr>
            <w:r w:rsidRPr="00F6284E">
              <w:rPr>
                <w:sz w:val="18"/>
              </w:rPr>
              <w:t>0.0001</w:t>
            </w:r>
          </w:p>
        </w:tc>
      </w:tr>
      <w:tr w:rsidR="00753A2E" w14:paraId="3D9A9DC1" w14:textId="77777777" w:rsidTr="00F6284E">
        <w:trPr>
          <w:jc w:val="center"/>
        </w:trPr>
        <w:tc>
          <w:tcPr>
            <w:tcW w:w="2367" w:type="dxa"/>
          </w:tcPr>
          <w:p w14:paraId="490311BE" w14:textId="1E7CE671" w:rsidR="00753A2E" w:rsidRPr="00F6284E" w:rsidRDefault="00753A2E" w:rsidP="008A1039">
            <w:pPr>
              <w:pStyle w:val="FSTableText"/>
              <w:spacing w:before="20" w:after="20"/>
              <w:rPr>
                <w:rFonts w:ascii="Arial" w:hAnsi="Arial"/>
                <w:sz w:val="18"/>
              </w:rPr>
            </w:pPr>
            <w:r w:rsidRPr="00D711DD">
              <w:rPr>
                <w:sz w:val="18"/>
              </w:rPr>
              <w:t>HED</w:t>
            </w:r>
            <w:r w:rsidRPr="000B3C14">
              <w:rPr>
                <w:sz w:val="18"/>
                <w:vertAlign w:val="subscript"/>
              </w:rPr>
              <w:t>NOAEL</w:t>
            </w:r>
            <w:r w:rsidRPr="00F6284E">
              <w:rPr>
                <w:sz w:val="18"/>
              </w:rPr>
              <w:t xml:space="preserve"> </w:t>
            </w:r>
            <w:r w:rsidRPr="00BC19E6">
              <w:rPr>
                <w:sz w:val="18"/>
                <w:vertAlign w:val="subscript"/>
                <w:lang w:eastAsia="en-AU"/>
              </w:rPr>
              <w:t>ButenhoffThomford</w:t>
            </w:r>
            <w:r w:rsidRPr="00F6284E">
              <w:rPr>
                <w:sz w:val="18"/>
                <w:lang w:eastAsia="en-AU"/>
              </w:rPr>
              <w:t xml:space="preserve"> male rat</w:t>
            </w:r>
          </w:p>
        </w:tc>
        <w:tc>
          <w:tcPr>
            <w:tcW w:w="1547" w:type="dxa"/>
            <w:vAlign w:val="center"/>
          </w:tcPr>
          <w:p w14:paraId="15CC7E24" w14:textId="65582605" w:rsidR="00753A2E" w:rsidRPr="00F6284E" w:rsidRDefault="00753A2E" w:rsidP="00230E14">
            <w:pPr>
              <w:pStyle w:val="FSTableText"/>
              <w:jc w:val="right"/>
              <w:rPr>
                <w:rFonts w:ascii="Arial" w:hAnsi="Arial"/>
                <w:sz w:val="18"/>
              </w:rPr>
            </w:pPr>
            <w:r w:rsidRPr="00F6284E">
              <w:rPr>
                <w:sz w:val="18"/>
                <w:lang w:eastAsia="en-AU"/>
              </w:rPr>
              <w:t>0.0007</w:t>
            </w:r>
          </w:p>
        </w:tc>
        <w:tc>
          <w:tcPr>
            <w:tcW w:w="1173" w:type="dxa"/>
            <w:vAlign w:val="center"/>
          </w:tcPr>
          <w:p w14:paraId="610FF5EE" w14:textId="04C02AEE" w:rsidR="00753A2E" w:rsidRPr="00F6284E" w:rsidRDefault="00753A2E" w:rsidP="00230E14">
            <w:pPr>
              <w:pStyle w:val="FSTableText"/>
              <w:jc w:val="right"/>
              <w:rPr>
                <w:rFonts w:ascii="Arial" w:hAnsi="Arial"/>
                <w:sz w:val="18"/>
              </w:rPr>
            </w:pPr>
            <w:r w:rsidRPr="00F6284E">
              <w:rPr>
                <w:sz w:val="18"/>
              </w:rPr>
              <w:t>10</w:t>
            </w:r>
          </w:p>
        </w:tc>
        <w:tc>
          <w:tcPr>
            <w:tcW w:w="1134" w:type="dxa"/>
            <w:vAlign w:val="center"/>
          </w:tcPr>
          <w:p w14:paraId="3C5A96E9" w14:textId="7F28281A" w:rsidR="00753A2E" w:rsidRPr="00F6284E" w:rsidRDefault="00753A2E" w:rsidP="00230E14">
            <w:pPr>
              <w:pStyle w:val="FSTableText"/>
              <w:jc w:val="right"/>
              <w:rPr>
                <w:rFonts w:ascii="Arial" w:hAnsi="Arial"/>
                <w:sz w:val="18"/>
              </w:rPr>
            </w:pPr>
            <w:r w:rsidRPr="00F6284E">
              <w:rPr>
                <w:sz w:val="18"/>
              </w:rPr>
              <w:t>3</w:t>
            </w:r>
          </w:p>
        </w:tc>
        <w:tc>
          <w:tcPr>
            <w:tcW w:w="1134" w:type="dxa"/>
            <w:vAlign w:val="center"/>
          </w:tcPr>
          <w:p w14:paraId="7A5C2E40" w14:textId="09CE2A01" w:rsidR="00753A2E" w:rsidRPr="00F6284E" w:rsidRDefault="00753A2E" w:rsidP="00230E14">
            <w:pPr>
              <w:pStyle w:val="FSTableText"/>
              <w:jc w:val="right"/>
              <w:rPr>
                <w:rFonts w:ascii="Arial" w:hAnsi="Arial"/>
                <w:sz w:val="18"/>
              </w:rPr>
            </w:pPr>
            <w:r w:rsidRPr="00F6284E">
              <w:rPr>
                <w:sz w:val="18"/>
              </w:rPr>
              <w:t>30</w:t>
            </w:r>
          </w:p>
        </w:tc>
        <w:tc>
          <w:tcPr>
            <w:tcW w:w="1931" w:type="dxa"/>
            <w:vAlign w:val="center"/>
          </w:tcPr>
          <w:p w14:paraId="3D6743A3" w14:textId="29BBA6E4" w:rsidR="00753A2E" w:rsidRPr="00F6284E" w:rsidRDefault="00753A2E" w:rsidP="00230E14">
            <w:pPr>
              <w:pStyle w:val="FSTableText"/>
              <w:jc w:val="right"/>
              <w:rPr>
                <w:rFonts w:ascii="Arial" w:hAnsi="Arial"/>
                <w:sz w:val="18"/>
              </w:rPr>
            </w:pPr>
            <w:r w:rsidRPr="00F6284E">
              <w:rPr>
                <w:sz w:val="18"/>
              </w:rPr>
              <w:t>0.00002</w:t>
            </w:r>
          </w:p>
        </w:tc>
      </w:tr>
      <w:tr w:rsidR="00753A2E" w14:paraId="3DC79A3B" w14:textId="77777777" w:rsidTr="00F6284E">
        <w:trPr>
          <w:jc w:val="center"/>
        </w:trPr>
        <w:tc>
          <w:tcPr>
            <w:tcW w:w="2367" w:type="dxa"/>
          </w:tcPr>
          <w:p w14:paraId="6FA2D146" w14:textId="49B867D9" w:rsidR="00753A2E" w:rsidRPr="00F6284E" w:rsidRDefault="00753A2E" w:rsidP="00433537">
            <w:pPr>
              <w:pStyle w:val="FSTableText"/>
              <w:spacing w:before="20" w:after="20"/>
              <w:rPr>
                <w:rFonts w:ascii="Arial" w:hAnsi="Arial"/>
                <w:sz w:val="18"/>
              </w:rPr>
            </w:pPr>
            <w:r w:rsidRPr="00D711DD">
              <w:rPr>
                <w:sz w:val="18"/>
              </w:rPr>
              <w:t>HED</w:t>
            </w:r>
            <w:r w:rsidRPr="000B3C14">
              <w:rPr>
                <w:sz w:val="18"/>
                <w:vertAlign w:val="subscript"/>
              </w:rPr>
              <w:t>NOAEL</w:t>
            </w:r>
            <w:r w:rsidRPr="00F6284E">
              <w:rPr>
                <w:sz w:val="18"/>
              </w:rPr>
              <w:t xml:space="preserve"> </w:t>
            </w:r>
            <w:r w:rsidRPr="00BC19E6">
              <w:rPr>
                <w:sz w:val="18"/>
                <w:vertAlign w:val="subscript"/>
                <w:lang w:eastAsia="en-AU"/>
              </w:rPr>
              <w:t>Butenhoff/Thomford</w:t>
            </w:r>
            <w:r w:rsidRPr="00F6284E">
              <w:rPr>
                <w:sz w:val="18"/>
                <w:lang w:eastAsia="en-AU"/>
              </w:rPr>
              <w:t xml:space="preserve"> </w:t>
            </w:r>
            <w:r w:rsidR="008A1039">
              <w:rPr>
                <w:sz w:val="18"/>
                <w:lang w:eastAsia="en-AU"/>
              </w:rPr>
              <w:t>female</w:t>
            </w:r>
            <w:r w:rsidR="008A1039" w:rsidRPr="00F6284E">
              <w:rPr>
                <w:sz w:val="18"/>
                <w:lang w:eastAsia="en-AU"/>
              </w:rPr>
              <w:t xml:space="preserve"> </w:t>
            </w:r>
            <w:r w:rsidRPr="00F6284E">
              <w:rPr>
                <w:sz w:val="18"/>
                <w:lang w:eastAsia="en-AU"/>
              </w:rPr>
              <w:t>rat</w:t>
            </w:r>
          </w:p>
        </w:tc>
        <w:tc>
          <w:tcPr>
            <w:tcW w:w="1547" w:type="dxa"/>
            <w:vAlign w:val="center"/>
          </w:tcPr>
          <w:p w14:paraId="5443544D" w14:textId="01B78B07" w:rsidR="00753A2E" w:rsidRPr="00F6284E" w:rsidRDefault="00753A2E" w:rsidP="00230E14">
            <w:pPr>
              <w:pStyle w:val="FSTableText"/>
              <w:jc w:val="right"/>
              <w:rPr>
                <w:rFonts w:ascii="Arial" w:hAnsi="Arial"/>
                <w:sz w:val="18"/>
              </w:rPr>
            </w:pPr>
            <w:r w:rsidRPr="00F6284E">
              <w:rPr>
                <w:sz w:val="18"/>
                <w:lang w:eastAsia="en-AU"/>
              </w:rPr>
              <w:t>0.0037</w:t>
            </w:r>
          </w:p>
        </w:tc>
        <w:tc>
          <w:tcPr>
            <w:tcW w:w="1173" w:type="dxa"/>
            <w:vAlign w:val="center"/>
          </w:tcPr>
          <w:p w14:paraId="36060123" w14:textId="5B3B9884" w:rsidR="00753A2E" w:rsidRPr="00F6284E" w:rsidRDefault="00753A2E" w:rsidP="00230E14">
            <w:pPr>
              <w:pStyle w:val="FSTableText"/>
              <w:jc w:val="right"/>
              <w:rPr>
                <w:rFonts w:ascii="Arial" w:hAnsi="Arial"/>
                <w:sz w:val="18"/>
              </w:rPr>
            </w:pPr>
            <w:r w:rsidRPr="00F6284E">
              <w:rPr>
                <w:sz w:val="18"/>
              </w:rPr>
              <w:t>10</w:t>
            </w:r>
          </w:p>
        </w:tc>
        <w:tc>
          <w:tcPr>
            <w:tcW w:w="1134" w:type="dxa"/>
            <w:vAlign w:val="center"/>
          </w:tcPr>
          <w:p w14:paraId="1F667C86" w14:textId="42976674" w:rsidR="00753A2E" w:rsidRPr="00F6284E" w:rsidRDefault="00753A2E" w:rsidP="00230E14">
            <w:pPr>
              <w:pStyle w:val="FSTableText"/>
              <w:jc w:val="right"/>
              <w:rPr>
                <w:rFonts w:ascii="Arial" w:hAnsi="Arial"/>
                <w:sz w:val="18"/>
              </w:rPr>
            </w:pPr>
            <w:r w:rsidRPr="00F6284E">
              <w:rPr>
                <w:sz w:val="18"/>
              </w:rPr>
              <w:t>3</w:t>
            </w:r>
          </w:p>
        </w:tc>
        <w:tc>
          <w:tcPr>
            <w:tcW w:w="1134" w:type="dxa"/>
            <w:vAlign w:val="center"/>
          </w:tcPr>
          <w:p w14:paraId="39C3EE3B" w14:textId="452E2009" w:rsidR="00753A2E" w:rsidRPr="00F6284E" w:rsidRDefault="00753A2E" w:rsidP="00230E14">
            <w:pPr>
              <w:pStyle w:val="FSTableText"/>
              <w:jc w:val="right"/>
              <w:rPr>
                <w:rFonts w:ascii="Arial" w:hAnsi="Arial"/>
                <w:sz w:val="18"/>
              </w:rPr>
            </w:pPr>
            <w:r w:rsidRPr="00F6284E">
              <w:rPr>
                <w:sz w:val="18"/>
              </w:rPr>
              <w:t>30</w:t>
            </w:r>
          </w:p>
        </w:tc>
        <w:tc>
          <w:tcPr>
            <w:tcW w:w="1931" w:type="dxa"/>
            <w:vAlign w:val="center"/>
          </w:tcPr>
          <w:p w14:paraId="2C972733" w14:textId="323798FA" w:rsidR="00753A2E" w:rsidRPr="00F6284E" w:rsidRDefault="00FE5FA3" w:rsidP="00230E14">
            <w:pPr>
              <w:pStyle w:val="FSTableText"/>
              <w:jc w:val="right"/>
              <w:rPr>
                <w:rFonts w:ascii="Arial" w:hAnsi="Arial"/>
                <w:sz w:val="18"/>
              </w:rPr>
            </w:pPr>
            <w:r w:rsidRPr="00F6284E">
              <w:rPr>
                <w:sz w:val="18"/>
              </w:rPr>
              <w:t>0.0001</w:t>
            </w:r>
          </w:p>
        </w:tc>
      </w:tr>
      <w:tr w:rsidR="00753A2E" w14:paraId="797D0B8A" w14:textId="77777777" w:rsidTr="00F6284E">
        <w:trPr>
          <w:jc w:val="center"/>
        </w:trPr>
        <w:tc>
          <w:tcPr>
            <w:tcW w:w="2367" w:type="dxa"/>
          </w:tcPr>
          <w:p w14:paraId="2D74A6F2" w14:textId="1F4A017C" w:rsidR="00753A2E" w:rsidRPr="00F6284E" w:rsidRDefault="00753A2E" w:rsidP="00433537">
            <w:pPr>
              <w:pStyle w:val="FSTableText"/>
              <w:spacing w:before="20" w:after="20"/>
              <w:rPr>
                <w:rFonts w:ascii="Arial" w:hAnsi="Arial"/>
                <w:sz w:val="18"/>
              </w:rPr>
            </w:pPr>
            <w:r w:rsidRPr="00D711DD">
              <w:rPr>
                <w:sz w:val="18"/>
              </w:rPr>
              <w:t>HED</w:t>
            </w:r>
            <w:r w:rsidRPr="000B3C14">
              <w:rPr>
                <w:sz w:val="18"/>
                <w:vertAlign w:val="subscript"/>
              </w:rPr>
              <w:t>NOAEL</w:t>
            </w:r>
            <w:r w:rsidRPr="00F6284E">
              <w:rPr>
                <w:sz w:val="18"/>
              </w:rPr>
              <w:t xml:space="preserve"> </w:t>
            </w:r>
            <w:r w:rsidRPr="00BC19E6">
              <w:rPr>
                <w:sz w:val="18"/>
                <w:vertAlign w:val="subscript"/>
                <w:lang w:eastAsia="en-AU"/>
              </w:rPr>
              <w:t>Thibodeaux</w:t>
            </w:r>
            <w:r w:rsidRPr="00F6284E">
              <w:rPr>
                <w:sz w:val="18"/>
                <w:lang w:eastAsia="en-AU"/>
              </w:rPr>
              <w:t>/Lau female rat</w:t>
            </w:r>
          </w:p>
        </w:tc>
        <w:tc>
          <w:tcPr>
            <w:tcW w:w="1547" w:type="dxa"/>
            <w:vAlign w:val="center"/>
          </w:tcPr>
          <w:p w14:paraId="6F355FC3" w14:textId="795D2CA8" w:rsidR="00753A2E" w:rsidRPr="00F6284E" w:rsidRDefault="00753A2E" w:rsidP="00230E14">
            <w:pPr>
              <w:pStyle w:val="FSTableText"/>
              <w:jc w:val="right"/>
              <w:rPr>
                <w:rFonts w:ascii="Arial" w:hAnsi="Arial"/>
                <w:sz w:val="18"/>
              </w:rPr>
            </w:pPr>
            <w:r w:rsidRPr="00F6284E">
              <w:rPr>
                <w:sz w:val="18"/>
                <w:lang w:eastAsia="en-AU"/>
              </w:rPr>
              <w:t>0.0013</w:t>
            </w:r>
          </w:p>
        </w:tc>
        <w:tc>
          <w:tcPr>
            <w:tcW w:w="1173" w:type="dxa"/>
            <w:vAlign w:val="center"/>
          </w:tcPr>
          <w:p w14:paraId="6DA7B17A" w14:textId="1856F8AA" w:rsidR="00753A2E" w:rsidRPr="00F6284E" w:rsidRDefault="00753A2E" w:rsidP="00230E14">
            <w:pPr>
              <w:pStyle w:val="FSTableText"/>
              <w:jc w:val="right"/>
              <w:rPr>
                <w:rFonts w:ascii="Arial" w:hAnsi="Arial"/>
                <w:sz w:val="18"/>
              </w:rPr>
            </w:pPr>
            <w:r w:rsidRPr="00F6284E">
              <w:rPr>
                <w:sz w:val="18"/>
              </w:rPr>
              <w:t>10</w:t>
            </w:r>
          </w:p>
        </w:tc>
        <w:tc>
          <w:tcPr>
            <w:tcW w:w="1134" w:type="dxa"/>
            <w:vAlign w:val="center"/>
          </w:tcPr>
          <w:p w14:paraId="555075E7" w14:textId="45425777" w:rsidR="00753A2E" w:rsidRPr="00F6284E" w:rsidRDefault="00753A2E" w:rsidP="00230E14">
            <w:pPr>
              <w:pStyle w:val="FSTableText"/>
              <w:jc w:val="right"/>
              <w:rPr>
                <w:rFonts w:ascii="Arial" w:hAnsi="Arial"/>
                <w:sz w:val="18"/>
              </w:rPr>
            </w:pPr>
            <w:r w:rsidRPr="00F6284E">
              <w:rPr>
                <w:sz w:val="18"/>
              </w:rPr>
              <w:t>3</w:t>
            </w:r>
          </w:p>
        </w:tc>
        <w:tc>
          <w:tcPr>
            <w:tcW w:w="1134" w:type="dxa"/>
            <w:vAlign w:val="center"/>
          </w:tcPr>
          <w:p w14:paraId="0AC7FE01" w14:textId="158FD18A" w:rsidR="00753A2E" w:rsidRPr="00F6284E" w:rsidRDefault="00753A2E" w:rsidP="00230E14">
            <w:pPr>
              <w:pStyle w:val="FSTableText"/>
              <w:jc w:val="right"/>
              <w:rPr>
                <w:rFonts w:ascii="Arial" w:hAnsi="Arial"/>
                <w:sz w:val="18"/>
              </w:rPr>
            </w:pPr>
            <w:r w:rsidRPr="00F6284E">
              <w:rPr>
                <w:sz w:val="18"/>
              </w:rPr>
              <w:t>30</w:t>
            </w:r>
          </w:p>
        </w:tc>
        <w:tc>
          <w:tcPr>
            <w:tcW w:w="1931" w:type="dxa"/>
            <w:vAlign w:val="center"/>
          </w:tcPr>
          <w:p w14:paraId="35683319" w14:textId="19F48EA8" w:rsidR="00753A2E" w:rsidRPr="00F6284E" w:rsidRDefault="00FE5FA3" w:rsidP="00230E14">
            <w:pPr>
              <w:pStyle w:val="FSTableText"/>
              <w:jc w:val="right"/>
              <w:rPr>
                <w:rFonts w:ascii="Arial" w:hAnsi="Arial"/>
                <w:sz w:val="18"/>
              </w:rPr>
            </w:pPr>
            <w:r w:rsidRPr="00F6284E">
              <w:rPr>
                <w:sz w:val="18"/>
              </w:rPr>
              <w:t>0.00004</w:t>
            </w:r>
          </w:p>
        </w:tc>
      </w:tr>
      <w:tr w:rsidR="00753A2E" w14:paraId="6F65E4C1" w14:textId="77777777" w:rsidTr="00F6284E">
        <w:trPr>
          <w:jc w:val="center"/>
        </w:trPr>
        <w:tc>
          <w:tcPr>
            <w:tcW w:w="2367" w:type="dxa"/>
          </w:tcPr>
          <w:p w14:paraId="4D309595" w14:textId="0ADCAB67" w:rsidR="00753A2E" w:rsidRPr="00F6284E" w:rsidRDefault="00753A2E" w:rsidP="00433537">
            <w:pPr>
              <w:pStyle w:val="FSTableText"/>
              <w:spacing w:before="20" w:after="20"/>
              <w:rPr>
                <w:rFonts w:ascii="Arial" w:hAnsi="Arial"/>
                <w:sz w:val="18"/>
              </w:rPr>
            </w:pPr>
            <w:r w:rsidRPr="00D711DD">
              <w:rPr>
                <w:sz w:val="18"/>
              </w:rPr>
              <w:t>HED</w:t>
            </w:r>
            <w:r w:rsidRPr="000B3C14">
              <w:rPr>
                <w:sz w:val="18"/>
                <w:vertAlign w:val="subscript"/>
              </w:rPr>
              <w:t>NOAEL</w:t>
            </w:r>
            <w:r w:rsidRPr="00F6284E">
              <w:rPr>
                <w:sz w:val="18"/>
              </w:rPr>
              <w:t xml:space="preserve"> </w:t>
            </w:r>
            <w:r w:rsidRPr="00BC19E6">
              <w:rPr>
                <w:sz w:val="18"/>
                <w:vertAlign w:val="subscript"/>
                <w:lang w:eastAsia="en-AU"/>
              </w:rPr>
              <w:t>Luebker</w:t>
            </w:r>
            <w:r w:rsidRPr="00F6284E">
              <w:rPr>
                <w:sz w:val="18"/>
                <w:lang w:eastAsia="en-AU"/>
              </w:rPr>
              <w:t xml:space="preserve"> female rat</w:t>
            </w:r>
          </w:p>
        </w:tc>
        <w:tc>
          <w:tcPr>
            <w:tcW w:w="1547" w:type="dxa"/>
            <w:vAlign w:val="center"/>
          </w:tcPr>
          <w:p w14:paraId="5BE756E9" w14:textId="0687342E" w:rsidR="00753A2E" w:rsidRPr="00F6284E" w:rsidRDefault="00753A2E" w:rsidP="00230E14">
            <w:pPr>
              <w:pStyle w:val="FSTableText"/>
              <w:jc w:val="right"/>
              <w:rPr>
                <w:rFonts w:ascii="Arial" w:hAnsi="Arial"/>
                <w:sz w:val="18"/>
              </w:rPr>
            </w:pPr>
            <w:r w:rsidRPr="00F6284E">
              <w:rPr>
                <w:sz w:val="18"/>
                <w:lang w:eastAsia="en-AU"/>
              </w:rPr>
              <w:t>0.0006</w:t>
            </w:r>
          </w:p>
        </w:tc>
        <w:tc>
          <w:tcPr>
            <w:tcW w:w="1173" w:type="dxa"/>
            <w:vAlign w:val="center"/>
          </w:tcPr>
          <w:p w14:paraId="54FE040E" w14:textId="5B8E5D22" w:rsidR="00753A2E" w:rsidRPr="00F6284E" w:rsidRDefault="00753A2E" w:rsidP="00230E14">
            <w:pPr>
              <w:pStyle w:val="FSTableText"/>
              <w:jc w:val="right"/>
              <w:rPr>
                <w:rFonts w:ascii="Arial" w:hAnsi="Arial"/>
                <w:sz w:val="18"/>
              </w:rPr>
            </w:pPr>
            <w:r w:rsidRPr="00F6284E">
              <w:rPr>
                <w:sz w:val="18"/>
              </w:rPr>
              <w:t>10</w:t>
            </w:r>
          </w:p>
        </w:tc>
        <w:tc>
          <w:tcPr>
            <w:tcW w:w="1134" w:type="dxa"/>
            <w:vAlign w:val="center"/>
          </w:tcPr>
          <w:p w14:paraId="2FEE7E01" w14:textId="1D225C94" w:rsidR="00753A2E" w:rsidRPr="00F6284E" w:rsidRDefault="00753A2E" w:rsidP="00230E14">
            <w:pPr>
              <w:pStyle w:val="FSTableText"/>
              <w:jc w:val="right"/>
              <w:rPr>
                <w:rFonts w:ascii="Arial" w:hAnsi="Arial"/>
                <w:sz w:val="18"/>
              </w:rPr>
            </w:pPr>
            <w:r w:rsidRPr="00F6284E">
              <w:rPr>
                <w:sz w:val="18"/>
              </w:rPr>
              <w:t>3</w:t>
            </w:r>
          </w:p>
        </w:tc>
        <w:tc>
          <w:tcPr>
            <w:tcW w:w="1134" w:type="dxa"/>
            <w:vAlign w:val="center"/>
          </w:tcPr>
          <w:p w14:paraId="6B64BBEF" w14:textId="49664D8F" w:rsidR="00753A2E" w:rsidRPr="00F6284E" w:rsidRDefault="00753A2E" w:rsidP="00230E14">
            <w:pPr>
              <w:pStyle w:val="FSTableText"/>
              <w:jc w:val="right"/>
              <w:rPr>
                <w:rFonts w:ascii="Arial" w:hAnsi="Arial"/>
                <w:sz w:val="18"/>
              </w:rPr>
            </w:pPr>
            <w:r w:rsidRPr="00F6284E">
              <w:rPr>
                <w:sz w:val="18"/>
              </w:rPr>
              <w:t>30</w:t>
            </w:r>
          </w:p>
        </w:tc>
        <w:tc>
          <w:tcPr>
            <w:tcW w:w="1931" w:type="dxa"/>
            <w:vAlign w:val="center"/>
          </w:tcPr>
          <w:p w14:paraId="128ABC49" w14:textId="561182B8" w:rsidR="00753A2E" w:rsidRPr="00F6284E" w:rsidRDefault="00FE5FA3" w:rsidP="00230E14">
            <w:pPr>
              <w:pStyle w:val="FSTableText"/>
              <w:jc w:val="right"/>
              <w:rPr>
                <w:rFonts w:ascii="Arial" w:hAnsi="Arial"/>
                <w:sz w:val="18"/>
              </w:rPr>
            </w:pPr>
            <w:r w:rsidRPr="00F6284E">
              <w:rPr>
                <w:sz w:val="18"/>
              </w:rPr>
              <w:t>0.00002</w:t>
            </w:r>
          </w:p>
        </w:tc>
      </w:tr>
    </w:tbl>
    <w:p w14:paraId="27364619" w14:textId="3480FC67" w:rsidR="000D7A72" w:rsidRPr="008A3A3D" w:rsidRDefault="007D3C3A" w:rsidP="00A111E9">
      <w:pPr>
        <w:spacing w:before="120"/>
        <w:rPr>
          <w:sz w:val="16"/>
          <w:szCs w:val="16"/>
          <w:lang w:bidi="ar-SA"/>
        </w:rPr>
      </w:pPr>
      <w:r w:rsidRPr="008A3A3D">
        <w:rPr>
          <w:sz w:val="16"/>
          <w:szCs w:val="16"/>
          <w:lang w:bidi="ar-SA"/>
        </w:rPr>
        <w:t>UF</w:t>
      </w:r>
      <w:r w:rsidRPr="008A3A3D">
        <w:rPr>
          <w:sz w:val="16"/>
          <w:szCs w:val="16"/>
          <w:vertAlign w:val="subscript"/>
          <w:lang w:bidi="ar-SA"/>
        </w:rPr>
        <w:t>H</w:t>
      </w:r>
      <w:r w:rsidRPr="008A3A3D">
        <w:rPr>
          <w:sz w:val="16"/>
          <w:szCs w:val="16"/>
          <w:lang w:bidi="ar-SA"/>
        </w:rPr>
        <w:t>: Intra</w:t>
      </w:r>
      <w:r w:rsidR="00060C53">
        <w:rPr>
          <w:sz w:val="16"/>
          <w:szCs w:val="16"/>
          <w:lang w:bidi="ar-SA"/>
        </w:rPr>
        <w:t>individual</w:t>
      </w:r>
      <w:r w:rsidRPr="008A3A3D">
        <w:rPr>
          <w:sz w:val="16"/>
          <w:szCs w:val="16"/>
          <w:lang w:bidi="ar-SA"/>
        </w:rPr>
        <w:t xml:space="preserve"> uncertainty factor</w:t>
      </w:r>
    </w:p>
    <w:p w14:paraId="6F0CEF43" w14:textId="10E010F6" w:rsidR="00931B97" w:rsidRPr="002A58BE" w:rsidRDefault="007D3C3A" w:rsidP="00A111E9">
      <w:pPr>
        <w:rPr>
          <w:sz w:val="16"/>
          <w:szCs w:val="16"/>
          <w:lang w:bidi="ar-SA"/>
        </w:rPr>
      </w:pPr>
      <w:r w:rsidRPr="008A3A3D">
        <w:rPr>
          <w:sz w:val="16"/>
          <w:szCs w:val="16"/>
          <w:lang w:bidi="ar-SA"/>
        </w:rPr>
        <w:t>UF</w:t>
      </w:r>
      <w:r w:rsidRPr="008A3A3D">
        <w:rPr>
          <w:sz w:val="16"/>
          <w:szCs w:val="16"/>
          <w:vertAlign w:val="subscript"/>
          <w:lang w:bidi="ar-SA"/>
        </w:rPr>
        <w:t>A</w:t>
      </w:r>
      <w:r w:rsidRPr="008A3A3D">
        <w:rPr>
          <w:sz w:val="16"/>
          <w:szCs w:val="16"/>
          <w:lang w:bidi="ar-SA"/>
        </w:rPr>
        <w:t>: Inter</w:t>
      </w:r>
      <w:r w:rsidR="000203C4">
        <w:rPr>
          <w:sz w:val="16"/>
          <w:szCs w:val="16"/>
          <w:lang w:bidi="ar-SA"/>
        </w:rPr>
        <w:t>species</w:t>
      </w:r>
      <w:r w:rsidRPr="008A3A3D">
        <w:rPr>
          <w:sz w:val="16"/>
          <w:szCs w:val="16"/>
          <w:lang w:bidi="ar-SA"/>
        </w:rPr>
        <w:t xml:space="preserve"> uncertainty factor</w:t>
      </w:r>
    </w:p>
    <w:p w14:paraId="5E43E08A" w14:textId="77777777" w:rsidR="00931B97" w:rsidRDefault="00931B97" w:rsidP="00A111E9"/>
    <w:p w14:paraId="77489BC3" w14:textId="4AACD997" w:rsidR="005649A5" w:rsidRPr="00931B97" w:rsidRDefault="005649A5" w:rsidP="005649A5">
      <w:pPr>
        <w:rPr>
          <w:lang w:bidi="ar-SA"/>
        </w:rPr>
      </w:pPr>
      <w:r>
        <w:rPr>
          <w:lang w:bidi="ar-SA"/>
        </w:rPr>
        <w:t>The overall</w:t>
      </w:r>
      <w:r w:rsidRPr="003374A4">
        <w:rPr>
          <w:lang w:bidi="ar-SA"/>
        </w:rPr>
        <w:t xml:space="preserve"> TDI is </w:t>
      </w:r>
      <w:r>
        <w:rPr>
          <w:lang w:bidi="ar-SA"/>
        </w:rPr>
        <w:t>20 ng/kg</w:t>
      </w:r>
      <w:r w:rsidRPr="003374A4">
        <w:rPr>
          <w:lang w:bidi="ar-SA"/>
        </w:rPr>
        <w:t xml:space="preserve"> bw/day, based on the HED for the NOAEL from</w:t>
      </w:r>
      <w:r>
        <w:rPr>
          <w:lang w:bidi="ar-SA"/>
        </w:rPr>
        <w:t xml:space="preserve"> the </w:t>
      </w:r>
      <w:r w:rsidRPr="003374A4">
        <w:rPr>
          <w:lang w:bidi="ar-SA"/>
        </w:rPr>
        <w:t>L</w:t>
      </w:r>
      <w:r>
        <w:rPr>
          <w:lang w:bidi="ar-SA"/>
        </w:rPr>
        <w:t>ue</w:t>
      </w:r>
      <w:r w:rsidRPr="003374A4">
        <w:rPr>
          <w:lang w:bidi="ar-SA"/>
        </w:rPr>
        <w:t xml:space="preserve">bker </w:t>
      </w:r>
      <w:r w:rsidR="00180A32" w:rsidRPr="00180A32">
        <w:rPr>
          <w:i/>
          <w:lang w:bidi="ar-SA"/>
        </w:rPr>
        <w:t xml:space="preserve">et al. </w:t>
      </w:r>
      <w:r>
        <w:rPr>
          <w:lang w:bidi="ar-SA"/>
        </w:rPr>
        <w:t xml:space="preserve"> (</w:t>
      </w:r>
      <w:r w:rsidRPr="003374A4">
        <w:rPr>
          <w:lang w:bidi="ar-SA"/>
        </w:rPr>
        <w:t>2005</w:t>
      </w:r>
      <w:r>
        <w:rPr>
          <w:lang w:bidi="ar-SA"/>
        </w:rPr>
        <w:t>b)</w:t>
      </w:r>
      <w:r w:rsidRPr="003374A4">
        <w:rPr>
          <w:lang w:bidi="ar-SA"/>
        </w:rPr>
        <w:t xml:space="preserve"> study in rats. </w:t>
      </w:r>
      <w:r>
        <w:rPr>
          <w:lang w:bidi="ar-SA"/>
        </w:rPr>
        <w:t>A</w:t>
      </w:r>
      <w:r w:rsidRPr="003374A4">
        <w:rPr>
          <w:lang w:bidi="ar-SA"/>
        </w:rPr>
        <w:t>ll of the modelled TDI values were within an order of magnitude ranging from 20 to 100 ng/kg bw/day.</w:t>
      </w:r>
    </w:p>
    <w:p w14:paraId="2C520C73" w14:textId="77777777" w:rsidR="005649A5" w:rsidRDefault="005649A5" w:rsidP="00A111E9"/>
    <w:p w14:paraId="3F4E80F9" w14:textId="77777777" w:rsidR="005649A5" w:rsidRDefault="005649A5" w:rsidP="00A111E9">
      <w:pPr>
        <w:sectPr w:rsidR="005649A5" w:rsidSect="00F14DD2">
          <w:pgSz w:w="11906" w:h="16838"/>
          <w:pgMar w:top="1418" w:right="1418" w:bottom="1418" w:left="1418" w:header="709" w:footer="709" w:gutter="0"/>
          <w:cols w:space="708"/>
          <w:docGrid w:linePitch="360"/>
        </w:sectPr>
      </w:pPr>
    </w:p>
    <w:p w14:paraId="7E1D3035" w14:textId="6ABD6D7A" w:rsidR="006158C7" w:rsidRDefault="006158C7" w:rsidP="00A111E9">
      <w:pPr>
        <w:pStyle w:val="Heading2"/>
      </w:pPr>
      <w:bookmarkStart w:id="183" w:name="_Toc468699222"/>
      <w:bookmarkStart w:id="184" w:name="_Toc468712751"/>
      <w:bookmarkStart w:id="185" w:name="_Toc468716453"/>
      <w:bookmarkStart w:id="186" w:name="_Toc468709440"/>
      <w:bookmarkStart w:id="187" w:name="_Toc468717739"/>
      <w:bookmarkStart w:id="188" w:name="_Toc468718383"/>
      <w:bookmarkStart w:id="189" w:name="_Toc468719373"/>
      <w:bookmarkStart w:id="190" w:name="_Toc468722178"/>
      <w:bookmarkStart w:id="191" w:name="_Toc468799248"/>
      <w:bookmarkStart w:id="192" w:name="_Toc468806571"/>
      <w:bookmarkStart w:id="193" w:name="_Toc468980985"/>
      <w:bookmarkStart w:id="194" w:name="_Toc482805101"/>
      <w:r>
        <w:lastRenderedPageBreak/>
        <w:t>3</w:t>
      </w:r>
      <w:r>
        <w:tab/>
        <w:t>Hazard assessment PFOA</w:t>
      </w:r>
      <w:bookmarkEnd w:id="183"/>
      <w:bookmarkEnd w:id="184"/>
      <w:bookmarkEnd w:id="185"/>
      <w:bookmarkEnd w:id="186"/>
      <w:bookmarkEnd w:id="187"/>
      <w:bookmarkEnd w:id="188"/>
      <w:bookmarkEnd w:id="189"/>
      <w:bookmarkEnd w:id="190"/>
      <w:bookmarkEnd w:id="191"/>
      <w:bookmarkEnd w:id="192"/>
      <w:bookmarkEnd w:id="193"/>
      <w:bookmarkEnd w:id="194"/>
    </w:p>
    <w:p w14:paraId="40CF6833" w14:textId="13173DBD" w:rsidR="006158C7" w:rsidRDefault="006158C7" w:rsidP="00112C61">
      <w:pPr>
        <w:pStyle w:val="Heading3"/>
      </w:pPr>
      <w:bookmarkStart w:id="195" w:name="_Toc468699223"/>
      <w:bookmarkStart w:id="196" w:name="_Toc468712752"/>
      <w:bookmarkStart w:id="197" w:name="_Toc468716454"/>
      <w:bookmarkStart w:id="198" w:name="_Toc468709441"/>
      <w:bookmarkStart w:id="199" w:name="_Toc468717740"/>
      <w:bookmarkStart w:id="200" w:name="_Toc468718384"/>
      <w:bookmarkStart w:id="201" w:name="_Toc468719374"/>
      <w:bookmarkStart w:id="202" w:name="_Toc468722179"/>
      <w:bookmarkStart w:id="203" w:name="_Toc468799249"/>
      <w:bookmarkStart w:id="204" w:name="_Toc468806572"/>
      <w:bookmarkStart w:id="205" w:name="_Toc468980986"/>
      <w:bookmarkStart w:id="206" w:name="_Toc482805102"/>
      <w:r>
        <w:t>3.1</w:t>
      </w:r>
      <w:r>
        <w:tab/>
      </w:r>
      <w:r w:rsidRPr="00AD236D">
        <w:t>Introduction</w:t>
      </w:r>
      <w:bookmarkEnd w:id="195"/>
      <w:bookmarkEnd w:id="196"/>
      <w:bookmarkEnd w:id="197"/>
      <w:bookmarkEnd w:id="198"/>
      <w:bookmarkEnd w:id="199"/>
      <w:bookmarkEnd w:id="200"/>
      <w:bookmarkEnd w:id="201"/>
      <w:bookmarkEnd w:id="202"/>
      <w:bookmarkEnd w:id="203"/>
      <w:bookmarkEnd w:id="204"/>
      <w:bookmarkEnd w:id="205"/>
      <w:bookmarkEnd w:id="206"/>
    </w:p>
    <w:p w14:paraId="6FDD4B9C" w14:textId="28AB100B" w:rsidR="006158C7" w:rsidRPr="0028673F" w:rsidRDefault="006158C7" w:rsidP="00112C61">
      <w:pPr>
        <w:pStyle w:val="Heading4"/>
      </w:pPr>
      <w:bookmarkStart w:id="207" w:name="_Toc468699224"/>
      <w:bookmarkStart w:id="208" w:name="_Toc468712753"/>
      <w:bookmarkStart w:id="209" w:name="_Toc468716455"/>
      <w:bookmarkStart w:id="210" w:name="_Toc468709442"/>
      <w:bookmarkStart w:id="211" w:name="_Toc468717741"/>
      <w:bookmarkStart w:id="212" w:name="_Toc468718385"/>
      <w:bookmarkStart w:id="213" w:name="_Toc468719375"/>
      <w:bookmarkStart w:id="214" w:name="_Toc468722180"/>
      <w:bookmarkStart w:id="215" w:name="_Toc468799250"/>
      <w:bookmarkStart w:id="216" w:name="_Toc468806573"/>
      <w:bookmarkStart w:id="217" w:name="_Toc468980987"/>
      <w:r w:rsidRPr="0028673F">
        <w:t xml:space="preserve">3.1.1 </w:t>
      </w:r>
      <w:r w:rsidRPr="0028673F">
        <w:tab/>
      </w:r>
      <w:r w:rsidR="00112C61">
        <w:tab/>
      </w:r>
      <w:r w:rsidRPr="0028673F">
        <w:t>Overview Perfluorooctanoic acid</w:t>
      </w:r>
      <w:bookmarkEnd w:id="207"/>
      <w:bookmarkEnd w:id="208"/>
      <w:bookmarkEnd w:id="209"/>
      <w:bookmarkEnd w:id="210"/>
      <w:bookmarkEnd w:id="211"/>
      <w:bookmarkEnd w:id="212"/>
      <w:bookmarkEnd w:id="213"/>
      <w:bookmarkEnd w:id="214"/>
      <w:bookmarkEnd w:id="215"/>
      <w:bookmarkEnd w:id="216"/>
      <w:bookmarkEnd w:id="217"/>
    </w:p>
    <w:p w14:paraId="0EBA32B3" w14:textId="54EDEEB9" w:rsidR="006158C7" w:rsidRPr="006158C7" w:rsidRDefault="006158C7" w:rsidP="00A111E9">
      <w:r w:rsidRPr="006158C7">
        <w:t>Perfluoro</w:t>
      </w:r>
      <w:r>
        <w:t>o</w:t>
      </w:r>
      <w:r w:rsidRPr="006158C7">
        <w:t>ctanoic acid, CAS number 335-67-1, is a completely fluorinated organic acid with a seven-carbon backbone and a carboxyl functional group. PFOA and its salts have been used for a range of purposes including as a component in aqueous fire</w:t>
      </w:r>
      <w:r w:rsidR="00032CF6">
        <w:t>fighting</w:t>
      </w:r>
      <w:r w:rsidRPr="006158C7">
        <w:t xml:space="preserve"> foam, non-stick coatings on cookware, membranes for clothing that are both waterproof and breathable, electrical-wire casing, fire- and chemical-resistant tubing, and plumber’s thread-seal tape (IARC, 2016). PFOA may occur in food as a result of contamination of plants and animals, and/or via transfer from food-packaging materials.</w:t>
      </w:r>
    </w:p>
    <w:p w14:paraId="1837BC1F" w14:textId="77777777" w:rsidR="006158C7" w:rsidRPr="006158C7" w:rsidRDefault="006158C7" w:rsidP="00A111E9"/>
    <w:p w14:paraId="2D38A27E" w14:textId="66FE754C" w:rsidR="006158C7" w:rsidRPr="006158C7" w:rsidRDefault="006158C7" w:rsidP="00A111E9">
      <w:r w:rsidRPr="006158C7">
        <w:t>The IUPAC name for PFOA is 2,2,3,3,4,4,5,5,6,6,7,7,8,8,8-pentadecafluorooctanoic acid. Synonyms for PFOA include perfluoroheptanecarboxylic acid, perfluoro</w:t>
      </w:r>
      <w:r w:rsidR="001012A5">
        <w:t xml:space="preserve"> </w:t>
      </w:r>
      <w:r w:rsidRPr="006158C7">
        <w:t>n</w:t>
      </w:r>
      <w:r w:rsidR="001012A5">
        <w:t xml:space="preserve"> </w:t>
      </w:r>
      <w:r w:rsidRPr="006158C7">
        <w:t>octanoic acid, perfluorocaprylic acid and 2,2,3,3,4,4,5,5,6,6,7,7,8,8,8-pentadecafluorooctanoic acid. It should also be noted that a number of toxicological studies of PFOA that have been conducted in experimental animals used the ammonium salt, ammonium perfluorooctanoate or AFPO. The CAS number of AFPO is 95328-99-7.</w:t>
      </w:r>
    </w:p>
    <w:p w14:paraId="70BE7C36" w14:textId="77777777" w:rsidR="006158C7" w:rsidRPr="006158C7" w:rsidRDefault="006158C7" w:rsidP="00A111E9"/>
    <w:p w14:paraId="309CBC77" w14:textId="68918350" w:rsidR="006158C7" w:rsidRPr="006D2C03" w:rsidRDefault="00276CFD" w:rsidP="00112C61">
      <w:pPr>
        <w:pStyle w:val="Heading5"/>
      </w:pPr>
      <w:bookmarkStart w:id="218" w:name="_Toc279584860"/>
      <w:bookmarkStart w:id="219" w:name="_Toc468372001"/>
      <w:r w:rsidRPr="006D2C03">
        <w:t>3.1.1.1</w:t>
      </w:r>
      <w:r w:rsidR="00543750" w:rsidRPr="006D2C03">
        <w:tab/>
      </w:r>
      <w:r w:rsidR="006158C7" w:rsidRPr="006D2C03">
        <w:t>Chemical structure</w:t>
      </w:r>
      <w:bookmarkEnd w:id="218"/>
      <w:bookmarkEnd w:id="219"/>
    </w:p>
    <w:p w14:paraId="07F6F6A7" w14:textId="77777777" w:rsidR="006158C7" w:rsidRDefault="006158C7" w:rsidP="00A111E9">
      <w:r w:rsidRPr="006158C7">
        <w:rPr>
          <w:lang w:eastAsia="en-AU" w:bidi="ar-SA"/>
        </w:rPr>
        <w:t xml:space="preserve">PFOA has the empirical formula </w:t>
      </w:r>
      <w:r w:rsidRPr="006158C7">
        <w:t>C</w:t>
      </w:r>
      <w:r w:rsidRPr="006158C7">
        <w:rPr>
          <w:vertAlign w:val="subscript"/>
        </w:rPr>
        <w:t>8</w:t>
      </w:r>
      <w:r w:rsidRPr="006158C7">
        <w:t>HF</w:t>
      </w:r>
      <w:r w:rsidRPr="006158C7">
        <w:rPr>
          <w:vertAlign w:val="subscript"/>
        </w:rPr>
        <w:t>15</w:t>
      </w:r>
      <w:r w:rsidRPr="006158C7">
        <w:t>O</w:t>
      </w:r>
      <w:r w:rsidRPr="006158C7">
        <w:rPr>
          <w:vertAlign w:val="subscript"/>
        </w:rPr>
        <w:t>2</w:t>
      </w:r>
      <w:r w:rsidRPr="006158C7">
        <w:t>, and molecular mass of 414.07 g/mol. Its structure is illustrated as:</w:t>
      </w:r>
    </w:p>
    <w:p w14:paraId="04B6D6BF" w14:textId="527683E2" w:rsidR="00237D67" w:rsidRDefault="00237D67" w:rsidP="00A111E9"/>
    <w:p w14:paraId="0A8CB132" w14:textId="77777777" w:rsidR="00237D67" w:rsidRPr="006158C7" w:rsidRDefault="00237D67" w:rsidP="00A111E9"/>
    <w:p w14:paraId="1E27539F" w14:textId="77777777" w:rsidR="00863A5A" w:rsidRDefault="00863A5A" w:rsidP="00863A5A">
      <w:pPr>
        <w:rPr>
          <w:b/>
        </w:rPr>
      </w:pPr>
      <w:r>
        <w:rPr>
          <w:noProof/>
          <w:lang w:eastAsia="en-GB" w:bidi="ar-SA"/>
        </w:rPr>
        <w:drawing>
          <wp:inline distT="0" distB="0" distL="0" distR="0" wp14:anchorId="391ED59D" wp14:editId="3737B8C6">
            <wp:extent cx="2410460" cy="974090"/>
            <wp:effectExtent l="0" t="0" r="8890" b="0"/>
            <wp:docPr id="2" name="Picture 2" descr="Chemical structure" title="Chem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0460" cy="974090"/>
                    </a:xfrm>
                    <a:prstGeom prst="rect">
                      <a:avLst/>
                    </a:prstGeom>
                    <a:noFill/>
                    <a:ln>
                      <a:noFill/>
                    </a:ln>
                  </pic:spPr>
                </pic:pic>
              </a:graphicData>
            </a:graphic>
          </wp:inline>
        </w:drawing>
      </w:r>
    </w:p>
    <w:p w14:paraId="0E67BFF3" w14:textId="65BFBD85" w:rsidR="006D2C03" w:rsidRPr="00502EA1" w:rsidRDefault="006D2C03" w:rsidP="00863A5A">
      <w:pPr>
        <w:rPr>
          <w:b/>
        </w:rPr>
      </w:pPr>
      <w:r w:rsidRPr="00502EA1">
        <w:rPr>
          <w:b/>
        </w:rPr>
        <w:t xml:space="preserve">3.1.1.2 </w:t>
      </w:r>
      <w:r w:rsidRPr="00502EA1">
        <w:rPr>
          <w:b/>
        </w:rPr>
        <w:tab/>
      </w:r>
      <w:r w:rsidR="00EF3009">
        <w:rPr>
          <w:b/>
        </w:rPr>
        <w:t>Physicochemical properties</w:t>
      </w:r>
    </w:p>
    <w:p w14:paraId="15F8A8D7" w14:textId="77777777" w:rsidR="006D2C03" w:rsidRDefault="006D2C03" w:rsidP="00A111E9">
      <w:pPr>
        <w:rPr>
          <w:lang w:eastAsia="en-AU" w:bidi="ar-SA"/>
        </w:rPr>
      </w:pPr>
    </w:p>
    <w:p w14:paraId="5710796B" w14:textId="77777777" w:rsidR="006158C7" w:rsidRPr="006158C7" w:rsidRDefault="006158C7" w:rsidP="00A111E9">
      <w:pPr>
        <w:rPr>
          <w:lang w:eastAsia="en-AU" w:bidi="ar-SA"/>
        </w:rPr>
      </w:pPr>
      <w:r w:rsidRPr="006158C7">
        <w:rPr>
          <w:lang w:eastAsia="en-AU" w:bidi="ar-SA"/>
        </w:rPr>
        <w:t>Appearance:</w:t>
      </w:r>
      <w:r w:rsidRPr="006158C7">
        <w:rPr>
          <w:lang w:eastAsia="en-AU" w:bidi="ar-SA"/>
        </w:rPr>
        <w:tab/>
      </w:r>
      <w:r w:rsidRPr="006158C7">
        <w:rPr>
          <w:lang w:eastAsia="en-AU" w:bidi="ar-SA"/>
        </w:rPr>
        <w:tab/>
      </w:r>
      <w:r w:rsidRPr="006158C7">
        <w:rPr>
          <w:lang w:eastAsia="en-AU" w:bidi="ar-SA"/>
        </w:rPr>
        <w:tab/>
        <w:t>White to off-white powder</w:t>
      </w:r>
      <w:r w:rsidRPr="006158C7">
        <w:rPr>
          <w:lang w:eastAsia="en-AU" w:bidi="ar-SA"/>
        </w:rPr>
        <w:tab/>
      </w:r>
    </w:p>
    <w:p w14:paraId="2E0EE4AD" w14:textId="77777777" w:rsidR="006158C7" w:rsidRPr="006158C7" w:rsidRDefault="006158C7" w:rsidP="00A111E9">
      <w:pPr>
        <w:rPr>
          <w:lang w:eastAsia="en-AU" w:bidi="ar-SA"/>
        </w:rPr>
      </w:pPr>
      <w:r w:rsidRPr="006158C7">
        <w:rPr>
          <w:lang w:eastAsia="en-AU" w:bidi="ar-SA"/>
        </w:rPr>
        <w:t>Melting point:</w:t>
      </w:r>
      <w:r w:rsidRPr="006158C7">
        <w:rPr>
          <w:lang w:eastAsia="en-AU" w:bidi="ar-SA"/>
        </w:rPr>
        <w:tab/>
      </w:r>
      <w:r w:rsidRPr="006158C7">
        <w:rPr>
          <w:lang w:eastAsia="en-AU" w:bidi="ar-SA"/>
        </w:rPr>
        <w:tab/>
      </w:r>
      <w:r w:rsidRPr="006158C7">
        <w:rPr>
          <w:lang w:eastAsia="en-AU" w:bidi="ar-SA"/>
        </w:rPr>
        <w:tab/>
        <w:t>54.3ºC</w:t>
      </w:r>
    </w:p>
    <w:p w14:paraId="0C677C6B" w14:textId="77777777" w:rsidR="006158C7" w:rsidRPr="006158C7" w:rsidRDefault="006158C7" w:rsidP="00A111E9">
      <w:pPr>
        <w:rPr>
          <w:lang w:eastAsia="en-AU" w:bidi="ar-SA"/>
        </w:rPr>
      </w:pPr>
      <w:r w:rsidRPr="006158C7">
        <w:rPr>
          <w:lang w:eastAsia="en-AU" w:bidi="ar-SA"/>
        </w:rPr>
        <w:t>Boiling point:</w:t>
      </w:r>
      <w:r w:rsidRPr="006158C7">
        <w:rPr>
          <w:lang w:eastAsia="en-AU" w:bidi="ar-SA"/>
        </w:rPr>
        <w:tab/>
      </w:r>
      <w:r w:rsidRPr="006158C7">
        <w:rPr>
          <w:lang w:eastAsia="en-AU" w:bidi="ar-SA"/>
        </w:rPr>
        <w:tab/>
      </w:r>
      <w:r w:rsidRPr="006158C7">
        <w:rPr>
          <w:lang w:eastAsia="en-AU" w:bidi="ar-SA"/>
        </w:rPr>
        <w:tab/>
        <w:t>192.4ºC</w:t>
      </w:r>
    </w:p>
    <w:p w14:paraId="791CD7DB" w14:textId="0895B384" w:rsidR="006158C7" w:rsidRPr="006158C7" w:rsidRDefault="006158C7" w:rsidP="00A111E9">
      <w:pPr>
        <w:rPr>
          <w:lang w:eastAsia="en-AU" w:bidi="ar-SA"/>
        </w:rPr>
      </w:pPr>
      <w:r w:rsidRPr="006158C7">
        <w:rPr>
          <w:lang w:eastAsia="en-AU" w:bidi="ar-SA"/>
        </w:rPr>
        <w:t>Density1.792 g/mL at 20ºC</w:t>
      </w:r>
    </w:p>
    <w:p w14:paraId="6291D53B" w14:textId="77777777" w:rsidR="006158C7" w:rsidRPr="006158C7" w:rsidRDefault="006158C7" w:rsidP="00A111E9">
      <w:pPr>
        <w:rPr>
          <w:lang w:eastAsia="en-AU" w:bidi="ar-SA"/>
        </w:rPr>
      </w:pPr>
      <w:r w:rsidRPr="006158C7">
        <w:rPr>
          <w:lang w:eastAsia="en-AU" w:bidi="ar-SA"/>
        </w:rPr>
        <w:t>Water solubility:</w:t>
      </w:r>
      <w:r w:rsidRPr="006158C7">
        <w:rPr>
          <w:color w:val="00B050"/>
          <w:lang w:eastAsia="en-AU" w:bidi="ar-SA"/>
        </w:rPr>
        <w:tab/>
      </w:r>
      <w:r w:rsidRPr="006158C7">
        <w:rPr>
          <w:color w:val="00B050"/>
          <w:lang w:eastAsia="en-AU" w:bidi="ar-SA"/>
        </w:rPr>
        <w:tab/>
      </w:r>
      <w:r w:rsidRPr="006158C7">
        <w:rPr>
          <w:color w:val="00B050"/>
          <w:lang w:eastAsia="en-AU" w:bidi="ar-SA"/>
        </w:rPr>
        <w:tab/>
      </w:r>
      <w:r w:rsidRPr="006158C7">
        <w:rPr>
          <w:lang w:eastAsia="en-AU" w:bidi="ar-SA"/>
        </w:rPr>
        <w:t>Soluble, 9.5 g/L at 25ºC</w:t>
      </w:r>
    </w:p>
    <w:p w14:paraId="0FAE2F33" w14:textId="77777777" w:rsidR="006158C7" w:rsidRPr="006158C7" w:rsidRDefault="006158C7" w:rsidP="00A111E9">
      <w:pPr>
        <w:rPr>
          <w:lang w:eastAsia="en-AU" w:bidi="ar-SA"/>
        </w:rPr>
      </w:pPr>
      <w:r w:rsidRPr="006158C7">
        <w:rPr>
          <w:lang w:eastAsia="en-AU" w:bidi="ar-SA"/>
        </w:rPr>
        <w:t>Organic solvent solubility:</w:t>
      </w:r>
      <w:r w:rsidRPr="006158C7">
        <w:rPr>
          <w:lang w:eastAsia="en-AU" w:bidi="ar-SA"/>
        </w:rPr>
        <w:tab/>
        <w:t>Soluble in polar organic solvents</w:t>
      </w:r>
    </w:p>
    <w:p w14:paraId="2855672F" w14:textId="16F971DA" w:rsidR="006158C7" w:rsidRPr="006158C7" w:rsidRDefault="006158C7" w:rsidP="00A111E9">
      <w:pPr>
        <w:rPr>
          <w:lang w:eastAsia="en-AU" w:bidi="ar-SA"/>
        </w:rPr>
      </w:pPr>
      <w:r w:rsidRPr="006158C7">
        <w:rPr>
          <w:lang w:eastAsia="en-AU" w:bidi="ar-SA"/>
        </w:rPr>
        <w:t>Log K</w:t>
      </w:r>
      <w:r w:rsidRPr="006158C7">
        <w:rPr>
          <w:vertAlign w:val="subscript"/>
          <w:lang w:eastAsia="en-AU" w:bidi="ar-SA"/>
        </w:rPr>
        <w:t>ow</w:t>
      </w:r>
      <w:r w:rsidRPr="006158C7">
        <w:rPr>
          <w:lang w:eastAsia="en-AU" w:bidi="ar-SA"/>
        </w:rPr>
        <w:t>:</w:t>
      </w:r>
      <w:r w:rsidR="00064C40" w:rsidRPr="006158C7">
        <w:rPr>
          <w:lang w:eastAsia="en-AU" w:bidi="ar-SA"/>
        </w:rPr>
        <w:t xml:space="preserve"> </w:t>
      </w:r>
      <w:r w:rsidRPr="006158C7">
        <w:rPr>
          <w:lang w:eastAsia="en-AU" w:bidi="ar-SA"/>
        </w:rPr>
        <w:t>6.30 (estimated) in octanol-water mixture</w:t>
      </w:r>
    </w:p>
    <w:p w14:paraId="6F643DA1" w14:textId="666E050C" w:rsidR="006D2C03" w:rsidRDefault="006158C7" w:rsidP="00BC19E6">
      <w:pPr>
        <w:ind w:left="2835" w:hanging="2835"/>
        <w:rPr>
          <w:lang w:eastAsia="en-AU" w:bidi="ar-SA"/>
        </w:rPr>
      </w:pPr>
      <w:r w:rsidRPr="006158C7">
        <w:rPr>
          <w:lang w:eastAsia="en-AU" w:bidi="ar-SA"/>
        </w:rPr>
        <w:t>pK</w:t>
      </w:r>
      <w:r w:rsidRPr="006158C7">
        <w:rPr>
          <w:vertAlign w:val="subscript"/>
          <w:lang w:eastAsia="en-AU" w:bidi="ar-SA"/>
        </w:rPr>
        <w:t>a:</w:t>
      </w:r>
      <w:r w:rsidRPr="006158C7">
        <w:rPr>
          <w:vertAlign w:val="subscript"/>
          <w:lang w:eastAsia="en-AU" w:bidi="ar-SA"/>
        </w:rPr>
        <w:tab/>
      </w:r>
      <w:r w:rsidR="00AA1583">
        <w:rPr>
          <w:vertAlign w:val="subscript"/>
          <w:lang w:eastAsia="en-AU" w:bidi="ar-SA"/>
        </w:rPr>
        <w:tab/>
      </w:r>
      <w:r w:rsidRPr="006158C7">
        <w:rPr>
          <w:lang w:eastAsia="en-AU" w:bidi="ar-SA"/>
        </w:rPr>
        <w:t>Debated; values of 2.80 and 3.80 have been reported, and 0.5 has been estimated.</w:t>
      </w:r>
    </w:p>
    <w:p w14:paraId="5B0F4154" w14:textId="77777777" w:rsidR="006D2C03" w:rsidRDefault="006D2C03" w:rsidP="00A111E9">
      <w:pPr>
        <w:rPr>
          <w:lang w:eastAsia="en-AU" w:bidi="ar-SA"/>
        </w:rPr>
      </w:pPr>
      <w:r>
        <w:rPr>
          <w:lang w:eastAsia="en-AU" w:bidi="ar-SA"/>
        </w:rPr>
        <w:br w:type="page"/>
      </w:r>
    </w:p>
    <w:p w14:paraId="0B05E4BD" w14:textId="169734BB" w:rsidR="00276CFD" w:rsidRPr="00B444B3" w:rsidRDefault="00276CFD" w:rsidP="00112C61">
      <w:pPr>
        <w:pStyle w:val="Heading3"/>
      </w:pPr>
      <w:bookmarkStart w:id="220" w:name="_Toc468699225"/>
      <w:bookmarkStart w:id="221" w:name="_Toc468712754"/>
      <w:bookmarkStart w:id="222" w:name="_Toc468716456"/>
      <w:bookmarkStart w:id="223" w:name="_Toc468709443"/>
      <w:bookmarkStart w:id="224" w:name="_Toc468717742"/>
      <w:bookmarkStart w:id="225" w:name="_Toc468718386"/>
      <w:bookmarkStart w:id="226" w:name="_Toc468719376"/>
      <w:bookmarkStart w:id="227" w:name="_Toc468722181"/>
      <w:bookmarkStart w:id="228" w:name="_Toc468799251"/>
      <w:bookmarkStart w:id="229" w:name="_Toc468806574"/>
      <w:bookmarkStart w:id="230" w:name="_Toc468980988"/>
      <w:bookmarkStart w:id="231" w:name="_Toc482805103"/>
      <w:bookmarkStart w:id="232" w:name="_Toc468372004"/>
      <w:r>
        <w:lastRenderedPageBreak/>
        <w:t>3</w:t>
      </w:r>
      <w:r w:rsidRPr="00B444B3">
        <w:t>.2</w:t>
      </w:r>
      <w:r w:rsidRPr="00B444B3">
        <w:rPr>
          <w:rStyle w:val="Heading2Char"/>
          <w:b/>
          <w:bCs w:val="0"/>
        </w:rPr>
        <w:tab/>
        <w:t xml:space="preserve">Summary of International hazard </w:t>
      </w:r>
      <w:r>
        <w:rPr>
          <w:rStyle w:val="Heading2Char"/>
          <w:b/>
          <w:bCs w:val="0"/>
        </w:rPr>
        <w:t>reviews of PFOA</w:t>
      </w:r>
      <w:bookmarkEnd w:id="220"/>
      <w:bookmarkEnd w:id="221"/>
      <w:bookmarkEnd w:id="222"/>
      <w:bookmarkEnd w:id="223"/>
      <w:bookmarkEnd w:id="224"/>
      <w:bookmarkEnd w:id="225"/>
      <w:bookmarkEnd w:id="226"/>
      <w:bookmarkEnd w:id="227"/>
      <w:bookmarkEnd w:id="228"/>
      <w:bookmarkEnd w:id="229"/>
      <w:bookmarkEnd w:id="230"/>
      <w:bookmarkEnd w:id="231"/>
    </w:p>
    <w:bookmarkEnd w:id="232"/>
    <w:p w14:paraId="1CDBEF73" w14:textId="77777777" w:rsidR="007B0AA1" w:rsidRPr="007B0AA1" w:rsidRDefault="007B0AA1" w:rsidP="00112C61">
      <w:pPr>
        <w:pStyle w:val="Heading4"/>
      </w:pPr>
      <w:r w:rsidRPr="007B0AA1">
        <w:t>UKCOT, 2006</w:t>
      </w:r>
    </w:p>
    <w:p w14:paraId="43915B3F" w14:textId="56A4A015" w:rsidR="007B0AA1" w:rsidRPr="007B0AA1" w:rsidRDefault="007B0AA1" w:rsidP="00A111E9">
      <w:pPr>
        <w:rPr>
          <w:rFonts w:cs="Arial"/>
          <w:szCs w:val="22"/>
          <w:lang w:bidi="ar-SA"/>
        </w:rPr>
      </w:pPr>
      <w:r w:rsidRPr="007B0AA1">
        <w:rPr>
          <w:rFonts w:cs="Arial"/>
          <w:szCs w:val="22"/>
          <w:lang w:bidi="ar-SA"/>
        </w:rPr>
        <w:t xml:space="preserve">In 2006, UKCOT recommended a TDI for PFOA of 3 μg/kg bw/day, based on hepatic effects </w:t>
      </w:r>
      <w:r w:rsidR="00EF3009">
        <w:rPr>
          <w:rFonts w:cs="Arial"/>
          <w:szCs w:val="22"/>
          <w:lang w:bidi="ar-SA"/>
        </w:rPr>
        <w:t xml:space="preserve">in </w:t>
      </w:r>
      <w:r w:rsidRPr="007B0AA1">
        <w:rPr>
          <w:rFonts w:cs="Arial"/>
          <w:szCs w:val="22"/>
          <w:lang w:bidi="ar-SA"/>
        </w:rPr>
        <w:t xml:space="preserve">a number </w:t>
      </w:r>
      <w:r w:rsidR="00EF3009">
        <w:rPr>
          <w:rFonts w:cs="Arial"/>
          <w:szCs w:val="22"/>
          <w:lang w:bidi="ar-SA"/>
        </w:rPr>
        <w:t xml:space="preserve">of </w:t>
      </w:r>
      <w:r w:rsidRPr="007B0AA1">
        <w:rPr>
          <w:rFonts w:cs="Arial"/>
          <w:szCs w:val="22"/>
          <w:lang w:bidi="ar-SA"/>
        </w:rPr>
        <w:t>studies in rats and mice. The TDI was derived using a dose of 0.3 mg/kg bw/day as the point of departure, and an overall uncertainty factor of 100 for inter- and intra</w:t>
      </w:r>
      <w:r w:rsidR="00032CF6">
        <w:rPr>
          <w:rFonts w:cs="Arial"/>
          <w:szCs w:val="22"/>
          <w:lang w:bidi="ar-SA"/>
        </w:rPr>
        <w:t>species</w:t>
      </w:r>
      <w:r w:rsidRPr="007B0AA1">
        <w:rPr>
          <w:rFonts w:cs="Arial"/>
          <w:szCs w:val="22"/>
          <w:lang w:bidi="ar-SA"/>
        </w:rPr>
        <w:t xml:space="preserve"> differences (UKCOT 2006).</w:t>
      </w:r>
    </w:p>
    <w:p w14:paraId="3A664FFC" w14:textId="77777777" w:rsidR="007B0AA1" w:rsidRPr="007B0AA1" w:rsidRDefault="007B0AA1" w:rsidP="00A111E9">
      <w:pPr>
        <w:rPr>
          <w:lang w:bidi="ar-SA"/>
        </w:rPr>
      </w:pPr>
    </w:p>
    <w:p w14:paraId="0217570F" w14:textId="42B3DE8C" w:rsidR="007B0AA1" w:rsidRPr="007B0AA1" w:rsidRDefault="007B0AA1" w:rsidP="00A111E9">
      <w:pPr>
        <w:rPr>
          <w:lang w:bidi="ar-SA"/>
        </w:rPr>
      </w:pPr>
      <w:r w:rsidRPr="007B0AA1">
        <w:rPr>
          <w:lang w:bidi="ar-SA"/>
        </w:rPr>
        <w:t>The TDI was reviewed in 2009 after the E</w:t>
      </w:r>
      <w:r w:rsidR="00AB35CC">
        <w:rPr>
          <w:lang w:bidi="ar-SA"/>
        </w:rPr>
        <w:t>FSA</w:t>
      </w:r>
      <w:r w:rsidRPr="007B0AA1">
        <w:rPr>
          <w:lang w:bidi="ar-SA"/>
        </w:rPr>
        <w:t xml:space="preserve"> derived a TDI for PFOA of 1.5 μg/kg bw/day in 2008. UKCOT noted that the difference in the assessments was a result of the uncertainty factors applied. EFSA applied an additional uncertainty factor of 2 to compensate for uncertainties relating to the internal dose kinetics and therefore an overall uncertainty factor of 200.</w:t>
      </w:r>
    </w:p>
    <w:p w14:paraId="54738C20" w14:textId="77777777" w:rsidR="007B0AA1" w:rsidRPr="007B0AA1" w:rsidRDefault="007B0AA1" w:rsidP="00A111E9">
      <w:pPr>
        <w:rPr>
          <w:lang w:bidi="ar-SA"/>
        </w:rPr>
      </w:pPr>
    </w:p>
    <w:p w14:paraId="6FD391E0" w14:textId="499884B9" w:rsidR="007B0AA1" w:rsidRPr="007B0AA1" w:rsidRDefault="007B0AA1" w:rsidP="00A111E9">
      <w:pPr>
        <w:rPr>
          <w:lang w:bidi="ar-SA"/>
        </w:rPr>
      </w:pPr>
      <w:r w:rsidRPr="007B0AA1">
        <w:rPr>
          <w:lang w:bidi="ar-SA"/>
        </w:rPr>
        <w:t>UKCOT concluded that the additional uncertainty factor to account for inter</w:t>
      </w:r>
      <w:r w:rsidR="000203C4">
        <w:rPr>
          <w:lang w:bidi="ar-SA"/>
        </w:rPr>
        <w:t>species</w:t>
      </w:r>
      <w:r w:rsidRPr="007B0AA1">
        <w:rPr>
          <w:lang w:bidi="ar-SA"/>
        </w:rPr>
        <w:t xml:space="preserve"> differences in toxicokinetics was appropriate and amended the TDI to</w:t>
      </w:r>
      <w:r w:rsidRPr="007B0AA1">
        <w:rPr>
          <w:b/>
          <w:lang w:bidi="ar-SA"/>
        </w:rPr>
        <w:t xml:space="preserve"> </w:t>
      </w:r>
      <w:r w:rsidRPr="007B0AA1">
        <w:rPr>
          <w:rFonts w:cs="Arial"/>
          <w:b/>
          <w:lang w:bidi="ar-SA"/>
        </w:rPr>
        <w:t xml:space="preserve">1.5 </w:t>
      </w:r>
      <w:r w:rsidRPr="007B0AA1">
        <w:rPr>
          <w:b/>
          <w:lang w:bidi="ar-SA"/>
        </w:rPr>
        <w:t>μg/kg bw/day.</w:t>
      </w:r>
      <w:r w:rsidRPr="007B0AA1">
        <w:rPr>
          <w:lang w:bidi="ar-SA"/>
        </w:rPr>
        <w:t xml:space="preserve"> However</w:t>
      </w:r>
      <w:r w:rsidR="007F02A2">
        <w:rPr>
          <w:lang w:bidi="ar-SA"/>
        </w:rPr>
        <w:t>,</w:t>
      </w:r>
      <w:r w:rsidRPr="007B0AA1">
        <w:rPr>
          <w:lang w:bidi="ar-SA"/>
        </w:rPr>
        <w:t xml:space="preserve"> it noted that the TDI remained provisional, recognising that it will be reviewed as new information becomes available (UKCOT 2009).</w:t>
      </w:r>
    </w:p>
    <w:p w14:paraId="0DF21CAA" w14:textId="3CF7F29C" w:rsidR="007B0AA1" w:rsidRPr="007B0AA1" w:rsidRDefault="00112C61" w:rsidP="00112C61">
      <w:pPr>
        <w:pStyle w:val="Heading4"/>
      </w:pPr>
      <w:r>
        <w:t>E</w:t>
      </w:r>
      <w:r w:rsidR="007B0AA1" w:rsidRPr="007B0AA1">
        <w:t>FSA</w:t>
      </w:r>
      <w:r w:rsidR="00945D78">
        <w:t>,</w:t>
      </w:r>
      <w:r w:rsidR="007B0AA1" w:rsidRPr="007B0AA1">
        <w:t xml:space="preserve"> 2008</w:t>
      </w:r>
    </w:p>
    <w:p w14:paraId="37944DE9" w14:textId="7B288937" w:rsidR="007B0AA1" w:rsidRPr="007B0AA1" w:rsidRDefault="007B0AA1" w:rsidP="00A111E9">
      <w:pPr>
        <w:rPr>
          <w:lang w:bidi="ar-SA"/>
        </w:rPr>
      </w:pPr>
      <w:r w:rsidRPr="007B0AA1">
        <w:rPr>
          <w:lang w:bidi="ar-SA"/>
        </w:rPr>
        <w:t>The current EFSA TDI for PFOA was established in 2008 based on the 95% lower confidence limit of the benchmark dose for a 10% increase in effects on the liver (BMDL</w:t>
      </w:r>
      <w:r w:rsidRPr="007B0AA1">
        <w:rPr>
          <w:vertAlign w:val="subscript"/>
          <w:lang w:bidi="ar-SA"/>
        </w:rPr>
        <w:t>10</w:t>
      </w:r>
      <w:r w:rsidRPr="007B0AA1">
        <w:rPr>
          <w:lang w:bidi="ar-SA"/>
        </w:rPr>
        <w:t>) from studies of mice and male rats. The BMDL</w:t>
      </w:r>
      <w:r w:rsidRPr="007B0AA1">
        <w:rPr>
          <w:vertAlign w:val="subscript"/>
          <w:lang w:bidi="ar-SA"/>
        </w:rPr>
        <w:t xml:space="preserve">10 </w:t>
      </w:r>
      <w:r w:rsidRPr="007B0AA1">
        <w:rPr>
          <w:lang w:bidi="ar-SA"/>
        </w:rPr>
        <w:t>values were in the range 0.3 to 0.7 mg/kg bw/day.</w:t>
      </w:r>
    </w:p>
    <w:p w14:paraId="4F7DB6F7" w14:textId="77777777" w:rsidR="007B0AA1" w:rsidRPr="007B0AA1" w:rsidRDefault="007B0AA1" w:rsidP="00A111E9">
      <w:pPr>
        <w:rPr>
          <w:lang w:bidi="ar-SA"/>
        </w:rPr>
      </w:pPr>
    </w:p>
    <w:p w14:paraId="24E0FAF9" w14:textId="087CA713" w:rsidR="007B0AA1" w:rsidRPr="007B0AA1" w:rsidRDefault="007B0AA1" w:rsidP="00A111E9">
      <w:pPr>
        <w:rPr>
          <w:lang w:bidi="ar-SA"/>
        </w:rPr>
      </w:pPr>
      <w:r w:rsidRPr="007B0AA1">
        <w:rPr>
          <w:lang w:bidi="ar-SA"/>
        </w:rPr>
        <w:t>The lowest BMDL</w:t>
      </w:r>
      <w:r w:rsidRPr="007B0AA1">
        <w:rPr>
          <w:vertAlign w:val="subscript"/>
          <w:lang w:bidi="ar-SA"/>
        </w:rPr>
        <w:t>10</w:t>
      </w:r>
      <w:r w:rsidRPr="007B0AA1">
        <w:rPr>
          <w:lang w:bidi="ar-SA"/>
        </w:rPr>
        <w:t xml:space="preserve">, 0.3 mg/kg bw/day from the studies of Palazzolo 1993 and Perkins </w:t>
      </w:r>
      <w:r w:rsidR="00180A32" w:rsidRPr="00180A32">
        <w:rPr>
          <w:i/>
          <w:lang w:bidi="ar-SA"/>
        </w:rPr>
        <w:t xml:space="preserve">et al. </w:t>
      </w:r>
      <w:r w:rsidR="00CC50B8">
        <w:rPr>
          <w:lang w:bidi="ar-SA"/>
        </w:rPr>
        <w:t xml:space="preserve"> </w:t>
      </w:r>
      <w:r w:rsidRPr="007B0AA1">
        <w:rPr>
          <w:lang w:bidi="ar-SA"/>
        </w:rPr>
        <w:t>2004, was selected as the point of departure for deriving the TDI. An overall uncertainty factor of 200 was applied, comprising an uncertainty factor of 100 for inter- and intra</w:t>
      </w:r>
      <w:r w:rsidR="00032CF6">
        <w:rPr>
          <w:lang w:bidi="ar-SA"/>
        </w:rPr>
        <w:t>species</w:t>
      </w:r>
      <w:r w:rsidRPr="007B0AA1">
        <w:rPr>
          <w:lang w:bidi="ar-SA"/>
        </w:rPr>
        <w:t xml:space="preserve"> differences and an uncertainty factor of 2 to reflect uncertainties related to kinetics. The TDI was </w:t>
      </w:r>
      <w:r w:rsidRPr="00CF3875">
        <w:rPr>
          <w:b/>
          <w:lang w:bidi="ar-SA"/>
        </w:rPr>
        <w:t>1.5 µg/kg bw/day</w:t>
      </w:r>
      <w:r w:rsidRPr="007B0AA1">
        <w:rPr>
          <w:lang w:bidi="ar-SA"/>
        </w:rPr>
        <w:t>.</w:t>
      </w:r>
    </w:p>
    <w:p w14:paraId="6608E2BE" w14:textId="77777777" w:rsidR="007B0AA1" w:rsidRPr="007B0AA1" w:rsidRDefault="007B0AA1" w:rsidP="00A111E9">
      <w:pPr>
        <w:rPr>
          <w:lang w:bidi="ar-SA"/>
        </w:rPr>
      </w:pPr>
    </w:p>
    <w:p w14:paraId="7DEF8D61" w14:textId="70487032" w:rsidR="007B0AA1" w:rsidRPr="007B0AA1" w:rsidRDefault="007B0AA1" w:rsidP="00A111E9">
      <w:pPr>
        <w:rPr>
          <w:lang w:bidi="ar-SA"/>
        </w:rPr>
      </w:pPr>
      <w:r w:rsidRPr="007B0AA1">
        <w:rPr>
          <w:lang w:bidi="ar-SA"/>
        </w:rPr>
        <w:t>EFSA concluded that epidemiological studies of PFOA-exposed workers do not indicate an increased risk of cancer, and that carcinogenic effects in rats, which mainly affect the liver, appear to be due to non-genotoxic modes of action.</w:t>
      </w:r>
    </w:p>
    <w:p w14:paraId="7772B3F0" w14:textId="26053496" w:rsidR="007B0AA1" w:rsidRPr="007B0AA1" w:rsidRDefault="007B0AA1" w:rsidP="00112C61">
      <w:pPr>
        <w:pStyle w:val="Heading4"/>
      </w:pPr>
      <w:r w:rsidRPr="007B0AA1">
        <w:t>Swedish EPA, 2012</w:t>
      </w:r>
    </w:p>
    <w:p w14:paraId="44663845" w14:textId="30BF333D" w:rsidR="007B0AA1" w:rsidRPr="007B0AA1" w:rsidRDefault="007B0AA1" w:rsidP="00A111E9">
      <w:pPr>
        <w:rPr>
          <w:lang w:bidi="ar-SA"/>
        </w:rPr>
      </w:pPr>
      <w:r w:rsidRPr="007B0AA1">
        <w:rPr>
          <w:lang w:bidi="ar-SA"/>
        </w:rPr>
        <w:t>The Swedish EPA assessed the human and environmental risks of a number of PFASs.</w:t>
      </w:r>
    </w:p>
    <w:p w14:paraId="20897700" w14:textId="77777777" w:rsidR="007B0AA1" w:rsidRPr="007B0AA1" w:rsidRDefault="007B0AA1" w:rsidP="00A111E9">
      <w:pPr>
        <w:rPr>
          <w:lang w:bidi="ar-SA"/>
        </w:rPr>
      </w:pPr>
    </w:p>
    <w:p w14:paraId="54A6FCDC" w14:textId="321D6F59" w:rsidR="007B0AA1" w:rsidRPr="007B0AA1" w:rsidRDefault="007B0AA1" w:rsidP="00A111E9">
      <w:pPr>
        <w:rPr>
          <w:lang w:bidi="ar-SA"/>
        </w:rPr>
      </w:pPr>
      <w:r w:rsidRPr="007B0AA1">
        <w:rPr>
          <w:lang w:bidi="ar-SA"/>
        </w:rPr>
        <w:t>The human hazard assessment was principally based on existing assessments, although additional relevant data were also considered. Two toxicological endpoints, hepatotoxicity and reproductive toxicity, were selected, because these are common to a number of PFASs. Other endpoints showing lower effect levels were also considered.</w:t>
      </w:r>
    </w:p>
    <w:p w14:paraId="253F772A" w14:textId="77777777" w:rsidR="007B0AA1" w:rsidRPr="007B0AA1" w:rsidRDefault="007B0AA1" w:rsidP="00A111E9">
      <w:pPr>
        <w:rPr>
          <w:lang w:bidi="ar-SA"/>
        </w:rPr>
      </w:pPr>
    </w:p>
    <w:p w14:paraId="0ECB47AC" w14:textId="77777777" w:rsidR="007B0AA1" w:rsidRPr="007B0AA1" w:rsidRDefault="007B0AA1" w:rsidP="00A111E9">
      <w:pPr>
        <w:rPr>
          <w:lang w:bidi="ar-SA"/>
        </w:rPr>
      </w:pPr>
      <w:r w:rsidRPr="007B0AA1">
        <w:rPr>
          <w:lang w:bidi="ar-SA"/>
        </w:rPr>
        <w:t>The existing assessments considered in the Swedish EPA report included:</w:t>
      </w:r>
    </w:p>
    <w:p w14:paraId="27895AEA" w14:textId="77777777" w:rsidR="007B0AA1" w:rsidRPr="007B0AA1" w:rsidRDefault="007B0AA1" w:rsidP="00A111E9">
      <w:pPr>
        <w:rPr>
          <w:lang w:bidi="ar-SA"/>
        </w:rPr>
      </w:pPr>
    </w:p>
    <w:p w14:paraId="5B719D25" w14:textId="37B56F79" w:rsidR="007B0AA1" w:rsidRPr="007B0AA1" w:rsidRDefault="007B0AA1" w:rsidP="00112C61">
      <w:pPr>
        <w:pStyle w:val="FSBullet1"/>
      </w:pPr>
      <w:r w:rsidRPr="007B0AA1">
        <w:t>2005 draft US EPA assessment</w:t>
      </w:r>
    </w:p>
    <w:p w14:paraId="30A681FD" w14:textId="77777777" w:rsidR="007B0AA1" w:rsidRPr="007B0AA1" w:rsidRDefault="007B0AA1" w:rsidP="00112C61">
      <w:pPr>
        <w:pStyle w:val="FSBullet1"/>
      </w:pPr>
      <w:r w:rsidRPr="007B0AA1">
        <w:t>2007 OECD hazard assessment report</w:t>
      </w:r>
    </w:p>
    <w:p w14:paraId="7ED58FD0" w14:textId="77777777" w:rsidR="007B0AA1" w:rsidRPr="007B0AA1" w:rsidRDefault="007B0AA1" w:rsidP="00112C61">
      <w:pPr>
        <w:pStyle w:val="FSBullet1"/>
      </w:pPr>
      <w:r w:rsidRPr="007B0AA1">
        <w:t>2008 EFSA risk assessment</w:t>
      </w:r>
    </w:p>
    <w:p w14:paraId="61FB14A6" w14:textId="77777777" w:rsidR="007B0AA1" w:rsidRPr="007B0AA1" w:rsidRDefault="007B0AA1" w:rsidP="00112C61">
      <w:pPr>
        <w:pStyle w:val="FSBullet1"/>
      </w:pPr>
      <w:r w:rsidRPr="007B0AA1">
        <w:t>2008 Minnesota Department of Health risk assessment</w:t>
      </w:r>
    </w:p>
    <w:p w14:paraId="78540855" w14:textId="77777777" w:rsidR="007B0AA1" w:rsidRPr="007B0AA1" w:rsidRDefault="007B0AA1" w:rsidP="00112C61">
      <w:pPr>
        <w:pStyle w:val="FSBullet1"/>
      </w:pPr>
      <w:r w:rsidRPr="007B0AA1">
        <w:t>2009 Chemical Safety Report by German authorities and industry</w:t>
      </w:r>
    </w:p>
    <w:p w14:paraId="4AD09186" w14:textId="77777777" w:rsidR="007B0AA1" w:rsidRPr="007B0AA1" w:rsidRDefault="007B0AA1" w:rsidP="00112C61">
      <w:pPr>
        <w:pStyle w:val="FSBullet1"/>
      </w:pPr>
      <w:r w:rsidRPr="007B0AA1">
        <w:t>2009 ATSDR draft toxicological profile</w:t>
      </w:r>
    </w:p>
    <w:p w14:paraId="3E6BAA0E" w14:textId="46824A00" w:rsidR="007B0AA1" w:rsidRPr="007B0AA1" w:rsidRDefault="007B0AA1" w:rsidP="00112C61">
      <w:pPr>
        <w:pStyle w:val="FSBullet1"/>
      </w:pPr>
      <w:r w:rsidRPr="007B0AA1">
        <w:lastRenderedPageBreak/>
        <w:t>2009 US EPA risk assessment</w:t>
      </w:r>
    </w:p>
    <w:p w14:paraId="4367B5E6" w14:textId="570582EE" w:rsidR="007B0AA1" w:rsidRPr="007B0AA1" w:rsidRDefault="007B0AA1" w:rsidP="00112C61">
      <w:pPr>
        <w:pStyle w:val="FSBullet1"/>
      </w:pPr>
      <w:r w:rsidRPr="007B0AA1">
        <w:t>2010 risk assessment initiated by the European Commission</w:t>
      </w:r>
    </w:p>
    <w:p w14:paraId="7CBA1816" w14:textId="1AEA8E0C" w:rsidR="007B0AA1" w:rsidRPr="007B0AA1" w:rsidRDefault="007B0AA1" w:rsidP="00112C61">
      <w:pPr>
        <w:pStyle w:val="FSBullet1"/>
      </w:pPr>
      <w:r w:rsidRPr="007B0AA1">
        <w:t xml:space="preserve">a draft screening assessment published by Health Canada in </w:t>
      </w:r>
      <w:r w:rsidR="0007229B">
        <w:t>2010</w:t>
      </w:r>
    </w:p>
    <w:p w14:paraId="0A3AF48A" w14:textId="0E443D04" w:rsidR="007B0AA1" w:rsidRPr="007B0AA1" w:rsidRDefault="00986779" w:rsidP="00112C61">
      <w:pPr>
        <w:pStyle w:val="FSBullet1"/>
      </w:pPr>
      <w:r>
        <w:t>i</w:t>
      </w:r>
      <w:r w:rsidR="007B0AA1" w:rsidRPr="007B0AA1">
        <w:t xml:space="preserve">n addition, the Swedish EPA considered developmental studies conducted in mice by Hines </w:t>
      </w:r>
      <w:r w:rsidR="00180A32" w:rsidRPr="00180A32">
        <w:rPr>
          <w:i/>
        </w:rPr>
        <w:t xml:space="preserve">et al. </w:t>
      </w:r>
      <w:r w:rsidR="002A12A9">
        <w:t xml:space="preserve"> </w:t>
      </w:r>
      <w:r w:rsidR="007B0AA1" w:rsidRPr="007B0AA1">
        <w:t xml:space="preserve">(2009) and Macon </w:t>
      </w:r>
      <w:r w:rsidR="00180A32" w:rsidRPr="00180A32">
        <w:rPr>
          <w:i/>
        </w:rPr>
        <w:t xml:space="preserve">et al. </w:t>
      </w:r>
      <w:r w:rsidR="00CC50B8">
        <w:t xml:space="preserve"> </w:t>
      </w:r>
      <w:r w:rsidR="007B0AA1" w:rsidRPr="007B0AA1">
        <w:t>(2011</w:t>
      </w:r>
      <w:r w:rsidR="0007229B">
        <w:t>)</w:t>
      </w:r>
    </w:p>
    <w:p w14:paraId="234F09E1" w14:textId="77777777" w:rsidR="0007229B" w:rsidRDefault="0007229B" w:rsidP="00A111E9">
      <w:pPr>
        <w:rPr>
          <w:lang w:bidi="ar-SA"/>
        </w:rPr>
      </w:pPr>
    </w:p>
    <w:p w14:paraId="12C3FEDE" w14:textId="3A2CFFA9" w:rsidR="007B0AA1" w:rsidRPr="007B0AA1" w:rsidRDefault="007B0AA1" w:rsidP="00A111E9">
      <w:pPr>
        <w:rPr>
          <w:lang w:bidi="ar-SA"/>
        </w:rPr>
      </w:pPr>
      <w:r w:rsidRPr="007B0AA1">
        <w:rPr>
          <w:lang w:bidi="ar-SA"/>
        </w:rPr>
        <w:t>The Swedish EPA noted that epidemiological studies of PFASs showed inconsistent results.</w:t>
      </w:r>
    </w:p>
    <w:p w14:paraId="04154EFD" w14:textId="77777777" w:rsidR="007B0AA1" w:rsidRPr="007B0AA1" w:rsidRDefault="007B0AA1" w:rsidP="00A111E9">
      <w:pPr>
        <w:rPr>
          <w:lang w:bidi="ar-SA"/>
        </w:rPr>
      </w:pPr>
    </w:p>
    <w:p w14:paraId="4083E633" w14:textId="6B58CFDB" w:rsidR="007B0AA1" w:rsidRPr="007B0AA1" w:rsidRDefault="007B0AA1" w:rsidP="00A111E9">
      <w:pPr>
        <w:rPr>
          <w:lang w:bidi="ar-SA"/>
        </w:rPr>
      </w:pPr>
      <w:r w:rsidRPr="007B0AA1">
        <w:rPr>
          <w:lang w:bidi="ar-SA"/>
        </w:rPr>
        <w:t>PODs selected by the Swedish EPA were as follows:</w:t>
      </w:r>
    </w:p>
    <w:p w14:paraId="1F230566" w14:textId="77777777" w:rsidR="007B0AA1" w:rsidRPr="007B0AA1" w:rsidRDefault="007B0AA1" w:rsidP="00A111E9">
      <w:pPr>
        <w:rPr>
          <w:lang w:bidi="ar-SA"/>
        </w:rPr>
      </w:pPr>
    </w:p>
    <w:p w14:paraId="1D92EFDA" w14:textId="7F1B0671" w:rsidR="007B0AA1" w:rsidRPr="007B0AA1" w:rsidRDefault="007B0AA1" w:rsidP="00112C61">
      <w:pPr>
        <w:pStyle w:val="FSBullet1"/>
      </w:pPr>
      <w:r w:rsidRPr="007B0AA1">
        <w:t xml:space="preserve">Hepatotoxicity (subchronic rat study, NOAEL, hepatocellular hypertrophy): 0.06 mg/kg bw/day, 7.1 µg/mL serum. (Perkins </w:t>
      </w:r>
      <w:r w:rsidR="00180A32" w:rsidRPr="00180A32">
        <w:rPr>
          <w:i/>
        </w:rPr>
        <w:t xml:space="preserve">et al. </w:t>
      </w:r>
      <w:r w:rsidR="00CC50B8">
        <w:t xml:space="preserve"> </w:t>
      </w:r>
      <w:r w:rsidRPr="007B0AA1">
        <w:t>2004). A liver:serum ratio of 2:1 was assumed.</w:t>
      </w:r>
    </w:p>
    <w:p w14:paraId="290830D9" w14:textId="1E83AA78" w:rsidR="007B0AA1" w:rsidRPr="007B0AA1" w:rsidRDefault="007B0AA1" w:rsidP="00112C61">
      <w:pPr>
        <w:pStyle w:val="FSBullet1"/>
      </w:pPr>
      <w:r w:rsidRPr="007B0AA1">
        <w:t>Reproductive toxicity (mouse, reduced F</w:t>
      </w:r>
      <w:r w:rsidR="00B9756A">
        <w:t>1</w:t>
      </w:r>
      <w:r w:rsidRPr="007B0AA1">
        <w:t xml:space="preserve"> body weight, BMDL): 0.86 mg/kg bw/day, 15.7 µg/mL serum. (Lau </w:t>
      </w:r>
      <w:r w:rsidR="00180A32" w:rsidRPr="00180A32">
        <w:rPr>
          <w:i/>
        </w:rPr>
        <w:t xml:space="preserve">et al. </w:t>
      </w:r>
      <w:r w:rsidR="00CC50B8">
        <w:t xml:space="preserve"> </w:t>
      </w:r>
      <w:r w:rsidRPr="007B0AA1">
        <w:t>2006). A liver:serum ratio of 2:1 was assumed.</w:t>
      </w:r>
    </w:p>
    <w:p w14:paraId="3A46C694" w14:textId="04452361" w:rsidR="007B0AA1" w:rsidRPr="007B0AA1" w:rsidRDefault="007B0AA1" w:rsidP="00112C61">
      <w:pPr>
        <w:pStyle w:val="FSBullet1"/>
      </w:pPr>
      <w:r w:rsidRPr="007B0AA1">
        <w:t xml:space="preserve">Other endpoints (mouse, mammary gland development, increased </w:t>
      </w:r>
      <w:r w:rsidR="00E83E80">
        <w:t>body weight</w:t>
      </w:r>
      <w:r w:rsidRPr="007B0AA1">
        <w:t xml:space="preserve">, LOAEL): 0.01 mg/kg bw/day, 15 µg/mL serum. (White </w:t>
      </w:r>
      <w:r w:rsidR="00180A32" w:rsidRPr="00180A32">
        <w:rPr>
          <w:i/>
        </w:rPr>
        <w:t xml:space="preserve">et al. </w:t>
      </w:r>
      <w:r w:rsidR="00CC50B8">
        <w:t xml:space="preserve"> </w:t>
      </w:r>
      <w:r w:rsidRPr="007B0AA1">
        <w:t>2007, 2009, 2011).</w:t>
      </w:r>
    </w:p>
    <w:p w14:paraId="483CFC20" w14:textId="77777777" w:rsidR="007B0AA1" w:rsidRPr="007B0AA1" w:rsidRDefault="007B0AA1" w:rsidP="00A111E9">
      <w:pPr>
        <w:rPr>
          <w:lang w:bidi="ar-SA"/>
        </w:rPr>
      </w:pPr>
    </w:p>
    <w:p w14:paraId="66A121BA" w14:textId="3ED6A5F5" w:rsidR="007B0AA1" w:rsidRPr="007B0AA1" w:rsidRDefault="007B0AA1" w:rsidP="00A111E9">
      <w:pPr>
        <w:rPr>
          <w:lang w:bidi="ar-SA"/>
        </w:rPr>
      </w:pPr>
      <w:r w:rsidRPr="007B0AA1">
        <w:rPr>
          <w:lang w:bidi="ar-SA"/>
        </w:rPr>
        <w:t>The Swedish EPA used the PODs to establish D</w:t>
      </w:r>
      <w:r w:rsidR="00AB35CC">
        <w:rPr>
          <w:lang w:bidi="ar-SA"/>
        </w:rPr>
        <w:t>NELs</w:t>
      </w:r>
      <w:r w:rsidRPr="007B0AA1">
        <w:rPr>
          <w:lang w:bidi="ar-SA"/>
        </w:rPr>
        <w:t xml:space="preserve"> according to REACH guidelines, by dividing the PODs with the following </w:t>
      </w:r>
      <w:r w:rsidR="00060C53">
        <w:rPr>
          <w:lang w:bidi="ar-SA"/>
        </w:rPr>
        <w:t>AF</w:t>
      </w:r>
      <w:r w:rsidRPr="007B0AA1">
        <w:rPr>
          <w:lang w:bidi="ar-SA"/>
        </w:rPr>
        <w:t>, as applicable:</w:t>
      </w:r>
      <w:r w:rsidRPr="007B0AA1">
        <w:rPr>
          <w:lang w:bidi="ar-SA"/>
        </w:rPr>
        <w:br/>
      </w:r>
    </w:p>
    <w:p w14:paraId="4E97CF0F" w14:textId="11B0469C" w:rsidR="007B0AA1" w:rsidRPr="007B0AA1" w:rsidRDefault="007B0AA1" w:rsidP="00A111E9">
      <w:pPr>
        <w:numPr>
          <w:ilvl w:val="0"/>
          <w:numId w:val="30"/>
        </w:numPr>
        <w:contextualSpacing/>
        <w:rPr>
          <w:lang w:bidi="ar-SA"/>
        </w:rPr>
      </w:pPr>
      <w:r w:rsidRPr="007B0AA1">
        <w:rPr>
          <w:lang w:bidi="ar-SA"/>
        </w:rPr>
        <w:t>Extrapolation for exposure duration. The default factor for subchronic to chronic exposure is 2, and the default factor for subacute to chronic exposure is 6.</w:t>
      </w:r>
    </w:p>
    <w:p w14:paraId="30EF6145" w14:textId="32917BA1" w:rsidR="007B0AA1" w:rsidRPr="007B0AA1" w:rsidRDefault="007B0AA1" w:rsidP="00A111E9">
      <w:pPr>
        <w:numPr>
          <w:ilvl w:val="0"/>
          <w:numId w:val="29"/>
        </w:numPr>
        <w:contextualSpacing/>
        <w:rPr>
          <w:lang w:bidi="ar-SA"/>
        </w:rPr>
      </w:pPr>
      <w:r w:rsidRPr="007B0AA1">
        <w:rPr>
          <w:lang w:bidi="ar-SA"/>
        </w:rPr>
        <w:t>Extrapolation from LOAEL to NOAEL in studies in which a NOAEL was not identified. A factor of 3 was used.</w:t>
      </w:r>
    </w:p>
    <w:p w14:paraId="6A736057" w14:textId="77777777" w:rsidR="007B0AA1" w:rsidRPr="007B0AA1" w:rsidRDefault="007B0AA1" w:rsidP="00A111E9">
      <w:pPr>
        <w:numPr>
          <w:ilvl w:val="0"/>
          <w:numId w:val="29"/>
        </w:numPr>
        <w:contextualSpacing/>
        <w:rPr>
          <w:lang w:bidi="ar-SA"/>
        </w:rPr>
      </w:pPr>
      <w:r w:rsidRPr="007B0AA1">
        <w:rPr>
          <w:lang w:bidi="ar-SA"/>
        </w:rPr>
        <w:t>Species differences. Because internal (serum) doses are compared between animals and humans, no assessment factor was used for differences in toxicokinetics, but an assessment factor of 2.5 was applied for differences in toxicodynamics.</w:t>
      </w:r>
    </w:p>
    <w:p w14:paraId="6743E65C" w14:textId="1240A8BB" w:rsidR="007B0AA1" w:rsidRPr="007B0AA1" w:rsidRDefault="007B0AA1" w:rsidP="00A111E9">
      <w:pPr>
        <w:numPr>
          <w:ilvl w:val="0"/>
          <w:numId w:val="29"/>
        </w:numPr>
        <w:contextualSpacing/>
        <w:rPr>
          <w:lang w:bidi="ar-SA"/>
        </w:rPr>
      </w:pPr>
      <w:r w:rsidRPr="007B0AA1">
        <w:rPr>
          <w:lang w:bidi="ar-SA"/>
        </w:rPr>
        <w:t xml:space="preserve">Intraspecies differences within human populations, </w:t>
      </w:r>
      <w:r w:rsidR="007F02A2">
        <w:rPr>
          <w:lang w:bidi="ar-SA"/>
        </w:rPr>
        <w:t>that is</w:t>
      </w:r>
      <w:r w:rsidRPr="007B0AA1">
        <w:rPr>
          <w:lang w:bidi="ar-SA"/>
        </w:rPr>
        <w:t xml:space="preserve"> sensitive subpopulations. An assessment factor of 10 was used for the general population and 5 for workers.</w:t>
      </w:r>
    </w:p>
    <w:p w14:paraId="32E941D2" w14:textId="5595CE39" w:rsidR="007B0AA1" w:rsidRPr="007B0AA1" w:rsidRDefault="007B0AA1" w:rsidP="00A111E9">
      <w:pPr>
        <w:numPr>
          <w:ilvl w:val="0"/>
          <w:numId w:val="29"/>
        </w:numPr>
        <w:contextualSpacing/>
        <w:rPr>
          <w:lang w:bidi="ar-SA"/>
        </w:rPr>
      </w:pPr>
      <w:r w:rsidRPr="007B0AA1">
        <w:rPr>
          <w:lang w:bidi="ar-SA"/>
        </w:rPr>
        <w:t>Quality of the database. For those PFASs for which read-across was necessary, a factor of 3 was used if the read-across was from a shorter and more rapidly excreted congener to a longer congener, but this assessment factor was not required for PFOA.</w:t>
      </w:r>
    </w:p>
    <w:p w14:paraId="398EEC6E" w14:textId="77777777" w:rsidR="007B0AA1" w:rsidRPr="007B0AA1" w:rsidRDefault="007B0AA1" w:rsidP="00A111E9">
      <w:pPr>
        <w:rPr>
          <w:lang w:bidi="ar-SA"/>
        </w:rPr>
      </w:pPr>
    </w:p>
    <w:p w14:paraId="3B111B51" w14:textId="77777777" w:rsidR="007B0AA1" w:rsidRPr="007B0AA1" w:rsidRDefault="007B0AA1" w:rsidP="00A111E9">
      <w:pPr>
        <w:rPr>
          <w:lang w:bidi="ar-SA"/>
        </w:rPr>
      </w:pPr>
      <w:r w:rsidRPr="007B0AA1">
        <w:rPr>
          <w:lang w:bidi="ar-SA"/>
        </w:rPr>
        <w:t>The resulting DNEL for hepatoxicity of PFOA to the general population was as follows:</w:t>
      </w:r>
    </w:p>
    <w:p w14:paraId="1A51C6B9" w14:textId="77777777" w:rsidR="007B0AA1" w:rsidRPr="007B0AA1" w:rsidRDefault="007B0AA1" w:rsidP="00A111E9">
      <w:pPr>
        <w:rPr>
          <w:lang w:bidi="ar-SA"/>
        </w:rPr>
      </w:pPr>
    </w:p>
    <w:p w14:paraId="4E4167F2" w14:textId="67785084" w:rsidR="007B0AA1" w:rsidRPr="007B0AA1" w:rsidRDefault="007B0AA1" w:rsidP="00A111E9">
      <w:pPr>
        <w:rPr>
          <w:lang w:bidi="ar-SA"/>
        </w:rPr>
      </w:pPr>
      <w:r w:rsidRPr="007B0AA1">
        <w:rPr>
          <w:lang w:bidi="ar-SA"/>
        </w:rPr>
        <w:t>DNEL</w:t>
      </w:r>
      <w:r w:rsidRPr="007B0AA1">
        <w:rPr>
          <w:lang w:bidi="ar-SA"/>
        </w:rPr>
        <w:tab/>
        <w:t>= POD / (exposure duration AF x inter</w:t>
      </w:r>
      <w:r w:rsidR="000203C4">
        <w:rPr>
          <w:lang w:bidi="ar-SA"/>
        </w:rPr>
        <w:t>species</w:t>
      </w:r>
      <w:r w:rsidRPr="007B0AA1">
        <w:rPr>
          <w:lang w:bidi="ar-SA"/>
        </w:rPr>
        <w:t xml:space="preserve"> AF x intra</w:t>
      </w:r>
      <w:r w:rsidR="00032CF6">
        <w:rPr>
          <w:lang w:bidi="ar-SA"/>
        </w:rPr>
        <w:t>species</w:t>
      </w:r>
      <w:r w:rsidRPr="007B0AA1">
        <w:rPr>
          <w:lang w:bidi="ar-SA"/>
        </w:rPr>
        <w:t xml:space="preserve"> AF)</w:t>
      </w:r>
    </w:p>
    <w:p w14:paraId="3E3D865B" w14:textId="77777777" w:rsidR="007B0AA1" w:rsidRPr="007B0AA1" w:rsidRDefault="007B0AA1" w:rsidP="00A111E9">
      <w:pPr>
        <w:rPr>
          <w:lang w:bidi="ar-SA"/>
        </w:rPr>
      </w:pPr>
      <w:r w:rsidRPr="007B0AA1">
        <w:rPr>
          <w:lang w:bidi="ar-SA"/>
        </w:rPr>
        <w:tab/>
      </w:r>
      <w:r w:rsidRPr="007B0AA1">
        <w:rPr>
          <w:lang w:bidi="ar-SA"/>
        </w:rPr>
        <w:tab/>
        <w:t>= 7100 ng per mL serum / (2 x 2.5 x 10)</w:t>
      </w:r>
    </w:p>
    <w:p w14:paraId="595829EC" w14:textId="27BEF135" w:rsidR="007B0AA1" w:rsidRPr="007B0AA1" w:rsidRDefault="007B0AA1" w:rsidP="00A111E9">
      <w:pPr>
        <w:rPr>
          <w:lang w:bidi="ar-SA"/>
        </w:rPr>
      </w:pPr>
      <w:r w:rsidRPr="007B0AA1">
        <w:rPr>
          <w:lang w:bidi="ar-SA"/>
        </w:rPr>
        <w:tab/>
      </w:r>
      <w:r w:rsidRPr="007B0AA1">
        <w:rPr>
          <w:lang w:bidi="ar-SA"/>
        </w:rPr>
        <w:tab/>
        <w:t>= 7100 ng per mL</w:t>
      </w:r>
      <w:r w:rsidR="00C20054">
        <w:rPr>
          <w:lang w:bidi="ar-SA"/>
        </w:rPr>
        <w:t xml:space="preserve"> serum </w:t>
      </w:r>
      <w:r w:rsidRPr="007B0AA1">
        <w:rPr>
          <w:lang w:bidi="ar-SA"/>
        </w:rPr>
        <w:t>/</w:t>
      </w:r>
      <w:r w:rsidR="00C20054">
        <w:rPr>
          <w:lang w:bidi="ar-SA"/>
        </w:rPr>
        <w:t xml:space="preserve"> </w:t>
      </w:r>
      <w:r w:rsidRPr="007B0AA1">
        <w:rPr>
          <w:lang w:bidi="ar-SA"/>
        </w:rPr>
        <w:t>50</w:t>
      </w:r>
    </w:p>
    <w:p w14:paraId="264D2CE9" w14:textId="77777777" w:rsidR="007B0AA1" w:rsidRPr="007B0AA1" w:rsidRDefault="007B0AA1" w:rsidP="00A111E9">
      <w:pPr>
        <w:rPr>
          <w:lang w:bidi="ar-SA"/>
        </w:rPr>
      </w:pPr>
      <w:r w:rsidRPr="007B0AA1">
        <w:rPr>
          <w:lang w:bidi="ar-SA"/>
        </w:rPr>
        <w:tab/>
      </w:r>
      <w:r w:rsidRPr="007B0AA1">
        <w:rPr>
          <w:lang w:bidi="ar-SA"/>
        </w:rPr>
        <w:tab/>
        <w:t>= 142 ng/mL serum</w:t>
      </w:r>
    </w:p>
    <w:p w14:paraId="79C0A8E1" w14:textId="77777777" w:rsidR="007B0AA1" w:rsidRPr="007B0AA1" w:rsidRDefault="007B0AA1" w:rsidP="00A111E9">
      <w:pPr>
        <w:rPr>
          <w:lang w:bidi="ar-SA"/>
        </w:rPr>
      </w:pPr>
    </w:p>
    <w:p w14:paraId="6F1BAF74" w14:textId="56F87EE3" w:rsidR="007B0AA1" w:rsidRPr="007B0AA1" w:rsidRDefault="007B0AA1" w:rsidP="00A111E9">
      <w:pPr>
        <w:rPr>
          <w:lang w:bidi="ar-SA"/>
        </w:rPr>
      </w:pPr>
      <w:r w:rsidRPr="007B0AA1">
        <w:rPr>
          <w:lang w:bidi="ar-SA"/>
        </w:rPr>
        <w:t>The DNEL for reproductive toxicity of PFOA to the general population was:</w:t>
      </w:r>
      <w:r w:rsidRPr="007B0AA1">
        <w:rPr>
          <w:lang w:bidi="ar-SA"/>
        </w:rPr>
        <w:br/>
      </w:r>
      <w:r w:rsidRPr="007B0AA1">
        <w:rPr>
          <w:lang w:bidi="ar-SA"/>
        </w:rPr>
        <w:br/>
        <w:t>DNEL</w:t>
      </w:r>
      <w:r w:rsidRPr="007B0AA1">
        <w:rPr>
          <w:lang w:bidi="ar-SA"/>
        </w:rPr>
        <w:tab/>
        <w:t>= POD / (inter</w:t>
      </w:r>
      <w:r w:rsidR="000203C4">
        <w:rPr>
          <w:lang w:bidi="ar-SA"/>
        </w:rPr>
        <w:t>species</w:t>
      </w:r>
      <w:r w:rsidRPr="007B0AA1">
        <w:rPr>
          <w:lang w:bidi="ar-SA"/>
        </w:rPr>
        <w:t xml:space="preserve"> AF x intra</w:t>
      </w:r>
      <w:r w:rsidR="00032CF6">
        <w:rPr>
          <w:lang w:bidi="ar-SA"/>
        </w:rPr>
        <w:t>species</w:t>
      </w:r>
      <w:r w:rsidRPr="007B0AA1">
        <w:rPr>
          <w:lang w:bidi="ar-SA"/>
        </w:rPr>
        <w:t xml:space="preserve"> AF)</w:t>
      </w:r>
    </w:p>
    <w:p w14:paraId="1426EEC1" w14:textId="28567B78" w:rsidR="007B0AA1" w:rsidRPr="007B0AA1" w:rsidRDefault="007B0AA1" w:rsidP="00A111E9">
      <w:pPr>
        <w:rPr>
          <w:lang w:bidi="ar-SA"/>
        </w:rPr>
      </w:pPr>
      <w:r w:rsidRPr="007B0AA1">
        <w:rPr>
          <w:lang w:bidi="ar-SA"/>
        </w:rPr>
        <w:tab/>
      </w:r>
      <w:r w:rsidRPr="007B0AA1">
        <w:rPr>
          <w:lang w:bidi="ar-SA"/>
        </w:rPr>
        <w:tab/>
        <w:t xml:space="preserve">= </w:t>
      </w:r>
      <w:r w:rsidR="00F20BCE" w:rsidRPr="007B0AA1">
        <w:rPr>
          <w:lang w:bidi="ar-SA"/>
        </w:rPr>
        <w:t>15</w:t>
      </w:r>
      <w:r w:rsidR="00F20BCE">
        <w:rPr>
          <w:lang w:bidi="ar-SA"/>
        </w:rPr>
        <w:t>,</w:t>
      </w:r>
      <w:r w:rsidR="00CC26CA">
        <w:rPr>
          <w:lang w:bidi="ar-SA"/>
        </w:rPr>
        <w:t>700</w:t>
      </w:r>
      <w:r w:rsidRPr="007B0AA1">
        <w:rPr>
          <w:lang w:bidi="ar-SA"/>
        </w:rPr>
        <w:t xml:space="preserve"> ng per mL serum / </w:t>
      </w:r>
      <w:r w:rsidR="00C20054">
        <w:rPr>
          <w:lang w:bidi="ar-SA"/>
        </w:rPr>
        <w:t>(</w:t>
      </w:r>
      <w:r w:rsidRPr="007B0AA1">
        <w:rPr>
          <w:lang w:bidi="ar-SA"/>
        </w:rPr>
        <w:t>2.5 x 10)</w:t>
      </w:r>
    </w:p>
    <w:p w14:paraId="34A20E19" w14:textId="4ED313F7" w:rsidR="007B0AA1" w:rsidRPr="007B0AA1" w:rsidRDefault="007B0AA1" w:rsidP="00A111E9">
      <w:pPr>
        <w:rPr>
          <w:lang w:bidi="ar-SA"/>
        </w:rPr>
      </w:pPr>
      <w:r w:rsidRPr="007B0AA1">
        <w:rPr>
          <w:lang w:bidi="ar-SA"/>
        </w:rPr>
        <w:tab/>
      </w:r>
      <w:r w:rsidRPr="007B0AA1">
        <w:rPr>
          <w:lang w:bidi="ar-SA"/>
        </w:rPr>
        <w:tab/>
        <w:t xml:space="preserve">= </w:t>
      </w:r>
      <w:r w:rsidR="00F20BCE" w:rsidRPr="007B0AA1">
        <w:rPr>
          <w:lang w:bidi="ar-SA"/>
        </w:rPr>
        <w:t>15</w:t>
      </w:r>
      <w:r w:rsidR="00F20BCE">
        <w:rPr>
          <w:lang w:bidi="ar-SA"/>
        </w:rPr>
        <w:t>,</w:t>
      </w:r>
      <w:r w:rsidR="00CC26CA">
        <w:rPr>
          <w:lang w:bidi="ar-SA"/>
        </w:rPr>
        <w:t>700</w:t>
      </w:r>
      <w:r w:rsidRPr="007B0AA1">
        <w:rPr>
          <w:lang w:bidi="ar-SA"/>
        </w:rPr>
        <w:t xml:space="preserve"> ng per mL serum / 25</w:t>
      </w:r>
    </w:p>
    <w:p w14:paraId="4803A076" w14:textId="77777777" w:rsidR="007B0AA1" w:rsidRPr="007B0AA1" w:rsidRDefault="007B0AA1" w:rsidP="00A111E9">
      <w:pPr>
        <w:rPr>
          <w:lang w:bidi="ar-SA"/>
        </w:rPr>
      </w:pPr>
      <w:r w:rsidRPr="007B0AA1">
        <w:rPr>
          <w:lang w:bidi="ar-SA"/>
        </w:rPr>
        <w:tab/>
      </w:r>
      <w:r w:rsidRPr="007B0AA1">
        <w:rPr>
          <w:lang w:bidi="ar-SA"/>
        </w:rPr>
        <w:tab/>
        <w:t>= 628 ng/mL serum</w:t>
      </w:r>
    </w:p>
    <w:p w14:paraId="4E2F9E5E" w14:textId="77777777" w:rsidR="007B0AA1" w:rsidRPr="007B0AA1" w:rsidRDefault="007B0AA1" w:rsidP="00A111E9">
      <w:pPr>
        <w:rPr>
          <w:lang w:bidi="ar-SA"/>
        </w:rPr>
      </w:pPr>
    </w:p>
    <w:p w14:paraId="13DB4B47" w14:textId="4EFBB5A1" w:rsidR="007B0AA1" w:rsidRPr="007B0AA1" w:rsidRDefault="007B0AA1" w:rsidP="00A111E9">
      <w:pPr>
        <w:rPr>
          <w:lang w:bidi="ar-SA"/>
        </w:rPr>
      </w:pPr>
      <w:r w:rsidRPr="007B0AA1">
        <w:rPr>
          <w:lang w:bidi="ar-SA"/>
        </w:rPr>
        <w:t>The DNEL for other effects, specifically on mammary gland development and growth, of PFOA to the general population was:</w:t>
      </w:r>
      <w:r w:rsidRPr="007B0AA1">
        <w:rPr>
          <w:lang w:bidi="ar-SA"/>
        </w:rPr>
        <w:br/>
      </w:r>
      <w:r w:rsidRPr="007B0AA1">
        <w:rPr>
          <w:lang w:bidi="ar-SA"/>
        </w:rPr>
        <w:br/>
        <w:t>DNEL</w:t>
      </w:r>
      <w:r w:rsidRPr="007B0AA1">
        <w:rPr>
          <w:lang w:bidi="ar-SA"/>
        </w:rPr>
        <w:tab/>
        <w:t>= POD / LOAEL to NOAEL AF x Inter</w:t>
      </w:r>
      <w:r w:rsidR="000203C4">
        <w:rPr>
          <w:lang w:bidi="ar-SA"/>
        </w:rPr>
        <w:t>species</w:t>
      </w:r>
      <w:r w:rsidRPr="007B0AA1">
        <w:rPr>
          <w:lang w:bidi="ar-SA"/>
        </w:rPr>
        <w:t xml:space="preserve"> AF x intra</w:t>
      </w:r>
      <w:r w:rsidR="00032CF6">
        <w:rPr>
          <w:lang w:bidi="ar-SA"/>
        </w:rPr>
        <w:t>species</w:t>
      </w:r>
      <w:r w:rsidRPr="007B0AA1">
        <w:rPr>
          <w:lang w:bidi="ar-SA"/>
        </w:rPr>
        <w:t xml:space="preserve"> AF)</w:t>
      </w:r>
    </w:p>
    <w:p w14:paraId="5EE38F13" w14:textId="77777777" w:rsidR="007B0AA1" w:rsidRPr="007B0AA1" w:rsidRDefault="007B0AA1" w:rsidP="00A111E9">
      <w:pPr>
        <w:rPr>
          <w:lang w:bidi="ar-SA"/>
        </w:rPr>
      </w:pPr>
      <w:r w:rsidRPr="007B0AA1">
        <w:rPr>
          <w:lang w:bidi="ar-SA"/>
        </w:rPr>
        <w:tab/>
      </w:r>
      <w:r w:rsidRPr="007B0AA1">
        <w:rPr>
          <w:lang w:bidi="ar-SA"/>
        </w:rPr>
        <w:tab/>
        <w:t>= 150 ng per mL serum / (3 x 2.5 x 10)</w:t>
      </w:r>
    </w:p>
    <w:p w14:paraId="5AF4B327" w14:textId="73375BE0" w:rsidR="007B0AA1" w:rsidRPr="007B0AA1" w:rsidRDefault="007B0AA1" w:rsidP="00A111E9">
      <w:pPr>
        <w:rPr>
          <w:lang w:bidi="ar-SA"/>
        </w:rPr>
      </w:pPr>
      <w:r w:rsidRPr="007B0AA1">
        <w:rPr>
          <w:lang w:bidi="ar-SA"/>
        </w:rPr>
        <w:lastRenderedPageBreak/>
        <w:tab/>
      </w:r>
      <w:r w:rsidRPr="007B0AA1">
        <w:rPr>
          <w:lang w:bidi="ar-SA"/>
        </w:rPr>
        <w:tab/>
        <w:t>= 150 ng per mL serum / 75</w:t>
      </w:r>
    </w:p>
    <w:p w14:paraId="7889C48B" w14:textId="77777777" w:rsidR="007B0AA1" w:rsidRPr="007B0AA1" w:rsidRDefault="007B0AA1" w:rsidP="00A111E9">
      <w:pPr>
        <w:rPr>
          <w:lang w:bidi="ar-SA"/>
        </w:rPr>
      </w:pPr>
      <w:r w:rsidRPr="007B0AA1">
        <w:rPr>
          <w:lang w:bidi="ar-SA"/>
        </w:rPr>
        <w:tab/>
      </w:r>
      <w:r w:rsidRPr="007B0AA1">
        <w:rPr>
          <w:lang w:bidi="ar-SA"/>
        </w:rPr>
        <w:tab/>
        <w:t xml:space="preserve">= </w:t>
      </w:r>
      <w:r w:rsidRPr="007B0AA1">
        <w:rPr>
          <w:b/>
          <w:lang w:bidi="ar-SA"/>
        </w:rPr>
        <w:t>2.0 ng/mL serum</w:t>
      </w:r>
    </w:p>
    <w:p w14:paraId="4035B628" w14:textId="77777777" w:rsidR="007B0AA1" w:rsidRPr="007B0AA1" w:rsidRDefault="007B0AA1" w:rsidP="00112C61">
      <w:pPr>
        <w:pStyle w:val="Heading4"/>
      </w:pPr>
      <w:r w:rsidRPr="007B0AA1">
        <w:t>Danish EPA, 2015</w:t>
      </w:r>
    </w:p>
    <w:p w14:paraId="181D513B" w14:textId="593C67CC" w:rsidR="007B0AA1" w:rsidRPr="007B0AA1" w:rsidRDefault="007B0AA1" w:rsidP="00A111E9">
      <w:pPr>
        <w:rPr>
          <w:lang w:bidi="ar-SA"/>
        </w:rPr>
      </w:pPr>
      <w:r w:rsidRPr="007B0AA1">
        <w:rPr>
          <w:lang w:bidi="ar-SA"/>
        </w:rPr>
        <w:t>The Danish EPA evaluated the health hazards of PFOA and two related perfluoroalkylated substances, PFOS and PFOSA. TDIs were established for PFOA and PFOS, and health-based quality criteria in drinking water, ground water and soil were also proposed.</w:t>
      </w:r>
    </w:p>
    <w:p w14:paraId="37C1FEBB" w14:textId="77777777" w:rsidR="007B0AA1" w:rsidRPr="007B0AA1" w:rsidRDefault="007B0AA1" w:rsidP="00A111E9">
      <w:pPr>
        <w:rPr>
          <w:lang w:bidi="ar-SA"/>
        </w:rPr>
      </w:pPr>
    </w:p>
    <w:p w14:paraId="28560B8D" w14:textId="677E9475" w:rsidR="007B0AA1" w:rsidRPr="007B0AA1" w:rsidRDefault="007B0AA1" w:rsidP="00A111E9">
      <w:pPr>
        <w:rPr>
          <w:lang w:bidi="ar-SA"/>
        </w:rPr>
      </w:pPr>
      <w:r w:rsidRPr="007B0AA1">
        <w:rPr>
          <w:lang w:bidi="ar-SA"/>
        </w:rPr>
        <w:t>To establish a TDI for PFOA, they used the BMDL</w:t>
      </w:r>
      <w:r w:rsidRPr="007B0AA1">
        <w:rPr>
          <w:vertAlign w:val="subscript"/>
          <w:lang w:bidi="ar-SA"/>
        </w:rPr>
        <w:t>10</w:t>
      </w:r>
      <w:r w:rsidRPr="007B0AA1">
        <w:rPr>
          <w:lang w:bidi="ar-SA"/>
        </w:rPr>
        <w:t xml:space="preserve"> value (0.456 mg/kg bw/day) </w:t>
      </w:r>
      <w:r w:rsidR="00C11D0D">
        <w:rPr>
          <w:lang w:bidi="ar-SA"/>
        </w:rPr>
        <w:t xml:space="preserve">based on liver effects </w:t>
      </w:r>
      <w:r w:rsidRPr="007B0AA1">
        <w:rPr>
          <w:lang w:bidi="ar-SA"/>
        </w:rPr>
        <w:t>derived by the US EPA from 90 days exposure of the dietary study in rats by Palazzolo (1993).</w:t>
      </w:r>
    </w:p>
    <w:p w14:paraId="0805DBDF" w14:textId="77777777" w:rsidR="007B0AA1" w:rsidRPr="007B0AA1" w:rsidRDefault="007B0AA1" w:rsidP="00A111E9">
      <w:pPr>
        <w:rPr>
          <w:lang w:bidi="ar-SA"/>
        </w:rPr>
      </w:pPr>
    </w:p>
    <w:p w14:paraId="63D09D9A" w14:textId="11732744" w:rsidR="007B0AA1" w:rsidRPr="007B0AA1" w:rsidRDefault="007B0AA1" w:rsidP="00A111E9">
      <w:pPr>
        <w:rPr>
          <w:lang w:bidi="ar-SA"/>
        </w:rPr>
      </w:pPr>
      <w:r w:rsidRPr="007B0AA1">
        <w:rPr>
          <w:lang w:bidi="ar-SA"/>
        </w:rPr>
        <w:t>The BMDL</w:t>
      </w:r>
      <w:r w:rsidRPr="007B0AA1">
        <w:rPr>
          <w:vertAlign w:val="subscript"/>
        </w:rPr>
        <w:t>10</w:t>
      </w:r>
      <w:r w:rsidRPr="007B0AA1">
        <w:rPr>
          <w:lang w:bidi="ar-SA"/>
        </w:rPr>
        <w:t xml:space="preserve"> level was transformed to a HED level by dividing the BMDL</w:t>
      </w:r>
      <w:r w:rsidRPr="007B0AA1">
        <w:rPr>
          <w:vertAlign w:val="subscript"/>
          <w:lang w:bidi="ar-SA"/>
        </w:rPr>
        <w:t>10</w:t>
      </w:r>
      <w:r w:rsidRPr="007B0AA1">
        <w:rPr>
          <w:lang w:bidi="ar-SA"/>
        </w:rPr>
        <w:t xml:space="preserve"> by the LOAEL/HED-LOAEL ratio, as follows:</w:t>
      </w:r>
    </w:p>
    <w:p w14:paraId="553B0180" w14:textId="77777777" w:rsidR="007B0AA1" w:rsidRPr="007B0AA1" w:rsidRDefault="007B0AA1" w:rsidP="00A111E9">
      <w:pPr>
        <w:rPr>
          <w:lang w:bidi="ar-SA"/>
        </w:rPr>
      </w:pPr>
    </w:p>
    <w:p w14:paraId="53B55C32" w14:textId="77777777" w:rsidR="007B0AA1" w:rsidRPr="007B0AA1" w:rsidRDefault="007B0AA1" w:rsidP="00A111E9">
      <w:pPr>
        <w:rPr>
          <w:lang w:bidi="ar-SA"/>
        </w:rPr>
      </w:pPr>
      <w:r w:rsidRPr="007B0AA1">
        <w:rPr>
          <w:lang w:bidi="ar-SA"/>
        </w:rPr>
        <w:t>HED-BMDL</w:t>
      </w:r>
      <w:r w:rsidRPr="007B0AA1">
        <w:rPr>
          <w:vertAlign w:val="subscript"/>
        </w:rPr>
        <w:t>10</w:t>
      </w:r>
      <w:r w:rsidRPr="007B0AA1">
        <w:rPr>
          <w:lang w:bidi="ar-SA"/>
        </w:rPr>
        <w:t xml:space="preserve"> = BMDL</w:t>
      </w:r>
      <w:r w:rsidRPr="007B0AA1">
        <w:rPr>
          <w:vertAlign w:val="subscript"/>
        </w:rPr>
        <w:t>10</w:t>
      </w:r>
      <w:r w:rsidRPr="007B0AA1">
        <w:rPr>
          <w:b/>
          <w:sz w:val="16"/>
          <w:szCs w:val="16"/>
          <w:lang w:bidi="ar-SA"/>
        </w:rPr>
        <w:t>Palazzolo, rat, 90d</w:t>
      </w:r>
      <w:r w:rsidRPr="007B0AA1">
        <w:rPr>
          <w:szCs w:val="22"/>
          <w:lang w:bidi="ar-SA"/>
        </w:rPr>
        <w:t>/ (LOAEL</w:t>
      </w:r>
      <w:r w:rsidRPr="007B0AA1">
        <w:rPr>
          <w:b/>
          <w:sz w:val="16"/>
          <w:szCs w:val="16"/>
          <w:lang w:bidi="ar-SA"/>
        </w:rPr>
        <w:t xml:space="preserve"> Palazzolo, rat, 90d</w:t>
      </w:r>
      <w:r w:rsidRPr="007B0AA1">
        <w:rPr>
          <w:szCs w:val="22"/>
          <w:lang w:bidi="ar-SA"/>
        </w:rPr>
        <w:t>/HED-LOAEL</w:t>
      </w:r>
      <w:r w:rsidRPr="007B0AA1">
        <w:rPr>
          <w:b/>
          <w:sz w:val="16"/>
          <w:szCs w:val="16"/>
          <w:lang w:bidi="ar-SA"/>
        </w:rPr>
        <w:t xml:space="preserve"> Palazzolo, rat, 90d</w:t>
      </w:r>
      <w:r w:rsidRPr="007B0AA1">
        <w:rPr>
          <w:szCs w:val="22"/>
          <w:lang w:bidi="ar-SA"/>
        </w:rPr>
        <w:t>)</w:t>
      </w:r>
    </w:p>
    <w:p w14:paraId="6F9EDC0D" w14:textId="09B60B96" w:rsidR="007B0AA1" w:rsidRPr="007B0AA1" w:rsidRDefault="007B0AA1" w:rsidP="00A111E9">
      <w:pPr>
        <w:ind w:left="1134"/>
        <w:rPr>
          <w:lang w:bidi="ar-SA"/>
        </w:rPr>
      </w:pPr>
      <w:r w:rsidRPr="007B0AA1">
        <w:rPr>
          <w:lang w:bidi="ar-SA"/>
        </w:rPr>
        <w:t xml:space="preserve"> = 0.467 mg/kg bw/day /</w:t>
      </w:r>
      <w:r w:rsidR="00CA7FDE">
        <w:rPr>
          <w:lang w:bidi="ar-SA"/>
        </w:rPr>
        <w:t xml:space="preserve"> </w:t>
      </w:r>
      <w:r w:rsidRPr="007B0AA1">
        <w:rPr>
          <w:lang w:bidi="ar-SA"/>
        </w:rPr>
        <w:t>(0.64 mg/kg bw/day / 0.0045 mg/kg bw/day)</w:t>
      </w:r>
    </w:p>
    <w:p w14:paraId="3C6CE286" w14:textId="27E72F98" w:rsidR="007B0AA1" w:rsidRPr="007B0AA1" w:rsidRDefault="007B0AA1" w:rsidP="00A111E9">
      <w:pPr>
        <w:ind w:left="1134"/>
        <w:rPr>
          <w:lang w:bidi="ar-SA"/>
        </w:rPr>
      </w:pPr>
      <w:r w:rsidRPr="007B0AA1">
        <w:rPr>
          <w:lang w:bidi="ar-SA"/>
        </w:rPr>
        <w:t xml:space="preserve"> = 0.003 mg/kg bw/day</w:t>
      </w:r>
    </w:p>
    <w:p w14:paraId="383AF5A3" w14:textId="77777777" w:rsidR="007B0AA1" w:rsidRPr="007B0AA1" w:rsidRDefault="007B0AA1" w:rsidP="00A111E9">
      <w:pPr>
        <w:rPr>
          <w:lang w:bidi="ar-SA"/>
        </w:rPr>
      </w:pPr>
    </w:p>
    <w:p w14:paraId="48EE4894" w14:textId="667EBDEF" w:rsidR="007B0AA1" w:rsidRPr="007B0AA1" w:rsidRDefault="007B0AA1" w:rsidP="00A111E9">
      <w:pPr>
        <w:rPr>
          <w:lang w:bidi="ar-SA"/>
        </w:rPr>
      </w:pPr>
      <w:r w:rsidRPr="007B0AA1">
        <w:rPr>
          <w:lang w:bidi="ar-SA"/>
        </w:rPr>
        <w:t>From this HED-BMDL</w:t>
      </w:r>
      <w:r w:rsidRPr="007B0AA1">
        <w:rPr>
          <w:vertAlign w:val="subscript"/>
          <w:lang w:bidi="ar-SA"/>
        </w:rPr>
        <w:t>10</w:t>
      </w:r>
      <w:r w:rsidRPr="007B0AA1">
        <w:rPr>
          <w:lang w:bidi="ar-SA"/>
        </w:rPr>
        <w:t>, the TDI was derived by applying U</w:t>
      </w:r>
      <w:r w:rsidR="000C6F4B">
        <w:rPr>
          <w:lang w:bidi="ar-SA"/>
        </w:rPr>
        <w:t>Fs</w:t>
      </w:r>
      <w:r w:rsidRPr="007B0AA1">
        <w:rPr>
          <w:lang w:bidi="ar-SA"/>
        </w:rPr>
        <w:t xml:space="preserve">, </w:t>
      </w:r>
      <w:r w:rsidR="003861B4">
        <w:rPr>
          <w:lang w:bidi="ar-SA"/>
        </w:rPr>
        <w:t>that is</w:t>
      </w:r>
      <w:r w:rsidRPr="007B0AA1">
        <w:rPr>
          <w:lang w:bidi="ar-SA"/>
        </w:rPr>
        <w:t>:</w:t>
      </w:r>
      <w:r w:rsidRPr="007B0AA1">
        <w:rPr>
          <w:lang w:bidi="ar-SA"/>
        </w:rPr>
        <w:br/>
      </w:r>
      <w:r w:rsidRPr="007B0AA1">
        <w:rPr>
          <w:lang w:bidi="ar-SA"/>
        </w:rPr>
        <w:br/>
        <w:t>TDI= HED-BMDL</w:t>
      </w:r>
      <w:r w:rsidRPr="007B0AA1">
        <w:rPr>
          <w:vertAlign w:val="subscript"/>
          <w:lang w:bidi="ar-SA"/>
        </w:rPr>
        <w:t>10</w:t>
      </w:r>
      <w:r w:rsidRPr="007B0AA1">
        <w:rPr>
          <w:lang w:bidi="ar-SA"/>
        </w:rPr>
        <w:t>/UFI x UFII…UFn</w:t>
      </w:r>
    </w:p>
    <w:p w14:paraId="786331D9" w14:textId="77777777" w:rsidR="007B0AA1" w:rsidRPr="007B0AA1" w:rsidRDefault="007B0AA1" w:rsidP="00A111E9">
      <w:pPr>
        <w:rPr>
          <w:lang w:bidi="ar-SA"/>
        </w:rPr>
      </w:pPr>
    </w:p>
    <w:p w14:paraId="107C5B1B" w14:textId="369E31F2" w:rsidR="007B0AA1" w:rsidRPr="007B0AA1" w:rsidRDefault="007B0AA1" w:rsidP="00A111E9">
      <w:pPr>
        <w:rPr>
          <w:lang w:bidi="ar-SA"/>
        </w:rPr>
      </w:pPr>
      <w:r w:rsidRPr="007B0AA1">
        <w:rPr>
          <w:lang w:bidi="ar-SA"/>
        </w:rPr>
        <w:t>The UFs applied by the Danish EPA were the default intra</w:t>
      </w:r>
      <w:r w:rsidR="00032CF6">
        <w:rPr>
          <w:lang w:bidi="ar-SA"/>
        </w:rPr>
        <w:t>species</w:t>
      </w:r>
      <w:r w:rsidRPr="007B0AA1">
        <w:rPr>
          <w:lang w:bidi="ar-SA"/>
        </w:rPr>
        <w:t xml:space="preserve"> UF of 10 to allow for variability in the human population, and an inter</w:t>
      </w:r>
      <w:r w:rsidR="000203C4">
        <w:rPr>
          <w:lang w:bidi="ar-SA"/>
        </w:rPr>
        <w:t>species</w:t>
      </w:r>
      <w:r w:rsidRPr="007B0AA1">
        <w:rPr>
          <w:lang w:bidi="ar-SA"/>
        </w:rPr>
        <w:t xml:space="preserve"> UF of 3 to allow for possible differences in toxicodynamics between species. Thus:</w:t>
      </w:r>
      <w:r w:rsidRPr="007B0AA1">
        <w:rPr>
          <w:lang w:bidi="ar-SA"/>
        </w:rPr>
        <w:br/>
      </w:r>
      <w:r w:rsidRPr="007B0AA1">
        <w:rPr>
          <w:lang w:bidi="ar-SA"/>
        </w:rPr>
        <w:br/>
        <w:t>TDI = 0.003 mg/kg bw/day / 10 x 3</w:t>
      </w:r>
    </w:p>
    <w:p w14:paraId="0DBFC54C" w14:textId="6DEEE9EE" w:rsidR="007B0AA1" w:rsidRPr="007B0AA1" w:rsidRDefault="007B0AA1" w:rsidP="00A111E9">
      <w:pPr>
        <w:rPr>
          <w:b/>
          <w:lang w:bidi="ar-SA"/>
        </w:rPr>
      </w:pPr>
      <w:r w:rsidRPr="007B0AA1">
        <w:rPr>
          <w:lang w:bidi="ar-SA"/>
        </w:rPr>
        <w:t xml:space="preserve"> = </w:t>
      </w:r>
      <w:r w:rsidRPr="007B0AA1">
        <w:rPr>
          <w:b/>
          <w:lang w:bidi="ar-SA"/>
        </w:rPr>
        <w:t xml:space="preserve">0.1 </w:t>
      </w:r>
      <w:r w:rsidRPr="007B0AA1">
        <w:rPr>
          <w:rFonts w:cs="Arial"/>
          <w:b/>
          <w:lang w:bidi="ar-SA"/>
        </w:rPr>
        <w:t>µ</w:t>
      </w:r>
      <w:r w:rsidRPr="007B0AA1">
        <w:rPr>
          <w:b/>
          <w:lang w:bidi="ar-SA"/>
        </w:rPr>
        <w:t>g/kg bw/day</w:t>
      </w:r>
      <w:r w:rsidRPr="007B0AA1">
        <w:rPr>
          <w:lang w:bidi="ar-SA"/>
        </w:rPr>
        <w:t xml:space="preserve">, or </w:t>
      </w:r>
      <w:r w:rsidRPr="007B0AA1">
        <w:rPr>
          <w:b/>
          <w:lang w:bidi="ar-SA"/>
        </w:rPr>
        <w:t xml:space="preserve">100 </w:t>
      </w:r>
      <w:r w:rsidRPr="007B0AA1">
        <w:rPr>
          <w:rFonts w:cs="Arial"/>
          <w:b/>
          <w:lang w:bidi="ar-SA"/>
        </w:rPr>
        <w:t>n</w:t>
      </w:r>
      <w:r w:rsidRPr="007B0AA1">
        <w:rPr>
          <w:b/>
          <w:lang w:bidi="ar-SA"/>
        </w:rPr>
        <w:t>g/kg bw/day</w:t>
      </w:r>
    </w:p>
    <w:p w14:paraId="612EC64F" w14:textId="77777777" w:rsidR="007B0AA1" w:rsidRPr="007B0AA1" w:rsidRDefault="007B0AA1" w:rsidP="00112C61">
      <w:pPr>
        <w:pStyle w:val="Heading4"/>
        <w:rPr>
          <w:color w:val="4F81BD" w:themeColor="accent1"/>
        </w:rPr>
      </w:pPr>
      <w:r w:rsidRPr="007B0AA1">
        <w:t>ATSDR 2015</w:t>
      </w:r>
    </w:p>
    <w:p w14:paraId="30262304" w14:textId="01913837" w:rsidR="007B0AA1" w:rsidRPr="007B0AA1" w:rsidRDefault="007B0AA1" w:rsidP="00A111E9">
      <w:pPr>
        <w:rPr>
          <w:lang w:bidi="ar-SA"/>
        </w:rPr>
      </w:pPr>
      <w:r w:rsidRPr="007B0AA1">
        <w:rPr>
          <w:lang w:bidi="ar-SA"/>
        </w:rPr>
        <w:t>The ATSDR published a draft toxicological profile for perfluoroalkyls in 2015.</w:t>
      </w:r>
    </w:p>
    <w:p w14:paraId="421A2DD0" w14:textId="77777777" w:rsidR="007B0AA1" w:rsidRPr="007B0AA1" w:rsidRDefault="007B0AA1" w:rsidP="00A111E9">
      <w:pPr>
        <w:rPr>
          <w:lang w:bidi="ar-SA"/>
        </w:rPr>
      </w:pPr>
    </w:p>
    <w:p w14:paraId="015C6AD8" w14:textId="20860CDD" w:rsidR="007B0AA1" w:rsidRPr="007B0AA1" w:rsidRDefault="007B0AA1" w:rsidP="00A111E9">
      <w:pPr>
        <w:rPr>
          <w:lang w:bidi="ar-SA"/>
        </w:rPr>
      </w:pPr>
      <w:r w:rsidRPr="007B0AA1">
        <w:rPr>
          <w:lang w:bidi="ar-SA"/>
        </w:rPr>
        <w:t xml:space="preserve">A MRL was calculated for PFOA, based on the </w:t>
      </w:r>
      <w:r w:rsidR="005E0DC9">
        <w:rPr>
          <w:lang w:bidi="ar-SA"/>
        </w:rPr>
        <w:t>cynomolgus</w:t>
      </w:r>
      <w:r w:rsidR="005E0DC9" w:rsidRPr="007B0AA1">
        <w:rPr>
          <w:lang w:bidi="ar-SA"/>
        </w:rPr>
        <w:t xml:space="preserve"> </w:t>
      </w:r>
      <w:r w:rsidRPr="007B0AA1">
        <w:rPr>
          <w:lang w:bidi="ar-SA"/>
        </w:rPr>
        <w:t xml:space="preserve">monkey study of Butenhoff </w:t>
      </w:r>
      <w:r w:rsidR="00180A32" w:rsidRPr="00180A32">
        <w:rPr>
          <w:i/>
        </w:rPr>
        <w:t xml:space="preserve">et al. </w:t>
      </w:r>
      <w:r w:rsidR="00CC50B8">
        <w:t xml:space="preserve"> </w:t>
      </w:r>
      <w:r w:rsidR="002F5926">
        <w:rPr>
          <w:lang w:bidi="ar-SA"/>
        </w:rPr>
        <w:t xml:space="preserve">(2002). </w:t>
      </w:r>
      <w:r w:rsidRPr="007B0AA1">
        <w:rPr>
          <w:lang w:bidi="ar-SA"/>
        </w:rPr>
        <w:t>Due to the species differences in the toxicokinetics of PFOA, serum concentration was used as an internal dosimetric. This was based on the assumption that a serum concentration that had a given effect in monkeys would have the same effect in human beings.</w:t>
      </w:r>
    </w:p>
    <w:p w14:paraId="517B919F" w14:textId="77777777" w:rsidR="007B0AA1" w:rsidRPr="007B0AA1" w:rsidRDefault="007B0AA1" w:rsidP="00A111E9">
      <w:pPr>
        <w:rPr>
          <w:lang w:bidi="ar-SA"/>
        </w:rPr>
      </w:pPr>
    </w:p>
    <w:p w14:paraId="0C8E609A" w14:textId="06ECD89D" w:rsidR="007B0AA1" w:rsidRPr="007B0AA1" w:rsidRDefault="007B0AA1" w:rsidP="00A111E9">
      <w:pPr>
        <w:rPr>
          <w:lang w:bidi="ar-SA"/>
        </w:rPr>
      </w:pPr>
      <w:r w:rsidRPr="007B0AA1">
        <w:rPr>
          <w:lang w:bidi="ar-SA"/>
        </w:rPr>
        <w:t>Absolute and relative liver weight data were fit to all available continuous models in the US EPA’s BMDS</w:t>
      </w:r>
      <w:r w:rsidRPr="007B0AA1">
        <w:rPr>
          <w:vertAlign w:val="superscript"/>
          <w:lang w:bidi="ar-SA"/>
        </w:rPr>
        <w:footnoteReference w:id="9"/>
      </w:r>
      <w:r w:rsidRPr="007B0AA1">
        <w:rPr>
          <w:lang w:bidi="ar-SA"/>
        </w:rPr>
        <w:t xml:space="preserve"> (version 2.4.0). Data from the high dose group were excluded from the modelling due to observations of toxicity in that group. For absolute liver weight, linear, polynomial and power models yielded identical BMDs (lower than those obtained using exponential models) and virtually the same Akaike Information Criterion</w:t>
      </w:r>
      <w:r w:rsidRPr="007B0AA1">
        <w:rPr>
          <w:vertAlign w:val="superscript"/>
          <w:lang w:bidi="ar-SA"/>
        </w:rPr>
        <w:footnoteReference w:id="10"/>
      </w:r>
      <w:r w:rsidRPr="007B0AA1">
        <w:rPr>
          <w:lang w:bidi="ar-SA"/>
        </w:rPr>
        <w:t xml:space="preserve"> (AIC) values. The linear model was selected as the simplest. For the relative liver weight, the polynomial model was selected as the model yielding the lowest AIC.</w:t>
      </w:r>
    </w:p>
    <w:p w14:paraId="4D1C98BC" w14:textId="77777777" w:rsidR="007B0AA1" w:rsidRPr="007B0AA1" w:rsidRDefault="007B0AA1" w:rsidP="00A111E9">
      <w:pPr>
        <w:rPr>
          <w:lang w:bidi="ar-SA"/>
        </w:rPr>
      </w:pPr>
    </w:p>
    <w:p w14:paraId="5D1C4541" w14:textId="77777777" w:rsidR="007B0AA1" w:rsidRPr="007B0AA1" w:rsidRDefault="007B0AA1" w:rsidP="00A111E9">
      <w:pPr>
        <w:rPr>
          <w:lang w:bidi="ar-SA"/>
        </w:rPr>
      </w:pPr>
      <w:r w:rsidRPr="007B0AA1">
        <w:rPr>
          <w:lang w:bidi="ar-SA"/>
        </w:rPr>
        <w:lastRenderedPageBreak/>
        <w:t>HEDs were calculated for each POD from the absolute and relative liver weights, assuming parameter values for humans of</w:t>
      </w:r>
    </w:p>
    <w:p w14:paraId="2099AA1A" w14:textId="7A917DF3" w:rsidR="007B0AA1" w:rsidRPr="007B0AA1" w:rsidRDefault="007B0AA1" w:rsidP="00A111E9">
      <w:pPr>
        <w:rPr>
          <w:rFonts w:cs="Arial"/>
          <w:lang w:bidi="ar-SA"/>
        </w:rPr>
      </w:pPr>
      <w:r w:rsidRPr="007B0AA1">
        <w:rPr>
          <w:lang w:bidi="ar-SA"/>
        </w:rPr>
        <w:t>t</w:t>
      </w:r>
      <w:r w:rsidRPr="007B0AA1">
        <w:rPr>
          <w:rFonts w:cs="Arial"/>
          <w:vertAlign w:val="subscript"/>
          <w:lang w:bidi="ar-SA"/>
        </w:rPr>
        <w:t>½</w:t>
      </w:r>
      <w:r w:rsidRPr="007B0AA1">
        <w:rPr>
          <w:rFonts w:cs="Arial"/>
          <w:lang w:bidi="ar-SA"/>
        </w:rPr>
        <w:t>= 1,400 days</w:t>
      </w:r>
    </w:p>
    <w:p w14:paraId="421F78F8" w14:textId="34FC2C36" w:rsidR="007B0AA1" w:rsidRPr="007B0AA1" w:rsidRDefault="007B0AA1" w:rsidP="00A111E9">
      <w:pPr>
        <w:rPr>
          <w:rFonts w:cs="Arial"/>
          <w:lang w:bidi="ar-SA"/>
        </w:rPr>
      </w:pPr>
      <w:r w:rsidRPr="007B0AA1">
        <w:rPr>
          <w:rFonts w:cs="Arial"/>
          <w:lang w:bidi="ar-SA"/>
        </w:rPr>
        <w:t>Serum elimination rate constant (k</w:t>
      </w:r>
      <w:r w:rsidRPr="007B0AA1">
        <w:rPr>
          <w:rFonts w:cs="Arial"/>
          <w:vertAlign w:val="subscript"/>
          <w:lang w:bidi="ar-SA"/>
        </w:rPr>
        <w:t>e</w:t>
      </w:r>
      <w:r w:rsidRPr="007B0AA1">
        <w:rPr>
          <w:rFonts w:cs="Arial"/>
          <w:lang w:bidi="ar-SA"/>
        </w:rPr>
        <w:t>)</w:t>
      </w:r>
      <w:r w:rsidRPr="007B0AA1">
        <w:rPr>
          <w:rFonts w:cs="Arial"/>
          <w:lang w:bidi="ar-SA"/>
        </w:rPr>
        <w:tab/>
      </w:r>
      <w:r w:rsidR="00A111E9">
        <w:rPr>
          <w:rFonts w:cs="Arial"/>
          <w:lang w:bidi="ar-SA"/>
        </w:rPr>
        <w:tab/>
      </w:r>
      <w:r w:rsidRPr="007B0AA1">
        <w:rPr>
          <w:rFonts w:cs="Arial"/>
          <w:lang w:bidi="ar-SA"/>
        </w:rPr>
        <w:t>= 4.95 x 10</w:t>
      </w:r>
      <w:r w:rsidRPr="007B0AA1">
        <w:rPr>
          <w:rFonts w:cs="Arial"/>
          <w:vertAlign w:val="superscript"/>
          <w:lang w:bidi="ar-SA"/>
        </w:rPr>
        <w:t>-4</w:t>
      </w:r>
      <w:r w:rsidRPr="007B0AA1">
        <w:rPr>
          <w:rFonts w:cs="Arial"/>
          <w:lang w:bidi="ar-SA"/>
        </w:rPr>
        <w:t xml:space="preserve"> day</w:t>
      </w:r>
      <w:r w:rsidRPr="007B0AA1">
        <w:rPr>
          <w:rFonts w:cs="Arial"/>
          <w:vertAlign w:val="superscript"/>
          <w:lang w:bidi="ar-SA"/>
        </w:rPr>
        <w:t>-1</w:t>
      </w:r>
    </w:p>
    <w:p w14:paraId="4C708D8C" w14:textId="19DCC698" w:rsidR="007B0AA1" w:rsidRPr="007B0AA1" w:rsidRDefault="007B0AA1" w:rsidP="00A111E9">
      <w:pPr>
        <w:rPr>
          <w:rFonts w:cs="Arial"/>
          <w:lang w:bidi="ar-SA"/>
        </w:rPr>
      </w:pPr>
      <w:r w:rsidRPr="007B0AA1">
        <w:rPr>
          <w:rFonts w:cs="Arial"/>
          <w:lang w:bidi="ar-SA"/>
        </w:rPr>
        <w:t>Gastrointestinal absorption fraction (</w:t>
      </w:r>
      <w:r w:rsidR="00EC51C3">
        <w:rPr>
          <w:rFonts w:cs="Arial"/>
          <w:lang w:bidi="ar-SA"/>
        </w:rPr>
        <w:t>g</w:t>
      </w:r>
      <w:r w:rsidRPr="007B0AA1">
        <w:rPr>
          <w:rFonts w:cs="Arial"/>
          <w:lang w:bidi="ar-SA"/>
        </w:rPr>
        <w:t>AF)</w:t>
      </w:r>
      <w:r w:rsidRPr="007B0AA1">
        <w:rPr>
          <w:rFonts w:cs="Arial"/>
          <w:lang w:bidi="ar-SA"/>
        </w:rPr>
        <w:tab/>
        <w:t>= 1</w:t>
      </w:r>
    </w:p>
    <w:p w14:paraId="14F30A54" w14:textId="23A4E519" w:rsidR="007B0AA1" w:rsidRPr="007B0AA1" w:rsidRDefault="007B0AA1" w:rsidP="00A111E9">
      <w:pPr>
        <w:rPr>
          <w:lang w:bidi="ar-SA"/>
        </w:rPr>
      </w:pPr>
      <w:r w:rsidRPr="007B0AA1">
        <w:rPr>
          <w:rFonts w:cs="Arial"/>
          <w:lang w:bidi="ar-SA"/>
        </w:rPr>
        <w:t>Apparent volume of distribution (V</w:t>
      </w:r>
      <w:r w:rsidRPr="007B0AA1">
        <w:rPr>
          <w:rFonts w:cs="Arial"/>
          <w:vertAlign w:val="subscript"/>
          <w:lang w:bidi="ar-SA"/>
        </w:rPr>
        <w:t>d</w:t>
      </w:r>
      <w:r w:rsidRPr="007B0AA1">
        <w:rPr>
          <w:rFonts w:cs="Arial"/>
          <w:lang w:bidi="ar-SA"/>
        </w:rPr>
        <w:t>)</w:t>
      </w:r>
      <w:r w:rsidRPr="007B0AA1">
        <w:rPr>
          <w:rFonts w:cs="Arial"/>
          <w:lang w:bidi="ar-SA"/>
        </w:rPr>
        <w:tab/>
      </w:r>
      <w:r w:rsidR="00A111E9">
        <w:rPr>
          <w:rFonts w:cs="Arial"/>
          <w:lang w:bidi="ar-SA"/>
        </w:rPr>
        <w:tab/>
      </w:r>
      <w:r w:rsidRPr="007B0AA1">
        <w:rPr>
          <w:rFonts w:cs="Arial"/>
          <w:lang w:bidi="ar-SA"/>
        </w:rPr>
        <w:t>= 0.2 L/kg</w:t>
      </w:r>
    </w:p>
    <w:p w14:paraId="4AE00385" w14:textId="77777777" w:rsidR="007B0AA1" w:rsidRPr="007B0AA1" w:rsidRDefault="007B0AA1" w:rsidP="00A111E9">
      <w:pPr>
        <w:rPr>
          <w:lang w:bidi="ar-SA"/>
        </w:rPr>
      </w:pPr>
    </w:p>
    <w:p w14:paraId="0EF3D857" w14:textId="77777777" w:rsidR="007B0AA1" w:rsidRPr="007B0AA1" w:rsidRDefault="007B0AA1" w:rsidP="00A111E9">
      <w:pPr>
        <w:rPr>
          <w:lang w:bidi="ar-SA"/>
        </w:rPr>
      </w:pPr>
      <w:r w:rsidRPr="007B0AA1">
        <w:rPr>
          <w:lang w:bidi="ar-SA"/>
        </w:rPr>
        <w:t>according to the equation</w:t>
      </w:r>
    </w:p>
    <w:p w14:paraId="3BBF3EF9" w14:textId="77777777" w:rsidR="007B0AA1" w:rsidRPr="007B0AA1" w:rsidRDefault="007B0AA1" w:rsidP="00A111E9">
      <w:pPr>
        <w:rPr>
          <w:lang w:bidi="ar-SA"/>
        </w:rPr>
      </w:pPr>
      <w:r w:rsidRPr="007B0AA1">
        <w:rPr>
          <w:lang w:bidi="ar-SA"/>
        </w:rPr>
        <w:t>D</w:t>
      </w:r>
      <w:r w:rsidRPr="007B0AA1">
        <w:rPr>
          <w:vertAlign w:val="subscript"/>
          <w:lang w:bidi="ar-SA"/>
        </w:rPr>
        <w:t>SS</w:t>
      </w:r>
      <w:r w:rsidRPr="007B0AA1">
        <w:rPr>
          <w:lang w:bidi="ar-SA"/>
        </w:rPr>
        <w:tab/>
        <w:t>= (C</w:t>
      </w:r>
      <w:r w:rsidRPr="007B0AA1">
        <w:rPr>
          <w:vertAlign w:val="subscript"/>
          <w:lang w:bidi="ar-SA"/>
        </w:rPr>
        <w:t>SS</w:t>
      </w:r>
      <w:r w:rsidRPr="007B0AA1">
        <w:rPr>
          <w:lang w:bidi="ar-SA"/>
        </w:rPr>
        <w:t>.k</w:t>
      </w:r>
      <w:r w:rsidRPr="007B0AA1">
        <w:rPr>
          <w:vertAlign w:val="subscript"/>
          <w:lang w:bidi="ar-SA"/>
        </w:rPr>
        <w:t>e</w:t>
      </w:r>
      <w:r w:rsidRPr="007B0AA1">
        <w:rPr>
          <w:lang w:bidi="ar-SA"/>
        </w:rPr>
        <w:t>.V</w:t>
      </w:r>
      <w:r w:rsidRPr="007B0AA1">
        <w:rPr>
          <w:vertAlign w:val="subscript"/>
          <w:lang w:bidi="ar-SA"/>
        </w:rPr>
        <w:t>d</w:t>
      </w:r>
      <w:r w:rsidRPr="007B0AA1">
        <w:rPr>
          <w:lang w:bidi="ar-SA"/>
        </w:rPr>
        <w:t>)/AF</w:t>
      </w:r>
    </w:p>
    <w:p w14:paraId="32DFA73B" w14:textId="77777777" w:rsidR="007B0AA1" w:rsidRPr="007B0AA1" w:rsidRDefault="007B0AA1" w:rsidP="00A111E9">
      <w:pPr>
        <w:rPr>
          <w:lang w:bidi="ar-SA"/>
        </w:rPr>
      </w:pPr>
    </w:p>
    <w:p w14:paraId="491F54EE" w14:textId="5F67AE26" w:rsidR="007B0AA1" w:rsidRPr="007B0AA1" w:rsidRDefault="007B0AA1" w:rsidP="00A111E9">
      <w:pPr>
        <w:rPr>
          <w:lang w:bidi="ar-SA"/>
        </w:rPr>
      </w:pPr>
      <w:r w:rsidRPr="007B0AA1">
        <w:rPr>
          <w:lang w:bidi="ar-SA"/>
        </w:rPr>
        <w:t>in which D</w:t>
      </w:r>
      <w:r w:rsidRPr="007B0AA1">
        <w:rPr>
          <w:vertAlign w:val="subscript"/>
          <w:lang w:bidi="ar-SA"/>
        </w:rPr>
        <w:t>ss</w:t>
      </w:r>
      <w:r w:rsidRPr="007B0AA1">
        <w:rPr>
          <w:lang w:bidi="ar-SA"/>
        </w:rPr>
        <w:t xml:space="preserve"> is external steady-state dosage and C</w:t>
      </w:r>
      <w:r w:rsidR="00AB35CC">
        <w:rPr>
          <w:vertAlign w:val="subscript"/>
          <w:lang w:bidi="ar-SA"/>
        </w:rPr>
        <w:t>ss</w:t>
      </w:r>
      <w:r w:rsidRPr="007B0AA1">
        <w:rPr>
          <w:lang w:bidi="ar-SA"/>
        </w:rPr>
        <w:t xml:space="preserve"> is steady-state serum concentration.</w:t>
      </w:r>
    </w:p>
    <w:p w14:paraId="520A07C6" w14:textId="77777777" w:rsidR="007B0AA1" w:rsidRPr="007B0AA1" w:rsidRDefault="007B0AA1" w:rsidP="00A111E9">
      <w:pPr>
        <w:rPr>
          <w:lang w:bidi="ar-SA"/>
        </w:rPr>
      </w:pPr>
    </w:p>
    <w:p w14:paraId="65D9248C" w14:textId="2790CD1C" w:rsidR="007B0AA1" w:rsidRPr="007B0AA1" w:rsidRDefault="007B0AA1" w:rsidP="00A111E9">
      <w:pPr>
        <w:rPr>
          <w:lang w:bidi="ar-SA"/>
        </w:rPr>
      </w:pPr>
      <w:r w:rsidRPr="007B0AA1">
        <w:rPr>
          <w:lang w:bidi="ar-SA"/>
        </w:rPr>
        <w:t>HEDs were calculated for BMDL</w:t>
      </w:r>
      <w:r w:rsidRPr="007B0AA1">
        <w:rPr>
          <w:vertAlign w:val="subscript"/>
          <w:lang w:bidi="ar-SA"/>
        </w:rPr>
        <w:t>1SD</w:t>
      </w:r>
      <w:r w:rsidRPr="007B0AA1">
        <w:rPr>
          <w:lang w:bidi="ar-SA"/>
        </w:rPr>
        <w:t>, BMDL</w:t>
      </w:r>
      <w:r w:rsidRPr="007B0AA1">
        <w:rPr>
          <w:vertAlign w:val="subscript"/>
          <w:lang w:bidi="ar-SA"/>
        </w:rPr>
        <w:t>2SD</w:t>
      </w:r>
      <w:r w:rsidRPr="007B0AA1">
        <w:rPr>
          <w:lang w:bidi="ar-SA"/>
        </w:rPr>
        <w:t xml:space="preserve"> and BMDL</w:t>
      </w:r>
      <w:r w:rsidRPr="007B0AA1">
        <w:rPr>
          <w:vertAlign w:val="subscript"/>
          <w:lang w:bidi="ar-SA"/>
        </w:rPr>
        <w:t>RD10%</w:t>
      </w:r>
      <w:r w:rsidRPr="007B0AA1">
        <w:rPr>
          <w:lang w:bidi="ar-SA"/>
        </w:rPr>
        <w:t xml:space="preserve"> for the absolute liver weight using the linear model and for the relative liver weight using the polynomial model. The BMDL</w:t>
      </w:r>
      <w:r w:rsidRPr="007B0AA1">
        <w:rPr>
          <w:vertAlign w:val="subscript"/>
        </w:rPr>
        <w:t>RD10</w:t>
      </w:r>
      <w:r w:rsidRPr="007B0AA1">
        <w:rPr>
          <w:vertAlign w:val="subscript"/>
          <w:lang w:bidi="ar-SA"/>
        </w:rPr>
        <w:t xml:space="preserve">% </w:t>
      </w:r>
      <w:r w:rsidRPr="007B0AA1">
        <w:rPr>
          <w:lang w:bidi="ar-SA"/>
        </w:rPr>
        <w:t>for absolute liver weight was selected as the POD giving the lowest HED, which was</w:t>
      </w:r>
      <w:r w:rsidRPr="007B0AA1">
        <w:t xml:space="preserve"> </w:t>
      </w:r>
      <w:r w:rsidRPr="007B0AA1">
        <w:rPr>
          <w:lang w:bidi="ar-SA"/>
        </w:rPr>
        <w:t>1.54 x 10</w:t>
      </w:r>
      <w:r w:rsidRPr="007B0AA1">
        <w:rPr>
          <w:vertAlign w:val="superscript"/>
        </w:rPr>
        <w:t>-3</w:t>
      </w:r>
      <w:r w:rsidRPr="007B0AA1">
        <w:rPr>
          <w:lang w:bidi="ar-SA"/>
        </w:rPr>
        <w:t xml:space="preserve"> mg/kg bw/day.</w:t>
      </w:r>
    </w:p>
    <w:p w14:paraId="565C0518" w14:textId="02E4DB00" w:rsidR="007B0AA1" w:rsidRPr="007B0AA1" w:rsidRDefault="007B0AA1" w:rsidP="00A111E9">
      <w:pPr>
        <w:rPr>
          <w:lang w:bidi="ar-SA"/>
        </w:rPr>
      </w:pPr>
    </w:p>
    <w:p w14:paraId="233C5BB0" w14:textId="20B2409B" w:rsidR="007B0AA1" w:rsidRPr="007B0AA1" w:rsidRDefault="007B0AA1" w:rsidP="00A111E9">
      <w:pPr>
        <w:rPr>
          <w:lang w:bidi="ar-SA"/>
        </w:rPr>
      </w:pPr>
      <w:r w:rsidRPr="007B0AA1">
        <w:rPr>
          <w:lang w:bidi="ar-SA"/>
        </w:rPr>
        <w:t>Uncertainty Factors applied to the HED to derive the MRL were 3 for extrapolation from animals to man (UF</w:t>
      </w:r>
      <w:r w:rsidRPr="007B0AA1">
        <w:rPr>
          <w:vertAlign w:val="subscript"/>
          <w:lang w:bidi="ar-SA"/>
        </w:rPr>
        <w:t>A</w:t>
      </w:r>
      <w:r w:rsidRPr="007B0AA1">
        <w:rPr>
          <w:lang w:bidi="ar-SA"/>
        </w:rPr>
        <w:t>), 10 for variability in the human population (UF</w:t>
      </w:r>
      <w:r w:rsidRPr="007B0AA1">
        <w:rPr>
          <w:vertAlign w:val="subscript"/>
          <w:lang w:bidi="ar-SA"/>
        </w:rPr>
        <w:t>H</w:t>
      </w:r>
      <w:r w:rsidRPr="007B0AA1">
        <w:rPr>
          <w:lang w:bidi="ar-SA"/>
        </w:rPr>
        <w:t>), and 3 for database deficiencies (UF</w:t>
      </w:r>
      <w:r w:rsidRPr="007B0AA1">
        <w:rPr>
          <w:vertAlign w:val="subscript"/>
          <w:lang w:bidi="ar-SA"/>
        </w:rPr>
        <w:t>D</w:t>
      </w:r>
      <w:r w:rsidRPr="007B0AA1">
        <w:rPr>
          <w:lang w:bidi="ar-SA"/>
        </w:rPr>
        <w:t>). The factor for database deficiencies was based on a lack of studies on developmental and immunological effects in monkeys. Such studies are not usually required for chemical risk assessment.</w:t>
      </w:r>
    </w:p>
    <w:p w14:paraId="5D962CFA" w14:textId="77777777" w:rsidR="007B0AA1" w:rsidRPr="007B0AA1" w:rsidRDefault="007B0AA1" w:rsidP="00A111E9">
      <w:pPr>
        <w:rPr>
          <w:lang w:bidi="ar-SA"/>
        </w:rPr>
      </w:pPr>
    </w:p>
    <w:p w14:paraId="65485BF1" w14:textId="77777777" w:rsidR="007B0AA1" w:rsidRPr="007B0AA1" w:rsidRDefault="007B0AA1" w:rsidP="00A111E9">
      <w:pPr>
        <w:rPr>
          <w:lang w:bidi="ar-SA"/>
        </w:rPr>
      </w:pPr>
      <w:r w:rsidRPr="007B0AA1">
        <w:rPr>
          <w:lang w:bidi="ar-SA"/>
        </w:rPr>
        <w:t xml:space="preserve">The final MRL was </w:t>
      </w:r>
      <w:r w:rsidRPr="007B0AA1">
        <w:rPr>
          <w:b/>
          <w:lang w:bidi="ar-SA"/>
        </w:rPr>
        <w:t>20 ng/kg/day</w:t>
      </w:r>
      <w:r w:rsidRPr="007B0AA1">
        <w:rPr>
          <w:lang w:bidi="ar-SA"/>
        </w:rPr>
        <w:t>.</w:t>
      </w:r>
    </w:p>
    <w:p w14:paraId="1B64E443" w14:textId="77777777" w:rsidR="007B0AA1" w:rsidRPr="007B0AA1" w:rsidRDefault="007B0AA1" w:rsidP="00112C61">
      <w:pPr>
        <w:pStyle w:val="Heading4"/>
      </w:pPr>
      <w:r w:rsidRPr="007B0AA1">
        <w:t>US EPA 2016</w:t>
      </w:r>
    </w:p>
    <w:p w14:paraId="70FE82F1" w14:textId="5DFC82F8" w:rsidR="007B0AA1" w:rsidRPr="007B0AA1" w:rsidRDefault="007B0AA1" w:rsidP="00A111E9">
      <w:pPr>
        <w:rPr>
          <w:lang w:bidi="ar-SA"/>
        </w:rPr>
      </w:pPr>
      <w:r w:rsidRPr="007B0AA1">
        <w:rPr>
          <w:lang w:bidi="ar-SA"/>
        </w:rPr>
        <w:t>The US EPA calculated RfDs for both noncancer and cancer effects.</w:t>
      </w:r>
    </w:p>
    <w:p w14:paraId="6EF25A5F" w14:textId="77777777" w:rsidR="007B0AA1" w:rsidRPr="007B0AA1" w:rsidRDefault="007B0AA1" w:rsidP="00A111E9">
      <w:pPr>
        <w:rPr>
          <w:lang w:bidi="ar-SA"/>
        </w:rPr>
      </w:pPr>
    </w:p>
    <w:p w14:paraId="6281F442" w14:textId="7165373A" w:rsidR="007B0AA1" w:rsidRPr="007B0AA1" w:rsidRDefault="007B0AA1" w:rsidP="00A111E9">
      <w:pPr>
        <w:rPr>
          <w:lang w:bidi="ar-SA"/>
        </w:rPr>
      </w:pPr>
      <w:r w:rsidRPr="007B0AA1">
        <w:rPr>
          <w:i/>
          <w:lang w:bidi="ar-SA"/>
        </w:rPr>
        <w:t>RfD for noncancer effects</w:t>
      </w:r>
    </w:p>
    <w:p w14:paraId="2E846AA9" w14:textId="77777777" w:rsidR="007B0AA1" w:rsidRPr="007B0AA1" w:rsidRDefault="007B0AA1" w:rsidP="00A111E9">
      <w:pPr>
        <w:rPr>
          <w:lang w:bidi="ar-SA"/>
        </w:rPr>
      </w:pPr>
    </w:p>
    <w:p w14:paraId="28FC9157" w14:textId="53049066" w:rsidR="007B0AA1" w:rsidRPr="007B0AA1" w:rsidRDefault="007B0AA1" w:rsidP="00A111E9">
      <w:pPr>
        <w:rPr>
          <w:lang w:bidi="ar-SA"/>
        </w:rPr>
      </w:pPr>
      <w:r w:rsidRPr="007B0AA1">
        <w:rPr>
          <w:lang w:bidi="ar-SA"/>
        </w:rPr>
        <w:t xml:space="preserve">A </w:t>
      </w:r>
      <w:r w:rsidR="00733D86">
        <w:rPr>
          <w:lang w:bidi="ar-SA"/>
        </w:rPr>
        <w:t>PB</w:t>
      </w:r>
      <w:r w:rsidRPr="007B0AA1">
        <w:rPr>
          <w:lang w:bidi="ar-SA"/>
        </w:rPr>
        <w:t>PK model was applied because of the complexity of the toxicokinetics of PFOA, the lack of a NOAEL in a number of the animal studies, the lack of reactivity of PFOA, and differences in pharmacokinetics between experimental subjects related to species, strain, sex and life stage.</w:t>
      </w:r>
    </w:p>
    <w:p w14:paraId="7C607611" w14:textId="77777777" w:rsidR="007B0AA1" w:rsidRPr="007B0AA1" w:rsidRDefault="007B0AA1" w:rsidP="00A111E9">
      <w:pPr>
        <w:rPr>
          <w:lang w:bidi="ar-SA"/>
        </w:rPr>
      </w:pPr>
    </w:p>
    <w:p w14:paraId="1B9E649C" w14:textId="71247B48" w:rsidR="007B0AA1" w:rsidRPr="007B0AA1" w:rsidRDefault="007B0AA1" w:rsidP="00A111E9">
      <w:pPr>
        <w:rPr>
          <w:lang w:bidi="ar-SA"/>
        </w:rPr>
      </w:pPr>
      <w:r w:rsidRPr="007B0AA1">
        <w:rPr>
          <w:lang w:bidi="ar-SA"/>
        </w:rPr>
        <w:t>Human data were not considered directly useful for the derivation of a RfD because exposures were often to multiple PFAS, and because the actual exposure level was uncertain.</w:t>
      </w:r>
    </w:p>
    <w:p w14:paraId="268686DF" w14:textId="77777777" w:rsidR="007B0AA1" w:rsidRPr="007B0AA1" w:rsidRDefault="007B0AA1" w:rsidP="00A111E9">
      <w:pPr>
        <w:rPr>
          <w:lang w:bidi="ar-SA"/>
        </w:rPr>
      </w:pPr>
    </w:p>
    <w:p w14:paraId="11F0D675" w14:textId="77777777" w:rsidR="007B0AA1" w:rsidRPr="007B0AA1" w:rsidRDefault="007B0AA1" w:rsidP="00A111E9">
      <w:pPr>
        <w:rPr>
          <w:lang w:bidi="ar-SA"/>
        </w:rPr>
      </w:pPr>
      <w:r w:rsidRPr="007B0AA1">
        <w:rPr>
          <w:lang w:bidi="ar-SA"/>
        </w:rPr>
        <w:t>PFOA is known to cause peroxisome proliferation, leading to hepatocellular hypertrophy and increased liver weight, particularly in rodents. Increases in liver weights in animal studies following administration of peroxisome proliferators are not considered to be predictive of adverse effects in human beings unless accompanied by histopathological lesions such as necrosis, inflammation, fibrosis and/or macrovesicular steatosis. Although some liver pathology was seen in some animal studies of PFOA, and there is some evidence of effects of PFOA on the liver that are not mediated by PPARα receptors, the US EPA noted that it is difficult to separate the effects of PPARα activation from direct effects of PFOA on the liver.</w:t>
      </w:r>
    </w:p>
    <w:p w14:paraId="5F5FF7E1" w14:textId="77777777" w:rsidR="007B0AA1" w:rsidRPr="007B0AA1" w:rsidRDefault="007B0AA1" w:rsidP="00A111E9">
      <w:pPr>
        <w:rPr>
          <w:lang w:bidi="ar-SA"/>
        </w:rPr>
      </w:pPr>
    </w:p>
    <w:p w14:paraId="7FB56779" w14:textId="7B3CD652" w:rsidR="007B0AA1" w:rsidRPr="007B0AA1" w:rsidRDefault="007B0AA1" w:rsidP="00A111E9">
      <w:pPr>
        <w:rPr>
          <w:lang w:bidi="ar-SA"/>
        </w:rPr>
      </w:pPr>
      <w:r w:rsidRPr="007B0AA1">
        <w:rPr>
          <w:lang w:bidi="ar-SA"/>
        </w:rPr>
        <w:t xml:space="preserve">Criteria for selecting animal studies for derivation of an RfD were the determination of a NOAEL and/or LOAEL, inclusion of a control group, use of two or more doses, and available serum data for the species, strain and sex for the purpose of </w:t>
      </w:r>
      <w:r w:rsidR="00733D86">
        <w:rPr>
          <w:lang w:bidi="ar-SA"/>
        </w:rPr>
        <w:t>PB</w:t>
      </w:r>
      <w:r w:rsidRPr="007B0AA1">
        <w:rPr>
          <w:lang w:bidi="ar-SA"/>
        </w:rPr>
        <w:t xml:space="preserve">PK modelling. The selected studies were a 90-day study in monkeys by Goldenthal (1978), a 26-week study in monkeys by Butenhoff </w:t>
      </w:r>
      <w:r w:rsidR="00180A32" w:rsidRPr="00180A32">
        <w:rPr>
          <w:i/>
        </w:rPr>
        <w:t xml:space="preserve">et al. </w:t>
      </w:r>
      <w:r w:rsidR="00CC50B8">
        <w:t xml:space="preserve"> </w:t>
      </w:r>
      <w:r w:rsidRPr="007B0AA1">
        <w:rPr>
          <w:lang w:bidi="ar-SA"/>
        </w:rPr>
        <w:t xml:space="preserve">(2002), a 13-week study in rats by Perkins </w:t>
      </w:r>
      <w:r w:rsidR="00180A32" w:rsidRPr="00180A32">
        <w:rPr>
          <w:i/>
        </w:rPr>
        <w:t xml:space="preserve">et al. </w:t>
      </w:r>
      <w:r w:rsidR="00CC50B8">
        <w:t xml:space="preserve"> </w:t>
      </w:r>
      <w:r w:rsidRPr="007B0AA1">
        <w:rPr>
          <w:lang w:bidi="ar-SA"/>
        </w:rPr>
        <w:t xml:space="preserve">(2004), a two-generation rat study by Butenhoff </w:t>
      </w:r>
      <w:r w:rsidR="00180A32" w:rsidRPr="00180A32">
        <w:rPr>
          <w:i/>
        </w:rPr>
        <w:t xml:space="preserve">et al. </w:t>
      </w:r>
      <w:r w:rsidR="00CC50B8">
        <w:t xml:space="preserve"> </w:t>
      </w:r>
      <w:r w:rsidRPr="007B0AA1">
        <w:rPr>
          <w:lang w:bidi="ar-SA"/>
        </w:rPr>
        <w:t xml:space="preserve">(2004a), and a 2-year study in rats by Butenhoff </w:t>
      </w:r>
      <w:r w:rsidR="00180A32" w:rsidRPr="00180A32">
        <w:rPr>
          <w:i/>
        </w:rPr>
        <w:t xml:space="preserve">et al. </w:t>
      </w:r>
      <w:r w:rsidR="00CC50B8">
        <w:t xml:space="preserve"> </w:t>
      </w:r>
      <w:r w:rsidRPr="007B0AA1">
        <w:rPr>
          <w:lang w:bidi="ar-SA"/>
        </w:rPr>
        <w:t xml:space="preserve">(2012). In </w:t>
      </w:r>
      <w:r w:rsidRPr="007B0AA1">
        <w:rPr>
          <w:lang w:bidi="ar-SA"/>
        </w:rPr>
        <w:lastRenderedPageBreak/>
        <w:t>addition, a number of short</w:t>
      </w:r>
      <w:r w:rsidR="00032CF6">
        <w:rPr>
          <w:lang w:bidi="ar-SA"/>
        </w:rPr>
        <w:t xml:space="preserve"> </w:t>
      </w:r>
      <w:r w:rsidRPr="007B0AA1">
        <w:rPr>
          <w:lang w:bidi="ar-SA"/>
        </w:rPr>
        <w:t xml:space="preserve">term studies were also considered including developmental studies in mice reported by Lau </w:t>
      </w:r>
      <w:r w:rsidR="00180A32" w:rsidRPr="00180A32">
        <w:rPr>
          <w:i/>
        </w:rPr>
        <w:t xml:space="preserve">et al. </w:t>
      </w:r>
      <w:r w:rsidR="00CC50B8">
        <w:t xml:space="preserve"> </w:t>
      </w:r>
      <w:r w:rsidRPr="007B0AA1">
        <w:rPr>
          <w:lang w:bidi="ar-SA"/>
        </w:rPr>
        <w:t xml:space="preserve">(2006), Wolf </w:t>
      </w:r>
      <w:r w:rsidR="00180A32" w:rsidRPr="00180A32">
        <w:rPr>
          <w:i/>
        </w:rPr>
        <w:t xml:space="preserve">et al. </w:t>
      </w:r>
      <w:r w:rsidR="00CC50B8">
        <w:t xml:space="preserve"> </w:t>
      </w:r>
      <w:r w:rsidRPr="007B0AA1">
        <w:rPr>
          <w:lang w:bidi="ar-SA"/>
        </w:rPr>
        <w:t xml:space="preserve">(2007), White </w:t>
      </w:r>
      <w:r w:rsidR="00180A32" w:rsidRPr="00180A32">
        <w:rPr>
          <w:i/>
        </w:rPr>
        <w:t xml:space="preserve">et al. </w:t>
      </w:r>
      <w:r w:rsidR="00CC50B8">
        <w:t xml:space="preserve"> </w:t>
      </w:r>
      <w:r w:rsidRPr="007B0AA1">
        <w:rPr>
          <w:lang w:bidi="ar-SA"/>
        </w:rPr>
        <w:t xml:space="preserve">(2009), Macon </w:t>
      </w:r>
      <w:r w:rsidR="00180A32" w:rsidRPr="00180A32">
        <w:rPr>
          <w:i/>
        </w:rPr>
        <w:t xml:space="preserve">et al. </w:t>
      </w:r>
      <w:r w:rsidR="00CC50B8">
        <w:t xml:space="preserve"> </w:t>
      </w:r>
      <w:r w:rsidRPr="007B0AA1">
        <w:rPr>
          <w:lang w:bidi="ar-SA"/>
        </w:rPr>
        <w:t xml:space="preserve">2011, and an immunotoxicity study reported by De Witt </w:t>
      </w:r>
      <w:r w:rsidR="00180A32" w:rsidRPr="00180A32">
        <w:rPr>
          <w:i/>
        </w:rPr>
        <w:t xml:space="preserve">et al. </w:t>
      </w:r>
      <w:r w:rsidR="00CC50B8">
        <w:t xml:space="preserve"> </w:t>
      </w:r>
      <w:r w:rsidRPr="007B0AA1">
        <w:rPr>
          <w:lang w:bidi="ar-SA"/>
        </w:rPr>
        <w:t>(2008).</w:t>
      </w:r>
    </w:p>
    <w:p w14:paraId="6D4F8D02" w14:textId="77777777" w:rsidR="007B0AA1" w:rsidRPr="007B0AA1" w:rsidRDefault="007B0AA1" w:rsidP="00A111E9">
      <w:pPr>
        <w:rPr>
          <w:lang w:bidi="ar-SA"/>
        </w:rPr>
      </w:pPr>
    </w:p>
    <w:p w14:paraId="1FE16FE7" w14:textId="09C11B32" w:rsidR="007B0AA1" w:rsidRPr="007B0AA1" w:rsidRDefault="007B0AA1" w:rsidP="00A111E9">
      <w:pPr>
        <w:rPr>
          <w:lang w:bidi="ar-SA"/>
        </w:rPr>
      </w:pPr>
      <w:r w:rsidRPr="007B0AA1">
        <w:rPr>
          <w:lang w:bidi="ar-SA"/>
        </w:rPr>
        <w:t xml:space="preserve">It was noted that the Butenhoff </w:t>
      </w:r>
      <w:r w:rsidR="00180A32" w:rsidRPr="00180A32">
        <w:rPr>
          <w:i/>
        </w:rPr>
        <w:t xml:space="preserve">et al. </w:t>
      </w:r>
      <w:r w:rsidR="00CC50B8">
        <w:t xml:space="preserve"> </w:t>
      </w:r>
      <w:r w:rsidRPr="007B0AA1">
        <w:rPr>
          <w:lang w:bidi="ar-SA"/>
        </w:rPr>
        <w:t>(2002) monkey study was only included in for the purpose of comparison of serum levels, due to the small number of test subjects and the lack of histological correlates to the increased liver weight found.</w:t>
      </w:r>
    </w:p>
    <w:p w14:paraId="268EB33B" w14:textId="507664EF" w:rsidR="007B0AA1" w:rsidRPr="007B0AA1" w:rsidRDefault="007B0AA1" w:rsidP="00A111E9">
      <w:pPr>
        <w:rPr>
          <w:lang w:bidi="ar-SA"/>
        </w:rPr>
      </w:pPr>
    </w:p>
    <w:p w14:paraId="4B7EAEC2" w14:textId="5EA1AE69" w:rsidR="007B0AA1" w:rsidRPr="007B0AA1" w:rsidRDefault="007B0AA1" w:rsidP="00A111E9">
      <w:pPr>
        <w:rPr>
          <w:lang w:bidi="ar-SA"/>
        </w:rPr>
      </w:pPr>
      <w:r w:rsidRPr="007B0AA1">
        <w:rPr>
          <w:lang w:bidi="ar-SA"/>
        </w:rPr>
        <w:t>The very long half-life of PFOA was considered problematic, but a saturable renal resorption model was used to predict average serum values at termination and the duration required to reach steady</w:t>
      </w:r>
      <w:r w:rsidR="00032CF6">
        <w:rPr>
          <w:lang w:bidi="ar-SA"/>
        </w:rPr>
        <w:t>-</w:t>
      </w:r>
      <w:r w:rsidRPr="007B0AA1">
        <w:rPr>
          <w:lang w:bidi="ar-SA"/>
        </w:rPr>
        <w:t xml:space="preserve">state. PK data were obtained from a </w:t>
      </w:r>
      <w:r w:rsidR="00E5397E">
        <w:rPr>
          <w:lang w:bidi="ar-SA"/>
        </w:rPr>
        <w:t>cynomolgus</w:t>
      </w:r>
      <w:r w:rsidR="00E5397E" w:rsidRPr="007B0AA1">
        <w:rPr>
          <w:lang w:bidi="ar-SA"/>
        </w:rPr>
        <w:t xml:space="preserve"> </w:t>
      </w:r>
      <w:r w:rsidRPr="007B0AA1">
        <w:rPr>
          <w:lang w:bidi="ar-SA"/>
        </w:rPr>
        <w:t xml:space="preserve">monkey study by Butenhoff </w:t>
      </w:r>
      <w:r w:rsidR="00180A32" w:rsidRPr="00180A32">
        <w:rPr>
          <w:i/>
        </w:rPr>
        <w:t xml:space="preserve">et al. </w:t>
      </w:r>
      <w:r w:rsidR="00CC50B8">
        <w:t xml:space="preserve"> </w:t>
      </w:r>
      <w:r w:rsidRPr="007B0AA1">
        <w:rPr>
          <w:lang w:bidi="ar-SA"/>
        </w:rPr>
        <w:t xml:space="preserve">(2004b), a Sprague Dawley rat study of Kemper (2003) and two strains of mouse; CD1 mice (Lau </w:t>
      </w:r>
      <w:r w:rsidR="00180A32" w:rsidRPr="00180A32">
        <w:rPr>
          <w:i/>
          <w:lang w:bidi="ar-SA"/>
        </w:rPr>
        <w:t xml:space="preserve">et al. </w:t>
      </w:r>
      <w:r w:rsidR="00CC50B8">
        <w:rPr>
          <w:lang w:bidi="ar-SA"/>
        </w:rPr>
        <w:t xml:space="preserve"> </w:t>
      </w:r>
      <w:r w:rsidRPr="007B0AA1">
        <w:rPr>
          <w:lang w:bidi="ar-SA"/>
        </w:rPr>
        <w:t xml:space="preserve">2009) and C57BL6/N mice (De Witt </w:t>
      </w:r>
      <w:r w:rsidR="00180A32" w:rsidRPr="00180A32">
        <w:rPr>
          <w:i/>
        </w:rPr>
        <w:t xml:space="preserve">et al. </w:t>
      </w:r>
      <w:r w:rsidR="00CC50B8">
        <w:t xml:space="preserve"> </w:t>
      </w:r>
      <w:r w:rsidRPr="007B0AA1">
        <w:rPr>
          <w:lang w:bidi="ar-SA"/>
        </w:rPr>
        <w:t>2008). Male and female data were fitted separately for rats, because of marked sex differences, while only female mouse data were used. Data from both sexes were combined for monkeys.</w:t>
      </w:r>
    </w:p>
    <w:p w14:paraId="56031786" w14:textId="77777777" w:rsidR="007B0AA1" w:rsidRPr="007B0AA1" w:rsidRDefault="007B0AA1" w:rsidP="00A111E9">
      <w:pPr>
        <w:rPr>
          <w:lang w:bidi="ar-SA"/>
        </w:rPr>
      </w:pPr>
    </w:p>
    <w:p w14:paraId="4FAA61B8" w14:textId="70023595" w:rsidR="007B0AA1" w:rsidRPr="007B0AA1" w:rsidRDefault="007B0AA1" w:rsidP="00A111E9">
      <w:pPr>
        <w:rPr>
          <w:lang w:bidi="ar-SA"/>
        </w:rPr>
      </w:pPr>
      <w:r w:rsidRPr="007B0AA1">
        <w:rPr>
          <w:lang w:bidi="ar-SA"/>
        </w:rPr>
        <w:t>For each study with a toxicological endpoint and a LOAEL, the AUC and final serum concentrations were determined for the exposure duration of that study. A final serum concentration was estimated for each treatment and compared to the actual measured serum concentration. It was found that the predicted serum concentration could differ from the actual serum concentration by a factor of two when data from the same strain were used for the prediction, and by a factor of four if a different strain was used. Thus, there is some uncertainty about the exposure estimates.</w:t>
      </w:r>
    </w:p>
    <w:p w14:paraId="5673BB37" w14:textId="77777777" w:rsidR="007B0AA1" w:rsidRPr="007B0AA1" w:rsidRDefault="007B0AA1" w:rsidP="00A111E9">
      <w:pPr>
        <w:rPr>
          <w:lang w:bidi="ar-SA"/>
        </w:rPr>
      </w:pPr>
    </w:p>
    <w:p w14:paraId="30E211FC" w14:textId="7BACE887" w:rsidR="007B0AA1" w:rsidRPr="007B0AA1" w:rsidRDefault="007B0AA1" w:rsidP="00A111E9">
      <w:pPr>
        <w:rPr>
          <w:lang w:bidi="ar-SA"/>
        </w:rPr>
      </w:pPr>
      <w:r w:rsidRPr="007B0AA1">
        <w:rPr>
          <w:lang w:bidi="ar-SA"/>
        </w:rPr>
        <w:t xml:space="preserve">The average serum concentration was determined through numeric simulation. The serum concentrations associated with LOAELs differed by less than an order of magnitude (13.1 to 96.2 mg/L) between studies, while the AUC values differed by over two orders of magnitude (5360-380,000 mg/L*h). Serum concentrations associated with the LOAEL were 38 mg/L for developmental effects in the Lau </w:t>
      </w:r>
      <w:r w:rsidR="00180A32" w:rsidRPr="00180A32">
        <w:rPr>
          <w:i/>
        </w:rPr>
        <w:t xml:space="preserve">et al. </w:t>
      </w:r>
      <w:r w:rsidR="00CC50B8">
        <w:t xml:space="preserve"> </w:t>
      </w:r>
      <w:r w:rsidRPr="007B0AA1">
        <w:rPr>
          <w:lang w:bidi="ar-SA"/>
        </w:rPr>
        <w:t xml:space="preserve">(2006) mouse developmental study, 45.9 mg/L for effects in organ weights of males in the Butenhoff </w:t>
      </w:r>
      <w:r w:rsidR="00180A32" w:rsidRPr="00180A32">
        <w:rPr>
          <w:i/>
        </w:rPr>
        <w:t xml:space="preserve">et al. </w:t>
      </w:r>
      <w:r w:rsidR="00CC50B8">
        <w:t xml:space="preserve"> </w:t>
      </w:r>
      <w:r w:rsidRPr="007B0AA1">
        <w:rPr>
          <w:lang w:bidi="ar-SA"/>
        </w:rPr>
        <w:t xml:space="preserve">(2004a) two-generation rat study, and 61.9 mg/L for the De Witt </w:t>
      </w:r>
      <w:r w:rsidR="00180A32" w:rsidRPr="00180A32">
        <w:rPr>
          <w:i/>
        </w:rPr>
        <w:t xml:space="preserve">et al. </w:t>
      </w:r>
      <w:r w:rsidR="00CC50B8">
        <w:t xml:space="preserve"> </w:t>
      </w:r>
      <w:r w:rsidRPr="007B0AA1">
        <w:rPr>
          <w:lang w:bidi="ar-SA"/>
        </w:rPr>
        <w:t xml:space="preserve">(2008) mouse immunotoxicity study. It was noted that the LOAELs are roughly consistent (within the same order of magnitude) across sex, species and treatment with respect to average serum concentrations. The US EPA then concluded that it may be expected that similar concentrations would cause similar effects in humans, based on the assumption that PK alone explains variation, and that </w:t>
      </w:r>
      <w:r w:rsidR="00AB35CC">
        <w:rPr>
          <w:lang w:bidi="ar-SA"/>
        </w:rPr>
        <w:t>MOA</w:t>
      </w:r>
      <w:r w:rsidRPr="007B0AA1">
        <w:rPr>
          <w:lang w:bidi="ar-SA"/>
        </w:rPr>
        <w:t xml:space="preserve"> and susceptibility to toxicity do not vary between species.</w:t>
      </w:r>
    </w:p>
    <w:p w14:paraId="6BD8C4B0" w14:textId="77777777" w:rsidR="007B0AA1" w:rsidRPr="007B0AA1" w:rsidRDefault="007B0AA1" w:rsidP="00A111E9">
      <w:pPr>
        <w:rPr>
          <w:lang w:bidi="ar-SA"/>
        </w:rPr>
      </w:pPr>
    </w:p>
    <w:p w14:paraId="75FE9376" w14:textId="336182F2" w:rsidR="007B0AA1" w:rsidRPr="007B0AA1" w:rsidRDefault="007B0AA1" w:rsidP="00A111E9">
      <w:pPr>
        <w:rPr>
          <w:lang w:bidi="ar-SA"/>
        </w:rPr>
      </w:pPr>
      <w:r w:rsidRPr="007B0AA1">
        <w:rPr>
          <w:lang w:bidi="ar-SA"/>
        </w:rPr>
        <w:t>The C</w:t>
      </w:r>
      <w:r w:rsidRPr="007B0AA1">
        <w:rPr>
          <w:vertAlign w:val="subscript"/>
          <w:lang w:bidi="ar-SA"/>
        </w:rPr>
        <w:t>ss</w:t>
      </w:r>
      <w:r w:rsidR="006C5992">
        <w:rPr>
          <w:vertAlign w:val="subscript"/>
          <w:lang w:bidi="ar-SA"/>
        </w:rPr>
        <w:t xml:space="preserve"> </w:t>
      </w:r>
      <w:r w:rsidRPr="007B0AA1">
        <w:rPr>
          <w:lang w:bidi="ar-SA"/>
        </w:rPr>
        <w:t xml:space="preserve">in </w:t>
      </w:r>
      <w:r w:rsidRPr="007B0AA1">
        <w:rPr>
          <w:rFonts w:cs="Arial"/>
          <w:lang w:bidi="ar-SA"/>
        </w:rPr>
        <w:t>µ</w:t>
      </w:r>
      <w:r w:rsidRPr="007B0AA1">
        <w:rPr>
          <w:lang w:bidi="ar-SA"/>
        </w:rPr>
        <w:t>mol/h resulting from a constant infusion was then calculated and the fraction of C</w:t>
      </w:r>
      <w:r w:rsidRPr="007B0AA1">
        <w:rPr>
          <w:vertAlign w:val="subscript"/>
          <w:lang w:bidi="ar-SA"/>
        </w:rPr>
        <w:t xml:space="preserve">ss </w:t>
      </w:r>
      <w:r w:rsidRPr="007B0AA1">
        <w:rPr>
          <w:lang w:bidi="ar-SA"/>
        </w:rPr>
        <w:t>compared to the average serum concentration predicted. It was found that none of the studies represented C</w:t>
      </w:r>
      <w:r w:rsidRPr="007B0AA1">
        <w:rPr>
          <w:vertAlign w:val="subscript"/>
          <w:lang w:bidi="ar-SA"/>
        </w:rPr>
        <w:t>ss</w:t>
      </w:r>
      <w:r w:rsidRPr="007B0AA1">
        <w:rPr>
          <w:lang w:bidi="ar-SA"/>
        </w:rPr>
        <w:t xml:space="preserve">, although four studies (Perkins </w:t>
      </w:r>
      <w:r w:rsidR="00180A32" w:rsidRPr="00180A32">
        <w:rPr>
          <w:i/>
        </w:rPr>
        <w:t xml:space="preserve">et al. </w:t>
      </w:r>
      <w:r w:rsidR="00CC50B8">
        <w:t xml:space="preserve"> </w:t>
      </w:r>
      <w:r w:rsidRPr="007B0AA1">
        <w:rPr>
          <w:lang w:bidi="ar-SA"/>
        </w:rPr>
        <w:t xml:space="preserve">2004; Butenhoff </w:t>
      </w:r>
      <w:r w:rsidR="00180A32" w:rsidRPr="00180A32">
        <w:rPr>
          <w:i/>
        </w:rPr>
        <w:t xml:space="preserve">et al. </w:t>
      </w:r>
      <w:r w:rsidR="00CC50B8">
        <w:t xml:space="preserve"> </w:t>
      </w:r>
      <w:r w:rsidRPr="007B0AA1">
        <w:rPr>
          <w:lang w:bidi="ar-SA"/>
        </w:rPr>
        <w:t xml:space="preserve">2004a; Wolf </w:t>
      </w:r>
      <w:r w:rsidR="00180A32" w:rsidRPr="00180A32">
        <w:rPr>
          <w:i/>
        </w:rPr>
        <w:t xml:space="preserve">et al. </w:t>
      </w:r>
      <w:r w:rsidR="00CC50B8">
        <w:t xml:space="preserve"> </w:t>
      </w:r>
      <w:r w:rsidRPr="007B0AA1">
        <w:rPr>
          <w:lang w:bidi="ar-SA"/>
        </w:rPr>
        <w:t xml:space="preserve">2007 GDs 7-17 and Wolf </w:t>
      </w:r>
      <w:r w:rsidR="00180A32" w:rsidRPr="00180A32">
        <w:rPr>
          <w:i/>
        </w:rPr>
        <w:t xml:space="preserve">et al. </w:t>
      </w:r>
      <w:r w:rsidR="00CC50B8">
        <w:t xml:space="preserve"> </w:t>
      </w:r>
      <w:r w:rsidRPr="007B0AA1">
        <w:rPr>
          <w:lang w:bidi="ar-SA"/>
        </w:rPr>
        <w:t>2007, GDs 1-17) resulted in serum values greater than 80% of C</w:t>
      </w:r>
      <w:r w:rsidRPr="007B0AA1">
        <w:rPr>
          <w:vertAlign w:val="subscript"/>
          <w:lang w:bidi="ar-SA"/>
        </w:rPr>
        <w:t>ss</w:t>
      </w:r>
      <w:r w:rsidRPr="007B0AA1">
        <w:rPr>
          <w:lang w:bidi="ar-SA"/>
        </w:rPr>
        <w:t>. Thus, there is also uncertainty inherent in calculating a RfD for chronic lifetime exposure from a projection that does not represent C</w:t>
      </w:r>
      <w:r w:rsidRPr="007B0AA1">
        <w:rPr>
          <w:vertAlign w:val="subscript"/>
          <w:lang w:bidi="ar-SA"/>
        </w:rPr>
        <w:t>ss</w:t>
      </w:r>
      <w:r w:rsidRPr="007B0AA1">
        <w:rPr>
          <w:lang w:bidi="ar-SA"/>
        </w:rPr>
        <w:t>.</w:t>
      </w:r>
    </w:p>
    <w:p w14:paraId="426C1BEA" w14:textId="77777777" w:rsidR="007B0AA1" w:rsidRPr="007B0AA1" w:rsidRDefault="007B0AA1" w:rsidP="00A111E9">
      <w:pPr>
        <w:rPr>
          <w:lang w:bidi="ar-SA"/>
        </w:rPr>
      </w:pPr>
    </w:p>
    <w:p w14:paraId="4877B833" w14:textId="193454A6" w:rsidR="007B0AA1" w:rsidRPr="007B0AA1" w:rsidRDefault="007B0AA1" w:rsidP="00A111E9">
      <w:pPr>
        <w:rPr>
          <w:lang w:bidi="ar-SA"/>
        </w:rPr>
      </w:pPr>
      <w:r w:rsidRPr="007B0AA1">
        <w:rPr>
          <w:lang w:bidi="ar-SA"/>
        </w:rPr>
        <w:t>Measurements of the t</w:t>
      </w:r>
      <w:r w:rsidRPr="007B0AA1">
        <w:rPr>
          <w:rFonts w:cs="Arial"/>
          <w:lang w:bidi="ar-SA"/>
        </w:rPr>
        <w:t>½</w:t>
      </w:r>
      <w:r w:rsidRPr="007B0AA1">
        <w:rPr>
          <w:lang w:bidi="ar-SA"/>
        </w:rPr>
        <w:t xml:space="preserve"> in humans vary, but the US EPA chose to use a value of 2.3 years, obtained from a study of members of the general population exposed to PFOA in contaminated drinking water. The V</w:t>
      </w:r>
      <w:r w:rsidRPr="007B0AA1">
        <w:rPr>
          <w:vertAlign w:val="subscript"/>
          <w:lang w:bidi="ar-SA"/>
        </w:rPr>
        <w:t>d</w:t>
      </w:r>
      <w:r w:rsidRPr="007B0AA1">
        <w:rPr>
          <w:lang w:bidi="ar-SA"/>
        </w:rPr>
        <w:t xml:space="preserve"> for PFOA in human beings has also been determined from people exposed via drinking water. These values were used to calculate the </w:t>
      </w:r>
      <w:r w:rsidR="00D25FA1">
        <w:rPr>
          <w:lang w:bidi="ar-SA"/>
        </w:rPr>
        <w:t>CL</w:t>
      </w:r>
      <w:r w:rsidRPr="007B0AA1">
        <w:rPr>
          <w:lang w:bidi="ar-SA"/>
        </w:rPr>
        <w:t xml:space="preserve"> for PFOA, assuming first order kinetics:</w:t>
      </w:r>
    </w:p>
    <w:p w14:paraId="33E24E5A" w14:textId="77777777" w:rsidR="007B0AA1" w:rsidRPr="007B0AA1" w:rsidRDefault="007B0AA1" w:rsidP="00A111E9">
      <w:pPr>
        <w:rPr>
          <w:lang w:bidi="ar-SA"/>
        </w:rPr>
      </w:pPr>
    </w:p>
    <w:p w14:paraId="0BE493A9" w14:textId="77777777" w:rsidR="007B0AA1" w:rsidRPr="007B0AA1" w:rsidRDefault="007B0AA1" w:rsidP="00A111E9">
      <w:pPr>
        <w:rPr>
          <w:lang w:bidi="ar-SA"/>
        </w:rPr>
      </w:pPr>
      <w:r w:rsidRPr="007B0AA1">
        <w:rPr>
          <w:lang w:bidi="ar-SA"/>
        </w:rPr>
        <w:t>CL</w:t>
      </w:r>
      <w:r w:rsidRPr="007B0AA1">
        <w:rPr>
          <w:lang w:bidi="ar-SA"/>
        </w:rPr>
        <w:tab/>
        <w:t>= V</w:t>
      </w:r>
      <w:r w:rsidRPr="007B0AA1">
        <w:rPr>
          <w:vertAlign w:val="subscript"/>
          <w:lang w:bidi="ar-SA"/>
        </w:rPr>
        <w:t>d</w:t>
      </w:r>
      <w:r w:rsidRPr="007B0AA1">
        <w:rPr>
          <w:lang w:bidi="ar-SA"/>
        </w:rPr>
        <w:t xml:space="preserve"> x (ln 2 </w:t>
      </w:r>
      <w:r w:rsidRPr="007B0AA1">
        <w:rPr>
          <w:rFonts w:cs="Arial"/>
          <w:lang w:bidi="ar-SA"/>
        </w:rPr>
        <w:t>÷</w:t>
      </w:r>
      <w:r w:rsidRPr="007B0AA1">
        <w:rPr>
          <w:lang w:bidi="ar-SA"/>
        </w:rPr>
        <w:t xml:space="preserve"> t</w:t>
      </w:r>
      <w:r w:rsidRPr="007B0AA1">
        <w:rPr>
          <w:rFonts w:cs="Arial"/>
          <w:lang w:bidi="ar-SA"/>
        </w:rPr>
        <w:t>½</w:t>
      </w:r>
      <w:r w:rsidRPr="007B0AA1">
        <w:rPr>
          <w:lang w:bidi="ar-SA"/>
        </w:rPr>
        <w:t>)</w:t>
      </w:r>
    </w:p>
    <w:p w14:paraId="5B018060" w14:textId="77777777" w:rsidR="007B0AA1" w:rsidRPr="007B0AA1" w:rsidRDefault="007B0AA1" w:rsidP="00A111E9">
      <w:pPr>
        <w:rPr>
          <w:lang w:bidi="ar-SA"/>
        </w:rPr>
      </w:pPr>
      <w:r w:rsidRPr="007B0AA1">
        <w:rPr>
          <w:lang w:bidi="ar-SA"/>
        </w:rPr>
        <w:t xml:space="preserve"> </w:t>
      </w:r>
      <w:r w:rsidRPr="007B0AA1">
        <w:rPr>
          <w:lang w:bidi="ar-SA"/>
        </w:rPr>
        <w:tab/>
        <w:t xml:space="preserve">= 0.17L/kg bw x (0.693 </w:t>
      </w:r>
      <w:r w:rsidRPr="007B0AA1">
        <w:rPr>
          <w:rFonts w:cs="Arial"/>
          <w:lang w:bidi="ar-SA"/>
        </w:rPr>
        <w:t>÷</w:t>
      </w:r>
      <w:r w:rsidRPr="007B0AA1">
        <w:rPr>
          <w:lang w:bidi="ar-SA"/>
        </w:rPr>
        <w:t xml:space="preserve"> 839.5 days)</w:t>
      </w:r>
    </w:p>
    <w:p w14:paraId="63A6D5BD" w14:textId="77777777" w:rsidR="007B0AA1" w:rsidRPr="007B0AA1" w:rsidRDefault="007B0AA1" w:rsidP="00A111E9">
      <w:pPr>
        <w:rPr>
          <w:lang w:bidi="ar-SA"/>
        </w:rPr>
      </w:pPr>
      <w:r w:rsidRPr="007B0AA1">
        <w:rPr>
          <w:lang w:bidi="ar-SA"/>
        </w:rPr>
        <w:tab/>
        <w:t>= 0.00014 L/kg bw/d</w:t>
      </w:r>
    </w:p>
    <w:p w14:paraId="12629EF6" w14:textId="77777777" w:rsidR="007B0AA1" w:rsidRPr="007B0AA1" w:rsidRDefault="007B0AA1" w:rsidP="00A111E9">
      <w:pPr>
        <w:rPr>
          <w:lang w:bidi="ar-SA"/>
        </w:rPr>
      </w:pPr>
    </w:p>
    <w:p w14:paraId="6C78FB09" w14:textId="07A02CEA" w:rsidR="007B0AA1" w:rsidRPr="007B0AA1" w:rsidRDefault="007B0AA1" w:rsidP="00A111E9">
      <w:pPr>
        <w:rPr>
          <w:lang w:bidi="ar-SA"/>
        </w:rPr>
      </w:pPr>
      <w:r w:rsidRPr="007B0AA1">
        <w:rPr>
          <w:lang w:bidi="ar-SA"/>
        </w:rPr>
        <w:t xml:space="preserve">The derived average serum concentrations for the </w:t>
      </w:r>
      <w:r w:rsidR="00F20BCE">
        <w:rPr>
          <w:lang w:bidi="ar-SA"/>
        </w:rPr>
        <w:t>NOAEL</w:t>
      </w:r>
      <w:r w:rsidR="00F20BCE" w:rsidRPr="007B0AA1">
        <w:rPr>
          <w:lang w:bidi="ar-SA"/>
        </w:rPr>
        <w:t xml:space="preserve">s </w:t>
      </w:r>
      <w:r w:rsidRPr="007B0AA1">
        <w:rPr>
          <w:lang w:bidi="ar-SA"/>
        </w:rPr>
        <w:t xml:space="preserve">and LOAELs of the studies of De </w:t>
      </w:r>
      <w:r w:rsidRPr="007B0AA1">
        <w:rPr>
          <w:lang w:bidi="ar-SA"/>
        </w:rPr>
        <w:lastRenderedPageBreak/>
        <w:t xml:space="preserve">Witt </w:t>
      </w:r>
      <w:r w:rsidR="00180A32" w:rsidRPr="00180A32">
        <w:rPr>
          <w:i/>
        </w:rPr>
        <w:t xml:space="preserve">et al. </w:t>
      </w:r>
      <w:r w:rsidR="00CC50B8">
        <w:t xml:space="preserve"> </w:t>
      </w:r>
      <w:r w:rsidRPr="007B0AA1">
        <w:rPr>
          <w:lang w:bidi="ar-SA"/>
        </w:rPr>
        <w:t xml:space="preserve">2008, Lau </w:t>
      </w:r>
      <w:r w:rsidR="00180A32" w:rsidRPr="00180A32">
        <w:rPr>
          <w:i/>
        </w:rPr>
        <w:t xml:space="preserve">et al. </w:t>
      </w:r>
      <w:r w:rsidR="00CC50B8">
        <w:t xml:space="preserve"> </w:t>
      </w:r>
      <w:r w:rsidRPr="007B0AA1">
        <w:rPr>
          <w:lang w:bidi="ar-SA"/>
        </w:rPr>
        <w:t xml:space="preserve">2006, Perkins </w:t>
      </w:r>
      <w:r w:rsidR="00180A32" w:rsidRPr="00180A32">
        <w:rPr>
          <w:i/>
        </w:rPr>
        <w:t xml:space="preserve">et al. </w:t>
      </w:r>
      <w:r w:rsidR="00CC50B8">
        <w:t xml:space="preserve"> </w:t>
      </w:r>
      <w:r w:rsidRPr="007B0AA1">
        <w:rPr>
          <w:lang w:bidi="ar-SA"/>
        </w:rPr>
        <w:t xml:space="preserve">2004, Wolf </w:t>
      </w:r>
      <w:r w:rsidR="00180A32" w:rsidRPr="00180A32">
        <w:rPr>
          <w:i/>
        </w:rPr>
        <w:t xml:space="preserve">et al. </w:t>
      </w:r>
      <w:r w:rsidR="00CC50B8">
        <w:t xml:space="preserve"> </w:t>
      </w:r>
      <w:r w:rsidRPr="007B0AA1">
        <w:rPr>
          <w:lang w:bidi="ar-SA"/>
        </w:rPr>
        <w:t xml:space="preserve">2007, Butenhoff </w:t>
      </w:r>
      <w:r w:rsidR="00180A32" w:rsidRPr="00180A32">
        <w:rPr>
          <w:i/>
        </w:rPr>
        <w:t xml:space="preserve">et al. </w:t>
      </w:r>
      <w:r w:rsidR="00CC50B8">
        <w:t xml:space="preserve"> </w:t>
      </w:r>
      <w:r w:rsidRPr="007B0AA1">
        <w:rPr>
          <w:lang w:bidi="ar-SA"/>
        </w:rPr>
        <w:t xml:space="preserve">2004a and Macon </w:t>
      </w:r>
      <w:r w:rsidR="00180A32" w:rsidRPr="00180A32">
        <w:rPr>
          <w:i/>
        </w:rPr>
        <w:t xml:space="preserve">et al. </w:t>
      </w:r>
      <w:r w:rsidR="00CC50B8">
        <w:t xml:space="preserve"> </w:t>
      </w:r>
      <w:r w:rsidRPr="007B0AA1">
        <w:rPr>
          <w:lang w:bidi="ar-SA"/>
        </w:rPr>
        <w:t>2011 were scaled to derive the predicted oral HED in mg/kg bw/day for each corresponding serum measurement, according to the formula</w:t>
      </w:r>
    </w:p>
    <w:p w14:paraId="784386E5" w14:textId="77777777" w:rsidR="007B0AA1" w:rsidRPr="007B0AA1" w:rsidRDefault="007B0AA1" w:rsidP="00A111E9">
      <w:pPr>
        <w:rPr>
          <w:lang w:bidi="ar-SA"/>
        </w:rPr>
      </w:pPr>
      <w:r w:rsidRPr="007B0AA1">
        <w:rPr>
          <w:lang w:bidi="ar-SA"/>
        </w:rPr>
        <w:t>HED = average serum concentration x CL</w:t>
      </w:r>
    </w:p>
    <w:p w14:paraId="519AFE58" w14:textId="77777777" w:rsidR="007B0AA1" w:rsidRPr="007B0AA1" w:rsidRDefault="007B0AA1" w:rsidP="00A111E9">
      <w:pPr>
        <w:rPr>
          <w:lang w:bidi="ar-SA"/>
        </w:rPr>
      </w:pPr>
    </w:p>
    <w:p w14:paraId="421C5940" w14:textId="5391B4CA" w:rsidR="007B0AA1" w:rsidRPr="007B0AA1" w:rsidRDefault="007B0AA1" w:rsidP="00A111E9">
      <w:pPr>
        <w:rPr>
          <w:lang w:bidi="ar-SA"/>
        </w:rPr>
      </w:pPr>
      <w:r w:rsidRPr="007B0AA1">
        <w:rPr>
          <w:lang w:bidi="ar-SA"/>
        </w:rPr>
        <w:t>The scaling assumed linear first</w:t>
      </w:r>
      <w:r w:rsidR="001012A5">
        <w:rPr>
          <w:lang w:bidi="ar-SA"/>
        </w:rPr>
        <w:t xml:space="preserve"> </w:t>
      </w:r>
      <w:r w:rsidRPr="007B0AA1">
        <w:rPr>
          <w:lang w:bidi="ar-SA"/>
        </w:rPr>
        <w:t>order human kinetics. Linear first order kinetics are observed in animals at the doses at which NOAELs and LOAELs occur.</w:t>
      </w:r>
    </w:p>
    <w:p w14:paraId="5498B993" w14:textId="77777777" w:rsidR="007B0AA1" w:rsidRPr="007B0AA1" w:rsidRDefault="007B0AA1" w:rsidP="00A111E9">
      <w:pPr>
        <w:rPr>
          <w:lang w:bidi="ar-SA"/>
        </w:rPr>
      </w:pPr>
    </w:p>
    <w:p w14:paraId="658E2A5B" w14:textId="643E7E87" w:rsidR="00AD7215" w:rsidRPr="007B0AA1" w:rsidRDefault="007B0AA1" w:rsidP="00A111E9">
      <w:pPr>
        <w:pStyle w:val="FSTableTitle"/>
        <w:rPr>
          <w:lang w:bidi="ar-SA"/>
        </w:rPr>
      </w:pPr>
      <w:r w:rsidRPr="0037427F">
        <w:rPr>
          <w:b w:val="0"/>
          <w:lang w:bidi="ar-SA"/>
        </w:rPr>
        <w:t>The final HEDs ranged from 0.0044 to 0.0123 mg/kg bw/day. A UF</w:t>
      </w:r>
      <w:r w:rsidRPr="0037427F">
        <w:rPr>
          <w:b w:val="0"/>
          <w:vertAlign w:val="subscript"/>
          <w:lang w:bidi="ar-SA"/>
        </w:rPr>
        <w:t>H</w:t>
      </w:r>
      <w:r w:rsidRPr="0037427F">
        <w:rPr>
          <w:b w:val="0"/>
          <w:lang w:bidi="ar-SA"/>
        </w:rPr>
        <w:t xml:space="preserve"> of 10 for intra</w:t>
      </w:r>
      <w:r w:rsidR="00032CF6">
        <w:rPr>
          <w:b w:val="0"/>
          <w:lang w:bidi="ar-SA"/>
        </w:rPr>
        <w:t>species</w:t>
      </w:r>
      <w:r w:rsidRPr="0037427F">
        <w:rPr>
          <w:b w:val="0"/>
          <w:lang w:bidi="ar-SA"/>
        </w:rPr>
        <w:t xml:space="preserve"> variability within the human population was applied in all cases, as was a UF</w:t>
      </w:r>
      <w:r w:rsidRPr="0037427F">
        <w:rPr>
          <w:b w:val="0"/>
          <w:vertAlign w:val="subscript"/>
          <w:lang w:bidi="ar-SA"/>
        </w:rPr>
        <w:t>A</w:t>
      </w:r>
      <w:r w:rsidRPr="0037427F">
        <w:rPr>
          <w:b w:val="0"/>
          <w:lang w:bidi="ar-SA"/>
        </w:rPr>
        <w:t xml:space="preserve"> of 3 for inter</w:t>
      </w:r>
      <w:r w:rsidR="000203C4">
        <w:rPr>
          <w:b w:val="0"/>
          <w:lang w:bidi="ar-SA"/>
        </w:rPr>
        <w:t>species</w:t>
      </w:r>
      <w:r w:rsidRPr="0037427F">
        <w:rPr>
          <w:b w:val="0"/>
          <w:lang w:bidi="ar-SA"/>
        </w:rPr>
        <w:t xml:space="preserve"> variability between animals and humans. A UF</w:t>
      </w:r>
      <w:r w:rsidRPr="0037427F">
        <w:rPr>
          <w:b w:val="0"/>
          <w:vertAlign w:val="subscript"/>
          <w:lang w:bidi="ar-SA"/>
        </w:rPr>
        <w:t>L</w:t>
      </w:r>
      <w:r w:rsidRPr="0037427F">
        <w:rPr>
          <w:b w:val="0"/>
          <w:vertAlign w:val="superscript"/>
          <w:lang w:bidi="ar-SA"/>
        </w:rPr>
        <w:footnoteReference w:id="11"/>
      </w:r>
      <w:r w:rsidRPr="0037427F">
        <w:rPr>
          <w:b w:val="0"/>
          <w:vertAlign w:val="subscript"/>
          <w:lang w:bidi="ar-SA"/>
        </w:rPr>
        <w:t xml:space="preserve"> </w:t>
      </w:r>
      <w:r w:rsidRPr="0037427F">
        <w:rPr>
          <w:b w:val="0"/>
          <w:lang w:bidi="ar-SA"/>
        </w:rPr>
        <w:t xml:space="preserve">was applied for HEDs from all studies that did not identify a NOAEL, the exceptions being the studies of Perkins </w:t>
      </w:r>
      <w:r w:rsidR="00180A32" w:rsidRPr="00180A32">
        <w:rPr>
          <w:b w:val="0"/>
          <w:i/>
        </w:rPr>
        <w:t xml:space="preserve">et al. </w:t>
      </w:r>
      <w:r w:rsidR="00CC50B8">
        <w:rPr>
          <w:b w:val="0"/>
        </w:rPr>
        <w:t xml:space="preserve"> </w:t>
      </w:r>
      <w:r w:rsidRPr="0037427F">
        <w:rPr>
          <w:b w:val="0"/>
          <w:lang w:bidi="ar-SA"/>
        </w:rPr>
        <w:t xml:space="preserve">(2004) and De Witt </w:t>
      </w:r>
      <w:r w:rsidR="00180A32" w:rsidRPr="00180A32">
        <w:rPr>
          <w:b w:val="0"/>
          <w:i/>
        </w:rPr>
        <w:t xml:space="preserve">et al. </w:t>
      </w:r>
      <w:r w:rsidRPr="0037427F">
        <w:rPr>
          <w:b w:val="0"/>
          <w:lang w:bidi="ar-SA"/>
        </w:rPr>
        <w:t xml:space="preserve"> (2008). A UF</w:t>
      </w:r>
      <w:r w:rsidRPr="0037427F">
        <w:rPr>
          <w:b w:val="0"/>
          <w:vertAlign w:val="subscript"/>
          <w:lang w:bidi="ar-SA"/>
        </w:rPr>
        <w:t>S</w:t>
      </w:r>
      <w:r w:rsidRPr="0037427F">
        <w:rPr>
          <w:b w:val="0"/>
          <w:lang w:bidi="ar-SA"/>
        </w:rPr>
        <w:t xml:space="preserve"> was applied to the DeWitt </w:t>
      </w:r>
      <w:r w:rsidR="00180A32" w:rsidRPr="00180A32">
        <w:rPr>
          <w:b w:val="0"/>
          <w:i/>
        </w:rPr>
        <w:t xml:space="preserve">et al. </w:t>
      </w:r>
      <w:r w:rsidR="00CC50B8">
        <w:rPr>
          <w:b w:val="0"/>
        </w:rPr>
        <w:t xml:space="preserve"> </w:t>
      </w:r>
      <w:r w:rsidRPr="0037427F">
        <w:rPr>
          <w:b w:val="0"/>
          <w:lang w:bidi="ar-SA"/>
        </w:rPr>
        <w:t>(2008)</w:t>
      </w:r>
      <w:r w:rsidR="004E25D2">
        <w:rPr>
          <w:b w:val="0"/>
          <w:lang w:bidi="ar-SA"/>
        </w:rPr>
        <w:t xml:space="preserve"> HED</w:t>
      </w:r>
      <w:r w:rsidRPr="0037427F">
        <w:rPr>
          <w:b w:val="0"/>
          <w:lang w:bidi="ar-SA"/>
        </w:rPr>
        <w:t xml:space="preserve"> because the serum value was less than 80% of C</w:t>
      </w:r>
      <w:r w:rsidRPr="0037427F">
        <w:rPr>
          <w:b w:val="0"/>
          <w:vertAlign w:val="subscript"/>
          <w:lang w:bidi="ar-SA"/>
        </w:rPr>
        <w:t>ss</w:t>
      </w:r>
      <w:r w:rsidRPr="0037427F">
        <w:rPr>
          <w:b w:val="0"/>
          <w:lang w:bidi="ar-SA"/>
        </w:rPr>
        <w:t>. For most of the six HEDs used, the UF</w:t>
      </w:r>
      <w:r w:rsidRPr="0037427F">
        <w:rPr>
          <w:b w:val="0"/>
          <w:vertAlign w:val="subscript"/>
          <w:lang w:bidi="ar-SA"/>
        </w:rPr>
        <w:t>TOTAL</w:t>
      </w:r>
      <w:r w:rsidRPr="0037427F">
        <w:rPr>
          <w:b w:val="0"/>
          <w:lang w:bidi="ar-SA"/>
        </w:rPr>
        <w:t xml:space="preserve"> was 300. The exception was the HED derived from the Perkins </w:t>
      </w:r>
      <w:r w:rsidR="00180A32" w:rsidRPr="00180A32">
        <w:rPr>
          <w:b w:val="0"/>
          <w:i/>
        </w:rPr>
        <w:t xml:space="preserve">et al. </w:t>
      </w:r>
      <w:r w:rsidR="00CC50B8">
        <w:rPr>
          <w:b w:val="0"/>
        </w:rPr>
        <w:t xml:space="preserve"> </w:t>
      </w:r>
      <w:r w:rsidRPr="0037427F">
        <w:rPr>
          <w:b w:val="0"/>
          <w:lang w:bidi="ar-SA"/>
        </w:rPr>
        <w:t>(2004) study. For that HED, the UF</w:t>
      </w:r>
      <w:r w:rsidRPr="0037427F">
        <w:rPr>
          <w:b w:val="0"/>
          <w:vertAlign w:val="subscript"/>
          <w:lang w:bidi="ar-SA"/>
        </w:rPr>
        <w:t>TOTAL</w:t>
      </w:r>
      <w:r w:rsidRPr="0037427F">
        <w:rPr>
          <w:b w:val="0"/>
          <w:lang w:bidi="ar-SA"/>
        </w:rPr>
        <w:t xml:space="preserve"> was 30. The final candidate RfDs ranged from 0.00002 to 0.00015:</w:t>
      </w:r>
      <w:r w:rsidRPr="007B0AA1">
        <w:rPr>
          <w:lang w:bidi="ar-SA"/>
        </w:rPr>
        <w:br/>
      </w:r>
      <w:r w:rsidRPr="007B0AA1">
        <w:rPr>
          <w:lang w:bidi="ar-SA"/>
        </w:rPr>
        <w:br/>
      </w:r>
      <w:r w:rsidR="00AD7215">
        <w:t xml:space="preserve">Table </w:t>
      </w:r>
      <w:r w:rsidR="008042EE">
        <w:t>19</w:t>
      </w:r>
      <w:r w:rsidR="004F49E1">
        <w:t>:</w:t>
      </w:r>
      <w:r w:rsidR="00AD7215">
        <w:t xml:space="preserve"> Candidate RfDs for PFOA based on </w:t>
      </w:r>
      <w:r w:rsidR="00185513">
        <w:t>HEDs</w:t>
      </w:r>
    </w:p>
    <w:tbl>
      <w:tblPr>
        <w:tblStyle w:val="TableGrid6"/>
        <w:tblW w:w="0" w:type="auto"/>
        <w:jc w:val="center"/>
        <w:tblLook w:val="04A0" w:firstRow="1" w:lastRow="0" w:firstColumn="1" w:lastColumn="0" w:noHBand="0" w:noVBand="1"/>
        <w:tblCaption w:val="Table 19: Candidate RfDs for PFOA based on HEDs"/>
        <w:tblDescription w:val="This table contains data relating to candidate reference doses for PFOA based on human equivalent doses."/>
      </w:tblPr>
      <w:tblGrid>
        <w:gridCol w:w="3510"/>
        <w:gridCol w:w="1505"/>
        <w:gridCol w:w="567"/>
        <w:gridCol w:w="567"/>
        <w:gridCol w:w="567"/>
        <w:gridCol w:w="567"/>
        <w:gridCol w:w="708"/>
        <w:gridCol w:w="1295"/>
      </w:tblGrid>
      <w:tr w:rsidR="007B0AA1" w:rsidRPr="007B0AA1" w14:paraId="59224D15" w14:textId="77777777" w:rsidTr="002A58BE">
        <w:trPr>
          <w:tblHeader/>
          <w:jc w:val="center"/>
        </w:trPr>
        <w:tc>
          <w:tcPr>
            <w:tcW w:w="3510" w:type="dxa"/>
            <w:shd w:val="clear" w:color="auto" w:fill="F2F2F2" w:themeFill="background1" w:themeFillShade="F2"/>
            <w:vAlign w:val="center"/>
          </w:tcPr>
          <w:p w14:paraId="5A40FC31" w14:textId="1156757E" w:rsidR="007B0AA1" w:rsidRPr="00F6284E" w:rsidRDefault="007B0AA1" w:rsidP="00A111E9">
            <w:pPr>
              <w:tabs>
                <w:tab w:val="left" w:pos="1860"/>
              </w:tabs>
              <w:rPr>
                <w:rFonts w:ascii="Arial" w:hAnsi="Arial"/>
                <w:b/>
                <w:sz w:val="18"/>
              </w:rPr>
            </w:pPr>
            <w:r w:rsidRPr="00F6284E">
              <w:rPr>
                <w:b/>
                <w:sz w:val="18"/>
              </w:rPr>
              <w:t>Study; endpoint</w:t>
            </w:r>
            <w:r w:rsidRPr="00F6284E">
              <w:rPr>
                <w:b/>
                <w:sz w:val="18"/>
              </w:rPr>
              <w:tab/>
            </w:r>
          </w:p>
        </w:tc>
        <w:tc>
          <w:tcPr>
            <w:tcW w:w="1505" w:type="dxa"/>
            <w:shd w:val="clear" w:color="auto" w:fill="F2F2F2" w:themeFill="background1" w:themeFillShade="F2"/>
            <w:vAlign w:val="center"/>
          </w:tcPr>
          <w:p w14:paraId="0A17C031" w14:textId="77777777" w:rsidR="007B0AA1" w:rsidRPr="00F6284E" w:rsidRDefault="007B0AA1" w:rsidP="00230E14">
            <w:pPr>
              <w:spacing w:before="40" w:after="40"/>
              <w:jc w:val="right"/>
              <w:rPr>
                <w:rFonts w:ascii="Arial" w:hAnsi="Arial"/>
                <w:b/>
                <w:sz w:val="18"/>
              </w:rPr>
            </w:pPr>
            <w:r w:rsidRPr="00F6284E">
              <w:rPr>
                <w:b/>
                <w:sz w:val="18"/>
              </w:rPr>
              <w:t>PK-HED</w:t>
            </w:r>
          </w:p>
          <w:p w14:paraId="4C34E0DB" w14:textId="77777777" w:rsidR="007B0AA1" w:rsidRPr="00F6284E" w:rsidRDefault="007B0AA1" w:rsidP="00230E14">
            <w:pPr>
              <w:spacing w:before="40" w:after="40"/>
              <w:jc w:val="right"/>
              <w:rPr>
                <w:rFonts w:ascii="Arial" w:hAnsi="Arial"/>
                <w:b/>
                <w:sz w:val="18"/>
              </w:rPr>
            </w:pPr>
            <w:r w:rsidRPr="00F6284E">
              <w:rPr>
                <w:b/>
                <w:sz w:val="18"/>
              </w:rPr>
              <w:t>mg/kg bw/day</w:t>
            </w:r>
          </w:p>
        </w:tc>
        <w:tc>
          <w:tcPr>
            <w:tcW w:w="567" w:type="dxa"/>
            <w:shd w:val="clear" w:color="auto" w:fill="F2F2F2" w:themeFill="background1" w:themeFillShade="F2"/>
            <w:vAlign w:val="center"/>
          </w:tcPr>
          <w:p w14:paraId="23A30F39" w14:textId="77777777" w:rsidR="007B0AA1" w:rsidRPr="00F6284E" w:rsidRDefault="007B0AA1" w:rsidP="00230E14">
            <w:pPr>
              <w:spacing w:before="40" w:after="40"/>
              <w:jc w:val="right"/>
              <w:rPr>
                <w:rFonts w:ascii="Arial" w:hAnsi="Arial"/>
                <w:b/>
                <w:sz w:val="18"/>
              </w:rPr>
            </w:pPr>
            <w:r w:rsidRPr="00F6284E">
              <w:rPr>
                <w:b/>
                <w:sz w:val="18"/>
              </w:rPr>
              <w:t>UF</w:t>
            </w:r>
            <w:r w:rsidRPr="00F6284E">
              <w:rPr>
                <w:b/>
                <w:sz w:val="18"/>
                <w:vertAlign w:val="subscript"/>
              </w:rPr>
              <w:t>H</w:t>
            </w:r>
          </w:p>
        </w:tc>
        <w:tc>
          <w:tcPr>
            <w:tcW w:w="567" w:type="dxa"/>
            <w:shd w:val="clear" w:color="auto" w:fill="F2F2F2" w:themeFill="background1" w:themeFillShade="F2"/>
            <w:vAlign w:val="center"/>
          </w:tcPr>
          <w:p w14:paraId="418BB322" w14:textId="77777777" w:rsidR="007B0AA1" w:rsidRPr="00F6284E" w:rsidRDefault="007B0AA1" w:rsidP="00230E14">
            <w:pPr>
              <w:spacing w:before="40" w:after="40"/>
              <w:jc w:val="right"/>
              <w:rPr>
                <w:rFonts w:ascii="Arial" w:hAnsi="Arial"/>
                <w:b/>
                <w:sz w:val="18"/>
              </w:rPr>
            </w:pPr>
            <w:r w:rsidRPr="00F6284E">
              <w:rPr>
                <w:b/>
                <w:sz w:val="18"/>
              </w:rPr>
              <w:t>UF</w:t>
            </w:r>
            <w:r w:rsidRPr="00F6284E">
              <w:rPr>
                <w:b/>
                <w:sz w:val="18"/>
                <w:vertAlign w:val="subscript"/>
              </w:rPr>
              <w:t>A</w:t>
            </w:r>
          </w:p>
        </w:tc>
        <w:tc>
          <w:tcPr>
            <w:tcW w:w="567" w:type="dxa"/>
            <w:shd w:val="clear" w:color="auto" w:fill="F2F2F2" w:themeFill="background1" w:themeFillShade="F2"/>
            <w:vAlign w:val="center"/>
          </w:tcPr>
          <w:p w14:paraId="2763E663" w14:textId="77777777" w:rsidR="007B0AA1" w:rsidRPr="00F6284E" w:rsidRDefault="007B0AA1" w:rsidP="00230E14">
            <w:pPr>
              <w:spacing w:before="40" w:after="40"/>
              <w:jc w:val="right"/>
              <w:rPr>
                <w:rFonts w:ascii="Arial" w:hAnsi="Arial"/>
                <w:b/>
                <w:sz w:val="18"/>
              </w:rPr>
            </w:pPr>
            <w:r w:rsidRPr="00F6284E">
              <w:rPr>
                <w:b/>
                <w:sz w:val="18"/>
              </w:rPr>
              <w:t>UF</w:t>
            </w:r>
            <w:r w:rsidRPr="00F6284E">
              <w:rPr>
                <w:b/>
                <w:sz w:val="18"/>
                <w:vertAlign w:val="subscript"/>
              </w:rPr>
              <w:t>L</w:t>
            </w:r>
          </w:p>
        </w:tc>
        <w:tc>
          <w:tcPr>
            <w:tcW w:w="567" w:type="dxa"/>
            <w:shd w:val="clear" w:color="auto" w:fill="F2F2F2" w:themeFill="background1" w:themeFillShade="F2"/>
            <w:vAlign w:val="center"/>
          </w:tcPr>
          <w:p w14:paraId="3E8A1EEF" w14:textId="77777777" w:rsidR="007B0AA1" w:rsidRPr="00F6284E" w:rsidRDefault="007B0AA1" w:rsidP="00230E14">
            <w:pPr>
              <w:spacing w:before="40" w:after="40"/>
              <w:jc w:val="right"/>
              <w:rPr>
                <w:rFonts w:ascii="Arial" w:hAnsi="Arial"/>
                <w:b/>
                <w:sz w:val="18"/>
              </w:rPr>
            </w:pPr>
            <w:r w:rsidRPr="00F6284E">
              <w:rPr>
                <w:b/>
                <w:sz w:val="18"/>
              </w:rPr>
              <w:t>UF</w:t>
            </w:r>
            <w:r w:rsidRPr="00F6284E">
              <w:rPr>
                <w:b/>
                <w:sz w:val="18"/>
                <w:vertAlign w:val="subscript"/>
              </w:rPr>
              <w:t>S</w:t>
            </w:r>
          </w:p>
        </w:tc>
        <w:tc>
          <w:tcPr>
            <w:tcW w:w="708" w:type="dxa"/>
            <w:shd w:val="clear" w:color="auto" w:fill="F2F2F2" w:themeFill="background1" w:themeFillShade="F2"/>
            <w:vAlign w:val="center"/>
          </w:tcPr>
          <w:p w14:paraId="53D18ECA" w14:textId="77777777" w:rsidR="007B0AA1" w:rsidRPr="00F6284E" w:rsidRDefault="007B0AA1" w:rsidP="00230E14">
            <w:pPr>
              <w:spacing w:before="40" w:after="40"/>
              <w:jc w:val="right"/>
              <w:rPr>
                <w:rFonts w:ascii="Arial" w:hAnsi="Arial"/>
                <w:b/>
                <w:sz w:val="18"/>
              </w:rPr>
            </w:pPr>
            <w:r w:rsidRPr="00F6284E">
              <w:rPr>
                <w:b/>
                <w:sz w:val="18"/>
              </w:rPr>
              <w:t>UF</w:t>
            </w:r>
            <w:r w:rsidRPr="00F6284E">
              <w:rPr>
                <w:b/>
                <w:sz w:val="18"/>
                <w:vertAlign w:val="subscript"/>
              </w:rPr>
              <w:t>total</w:t>
            </w:r>
          </w:p>
        </w:tc>
        <w:tc>
          <w:tcPr>
            <w:tcW w:w="1295" w:type="dxa"/>
            <w:shd w:val="clear" w:color="auto" w:fill="F2F2F2" w:themeFill="background1" w:themeFillShade="F2"/>
            <w:vAlign w:val="center"/>
          </w:tcPr>
          <w:p w14:paraId="295FBEAA" w14:textId="77777777" w:rsidR="007B0AA1" w:rsidRPr="00F6284E" w:rsidRDefault="007B0AA1" w:rsidP="00230E14">
            <w:pPr>
              <w:spacing w:before="40" w:after="40"/>
              <w:jc w:val="right"/>
              <w:rPr>
                <w:rFonts w:ascii="Arial" w:hAnsi="Arial"/>
                <w:b/>
                <w:sz w:val="18"/>
              </w:rPr>
            </w:pPr>
            <w:r w:rsidRPr="00F6284E">
              <w:rPr>
                <w:b/>
                <w:sz w:val="18"/>
              </w:rPr>
              <w:t>RfD (mg/kg bw/day)</w:t>
            </w:r>
          </w:p>
        </w:tc>
      </w:tr>
      <w:tr w:rsidR="007B0AA1" w:rsidRPr="007B0AA1" w14:paraId="520A68DC" w14:textId="77777777" w:rsidTr="00F6284E">
        <w:trPr>
          <w:trHeight w:val="454"/>
          <w:jc w:val="center"/>
        </w:trPr>
        <w:tc>
          <w:tcPr>
            <w:tcW w:w="3510" w:type="dxa"/>
            <w:vAlign w:val="center"/>
          </w:tcPr>
          <w:p w14:paraId="13F409DB" w14:textId="3AB4B117" w:rsidR="007B0AA1" w:rsidRPr="00F6284E" w:rsidRDefault="007B0AA1" w:rsidP="00A111E9">
            <w:pPr>
              <w:rPr>
                <w:rFonts w:ascii="Arial" w:hAnsi="Arial"/>
                <w:sz w:val="18"/>
              </w:rPr>
            </w:pPr>
            <w:r w:rsidRPr="00D711DD">
              <w:rPr>
                <w:sz w:val="18"/>
              </w:rPr>
              <w:t xml:space="preserve">Perkins </w:t>
            </w:r>
            <w:r w:rsidR="00180A32" w:rsidRPr="00180A32">
              <w:rPr>
                <w:i/>
                <w:sz w:val="18"/>
              </w:rPr>
              <w:t xml:space="preserve">et al. </w:t>
            </w:r>
            <w:r w:rsidR="00CC50B8">
              <w:rPr>
                <w:sz w:val="18"/>
              </w:rPr>
              <w:t xml:space="preserve"> </w:t>
            </w:r>
            <w:r w:rsidRPr="00F6284E">
              <w:rPr>
                <w:sz w:val="18"/>
              </w:rPr>
              <w:t>2004; NOAEL for ↑liver weight in rats</w:t>
            </w:r>
          </w:p>
        </w:tc>
        <w:tc>
          <w:tcPr>
            <w:tcW w:w="1505" w:type="dxa"/>
            <w:vAlign w:val="center"/>
          </w:tcPr>
          <w:p w14:paraId="142AC744" w14:textId="77777777" w:rsidR="007B0AA1" w:rsidRPr="00F6284E" w:rsidRDefault="007B0AA1" w:rsidP="00230E14">
            <w:pPr>
              <w:jc w:val="right"/>
              <w:rPr>
                <w:rFonts w:ascii="Arial" w:hAnsi="Arial"/>
                <w:sz w:val="18"/>
              </w:rPr>
            </w:pPr>
            <w:r w:rsidRPr="00F6284E">
              <w:rPr>
                <w:sz w:val="18"/>
              </w:rPr>
              <w:t>0.0044</w:t>
            </w:r>
          </w:p>
        </w:tc>
        <w:tc>
          <w:tcPr>
            <w:tcW w:w="567" w:type="dxa"/>
            <w:vAlign w:val="center"/>
          </w:tcPr>
          <w:p w14:paraId="482B31BA" w14:textId="77777777" w:rsidR="007B0AA1" w:rsidRPr="00F6284E" w:rsidRDefault="007B0AA1" w:rsidP="00230E14">
            <w:pPr>
              <w:jc w:val="right"/>
              <w:rPr>
                <w:rFonts w:ascii="Arial" w:hAnsi="Arial"/>
                <w:sz w:val="18"/>
              </w:rPr>
            </w:pPr>
            <w:r w:rsidRPr="00F6284E">
              <w:rPr>
                <w:sz w:val="18"/>
              </w:rPr>
              <w:t>10</w:t>
            </w:r>
          </w:p>
        </w:tc>
        <w:tc>
          <w:tcPr>
            <w:tcW w:w="567" w:type="dxa"/>
            <w:vAlign w:val="center"/>
          </w:tcPr>
          <w:p w14:paraId="3C1F84FC" w14:textId="77777777" w:rsidR="007B0AA1" w:rsidRPr="00F6284E" w:rsidRDefault="007B0AA1" w:rsidP="00230E14">
            <w:pPr>
              <w:jc w:val="right"/>
              <w:rPr>
                <w:rFonts w:ascii="Arial" w:hAnsi="Arial"/>
                <w:sz w:val="18"/>
              </w:rPr>
            </w:pPr>
            <w:r w:rsidRPr="00F6284E">
              <w:rPr>
                <w:sz w:val="18"/>
              </w:rPr>
              <w:t>3</w:t>
            </w:r>
          </w:p>
        </w:tc>
        <w:tc>
          <w:tcPr>
            <w:tcW w:w="567" w:type="dxa"/>
            <w:vAlign w:val="center"/>
          </w:tcPr>
          <w:p w14:paraId="203D9E47" w14:textId="77777777" w:rsidR="007B0AA1" w:rsidRPr="00F6284E" w:rsidRDefault="007B0AA1" w:rsidP="00230E14">
            <w:pPr>
              <w:jc w:val="right"/>
              <w:rPr>
                <w:rFonts w:ascii="Arial" w:hAnsi="Arial"/>
                <w:sz w:val="18"/>
              </w:rPr>
            </w:pPr>
            <w:r w:rsidRPr="00F6284E">
              <w:rPr>
                <w:sz w:val="18"/>
              </w:rPr>
              <w:t>-</w:t>
            </w:r>
          </w:p>
        </w:tc>
        <w:tc>
          <w:tcPr>
            <w:tcW w:w="567" w:type="dxa"/>
            <w:vAlign w:val="center"/>
          </w:tcPr>
          <w:p w14:paraId="76EDBE64" w14:textId="77777777" w:rsidR="007B0AA1" w:rsidRPr="00F6284E" w:rsidRDefault="007B0AA1" w:rsidP="00230E14">
            <w:pPr>
              <w:jc w:val="right"/>
              <w:rPr>
                <w:rFonts w:ascii="Arial" w:hAnsi="Arial"/>
                <w:sz w:val="18"/>
              </w:rPr>
            </w:pPr>
            <w:r w:rsidRPr="00F6284E">
              <w:rPr>
                <w:sz w:val="18"/>
              </w:rPr>
              <w:t>-</w:t>
            </w:r>
          </w:p>
        </w:tc>
        <w:tc>
          <w:tcPr>
            <w:tcW w:w="708" w:type="dxa"/>
            <w:vAlign w:val="center"/>
          </w:tcPr>
          <w:p w14:paraId="19ADEFCD" w14:textId="77777777" w:rsidR="007B0AA1" w:rsidRPr="00F6284E" w:rsidRDefault="007B0AA1" w:rsidP="00230E14">
            <w:pPr>
              <w:jc w:val="right"/>
              <w:rPr>
                <w:rFonts w:ascii="Arial" w:hAnsi="Arial"/>
                <w:sz w:val="18"/>
              </w:rPr>
            </w:pPr>
            <w:r w:rsidRPr="00F6284E">
              <w:rPr>
                <w:sz w:val="18"/>
              </w:rPr>
              <w:t>30</w:t>
            </w:r>
          </w:p>
        </w:tc>
        <w:tc>
          <w:tcPr>
            <w:tcW w:w="1295" w:type="dxa"/>
            <w:vAlign w:val="center"/>
          </w:tcPr>
          <w:p w14:paraId="40D54D7C" w14:textId="77777777" w:rsidR="007B0AA1" w:rsidRPr="00F6284E" w:rsidRDefault="007B0AA1" w:rsidP="00230E14">
            <w:pPr>
              <w:jc w:val="right"/>
              <w:rPr>
                <w:rFonts w:ascii="Arial" w:hAnsi="Arial"/>
                <w:sz w:val="18"/>
              </w:rPr>
            </w:pPr>
            <w:r w:rsidRPr="00F6284E">
              <w:rPr>
                <w:sz w:val="18"/>
              </w:rPr>
              <w:t>0.00015</w:t>
            </w:r>
          </w:p>
        </w:tc>
      </w:tr>
      <w:tr w:rsidR="007B0AA1" w:rsidRPr="007B0AA1" w14:paraId="6A0E6AA0" w14:textId="77777777" w:rsidTr="00F6284E">
        <w:trPr>
          <w:trHeight w:val="454"/>
          <w:jc w:val="center"/>
        </w:trPr>
        <w:tc>
          <w:tcPr>
            <w:tcW w:w="3510" w:type="dxa"/>
            <w:vAlign w:val="center"/>
          </w:tcPr>
          <w:p w14:paraId="74659F74" w14:textId="69947C2B" w:rsidR="007B0AA1" w:rsidRPr="00F6284E" w:rsidRDefault="007B0AA1" w:rsidP="00A111E9">
            <w:pPr>
              <w:rPr>
                <w:rFonts w:ascii="Arial" w:hAnsi="Arial"/>
                <w:sz w:val="18"/>
              </w:rPr>
            </w:pPr>
            <w:r w:rsidRPr="00D711DD">
              <w:rPr>
                <w:sz w:val="18"/>
              </w:rPr>
              <w:t xml:space="preserve">Wolf </w:t>
            </w:r>
            <w:r w:rsidR="00180A32" w:rsidRPr="00180A32">
              <w:rPr>
                <w:i/>
                <w:sz w:val="18"/>
              </w:rPr>
              <w:t xml:space="preserve">et al. </w:t>
            </w:r>
            <w:r w:rsidR="00CC50B8">
              <w:rPr>
                <w:sz w:val="18"/>
              </w:rPr>
              <w:t xml:space="preserve"> </w:t>
            </w:r>
            <w:r w:rsidRPr="00F6284E">
              <w:rPr>
                <w:sz w:val="18"/>
              </w:rPr>
              <w:t>2007; GD 1-17 LOAEL↓pup bw in mice</w:t>
            </w:r>
          </w:p>
        </w:tc>
        <w:tc>
          <w:tcPr>
            <w:tcW w:w="1505" w:type="dxa"/>
            <w:vAlign w:val="center"/>
          </w:tcPr>
          <w:p w14:paraId="79A315AE" w14:textId="77777777" w:rsidR="007B0AA1" w:rsidRPr="00F6284E" w:rsidRDefault="007B0AA1" w:rsidP="00230E14">
            <w:pPr>
              <w:jc w:val="right"/>
              <w:rPr>
                <w:rFonts w:ascii="Arial" w:hAnsi="Arial"/>
                <w:sz w:val="18"/>
              </w:rPr>
            </w:pPr>
            <w:r w:rsidRPr="00F6284E">
              <w:rPr>
                <w:sz w:val="18"/>
              </w:rPr>
              <w:t>0.0109</w:t>
            </w:r>
          </w:p>
        </w:tc>
        <w:tc>
          <w:tcPr>
            <w:tcW w:w="567" w:type="dxa"/>
            <w:vAlign w:val="center"/>
          </w:tcPr>
          <w:p w14:paraId="0083ADAD" w14:textId="77777777" w:rsidR="007B0AA1" w:rsidRPr="00F6284E" w:rsidRDefault="007B0AA1" w:rsidP="00230E14">
            <w:pPr>
              <w:jc w:val="right"/>
              <w:rPr>
                <w:rFonts w:ascii="Arial" w:hAnsi="Arial"/>
                <w:sz w:val="18"/>
              </w:rPr>
            </w:pPr>
            <w:r w:rsidRPr="00F6284E">
              <w:rPr>
                <w:sz w:val="18"/>
              </w:rPr>
              <w:t>10</w:t>
            </w:r>
          </w:p>
        </w:tc>
        <w:tc>
          <w:tcPr>
            <w:tcW w:w="567" w:type="dxa"/>
            <w:vAlign w:val="center"/>
          </w:tcPr>
          <w:p w14:paraId="56AA63E5" w14:textId="77777777" w:rsidR="007B0AA1" w:rsidRPr="00F6284E" w:rsidRDefault="007B0AA1" w:rsidP="00230E14">
            <w:pPr>
              <w:jc w:val="right"/>
              <w:rPr>
                <w:rFonts w:ascii="Arial" w:hAnsi="Arial"/>
                <w:sz w:val="18"/>
              </w:rPr>
            </w:pPr>
            <w:r w:rsidRPr="00F6284E">
              <w:rPr>
                <w:sz w:val="18"/>
              </w:rPr>
              <w:t>3</w:t>
            </w:r>
          </w:p>
        </w:tc>
        <w:tc>
          <w:tcPr>
            <w:tcW w:w="567" w:type="dxa"/>
            <w:vAlign w:val="center"/>
          </w:tcPr>
          <w:p w14:paraId="61C71BD0" w14:textId="77777777" w:rsidR="007B0AA1" w:rsidRPr="00F6284E" w:rsidRDefault="007B0AA1" w:rsidP="00230E14">
            <w:pPr>
              <w:jc w:val="right"/>
              <w:rPr>
                <w:rFonts w:ascii="Arial" w:hAnsi="Arial"/>
                <w:sz w:val="18"/>
              </w:rPr>
            </w:pPr>
            <w:r w:rsidRPr="00F6284E">
              <w:rPr>
                <w:sz w:val="18"/>
              </w:rPr>
              <w:t>10</w:t>
            </w:r>
          </w:p>
        </w:tc>
        <w:tc>
          <w:tcPr>
            <w:tcW w:w="567" w:type="dxa"/>
            <w:vAlign w:val="center"/>
          </w:tcPr>
          <w:p w14:paraId="2E82D4C7" w14:textId="77777777" w:rsidR="007B0AA1" w:rsidRPr="00F6284E" w:rsidRDefault="007B0AA1" w:rsidP="00230E14">
            <w:pPr>
              <w:jc w:val="right"/>
              <w:rPr>
                <w:rFonts w:ascii="Arial" w:hAnsi="Arial"/>
                <w:sz w:val="18"/>
              </w:rPr>
            </w:pPr>
            <w:r w:rsidRPr="00F6284E">
              <w:rPr>
                <w:sz w:val="18"/>
              </w:rPr>
              <w:t>-</w:t>
            </w:r>
          </w:p>
        </w:tc>
        <w:tc>
          <w:tcPr>
            <w:tcW w:w="708" w:type="dxa"/>
            <w:vAlign w:val="center"/>
          </w:tcPr>
          <w:p w14:paraId="6C29A471" w14:textId="77777777" w:rsidR="007B0AA1" w:rsidRPr="00F6284E" w:rsidRDefault="007B0AA1" w:rsidP="00230E14">
            <w:pPr>
              <w:jc w:val="right"/>
              <w:rPr>
                <w:rFonts w:ascii="Arial" w:hAnsi="Arial"/>
                <w:sz w:val="18"/>
              </w:rPr>
            </w:pPr>
            <w:r w:rsidRPr="00F6284E">
              <w:rPr>
                <w:sz w:val="18"/>
              </w:rPr>
              <w:t>300</w:t>
            </w:r>
          </w:p>
        </w:tc>
        <w:tc>
          <w:tcPr>
            <w:tcW w:w="1295" w:type="dxa"/>
            <w:vAlign w:val="center"/>
          </w:tcPr>
          <w:p w14:paraId="14966E34" w14:textId="77777777" w:rsidR="007B0AA1" w:rsidRPr="00F6284E" w:rsidRDefault="007B0AA1" w:rsidP="00230E14">
            <w:pPr>
              <w:jc w:val="right"/>
              <w:rPr>
                <w:rFonts w:ascii="Arial" w:hAnsi="Arial"/>
                <w:sz w:val="18"/>
              </w:rPr>
            </w:pPr>
            <w:r w:rsidRPr="00F6284E">
              <w:rPr>
                <w:sz w:val="18"/>
              </w:rPr>
              <w:t>0.00004</w:t>
            </w:r>
          </w:p>
        </w:tc>
      </w:tr>
      <w:tr w:rsidR="007B0AA1" w:rsidRPr="007B0AA1" w14:paraId="0B3120C6" w14:textId="77777777" w:rsidTr="00F6284E">
        <w:trPr>
          <w:trHeight w:val="454"/>
          <w:jc w:val="center"/>
        </w:trPr>
        <w:tc>
          <w:tcPr>
            <w:tcW w:w="3510" w:type="dxa"/>
            <w:vAlign w:val="center"/>
          </w:tcPr>
          <w:p w14:paraId="461D5CA2" w14:textId="5BF04729" w:rsidR="007B0AA1" w:rsidRPr="00F6284E" w:rsidRDefault="007B0AA1" w:rsidP="00A111E9">
            <w:pPr>
              <w:rPr>
                <w:rFonts w:ascii="Arial" w:hAnsi="Arial"/>
                <w:sz w:val="18"/>
              </w:rPr>
            </w:pPr>
            <w:r w:rsidRPr="00D711DD">
              <w:rPr>
                <w:sz w:val="18"/>
              </w:rPr>
              <w:t xml:space="preserve">Wolf </w:t>
            </w:r>
            <w:r w:rsidR="00180A32" w:rsidRPr="00180A32">
              <w:rPr>
                <w:i/>
                <w:sz w:val="18"/>
              </w:rPr>
              <w:t xml:space="preserve">et al. </w:t>
            </w:r>
            <w:r w:rsidR="00CC50B8">
              <w:rPr>
                <w:sz w:val="18"/>
              </w:rPr>
              <w:t xml:space="preserve"> </w:t>
            </w:r>
            <w:r w:rsidRPr="00F6284E">
              <w:rPr>
                <w:sz w:val="18"/>
              </w:rPr>
              <w:t>2007; GD 7-17 LOAEL↓pup bw in mice</w:t>
            </w:r>
          </w:p>
        </w:tc>
        <w:tc>
          <w:tcPr>
            <w:tcW w:w="1505" w:type="dxa"/>
            <w:vAlign w:val="center"/>
          </w:tcPr>
          <w:p w14:paraId="6F778AE4" w14:textId="77777777" w:rsidR="007B0AA1" w:rsidRPr="00F6284E" w:rsidRDefault="007B0AA1" w:rsidP="00230E14">
            <w:pPr>
              <w:jc w:val="right"/>
              <w:rPr>
                <w:rFonts w:ascii="Arial" w:hAnsi="Arial"/>
                <w:sz w:val="18"/>
              </w:rPr>
            </w:pPr>
            <w:r w:rsidRPr="00F6284E">
              <w:rPr>
                <w:sz w:val="18"/>
              </w:rPr>
              <w:t>0.0123</w:t>
            </w:r>
          </w:p>
        </w:tc>
        <w:tc>
          <w:tcPr>
            <w:tcW w:w="567" w:type="dxa"/>
            <w:vAlign w:val="center"/>
          </w:tcPr>
          <w:p w14:paraId="58183713" w14:textId="77777777" w:rsidR="007B0AA1" w:rsidRPr="00F6284E" w:rsidRDefault="007B0AA1" w:rsidP="00230E14">
            <w:pPr>
              <w:jc w:val="right"/>
              <w:rPr>
                <w:rFonts w:ascii="Arial" w:hAnsi="Arial"/>
                <w:sz w:val="18"/>
              </w:rPr>
            </w:pPr>
            <w:r w:rsidRPr="00F6284E">
              <w:rPr>
                <w:sz w:val="18"/>
              </w:rPr>
              <w:t>10</w:t>
            </w:r>
          </w:p>
        </w:tc>
        <w:tc>
          <w:tcPr>
            <w:tcW w:w="567" w:type="dxa"/>
            <w:vAlign w:val="center"/>
          </w:tcPr>
          <w:p w14:paraId="3405C379" w14:textId="77777777" w:rsidR="007B0AA1" w:rsidRPr="00F6284E" w:rsidRDefault="007B0AA1" w:rsidP="00230E14">
            <w:pPr>
              <w:jc w:val="right"/>
              <w:rPr>
                <w:rFonts w:ascii="Arial" w:hAnsi="Arial"/>
                <w:sz w:val="18"/>
              </w:rPr>
            </w:pPr>
            <w:r w:rsidRPr="00F6284E">
              <w:rPr>
                <w:sz w:val="18"/>
              </w:rPr>
              <w:t>3</w:t>
            </w:r>
          </w:p>
        </w:tc>
        <w:tc>
          <w:tcPr>
            <w:tcW w:w="567" w:type="dxa"/>
            <w:vAlign w:val="center"/>
          </w:tcPr>
          <w:p w14:paraId="5C28BE30" w14:textId="77777777" w:rsidR="007B0AA1" w:rsidRPr="00F6284E" w:rsidRDefault="007B0AA1" w:rsidP="00230E14">
            <w:pPr>
              <w:jc w:val="right"/>
              <w:rPr>
                <w:rFonts w:ascii="Arial" w:hAnsi="Arial"/>
                <w:sz w:val="18"/>
              </w:rPr>
            </w:pPr>
            <w:r w:rsidRPr="00F6284E">
              <w:rPr>
                <w:sz w:val="18"/>
              </w:rPr>
              <w:t>10</w:t>
            </w:r>
          </w:p>
        </w:tc>
        <w:tc>
          <w:tcPr>
            <w:tcW w:w="567" w:type="dxa"/>
            <w:vAlign w:val="center"/>
          </w:tcPr>
          <w:p w14:paraId="22153159" w14:textId="77777777" w:rsidR="007B0AA1" w:rsidRPr="00F6284E" w:rsidRDefault="007B0AA1" w:rsidP="00230E14">
            <w:pPr>
              <w:jc w:val="right"/>
              <w:rPr>
                <w:rFonts w:ascii="Arial" w:hAnsi="Arial"/>
                <w:sz w:val="18"/>
              </w:rPr>
            </w:pPr>
            <w:r w:rsidRPr="00F6284E">
              <w:rPr>
                <w:sz w:val="18"/>
              </w:rPr>
              <w:t>-</w:t>
            </w:r>
          </w:p>
        </w:tc>
        <w:tc>
          <w:tcPr>
            <w:tcW w:w="708" w:type="dxa"/>
            <w:vAlign w:val="center"/>
          </w:tcPr>
          <w:p w14:paraId="2212EB1E" w14:textId="77777777" w:rsidR="007B0AA1" w:rsidRPr="00F6284E" w:rsidRDefault="007B0AA1" w:rsidP="00230E14">
            <w:pPr>
              <w:jc w:val="right"/>
              <w:rPr>
                <w:rFonts w:ascii="Arial" w:hAnsi="Arial"/>
                <w:sz w:val="18"/>
              </w:rPr>
            </w:pPr>
            <w:r w:rsidRPr="00F6284E">
              <w:rPr>
                <w:sz w:val="18"/>
              </w:rPr>
              <w:t>300</w:t>
            </w:r>
          </w:p>
        </w:tc>
        <w:tc>
          <w:tcPr>
            <w:tcW w:w="1295" w:type="dxa"/>
            <w:vAlign w:val="center"/>
          </w:tcPr>
          <w:p w14:paraId="4AD291D3" w14:textId="77777777" w:rsidR="007B0AA1" w:rsidRPr="00F6284E" w:rsidRDefault="007B0AA1" w:rsidP="00230E14">
            <w:pPr>
              <w:jc w:val="right"/>
              <w:rPr>
                <w:rFonts w:ascii="Arial" w:hAnsi="Arial"/>
                <w:sz w:val="18"/>
              </w:rPr>
            </w:pPr>
            <w:r w:rsidRPr="00F6284E">
              <w:rPr>
                <w:sz w:val="18"/>
              </w:rPr>
              <w:t>0.00004</w:t>
            </w:r>
          </w:p>
        </w:tc>
      </w:tr>
      <w:tr w:rsidR="007B0AA1" w:rsidRPr="007B0AA1" w14:paraId="49332140" w14:textId="77777777" w:rsidTr="00F6284E">
        <w:trPr>
          <w:trHeight w:val="454"/>
          <w:jc w:val="center"/>
        </w:trPr>
        <w:tc>
          <w:tcPr>
            <w:tcW w:w="3510" w:type="dxa"/>
            <w:vAlign w:val="center"/>
          </w:tcPr>
          <w:p w14:paraId="76C30C97" w14:textId="529C0E7D" w:rsidR="007B0AA1" w:rsidRPr="000B3C14" w:rsidRDefault="007B0AA1" w:rsidP="00A111E9">
            <w:pPr>
              <w:rPr>
                <w:rFonts w:ascii="Arial" w:hAnsi="Arial"/>
                <w:sz w:val="18"/>
              </w:rPr>
            </w:pPr>
            <w:r w:rsidRPr="00D711DD">
              <w:rPr>
                <w:sz w:val="18"/>
              </w:rPr>
              <w:t xml:space="preserve">DeWitt </w:t>
            </w:r>
            <w:r w:rsidR="00180A32" w:rsidRPr="00180A32">
              <w:rPr>
                <w:i/>
                <w:sz w:val="18"/>
              </w:rPr>
              <w:t xml:space="preserve">et al. </w:t>
            </w:r>
            <w:r w:rsidR="00CC50B8">
              <w:rPr>
                <w:sz w:val="18"/>
              </w:rPr>
              <w:t xml:space="preserve"> </w:t>
            </w:r>
            <w:r w:rsidRPr="00D711DD">
              <w:rPr>
                <w:sz w:val="18"/>
              </w:rPr>
              <w:t>2008; NOAEL ↓IgM response to SRBC in mice</w:t>
            </w:r>
          </w:p>
        </w:tc>
        <w:tc>
          <w:tcPr>
            <w:tcW w:w="1505" w:type="dxa"/>
            <w:vAlign w:val="center"/>
          </w:tcPr>
          <w:p w14:paraId="33C6F3B1" w14:textId="77777777" w:rsidR="007B0AA1" w:rsidRPr="00F6284E" w:rsidRDefault="007B0AA1" w:rsidP="00230E14">
            <w:pPr>
              <w:jc w:val="right"/>
              <w:rPr>
                <w:rFonts w:ascii="Arial" w:hAnsi="Arial"/>
                <w:sz w:val="18"/>
              </w:rPr>
            </w:pPr>
            <w:r w:rsidRPr="00F6284E">
              <w:rPr>
                <w:sz w:val="18"/>
              </w:rPr>
              <w:t>0.0053</w:t>
            </w:r>
          </w:p>
        </w:tc>
        <w:tc>
          <w:tcPr>
            <w:tcW w:w="567" w:type="dxa"/>
            <w:vAlign w:val="center"/>
          </w:tcPr>
          <w:p w14:paraId="727FAA49" w14:textId="77777777" w:rsidR="007B0AA1" w:rsidRPr="00F6284E" w:rsidRDefault="007B0AA1" w:rsidP="00230E14">
            <w:pPr>
              <w:jc w:val="right"/>
              <w:rPr>
                <w:rFonts w:ascii="Arial" w:hAnsi="Arial"/>
                <w:sz w:val="18"/>
              </w:rPr>
            </w:pPr>
            <w:r w:rsidRPr="00F6284E">
              <w:rPr>
                <w:sz w:val="18"/>
              </w:rPr>
              <w:t>10</w:t>
            </w:r>
          </w:p>
        </w:tc>
        <w:tc>
          <w:tcPr>
            <w:tcW w:w="567" w:type="dxa"/>
            <w:vAlign w:val="center"/>
          </w:tcPr>
          <w:p w14:paraId="26B49C52" w14:textId="77777777" w:rsidR="007B0AA1" w:rsidRPr="00F6284E" w:rsidRDefault="007B0AA1" w:rsidP="00230E14">
            <w:pPr>
              <w:jc w:val="right"/>
              <w:rPr>
                <w:rFonts w:ascii="Arial" w:hAnsi="Arial"/>
                <w:sz w:val="18"/>
              </w:rPr>
            </w:pPr>
            <w:r w:rsidRPr="00F6284E">
              <w:rPr>
                <w:sz w:val="18"/>
              </w:rPr>
              <w:t>3</w:t>
            </w:r>
          </w:p>
        </w:tc>
        <w:tc>
          <w:tcPr>
            <w:tcW w:w="567" w:type="dxa"/>
            <w:vAlign w:val="center"/>
          </w:tcPr>
          <w:p w14:paraId="79DDBB8B" w14:textId="77777777" w:rsidR="007B0AA1" w:rsidRPr="00F6284E" w:rsidRDefault="007B0AA1" w:rsidP="00230E14">
            <w:pPr>
              <w:jc w:val="right"/>
              <w:rPr>
                <w:rFonts w:ascii="Arial" w:hAnsi="Arial"/>
                <w:sz w:val="18"/>
              </w:rPr>
            </w:pPr>
            <w:r w:rsidRPr="00F6284E">
              <w:rPr>
                <w:sz w:val="18"/>
              </w:rPr>
              <w:t>-</w:t>
            </w:r>
          </w:p>
        </w:tc>
        <w:tc>
          <w:tcPr>
            <w:tcW w:w="567" w:type="dxa"/>
            <w:vAlign w:val="center"/>
          </w:tcPr>
          <w:p w14:paraId="4A70C7D2" w14:textId="77777777" w:rsidR="007B0AA1" w:rsidRPr="00F6284E" w:rsidRDefault="007B0AA1" w:rsidP="00230E14">
            <w:pPr>
              <w:jc w:val="right"/>
              <w:rPr>
                <w:rFonts w:ascii="Arial" w:hAnsi="Arial"/>
                <w:sz w:val="18"/>
              </w:rPr>
            </w:pPr>
            <w:r w:rsidRPr="00F6284E">
              <w:rPr>
                <w:sz w:val="18"/>
              </w:rPr>
              <w:t>10</w:t>
            </w:r>
          </w:p>
        </w:tc>
        <w:tc>
          <w:tcPr>
            <w:tcW w:w="708" w:type="dxa"/>
            <w:vAlign w:val="center"/>
          </w:tcPr>
          <w:p w14:paraId="63AE9496" w14:textId="77777777" w:rsidR="007B0AA1" w:rsidRPr="00F6284E" w:rsidRDefault="007B0AA1" w:rsidP="00230E14">
            <w:pPr>
              <w:jc w:val="right"/>
              <w:rPr>
                <w:rFonts w:ascii="Arial" w:hAnsi="Arial"/>
                <w:sz w:val="18"/>
              </w:rPr>
            </w:pPr>
            <w:r w:rsidRPr="00F6284E">
              <w:rPr>
                <w:sz w:val="18"/>
              </w:rPr>
              <w:t>300</w:t>
            </w:r>
          </w:p>
        </w:tc>
        <w:tc>
          <w:tcPr>
            <w:tcW w:w="1295" w:type="dxa"/>
            <w:vAlign w:val="center"/>
          </w:tcPr>
          <w:p w14:paraId="3B871B67" w14:textId="77777777" w:rsidR="007B0AA1" w:rsidRPr="00F6284E" w:rsidRDefault="007B0AA1" w:rsidP="00230E14">
            <w:pPr>
              <w:jc w:val="right"/>
              <w:rPr>
                <w:rFonts w:ascii="Arial" w:hAnsi="Arial"/>
                <w:sz w:val="18"/>
              </w:rPr>
            </w:pPr>
            <w:r w:rsidRPr="00F6284E">
              <w:rPr>
                <w:sz w:val="18"/>
              </w:rPr>
              <w:t>0.00002</w:t>
            </w:r>
          </w:p>
        </w:tc>
      </w:tr>
      <w:tr w:rsidR="007B0AA1" w:rsidRPr="007B0AA1" w14:paraId="7FD635F3" w14:textId="77777777" w:rsidTr="00F6284E">
        <w:trPr>
          <w:trHeight w:val="454"/>
          <w:jc w:val="center"/>
        </w:trPr>
        <w:tc>
          <w:tcPr>
            <w:tcW w:w="3510" w:type="dxa"/>
            <w:vAlign w:val="center"/>
          </w:tcPr>
          <w:p w14:paraId="498F5E21" w14:textId="2BF4B7A1" w:rsidR="007B0AA1" w:rsidRPr="00F6284E" w:rsidRDefault="007B0AA1" w:rsidP="00A111E9">
            <w:pPr>
              <w:rPr>
                <w:rFonts w:ascii="Arial" w:hAnsi="Arial"/>
                <w:sz w:val="18"/>
              </w:rPr>
            </w:pPr>
            <w:r w:rsidRPr="00D711DD">
              <w:rPr>
                <w:sz w:val="18"/>
              </w:rPr>
              <w:t xml:space="preserve">Lau </w:t>
            </w:r>
            <w:r w:rsidR="00180A32" w:rsidRPr="00180A32">
              <w:rPr>
                <w:i/>
                <w:sz w:val="18"/>
              </w:rPr>
              <w:t xml:space="preserve">et al. </w:t>
            </w:r>
            <w:r w:rsidR="00CC50B8">
              <w:rPr>
                <w:sz w:val="18"/>
              </w:rPr>
              <w:t xml:space="preserve"> </w:t>
            </w:r>
            <w:r w:rsidRPr="00F6284E">
              <w:rPr>
                <w:sz w:val="18"/>
              </w:rPr>
              <w:t xml:space="preserve">2006; LOAEL ↓ossification and ↓ time to ♂ puberty in mouse pups. </w:t>
            </w:r>
          </w:p>
        </w:tc>
        <w:tc>
          <w:tcPr>
            <w:tcW w:w="1505" w:type="dxa"/>
            <w:vAlign w:val="center"/>
          </w:tcPr>
          <w:p w14:paraId="1C1AF594" w14:textId="77777777" w:rsidR="007B0AA1" w:rsidRPr="00F6284E" w:rsidRDefault="007B0AA1" w:rsidP="00230E14">
            <w:pPr>
              <w:jc w:val="right"/>
              <w:rPr>
                <w:rFonts w:ascii="Arial" w:hAnsi="Arial"/>
                <w:sz w:val="18"/>
              </w:rPr>
            </w:pPr>
            <w:r w:rsidRPr="00F6284E">
              <w:rPr>
                <w:sz w:val="18"/>
              </w:rPr>
              <w:t>0.0053</w:t>
            </w:r>
          </w:p>
        </w:tc>
        <w:tc>
          <w:tcPr>
            <w:tcW w:w="567" w:type="dxa"/>
            <w:vAlign w:val="center"/>
          </w:tcPr>
          <w:p w14:paraId="514BDD38" w14:textId="77777777" w:rsidR="007B0AA1" w:rsidRPr="00F6284E" w:rsidRDefault="007B0AA1" w:rsidP="00230E14">
            <w:pPr>
              <w:jc w:val="right"/>
              <w:rPr>
                <w:rFonts w:ascii="Arial" w:hAnsi="Arial"/>
                <w:sz w:val="18"/>
              </w:rPr>
            </w:pPr>
            <w:r w:rsidRPr="00F6284E">
              <w:rPr>
                <w:sz w:val="18"/>
              </w:rPr>
              <w:t>10</w:t>
            </w:r>
          </w:p>
        </w:tc>
        <w:tc>
          <w:tcPr>
            <w:tcW w:w="567" w:type="dxa"/>
            <w:vAlign w:val="center"/>
          </w:tcPr>
          <w:p w14:paraId="66729EDC" w14:textId="77777777" w:rsidR="007B0AA1" w:rsidRPr="00F6284E" w:rsidRDefault="007B0AA1" w:rsidP="00230E14">
            <w:pPr>
              <w:jc w:val="right"/>
              <w:rPr>
                <w:rFonts w:ascii="Arial" w:hAnsi="Arial"/>
                <w:sz w:val="18"/>
              </w:rPr>
            </w:pPr>
            <w:r w:rsidRPr="00F6284E">
              <w:rPr>
                <w:sz w:val="18"/>
              </w:rPr>
              <w:t>3</w:t>
            </w:r>
          </w:p>
        </w:tc>
        <w:tc>
          <w:tcPr>
            <w:tcW w:w="567" w:type="dxa"/>
            <w:vAlign w:val="center"/>
          </w:tcPr>
          <w:p w14:paraId="56453EE1" w14:textId="77777777" w:rsidR="007B0AA1" w:rsidRPr="00F6284E" w:rsidRDefault="007B0AA1" w:rsidP="00230E14">
            <w:pPr>
              <w:jc w:val="right"/>
              <w:rPr>
                <w:rFonts w:ascii="Arial" w:hAnsi="Arial"/>
                <w:sz w:val="18"/>
              </w:rPr>
            </w:pPr>
            <w:r w:rsidRPr="00F6284E">
              <w:rPr>
                <w:sz w:val="18"/>
              </w:rPr>
              <w:t>10</w:t>
            </w:r>
          </w:p>
        </w:tc>
        <w:tc>
          <w:tcPr>
            <w:tcW w:w="567" w:type="dxa"/>
            <w:vAlign w:val="center"/>
          </w:tcPr>
          <w:p w14:paraId="398A193A" w14:textId="77777777" w:rsidR="007B0AA1" w:rsidRPr="00F6284E" w:rsidRDefault="007B0AA1" w:rsidP="00230E14">
            <w:pPr>
              <w:jc w:val="right"/>
              <w:rPr>
                <w:rFonts w:ascii="Arial" w:hAnsi="Arial"/>
                <w:sz w:val="18"/>
              </w:rPr>
            </w:pPr>
            <w:r w:rsidRPr="00F6284E">
              <w:rPr>
                <w:sz w:val="18"/>
              </w:rPr>
              <w:t>-</w:t>
            </w:r>
          </w:p>
        </w:tc>
        <w:tc>
          <w:tcPr>
            <w:tcW w:w="708" w:type="dxa"/>
            <w:vAlign w:val="center"/>
          </w:tcPr>
          <w:p w14:paraId="01F69799" w14:textId="77777777" w:rsidR="007B0AA1" w:rsidRPr="00F6284E" w:rsidRDefault="007B0AA1" w:rsidP="00230E14">
            <w:pPr>
              <w:jc w:val="right"/>
              <w:rPr>
                <w:rFonts w:ascii="Arial" w:hAnsi="Arial"/>
                <w:sz w:val="18"/>
              </w:rPr>
            </w:pPr>
            <w:r w:rsidRPr="00F6284E">
              <w:rPr>
                <w:sz w:val="18"/>
              </w:rPr>
              <w:t>300</w:t>
            </w:r>
          </w:p>
        </w:tc>
        <w:tc>
          <w:tcPr>
            <w:tcW w:w="1295" w:type="dxa"/>
            <w:vAlign w:val="center"/>
          </w:tcPr>
          <w:p w14:paraId="6C226DAB" w14:textId="77777777" w:rsidR="007B0AA1" w:rsidRPr="00F6284E" w:rsidRDefault="007B0AA1" w:rsidP="00230E14">
            <w:pPr>
              <w:jc w:val="right"/>
              <w:rPr>
                <w:rFonts w:ascii="Arial" w:hAnsi="Arial"/>
                <w:sz w:val="18"/>
              </w:rPr>
            </w:pPr>
            <w:r w:rsidRPr="00F6284E">
              <w:rPr>
                <w:sz w:val="18"/>
              </w:rPr>
              <w:t>0.00002</w:t>
            </w:r>
          </w:p>
        </w:tc>
      </w:tr>
      <w:tr w:rsidR="007B0AA1" w:rsidRPr="007B0AA1" w14:paraId="0C7F67D0" w14:textId="77777777" w:rsidTr="00F6284E">
        <w:trPr>
          <w:trHeight w:val="680"/>
          <w:jc w:val="center"/>
        </w:trPr>
        <w:tc>
          <w:tcPr>
            <w:tcW w:w="3510" w:type="dxa"/>
            <w:vAlign w:val="center"/>
          </w:tcPr>
          <w:p w14:paraId="57E0B392" w14:textId="28BE0D67" w:rsidR="007B0AA1" w:rsidRPr="00F6284E" w:rsidRDefault="007B0AA1" w:rsidP="00A111E9">
            <w:pPr>
              <w:rPr>
                <w:rFonts w:ascii="Arial" w:hAnsi="Arial"/>
                <w:sz w:val="18"/>
              </w:rPr>
            </w:pPr>
            <w:r w:rsidRPr="00D711DD">
              <w:rPr>
                <w:sz w:val="18"/>
              </w:rPr>
              <w:t xml:space="preserve">Butenhoff </w:t>
            </w:r>
            <w:r w:rsidR="00180A32" w:rsidRPr="00180A32">
              <w:rPr>
                <w:i/>
                <w:sz w:val="18"/>
              </w:rPr>
              <w:t xml:space="preserve">et al. </w:t>
            </w:r>
            <w:r w:rsidR="00CC50B8">
              <w:rPr>
                <w:sz w:val="18"/>
              </w:rPr>
              <w:t xml:space="preserve"> </w:t>
            </w:r>
            <w:r w:rsidRPr="00F6284E">
              <w:rPr>
                <w:sz w:val="18"/>
              </w:rPr>
              <w:t>2004a; LOAEL</w:t>
            </w:r>
          </w:p>
          <w:p w14:paraId="6255D176" w14:textId="77777777" w:rsidR="007B0AA1" w:rsidRPr="00F6284E" w:rsidRDefault="007B0AA1" w:rsidP="00A111E9">
            <w:pPr>
              <w:rPr>
                <w:rFonts w:ascii="Arial" w:hAnsi="Arial"/>
                <w:sz w:val="18"/>
              </w:rPr>
            </w:pPr>
            <w:r w:rsidRPr="00F6284E">
              <w:rPr>
                <w:sz w:val="18"/>
              </w:rPr>
              <w:t>↓F0 bw and ↑ absolute and relative kidney weight</w:t>
            </w:r>
          </w:p>
        </w:tc>
        <w:tc>
          <w:tcPr>
            <w:tcW w:w="1505" w:type="dxa"/>
            <w:vAlign w:val="center"/>
          </w:tcPr>
          <w:p w14:paraId="11518B83" w14:textId="77777777" w:rsidR="007B0AA1" w:rsidRPr="00F6284E" w:rsidRDefault="007B0AA1" w:rsidP="00230E14">
            <w:pPr>
              <w:jc w:val="right"/>
              <w:rPr>
                <w:rFonts w:ascii="Arial" w:hAnsi="Arial"/>
                <w:sz w:val="18"/>
              </w:rPr>
            </w:pPr>
            <w:r w:rsidRPr="00F6284E">
              <w:rPr>
                <w:sz w:val="18"/>
              </w:rPr>
              <w:t>0.0064</w:t>
            </w:r>
          </w:p>
        </w:tc>
        <w:tc>
          <w:tcPr>
            <w:tcW w:w="567" w:type="dxa"/>
            <w:vAlign w:val="center"/>
          </w:tcPr>
          <w:p w14:paraId="0061ECCC" w14:textId="77777777" w:rsidR="007B0AA1" w:rsidRPr="00F6284E" w:rsidRDefault="007B0AA1" w:rsidP="00230E14">
            <w:pPr>
              <w:jc w:val="right"/>
              <w:rPr>
                <w:rFonts w:ascii="Arial" w:hAnsi="Arial"/>
                <w:sz w:val="18"/>
              </w:rPr>
            </w:pPr>
            <w:r w:rsidRPr="00F6284E">
              <w:rPr>
                <w:sz w:val="18"/>
              </w:rPr>
              <w:t>10</w:t>
            </w:r>
          </w:p>
        </w:tc>
        <w:tc>
          <w:tcPr>
            <w:tcW w:w="567" w:type="dxa"/>
            <w:vAlign w:val="center"/>
          </w:tcPr>
          <w:p w14:paraId="47C5F72C" w14:textId="77777777" w:rsidR="007B0AA1" w:rsidRPr="00F6284E" w:rsidRDefault="007B0AA1" w:rsidP="00230E14">
            <w:pPr>
              <w:jc w:val="right"/>
              <w:rPr>
                <w:rFonts w:ascii="Arial" w:hAnsi="Arial"/>
                <w:sz w:val="18"/>
              </w:rPr>
            </w:pPr>
            <w:r w:rsidRPr="00F6284E">
              <w:rPr>
                <w:sz w:val="18"/>
              </w:rPr>
              <w:t>3</w:t>
            </w:r>
          </w:p>
        </w:tc>
        <w:tc>
          <w:tcPr>
            <w:tcW w:w="567" w:type="dxa"/>
            <w:vAlign w:val="center"/>
          </w:tcPr>
          <w:p w14:paraId="10A81B25" w14:textId="77777777" w:rsidR="007B0AA1" w:rsidRPr="00F6284E" w:rsidRDefault="007B0AA1" w:rsidP="00230E14">
            <w:pPr>
              <w:jc w:val="right"/>
              <w:rPr>
                <w:rFonts w:ascii="Arial" w:hAnsi="Arial"/>
                <w:sz w:val="18"/>
              </w:rPr>
            </w:pPr>
            <w:r w:rsidRPr="00F6284E">
              <w:rPr>
                <w:sz w:val="18"/>
              </w:rPr>
              <w:t>10</w:t>
            </w:r>
          </w:p>
        </w:tc>
        <w:tc>
          <w:tcPr>
            <w:tcW w:w="567" w:type="dxa"/>
            <w:vAlign w:val="center"/>
          </w:tcPr>
          <w:p w14:paraId="1C26193C" w14:textId="77777777" w:rsidR="007B0AA1" w:rsidRPr="00F6284E" w:rsidRDefault="007B0AA1" w:rsidP="00230E14">
            <w:pPr>
              <w:jc w:val="right"/>
              <w:rPr>
                <w:rFonts w:ascii="Arial" w:hAnsi="Arial"/>
                <w:sz w:val="18"/>
              </w:rPr>
            </w:pPr>
            <w:r w:rsidRPr="00F6284E">
              <w:rPr>
                <w:sz w:val="18"/>
              </w:rPr>
              <w:t>-</w:t>
            </w:r>
          </w:p>
        </w:tc>
        <w:tc>
          <w:tcPr>
            <w:tcW w:w="708" w:type="dxa"/>
            <w:vAlign w:val="center"/>
          </w:tcPr>
          <w:p w14:paraId="7CA2CE83" w14:textId="77777777" w:rsidR="007B0AA1" w:rsidRPr="00F6284E" w:rsidRDefault="007B0AA1" w:rsidP="00230E14">
            <w:pPr>
              <w:jc w:val="right"/>
              <w:rPr>
                <w:rFonts w:ascii="Arial" w:hAnsi="Arial"/>
                <w:sz w:val="18"/>
              </w:rPr>
            </w:pPr>
            <w:r w:rsidRPr="00F6284E">
              <w:rPr>
                <w:sz w:val="18"/>
              </w:rPr>
              <w:t>300</w:t>
            </w:r>
          </w:p>
        </w:tc>
        <w:tc>
          <w:tcPr>
            <w:tcW w:w="1295" w:type="dxa"/>
            <w:vAlign w:val="center"/>
          </w:tcPr>
          <w:p w14:paraId="0CD96EE1" w14:textId="77777777" w:rsidR="007B0AA1" w:rsidRPr="00F6284E" w:rsidRDefault="007B0AA1" w:rsidP="00230E14">
            <w:pPr>
              <w:jc w:val="right"/>
              <w:rPr>
                <w:rFonts w:ascii="Arial" w:hAnsi="Arial"/>
                <w:sz w:val="18"/>
              </w:rPr>
            </w:pPr>
            <w:r w:rsidRPr="00F6284E">
              <w:rPr>
                <w:sz w:val="18"/>
              </w:rPr>
              <w:t>0.00002</w:t>
            </w:r>
          </w:p>
        </w:tc>
      </w:tr>
    </w:tbl>
    <w:p w14:paraId="0EBE4146" w14:textId="77777777" w:rsidR="007B0AA1" w:rsidRPr="007B0AA1" w:rsidRDefault="007B0AA1" w:rsidP="00A111E9">
      <w:pPr>
        <w:rPr>
          <w:lang w:bidi="ar-SA"/>
        </w:rPr>
      </w:pPr>
    </w:p>
    <w:p w14:paraId="6F2DAB84" w14:textId="406296D4" w:rsidR="007B0AA1" w:rsidRPr="007B0AA1" w:rsidRDefault="007B0AA1" w:rsidP="00A111E9">
      <w:pPr>
        <w:rPr>
          <w:lang w:bidi="ar-SA"/>
        </w:rPr>
      </w:pPr>
      <w:r w:rsidRPr="007B0AA1">
        <w:rPr>
          <w:lang w:bidi="ar-SA"/>
        </w:rPr>
        <w:t xml:space="preserve">Of the candidate RfDs, the final RfD for noncancer effects selected, 0.00002 mg/kg bw/day, was that derived from the mouse developmental study of Lau </w:t>
      </w:r>
      <w:r w:rsidR="00180A32" w:rsidRPr="00180A32">
        <w:rPr>
          <w:i/>
        </w:rPr>
        <w:t xml:space="preserve">et al. </w:t>
      </w:r>
      <w:r w:rsidR="00CC50B8">
        <w:t xml:space="preserve"> </w:t>
      </w:r>
      <w:r w:rsidRPr="007B0AA1">
        <w:rPr>
          <w:lang w:bidi="ar-SA"/>
        </w:rPr>
        <w:t xml:space="preserve">(2006). That study found reduced ossification of the proximal phalanges and accelerated puberty in male pups. Candidate RfDs of 0.00002 mg/kg bw/day were also derived from the mouse immunotoxicity study of DeWitt </w:t>
      </w:r>
      <w:r w:rsidR="00180A32" w:rsidRPr="00180A32">
        <w:rPr>
          <w:i/>
          <w:lang w:bidi="ar-SA"/>
        </w:rPr>
        <w:t xml:space="preserve">et al. </w:t>
      </w:r>
      <w:r w:rsidR="00CC50B8">
        <w:rPr>
          <w:lang w:bidi="ar-SA"/>
        </w:rPr>
        <w:t xml:space="preserve"> </w:t>
      </w:r>
      <w:r w:rsidRPr="007B0AA1">
        <w:rPr>
          <w:lang w:bidi="ar-SA"/>
        </w:rPr>
        <w:t xml:space="preserve">(2008), and the two-generation rat study of Butenhoff </w:t>
      </w:r>
      <w:r w:rsidR="00180A32" w:rsidRPr="00180A32">
        <w:rPr>
          <w:i/>
        </w:rPr>
        <w:t xml:space="preserve">et al. </w:t>
      </w:r>
      <w:r w:rsidR="00CC50B8">
        <w:t xml:space="preserve"> </w:t>
      </w:r>
      <w:r w:rsidRPr="007B0AA1">
        <w:rPr>
          <w:lang w:bidi="ar-SA"/>
        </w:rPr>
        <w:t>(2004a).</w:t>
      </w:r>
    </w:p>
    <w:p w14:paraId="683658C3" w14:textId="77777777" w:rsidR="007B0AA1" w:rsidRPr="007B0AA1" w:rsidRDefault="007B0AA1" w:rsidP="00A111E9">
      <w:pPr>
        <w:rPr>
          <w:lang w:bidi="ar-SA"/>
        </w:rPr>
      </w:pPr>
      <w:r w:rsidRPr="007B0AA1">
        <w:rPr>
          <w:lang w:bidi="ar-SA"/>
        </w:rPr>
        <w:t xml:space="preserve">The final RfD for noncancer effects of 0.00002 mg/kg bw/day may be more conveniently expressed as </w:t>
      </w:r>
      <w:r w:rsidRPr="007B0AA1">
        <w:rPr>
          <w:b/>
          <w:lang w:bidi="ar-SA"/>
        </w:rPr>
        <w:t>20 ng/kg bw/day</w:t>
      </w:r>
      <w:r w:rsidRPr="007B0AA1">
        <w:rPr>
          <w:lang w:bidi="ar-SA"/>
        </w:rPr>
        <w:t>.</w:t>
      </w:r>
    </w:p>
    <w:p w14:paraId="558CFB0A" w14:textId="021C7159" w:rsidR="007B0AA1" w:rsidRPr="007B0AA1" w:rsidRDefault="007B0AA1" w:rsidP="00112C61">
      <w:pPr>
        <w:pStyle w:val="Heading5"/>
      </w:pPr>
      <w:r w:rsidRPr="007B0AA1">
        <w:t>Cancer effects</w:t>
      </w:r>
    </w:p>
    <w:p w14:paraId="19D595BD" w14:textId="45DE8A36" w:rsidR="007B0AA1" w:rsidRPr="007B0AA1" w:rsidRDefault="007B0AA1" w:rsidP="00A111E9">
      <w:pPr>
        <w:rPr>
          <w:lang w:bidi="ar-SA"/>
        </w:rPr>
      </w:pPr>
      <w:r w:rsidRPr="007B0AA1">
        <w:rPr>
          <w:lang w:bidi="ar-SA"/>
        </w:rPr>
        <w:t>The US EPA considered that there is equivocal evidence that PFOA is associated with increased risk of cancer in either human beings or experimental animals.</w:t>
      </w:r>
    </w:p>
    <w:p w14:paraId="31DE3AD8" w14:textId="77777777" w:rsidR="007B0AA1" w:rsidRPr="007B0AA1" w:rsidRDefault="007B0AA1" w:rsidP="00A111E9">
      <w:pPr>
        <w:rPr>
          <w:lang w:bidi="ar-SA"/>
        </w:rPr>
      </w:pPr>
    </w:p>
    <w:p w14:paraId="35843960" w14:textId="23DE8613" w:rsidR="007B0AA1" w:rsidRPr="007B0AA1" w:rsidRDefault="007B0AA1" w:rsidP="00A111E9">
      <w:pPr>
        <w:rPr>
          <w:lang w:bidi="ar-SA"/>
        </w:rPr>
      </w:pPr>
      <w:r w:rsidRPr="007B0AA1">
        <w:rPr>
          <w:lang w:bidi="ar-SA"/>
        </w:rPr>
        <w:t>Two chronic studies in rats suggest that PFOA may be a weak carcinogen in rats. Increased incidence of liver tumours, Leydig cell tumours and pancreatic acinar cell tumours were reported. The increased incidence of liver cell tumours appears to be due to PPAR</w:t>
      </w:r>
      <w:r w:rsidRPr="007B0AA1">
        <w:rPr>
          <w:rFonts w:cs="Arial"/>
          <w:lang w:bidi="ar-SA"/>
        </w:rPr>
        <w:t>α</w:t>
      </w:r>
      <w:r w:rsidRPr="007B0AA1">
        <w:rPr>
          <w:lang w:bidi="ar-SA"/>
        </w:rPr>
        <w:t xml:space="preserve"> agonism, a mechanism that is not relevant to human beings. PPAR</w:t>
      </w:r>
      <w:r w:rsidRPr="007B0AA1">
        <w:rPr>
          <w:rFonts w:cs="Arial"/>
          <w:lang w:bidi="ar-SA"/>
        </w:rPr>
        <w:t>α</w:t>
      </w:r>
      <w:r w:rsidRPr="007B0AA1">
        <w:rPr>
          <w:lang w:bidi="ar-SA"/>
        </w:rPr>
        <w:t xml:space="preserve"> agonism may also be </w:t>
      </w:r>
      <w:r w:rsidRPr="007B0AA1">
        <w:rPr>
          <w:lang w:bidi="ar-SA"/>
        </w:rPr>
        <w:lastRenderedPageBreak/>
        <w:t>indirectly responsible for the increase in Leydig cell tumours. It is possible that PFOA decreases testosterone as a result of increased activity of aromatase. Decreased testosteron</w:t>
      </w:r>
      <w:r w:rsidR="002F5926">
        <w:rPr>
          <w:lang w:bidi="ar-SA"/>
        </w:rPr>
        <w:t xml:space="preserve">e synthesis leads to increased </w:t>
      </w:r>
      <w:r w:rsidR="00F20BCE">
        <w:rPr>
          <w:lang w:bidi="ar-SA"/>
        </w:rPr>
        <w:t>gonadotropin</w:t>
      </w:r>
      <w:r w:rsidR="0069539B">
        <w:rPr>
          <w:lang w:bidi="ar-SA"/>
        </w:rPr>
        <w:t>-releasing hormo</w:t>
      </w:r>
      <w:r w:rsidRPr="007B0AA1">
        <w:rPr>
          <w:lang w:bidi="ar-SA"/>
        </w:rPr>
        <w:t>n</w:t>
      </w:r>
      <w:r w:rsidR="0069539B">
        <w:rPr>
          <w:lang w:bidi="ar-SA"/>
        </w:rPr>
        <w:t>e</w:t>
      </w:r>
      <w:r w:rsidRPr="007B0AA1">
        <w:rPr>
          <w:lang w:bidi="ar-SA"/>
        </w:rPr>
        <w:t xml:space="preserve"> and</w:t>
      </w:r>
      <w:r w:rsidR="00156ADD" w:rsidRPr="00156ADD">
        <w:rPr>
          <w:rFonts w:eastAsiaTheme="minorHAnsi" w:cstheme="minorBidi"/>
          <w:szCs w:val="22"/>
          <w:lang w:bidi="ar-SA"/>
        </w:rPr>
        <w:t xml:space="preserve"> </w:t>
      </w:r>
      <w:r w:rsidR="00156ADD" w:rsidRPr="00276C1C">
        <w:rPr>
          <w:rFonts w:eastAsiaTheme="minorHAnsi" w:cstheme="minorBidi"/>
          <w:szCs w:val="22"/>
          <w:lang w:bidi="ar-SA"/>
        </w:rPr>
        <w:t>luteinising hormone</w:t>
      </w:r>
      <w:r w:rsidRPr="007B0AA1">
        <w:rPr>
          <w:lang w:bidi="ar-SA"/>
        </w:rPr>
        <w:t xml:space="preserve"> </w:t>
      </w:r>
      <w:r w:rsidR="00156ADD">
        <w:rPr>
          <w:lang w:bidi="ar-SA"/>
        </w:rPr>
        <w:t>(</w:t>
      </w:r>
      <w:r w:rsidRPr="007B0AA1">
        <w:rPr>
          <w:lang w:bidi="ar-SA"/>
        </w:rPr>
        <w:t>LH</w:t>
      </w:r>
      <w:r w:rsidR="00156ADD">
        <w:rPr>
          <w:lang w:bidi="ar-SA"/>
        </w:rPr>
        <w:t>)</w:t>
      </w:r>
      <w:r w:rsidRPr="007B0AA1">
        <w:rPr>
          <w:lang w:bidi="ar-SA"/>
        </w:rPr>
        <w:t>, leading to chronic stimulation of Leydig cells. There is a lack of information on whether PFOA could influence the theori</w:t>
      </w:r>
      <w:r w:rsidR="001B6877">
        <w:rPr>
          <w:lang w:bidi="ar-SA"/>
        </w:rPr>
        <w:t>s</w:t>
      </w:r>
      <w:r w:rsidRPr="007B0AA1">
        <w:rPr>
          <w:lang w:bidi="ar-SA"/>
        </w:rPr>
        <w:t>ed mode of action for pancreatic acinar cell tumours.</w:t>
      </w:r>
    </w:p>
    <w:p w14:paraId="2C99E79A" w14:textId="77777777" w:rsidR="007B0AA1" w:rsidRPr="007B0AA1" w:rsidRDefault="007B0AA1" w:rsidP="00A111E9">
      <w:pPr>
        <w:rPr>
          <w:lang w:bidi="ar-SA"/>
        </w:rPr>
      </w:pPr>
    </w:p>
    <w:p w14:paraId="2756BC9D" w14:textId="5916D993" w:rsidR="007B0AA1" w:rsidRPr="007B0AA1" w:rsidRDefault="007B0AA1" w:rsidP="00A111E9">
      <w:pPr>
        <w:rPr>
          <w:lang w:bidi="ar-SA"/>
        </w:rPr>
      </w:pPr>
      <w:r w:rsidRPr="007B0AA1">
        <w:rPr>
          <w:lang w:bidi="ar-SA"/>
        </w:rPr>
        <w:t xml:space="preserve">Under the US EPA’s 2005 cancer guidelines, the evidence for carcinogenicity of PFOA is considered to be suggestive because only one species has been evaluated for lifetime exposure and the responses occurred primarily in one sex (males). However, the data on liver tumours from the study, that of Butenhoff </w:t>
      </w:r>
      <w:r w:rsidR="00180A32" w:rsidRPr="00180A32">
        <w:rPr>
          <w:i/>
        </w:rPr>
        <w:t xml:space="preserve">et al. </w:t>
      </w:r>
      <w:r w:rsidR="00CC50B8">
        <w:t xml:space="preserve"> </w:t>
      </w:r>
      <w:r w:rsidRPr="007B0AA1">
        <w:rPr>
          <w:lang w:bidi="ar-SA"/>
        </w:rPr>
        <w:t>(2012), was modelled using the</w:t>
      </w:r>
      <w:r w:rsidR="001371D0">
        <w:rPr>
          <w:lang w:bidi="ar-SA"/>
        </w:rPr>
        <w:t xml:space="preserve"> US</w:t>
      </w:r>
      <w:r w:rsidRPr="007B0AA1">
        <w:rPr>
          <w:lang w:bidi="ar-SA"/>
        </w:rPr>
        <w:t xml:space="preserve"> EPA’s Benchmark Dose Software (Version 2.3.1). It was concluded that</w:t>
      </w:r>
      <w:r w:rsidR="00B10405">
        <w:rPr>
          <w:lang w:bidi="ar-SA"/>
        </w:rPr>
        <w:t xml:space="preserve"> the</w:t>
      </w:r>
      <w:r w:rsidRPr="007B0AA1">
        <w:rPr>
          <w:lang w:bidi="ar-SA"/>
        </w:rPr>
        <w:t xml:space="preserve"> RfD for cancer effects is higher than the RfD for noncancer effects and therefore the RfD for noncancer effects is also protective against any carcinogenicity.</w:t>
      </w:r>
    </w:p>
    <w:p w14:paraId="27977FAF" w14:textId="57CDED55" w:rsidR="0037427F" w:rsidRPr="0037427F" w:rsidRDefault="0037427F" w:rsidP="00112C61">
      <w:pPr>
        <w:pStyle w:val="Heading3"/>
      </w:pPr>
      <w:bookmarkStart w:id="233" w:name="_Toc468372006"/>
      <w:bookmarkStart w:id="234" w:name="_Toc468699226"/>
      <w:bookmarkStart w:id="235" w:name="_Toc468712755"/>
      <w:bookmarkStart w:id="236" w:name="_Toc468716457"/>
      <w:bookmarkStart w:id="237" w:name="_Toc468709444"/>
      <w:bookmarkStart w:id="238" w:name="_Toc468717743"/>
      <w:bookmarkStart w:id="239" w:name="_Toc468718387"/>
      <w:bookmarkStart w:id="240" w:name="_Toc468719377"/>
      <w:bookmarkStart w:id="241" w:name="_Toc468722182"/>
      <w:bookmarkStart w:id="242" w:name="_Toc468799252"/>
      <w:bookmarkStart w:id="243" w:name="_Toc468806575"/>
      <w:bookmarkStart w:id="244" w:name="_Toc468980989"/>
      <w:bookmarkStart w:id="245" w:name="_Toc482805104"/>
      <w:r>
        <w:t>3.3</w:t>
      </w:r>
      <w:r w:rsidRPr="0037427F">
        <w:tab/>
        <w:t>Summary of the toxicity of PFOA</w:t>
      </w:r>
      <w:bookmarkEnd w:id="233"/>
      <w:bookmarkEnd w:id="234"/>
      <w:bookmarkEnd w:id="235"/>
      <w:bookmarkEnd w:id="236"/>
      <w:bookmarkEnd w:id="237"/>
      <w:bookmarkEnd w:id="238"/>
      <w:bookmarkEnd w:id="239"/>
      <w:bookmarkEnd w:id="240"/>
      <w:bookmarkEnd w:id="241"/>
      <w:bookmarkEnd w:id="242"/>
      <w:bookmarkEnd w:id="243"/>
      <w:bookmarkEnd w:id="244"/>
      <w:bookmarkEnd w:id="245"/>
    </w:p>
    <w:p w14:paraId="7A0A2B19" w14:textId="3A2D6046" w:rsidR="0037427F" w:rsidRPr="0037427F" w:rsidRDefault="0037427F" w:rsidP="00112C61">
      <w:pPr>
        <w:pStyle w:val="Heading4"/>
      </w:pPr>
      <w:bookmarkStart w:id="246" w:name="_Toc468372007"/>
      <w:bookmarkStart w:id="247" w:name="_Toc468699227"/>
      <w:bookmarkStart w:id="248" w:name="_Toc468712756"/>
      <w:bookmarkStart w:id="249" w:name="_Toc468716458"/>
      <w:bookmarkStart w:id="250" w:name="_Toc468709445"/>
      <w:bookmarkStart w:id="251" w:name="_Toc468717744"/>
      <w:bookmarkStart w:id="252" w:name="_Toc468718388"/>
      <w:bookmarkStart w:id="253" w:name="_Toc468719378"/>
      <w:bookmarkStart w:id="254" w:name="_Toc468722183"/>
      <w:bookmarkStart w:id="255" w:name="_Toc468799253"/>
      <w:bookmarkStart w:id="256" w:name="_Toc468806576"/>
      <w:bookmarkStart w:id="257" w:name="_Toc468980990"/>
      <w:r>
        <w:t>3.3</w:t>
      </w:r>
      <w:r w:rsidRPr="0037427F">
        <w:t>.1</w:t>
      </w:r>
      <w:r w:rsidRPr="0037427F">
        <w:tab/>
      </w:r>
      <w:r w:rsidR="00112C61">
        <w:tab/>
      </w:r>
      <w:r w:rsidRPr="0037427F">
        <w:t>Mechanisms of toxicity</w:t>
      </w:r>
      <w:bookmarkEnd w:id="246"/>
      <w:bookmarkEnd w:id="247"/>
      <w:bookmarkEnd w:id="248"/>
      <w:bookmarkEnd w:id="249"/>
      <w:bookmarkEnd w:id="250"/>
      <w:bookmarkEnd w:id="251"/>
      <w:bookmarkEnd w:id="252"/>
      <w:bookmarkEnd w:id="253"/>
      <w:bookmarkEnd w:id="254"/>
      <w:bookmarkEnd w:id="255"/>
      <w:bookmarkEnd w:id="256"/>
      <w:bookmarkEnd w:id="257"/>
    </w:p>
    <w:p w14:paraId="732445B4" w14:textId="1797DF42" w:rsidR="0037427F" w:rsidRPr="0037427F" w:rsidRDefault="0037427F" w:rsidP="00A111E9">
      <w:pPr>
        <w:rPr>
          <w:lang w:bidi="ar-SA"/>
        </w:rPr>
      </w:pPr>
      <w:r w:rsidRPr="0037427F">
        <w:rPr>
          <w:lang w:bidi="ar-SA"/>
        </w:rPr>
        <w:t>The mode of action of PFAS</w:t>
      </w:r>
      <w:r w:rsidR="00185513">
        <w:rPr>
          <w:lang w:bidi="ar-SA"/>
        </w:rPr>
        <w:t xml:space="preserve"> substances</w:t>
      </w:r>
      <w:r w:rsidRPr="0037427F">
        <w:rPr>
          <w:lang w:bidi="ar-SA"/>
        </w:rPr>
        <w:t xml:space="preserve"> is not fully defined, but can be partly attributed to their structure.</w:t>
      </w:r>
    </w:p>
    <w:p w14:paraId="519312AF" w14:textId="77777777" w:rsidR="0037427F" w:rsidRPr="0037427F" w:rsidRDefault="0037427F" w:rsidP="00A111E9">
      <w:pPr>
        <w:rPr>
          <w:lang w:bidi="ar-SA"/>
        </w:rPr>
      </w:pPr>
    </w:p>
    <w:p w14:paraId="342C4DF7" w14:textId="57A61762" w:rsidR="00211093" w:rsidRDefault="0037427F" w:rsidP="00A111E9">
      <w:pPr>
        <w:rPr>
          <w:lang w:bidi="ar-SA"/>
        </w:rPr>
      </w:pPr>
      <w:r w:rsidRPr="0037427F">
        <w:rPr>
          <w:lang w:bidi="ar-SA"/>
        </w:rPr>
        <w:t>PFAS compounds exhibit structural similarities to endogenous fatty acids. They are transported bound to albumin in the circulation, and bind intracellularly to fatty acid binding proteins. Like endogenous fatty acids, PFASs are ligands to the peroxisome</w:t>
      </w:r>
      <w:r w:rsidR="001012A5">
        <w:rPr>
          <w:lang w:bidi="ar-SA"/>
        </w:rPr>
        <w:t xml:space="preserve"> </w:t>
      </w:r>
      <w:r w:rsidRPr="0037427F">
        <w:rPr>
          <w:lang w:bidi="ar-SA"/>
        </w:rPr>
        <w:t>proliferator activated receptor PPAR</w:t>
      </w:r>
      <w:r w:rsidRPr="0037427F">
        <w:rPr>
          <w:rFonts w:cs="Arial"/>
          <w:lang w:bidi="ar-SA"/>
        </w:rPr>
        <w:t>α</w:t>
      </w:r>
      <w:r w:rsidRPr="0037427F">
        <w:rPr>
          <w:lang w:bidi="ar-SA"/>
        </w:rPr>
        <w:t xml:space="preserve">. </w:t>
      </w:r>
      <w:r w:rsidR="00211093" w:rsidRPr="00211093">
        <w:rPr>
          <w:lang w:bidi="ar-SA"/>
        </w:rPr>
        <w:t>PFOA has been shown to activate PPARα using COS1 cells transfected with a luciferase reporter gene (EFSA 2008).</w:t>
      </w:r>
    </w:p>
    <w:p w14:paraId="390453F0" w14:textId="77777777" w:rsidR="00211093" w:rsidRDefault="00211093" w:rsidP="00A111E9">
      <w:pPr>
        <w:rPr>
          <w:lang w:bidi="ar-SA"/>
        </w:rPr>
      </w:pPr>
    </w:p>
    <w:p w14:paraId="1240AD00" w14:textId="19DBF4B4" w:rsidR="0037427F" w:rsidRPr="0037427F" w:rsidRDefault="0037427F" w:rsidP="00A111E9">
      <w:pPr>
        <w:rPr>
          <w:lang w:bidi="ar-SA"/>
        </w:rPr>
      </w:pPr>
      <w:r w:rsidRPr="0037427F">
        <w:rPr>
          <w:lang w:bidi="ar-SA"/>
        </w:rPr>
        <w:t>Activation of this receptor leads to proliferation of peroxisomes, and catabolism of fatty acids and cholesterol. Peroxisome proliferation leads to hepatocellular hypertrophy and increased liver weight, which is observed in rodents and monkeys treated with PFOA. Peroxisome proliferation is associated with hepatocellular carcinogenesis in rodents, but this effect is not relevant to human health risk assessment (Borg and Håkansson</w:t>
      </w:r>
      <w:r w:rsidR="00296027">
        <w:rPr>
          <w:lang w:bidi="ar-SA"/>
        </w:rPr>
        <w:t>,</w:t>
      </w:r>
      <w:r w:rsidRPr="0037427F">
        <w:rPr>
          <w:lang w:bidi="ar-SA"/>
        </w:rPr>
        <w:t xml:space="preserve"> 2012).</w:t>
      </w:r>
    </w:p>
    <w:p w14:paraId="5639A247" w14:textId="77777777" w:rsidR="0037427F" w:rsidRPr="0037427F" w:rsidRDefault="0037427F" w:rsidP="00A111E9">
      <w:pPr>
        <w:rPr>
          <w:lang w:bidi="ar-SA"/>
        </w:rPr>
      </w:pPr>
    </w:p>
    <w:p w14:paraId="152B6BA6" w14:textId="264758A9" w:rsidR="00211093" w:rsidRDefault="0037427F" w:rsidP="00A111E9">
      <w:pPr>
        <w:rPr>
          <w:lang w:bidi="ar-SA"/>
        </w:rPr>
      </w:pPr>
      <w:r w:rsidRPr="0037427F">
        <w:rPr>
          <w:lang w:bidi="ar-SA"/>
        </w:rPr>
        <w:t>The hepatic changes observed in rodents treated with PFOA cannot be entirely attributed to binding with PPAR</w:t>
      </w:r>
      <w:r w:rsidRPr="0037427F">
        <w:rPr>
          <w:rFonts w:cs="Arial"/>
          <w:lang w:bidi="ar-SA"/>
        </w:rPr>
        <w:t>α</w:t>
      </w:r>
      <w:r w:rsidRPr="0037427F">
        <w:rPr>
          <w:lang w:bidi="ar-SA"/>
        </w:rPr>
        <w:t>, because hepatotoxicity has been observed in PPAR</w:t>
      </w:r>
      <w:r w:rsidRPr="0037427F">
        <w:rPr>
          <w:rFonts w:cs="Arial"/>
          <w:lang w:bidi="ar-SA"/>
        </w:rPr>
        <w:t>α</w:t>
      </w:r>
      <w:r w:rsidRPr="0037427F">
        <w:rPr>
          <w:lang w:bidi="ar-SA"/>
        </w:rPr>
        <w:t>-knockout mice treated with PFOA.</w:t>
      </w:r>
    </w:p>
    <w:p w14:paraId="7C38E7C1" w14:textId="77777777" w:rsidR="00211093" w:rsidRDefault="00211093" w:rsidP="00A111E9">
      <w:pPr>
        <w:rPr>
          <w:lang w:bidi="ar-SA"/>
        </w:rPr>
      </w:pPr>
    </w:p>
    <w:p w14:paraId="7C13705B" w14:textId="309E8CC7" w:rsidR="0037427F" w:rsidRDefault="0037427F" w:rsidP="00A111E9">
      <w:pPr>
        <w:rPr>
          <w:rFonts w:cs="Arial"/>
          <w:lang w:bidi="ar-SA"/>
        </w:rPr>
      </w:pPr>
      <w:r w:rsidRPr="0037427F">
        <w:rPr>
          <w:rFonts w:cs="Arial"/>
          <w:lang w:bidi="ar-SA"/>
        </w:rPr>
        <w:t>PFOA also induces CYP2B2, CYP3A4 and CYP4A1 in liver, which suggests that PFOA may also interact with other members of the nuclear hormone</w:t>
      </w:r>
      <w:r w:rsidR="004436E7">
        <w:rPr>
          <w:rFonts w:cs="Arial"/>
          <w:lang w:bidi="ar-SA"/>
        </w:rPr>
        <w:t xml:space="preserve"> receptor</w:t>
      </w:r>
      <w:r w:rsidRPr="0037427F">
        <w:rPr>
          <w:rFonts w:cs="Arial"/>
          <w:lang w:bidi="ar-SA"/>
        </w:rPr>
        <w:t xml:space="preserve"> superfamily including </w:t>
      </w:r>
      <w:r w:rsidR="00AB35CC">
        <w:rPr>
          <w:rFonts w:cs="Arial"/>
          <w:lang w:bidi="ar-SA"/>
        </w:rPr>
        <w:t>CAR</w:t>
      </w:r>
      <w:r w:rsidRPr="0037427F">
        <w:rPr>
          <w:rFonts w:cs="Arial"/>
          <w:lang w:bidi="ar-SA"/>
        </w:rPr>
        <w:t xml:space="preserve"> and PXR (EFSA 2008). It is difficult to separate the effects of PPARα activation from these other effects of PFOA on the liver (US EPA 2016).</w:t>
      </w:r>
    </w:p>
    <w:p w14:paraId="14241BEB" w14:textId="77777777" w:rsidR="00802F16" w:rsidRPr="0037427F" w:rsidRDefault="00802F16" w:rsidP="00A111E9">
      <w:pPr>
        <w:rPr>
          <w:rFonts w:cs="Arial"/>
          <w:lang w:bidi="ar-SA"/>
        </w:rPr>
      </w:pPr>
    </w:p>
    <w:p w14:paraId="10CA48D9" w14:textId="5FA5D3A8" w:rsidR="0037427F" w:rsidRPr="0037427F" w:rsidRDefault="00211093" w:rsidP="00A111E9">
      <w:pPr>
        <w:rPr>
          <w:lang w:bidi="ar-SA"/>
        </w:rPr>
      </w:pPr>
      <w:r w:rsidRPr="00211093">
        <w:rPr>
          <w:lang w:bidi="ar-SA"/>
        </w:rPr>
        <w:t xml:space="preserve">Effects not </w:t>
      </w:r>
      <w:r w:rsidR="00BF5623">
        <w:rPr>
          <w:lang w:bidi="ar-SA"/>
        </w:rPr>
        <w:t xml:space="preserve">considered to be mediated by PPARα may </w:t>
      </w:r>
      <w:r w:rsidRPr="00211093">
        <w:rPr>
          <w:lang w:bidi="ar-SA"/>
        </w:rPr>
        <w:t>be relevant to human health risk assessment (Borg and Håkansson 2012).</w:t>
      </w:r>
      <w:r w:rsidR="00547C02">
        <w:rPr>
          <w:lang w:bidi="ar-SA"/>
        </w:rPr>
        <w:t xml:space="preserve"> </w:t>
      </w:r>
      <w:r w:rsidR="00547C02" w:rsidRPr="00547C02">
        <w:rPr>
          <w:lang w:bidi="ar-SA"/>
        </w:rPr>
        <w:t>However</w:t>
      </w:r>
      <w:r w:rsidR="007F02A2">
        <w:rPr>
          <w:lang w:bidi="ar-SA"/>
        </w:rPr>
        <w:t>,</w:t>
      </w:r>
      <w:r w:rsidR="00547C02" w:rsidRPr="00547C02">
        <w:rPr>
          <w:lang w:bidi="ar-SA"/>
        </w:rPr>
        <w:t xml:space="preserve"> it should also be noted that recent advances over the last decade have also revealed that a number of the effects related to the activation of the nuclear hormone receptors CAR and PXR are rodent-specific (Hall </w:t>
      </w:r>
      <w:r w:rsidR="00180A32" w:rsidRPr="00180A32">
        <w:rPr>
          <w:i/>
          <w:lang w:bidi="ar-SA"/>
        </w:rPr>
        <w:t xml:space="preserve">et al. </w:t>
      </w:r>
      <w:r w:rsidR="00CC50B8">
        <w:rPr>
          <w:lang w:bidi="ar-SA"/>
        </w:rPr>
        <w:t xml:space="preserve"> </w:t>
      </w:r>
      <w:r w:rsidR="00547C02" w:rsidRPr="00547C02">
        <w:rPr>
          <w:lang w:bidi="ar-SA"/>
        </w:rPr>
        <w:t>2012).</w:t>
      </w:r>
    </w:p>
    <w:p w14:paraId="48841ACB" w14:textId="79D3201D" w:rsidR="0037427F" w:rsidRPr="0079257C" w:rsidRDefault="0037427F" w:rsidP="00112C61">
      <w:pPr>
        <w:pStyle w:val="Heading4"/>
      </w:pPr>
      <w:bookmarkStart w:id="258" w:name="_Toc468372008"/>
      <w:bookmarkStart w:id="259" w:name="_Toc468699228"/>
      <w:bookmarkStart w:id="260" w:name="_Toc468712757"/>
      <w:bookmarkStart w:id="261" w:name="_Toc468716459"/>
      <w:bookmarkStart w:id="262" w:name="_Toc468709446"/>
      <w:bookmarkStart w:id="263" w:name="_Toc468717745"/>
      <w:bookmarkStart w:id="264" w:name="_Toc468718389"/>
      <w:bookmarkStart w:id="265" w:name="_Toc468719379"/>
      <w:bookmarkStart w:id="266" w:name="_Toc468722184"/>
      <w:bookmarkStart w:id="267" w:name="_Toc468799254"/>
      <w:bookmarkStart w:id="268" w:name="_Toc468806577"/>
      <w:bookmarkStart w:id="269" w:name="_Toc468980991"/>
      <w:r w:rsidRPr="0079257C">
        <w:t>3.3.2</w:t>
      </w:r>
      <w:r w:rsidR="00112C61">
        <w:tab/>
      </w:r>
      <w:r w:rsidRPr="0079257C">
        <w:tab/>
        <w:t>Toxicokinetics</w:t>
      </w:r>
      <w:bookmarkEnd w:id="258"/>
      <w:bookmarkEnd w:id="259"/>
      <w:bookmarkEnd w:id="260"/>
      <w:bookmarkEnd w:id="261"/>
      <w:bookmarkEnd w:id="262"/>
      <w:bookmarkEnd w:id="263"/>
      <w:bookmarkEnd w:id="264"/>
      <w:bookmarkEnd w:id="265"/>
      <w:bookmarkEnd w:id="266"/>
      <w:bookmarkEnd w:id="267"/>
      <w:bookmarkEnd w:id="268"/>
      <w:bookmarkEnd w:id="269"/>
    </w:p>
    <w:p w14:paraId="625709B8" w14:textId="0FB9973D" w:rsidR="004436E7" w:rsidRDefault="004436E7" w:rsidP="004436E7">
      <w:pPr>
        <w:rPr>
          <w:i/>
          <w:lang w:eastAsia="en-AU"/>
        </w:rPr>
      </w:pPr>
      <w:r>
        <w:rPr>
          <w:lang w:eastAsia="en-AU"/>
        </w:rPr>
        <w:t xml:space="preserve">A detailed review of the toxicokinetics of PFOA is included in the review of pharmacokinetic modelling for PFOS and PFOA commissioned by FSANZ (Roberts </w:t>
      </w:r>
      <w:r w:rsidR="00180A32" w:rsidRPr="00180A32">
        <w:rPr>
          <w:i/>
          <w:lang w:eastAsia="en-AU"/>
        </w:rPr>
        <w:t xml:space="preserve">et al. </w:t>
      </w:r>
      <w:r>
        <w:rPr>
          <w:lang w:eastAsia="en-AU"/>
        </w:rPr>
        <w:t xml:space="preserve"> 2016). Key information is summarised below. </w:t>
      </w:r>
    </w:p>
    <w:p w14:paraId="16DF4270" w14:textId="77777777" w:rsidR="004436E7" w:rsidRDefault="004436E7" w:rsidP="00A111E9">
      <w:pPr>
        <w:rPr>
          <w:i/>
          <w:lang w:eastAsia="en-AU" w:bidi="ar-SA"/>
        </w:rPr>
      </w:pPr>
    </w:p>
    <w:p w14:paraId="0F04BB09" w14:textId="13900367" w:rsidR="0037427F" w:rsidRPr="0037427F" w:rsidRDefault="0037427F" w:rsidP="00112C61">
      <w:pPr>
        <w:pStyle w:val="Heading5"/>
        <w:rPr>
          <w:lang w:eastAsia="en-AU"/>
        </w:rPr>
      </w:pPr>
      <w:r w:rsidRPr="0037427F">
        <w:rPr>
          <w:lang w:eastAsia="en-AU"/>
        </w:rPr>
        <w:lastRenderedPageBreak/>
        <w:t>Absorption</w:t>
      </w:r>
    </w:p>
    <w:p w14:paraId="43880137" w14:textId="0A9D2DFC" w:rsidR="0037427F" w:rsidRPr="0037427F" w:rsidRDefault="0037427F" w:rsidP="00A111E9">
      <w:pPr>
        <w:rPr>
          <w:lang w:eastAsia="en-AU" w:bidi="ar-SA"/>
        </w:rPr>
      </w:pPr>
      <w:r w:rsidRPr="0037427F">
        <w:rPr>
          <w:lang w:eastAsia="en-AU" w:bidi="ar-SA"/>
        </w:rPr>
        <w:t>PFOA is readily absorbed by the oral route. Bioavailability of &gt; 93% within 24 hours has been demonstrated following oral administration to rodents (reviewed by Borg and Håkansson 2012). C</w:t>
      </w:r>
      <w:r w:rsidRPr="0037427F">
        <w:rPr>
          <w:vertAlign w:val="subscript"/>
          <w:lang w:eastAsia="en-AU" w:bidi="ar-SA"/>
        </w:rPr>
        <w:t xml:space="preserve">max </w:t>
      </w:r>
      <w:r w:rsidRPr="0037427F">
        <w:rPr>
          <w:lang w:eastAsia="en-AU" w:bidi="ar-SA"/>
        </w:rPr>
        <w:t>is reached within four hours in male mice and eigh</w:t>
      </w:r>
      <w:r w:rsidR="002337BB">
        <w:rPr>
          <w:lang w:eastAsia="en-AU" w:bidi="ar-SA"/>
        </w:rPr>
        <w:t>t hours in female mice (reported</w:t>
      </w:r>
      <w:r w:rsidRPr="0037427F">
        <w:rPr>
          <w:lang w:eastAsia="en-AU" w:bidi="ar-SA"/>
        </w:rPr>
        <w:t xml:space="preserve"> by Bull </w:t>
      </w:r>
      <w:r w:rsidR="00180A32" w:rsidRPr="00180A32">
        <w:rPr>
          <w:i/>
          <w:lang w:eastAsia="en-AU"/>
        </w:rPr>
        <w:t xml:space="preserve">et al. </w:t>
      </w:r>
      <w:r w:rsidR="00CC50B8">
        <w:rPr>
          <w:lang w:eastAsia="en-AU"/>
        </w:rPr>
        <w:t xml:space="preserve"> </w:t>
      </w:r>
      <w:r w:rsidRPr="0037427F">
        <w:rPr>
          <w:lang w:eastAsia="en-AU" w:bidi="ar-SA"/>
        </w:rPr>
        <w:t>2014</w:t>
      </w:r>
      <w:r w:rsidR="002337BB" w:rsidRPr="002337BB">
        <w:rPr>
          <w:lang w:eastAsia="en-AU" w:bidi="ar-SA"/>
        </w:rPr>
        <w:t xml:space="preserve"> </w:t>
      </w:r>
      <w:r w:rsidR="002337BB">
        <w:rPr>
          <w:lang w:eastAsia="en-AU" w:bidi="ar-SA"/>
        </w:rPr>
        <w:t xml:space="preserve">from their review of Lou </w:t>
      </w:r>
      <w:r w:rsidR="00180A32" w:rsidRPr="00180A32">
        <w:rPr>
          <w:i/>
          <w:lang w:eastAsia="en-AU" w:bidi="ar-SA"/>
        </w:rPr>
        <w:t xml:space="preserve">et al. </w:t>
      </w:r>
      <w:r w:rsidR="002337BB">
        <w:rPr>
          <w:lang w:eastAsia="en-AU" w:bidi="ar-SA"/>
        </w:rPr>
        <w:t xml:space="preserve"> 2009</w:t>
      </w:r>
      <w:r w:rsidRPr="0037427F">
        <w:rPr>
          <w:lang w:eastAsia="en-AU" w:bidi="ar-SA"/>
        </w:rPr>
        <w:t>), and in one to two hours in rats (reviewed by EFSA 2008).</w:t>
      </w:r>
    </w:p>
    <w:p w14:paraId="1BE01892" w14:textId="77777777" w:rsidR="0037427F" w:rsidRPr="0037427F" w:rsidRDefault="0037427F" w:rsidP="00112C61">
      <w:pPr>
        <w:pStyle w:val="Heading5"/>
        <w:rPr>
          <w:lang w:eastAsia="en-AU"/>
        </w:rPr>
      </w:pPr>
      <w:r w:rsidRPr="0037427F">
        <w:rPr>
          <w:lang w:eastAsia="en-AU"/>
        </w:rPr>
        <w:t>Distribution</w:t>
      </w:r>
    </w:p>
    <w:p w14:paraId="7F1B5CFF" w14:textId="591FEF79" w:rsidR="0037427F" w:rsidRPr="0037427F" w:rsidRDefault="0037427F" w:rsidP="00A111E9">
      <w:pPr>
        <w:rPr>
          <w:lang w:eastAsia="en-AU" w:bidi="ar-SA"/>
        </w:rPr>
      </w:pPr>
      <w:r w:rsidRPr="0037427F">
        <w:rPr>
          <w:lang w:eastAsia="en-AU" w:bidi="ar-SA"/>
        </w:rPr>
        <w:t xml:space="preserve">PFOA is highly bound to plasma proteins in circulation. It has been shown to be 99.7% bound to human plasma proteins and 97.3% bound to plasma protein of rats and monkeys (ATSDR 2015). Over 90% of the protein binding is to albumin (Roberts </w:t>
      </w:r>
      <w:r w:rsidR="00180A32" w:rsidRPr="00180A32">
        <w:rPr>
          <w:i/>
          <w:lang w:eastAsia="en-AU" w:bidi="ar-SA"/>
        </w:rPr>
        <w:t xml:space="preserve">et al. </w:t>
      </w:r>
      <w:r w:rsidR="00CC50B8">
        <w:rPr>
          <w:lang w:eastAsia="en-AU" w:bidi="ar-SA"/>
        </w:rPr>
        <w:t xml:space="preserve"> </w:t>
      </w:r>
      <w:r w:rsidRPr="0037427F">
        <w:rPr>
          <w:lang w:eastAsia="en-AU" w:bidi="ar-SA"/>
        </w:rPr>
        <w:t xml:space="preserve">2016). The dissociation constant for albumin-bound PFOA in human serum is approximately 0.4 mM and involves 6–9 </w:t>
      </w:r>
      <w:r w:rsidR="00F20BCE">
        <w:rPr>
          <w:lang w:eastAsia="en-AU" w:bidi="ar-SA"/>
        </w:rPr>
        <w:t>binding</w:t>
      </w:r>
      <w:r w:rsidR="00F20BCE" w:rsidRPr="0037427F">
        <w:rPr>
          <w:lang w:eastAsia="en-AU" w:bidi="ar-SA"/>
        </w:rPr>
        <w:t xml:space="preserve"> </w:t>
      </w:r>
      <w:r w:rsidRPr="0037427F">
        <w:rPr>
          <w:lang w:eastAsia="en-AU" w:bidi="ar-SA"/>
        </w:rPr>
        <w:t xml:space="preserve">sites (ATSDR 2015). It also has binding affinity to </w:t>
      </w:r>
      <w:r w:rsidR="00AB35CC">
        <w:rPr>
          <w:lang w:eastAsia="en-AU" w:bidi="ar-SA"/>
        </w:rPr>
        <w:t>FABP</w:t>
      </w:r>
      <w:r w:rsidRPr="0037427F">
        <w:rPr>
          <w:lang w:eastAsia="en-AU" w:bidi="ar-SA"/>
        </w:rPr>
        <w:t xml:space="preserve"> in the liver, although not as high a binding affinity as PFOS (Roberts </w:t>
      </w:r>
      <w:r w:rsidR="00180A32" w:rsidRPr="00180A32">
        <w:rPr>
          <w:i/>
          <w:lang w:eastAsia="en-AU" w:bidi="ar-SA"/>
        </w:rPr>
        <w:t xml:space="preserve">et al. </w:t>
      </w:r>
      <w:r w:rsidR="00CC50B8">
        <w:rPr>
          <w:lang w:eastAsia="en-AU" w:bidi="ar-SA"/>
        </w:rPr>
        <w:t xml:space="preserve"> </w:t>
      </w:r>
      <w:r w:rsidRPr="0037427F">
        <w:rPr>
          <w:lang w:eastAsia="en-AU" w:bidi="ar-SA"/>
        </w:rPr>
        <w:t>2016). There is no sex</w:t>
      </w:r>
      <w:r w:rsidR="00032CF6">
        <w:rPr>
          <w:lang w:eastAsia="en-AU" w:bidi="ar-SA"/>
        </w:rPr>
        <w:t xml:space="preserve"> </w:t>
      </w:r>
      <w:r w:rsidRPr="0037427F">
        <w:rPr>
          <w:lang w:eastAsia="en-AU" w:bidi="ar-SA"/>
        </w:rPr>
        <w:t xml:space="preserve">related difference in serum protein binding of PFOA between male and female rats. PFOA also has a high binding affinity for human serum thyroid hormone transport protein, TTR and a moderate affinity for low density lipoproteins and </w:t>
      </w:r>
      <w:r w:rsidRPr="0037427F">
        <w:rPr>
          <w:rFonts w:cs="Arial"/>
          <w:lang w:eastAsia="en-AU" w:bidi="ar-SA"/>
        </w:rPr>
        <w:t>α</w:t>
      </w:r>
      <w:r w:rsidRPr="0037427F">
        <w:rPr>
          <w:lang w:eastAsia="en-AU" w:bidi="ar-SA"/>
        </w:rPr>
        <w:t>-globulins (ATSDR 2015).</w:t>
      </w:r>
    </w:p>
    <w:p w14:paraId="57CB992C" w14:textId="77777777" w:rsidR="0037427F" w:rsidRPr="0037427F" w:rsidRDefault="0037427F" w:rsidP="00A111E9">
      <w:pPr>
        <w:rPr>
          <w:lang w:eastAsia="en-AU" w:bidi="ar-SA"/>
        </w:rPr>
      </w:pPr>
    </w:p>
    <w:p w14:paraId="38C01476" w14:textId="086FC49E" w:rsidR="0037427F" w:rsidRPr="0037427F" w:rsidRDefault="0037427F" w:rsidP="00A111E9">
      <w:pPr>
        <w:rPr>
          <w:lang w:eastAsia="en-AU" w:bidi="ar-SA"/>
        </w:rPr>
      </w:pPr>
      <w:r w:rsidRPr="0037427F">
        <w:rPr>
          <w:lang w:eastAsia="en-AU" w:bidi="ar-SA"/>
        </w:rPr>
        <w:t>After subchronic oral dosing, PFOA is found mainly in blood, liver, testis, spleen, lung, kidney and brain of rats. The highest levels of PFOA in mice are found in the blood and the highest extravascular concentrations are found in the liver. In human post</w:t>
      </w:r>
      <w:r w:rsidR="00032CF6">
        <w:rPr>
          <w:lang w:eastAsia="en-AU" w:bidi="ar-SA"/>
        </w:rPr>
        <w:t>mortem</w:t>
      </w:r>
      <w:r w:rsidRPr="0037427F">
        <w:rPr>
          <w:lang w:eastAsia="en-AU" w:bidi="ar-SA"/>
        </w:rPr>
        <w:t xml:space="preserve"> studies, the highest levels of PFOA were found in lungs, kidneys, liver blood, and bone. In both humans and laboratory animals, PFASs cross the placenta and are also found in milk (reviews by EFSA 2008; Borg and Håkansson 2012; US EPA 2016). A human study found that mean cord blood PFOA was approximately 47% that of maternal blood (reviewed by US EPA 2016). Cerebrospinal fluid does not appear to be a relevant partitioning site for PFOA (Roberts </w:t>
      </w:r>
      <w:r w:rsidR="00180A32" w:rsidRPr="00180A32">
        <w:rPr>
          <w:i/>
          <w:lang w:eastAsia="en-AU"/>
        </w:rPr>
        <w:t xml:space="preserve">et al. </w:t>
      </w:r>
      <w:r w:rsidR="00CC50B8">
        <w:rPr>
          <w:lang w:eastAsia="en-AU"/>
        </w:rPr>
        <w:t xml:space="preserve"> </w:t>
      </w:r>
      <w:r w:rsidRPr="0037427F">
        <w:rPr>
          <w:lang w:eastAsia="en-AU" w:bidi="ar-SA"/>
        </w:rPr>
        <w:t>2016).</w:t>
      </w:r>
    </w:p>
    <w:p w14:paraId="3BDDC6CA" w14:textId="77777777" w:rsidR="0037427F" w:rsidRPr="0037427F" w:rsidRDefault="0037427F" w:rsidP="00A111E9">
      <w:pPr>
        <w:rPr>
          <w:lang w:eastAsia="en-AU" w:bidi="ar-SA"/>
        </w:rPr>
      </w:pPr>
    </w:p>
    <w:p w14:paraId="461FF7A4" w14:textId="403C22F7" w:rsidR="0037427F" w:rsidRPr="0037427F" w:rsidRDefault="0037427F" w:rsidP="00A111E9">
      <w:pPr>
        <w:rPr>
          <w:lang w:eastAsia="en-AU" w:bidi="ar-SA"/>
        </w:rPr>
      </w:pPr>
      <w:r w:rsidRPr="0037427F">
        <w:rPr>
          <w:lang w:eastAsia="en-AU" w:bidi="ar-SA"/>
        </w:rPr>
        <w:t xml:space="preserve">Transporters involved in absorption, distribution and excretion of PFOA include organic anion transporters, organic anion transporting peptides, multidrug resistance –associated proteins, and urate transporters (Roberts </w:t>
      </w:r>
      <w:r w:rsidR="00180A32" w:rsidRPr="00180A32">
        <w:rPr>
          <w:i/>
          <w:lang w:eastAsia="en-AU"/>
        </w:rPr>
        <w:t xml:space="preserve">et al. </w:t>
      </w:r>
      <w:r w:rsidR="00CC50B8">
        <w:rPr>
          <w:lang w:eastAsia="en-AU"/>
        </w:rPr>
        <w:t xml:space="preserve"> </w:t>
      </w:r>
      <w:r w:rsidRPr="0037427F">
        <w:rPr>
          <w:lang w:eastAsia="en-AU" w:bidi="ar-SA"/>
        </w:rPr>
        <w:t>2016).</w:t>
      </w:r>
    </w:p>
    <w:p w14:paraId="536C3AA0" w14:textId="77777777" w:rsidR="0037427F" w:rsidRPr="0037427F" w:rsidRDefault="0037427F" w:rsidP="00A111E9">
      <w:pPr>
        <w:rPr>
          <w:lang w:eastAsia="en-AU" w:bidi="ar-SA"/>
        </w:rPr>
      </w:pPr>
    </w:p>
    <w:p w14:paraId="7A11E31D" w14:textId="15788C8D" w:rsidR="0037427F" w:rsidRPr="0037427F" w:rsidRDefault="0037427F" w:rsidP="00A111E9">
      <w:pPr>
        <w:rPr>
          <w:lang w:eastAsia="en-AU" w:bidi="ar-SA"/>
        </w:rPr>
      </w:pPr>
      <w:r w:rsidRPr="0037427F">
        <w:rPr>
          <w:lang w:eastAsia="en-AU" w:bidi="ar-SA"/>
        </w:rPr>
        <w:t xml:space="preserve">The volume of distribution of PFOA is similar across species at approximately 0.17 L/kg bw, and suggests extracellular distribution (Roberts </w:t>
      </w:r>
      <w:r w:rsidR="00180A32" w:rsidRPr="00180A32">
        <w:rPr>
          <w:i/>
          <w:lang w:eastAsia="en-AU"/>
        </w:rPr>
        <w:t xml:space="preserve">et al. </w:t>
      </w:r>
      <w:r w:rsidR="00CC50B8">
        <w:rPr>
          <w:lang w:eastAsia="en-AU"/>
        </w:rPr>
        <w:t xml:space="preserve"> </w:t>
      </w:r>
      <w:r w:rsidRPr="0037427F">
        <w:rPr>
          <w:lang w:eastAsia="en-AU" w:bidi="ar-SA"/>
        </w:rPr>
        <w:t>2016).</w:t>
      </w:r>
    </w:p>
    <w:p w14:paraId="6C7EBEF6" w14:textId="77777777" w:rsidR="0037427F" w:rsidRPr="0037427F" w:rsidRDefault="0037427F" w:rsidP="00112C61">
      <w:pPr>
        <w:pStyle w:val="Heading5"/>
        <w:rPr>
          <w:lang w:eastAsia="en-AU"/>
        </w:rPr>
      </w:pPr>
      <w:r w:rsidRPr="0037427F">
        <w:rPr>
          <w:lang w:eastAsia="en-AU"/>
        </w:rPr>
        <w:t>Metabolism</w:t>
      </w:r>
    </w:p>
    <w:p w14:paraId="5570C9B8" w14:textId="68460624" w:rsidR="0037427F" w:rsidRPr="0037427F" w:rsidRDefault="0037427F" w:rsidP="00A111E9">
      <w:pPr>
        <w:rPr>
          <w:lang w:eastAsia="en-AU" w:bidi="ar-SA"/>
        </w:rPr>
      </w:pPr>
      <w:r w:rsidRPr="0037427F">
        <w:rPr>
          <w:lang w:eastAsia="en-AU" w:bidi="ar-SA"/>
        </w:rPr>
        <w:t>No evidence has been found that PFOA undergoes any metabolism in studies conducted in rodents or nonhuman primates (reviews by ATSDR 2015, EFSA 2008; Borg and Håkansson, 2012; US EPA 2016).</w:t>
      </w:r>
    </w:p>
    <w:p w14:paraId="4A83503A" w14:textId="77777777" w:rsidR="0037427F" w:rsidRPr="0037427F" w:rsidRDefault="0037427F" w:rsidP="00112C61">
      <w:pPr>
        <w:pStyle w:val="Heading5"/>
        <w:rPr>
          <w:lang w:eastAsia="en-AU"/>
        </w:rPr>
      </w:pPr>
      <w:r w:rsidRPr="0037427F">
        <w:rPr>
          <w:lang w:eastAsia="en-AU"/>
        </w:rPr>
        <w:t>Excretion</w:t>
      </w:r>
    </w:p>
    <w:p w14:paraId="498B9897" w14:textId="4B0B3347" w:rsidR="0037427F" w:rsidRPr="0037427F" w:rsidRDefault="0037427F" w:rsidP="00A111E9">
      <w:pPr>
        <w:rPr>
          <w:lang w:eastAsia="en-AU" w:bidi="ar-SA"/>
        </w:rPr>
      </w:pPr>
      <w:r w:rsidRPr="0037427F">
        <w:rPr>
          <w:lang w:eastAsia="en-AU" w:bidi="ar-SA"/>
        </w:rPr>
        <w:t>PFOA is principally excreted by the renal route in rats. Glomerular filtration is limited by extensive binding to serum albumin and other high molecular weight proteins. Renal organic anion transporters actively reabsorb PFASs (reviewed by Borg and Håkansson 2012). The capacity of these transporters is saturated at high doses of PFOA, resulting in proportionally increased PFOA excretion in urine (reviewed by US EPA 2016). At low doses, PFOA has first</w:t>
      </w:r>
      <w:r w:rsidR="001012A5">
        <w:rPr>
          <w:lang w:eastAsia="en-AU" w:bidi="ar-SA"/>
        </w:rPr>
        <w:t xml:space="preserve"> </w:t>
      </w:r>
      <w:r w:rsidRPr="0037427F">
        <w:rPr>
          <w:lang w:eastAsia="en-AU" w:bidi="ar-SA"/>
        </w:rPr>
        <w:t xml:space="preserve">order kinetics (Roberts </w:t>
      </w:r>
      <w:r w:rsidR="00180A32" w:rsidRPr="00180A32">
        <w:rPr>
          <w:i/>
          <w:lang w:eastAsia="en-AU"/>
        </w:rPr>
        <w:t xml:space="preserve">et al. </w:t>
      </w:r>
      <w:r w:rsidR="00CC50B8">
        <w:rPr>
          <w:lang w:eastAsia="en-AU"/>
        </w:rPr>
        <w:t xml:space="preserve"> </w:t>
      </w:r>
      <w:r w:rsidRPr="0037427F">
        <w:rPr>
          <w:lang w:eastAsia="en-AU" w:bidi="ar-SA"/>
        </w:rPr>
        <w:t>2016).</w:t>
      </w:r>
    </w:p>
    <w:p w14:paraId="0B69B073" w14:textId="77777777" w:rsidR="0037427F" w:rsidRPr="0037427F" w:rsidRDefault="0037427F" w:rsidP="00A111E9">
      <w:pPr>
        <w:rPr>
          <w:lang w:eastAsia="en-AU" w:bidi="ar-SA"/>
        </w:rPr>
      </w:pPr>
    </w:p>
    <w:p w14:paraId="70A2EC37" w14:textId="67537B3F" w:rsidR="0037427F" w:rsidRPr="0037427F" w:rsidRDefault="0037427F" w:rsidP="00A111E9">
      <w:pPr>
        <w:rPr>
          <w:lang w:eastAsia="en-AU" w:bidi="ar-SA"/>
        </w:rPr>
      </w:pPr>
      <w:r w:rsidRPr="0037427F">
        <w:rPr>
          <w:lang w:eastAsia="en-AU" w:bidi="ar-SA"/>
        </w:rPr>
        <w:t>A marked sex difference is observed in rats with males showing slower elimination which may be attributed to sex</w:t>
      </w:r>
      <w:r w:rsidR="00032CF6">
        <w:rPr>
          <w:lang w:eastAsia="en-AU" w:bidi="ar-SA"/>
        </w:rPr>
        <w:t xml:space="preserve"> </w:t>
      </w:r>
      <w:r w:rsidRPr="0037427F">
        <w:rPr>
          <w:lang w:eastAsia="en-AU" w:bidi="ar-SA"/>
        </w:rPr>
        <w:t xml:space="preserve">related differences in expression of organic anion transporters, in particular Oatp1a1 in the kidney (ATSDR 2015). Significant sex related differences in </w:t>
      </w:r>
      <w:r w:rsidRPr="0037427F">
        <w:rPr>
          <w:lang w:eastAsia="en-AU" w:bidi="ar-SA"/>
        </w:rPr>
        <w:lastRenderedPageBreak/>
        <w:t>systemic clearance have not been found in nonhuman primates or in human monitoring studies, though the latter may reflect limitations in study design (ATSDR 2015).</w:t>
      </w:r>
    </w:p>
    <w:p w14:paraId="354CDBEA" w14:textId="77777777" w:rsidR="0037427F" w:rsidRPr="0037427F" w:rsidRDefault="0037427F" w:rsidP="00A111E9">
      <w:pPr>
        <w:rPr>
          <w:lang w:eastAsia="en-AU" w:bidi="ar-SA"/>
        </w:rPr>
      </w:pPr>
    </w:p>
    <w:p w14:paraId="609D6311" w14:textId="2B90F954" w:rsidR="0037427F" w:rsidRPr="0037427F" w:rsidRDefault="0037427F" w:rsidP="00A111E9">
      <w:pPr>
        <w:rPr>
          <w:lang w:eastAsia="en-AU" w:bidi="ar-SA"/>
        </w:rPr>
      </w:pPr>
      <w:r w:rsidRPr="0037427F">
        <w:rPr>
          <w:lang w:eastAsia="en-AU" w:bidi="ar-SA"/>
        </w:rPr>
        <w:t>PFOA is also excreted in the bile and may be subject to extensive enterohepatic recirculation. Biliary excretion may be more important than urinary excretion of PFASs in humans. Biliary excretion with enterohepatic cycling may be the basis for the prolonged elimination half-life of PFASs in humans. Fluctuations in log</w:t>
      </w:r>
      <w:r w:rsidR="001012A5">
        <w:rPr>
          <w:lang w:eastAsia="en-AU" w:bidi="ar-SA"/>
        </w:rPr>
        <w:t>-</w:t>
      </w:r>
      <w:r w:rsidRPr="0037427F">
        <w:rPr>
          <w:lang w:eastAsia="en-AU" w:bidi="ar-SA"/>
        </w:rPr>
        <w:t xml:space="preserve">linear serum concentration </w:t>
      </w:r>
      <w:r w:rsidR="001B6877">
        <w:rPr>
          <w:lang w:eastAsia="en-AU" w:bidi="ar-SA"/>
        </w:rPr>
        <w:t>vs</w:t>
      </w:r>
      <w:r w:rsidRPr="0037427F">
        <w:rPr>
          <w:lang w:eastAsia="en-AU" w:bidi="ar-SA"/>
        </w:rPr>
        <w:t xml:space="preserve"> time profiles, consistent with enterohepatic cycling, have been reported for monkeys. (Roberts </w:t>
      </w:r>
      <w:r w:rsidR="00180A32" w:rsidRPr="00180A32">
        <w:rPr>
          <w:i/>
          <w:lang w:eastAsia="en-AU"/>
        </w:rPr>
        <w:t xml:space="preserve">et al. </w:t>
      </w:r>
      <w:r w:rsidR="00CC50B8">
        <w:rPr>
          <w:lang w:eastAsia="en-AU"/>
        </w:rPr>
        <w:t xml:space="preserve"> </w:t>
      </w:r>
      <w:r w:rsidRPr="0037427F">
        <w:rPr>
          <w:lang w:eastAsia="en-AU" w:bidi="ar-SA"/>
        </w:rPr>
        <w:t>2016).</w:t>
      </w:r>
    </w:p>
    <w:p w14:paraId="10EE72D2" w14:textId="77777777" w:rsidR="0037427F" w:rsidRPr="0037427F" w:rsidRDefault="0037427F" w:rsidP="00A111E9">
      <w:pPr>
        <w:rPr>
          <w:lang w:eastAsia="en-AU" w:bidi="ar-SA"/>
        </w:rPr>
      </w:pPr>
    </w:p>
    <w:p w14:paraId="26B7AE7E" w14:textId="3B75DEB1" w:rsidR="0037427F" w:rsidRPr="0037427F" w:rsidRDefault="0037427F" w:rsidP="00A111E9">
      <w:pPr>
        <w:rPr>
          <w:lang w:eastAsia="en-AU" w:bidi="ar-SA"/>
        </w:rPr>
      </w:pPr>
      <w:r w:rsidRPr="0037427F">
        <w:rPr>
          <w:lang w:eastAsia="en-AU" w:bidi="ar-SA"/>
        </w:rPr>
        <w:t xml:space="preserve">Lactation is a route of excretion in women and in mice. Menstruation is considered to be an excretory pathway for PFOS, and this pathway should also apply to PFOA (Roberts </w:t>
      </w:r>
      <w:r w:rsidR="00180A32" w:rsidRPr="00180A32">
        <w:rPr>
          <w:i/>
          <w:lang w:eastAsia="en-AU" w:bidi="ar-SA"/>
        </w:rPr>
        <w:t xml:space="preserve">et al. </w:t>
      </w:r>
      <w:r w:rsidR="00CC50B8">
        <w:rPr>
          <w:lang w:eastAsia="en-AU" w:bidi="ar-SA"/>
        </w:rPr>
        <w:t xml:space="preserve"> </w:t>
      </w:r>
      <w:r w:rsidRPr="0037427F">
        <w:rPr>
          <w:lang w:eastAsia="en-AU" w:bidi="ar-SA"/>
        </w:rPr>
        <w:t>2016).</w:t>
      </w:r>
    </w:p>
    <w:p w14:paraId="6FADE732" w14:textId="77777777" w:rsidR="0037427F" w:rsidRPr="0037427F" w:rsidRDefault="0037427F" w:rsidP="00A111E9">
      <w:pPr>
        <w:rPr>
          <w:lang w:eastAsia="en-AU" w:bidi="ar-SA"/>
        </w:rPr>
      </w:pPr>
    </w:p>
    <w:p w14:paraId="7077B24A" w14:textId="2579371E" w:rsidR="00A050BE" w:rsidRPr="00A050BE" w:rsidRDefault="007B697B" w:rsidP="00A111E9">
      <w:pPr>
        <w:rPr>
          <w:lang w:bidi="ar-SA"/>
        </w:rPr>
      </w:pPr>
      <w:r w:rsidRPr="00A050BE">
        <w:rPr>
          <w:lang w:eastAsia="en-AU" w:bidi="ar-SA"/>
        </w:rPr>
        <w:t>H</w:t>
      </w:r>
      <w:r w:rsidR="0037427F" w:rsidRPr="00A050BE">
        <w:rPr>
          <w:lang w:eastAsia="en-AU" w:bidi="ar-SA"/>
        </w:rPr>
        <w:t>alf-life</w:t>
      </w:r>
      <w:r w:rsidRPr="00A050BE">
        <w:rPr>
          <w:lang w:eastAsia="en-AU" w:bidi="ar-SA"/>
        </w:rPr>
        <w:t xml:space="preserve"> of PFOA in humans is estimated to be in the range 2.3 to 3.8 years, much longer than the half-lives of PFOA in monkey, rats and mice which are </w:t>
      </w:r>
      <w:r w:rsidRPr="00A050BE">
        <w:rPr>
          <w:lang w:bidi="ar-SA"/>
        </w:rPr>
        <w:t>20.8 days, 11.5 days, and 15.6 days, respectively</w:t>
      </w:r>
      <w:r w:rsidR="00A050BE">
        <w:rPr>
          <w:lang w:bidi="ar-SA"/>
        </w:rPr>
        <w:t xml:space="preserve"> </w:t>
      </w:r>
      <w:r w:rsidR="00A050BE" w:rsidRPr="00A050BE">
        <w:rPr>
          <w:lang w:bidi="ar-SA"/>
        </w:rPr>
        <w:t xml:space="preserve">(Roberts </w:t>
      </w:r>
      <w:r w:rsidR="00180A32" w:rsidRPr="00180A32">
        <w:rPr>
          <w:i/>
          <w:lang w:bidi="ar-SA"/>
        </w:rPr>
        <w:t xml:space="preserve">et al. </w:t>
      </w:r>
      <w:r w:rsidR="00CC50B8">
        <w:rPr>
          <w:lang w:bidi="ar-SA"/>
        </w:rPr>
        <w:t xml:space="preserve"> </w:t>
      </w:r>
      <w:r w:rsidR="00A050BE" w:rsidRPr="00A050BE">
        <w:rPr>
          <w:lang w:bidi="ar-SA"/>
        </w:rPr>
        <w:t>2016).</w:t>
      </w:r>
    </w:p>
    <w:p w14:paraId="30A197E2" w14:textId="784059FE" w:rsidR="000F6407" w:rsidRPr="0079257C" w:rsidRDefault="000F6407" w:rsidP="00112C61">
      <w:pPr>
        <w:pStyle w:val="Heading4"/>
      </w:pPr>
      <w:bookmarkStart w:id="270" w:name="_Toc468372009"/>
      <w:bookmarkStart w:id="271" w:name="_Toc468699229"/>
      <w:bookmarkStart w:id="272" w:name="_Toc468712758"/>
      <w:bookmarkStart w:id="273" w:name="_Toc468716460"/>
      <w:bookmarkStart w:id="274" w:name="_Toc468709447"/>
      <w:bookmarkStart w:id="275" w:name="_Toc468717746"/>
      <w:bookmarkStart w:id="276" w:name="_Toc468718390"/>
      <w:bookmarkStart w:id="277" w:name="_Toc468719380"/>
      <w:bookmarkStart w:id="278" w:name="_Toc468722185"/>
      <w:bookmarkStart w:id="279" w:name="_Toc468799255"/>
      <w:bookmarkStart w:id="280" w:name="_Toc468806578"/>
      <w:bookmarkStart w:id="281" w:name="_Toc468980992"/>
      <w:r w:rsidRPr="0079257C">
        <w:t>3.3.3</w:t>
      </w:r>
      <w:r w:rsidRPr="0079257C">
        <w:tab/>
      </w:r>
      <w:r w:rsidR="00112C61">
        <w:tab/>
      </w:r>
      <w:r w:rsidRPr="0079257C">
        <w:t>Animal toxicity studies</w:t>
      </w:r>
      <w:bookmarkEnd w:id="270"/>
      <w:bookmarkEnd w:id="271"/>
      <w:bookmarkEnd w:id="272"/>
      <w:bookmarkEnd w:id="273"/>
      <w:bookmarkEnd w:id="274"/>
      <w:bookmarkEnd w:id="275"/>
      <w:bookmarkEnd w:id="276"/>
      <w:bookmarkEnd w:id="277"/>
      <w:bookmarkEnd w:id="278"/>
      <w:bookmarkEnd w:id="279"/>
      <w:bookmarkEnd w:id="280"/>
      <w:bookmarkEnd w:id="281"/>
    </w:p>
    <w:p w14:paraId="424C89E0" w14:textId="6D4E189D" w:rsidR="000F6407" w:rsidRPr="000F6407" w:rsidRDefault="000F6407" w:rsidP="00A111E9">
      <w:pPr>
        <w:rPr>
          <w:lang w:bidi="ar-SA"/>
        </w:rPr>
      </w:pPr>
      <w:r w:rsidRPr="000F6407">
        <w:rPr>
          <w:lang w:bidi="ar-SA"/>
        </w:rPr>
        <w:t>Various international regulatory agencies or bodies have reviewed the toxicity of PFOA</w:t>
      </w:r>
      <w:r w:rsidR="004436E7">
        <w:rPr>
          <w:lang w:bidi="ar-SA"/>
        </w:rPr>
        <w:t>, including</w:t>
      </w:r>
      <w:r w:rsidRPr="000F6407">
        <w:rPr>
          <w:lang w:bidi="ar-SA"/>
        </w:rPr>
        <w:t xml:space="preserve"> acute and short term toxicity studies in mice, rats and monkeys, subchronic studies in monkeys, chronic studies in mice, rats and monkeys, and developmental and reproduction studies in mice and rats. As a part of this assessment, FSANZ has evaluated the pivotal toxicological studies relevant to establishing an Australian TDI as well as other information on mechanism of action, toxicokinetics, genotoxicity and immunotoxicity.</w:t>
      </w:r>
    </w:p>
    <w:p w14:paraId="0D523FE1" w14:textId="77777777" w:rsidR="000F6407" w:rsidRDefault="000F6407" w:rsidP="00A111E9">
      <w:pPr>
        <w:rPr>
          <w:lang w:bidi="ar-SA"/>
        </w:rPr>
      </w:pPr>
    </w:p>
    <w:p w14:paraId="7ACAA196" w14:textId="77777777" w:rsidR="00BF5623" w:rsidRPr="0037427F" w:rsidRDefault="00BF5623" w:rsidP="00A111E9">
      <w:pPr>
        <w:rPr>
          <w:lang w:bidi="ar-SA"/>
        </w:rPr>
      </w:pPr>
      <w:r w:rsidRPr="0037427F">
        <w:rPr>
          <w:lang w:bidi="ar-SA"/>
        </w:rPr>
        <w:t xml:space="preserve">The predominant effect of PFOA in laboratory rodents is peroxisome proliferation-mediated hepatomegaly. Rodents are susceptible to this response whereas humans and other primates are considered to be refractory to it (Parkinson 2001). Other findings in rodent toxicity studies of PFOA include reduced </w:t>
      </w:r>
      <w:r>
        <w:rPr>
          <w:lang w:bidi="ar-SA"/>
        </w:rPr>
        <w:t>body weight</w:t>
      </w:r>
      <w:r w:rsidRPr="0037427F">
        <w:rPr>
          <w:lang w:bidi="ar-SA"/>
        </w:rPr>
        <w:t xml:space="preserve"> gain, decreased spleen and thymus weights, reduced response to a foreign antigen (SRBC), vacuolation of the zona glomerulosa of the adrenals, increased full-litter resorptions, developmental skeletal defects, reduced birthweight, decreased postnatal growth rate, delayed postnatal eye-opening and hair growth, delayed puberty, decreased post</w:t>
      </w:r>
      <w:r>
        <w:rPr>
          <w:lang w:bidi="ar-SA"/>
        </w:rPr>
        <w:t>weaning</w:t>
      </w:r>
      <w:r w:rsidRPr="0037427F">
        <w:rPr>
          <w:lang w:bidi="ar-SA"/>
        </w:rPr>
        <w:t xml:space="preserve"> survival, and adverse effects on mammogenesis.</w:t>
      </w:r>
    </w:p>
    <w:p w14:paraId="4AA6046F" w14:textId="77777777" w:rsidR="00BF5623" w:rsidRPr="0037427F" w:rsidRDefault="00BF5623" w:rsidP="00A111E9">
      <w:pPr>
        <w:rPr>
          <w:lang w:bidi="ar-SA"/>
        </w:rPr>
      </w:pPr>
    </w:p>
    <w:p w14:paraId="5E04E36D" w14:textId="77777777" w:rsidR="00BF5623" w:rsidRPr="0037427F" w:rsidRDefault="00BF5623" w:rsidP="00A111E9">
      <w:pPr>
        <w:rPr>
          <w:lang w:bidi="ar-SA"/>
        </w:rPr>
      </w:pPr>
      <w:r w:rsidRPr="0037427F">
        <w:rPr>
          <w:lang w:bidi="ar-SA"/>
        </w:rPr>
        <w:t>Effects of PFOA in nonhuman primates include weight loss, increased clotting times, decreased heart and brain weights, hypoglycaemia, hypoproteinaemia, bone marrow hypocellularity, lymphoid follicle depletion and lipid depletion in the adrenal glands. Clinical signs in monkeys that were terminated moribund during a subchronic oral gavage study included anorexia, emesis, decreased activity, facial swelling, black stools, prostration and tremor (Goldenthal 1978).</w:t>
      </w:r>
    </w:p>
    <w:p w14:paraId="1B7E325D" w14:textId="45D2B4C4" w:rsidR="00BF5623" w:rsidRDefault="00BF5623" w:rsidP="00A111E9">
      <w:pPr>
        <w:rPr>
          <w:lang w:bidi="ar-SA"/>
        </w:rPr>
      </w:pPr>
    </w:p>
    <w:p w14:paraId="0C7A7636" w14:textId="5BDD7445" w:rsidR="000F6407" w:rsidRPr="00BF5623" w:rsidRDefault="000F6407" w:rsidP="00A111E9">
      <w:pPr>
        <w:rPr>
          <w:lang w:bidi="ar-SA"/>
        </w:rPr>
      </w:pPr>
      <w:r w:rsidRPr="000F6407">
        <w:rPr>
          <w:lang w:bidi="ar-SA"/>
        </w:rPr>
        <w:t>A summary of the NOAELs and LOAELs derived from the pivotal toxicological studies assessed as a part of this ev</w:t>
      </w:r>
      <w:r w:rsidR="00DD22E6">
        <w:rPr>
          <w:lang w:bidi="ar-SA"/>
        </w:rPr>
        <w:t xml:space="preserve">aluation is set out in Table </w:t>
      </w:r>
      <w:r w:rsidR="008042EE">
        <w:rPr>
          <w:lang w:bidi="ar-SA"/>
        </w:rPr>
        <w:t>20</w:t>
      </w:r>
      <w:r w:rsidRPr="000F6407">
        <w:rPr>
          <w:lang w:bidi="ar-SA"/>
        </w:rPr>
        <w:t>.</w:t>
      </w:r>
    </w:p>
    <w:p w14:paraId="04AC82E3" w14:textId="77777777" w:rsidR="00BA01D6" w:rsidRDefault="00BA01D6" w:rsidP="00A111E9">
      <w:pPr>
        <w:pStyle w:val="FSTableTitle"/>
        <w:rPr>
          <w:lang w:bidi="ar-SA"/>
        </w:rPr>
        <w:sectPr w:rsidR="00BA01D6" w:rsidSect="00F14DD2">
          <w:headerReference w:type="default" r:id="rId30"/>
          <w:footerReference w:type="even" r:id="rId31"/>
          <w:footerReference w:type="default" r:id="rId32"/>
          <w:headerReference w:type="first" r:id="rId33"/>
          <w:pgSz w:w="11906" w:h="16838"/>
          <w:pgMar w:top="1418" w:right="1418" w:bottom="1418" w:left="1418" w:header="709" w:footer="709" w:gutter="0"/>
          <w:cols w:space="708"/>
          <w:docGrid w:linePitch="360"/>
        </w:sectPr>
      </w:pPr>
    </w:p>
    <w:p w14:paraId="18EA49A8" w14:textId="65148208" w:rsidR="002A58BE" w:rsidRPr="002A58BE" w:rsidRDefault="00DD22E6" w:rsidP="002A58BE">
      <w:pPr>
        <w:pStyle w:val="FSTableTitle"/>
      </w:pPr>
      <w:r w:rsidRPr="002A58BE">
        <w:lastRenderedPageBreak/>
        <w:t xml:space="preserve">Table </w:t>
      </w:r>
      <w:r w:rsidR="008042EE" w:rsidRPr="002A58BE">
        <w:t>20</w:t>
      </w:r>
      <w:r w:rsidR="006E2C49" w:rsidRPr="002A58BE">
        <w:t>:</w:t>
      </w:r>
      <w:r w:rsidR="000F6407" w:rsidRPr="002A58BE">
        <w:t xml:space="preserve"> Key oral toxicity studies used for the derivation of </w:t>
      </w:r>
      <w:r w:rsidR="00060C53" w:rsidRPr="002A58BE">
        <w:t>HBGV</w:t>
      </w:r>
      <w:r w:rsidR="000F6407" w:rsidRPr="002A58BE">
        <w:t xml:space="preserve"> for PFOA</w:t>
      </w:r>
    </w:p>
    <w:tbl>
      <w:tblPr>
        <w:tblStyle w:val="TableGrid7"/>
        <w:tblpPr w:leftFromText="180" w:rightFromText="180" w:vertAnchor="text" w:horzAnchor="margin" w:tblpY="206"/>
        <w:tblW w:w="14454" w:type="dxa"/>
        <w:tblLayout w:type="fixed"/>
        <w:tblLook w:val="04A0" w:firstRow="1" w:lastRow="0" w:firstColumn="1" w:lastColumn="0" w:noHBand="0" w:noVBand="1"/>
        <w:tblCaption w:val="Table 20: Key oral toxicity studies used for the derivation of HBGV for PFOA"/>
        <w:tblDescription w:val="This table contains data relating to key oral toxicity studies used for the derivation of health-based guidance values for PFOA, including study types, species and strains, the NOAEL and LOAEL."/>
      </w:tblPr>
      <w:tblGrid>
        <w:gridCol w:w="1337"/>
        <w:gridCol w:w="1275"/>
        <w:gridCol w:w="1843"/>
        <w:gridCol w:w="6095"/>
        <w:gridCol w:w="1985"/>
        <w:gridCol w:w="1919"/>
      </w:tblGrid>
      <w:tr w:rsidR="002A58BE" w:rsidRPr="00DD22E6" w14:paraId="503E1D7C" w14:textId="77777777" w:rsidTr="00CA2815">
        <w:trPr>
          <w:tblHeader/>
        </w:trPr>
        <w:tc>
          <w:tcPr>
            <w:tcW w:w="1337" w:type="dxa"/>
            <w:tcBorders>
              <w:bottom w:val="single" w:sz="4" w:space="0" w:color="000000"/>
            </w:tcBorders>
            <w:vAlign w:val="center"/>
          </w:tcPr>
          <w:p w14:paraId="42F30127" w14:textId="77777777" w:rsidR="002A58BE" w:rsidRPr="00DD22E6" w:rsidRDefault="002A58BE" w:rsidP="00F4394A">
            <w:pPr>
              <w:keepNext/>
              <w:keepLines/>
              <w:spacing w:before="40" w:after="40"/>
              <w:rPr>
                <w:rFonts w:ascii="Arial" w:hAnsi="Arial" w:cs="Arial"/>
                <w:b/>
                <w:szCs w:val="20"/>
                <w:lang w:bidi="ar-SA"/>
              </w:rPr>
            </w:pPr>
            <w:r w:rsidRPr="00DD22E6">
              <w:rPr>
                <w:rFonts w:ascii="Arial" w:hAnsi="Arial" w:cs="Arial"/>
                <w:b/>
                <w:szCs w:val="20"/>
                <w:lang w:bidi="ar-SA"/>
              </w:rPr>
              <w:t>Study type</w:t>
            </w:r>
          </w:p>
        </w:tc>
        <w:tc>
          <w:tcPr>
            <w:tcW w:w="1275" w:type="dxa"/>
            <w:tcBorders>
              <w:bottom w:val="single" w:sz="4" w:space="0" w:color="000000"/>
            </w:tcBorders>
            <w:vAlign w:val="center"/>
          </w:tcPr>
          <w:p w14:paraId="7F8019DE" w14:textId="77777777" w:rsidR="002A58BE" w:rsidRPr="00DD22E6" w:rsidRDefault="002A58BE" w:rsidP="00F4394A">
            <w:pPr>
              <w:keepNext/>
              <w:keepLines/>
              <w:spacing w:before="40" w:after="40"/>
              <w:rPr>
                <w:rFonts w:ascii="Arial" w:hAnsi="Arial" w:cs="Arial"/>
                <w:b/>
                <w:szCs w:val="20"/>
                <w:lang w:bidi="ar-SA"/>
              </w:rPr>
            </w:pPr>
            <w:r w:rsidRPr="00DD22E6">
              <w:rPr>
                <w:rFonts w:ascii="Arial" w:hAnsi="Arial" w:cs="Arial"/>
                <w:b/>
                <w:szCs w:val="20"/>
                <w:lang w:bidi="ar-SA"/>
              </w:rPr>
              <w:t xml:space="preserve">Species, </w:t>
            </w:r>
            <w:r>
              <w:rPr>
                <w:rFonts w:ascii="Arial" w:hAnsi="Arial" w:cs="Arial"/>
                <w:b/>
                <w:szCs w:val="20"/>
                <w:lang w:bidi="ar-SA"/>
              </w:rPr>
              <w:t>s</w:t>
            </w:r>
            <w:r w:rsidRPr="00DD22E6">
              <w:rPr>
                <w:rFonts w:ascii="Arial" w:hAnsi="Arial" w:cs="Arial"/>
                <w:b/>
                <w:szCs w:val="20"/>
                <w:lang w:bidi="ar-SA"/>
              </w:rPr>
              <w:t>train</w:t>
            </w:r>
          </w:p>
        </w:tc>
        <w:tc>
          <w:tcPr>
            <w:tcW w:w="1843" w:type="dxa"/>
            <w:tcBorders>
              <w:bottom w:val="single" w:sz="4" w:space="0" w:color="000000"/>
            </w:tcBorders>
            <w:vAlign w:val="center"/>
          </w:tcPr>
          <w:p w14:paraId="706D5EA5" w14:textId="77777777" w:rsidR="002A58BE" w:rsidRDefault="002A58BE" w:rsidP="00F4394A">
            <w:pPr>
              <w:keepNext/>
              <w:keepLines/>
              <w:spacing w:before="40" w:after="40"/>
              <w:rPr>
                <w:rFonts w:ascii="Arial" w:hAnsi="Arial" w:cs="Arial"/>
                <w:b/>
                <w:szCs w:val="20"/>
                <w:lang w:bidi="ar-SA"/>
              </w:rPr>
            </w:pPr>
            <w:r w:rsidRPr="00DD22E6">
              <w:rPr>
                <w:rFonts w:ascii="Arial" w:hAnsi="Arial" w:cs="Arial"/>
                <w:b/>
                <w:szCs w:val="20"/>
                <w:lang w:bidi="ar-SA"/>
              </w:rPr>
              <w:t>NOAEL and LOAEL</w:t>
            </w:r>
          </w:p>
          <w:p w14:paraId="2ED4C9AB" w14:textId="77777777" w:rsidR="002A58BE" w:rsidRPr="00DD22E6" w:rsidRDefault="002A58BE" w:rsidP="00F4394A">
            <w:pPr>
              <w:keepNext/>
              <w:keepLines/>
              <w:spacing w:before="40" w:after="40"/>
              <w:rPr>
                <w:rFonts w:ascii="Arial" w:hAnsi="Arial" w:cs="Arial"/>
                <w:b/>
                <w:szCs w:val="20"/>
                <w:lang w:bidi="ar-SA"/>
              </w:rPr>
            </w:pPr>
            <w:r>
              <w:rPr>
                <w:rFonts w:ascii="Arial" w:hAnsi="Arial" w:cs="Arial"/>
                <w:b/>
                <w:szCs w:val="20"/>
                <w:lang w:bidi="ar-SA"/>
              </w:rPr>
              <w:t>(mg/kg bw/day)</w:t>
            </w:r>
          </w:p>
        </w:tc>
        <w:tc>
          <w:tcPr>
            <w:tcW w:w="6095" w:type="dxa"/>
            <w:tcBorders>
              <w:bottom w:val="single" w:sz="4" w:space="0" w:color="000000"/>
            </w:tcBorders>
            <w:vAlign w:val="center"/>
          </w:tcPr>
          <w:p w14:paraId="344963FD" w14:textId="77777777" w:rsidR="002A58BE" w:rsidRPr="00DD22E6" w:rsidRDefault="002A58BE" w:rsidP="00F4394A">
            <w:pPr>
              <w:keepNext/>
              <w:keepLines/>
              <w:spacing w:before="40" w:after="40"/>
              <w:rPr>
                <w:rFonts w:ascii="Arial" w:hAnsi="Arial" w:cs="Arial"/>
                <w:b/>
                <w:szCs w:val="20"/>
                <w:lang w:bidi="ar-SA"/>
              </w:rPr>
            </w:pPr>
            <w:r w:rsidRPr="00DD22E6">
              <w:rPr>
                <w:rFonts w:ascii="Arial" w:hAnsi="Arial" w:cs="Arial"/>
                <w:b/>
                <w:szCs w:val="20"/>
                <w:lang w:bidi="ar-SA"/>
              </w:rPr>
              <w:t>Study details</w:t>
            </w:r>
          </w:p>
        </w:tc>
        <w:tc>
          <w:tcPr>
            <w:tcW w:w="1985" w:type="dxa"/>
            <w:tcBorders>
              <w:bottom w:val="single" w:sz="4" w:space="0" w:color="000000"/>
            </w:tcBorders>
            <w:vAlign w:val="center"/>
          </w:tcPr>
          <w:p w14:paraId="7E8DA398" w14:textId="77777777" w:rsidR="002A58BE" w:rsidRPr="00DD22E6" w:rsidRDefault="002A58BE" w:rsidP="00F4394A">
            <w:pPr>
              <w:keepNext/>
              <w:keepLines/>
              <w:spacing w:before="40" w:after="40"/>
              <w:rPr>
                <w:rFonts w:ascii="Arial" w:hAnsi="Arial" w:cs="Arial"/>
                <w:b/>
                <w:szCs w:val="20"/>
                <w:lang w:bidi="ar-SA"/>
              </w:rPr>
            </w:pPr>
            <w:r w:rsidRPr="00DD22E6">
              <w:rPr>
                <w:rFonts w:ascii="Arial" w:hAnsi="Arial" w:cs="Arial"/>
                <w:b/>
                <w:szCs w:val="20"/>
                <w:lang w:bidi="ar-SA"/>
              </w:rPr>
              <w:t>Reference</w:t>
            </w:r>
          </w:p>
        </w:tc>
        <w:tc>
          <w:tcPr>
            <w:tcW w:w="1919" w:type="dxa"/>
            <w:tcBorders>
              <w:bottom w:val="single" w:sz="4" w:space="0" w:color="000000"/>
            </w:tcBorders>
            <w:vAlign w:val="center"/>
          </w:tcPr>
          <w:p w14:paraId="1AC9F163" w14:textId="77777777" w:rsidR="002A58BE" w:rsidRPr="00DD22E6" w:rsidRDefault="002A58BE" w:rsidP="00F4394A">
            <w:pPr>
              <w:keepNext/>
              <w:keepLines/>
              <w:spacing w:before="40" w:after="40"/>
              <w:rPr>
                <w:rFonts w:ascii="Arial" w:hAnsi="Arial" w:cs="Arial"/>
                <w:b/>
                <w:szCs w:val="20"/>
                <w:lang w:bidi="ar-SA"/>
              </w:rPr>
            </w:pPr>
            <w:r w:rsidRPr="00DD22E6">
              <w:rPr>
                <w:rFonts w:ascii="Arial" w:hAnsi="Arial" w:cs="Arial"/>
                <w:b/>
                <w:szCs w:val="20"/>
                <w:lang w:bidi="ar-SA"/>
              </w:rPr>
              <w:t xml:space="preserve">Citing </w:t>
            </w:r>
            <w:r>
              <w:rPr>
                <w:rFonts w:ascii="Arial" w:hAnsi="Arial" w:cs="Arial"/>
                <w:b/>
                <w:szCs w:val="20"/>
                <w:lang w:bidi="ar-SA"/>
              </w:rPr>
              <w:t>a</w:t>
            </w:r>
            <w:r w:rsidRPr="00DD22E6">
              <w:rPr>
                <w:rFonts w:ascii="Arial" w:hAnsi="Arial" w:cs="Arial"/>
                <w:b/>
                <w:szCs w:val="20"/>
                <w:lang w:bidi="ar-SA"/>
              </w:rPr>
              <w:t>gency/ies</w:t>
            </w:r>
          </w:p>
        </w:tc>
      </w:tr>
      <w:tr w:rsidR="002A58BE" w:rsidRPr="00DD22E6" w14:paraId="6A1466F1" w14:textId="77777777" w:rsidTr="00B23C00">
        <w:tc>
          <w:tcPr>
            <w:tcW w:w="12535" w:type="dxa"/>
            <w:gridSpan w:val="5"/>
            <w:shd w:val="clear" w:color="auto" w:fill="D9D9D9" w:themeFill="background1" w:themeFillShade="D9"/>
          </w:tcPr>
          <w:p w14:paraId="79FDF290" w14:textId="77777777" w:rsidR="002A58BE" w:rsidRPr="00547C02" w:rsidRDefault="002A58BE" w:rsidP="00F4394A">
            <w:pPr>
              <w:keepNext/>
              <w:keepLines/>
              <w:spacing w:before="40" w:after="40"/>
              <w:rPr>
                <w:rFonts w:asciiTheme="minorHAnsi" w:hAnsiTheme="minorHAnsi" w:cs="Arial"/>
                <w:sz w:val="18"/>
                <w:szCs w:val="18"/>
                <w:lang w:bidi="ar-SA"/>
              </w:rPr>
            </w:pPr>
            <w:r w:rsidRPr="00547C02">
              <w:rPr>
                <w:rFonts w:asciiTheme="minorHAnsi" w:hAnsiTheme="minorHAnsi" w:cs="Arial"/>
                <w:b/>
                <w:i/>
                <w:szCs w:val="20"/>
                <w:shd w:val="clear" w:color="auto" w:fill="D9D9D9" w:themeFill="background1" w:themeFillShade="D9"/>
                <w:lang w:bidi="ar-SA"/>
              </w:rPr>
              <w:t>Subchronic toxicity</w:t>
            </w:r>
          </w:p>
        </w:tc>
        <w:tc>
          <w:tcPr>
            <w:tcW w:w="1919" w:type="dxa"/>
            <w:shd w:val="clear" w:color="auto" w:fill="D9D9D9" w:themeFill="background1" w:themeFillShade="D9"/>
          </w:tcPr>
          <w:p w14:paraId="1E4F7A52" w14:textId="77777777" w:rsidR="002A58BE" w:rsidRPr="00DD22E6" w:rsidRDefault="002A58BE" w:rsidP="00F4394A">
            <w:pPr>
              <w:keepNext/>
              <w:keepLines/>
              <w:spacing w:before="40" w:after="40"/>
              <w:rPr>
                <w:rFonts w:cs="Arial"/>
                <w:b/>
                <w:i/>
                <w:szCs w:val="20"/>
                <w:shd w:val="clear" w:color="auto" w:fill="D9D9D9" w:themeFill="background1" w:themeFillShade="D9"/>
                <w:lang w:bidi="ar-SA"/>
              </w:rPr>
            </w:pPr>
          </w:p>
        </w:tc>
      </w:tr>
      <w:tr w:rsidR="002A58BE" w:rsidRPr="00DD22E6" w14:paraId="4F087057" w14:textId="77777777" w:rsidTr="00B23C00">
        <w:tc>
          <w:tcPr>
            <w:tcW w:w="1337" w:type="dxa"/>
          </w:tcPr>
          <w:p w14:paraId="2BBE0C82" w14:textId="77777777"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 xml:space="preserve">90-day dietary </w:t>
            </w:r>
          </w:p>
        </w:tc>
        <w:tc>
          <w:tcPr>
            <w:tcW w:w="1275" w:type="dxa"/>
          </w:tcPr>
          <w:p w14:paraId="34F2B2B7" w14:textId="77777777"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Rat, Crl:CDBR</w:t>
            </w:r>
          </w:p>
        </w:tc>
        <w:tc>
          <w:tcPr>
            <w:tcW w:w="1843" w:type="dxa"/>
          </w:tcPr>
          <w:p w14:paraId="5DBEE800" w14:textId="77777777"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NOAEL: 1.94</w:t>
            </w:r>
          </w:p>
          <w:p w14:paraId="7FD739D0" w14:textId="77777777"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LOAEL:</w:t>
            </w:r>
            <w:r>
              <w:rPr>
                <w:rFonts w:asciiTheme="minorHAnsi" w:hAnsiTheme="minorHAnsi"/>
                <w:sz w:val="16"/>
              </w:rPr>
              <w:t xml:space="preserve"> 6.5</w:t>
            </w:r>
          </w:p>
        </w:tc>
        <w:tc>
          <w:tcPr>
            <w:tcW w:w="6095" w:type="dxa"/>
          </w:tcPr>
          <w:p w14:paraId="7ED1DD64" w14:textId="77777777"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0, 1, 10, 30, 100 ppm (0, 0.06, 0.64, 1.94, 6.50 mg/kg bw/day)</w:t>
            </w:r>
          </w:p>
          <w:p w14:paraId="542736D8" w14:textId="77777777" w:rsidR="002A58BE" w:rsidRPr="00547C02" w:rsidRDefault="002A58BE" w:rsidP="00F4394A">
            <w:pPr>
              <w:keepNext/>
              <w:keepLines/>
              <w:spacing w:before="40" w:after="40"/>
              <w:rPr>
                <w:rFonts w:asciiTheme="minorHAnsi" w:hAnsiTheme="minorHAnsi"/>
                <w:sz w:val="16"/>
              </w:rPr>
            </w:pPr>
          </w:p>
          <w:p w14:paraId="7F6FDD7F" w14:textId="77777777"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Reduced body weight gain at 6.5 mg/kg bw/day</w:t>
            </w:r>
            <w:r w:rsidRPr="00547C02">
              <w:rPr>
                <w:rFonts w:asciiTheme="minorHAnsi" w:hAnsiTheme="minorHAnsi"/>
                <w:sz w:val="16"/>
              </w:rPr>
              <w:br/>
            </w:r>
          </w:p>
        </w:tc>
        <w:tc>
          <w:tcPr>
            <w:tcW w:w="1985" w:type="dxa"/>
          </w:tcPr>
          <w:p w14:paraId="019159F6" w14:textId="71F1FD82" w:rsidR="002A58BE" w:rsidRPr="00547C02" w:rsidRDefault="002A58BE" w:rsidP="00F4394A">
            <w:pPr>
              <w:keepNext/>
              <w:keepLines/>
              <w:rPr>
                <w:rFonts w:asciiTheme="minorHAnsi" w:hAnsiTheme="minorHAnsi"/>
                <w:sz w:val="16"/>
              </w:rPr>
            </w:pPr>
            <w:r w:rsidRPr="00547C02">
              <w:rPr>
                <w:rFonts w:asciiTheme="minorHAnsi" w:hAnsiTheme="minorHAnsi"/>
                <w:sz w:val="16"/>
              </w:rPr>
              <w:t xml:space="preserve">Palazzolo, 1993 Perkins </w:t>
            </w:r>
            <w:r w:rsidR="00180A32" w:rsidRPr="00180A32">
              <w:rPr>
                <w:rFonts w:asciiTheme="minorHAnsi" w:hAnsiTheme="minorHAnsi"/>
                <w:i/>
                <w:sz w:val="16"/>
              </w:rPr>
              <w:t xml:space="preserve">et al. </w:t>
            </w:r>
            <w:r>
              <w:rPr>
                <w:rFonts w:asciiTheme="minorHAnsi" w:hAnsiTheme="minorHAnsi"/>
                <w:sz w:val="16"/>
              </w:rPr>
              <w:t xml:space="preserve"> </w:t>
            </w:r>
            <w:r w:rsidRPr="00547C02">
              <w:rPr>
                <w:rFonts w:asciiTheme="minorHAnsi" w:hAnsiTheme="minorHAnsi"/>
                <w:sz w:val="16"/>
              </w:rPr>
              <w:t>2004</w:t>
            </w:r>
          </w:p>
        </w:tc>
        <w:tc>
          <w:tcPr>
            <w:tcW w:w="1919" w:type="dxa"/>
          </w:tcPr>
          <w:p w14:paraId="4034D98E" w14:textId="77777777"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UKCOT</w:t>
            </w:r>
          </w:p>
          <w:p w14:paraId="468AF65A" w14:textId="77777777"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EFSA</w:t>
            </w:r>
          </w:p>
          <w:p w14:paraId="5C19B0DD" w14:textId="77777777"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Danish EPA</w:t>
            </w:r>
          </w:p>
          <w:p w14:paraId="60A2E3C7" w14:textId="77777777"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Swedish EPA</w:t>
            </w:r>
          </w:p>
          <w:p w14:paraId="64092CCC" w14:textId="77777777"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US EPA</w:t>
            </w:r>
          </w:p>
        </w:tc>
      </w:tr>
      <w:tr w:rsidR="002A58BE" w:rsidRPr="00DD22E6" w14:paraId="026CAAF2" w14:textId="77777777" w:rsidTr="00B23C00">
        <w:tc>
          <w:tcPr>
            <w:tcW w:w="1337" w:type="dxa"/>
          </w:tcPr>
          <w:p w14:paraId="11CA9878" w14:textId="77777777"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90 day</w:t>
            </w:r>
          </w:p>
        </w:tc>
        <w:tc>
          <w:tcPr>
            <w:tcW w:w="1275" w:type="dxa"/>
          </w:tcPr>
          <w:p w14:paraId="2447E56C" w14:textId="6813400F" w:rsidR="002A58BE" w:rsidRPr="00547C02" w:rsidRDefault="004436E7" w:rsidP="00F4394A">
            <w:pPr>
              <w:keepNext/>
              <w:keepLines/>
              <w:spacing w:before="40" w:after="40"/>
              <w:rPr>
                <w:rFonts w:asciiTheme="minorHAnsi" w:hAnsiTheme="minorHAnsi"/>
                <w:sz w:val="16"/>
              </w:rPr>
            </w:pPr>
            <w:r>
              <w:rPr>
                <w:rFonts w:asciiTheme="minorHAnsi" w:hAnsiTheme="minorHAnsi"/>
                <w:sz w:val="16"/>
              </w:rPr>
              <w:t>Monkey, Rhesus</w:t>
            </w:r>
          </w:p>
        </w:tc>
        <w:tc>
          <w:tcPr>
            <w:tcW w:w="1843" w:type="dxa"/>
          </w:tcPr>
          <w:p w14:paraId="7539320E" w14:textId="77777777"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NOAEL/LOAEL: not assigned</w:t>
            </w:r>
          </w:p>
          <w:p w14:paraId="2E422A6A" w14:textId="77777777"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(2 animals only per dose group)</w:t>
            </w:r>
          </w:p>
        </w:tc>
        <w:tc>
          <w:tcPr>
            <w:tcW w:w="6095" w:type="dxa"/>
          </w:tcPr>
          <w:p w14:paraId="3B61EA91" w14:textId="51F47D9A"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0,</w:t>
            </w:r>
            <w:r w:rsidR="00F20BCE">
              <w:rPr>
                <w:rFonts w:asciiTheme="minorHAnsi" w:hAnsiTheme="minorHAnsi"/>
                <w:sz w:val="16"/>
              </w:rPr>
              <w:t xml:space="preserve"> </w:t>
            </w:r>
            <w:r w:rsidRPr="00547C02">
              <w:rPr>
                <w:rFonts w:asciiTheme="minorHAnsi" w:hAnsiTheme="minorHAnsi"/>
                <w:sz w:val="16"/>
              </w:rPr>
              <w:t>3,</w:t>
            </w:r>
            <w:r w:rsidR="00F20BCE">
              <w:rPr>
                <w:rFonts w:asciiTheme="minorHAnsi" w:hAnsiTheme="minorHAnsi"/>
                <w:sz w:val="16"/>
              </w:rPr>
              <w:t xml:space="preserve"> </w:t>
            </w:r>
            <w:r w:rsidRPr="00547C02">
              <w:rPr>
                <w:rFonts w:asciiTheme="minorHAnsi" w:hAnsiTheme="minorHAnsi"/>
                <w:sz w:val="16"/>
              </w:rPr>
              <w:t>10,</w:t>
            </w:r>
            <w:r w:rsidR="00F20BCE">
              <w:rPr>
                <w:rFonts w:asciiTheme="minorHAnsi" w:hAnsiTheme="minorHAnsi"/>
                <w:sz w:val="16"/>
              </w:rPr>
              <w:t xml:space="preserve"> </w:t>
            </w:r>
            <w:r w:rsidRPr="00547C02">
              <w:rPr>
                <w:rFonts w:asciiTheme="minorHAnsi" w:hAnsiTheme="minorHAnsi"/>
                <w:sz w:val="16"/>
              </w:rPr>
              <w:t>30, 100 mg/kg bw/day</w:t>
            </w:r>
          </w:p>
          <w:p w14:paraId="36709026" w14:textId="77777777"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Decreased weights of heart (absolute and relative) and brain (absolute) in females at 10 mg/kg bw/day.</w:t>
            </w:r>
          </w:p>
        </w:tc>
        <w:tc>
          <w:tcPr>
            <w:tcW w:w="1985" w:type="dxa"/>
          </w:tcPr>
          <w:p w14:paraId="1756C29F" w14:textId="77777777"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Goldenthal 1978b</w:t>
            </w:r>
          </w:p>
        </w:tc>
        <w:tc>
          <w:tcPr>
            <w:tcW w:w="1919" w:type="dxa"/>
          </w:tcPr>
          <w:p w14:paraId="767505CE" w14:textId="77777777"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US EPA</w:t>
            </w:r>
          </w:p>
        </w:tc>
      </w:tr>
      <w:tr w:rsidR="002A58BE" w:rsidRPr="00DD22E6" w14:paraId="63813E72" w14:textId="77777777" w:rsidTr="00B23C00">
        <w:tc>
          <w:tcPr>
            <w:tcW w:w="1337" w:type="dxa"/>
          </w:tcPr>
          <w:p w14:paraId="1DE6CA2D" w14:textId="77777777"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 xml:space="preserve">180 day oral capsule </w:t>
            </w:r>
          </w:p>
        </w:tc>
        <w:tc>
          <w:tcPr>
            <w:tcW w:w="1275" w:type="dxa"/>
          </w:tcPr>
          <w:p w14:paraId="39E6E609" w14:textId="458D778F" w:rsidR="002A58BE" w:rsidRPr="00547C02" w:rsidRDefault="004436E7" w:rsidP="004436E7">
            <w:pPr>
              <w:keepNext/>
              <w:keepLines/>
              <w:spacing w:before="40" w:after="40"/>
              <w:rPr>
                <w:rFonts w:asciiTheme="minorHAnsi" w:hAnsiTheme="minorHAnsi"/>
                <w:sz w:val="16"/>
              </w:rPr>
            </w:pPr>
            <w:r>
              <w:rPr>
                <w:rFonts w:asciiTheme="minorHAnsi" w:hAnsiTheme="minorHAnsi"/>
                <w:sz w:val="16"/>
              </w:rPr>
              <w:t>M</w:t>
            </w:r>
            <w:r w:rsidRPr="00547C02">
              <w:rPr>
                <w:rFonts w:asciiTheme="minorHAnsi" w:hAnsiTheme="minorHAnsi"/>
                <w:sz w:val="16"/>
              </w:rPr>
              <w:t>onkey</w:t>
            </w:r>
            <w:r w:rsidR="002A58BE" w:rsidRPr="00547C02">
              <w:rPr>
                <w:rFonts w:asciiTheme="minorHAnsi" w:hAnsiTheme="minorHAnsi"/>
                <w:sz w:val="16"/>
              </w:rPr>
              <w:t>,</w:t>
            </w:r>
            <w:r>
              <w:rPr>
                <w:rFonts w:asciiTheme="minorHAnsi" w:hAnsiTheme="minorHAnsi"/>
                <w:sz w:val="16"/>
              </w:rPr>
              <w:t xml:space="preserve"> cynomolgus</w:t>
            </w:r>
            <w:r w:rsidR="002A58BE" w:rsidRPr="00547C02">
              <w:rPr>
                <w:rFonts w:asciiTheme="minorHAnsi" w:hAnsiTheme="minorHAnsi"/>
                <w:sz w:val="16"/>
              </w:rPr>
              <w:t xml:space="preserve"> (males only)</w:t>
            </w:r>
          </w:p>
        </w:tc>
        <w:tc>
          <w:tcPr>
            <w:tcW w:w="1843" w:type="dxa"/>
          </w:tcPr>
          <w:p w14:paraId="6A13AEE6" w14:textId="77777777" w:rsidR="002A58BE" w:rsidRDefault="002A58BE" w:rsidP="00F4394A">
            <w:pPr>
              <w:keepNext/>
              <w:keepLines/>
              <w:spacing w:before="40" w:after="40"/>
              <w:rPr>
                <w:rFonts w:asciiTheme="minorHAnsi" w:hAnsiTheme="minorHAnsi"/>
                <w:sz w:val="16"/>
              </w:rPr>
            </w:pPr>
            <w:r w:rsidRPr="00547C02">
              <w:rPr>
                <w:rFonts w:asciiTheme="minorHAnsi" w:hAnsiTheme="minorHAnsi"/>
                <w:sz w:val="16"/>
              </w:rPr>
              <w:t>NOAEL</w:t>
            </w:r>
            <w:r>
              <w:rPr>
                <w:rFonts w:asciiTheme="minorHAnsi" w:hAnsiTheme="minorHAnsi"/>
                <w:sz w:val="16"/>
              </w:rPr>
              <w:t>: 10</w:t>
            </w:r>
          </w:p>
          <w:p w14:paraId="1029A046" w14:textId="77777777" w:rsidR="002A58BE" w:rsidRPr="00547C02" w:rsidRDefault="002A58BE" w:rsidP="00F4394A">
            <w:pPr>
              <w:keepNext/>
              <w:keepLines/>
              <w:spacing w:before="40" w:after="40"/>
              <w:rPr>
                <w:rFonts w:asciiTheme="minorHAnsi" w:hAnsiTheme="minorHAnsi"/>
                <w:sz w:val="16"/>
              </w:rPr>
            </w:pPr>
            <w:r>
              <w:rPr>
                <w:rFonts w:asciiTheme="minorHAnsi" w:hAnsiTheme="minorHAnsi"/>
                <w:sz w:val="16"/>
              </w:rPr>
              <w:t>LOAEL: 30/20</w:t>
            </w:r>
          </w:p>
        </w:tc>
        <w:tc>
          <w:tcPr>
            <w:tcW w:w="6095" w:type="dxa"/>
          </w:tcPr>
          <w:p w14:paraId="27F6546E" w14:textId="77777777"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0, 3, 10, 30/20 mg/kg bw/day.</w:t>
            </w:r>
          </w:p>
          <w:p w14:paraId="3011BFE0" w14:textId="5F30894E"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Mortality, clinical signs,</w:t>
            </w:r>
            <w:r w:rsidR="00F20BCE">
              <w:rPr>
                <w:rFonts w:asciiTheme="minorHAnsi" w:hAnsiTheme="minorHAnsi"/>
                <w:sz w:val="16"/>
              </w:rPr>
              <w:t xml:space="preserve"> hepatic toxicity</w:t>
            </w:r>
            <w:r w:rsidR="00BF2031">
              <w:rPr>
                <w:rFonts w:asciiTheme="minorHAnsi" w:hAnsiTheme="minorHAnsi"/>
                <w:sz w:val="16"/>
              </w:rPr>
              <w:t>,</w:t>
            </w:r>
            <w:r w:rsidRPr="00547C02">
              <w:rPr>
                <w:rFonts w:asciiTheme="minorHAnsi" w:hAnsiTheme="minorHAnsi"/>
                <w:sz w:val="16"/>
              </w:rPr>
              <w:t xml:space="preserve"> body weight effects at 30/20 mg/kg bw/day</w:t>
            </w:r>
            <w:r>
              <w:rPr>
                <w:rFonts w:asciiTheme="minorHAnsi" w:hAnsiTheme="minorHAnsi"/>
                <w:sz w:val="16"/>
              </w:rPr>
              <w:t>.</w:t>
            </w:r>
          </w:p>
        </w:tc>
        <w:tc>
          <w:tcPr>
            <w:tcW w:w="1985" w:type="dxa"/>
          </w:tcPr>
          <w:p w14:paraId="33FACBE4" w14:textId="280BF7B2"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 xml:space="preserve">Butenhoff </w:t>
            </w:r>
            <w:r w:rsidR="00180A32" w:rsidRPr="00180A32">
              <w:rPr>
                <w:rFonts w:asciiTheme="minorHAnsi" w:hAnsiTheme="minorHAnsi"/>
                <w:i/>
                <w:sz w:val="16"/>
              </w:rPr>
              <w:t xml:space="preserve">et al. </w:t>
            </w:r>
            <w:r>
              <w:rPr>
                <w:rFonts w:asciiTheme="minorHAnsi" w:hAnsiTheme="minorHAnsi"/>
                <w:sz w:val="16"/>
              </w:rPr>
              <w:t xml:space="preserve"> </w:t>
            </w:r>
            <w:r w:rsidRPr="00547C02">
              <w:rPr>
                <w:rFonts w:asciiTheme="minorHAnsi" w:hAnsiTheme="minorHAnsi"/>
                <w:sz w:val="16"/>
              </w:rPr>
              <w:t>2002</w:t>
            </w:r>
          </w:p>
        </w:tc>
        <w:tc>
          <w:tcPr>
            <w:tcW w:w="1919" w:type="dxa"/>
          </w:tcPr>
          <w:p w14:paraId="376CC9AA" w14:textId="77777777"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ATSDR</w:t>
            </w:r>
          </w:p>
        </w:tc>
      </w:tr>
      <w:tr w:rsidR="002A58BE" w:rsidRPr="00DD22E6" w14:paraId="07FD27D4" w14:textId="77777777" w:rsidTr="00B23C00">
        <w:tc>
          <w:tcPr>
            <w:tcW w:w="12535" w:type="dxa"/>
            <w:gridSpan w:val="5"/>
            <w:shd w:val="clear" w:color="auto" w:fill="D9D9D9" w:themeFill="background1" w:themeFillShade="D9"/>
          </w:tcPr>
          <w:p w14:paraId="70458463" w14:textId="77777777" w:rsidR="002A58BE" w:rsidRPr="00547C02" w:rsidRDefault="002A58BE" w:rsidP="00F4394A">
            <w:pPr>
              <w:keepNext/>
              <w:keepLines/>
              <w:spacing w:before="40" w:after="40"/>
              <w:rPr>
                <w:rFonts w:asciiTheme="minorHAnsi" w:hAnsiTheme="minorHAnsi" w:cs="Arial"/>
                <w:b/>
                <w:i/>
                <w:szCs w:val="20"/>
                <w:lang w:bidi="ar-SA"/>
              </w:rPr>
            </w:pPr>
            <w:r w:rsidRPr="00547C02">
              <w:rPr>
                <w:rFonts w:asciiTheme="minorHAnsi" w:hAnsiTheme="minorHAnsi" w:cs="Arial"/>
                <w:b/>
                <w:i/>
                <w:szCs w:val="20"/>
                <w:lang w:bidi="ar-SA"/>
              </w:rPr>
              <w:t>Chronic toxicity and carcinogenicity</w:t>
            </w:r>
          </w:p>
        </w:tc>
        <w:tc>
          <w:tcPr>
            <w:tcW w:w="1919" w:type="dxa"/>
            <w:shd w:val="clear" w:color="auto" w:fill="D9D9D9" w:themeFill="background1" w:themeFillShade="D9"/>
          </w:tcPr>
          <w:p w14:paraId="35F4B62A" w14:textId="77777777" w:rsidR="002A58BE" w:rsidRPr="00DD22E6" w:rsidRDefault="002A58BE" w:rsidP="00F4394A">
            <w:pPr>
              <w:keepNext/>
              <w:keepLines/>
              <w:spacing w:before="40" w:after="40"/>
              <w:rPr>
                <w:rFonts w:cs="Arial"/>
                <w:b/>
                <w:i/>
                <w:szCs w:val="20"/>
                <w:lang w:bidi="ar-SA"/>
              </w:rPr>
            </w:pPr>
          </w:p>
        </w:tc>
      </w:tr>
      <w:tr w:rsidR="002A58BE" w:rsidRPr="00DD22E6" w14:paraId="04C788D0" w14:textId="77777777" w:rsidTr="00B23C00">
        <w:tc>
          <w:tcPr>
            <w:tcW w:w="1337" w:type="dxa"/>
          </w:tcPr>
          <w:p w14:paraId="15ED96D5" w14:textId="77777777"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 xml:space="preserve">24 month dietary </w:t>
            </w:r>
          </w:p>
        </w:tc>
        <w:tc>
          <w:tcPr>
            <w:tcW w:w="1275" w:type="dxa"/>
          </w:tcPr>
          <w:p w14:paraId="56C0204D" w14:textId="77777777"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Rat, male only, CD</w:t>
            </w:r>
          </w:p>
        </w:tc>
        <w:tc>
          <w:tcPr>
            <w:tcW w:w="1843" w:type="dxa"/>
          </w:tcPr>
          <w:p w14:paraId="23A40949" w14:textId="77777777"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No NOAEL/LOAEL assigned.</w:t>
            </w:r>
          </w:p>
          <w:p w14:paraId="6704EACB" w14:textId="77777777"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Single dose study</w:t>
            </w:r>
          </w:p>
        </w:tc>
        <w:tc>
          <w:tcPr>
            <w:tcW w:w="6095" w:type="dxa"/>
          </w:tcPr>
          <w:p w14:paraId="42B04D34" w14:textId="77777777"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0 and 300 ppm, equivalent to 0 and 14 mg/kg bw/day.</w:t>
            </w:r>
          </w:p>
          <w:p w14:paraId="008EAD78" w14:textId="77777777"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Increased liver weights and β-oxidation activity in treated groups.</w:t>
            </w:r>
          </w:p>
          <w:p w14:paraId="7CA18572" w14:textId="77777777"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 xml:space="preserve">Significant increases in Leydig cell adenomas, hepatocellular adenomas and pancreatic acinar cell tumours. </w:t>
            </w:r>
          </w:p>
        </w:tc>
        <w:tc>
          <w:tcPr>
            <w:tcW w:w="1985" w:type="dxa"/>
            <w:tcBorders>
              <w:bottom w:val="single" w:sz="4" w:space="0" w:color="000000"/>
            </w:tcBorders>
          </w:tcPr>
          <w:p w14:paraId="5B8950BD" w14:textId="62DE290A"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 xml:space="preserve">Biegel </w:t>
            </w:r>
            <w:r w:rsidR="00180A32" w:rsidRPr="00180A32">
              <w:rPr>
                <w:rFonts w:asciiTheme="minorHAnsi" w:hAnsiTheme="minorHAnsi"/>
                <w:i/>
                <w:sz w:val="16"/>
              </w:rPr>
              <w:t xml:space="preserve">et al. </w:t>
            </w:r>
            <w:r>
              <w:rPr>
                <w:rFonts w:asciiTheme="minorHAnsi" w:hAnsiTheme="minorHAnsi"/>
                <w:sz w:val="16"/>
              </w:rPr>
              <w:t xml:space="preserve"> </w:t>
            </w:r>
            <w:r w:rsidRPr="00547C02">
              <w:rPr>
                <w:rFonts w:asciiTheme="minorHAnsi" w:hAnsiTheme="minorHAnsi"/>
                <w:sz w:val="16"/>
              </w:rPr>
              <w:t>2001.</w:t>
            </w:r>
          </w:p>
        </w:tc>
        <w:tc>
          <w:tcPr>
            <w:tcW w:w="1919" w:type="dxa"/>
            <w:tcBorders>
              <w:bottom w:val="single" w:sz="4" w:space="0" w:color="000000"/>
            </w:tcBorders>
          </w:tcPr>
          <w:p w14:paraId="3DEB3E73" w14:textId="77777777"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UKCOT</w:t>
            </w:r>
          </w:p>
        </w:tc>
      </w:tr>
      <w:tr w:rsidR="002A58BE" w:rsidRPr="00DD22E6" w14:paraId="066B69D9" w14:textId="77777777" w:rsidTr="00B23C00">
        <w:tc>
          <w:tcPr>
            <w:tcW w:w="1337" w:type="dxa"/>
            <w:vMerge w:val="restart"/>
          </w:tcPr>
          <w:p w14:paraId="75D84E87" w14:textId="77777777"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104-week dietary</w:t>
            </w:r>
          </w:p>
          <w:p w14:paraId="06498F60" w14:textId="77777777" w:rsidR="002A58BE" w:rsidRPr="00547C02" w:rsidRDefault="002A58BE" w:rsidP="00F4394A">
            <w:pPr>
              <w:keepNext/>
              <w:keepLines/>
              <w:spacing w:before="40" w:after="40"/>
              <w:rPr>
                <w:rFonts w:asciiTheme="minorHAnsi" w:hAnsiTheme="minorHAnsi"/>
                <w:sz w:val="16"/>
              </w:rPr>
            </w:pPr>
          </w:p>
        </w:tc>
        <w:tc>
          <w:tcPr>
            <w:tcW w:w="1275" w:type="dxa"/>
            <w:vMerge w:val="restart"/>
          </w:tcPr>
          <w:p w14:paraId="4F0E12F1" w14:textId="77777777"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Rat, Sprague</w:t>
            </w:r>
            <w:r>
              <w:rPr>
                <w:rFonts w:asciiTheme="minorHAnsi" w:hAnsiTheme="minorHAnsi"/>
                <w:sz w:val="16"/>
              </w:rPr>
              <w:t xml:space="preserve"> </w:t>
            </w:r>
            <w:r w:rsidRPr="00547C02">
              <w:rPr>
                <w:rFonts w:asciiTheme="minorHAnsi" w:hAnsiTheme="minorHAnsi"/>
                <w:sz w:val="16"/>
              </w:rPr>
              <w:t>Dawley</w:t>
            </w:r>
          </w:p>
          <w:p w14:paraId="69F982D0" w14:textId="77777777" w:rsidR="002A58BE" w:rsidRPr="00547C02" w:rsidRDefault="002A58BE" w:rsidP="00F4394A">
            <w:pPr>
              <w:keepNext/>
              <w:keepLines/>
              <w:spacing w:before="40" w:after="40"/>
              <w:rPr>
                <w:rFonts w:asciiTheme="minorHAnsi" w:hAnsiTheme="minorHAnsi"/>
                <w:sz w:val="16"/>
              </w:rPr>
            </w:pPr>
          </w:p>
        </w:tc>
        <w:tc>
          <w:tcPr>
            <w:tcW w:w="1843" w:type="dxa"/>
            <w:vMerge w:val="restart"/>
          </w:tcPr>
          <w:p w14:paraId="241C488B" w14:textId="77777777" w:rsidR="002A58BE" w:rsidRPr="00547C02" w:rsidRDefault="002A58BE" w:rsidP="00F4394A">
            <w:pPr>
              <w:keepNext/>
              <w:keepLines/>
              <w:spacing w:before="40" w:after="40"/>
              <w:rPr>
                <w:rFonts w:asciiTheme="minorHAnsi" w:hAnsiTheme="minorHAnsi"/>
                <w:sz w:val="16"/>
              </w:rPr>
            </w:pPr>
            <w:r>
              <w:rPr>
                <w:rFonts w:asciiTheme="minorHAnsi" w:hAnsiTheme="minorHAnsi"/>
                <w:sz w:val="16"/>
              </w:rPr>
              <w:t>LOAEL: 1.3</w:t>
            </w:r>
          </w:p>
          <w:p w14:paraId="6C17D44F" w14:textId="77777777" w:rsidR="002A58BE" w:rsidRPr="00547C02" w:rsidRDefault="002A58BE" w:rsidP="00F4394A">
            <w:pPr>
              <w:keepNext/>
              <w:keepLines/>
              <w:spacing w:before="40" w:after="40"/>
              <w:rPr>
                <w:rFonts w:asciiTheme="minorHAnsi" w:hAnsiTheme="minorHAnsi"/>
                <w:sz w:val="16"/>
              </w:rPr>
            </w:pPr>
          </w:p>
        </w:tc>
        <w:tc>
          <w:tcPr>
            <w:tcW w:w="6095" w:type="dxa"/>
            <w:vMerge w:val="restart"/>
          </w:tcPr>
          <w:p w14:paraId="6938D667" w14:textId="77777777"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0, 1.3 and 14.2 mg/kg bw/day for males; 0, 1.6 and 16.1 mg/kg bw/day for females.</w:t>
            </w:r>
          </w:p>
          <w:p w14:paraId="4486296D" w14:textId="77777777"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 xml:space="preserve">LOAEL based on increased liver weight, clinical chemistry and hepatocellular pathology males at both doses. </w:t>
            </w:r>
          </w:p>
        </w:tc>
        <w:tc>
          <w:tcPr>
            <w:tcW w:w="1985" w:type="dxa"/>
            <w:tcBorders>
              <w:bottom w:val="single" w:sz="4" w:space="0" w:color="000000"/>
            </w:tcBorders>
          </w:tcPr>
          <w:p w14:paraId="69F005AC" w14:textId="77777777"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Sibinski,1987, (with histopathology re-evaluation by Mann and Frame, 2004.)</w:t>
            </w:r>
          </w:p>
          <w:p w14:paraId="381697D6" w14:textId="77777777" w:rsidR="002A58BE" w:rsidRPr="00547C02" w:rsidRDefault="002A58BE" w:rsidP="00F4394A">
            <w:pPr>
              <w:keepNext/>
              <w:keepLines/>
              <w:spacing w:before="40" w:after="40"/>
              <w:rPr>
                <w:rFonts w:asciiTheme="minorHAnsi" w:hAnsiTheme="minorHAnsi"/>
                <w:sz w:val="16"/>
              </w:rPr>
            </w:pPr>
          </w:p>
        </w:tc>
        <w:tc>
          <w:tcPr>
            <w:tcW w:w="1919" w:type="dxa"/>
            <w:tcBorders>
              <w:bottom w:val="single" w:sz="4" w:space="0" w:color="000000"/>
            </w:tcBorders>
          </w:tcPr>
          <w:p w14:paraId="55CBCC5A" w14:textId="77777777"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EFSA</w:t>
            </w:r>
          </w:p>
        </w:tc>
      </w:tr>
      <w:tr w:rsidR="002A58BE" w:rsidRPr="00DD22E6" w14:paraId="30A0FDE3" w14:textId="77777777" w:rsidTr="00B23C00">
        <w:tc>
          <w:tcPr>
            <w:tcW w:w="1337" w:type="dxa"/>
            <w:vMerge/>
            <w:tcBorders>
              <w:bottom w:val="single" w:sz="4" w:space="0" w:color="000000"/>
            </w:tcBorders>
          </w:tcPr>
          <w:p w14:paraId="61C85271" w14:textId="77777777" w:rsidR="002A58BE" w:rsidRPr="00547C02" w:rsidRDefault="002A58BE" w:rsidP="00F4394A">
            <w:pPr>
              <w:keepNext/>
              <w:keepLines/>
              <w:spacing w:before="40" w:after="40"/>
              <w:rPr>
                <w:rFonts w:asciiTheme="minorHAnsi" w:hAnsiTheme="minorHAnsi"/>
                <w:sz w:val="16"/>
              </w:rPr>
            </w:pPr>
          </w:p>
        </w:tc>
        <w:tc>
          <w:tcPr>
            <w:tcW w:w="1275" w:type="dxa"/>
            <w:vMerge/>
            <w:tcBorders>
              <w:bottom w:val="single" w:sz="4" w:space="0" w:color="000000"/>
            </w:tcBorders>
          </w:tcPr>
          <w:p w14:paraId="5D0FA41F" w14:textId="77777777" w:rsidR="002A58BE" w:rsidRPr="00547C02" w:rsidRDefault="002A58BE" w:rsidP="00F4394A">
            <w:pPr>
              <w:keepNext/>
              <w:keepLines/>
              <w:spacing w:before="40" w:after="40"/>
              <w:rPr>
                <w:rFonts w:asciiTheme="minorHAnsi" w:hAnsiTheme="minorHAnsi"/>
                <w:sz w:val="16"/>
              </w:rPr>
            </w:pPr>
          </w:p>
        </w:tc>
        <w:tc>
          <w:tcPr>
            <w:tcW w:w="1843" w:type="dxa"/>
            <w:vMerge/>
            <w:tcBorders>
              <w:bottom w:val="single" w:sz="4" w:space="0" w:color="000000"/>
            </w:tcBorders>
          </w:tcPr>
          <w:p w14:paraId="3C1828C1" w14:textId="77777777" w:rsidR="002A58BE" w:rsidRPr="00547C02" w:rsidRDefault="002A58BE" w:rsidP="00F4394A">
            <w:pPr>
              <w:keepNext/>
              <w:keepLines/>
              <w:spacing w:before="40" w:after="40"/>
              <w:rPr>
                <w:rFonts w:asciiTheme="minorHAnsi" w:hAnsiTheme="minorHAnsi"/>
                <w:color w:val="4BACC6" w:themeColor="accent5"/>
                <w:sz w:val="16"/>
              </w:rPr>
            </w:pPr>
          </w:p>
        </w:tc>
        <w:tc>
          <w:tcPr>
            <w:tcW w:w="6095" w:type="dxa"/>
            <w:vMerge/>
            <w:tcBorders>
              <w:bottom w:val="single" w:sz="4" w:space="0" w:color="000000"/>
            </w:tcBorders>
          </w:tcPr>
          <w:p w14:paraId="05E058BF" w14:textId="77777777" w:rsidR="002A58BE" w:rsidRPr="00547C02" w:rsidRDefault="002A58BE" w:rsidP="00F4394A">
            <w:pPr>
              <w:keepNext/>
              <w:keepLines/>
              <w:spacing w:before="40" w:after="40"/>
              <w:rPr>
                <w:rFonts w:asciiTheme="minorHAnsi" w:hAnsiTheme="minorHAnsi"/>
                <w:sz w:val="16"/>
              </w:rPr>
            </w:pPr>
          </w:p>
        </w:tc>
        <w:tc>
          <w:tcPr>
            <w:tcW w:w="1985" w:type="dxa"/>
            <w:tcBorders>
              <w:bottom w:val="single" w:sz="4" w:space="0" w:color="000000"/>
            </w:tcBorders>
          </w:tcPr>
          <w:p w14:paraId="0AB948B1" w14:textId="77777777"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Also reported by</w:t>
            </w:r>
          </w:p>
          <w:p w14:paraId="012675B6" w14:textId="4D0D7051" w:rsidR="002A58BE" w:rsidRDefault="002A58BE" w:rsidP="00F4394A">
            <w:pPr>
              <w:keepNext/>
              <w:keepLines/>
              <w:spacing w:before="40" w:after="40"/>
              <w:rPr>
                <w:rFonts w:asciiTheme="minorHAnsi" w:hAnsiTheme="minorHAnsi"/>
                <w:sz w:val="16"/>
              </w:rPr>
            </w:pPr>
            <w:r w:rsidRPr="00547C02">
              <w:rPr>
                <w:rFonts w:asciiTheme="minorHAnsi" w:hAnsiTheme="minorHAnsi"/>
                <w:sz w:val="16"/>
              </w:rPr>
              <w:t xml:space="preserve">Butenhoff </w:t>
            </w:r>
            <w:r w:rsidR="00180A32" w:rsidRPr="00180A32">
              <w:rPr>
                <w:rFonts w:asciiTheme="minorHAnsi" w:hAnsiTheme="minorHAnsi"/>
                <w:i/>
                <w:sz w:val="16"/>
              </w:rPr>
              <w:t xml:space="preserve">et al. </w:t>
            </w:r>
            <w:r>
              <w:rPr>
                <w:rFonts w:asciiTheme="minorHAnsi" w:hAnsiTheme="minorHAnsi"/>
                <w:sz w:val="16"/>
              </w:rPr>
              <w:t xml:space="preserve"> </w:t>
            </w:r>
            <w:r w:rsidRPr="00547C02">
              <w:rPr>
                <w:rFonts w:asciiTheme="minorHAnsi" w:hAnsiTheme="minorHAnsi"/>
                <w:sz w:val="16"/>
              </w:rPr>
              <w:t>2012</w:t>
            </w:r>
          </w:p>
          <w:p w14:paraId="3B7E7E91" w14:textId="77777777" w:rsidR="002A58BE" w:rsidRPr="00547C02" w:rsidRDefault="002A58BE" w:rsidP="00F4394A">
            <w:pPr>
              <w:keepNext/>
              <w:keepLines/>
              <w:spacing w:before="40" w:after="40"/>
              <w:rPr>
                <w:rFonts w:asciiTheme="minorHAnsi" w:hAnsiTheme="minorHAnsi"/>
                <w:sz w:val="16"/>
              </w:rPr>
            </w:pPr>
          </w:p>
        </w:tc>
        <w:tc>
          <w:tcPr>
            <w:tcW w:w="1919" w:type="dxa"/>
            <w:tcBorders>
              <w:bottom w:val="single" w:sz="4" w:space="0" w:color="000000"/>
            </w:tcBorders>
          </w:tcPr>
          <w:p w14:paraId="7ECA4409" w14:textId="77777777"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US EPA</w:t>
            </w:r>
          </w:p>
        </w:tc>
      </w:tr>
      <w:tr w:rsidR="002A58BE" w:rsidRPr="00DD22E6" w14:paraId="22D946AE" w14:textId="77777777" w:rsidTr="00B23C00">
        <w:tc>
          <w:tcPr>
            <w:tcW w:w="12535" w:type="dxa"/>
            <w:gridSpan w:val="5"/>
            <w:shd w:val="clear" w:color="auto" w:fill="D9D9D9" w:themeFill="background1" w:themeFillShade="D9"/>
          </w:tcPr>
          <w:p w14:paraId="2B38C79B" w14:textId="77777777" w:rsidR="002A58BE" w:rsidRPr="00547C02" w:rsidRDefault="002A58BE" w:rsidP="00F4394A">
            <w:pPr>
              <w:keepNext/>
              <w:keepLines/>
              <w:spacing w:before="40" w:after="40"/>
              <w:rPr>
                <w:rFonts w:asciiTheme="minorHAnsi" w:hAnsiTheme="minorHAnsi" w:cs="Arial"/>
                <w:b/>
                <w:i/>
                <w:szCs w:val="20"/>
                <w:lang w:bidi="ar-SA"/>
              </w:rPr>
            </w:pPr>
            <w:r w:rsidRPr="00547C02">
              <w:rPr>
                <w:rFonts w:asciiTheme="minorHAnsi" w:hAnsiTheme="minorHAnsi" w:cs="Arial"/>
                <w:b/>
                <w:i/>
                <w:szCs w:val="20"/>
                <w:lang w:bidi="ar-SA"/>
              </w:rPr>
              <w:t>Reproductive and developmental toxicity</w:t>
            </w:r>
          </w:p>
        </w:tc>
        <w:tc>
          <w:tcPr>
            <w:tcW w:w="1919" w:type="dxa"/>
            <w:shd w:val="clear" w:color="auto" w:fill="D9D9D9" w:themeFill="background1" w:themeFillShade="D9"/>
          </w:tcPr>
          <w:p w14:paraId="3C4E4C7E" w14:textId="77777777" w:rsidR="002A58BE" w:rsidRPr="00DD22E6" w:rsidRDefault="002A58BE" w:rsidP="00F4394A">
            <w:pPr>
              <w:keepNext/>
              <w:keepLines/>
              <w:spacing w:before="40" w:after="40"/>
              <w:rPr>
                <w:rFonts w:cs="Arial"/>
                <w:b/>
                <w:i/>
                <w:szCs w:val="20"/>
                <w:lang w:bidi="ar-SA"/>
              </w:rPr>
            </w:pPr>
          </w:p>
        </w:tc>
      </w:tr>
      <w:tr w:rsidR="002A58BE" w:rsidRPr="00DD22E6" w14:paraId="5378F37D" w14:textId="77777777" w:rsidTr="00B23C00">
        <w:trPr>
          <w:trHeight w:val="115"/>
        </w:trPr>
        <w:tc>
          <w:tcPr>
            <w:tcW w:w="1337" w:type="dxa"/>
          </w:tcPr>
          <w:p w14:paraId="047950F0"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Two-generation oral gavage</w:t>
            </w:r>
          </w:p>
        </w:tc>
        <w:tc>
          <w:tcPr>
            <w:tcW w:w="1275" w:type="dxa"/>
          </w:tcPr>
          <w:p w14:paraId="3D22C4DB" w14:textId="0E237F0B"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Rat</w:t>
            </w:r>
            <w:r w:rsidR="004436E7">
              <w:rPr>
                <w:rFonts w:asciiTheme="minorHAnsi" w:hAnsiTheme="minorHAnsi"/>
                <w:sz w:val="16"/>
                <w:szCs w:val="16"/>
              </w:rPr>
              <w:t>, Sprague Dawley</w:t>
            </w:r>
          </w:p>
        </w:tc>
        <w:tc>
          <w:tcPr>
            <w:tcW w:w="1843" w:type="dxa"/>
          </w:tcPr>
          <w:p w14:paraId="79E6CBD7" w14:textId="77777777" w:rsidR="002A58BE"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 xml:space="preserve">Paternal </w:t>
            </w:r>
            <w:r>
              <w:rPr>
                <w:rFonts w:asciiTheme="minorHAnsi" w:hAnsiTheme="minorHAnsi"/>
                <w:sz w:val="16"/>
                <w:szCs w:val="16"/>
              </w:rPr>
              <w:t>toxicity:</w:t>
            </w:r>
          </w:p>
          <w:p w14:paraId="2626DF7C"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LOAEL</w:t>
            </w:r>
            <w:r>
              <w:rPr>
                <w:rFonts w:asciiTheme="minorHAnsi" w:hAnsiTheme="minorHAnsi"/>
                <w:sz w:val="16"/>
                <w:szCs w:val="16"/>
              </w:rPr>
              <w:t>: 1</w:t>
            </w:r>
          </w:p>
          <w:p w14:paraId="3C584C92"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Reproductive</w:t>
            </w:r>
            <w:r>
              <w:rPr>
                <w:rFonts w:asciiTheme="minorHAnsi" w:hAnsiTheme="minorHAnsi"/>
                <w:sz w:val="16"/>
                <w:szCs w:val="16"/>
              </w:rPr>
              <w:t xml:space="preserve"> toxicity: NOAEL: 30</w:t>
            </w:r>
          </w:p>
          <w:p w14:paraId="227E638B" w14:textId="77777777" w:rsidR="002A58BE"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lastRenderedPageBreak/>
              <w:t>Offspring</w:t>
            </w:r>
            <w:r>
              <w:rPr>
                <w:rFonts w:asciiTheme="minorHAnsi" w:hAnsiTheme="minorHAnsi"/>
                <w:sz w:val="16"/>
                <w:szCs w:val="16"/>
              </w:rPr>
              <w:t xml:space="preserve"> toxicity:</w:t>
            </w:r>
          </w:p>
          <w:p w14:paraId="65BD918D" w14:textId="77777777" w:rsidR="002A58BE"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NOAEL</w:t>
            </w:r>
            <w:r>
              <w:rPr>
                <w:rFonts w:asciiTheme="minorHAnsi" w:hAnsiTheme="minorHAnsi"/>
                <w:sz w:val="16"/>
                <w:szCs w:val="16"/>
              </w:rPr>
              <w:t>: 10</w:t>
            </w:r>
          </w:p>
          <w:p w14:paraId="3485C80F" w14:textId="77777777" w:rsidR="002A58BE" w:rsidRPr="00547C02" w:rsidRDefault="002A58BE" w:rsidP="00F4394A">
            <w:pPr>
              <w:keepNext/>
              <w:keepLines/>
              <w:spacing w:before="40" w:after="40"/>
              <w:rPr>
                <w:rFonts w:asciiTheme="minorHAnsi" w:hAnsiTheme="minorHAnsi"/>
                <w:sz w:val="16"/>
                <w:szCs w:val="16"/>
              </w:rPr>
            </w:pPr>
            <w:r>
              <w:rPr>
                <w:rFonts w:asciiTheme="minorHAnsi" w:hAnsiTheme="minorHAnsi"/>
                <w:sz w:val="16"/>
                <w:szCs w:val="16"/>
              </w:rPr>
              <w:t>LOAEL: 30</w:t>
            </w:r>
            <w:r w:rsidRPr="00547C02">
              <w:rPr>
                <w:rFonts w:asciiTheme="minorHAnsi" w:hAnsiTheme="minorHAnsi"/>
                <w:sz w:val="16"/>
                <w:szCs w:val="16"/>
              </w:rPr>
              <w:t xml:space="preserve"> </w:t>
            </w:r>
          </w:p>
        </w:tc>
        <w:tc>
          <w:tcPr>
            <w:tcW w:w="6095" w:type="dxa"/>
          </w:tcPr>
          <w:p w14:paraId="0B58A844"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lastRenderedPageBreak/>
              <w:t>0, 1, 3, 10 or 30 mg/kg bw/day.</w:t>
            </w:r>
          </w:p>
          <w:p w14:paraId="633BF0BF"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 xml:space="preserve">Decreased </w:t>
            </w:r>
            <w:r>
              <w:rPr>
                <w:rFonts w:asciiTheme="minorHAnsi" w:hAnsiTheme="minorHAnsi"/>
                <w:sz w:val="16"/>
                <w:szCs w:val="16"/>
              </w:rPr>
              <w:t>body weight</w:t>
            </w:r>
            <w:r w:rsidRPr="00547C02">
              <w:rPr>
                <w:rFonts w:asciiTheme="minorHAnsi" w:hAnsiTheme="minorHAnsi"/>
                <w:sz w:val="16"/>
                <w:szCs w:val="16"/>
              </w:rPr>
              <w:t xml:space="preserve"> in F1 males at ≥ 1 mg/kg bw/day.</w:t>
            </w:r>
          </w:p>
          <w:p w14:paraId="0D8FCA7F"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No effects on mating or fertility parameters.</w:t>
            </w:r>
          </w:p>
          <w:p w14:paraId="60582E52"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Decreased body weight and sexual maturation in offspring at 30 mg/kg bw/day</w:t>
            </w:r>
            <w:r>
              <w:rPr>
                <w:rFonts w:asciiTheme="minorHAnsi" w:hAnsiTheme="minorHAnsi"/>
                <w:sz w:val="16"/>
                <w:szCs w:val="16"/>
              </w:rPr>
              <w:t>.</w:t>
            </w:r>
          </w:p>
        </w:tc>
        <w:tc>
          <w:tcPr>
            <w:tcW w:w="1985" w:type="dxa"/>
          </w:tcPr>
          <w:p w14:paraId="31F5E4DE" w14:textId="25714A4E"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 xml:space="preserve">Butenhoff </w:t>
            </w:r>
            <w:r w:rsidR="00180A32" w:rsidRPr="00180A32">
              <w:rPr>
                <w:rFonts w:asciiTheme="minorHAnsi" w:hAnsiTheme="minorHAnsi"/>
                <w:i/>
                <w:sz w:val="16"/>
                <w:szCs w:val="16"/>
              </w:rPr>
              <w:t xml:space="preserve">et al. </w:t>
            </w:r>
            <w:r>
              <w:rPr>
                <w:rFonts w:asciiTheme="minorHAnsi" w:hAnsiTheme="minorHAnsi"/>
                <w:sz w:val="16"/>
                <w:szCs w:val="16"/>
              </w:rPr>
              <w:t xml:space="preserve"> </w:t>
            </w:r>
            <w:r w:rsidRPr="00547C02">
              <w:rPr>
                <w:rFonts w:asciiTheme="minorHAnsi" w:hAnsiTheme="minorHAnsi"/>
                <w:sz w:val="16"/>
                <w:szCs w:val="16"/>
              </w:rPr>
              <w:t>2004</w:t>
            </w:r>
          </w:p>
        </w:tc>
        <w:tc>
          <w:tcPr>
            <w:tcW w:w="1919" w:type="dxa"/>
          </w:tcPr>
          <w:p w14:paraId="4159F3C3"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UKCOT</w:t>
            </w:r>
          </w:p>
          <w:p w14:paraId="32E954E2"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EFSA</w:t>
            </w:r>
          </w:p>
          <w:p w14:paraId="3C6A4229"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US EPA</w:t>
            </w:r>
          </w:p>
        </w:tc>
      </w:tr>
      <w:tr w:rsidR="002A58BE" w:rsidRPr="00DD22E6" w14:paraId="7EDF9E6F" w14:textId="77777777" w:rsidTr="00B23C00">
        <w:trPr>
          <w:trHeight w:val="115"/>
        </w:trPr>
        <w:tc>
          <w:tcPr>
            <w:tcW w:w="1337" w:type="dxa"/>
          </w:tcPr>
          <w:p w14:paraId="6221DF05"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lastRenderedPageBreak/>
              <w:t>Oral gavage</w:t>
            </w:r>
          </w:p>
        </w:tc>
        <w:tc>
          <w:tcPr>
            <w:tcW w:w="1275" w:type="dxa"/>
          </w:tcPr>
          <w:p w14:paraId="4875B023" w14:textId="6BAF7CC4"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Mouse</w:t>
            </w:r>
            <w:r w:rsidR="004436E7">
              <w:rPr>
                <w:rFonts w:asciiTheme="minorHAnsi" w:hAnsiTheme="minorHAnsi"/>
                <w:sz w:val="16"/>
                <w:szCs w:val="16"/>
              </w:rPr>
              <w:t>, CD1</w:t>
            </w:r>
          </w:p>
        </w:tc>
        <w:tc>
          <w:tcPr>
            <w:tcW w:w="1843" w:type="dxa"/>
          </w:tcPr>
          <w:p w14:paraId="65F30914" w14:textId="77777777" w:rsidR="002A58BE"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 xml:space="preserve">Maternal </w:t>
            </w:r>
            <w:r>
              <w:rPr>
                <w:rFonts w:asciiTheme="minorHAnsi" w:hAnsiTheme="minorHAnsi"/>
                <w:sz w:val="16"/>
                <w:szCs w:val="16"/>
              </w:rPr>
              <w:t>toxicity:</w:t>
            </w:r>
          </w:p>
          <w:p w14:paraId="37B0205A" w14:textId="77777777" w:rsidR="002A58BE"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NOAEL</w:t>
            </w:r>
            <w:r>
              <w:rPr>
                <w:rFonts w:asciiTheme="minorHAnsi" w:hAnsiTheme="minorHAnsi"/>
                <w:sz w:val="16"/>
                <w:szCs w:val="16"/>
              </w:rPr>
              <w:t>: 10</w:t>
            </w:r>
          </w:p>
          <w:p w14:paraId="7AD5FF99" w14:textId="77777777" w:rsidR="002A58BE" w:rsidRPr="00547C02" w:rsidRDefault="002A58BE" w:rsidP="00F4394A">
            <w:pPr>
              <w:keepNext/>
              <w:keepLines/>
              <w:spacing w:before="40" w:after="40"/>
              <w:rPr>
                <w:rFonts w:asciiTheme="minorHAnsi" w:hAnsiTheme="minorHAnsi"/>
                <w:sz w:val="16"/>
                <w:szCs w:val="16"/>
              </w:rPr>
            </w:pPr>
            <w:r>
              <w:rPr>
                <w:rFonts w:asciiTheme="minorHAnsi" w:hAnsiTheme="minorHAnsi"/>
                <w:sz w:val="16"/>
                <w:szCs w:val="16"/>
              </w:rPr>
              <w:t>LOAEL: 20</w:t>
            </w:r>
          </w:p>
          <w:p w14:paraId="7EBB87CA" w14:textId="77777777" w:rsidR="002A58BE"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Fetotoxicity</w:t>
            </w:r>
            <w:r>
              <w:rPr>
                <w:rFonts w:asciiTheme="minorHAnsi" w:hAnsiTheme="minorHAnsi"/>
                <w:sz w:val="16"/>
                <w:szCs w:val="16"/>
              </w:rPr>
              <w:t>:</w:t>
            </w:r>
          </w:p>
          <w:p w14:paraId="7B555048" w14:textId="77777777" w:rsidR="002A58BE"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NOAEL</w:t>
            </w:r>
            <w:r>
              <w:rPr>
                <w:rFonts w:asciiTheme="minorHAnsi" w:hAnsiTheme="minorHAnsi"/>
                <w:sz w:val="16"/>
                <w:szCs w:val="16"/>
              </w:rPr>
              <w:t>:</w:t>
            </w:r>
            <w:r w:rsidRPr="00547C02">
              <w:rPr>
                <w:rFonts w:asciiTheme="minorHAnsi" w:hAnsiTheme="minorHAnsi"/>
                <w:sz w:val="16"/>
                <w:szCs w:val="16"/>
              </w:rPr>
              <w:t xml:space="preserve"> </w:t>
            </w:r>
            <w:r>
              <w:rPr>
                <w:rFonts w:asciiTheme="minorHAnsi" w:hAnsiTheme="minorHAnsi"/>
                <w:sz w:val="16"/>
                <w:szCs w:val="16"/>
              </w:rPr>
              <w:t>1</w:t>
            </w:r>
          </w:p>
          <w:p w14:paraId="12F5DCC2" w14:textId="77777777" w:rsidR="002A58BE" w:rsidRPr="00547C02" w:rsidRDefault="002A58BE" w:rsidP="00F4394A">
            <w:pPr>
              <w:keepNext/>
              <w:keepLines/>
              <w:spacing w:before="40" w:after="40"/>
              <w:rPr>
                <w:rFonts w:asciiTheme="minorHAnsi" w:hAnsiTheme="minorHAnsi"/>
                <w:sz w:val="16"/>
                <w:szCs w:val="16"/>
              </w:rPr>
            </w:pPr>
            <w:r>
              <w:rPr>
                <w:rFonts w:asciiTheme="minorHAnsi" w:hAnsiTheme="minorHAnsi"/>
                <w:sz w:val="16"/>
                <w:szCs w:val="16"/>
              </w:rPr>
              <w:t>LOAEL:3</w:t>
            </w:r>
          </w:p>
        </w:tc>
        <w:tc>
          <w:tcPr>
            <w:tcW w:w="6095" w:type="dxa"/>
          </w:tcPr>
          <w:p w14:paraId="7D22C907" w14:textId="55B26645"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1,</w:t>
            </w:r>
            <w:r w:rsidR="00F20BCE">
              <w:rPr>
                <w:rFonts w:asciiTheme="minorHAnsi" w:hAnsiTheme="minorHAnsi"/>
                <w:sz w:val="16"/>
                <w:szCs w:val="16"/>
              </w:rPr>
              <w:t xml:space="preserve"> </w:t>
            </w:r>
            <w:r w:rsidRPr="00547C02">
              <w:rPr>
                <w:rFonts w:asciiTheme="minorHAnsi" w:hAnsiTheme="minorHAnsi"/>
                <w:sz w:val="16"/>
                <w:szCs w:val="16"/>
              </w:rPr>
              <w:t>3,</w:t>
            </w:r>
            <w:r w:rsidR="00F20BCE">
              <w:rPr>
                <w:rFonts w:asciiTheme="minorHAnsi" w:hAnsiTheme="minorHAnsi"/>
                <w:sz w:val="16"/>
                <w:szCs w:val="16"/>
              </w:rPr>
              <w:t xml:space="preserve"> </w:t>
            </w:r>
            <w:r w:rsidRPr="00547C02">
              <w:rPr>
                <w:rFonts w:asciiTheme="minorHAnsi" w:hAnsiTheme="minorHAnsi"/>
                <w:sz w:val="16"/>
                <w:szCs w:val="16"/>
              </w:rPr>
              <w:t>5,</w:t>
            </w:r>
            <w:r w:rsidR="00F20BCE">
              <w:rPr>
                <w:rFonts w:asciiTheme="minorHAnsi" w:hAnsiTheme="minorHAnsi"/>
                <w:sz w:val="16"/>
                <w:szCs w:val="16"/>
              </w:rPr>
              <w:t xml:space="preserve"> </w:t>
            </w:r>
            <w:r w:rsidRPr="00547C02">
              <w:rPr>
                <w:rFonts w:asciiTheme="minorHAnsi" w:hAnsiTheme="minorHAnsi"/>
                <w:sz w:val="16"/>
                <w:szCs w:val="16"/>
              </w:rPr>
              <w:t>10, 20,40 mg/kg bw/day GD 1-birth.</w:t>
            </w:r>
          </w:p>
          <w:p w14:paraId="3A87077B"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Dose-related ↓ maternal weight gain at ≥ 20 mg/kg bw/day</w:t>
            </w:r>
          </w:p>
          <w:p w14:paraId="6936CFED"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Dose-related ↑resorptions at ≥ 5 mg/kg bw/day</w:t>
            </w:r>
          </w:p>
          <w:p w14:paraId="76D3938E"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Dose-related ↑late fetal mortality at ≥ 20 mg/kg bw/day</w:t>
            </w:r>
          </w:p>
          <w:p w14:paraId="2DD0B456"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Dose-related ↓pup weight at ≥ 20 mg/kg bw/day</w:t>
            </w:r>
          </w:p>
          <w:p w14:paraId="3AA3038F"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Dose-related increase in developmental defects including reduced ossification of phalanges and microcardia at ≥10 mg/kg bw/day</w:t>
            </w:r>
          </w:p>
          <w:p w14:paraId="1ACC6742"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↑neonatal mortality at ≥10 mg/kg bw/day</w:t>
            </w:r>
          </w:p>
          <w:p w14:paraId="2EA20E71"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↓pre</w:t>
            </w:r>
            <w:r>
              <w:rPr>
                <w:rFonts w:asciiTheme="minorHAnsi" w:hAnsiTheme="minorHAnsi"/>
                <w:sz w:val="16"/>
                <w:szCs w:val="16"/>
              </w:rPr>
              <w:t>weaning</w:t>
            </w:r>
            <w:r w:rsidRPr="00547C02">
              <w:rPr>
                <w:rFonts w:asciiTheme="minorHAnsi" w:hAnsiTheme="minorHAnsi"/>
                <w:sz w:val="16"/>
                <w:szCs w:val="16"/>
              </w:rPr>
              <w:t xml:space="preserve"> growth rate at ≥3 mg/kg bw/day</w:t>
            </w:r>
          </w:p>
        </w:tc>
        <w:tc>
          <w:tcPr>
            <w:tcW w:w="1985" w:type="dxa"/>
          </w:tcPr>
          <w:p w14:paraId="1A10D91F" w14:textId="55F518B1"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 xml:space="preserve">Lau </w:t>
            </w:r>
            <w:r w:rsidR="00180A32" w:rsidRPr="00180A32">
              <w:rPr>
                <w:rFonts w:asciiTheme="minorHAnsi" w:hAnsiTheme="minorHAnsi"/>
                <w:i/>
                <w:sz w:val="16"/>
                <w:szCs w:val="16"/>
              </w:rPr>
              <w:t xml:space="preserve">et al. </w:t>
            </w:r>
            <w:r>
              <w:rPr>
                <w:rFonts w:asciiTheme="minorHAnsi" w:hAnsiTheme="minorHAnsi"/>
                <w:sz w:val="16"/>
                <w:szCs w:val="16"/>
              </w:rPr>
              <w:t xml:space="preserve"> </w:t>
            </w:r>
            <w:r w:rsidRPr="00547C02">
              <w:rPr>
                <w:rFonts w:asciiTheme="minorHAnsi" w:hAnsiTheme="minorHAnsi"/>
                <w:sz w:val="16"/>
                <w:szCs w:val="16"/>
              </w:rPr>
              <w:t>2006</w:t>
            </w:r>
          </w:p>
        </w:tc>
        <w:tc>
          <w:tcPr>
            <w:tcW w:w="1919" w:type="dxa"/>
          </w:tcPr>
          <w:p w14:paraId="13664C76"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UKCOT</w:t>
            </w:r>
          </w:p>
          <w:p w14:paraId="5690084F"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EFSA</w:t>
            </w:r>
          </w:p>
          <w:p w14:paraId="6E9B9670"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Swedish EPA</w:t>
            </w:r>
          </w:p>
          <w:p w14:paraId="61E73B6D"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US EPA</w:t>
            </w:r>
          </w:p>
        </w:tc>
      </w:tr>
      <w:tr w:rsidR="002A58BE" w:rsidRPr="00DD22E6" w14:paraId="030341E4" w14:textId="77777777" w:rsidTr="00B23C00">
        <w:trPr>
          <w:trHeight w:val="115"/>
        </w:trPr>
        <w:tc>
          <w:tcPr>
            <w:tcW w:w="1337" w:type="dxa"/>
            <w:vMerge w:val="restart"/>
          </w:tcPr>
          <w:p w14:paraId="63CE005C" w14:textId="77777777" w:rsidR="002A58BE" w:rsidRPr="00C90D88" w:rsidRDefault="002A58BE" w:rsidP="00F4394A">
            <w:pPr>
              <w:keepNext/>
              <w:keepLines/>
              <w:spacing w:before="40" w:after="40"/>
              <w:rPr>
                <w:rFonts w:asciiTheme="minorHAnsi" w:hAnsiTheme="minorHAnsi"/>
                <w:sz w:val="16"/>
                <w:szCs w:val="16"/>
              </w:rPr>
            </w:pPr>
            <w:r w:rsidRPr="00C90D88">
              <w:rPr>
                <w:rFonts w:asciiTheme="minorHAnsi" w:hAnsiTheme="minorHAnsi"/>
                <w:sz w:val="16"/>
                <w:szCs w:val="16"/>
              </w:rPr>
              <w:t>Oral gavage</w:t>
            </w:r>
          </w:p>
          <w:p w14:paraId="70F0A2F5" w14:textId="77777777" w:rsidR="002A58BE" w:rsidRPr="00C90D88" w:rsidRDefault="002A58BE" w:rsidP="00F4394A">
            <w:pPr>
              <w:keepNext/>
              <w:keepLines/>
              <w:spacing w:before="40" w:after="40"/>
              <w:rPr>
                <w:rFonts w:asciiTheme="minorHAnsi" w:hAnsiTheme="minorHAnsi"/>
                <w:sz w:val="16"/>
                <w:szCs w:val="16"/>
              </w:rPr>
            </w:pPr>
          </w:p>
        </w:tc>
        <w:tc>
          <w:tcPr>
            <w:tcW w:w="1275" w:type="dxa"/>
            <w:vMerge w:val="restart"/>
          </w:tcPr>
          <w:p w14:paraId="5AA89387" w14:textId="67C6FFB3" w:rsidR="002A58BE" w:rsidRPr="00C90D88" w:rsidRDefault="002A58BE" w:rsidP="00F4394A">
            <w:pPr>
              <w:keepNext/>
              <w:keepLines/>
              <w:spacing w:before="40" w:after="40"/>
              <w:rPr>
                <w:rFonts w:asciiTheme="minorHAnsi" w:hAnsiTheme="minorHAnsi"/>
                <w:sz w:val="16"/>
                <w:szCs w:val="16"/>
              </w:rPr>
            </w:pPr>
            <w:r w:rsidRPr="00C90D88">
              <w:rPr>
                <w:rFonts w:asciiTheme="minorHAnsi" w:hAnsiTheme="minorHAnsi"/>
                <w:sz w:val="16"/>
                <w:szCs w:val="16"/>
              </w:rPr>
              <w:t>Mouse</w:t>
            </w:r>
            <w:r w:rsidR="004436E7">
              <w:rPr>
                <w:rFonts w:asciiTheme="minorHAnsi" w:hAnsiTheme="minorHAnsi"/>
                <w:sz w:val="16"/>
                <w:szCs w:val="16"/>
              </w:rPr>
              <w:t>, CD1</w:t>
            </w:r>
          </w:p>
          <w:p w14:paraId="10308C12" w14:textId="77777777" w:rsidR="002A58BE" w:rsidRPr="00C90D88" w:rsidRDefault="002A58BE" w:rsidP="00F4394A">
            <w:pPr>
              <w:keepNext/>
              <w:keepLines/>
              <w:spacing w:before="40" w:after="40"/>
              <w:rPr>
                <w:rFonts w:asciiTheme="minorHAnsi" w:hAnsiTheme="minorHAnsi"/>
                <w:sz w:val="16"/>
                <w:szCs w:val="16"/>
              </w:rPr>
            </w:pPr>
            <w:r w:rsidRPr="00C90D88">
              <w:rPr>
                <w:rFonts w:asciiTheme="minorHAnsi" w:hAnsiTheme="minorHAnsi"/>
                <w:sz w:val="16"/>
                <w:szCs w:val="16"/>
              </w:rPr>
              <w:t>Cross-fostering study</w:t>
            </w:r>
          </w:p>
        </w:tc>
        <w:tc>
          <w:tcPr>
            <w:tcW w:w="1843" w:type="dxa"/>
            <w:vMerge w:val="restart"/>
          </w:tcPr>
          <w:p w14:paraId="317A42D7" w14:textId="77777777" w:rsidR="002A58BE" w:rsidRPr="00C90D88" w:rsidRDefault="002A58BE" w:rsidP="00F4394A">
            <w:pPr>
              <w:keepNext/>
              <w:keepLines/>
              <w:spacing w:before="40" w:after="40"/>
              <w:rPr>
                <w:rFonts w:asciiTheme="minorHAnsi" w:hAnsiTheme="minorHAnsi"/>
                <w:sz w:val="16"/>
                <w:szCs w:val="16"/>
              </w:rPr>
            </w:pPr>
            <w:r w:rsidRPr="00C90D88">
              <w:rPr>
                <w:rFonts w:asciiTheme="minorHAnsi" w:hAnsiTheme="minorHAnsi"/>
                <w:sz w:val="16"/>
                <w:szCs w:val="16"/>
              </w:rPr>
              <w:t>NOAEL/LOAEL not assigned</w:t>
            </w:r>
          </w:p>
        </w:tc>
        <w:tc>
          <w:tcPr>
            <w:tcW w:w="6095" w:type="dxa"/>
            <w:vMerge w:val="restart"/>
          </w:tcPr>
          <w:p w14:paraId="3A6303B4" w14:textId="77777777" w:rsidR="002A58BE" w:rsidRPr="00C90D88" w:rsidRDefault="002A58BE" w:rsidP="00F4394A">
            <w:pPr>
              <w:keepNext/>
              <w:keepLines/>
              <w:spacing w:before="40" w:after="40"/>
              <w:rPr>
                <w:rFonts w:asciiTheme="minorHAnsi" w:hAnsiTheme="minorHAnsi"/>
                <w:sz w:val="16"/>
                <w:szCs w:val="16"/>
              </w:rPr>
            </w:pPr>
            <w:r w:rsidRPr="00C90D88">
              <w:rPr>
                <w:rFonts w:asciiTheme="minorHAnsi" w:hAnsiTheme="minorHAnsi"/>
                <w:sz w:val="16"/>
                <w:szCs w:val="16"/>
              </w:rPr>
              <w:t>0, 3, 5 mg/kg bw/day, GD 1-17</w:t>
            </w:r>
          </w:p>
          <w:p w14:paraId="0391E2D1" w14:textId="77777777" w:rsidR="002A58BE" w:rsidRPr="00C90D88" w:rsidRDefault="002A58BE" w:rsidP="00F4394A">
            <w:pPr>
              <w:keepNext/>
              <w:keepLines/>
              <w:spacing w:before="40" w:after="40"/>
              <w:rPr>
                <w:rFonts w:asciiTheme="minorHAnsi" w:hAnsiTheme="minorHAnsi"/>
                <w:sz w:val="16"/>
                <w:szCs w:val="16"/>
              </w:rPr>
            </w:pPr>
            <w:r w:rsidRPr="00C90D88">
              <w:rPr>
                <w:rFonts w:asciiTheme="minorHAnsi" w:hAnsiTheme="minorHAnsi"/>
                <w:sz w:val="16"/>
                <w:szCs w:val="16"/>
              </w:rPr>
              <w:t>Reduced birth weight, delayed eye</w:t>
            </w:r>
            <w:r>
              <w:rPr>
                <w:rFonts w:asciiTheme="minorHAnsi" w:hAnsiTheme="minorHAnsi"/>
                <w:sz w:val="16"/>
                <w:szCs w:val="16"/>
              </w:rPr>
              <w:t>-</w:t>
            </w:r>
            <w:r w:rsidRPr="00C90D88">
              <w:rPr>
                <w:rFonts w:asciiTheme="minorHAnsi" w:hAnsiTheme="minorHAnsi"/>
                <w:sz w:val="16"/>
                <w:szCs w:val="16"/>
              </w:rPr>
              <w:t>opening, and increase in whole</w:t>
            </w:r>
            <w:r>
              <w:rPr>
                <w:rFonts w:asciiTheme="minorHAnsi" w:hAnsiTheme="minorHAnsi"/>
                <w:sz w:val="16"/>
                <w:szCs w:val="16"/>
              </w:rPr>
              <w:t xml:space="preserve"> </w:t>
            </w:r>
            <w:r w:rsidRPr="00C90D88">
              <w:rPr>
                <w:rFonts w:asciiTheme="minorHAnsi" w:hAnsiTheme="minorHAnsi"/>
                <w:sz w:val="16"/>
                <w:szCs w:val="16"/>
              </w:rPr>
              <w:t>litter loss at 5 mg/kg bw/day.</w:t>
            </w:r>
          </w:p>
          <w:p w14:paraId="0EB717E9" w14:textId="77777777" w:rsidR="002A58BE" w:rsidRPr="00C90D88" w:rsidRDefault="002A58BE" w:rsidP="00F4394A">
            <w:pPr>
              <w:keepNext/>
              <w:keepLines/>
              <w:spacing w:before="40" w:after="40"/>
              <w:rPr>
                <w:rFonts w:asciiTheme="minorHAnsi" w:hAnsiTheme="minorHAnsi"/>
                <w:sz w:val="16"/>
                <w:szCs w:val="16"/>
              </w:rPr>
            </w:pPr>
          </w:p>
          <w:p w14:paraId="211D1106" w14:textId="49F47E28" w:rsidR="002A58BE" w:rsidRPr="00C90D88" w:rsidRDefault="002A58BE" w:rsidP="00F4394A">
            <w:pPr>
              <w:keepNext/>
              <w:keepLines/>
              <w:spacing w:before="40" w:after="40"/>
              <w:rPr>
                <w:rFonts w:asciiTheme="minorHAnsi" w:hAnsiTheme="minorHAnsi"/>
                <w:sz w:val="16"/>
                <w:szCs w:val="16"/>
              </w:rPr>
            </w:pPr>
            <w:r w:rsidRPr="00C90D88">
              <w:rPr>
                <w:rFonts w:asciiTheme="minorHAnsi" w:hAnsiTheme="minorHAnsi"/>
                <w:sz w:val="16"/>
                <w:szCs w:val="16"/>
              </w:rPr>
              <w:t>No adverse effects on maternal bw or bw gain. ↑absolute and relative liver weights in dams at ≥</w:t>
            </w:r>
            <w:r w:rsidR="00F20BCE">
              <w:rPr>
                <w:rFonts w:asciiTheme="minorHAnsi" w:hAnsiTheme="minorHAnsi"/>
                <w:sz w:val="16"/>
                <w:szCs w:val="16"/>
              </w:rPr>
              <w:t xml:space="preserve"> </w:t>
            </w:r>
            <w:r w:rsidRPr="00C90D88">
              <w:rPr>
                <w:rFonts w:asciiTheme="minorHAnsi" w:hAnsiTheme="minorHAnsi"/>
                <w:sz w:val="16"/>
                <w:szCs w:val="16"/>
              </w:rPr>
              <w:t xml:space="preserve">3 mg/kg bw/day but no necrosis. </w:t>
            </w:r>
          </w:p>
        </w:tc>
        <w:tc>
          <w:tcPr>
            <w:tcW w:w="1985" w:type="dxa"/>
          </w:tcPr>
          <w:p w14:paraId="7322E2AD" w14:textId="2BBECC9C"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 xml:space="preserve">Wolf </w:t>
            </w:r>
            <w:r w:rsidR="00180A32" w:rsidRPr="00180A32">
              <w:rPr>
                <w:rFonts w:asciiTheme="minorHAnsi" w:hAnsiTheme="minorHAnsi"/>
                <w:i/>
                <w:sz w:val="16"/>
                <w:szCs w:val="16"/>
              </w:rPr>
              <w:t xml:space="preserve">et al. </w:t>
            </w:r>
            <w:r>
              <w:rPr>
                <w:rFonts w:asciiTheme="minorHAnsi" w:hAnsiTheme="minorHAnsi"/>
                <w:sz w:val="16"/>
                <w:szCs w:val="16"/>
              </w:rPr>
              <w:t xml:space="preserve"> </w:t>
            </w:r>
            <w:r w:rsidRPr="00547C02">
              <w:rPr>
                <w:rFonts w:asciiTheme="minorHAnsi" w:hAnsiTheme="minorHAnsi"/>
                <w:sz w:val="16"/>
                <w:szCs w:val="16"/>
              </w:rPr>
              <w:t>2007</w:t>
            </w:r>
          </w:p>
        </w:tc>
        <w:tc>
          <w:tcPr>
            <w:tcW w:w="1919" w:type="dxa"/>
          </w:tcPr>
          <w:p w14:paraId="1C5EFC56"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US EPA</w:t>
            </w:r>
          </w:p>
        </w:tc>
      </w:tr>
      <w:tr w:rsidR="002A58BE" w:rsidRPr="00DD22E6" w14:paraId="6F7BEC72" w14:textId="77777777" w:rsidTr="00B23C00">
        <w:trPr>
          <w:trHeight w:val="115"/>
        </w:trPr>
        <w:tc>
          <w:tcPr>
            <w:tcW w:w="1337" w:type="dxa"/>
            <w:vMerge/>
          </w:tcPr>
          <w:p w14:paraId="2F0388B8" w14:textId="77777777" w:rsidR="002A58BE" w:rsidRPr="00547C02" w:rsidRDefault="002A58BE" w:rsidP="00F4394A">
            <w:pPr>
              <w:keepNext/>
              <w:keepLines/>
              <w:spacing w:before="40" w:after="40"/>
              <w:rPr>
                <w:rFonts w:asciiTheme="minorHAnsi" w:hAnsiTheme="minorHAnsi"/>
                <w:sz w:val="16"/>
                <w:szCs w:val="16"/>
              </w:rPr>
            </w:pPr>
          </w:p>
        </w:tc>
        <w:tc>
          <w:tcPr>
            <w:tcW w:w="1275" w:type="dxa"/>
            <w:vMerge/>
          </w:tcPr>
          <w:p w14:paraId="35A0B9DD" w14:textId="77777777" w:rsidR="002A58BE" w:rsidRPr="00547C02" w:rsidRDefault="002A58BE" w:rsidP="00F4394A">
            <w:pPr>
              <w:keepNext/>
              <w:keepLines/>
              <w:spacing w:before="40" w:after="40"/>
              <w:rPr>
                <w:rFonts w:asciiTheme="minorHAnsi" w:hAnsiTheme="minorHAnsi"/>
                <w:sz w:val="16"/>
                <w:szCs w:val="16"/>
              </w:rPr>
            </w:pPr>
          </w:p>
        </w:tc>
        <w:tc>
          <w:tcPr>
            <w:tcW w:w="1843" w:type="dxa"/>
            <w:vMerge/>
          </w:tcPr>
          <w:p w14:paraId="7207148C" w14:textId="77777777" w:rsidR="002A58BE" w:rsidRPr="00547C02" w:rsidRDefault="002A58BE" w:rsidP="00F4394A">
            <w:pPr>
              <w:keepNext/>
              <w:keepLines/>
              <w:spacing w:before="40" w:after="40"/>
              <w:rPr>
                <w:rFonts w:asciiTheme="minorHAnsi" w:hAnsiTheme="minorHAnsi"/>
                <w:color w:val="4BACC6" w:themeColor="accent5"/>
                <w:sz w:val="16"/>
                <w:szCs w:val="16"/>
              </w:rPr>
            </w:pPr>
          </w:p>
        </w:tc>
        <w:tc>
          <w:tcPr>
            <w:tcW w:w="6095" w:type="dxa"/>
            <w:vMerge/>
          </w:tcPr>
          <w:p w14:paraId="14AC20B8" w14:textId="77777777" w:rsidR="002A58BE" w:rsidRPr="00547C02" w:rsidRDefault="002A58BE" w:rsidP="00F4394A">
            <w:pPr>
              <w:keepNext/>
              <w:keepLines/>
              <w:spacing w:before="40" w:after="40"/>
              <w:rPr>
                <w:rFonts w:asciiTheme="minorHAnsi" w:hAnsiTheme="minorHAnsi"/>
                <w:sz w:val="16"/>
                <w:szCs w:val="16"/>
              </w:rPr>
            </w:pPr>
          </w:p>
        </w:tc>
        <w:tc>
          <w:tcPr>
            <w:tcW w:w="1985" w:type="dxa"/>
          </w:tcPr>
          <w:p w14:paraId="2A6FEF03"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Also reported by</w:t>
            </w:r>
          </w:p>
          <w:p w14:paraId="23311A76" w14:textId="3F2D89D5"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 xml:space="preserve">White </w:t>
            </w:r>
            <w:r w:rsidR="00180A32" w:rsidRPr="00180A32">
              <w:rPr>
                <w:rFonts w:asciiTheme="minorHAnsi" w:hAnsiTheme="minorHAnsi"/>
                <w:i/>
                <w:sz w:val="16"/>
                <w:szCs w:val="16"/>
              </w:rPr>
              <w:t xml:space="preserve">et al. </w:t>
            </w:r>
            <w:r>
              <w:rPr>
                <w:rFonts w:asciiTheme="minorHAnsi" w:hAnsiTheme="minorHAnsi"/>
                <w:sz w:val="16"/>
                <w:szCs w:val="16"/>
              </w:rPr>
              <w:t xml:space="preserve"> </w:t>
            </w:r>
            <w:r w:rsidRPr="00547C02">
              <w:rPr>
                <w:rFonts w:asciiTheme="minorHAnsi" w:hAnsiTheme="minorHAnsi"/>
                <w:sz w:val="16"/>
                <w:szCs w:val="16"/>
              </w:rPr>
              <w:t>2009</w:t>
            </w:r>
          </w:p>
        </w:tc>
        <w:tc>
          <w:tcPr>
            <w:tcW w:w="1919" w:type="dxa"/>
          </w:tcPr>
          <w:p w14:paraId="2DD0E893"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Swedish EPA</w:t>
            </w:r>
          </w:p>
          <w:p w14:paraId="427722B9"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US EPA</w:t>
            </w:r>
          </w:p>
        </w:tc>
      </w:tr>
      <w:tr w:rsidR="002A58BE" w:rsidRPr="00DD22E6" w14:paraId="5641478B" w14:textId="77777777" w:rsidTr="00B23C00">
        <w:trPr>
          <w:trHeight w:val="115"/>
        </w:trPr>
        <w:tc>
          <w:tcPr>
            <w:tcW w:w="1337" w:type="dxa"/>
          </w:tcPr>
          <w:p w14:paraId="002AB812"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Oral gavage</w:t>
            </w:r>
          </w:p>
        </w:tc>
        <w:tc>
          <w:tcPr>
            <w:tcW w:w="1275" w:type="dxa"/>
          </w:tcPr>
          <w:p w14:paraId="01E43853"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Mouse, CD1</w:t>
            </w:r>
          </w:p>
        </w:tc>
        <w:tc>
          <w:tcPr>
            <w:tcW w:w="1843" w:type="dxa"/>
          </w:tcPr>
          <w:p w14:paraId="2B517AF5"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NOAEL/LOAEL not assigned</w:t>
            </w:r>
          </w:p>
        </w:tc>
        <w:tc>
          <w:tcPr>
            <w:tcW w:w="6095" w:type="dxa"/>
          </w:tcPr>
          <w:p w14:paraId="6FE6D0B2"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0 or 5 mg bw/kg on GD 1-17, 8-17 or 12-17, by oral gavage.</w:t>
            </w:r>
          </w:p>
          <w:p w14:paraId="04E13677"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Pup BW depressed on PND 1 in all treated groups. Dam mammary differentiation decreased for GD 1-17 or 8-17 treated groups. All treated female pups had stunted mammary development.</w:t>
            </w:r>
          </w:p>
        </w:tc>
        <w:tc>
          <w:tcPr>
            <w:tcW w:w="1985" w:type="dxa"/>
          </w:tcPr>
          <w:p w14:paraId="4EF31D6A" w14:textId="11C6BDA3"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 xml:space="preserve">White </w:t>
            </w:r>
            <w:r w:rsidR="00180A32" w:rsidRPr="00180A32">
              <w:rPr>
                <w:rFonts w:asciiTheme="minorHAnsi" w:hAnsiTheme="minorHAnsi"/>
                <w:i/>
                <w:sz w:val="16"/>
                <w:szCs w:val="16"/>
              </w:rPr>
              <w:t xml:space="preserve">et al. </w:t>
            </w:r>
            <w:r>
              <w:rPr>
                <w:rFonts w:asciiTheme="minorHAnsi" w:hAnsiTheme="minorHAnsi"/>
                <w:sz w:val="16"/>
                <w:szCs w:val="16"/>
              </w:rPr>
              <w:t xml:space="preserve"> </w:t>
            </w:r>
            <w:r w:rsidRPr="00547C02">
              <w:rPr>
                <w:rFonts w:asciiTheme="minorHAnsi" w:hAnsiTheme="minorHAnsi"/>
                <w:sz w:val="16"/>
                <w:szCs w:val="16"/>
              </w:rPr>
              <w:t>2007</w:t>
            </w:r>
          </w:p>
        </w:tc>
        <w:tc>
          <w:tcPr>
            <w:tcW w:w="1919" w:type="dxa"/>
          </w:tcPr>
          <w:p w14:paraId="5FBC4F76"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Swedish EPA</w:t>
            </w:r>
          </w:p>
        </w:tc>
      </w:tr>
      <w:tr w:rsidR="002A58BE" w:rsidRPr="00DD22E6" w14:paraId="313A860C" w14:textId="77777777" w:rsidTr="00B23C00">
        <w:trPr>
          <w:trHeight w:val="115"/>
        </w:trPr>
        <w:tc>
          <w:tcPr>
            <w:tcW w:w="1337" w:type="dxa"/>
          </w:tcPr>
          <w:p w14:paraId="21628BFF"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Oral gavage ± drinking water exposure</w:t>
            </w:r>
          </w:p>
        </w:tc>
        <w:tc>
          <w:tcPr>
            <w:tcW w:w="1275" w:type="dxa"/>
          </w:tcPr>
          <w:p w14:paraId="5CA169B6"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Mouse, CD1</w:t>
            </w:r>
          </w:p>
        </w:tc>
        <w:tc>
          <w:tcPr>
            <w:tcW w:w="1843" w:type="dxa"/>
          </w:tcPr>
          <w:p w14:paraId="37614E2C"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NOAEL/LOAEL not assigned</w:t>
            </w:r>
          </w:p>
        </w:tc>
        <w:tc>
          <w:tcPr>
            <w:tcW w:w="6095" w:type="dxa"/>
          </w:tcPr>
          <w:p w14:paraId="2B00CCC5"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0, 1 or 5 mg PFOA/kg bw/day</w:t>
            </w:r>
          </w:p>
          <w:p w14:paraId="58BC72CA"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 xml:space="preserve"> GD 1-17</w:t>
            </w:r>
          </w:p>
          <w:p w14:paraId="508C8553" w14:textId="77777777" w:rsidR="002A58BE" w:rsidRPr="00547C02" w:rsidRDefault="002A58BE" w:rsidP="00F4394A">
            <w:pPr>
              <w:keepNext/>
              <w:keepLines/>
              <w:spacing w:before="40" w:after="40"/>
              <w:rPr>
                <w:rFonts w:asciiTheme="minorHAnsi" w:hAnsiTheme="minorHAnsi"/>
                <w:sz w:val="16"/>
                <w:szCs w:val="16"/>
              </w:rPr>
            </w:pPr>
          </w:p>
          <w:p w14:paraId="39E3A81B"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0 or 1 mg bw /kg in drinking water, GD7-17</w:t>
            </w:r>
          </w:p>
        </w:tc>
        <w:tc>
          <w:tcPr>
            <w:tcW w:w="1985" w:type="dxa"/>
          </w:tcPr>
          <w:p w14:paraId="6DB4DD50" w14:textId="2C64980F"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 xml:space="preserve">White </w:t>
            </w:r>
            <w:r w:rsidR="00180A32" w:rsidRPr="00180A32">
              <w:rPr>
                <w:rFonts w:asciiTheme="minorHAnsi" w:hAnsiTheme="minorHAnsi"/>
                <w:i/>
                <w:sz w:val="16"/>
                <w:szCs w:val="16"/>
              </w:rPr>
              <w:t xml:space="preserve">et al. </w:t>
            </w:r>
            <w:r>
              <w:rPr>
                <w:rFonts w:asciiTheme="minorHAnsi" w:hAnsiTheme="minorHAnsi"/>
                <w:sz w:val="16"/>
                <w:szCs w:val="16"/>
              </w:rPr>
              <w:t xml:space="preserve"> </w:t>
            </w:r>
            <w:r w:rsidRPr="00547C02">
              <w:rPr>
                <w:rFonts w:asciiTheme="minorHAnsi" w:hAnsiTheme="minorHAnsi"/>
                <w:sz w:val="16"/>
                <w:szCs w:val="16"/>
              </w:rPr>
              <w:t>2011</w:t>
            </w:r>
          </w:p>
        </w:tc>
        <w:tc>
          <w:tcPr>
            <w:tcW w:w="1919" w:type="dxa"/>
          </w:tcPr>
          <w:p w14:paraId="4E9B272B"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Swedish EPA</w:t>
            </w:r>
          </w:p>
        </w:tc>
      </w:tr>
      <w:tr w:rsidR="002A58BE" w:rsidRPr="00DD22E6" w14:paraId="7C438A95" w14:textId="77777777" w:rsidTr="00B23C00">
        <w:trPr>
          <w:trHeight w:val="115"/>
        </w:trPr>
        <w:tc>
          <w:tcPr>
            <w:tcW w:w="1337" w:type="dxa"/>
          </w:tcPr>
          <w:p w14:paraId="2D3543A4"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Oral gavage</w:t>
            </w:r>
          </w:p>
        </w:tc>
        <w:tc>
          <w:tcPr>
            <w:tcW w:w="1275" w:type="dxa"/>
          </w:tcPr>
          <w:p w14:paraId="6F70B6C7" w14:textId="61D1D042"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Mouse</w:t>
            </w:r>
            <w:r w:rsidR="004436E7">
              <w:rPr>
                <w:rFonts w:asciiTheme="minorHAnsi" w:hAnsiTheme="minorHAnsi"/>
                <w:sz w:val="16"/>
                <w:szCs w:val="16"/>
              </w:rPr>
              <w:t>, CD1</w:t>
            </w:r>
          </w:p>
        </w:tc>
        <w:tc>
          <w:tcPr>
            <w:tcW w:w="1843" w:type="dxa"/>
          </w:tcPr>
          <w:p w14:paraId="5220E614"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NOAEL/LOAEL not assigned</w:t>
            </w:r>
          </w:p>
        </w:tc>
        <w:tc>
          <w:tcPr>
            <w:tcW w:w="6095" w:type="dxa"/>
          </w:tcPr>
          <w:p w14:paraId="53277BC9"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0, 0.01, 0.1 or 1.0 mg/kg bw/day GD 10-17</w:t>
            </w:r>
          </w:p>
          <w:p w14:paraId="2CC4A4CA"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Delayed mammary gland development reported at all doses</w:t>
            </w:r>
          </w:p>
        </w:tc>
        <w:tc>
          <w:tcPr>
            <w:tcW w:w="1985" w:type="dxa"/>
          </w:tcPr>
          <w:p w14:paraId="0EF299E6" w14:textId="33F35BC3"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 xml:space="preserve">Macon </w:t>
            </w:r>
            <w:r w:rsidR="00180A32" w:rsidRPr="00180A32">
              <w:rPr>
                <w:rFonts w:asciiTheme="minorHAnsi" w:hAnsiTheme="minorHAnsi"/>
                <w:i/>
                <w:sz w:val="16"/>
                <w:szCs w:val="16"/>
              </w:rPr>
              <w:t xml:space="preserve">et al. </w:t>
            </w:r>
            <w:r>
              <w:rPr>
                <w:rFonts w:asciiTheme="minorHAnsi" w:hAnsiTheme="minorHAnsi"/>
                <w:sz w:val="16"/>
                <w:szCs w:val="16"/>
              </w:rPr>
              <w:t xml:space="preserve"> </w:t>
            </w:r>
            <w:r w:rsidRPr="00547C02">
              <w:rPr>
                <w:rFonts w:asciiTheme="minorHAnsi" w:hAnsiTheme="minorHAnsi"/>
                <w:sz w:val="16"/>
                <w:szCs w:val="16"/>
              </w:rPr>
              <w:t>2011</w:t>
            </w:r>
          </w:p>
        </w:tc>
        <w:tc>
          <w:tcPr>
            <w:tcW w:w="1919" w:type="dxa"/>
          </w:tcPr>
          <w:p w14:paraId="0C06CF18" w14:textId="77777777" w:rsidR="002A58BE" w:rsidRPr="00547C02" w:rsidRDefault="002A58BE" w:rsidP="00F4394A">
            <w:pPr>
              <w:keepNext/>
              <w:keepLines/>
              <w:spacing w:before="40" w:after="40"/>
              <w:rPr>
                <w:rFonts w:asciiTheme="minorHAnsi" w:hAnsiTheme="minorHAnsi"/>
                <w:sz w:val="16"/>
                <w:szCs w:val="16"/>
              </w:rPr>
            </w:pPr>
            <w:r w:rsidRPr="00547C02">
              <w:rPr>
                <w:rFonts w:asciiTheme="minorHAnsi" w:hAnsiTheme="minorHAnsi"/>
                <w:sz w:val="16"/>
                <w:szCs w:val="16"/>
              </w:rPr>
              <w:t>US EPA</w:t>
            </w:r>
          </w:p>
        </w:tc>
      </w:tr>
      <w:tr w:rsidR="002A58BE" w:rsidRPr="00DD22E6" w14:paraId="22692624" w14:textId="77777777" w:rsidTr="00B23C00">
        <w:trPr>
          <w:trHeight w:val="115"/>
        </w:trPr>
        <w:tc>
          <w:tcPr>
            <w:tcW w:w="12535" w:type="dxa"/>
            <w:gridSpan w:val="5"/>
            <w:shd w:val="clear" w:color="auto" w:fill="D9D9D9" w:themeFill="background1" w:themeFillShade="D9"/>
          </w:tcPr>
          <w:p w14:paraId="46285F2E" w14:textId="77777777" w:rsidR="002A58BE" w:rsidRPr="00547C02" w:rsidRDefault="002A58BE" w:rsidP="00F4394A">
            <w:pPr>
              <w:keepNext/>
              <w:keepLines/>
              <w:spacing w:before="40" w:after="40"/>
              <w:rPr>
                <w:rFonts w:asciiTheme="minorHAnsi" w:hAnsiTheme="minorHAnsi" w:cs="Arial"/>
                <w:b/>
                <w:i/>
                <w:szCs w:val="20"/>
                <w:lang w:bidi="ar-SA"/>
              </w:rPr>
            </w:pPr>
            <w:r w:rsidRPr="00547C02">
              <w:rPr>
                <w:rFonts w:asciiTheme="minorHAnsi" w:hAnsiTheme="minorHAnsi" w:cs="Arial"/>
                <w:b/>
                <w:i/>
                <w:szCs w:val="20"/>
                <w:shd w:val="clear" w:color="auto" w:fill="D9D9D9" w:themeFill="background1" w:themeFillShade="D9"/>
                <w:lang w:bidi="ar-SA"/>
              </w:rPr>
              <w:t>Other studies</w:t>
            </w:r>
          </w:p>
        </w:tc>
        <w:tc>
          <w:tcPr>
            <w:tcW w:w="1919" w:type="dxa"/>
            <w:shd w:val="clear" w:color="auto" w:fill="D9D9D9" w:themeFill="background1" w:themeFillShade="D9"/>
          </w:tcPr>
          <w:p w14:paraId="15D834AA" w14:textId="77777777" w:rsidR="002A58BE" w:rsidRPr="00DD22E6" w:rsidRDefault="002A58BE" w:rsidP="00F4394A">
            <w:pPr>
              <w:keepNext/>
              <w:keepLines/>
              <w:spacing w:before="40" w:after="40"/>
              <w:rPr>
                <w:rFonts w:cs="Arial"/>
                <w:b/>
                <w:i/>
                <w:szCs w:val="20"/>
                <w:shd w:val="clear" w:color="auto" w:fill="D9D9D9" w:themeFill="background1" w:themeFillShade="D9"/>
                <w:lang w:bidi="ar-SA"/>
              </w:rPr>
            </w:pPr>
          </w:p>
        </w:tc>
      </w:tr>
      <w:tr w:rsidR="002A58BE" w:rsidRPr="00DD22E6" w14:paraId="6290E962" w14:textId="77777777" w:rsidTr="00B23C00">
        <w:tc>
          <w:tcPr>
            <w:tcW w:w="1337" w:type="dxa"/>
            <w:tcBorders>
              <w:bottom w:val="single" w:sz="4" w:space="0" w:color="000000"/>
            </w:tcBorders>
          </w:tcPr>
          <w:p w14:paraId="36E8F863" w14:textId="77777777"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Immuno-toxicity</w:t>
            </w:r>
          </w:p>
          <w:p w14:paraId="228DC87B" w14:textId="77777777"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Oral gavage or drinking water</w:t>
            </w:r>
          </w:p>
        </w:tc>
        <w:tc>
          <w:tcPr>
            <w:tcW w:w="1275" w:type="dxa"/>
            <w:tcBorders>
              <w:bottom w:val="single" w:sz="4" w:space="0" w:color="000000"/>
            </w:tcBorders>
          </w:tcPr>
          <w:p w14:paraId="3450DA58" w14:textId="77777777"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Mouse, C57BL/6J (gavage) and 657BL/6N (water)</w:t>
            </w:r>
          </w:p>
        </w:tc>
        <w:tc>
          <w:tcPr>
            <w:tcW w:w="1843" w:type="dxa"/>
            <w:tcBorders>
              <w:bottom w:val="single" w:sz="4" w:space="0" w:color="000000"/>
            </w:tcBorders>
          </w:tcPr>
          <w:p w14:paraId="1CD53CA2" w14:textId="77777777"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Immunological NOAEL</w:t>
            </w:r>
            <w:r>
              <w:rPr>
                <w:rFonts w:asciiTheme="minorHAnsi" w:hAnsiTheme="minorHAnsi"/>
                <w:sz w:val="16"/>
              </w:rPr>
              <w:t>: 1.88</w:t>
            </w:r>
          </w:p>
          <w:p w14:paraId="3B83E473" w14:textId="77777777"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Immun</w:t>
            </w:r>
            <w:r>
              <w:rPr>
                <w:rFonts w:asciiTheme="minorHAnsi" w:hAnsiTheme="minorHAnsi"/>
                <w:sz w:val="16"/>
              </w:rPr>
              <w:t>ological LOAEL 3.75</w:t>
            </w:r>
          </w:p>
          <w:p w14:paraId="4DDFE233" w14:textId="77777777" w:rsidR="002A58BE" w:rsidRPr="00547C02" w:rsidRDefault="002A58BE" w:rsidP="00F4394A">
            <w:pPr>
              <w:keepNext/>
              <w:keepLines/>
              <w:spacing w:before="40" w:after="40"/>
              <w:rPr>
                <w:rFonts w:asciiTheme="minorHAnsi" w:hAnsiTheme="minorHAnsi"/>
                <w:sz w:val="16"/>
              </w:rPr>
            </w:pPr>
          </w:p>
        </w:tc>
        <w:tc>
          <w:tcPr>
            <w:tcW w:w="6095" w:type="dxa"/>
            <w:tcBorders>
              <w:bottom w:val="single" w:sz="4" w:space="0" w:color="000000"/>
            </w:tcBorders>
          </w:tcPr>
          <w:p w14:paraId="20F590E0" w14:textId="77777777"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0 or 30 mg/kg bw/day for 10 or 15 days by gavage. Targets 0, 0.94, 1.88, 3.75, 7.5, 15 or 30 mg/kg bw/day for 15 d in drinking water.</w:t>
            </w:r>
          </w:p>
          <w:p w14:paraId="07C3ACC2" w14:textId="3E1CB7F3"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IgM synthesis suppressed</w:t>
            </w:r>
            <w:r w:rsidR="00F20BCE">
              <w:rPr>
                <w:rFonts w:asciiTheme="minorHAnsi" w:hAnsiTheme="minorHAnsi"/>
                <w:sz w:val="16"/>
              </w:rPr>
              <w:t xml:space="preserve"> and spleen weight reduced</w:t>
            </w:r>
            <w:r w:rsidRPr="00547C02">
              <w:rPr>
                <w:rFonts w:asciiTheme="minorHAnsi" w:hAnsiTheme="minorHAnsi"/>
                <w:sz w:val="16"/>
              </w:rPr>
              <w:t xml:space="preserve"> at ≥ 3.75 mg/kg bw/day in drinking water.</w:t>
            </w:r>
          </w:p>
          <w:p w14:paraId="78C7379C" w14:textId="641E5BF6" w:rsidR="002A58BE" w:rsidRPr="00547C02" w:rsidRDefault="002A58BE" w:rsidP="00F20BCE">
            <w:pPr>
              <w:keepNext/>
              <w:keepLines/>
              <w:spacing w:before="40" w:after="40"/>
              <w:rPr>
                <w:rFonts w:asciiTheme="minorHAnsi" w:hAnsiTheme="minorHAnsi"/>
                <w:sz w:val="16"/>
              </w:rPr>
            </w:pPr>
            <w:r w:rsidRPr="00547C02">
              <w:rPr>
                <w:rFonts w:asciiTheme="minorHAnsi" w:hAnsiTheme="minorHAnsi"/>
                <w:sz w:val="16"/>
              </w:rPr>
              <w:t xml:space="preserve">Liver weight increased at ≥ 0.94 mg/kg bw/day. </w:t>
            </w:r>
            <w:r w:rsidR="00F20BCE">
              <w:rPr>
                <w:rFonts w:asciiTheme="minorHAnsi" w:hAnsiTheme="minorHAnsi"/>
                <w:sz w:val="16"/>
              </w:rPr>
              <w:t>T</w:t>
            </w:r>
            <w:r w:rsidRPr="00547C02">
              <w:rPr>
                <w:rFonts w:asciiTheme="minorHAnsi" w:hAnsiTheme="minorHAnsi"/>
                <w:sz w:val="16"/>
              </w:rPr>
              <w:t xml:space="preserve">hymus weight lower than controls at ≥ 15 mg/kg bw/day. </w:t>
            </w:r>
          </w:p>
        </w:tc>
        <w:tc>
          <w:tcPr>
            <w:tcW w:w="1985" w:type="dxa"/>
            <w:tcBorders>
              <w:bottom w:val="single" w:sz="4" w:space="0" w:color="000000"/>
            </w:tcBorders>
            <w:shd w:val="clear" w:color="auto" w:fill="FFFFFF" w:themeFill="background1"/>
          </w:tcPr>
          <w:p w14:paraId="0DAD512A" w14:textId="12319851"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 xml:space="preserve">DeWitt </w:t>
            </w:r>
            <w:r w:rsidR="00180A32" w:rsidRPr="00180A32">
              <w:rPr>
                <w:rFonts w:asciiTheme="minorHAnsi" w:hAnsiTheme="minorHAnsi"/>
                <w:i/>
                <w:sz w:val="16"/>
              </w:rPr>
              <w:t xml:space="preserve">et al. </w:t>
            </w:r>
            <w:r>
              <w:rPr>
                <w:rFonts w:asciiTheme="minorHAnsi" w:hAnsiTheme="minorHAnsi"/>
                <w:sz w:val="16"/>
              </w:rPr>
              <w:t xml:space="preserve"> </w:t>
            </w:r>
            <w:r w:rsidRPr="00547C02">
              <w:rPr>
                <w:rFonts w:asciiTheme="minorHAnsi" w:hAnsiTheme="minorHAnsi"/>
                <w:sz w:val="16"/>
              </w:rPr>
              <w:t>2008</w:t>
            </w:r>
          </w:p>
        </w:tc>
        <w:tc>
          <w:tcPr>
            <w:tcW w:w="1919" w:type="dxa"/>
            <w:tcBorders>
              <w:bottom w:val="single" w:sz="4" w:space="0" w:color="000000"/>
            </w:tcBorders>
            <w:shd w:val="clear" w:color="auto" w:fill="FFFFFF" w:themeFill="background1"/>
          </w:tcPr>
          <w:p w14:paraId="4D0F648A" w14:textId="77777777" w:rsidR="002A58BE" w:rsidRPr="00547C02" w:rsidRDefault="002A58BE" w:rsidP="00F4394A">
            <w:pPr>
              <w:keepNext/>
              <w:keepLines/>
              <w:spacing w:before="40" w:after="40"/>
              <w:rPr>
                <w:rFonts w:asciiTheme="minorHAnsi" w:hAnsiTheme="minorHAnsi"/>
                <w:sz w:val="16"/>
              </w:rPr>
            </w:pPr>
            <w:r w:rsidRPr="00547C02">
              <w:rPr>
                <w:rFonts w:asciiTheme="minorHAnsi" w:hAnsiTheme="minorHAnsi"/>
                <w:sz w:val="16"/>
              </w:rPr>
              <w:t>US EPA</w:t>
            </w:r>
          </w:p>
        </w:tc>
      </w:tr>
      <w:tr w:rsidR="002A58BE" w:rsidRPr="00DD22E6" w14:paraId="42FB22CE" w14:textId="77777777" w:rsidTr="00B23C00">
        <w:tc>
          <w:tcPr>
            <w:tcW w:w="14454" w:type="dxa"/>
            <w:gridSpan w:val="6"/>
            <w:tcBorders>
              <w:left w:val="nil"/>
              <w:bottom w:val="nil"/>
              <w:right w:val="nil"/>
            </w:tcBorders>
          </w:tcPr>
          <w:p w14:paraId="6C5639FA" w14:textId="77777777" w:rsidR="002A58BE" w:rsidRPr="00DD22E6" w:rsidRDefault="002A58BE" w:rsidP="00F4394A">
            <w:pPr>
              <w:keepNext/>
              <w:keepLines/>
              <w:spacing w:before="40" w:after="40"/>
              <w:rPr>
                <w:rFonts w:cs="Arial"/>
                <w:sz w:val="16"/>
                <w:szCs w:val="16"/>
                <w:lang w:bidi="ar-SA"/>
              </w:rPr>
            </w:pPr>
          </w:p>
        </w:tc>
      </w:tr>
    </w:tbl>
    <w:p w14:paraId="16981797" w14:textId="77777777" w:rsidR="00BA01D6" w:rsidRPr="00B30E1F" w:rsidRDefault="00BA01D6" w:rsidP="00A111E9"/>
    <w:p w14:paraId="7FBD10CA" w14:textId="77777777" w:rsidR="00BA01D6" w:rsidRDefault="00BA01D6" w:rsidP="00A111E9">
      <w:pPr>
        <w:rPr>
          <w:b/>
          <w:lang w:bidi="ar-SA"/>
        </w:rPr>
        <w:sectPr w:rsidR="00BA01D6" w:rsidSect="00D711DD">
          <w:pgSz w:w="16838" w:h="11906" w:orient="landscape"/>
          <w:pgMar w:top="1418" w:right="1418" w:bottom="1418" w:left="1418" w:header="709" w:footer="709" w:gutter="0"/>
          <w:cols w:space="708"/>
          <w:docGrid w:linePitch="360"/>
        </w:sectPr>
      </w:pPr>
    </w:p>
    <w:p w14:paraId="271EA2D6" w14:textId="022FD2F7" w:rsidR="00DD22E6" w:rsidRPr="00DD22E6" w:rsidRDefault="00DD22E6" w:rsidP="00112C61">
      <w:pPr>
        <w:pStyle w:val="Heading5"/>
      </w:pPr>
      <w:r w:rsidRPr="00DD22E6">
        <w:lastRenderedPageBreak/>
        <w:t>Acute and subacute toxicity studies</w:t>
      </w:r>
    </w:p>
    <w:p w14:paraId="57E6B7D6" w14:textId="5CCD302B" w:rsidR="00DD22E6" w:rsidRPr="00DD22E6" w:rsidRDefault="00DD22E6" w:rsidP="00A111E9">
      <w:r w:rsidRPr="00DD22E6">
        <w:t>Acute and subacute studies have been conducted with PFOA or AFPO in mice, rats and monkeys. Toxicological findings included lethality, clinical signs (</w:t>
      </w:r>
      <w:r w:rsidR="00104C8E" w:rsidRPr="00DD22E6">
        <w:t>e</w:t>
      </w:r>
      <w:r w:rsidR="00104C8E">
        <w:t>.</w:t>
      </w:r>
      <w:r w:rsidR="00104C8E" w:rsidRPr="00DD22E6">
        <w:t>g</w:t>
      </w:r>
      <w:r w:rsidR="00104C8E">
        <w:t>.</w:t>
      </w:r>
      <w:r w:rsidRPr="00DD22E6">
        <w:t xml:space="preserve"> </w:t>
      </w:r>
      <w:r w:rsidRPr="00DD22E6">
        <w:rPr>
          <w:lang w:bidi="ar-SA"/>
        </w:rPr>
        <w:t xml:space="preserve">anorexia, emesis, black stools, pallor of the face and gums, swollen faces and eyes, hypoactivity and prostration) and increased liver weight. </w:t>
      </w:r>
      <w:r w:rsidRPr="00DD22E6">
        <w:t>A brief summary of acute and short term toxicity studies reviewed in previous international evaluations of PFOA is provided below, by species.</w:t>
      </w:r>
    </w:p>
    <w:p w14:paraId="06B6FDE4" w14:textId="77777777" w:rsidR="00DD22E6" w:rsidRPr="00DD22E6" w:rsidRDefault="00DD22E6" w:rsidP="00112C61">
      <w:pPr>
        <w:pStyle w:val="Heading5"/>
      </w:pPr>
      <w:r w:rsidRPr="00DD22E6">
        <w:t>Mice</w:t>
      </w:r>
    </w:p>
    <w:p w14:paraId="13A534B3" w14:textId="46BDC92C" w:rsidR="00DD22E6" w:rsidRPr="00DD22E6" w:rsidRDefault="00DD22E6" w:rsidP="00A111E9">
      <w:pPr>
        <w:rPr>
          <w:lang w:bidi="ar-SA"/>
        </w:rPr>
      </w:pPr>
      <w:r w:rsidRPr="00DD22E6">
        <w:rPr>
          <w:lang w:bidi="ar-SA"/>
        </w:rPr>
        <w:t>In a 28-day dietary study of</w:t>
      </w:r>
      <w:r w:rsidRPr="00DD22E6">
        <w:t xml:space="preserve"> </w:t>
      </w:r>
      <w:r w:rsidRPr="00DD22E6">
        <w:rPr>
          <w:lang w:bidi="ar-SA"/>
        </w:rPr>
        <w:t xml:space="preserve">AFPO, all mice of both sexes consuming </w:t>
      </w:r>
      <w:r w:rsidRPr="00DD22E6">
        <w:rPr>
          <w:rFonts w:cs="Arial"/>
          <w:lang w:bidi="ar-SA"/>
        </w:rPr>
        <w:t>≥</w:t>
      </w:r>
      <w:r w:rsidRPr="00DD22E6">
        <w:rPr>
          <w:lang w:bidi="ar-SA"/>
        </w:rPr>
        <w:t>180 mg/kg bw/day died within 14 days, and almost all mice of both sexes consuming 54-58 mg/kg bw/day died before scheduled termination (Griffith and Long 1980; reviewed by ATSDR 2015).</w:t>
      </w:r>
    </w:p>
    <w:p w14:paraId="43E36290" w14:textId="77777777" w:rsidR="00DD22E6" w:rsidRPr="00DD22E6" w:rsidRDefault="00DD22E6" w:rsidP="00A111E9">
      <w:pPr>
        <w:rPr>
          <w:lang w:bidi="ar-SA"/>
        </w:rPr>
      </w:pPr>
    </w:p>
    <w:p w14:paraId="0548F63F" w14:textId="7BBADB2F" w:rsidR="00DD22E6" w:rsidRPr="00DD22E6" w:rsidRDefault="00DD22E6" w:rsidP="00A111E9">
      <w:pPr>
        <w:rPr>
          <w:lang w:bidi="ar-SA"/>
        </w:rPr>
      </w:pPr>
      <w:r w:rsidRPr="00DD22E6">
        <w:rPr>
          <w:lang w:bidi="ar-SA"/>
        </w:rPr>
        <w:t xml:space="preserve">A significant increase in liver weight, correlating microscopically to hepatocellular hypertrophy, </w:t>
      </w:r>
      <w:r w:rsidR="004436E7">
        <w:rPr>
          <w:lang w:bidi="ar-SA"/>
        </w:rPr>
        <w:t>was</w:t>
      </w:r>
      <w:r w:rsidR="004436E7" w:rsidRPr="00DD22E6">
        <w:rPr>
          <w:lang w:bidi="ar-SA"/>
        </w:rPr>
        <w:t xml:space="preserve"> </w:t>
      </w:r>
      <w:r w:rsidRPr="00DD22E6">
        <w:rPr>
          <w:lang w:bidi="ar-SA"/>
        </w:rPr>
        <w:t>evident after 7 to 10 days in mice, at a LOAEL of 1 mg/kg bw/day PFOA (ATSDR 2015).</w:t>
      </w:r>
    </w:p>
    <w:p w14:paraId="4B8CE2A0" w14:textId="77777777" w:rsidR="00DD22E6" w:rsidRPr="00DD22E6" w:rsidRDefault="00DD22E6" w:rsidP="00112C61">
      <w:pPr>
        <w:pStyle w:val="Heading5"/>
      </w:pPr>
      <w:r w:rsidRPr="00DD22E6">
        <w:t>Rats</w:t>
      </w:r>
    </w:p>
    <w:p w14:paraId="63729659" w14:textId="675E1F05" w:rsidR="00DD22E6" w:rsidRPr="00DD22E6" w:rsidRDefault="00DD22E6" w:rsidP="00A111E9">
      <w:pPr>
        <w:rPr>
          <w:lang w:bidi="ar-SA"/>
        </w:rPr>
      </w:pPr>
      <w:r w:rsidRPr="00DD22E6">
        <w:rPr>
          <w:lang w:bidi="ar-SA"/>
        </w:rPr>
        <w:t>Acute oral LD</w:t>
      </w:r>
      <w:r w:rsidRPr="00DD22E6">
        <w:rPr>
          <w:vertAlign w:val="subscript"/>
          <w:lang w:bidi="ar-SA"/>
        </w:rPr>
        <w:t xml:space="preserve">50 </w:t>
      </w:r>
      <w:r w:rsidRPr="00DD22E6">
        <w:rPr>
          <w:lang w:bidi="ar-SA"/>
        </w:rPr>
        <w:t xml:space="preserve">values for AFPO of 680 mg/kg bw for male rats and 430 mg/kg bw for female rats have been reported, and in a 28-day dietary study, all rats of both sexes consuming </w:t>
      </w:r>
      <w:r w:rsidRPr="00DD22E6">
        <w:rPr>
          <w:rFonts w:cs="Arial"/>
          <w:lang w:bidi="ar-SA"/>
        </w:rPr>
        <w:t>≥</w:t>
      </w:r>
      <w:r w:rsidR="004436E7">
        <w:rPr>
          <w:lang w:bidi="ar-SA"/>
        </w:rPr>
        <w:t xml:space="preserve"> </w:t>
      </w:r>
      <w:r w:rsidR="004436E7" w:rsidRPr="00DD22E6">
        <w:rPr>
          <w:lang w:bidi="ar-SA"/>
        </w:rPr>
        <w:t>1</w:t>
      </w:r>
      <w:r w:rsidR="004436E7">
        <w:rPr>
          <w:lang w:bidi="ar-SA"/>
        </w:rPr>
        <w:t>,</w:t>
      </w:r>
      <w:r w:rsidR="00CC26CA">
        <w:rPr>
          <w:lang w:bidi="ar-SA"/>
        </w:rPr>
        <w:t>000</w:t>
      </w:r>
      <w:r w:rsidRPr="00DD22E6">
        <w:rPr>
          <w:lang w:bidi="ar-SA"/>
        </w:rPr>
        <w:t xml:space="preserve"> mg/kg bw/day died within 7 days (Griffith and Long 1980; reviewed by ATSDR 2015).</w:t>
      </w:r>
    </w:p>
    <w:p w14:paraId="6E781F23" w14:textId="77777777" w:rsidR="00DD22E6" w:rsidRPr="00DD22E6" w:rsidRDefault="00DD22E6" w:rsidP="00112C61">
      <w:pPr>
        <w:pStyle w:val="Heading5"/>
      </w:pPr>
      <w:r w:rsidRPr="00DD22E6">
        <w:t>Nonhuman primates</w:t>
      </w:r>
    </w:p>
    <w:p w14:paraId="2FAE4359" w14:textId="51FDDCFF" w:rsidR="00DD22E6" w:rsidRPr="00DD22E6" w:rsidRDefault="00DD22E6" w:rsidP="00A111E9">
      <w:pPr>
        <w:rPr>
          <w:lang w:bidi="ar-SA"/>
        </w:rPr>
      </w:pPr>
      <w:r w:rsidRPr="00DD22E6">
        <w:rPr>
          <w:lang w:bidi="ar-SA"/>
        </w:rPr>
        <w:t>Daily gavage with 100 mg</w:t>
      </w:r>
      <w:r w:rsidRPr="00DD22E6">
        <w:t xml:space="preserve"> </w:t>
      </w:r>
      <w:r w:rsidRPr="00DD22E6">
        <w:rPr>
          <w:lang w:bidi="ar-SA"/>
        </w:rPr>
        <w:t>AFPO /kg bw was fatal within 14 days to an unspecified number of Rhesus monkeys assigned to a 90-day study. Clinical signs prior to death included anorexia, emesis, black stools, pallor of the face and gums, swollen faces and eyes, hypoactivity and prostration. Post</w:t>
      </w:r>
      <w:r w:rsidR="00032CF6">
        <w:rPr>
          <w:lang w:bidi="ar-SA"/>
        </w:rPr>
        <w:t>mortem</w:t>
      </w:r>
      <w:r w:rsidRPr="00DD22E6">
        <w:rPr>
          <w:lang w:bidi="ar-SA"/>
        </w:rPr>
        <w:t xml:space="preserve"> findings included marked diffuse lipid depletion of the adrenals, slight to moderate hypocellularity of the bone marrow, and moderate atrophy of lymphoid follicles of the spleen and lymph nodes (Griffith and Long 1980; reviewed by ATSDR 2015).</w:t>
      </w:r>
    </w:p>
    <w:p w14:paraId="67D2F941" w14:textId="644CA1BC" w:rsidR="00DD22E6" w:rsidRPr="00DD22E6" w:rsidRDefault="00112C61" w:rsidP="00112C61">
      <w:pPr>
        <w:pStyle w:val="Heading5"/>
      </w:pPr>
      <w:r>
        <w:t>S</w:t>
      </w:r>
      <w:r w:rsidR="00DD22E6" w:rsidRPr="00DD22E6">
        <w:t>ubchronic toxicity studies</w:t>
      </w:r>
    </w:p>
    <w:p w14:paraId="5C739613" w14:textId="1313FCEE" w:rsidR="00DD22E6" w:rsidRPr="00DD22E6" w:rsidRDefault="00DD22E6" w:rsidP="00A111E9">
      <w:r w:rsidRPr="00DD22E6">
        <w:t>Subchronic toxicity studies are available for PFOA for rats and monkeys, but not mice. Toxicological findings in rats were primarily related to decreased body weight gain (6.5 mg/kg bw/day AFPO) and increased liver weight (≥ 0.64 mg/kg bw/day AFPO) correlated to centrilobular hepatocellular hypertrophy. However, there was no associated cellular degeneration or necrosis, and the hepatocellular hypertrophy was reversible during the recovery phase.</w:t>
      </w:r>
    </w:p>
    <w:p w14:paraId="59514831" w14:textId="77777777" w:rsidR="00DD22E6" w:rsidRPr="00DD22E6" w:rsidRDefault="00DD22E6" w:rsidP="00A111E9"/>
    <w:p w14:paraId="1E4B7238" w14:textId="44F2DB54" w:rsidR="00DD22E6" w:rsidRPr="00DD22E6" w:rsidRDefault="00DD22E6" w:rsidP="00A111E9">
      <w:r w:rsidRPr="00DD22E6">
        <w:t xml:space="preserve">Two studies in monkeys were available, a 90-day oral gavage study in Rhesus monkeys and a 26-week oral capsule study in </w:t>
      </w:r>
      <w:r w:rsidR="004436E7">
        <w:t>cynomolgus</w:t>
      </w:r>
      <w:r w:rsidR="004436E7" w:rsidRPr="00DD22E6">
        <w:t xml:space="preserve"> </w:t>
      </w:r>
      <w:r w:rsidRPr="00DD22E6">
        <w:t>monkeys. Dose levels ≥ 30 mg/kg bw/day caused significant toxicity and some unscheduled deaths in both species. In the Rhesus females dosed with PFOA at 10 mg/kg b</w:t>
      </w:r>
      <w:r w:rsidR="00104C8E">
        <w:t>w/</w:t>
      </w:r>
      <w:r w:rsidRPr="00DD22E6">
        <w:t xml:space="preserve">day, the heart and brain weights were decreased, without histopathological correlates. In </w:t>
      </w:r>
      <w:r w:rsidR="004436E7">
        <w:t>cynomolgus</w:t>
      </w:r>
      <w:r w:rsidR="004436E7" w:rsidRPr="00DD22E6">
        <w:t xml:space="preserve"> </w:t>
      </w:r>
      <w:r w:rsidRPr="00DD22E6">
        <w:t>monkeys, dose</w:t>
      </w:r>
      <w:r w:rsidR="001012A5">
        <w:t>-</w:t>
      </w:r>
      <w:r w:rsidRPr="00DD22E6">
        <w:t>dependent increases in liver weight associated with mitochondrial proliferation</w:t>
      </w:r>
      <w:r w:rsidR="004436E7">
        <w:t xml:space="preserve"> were observed</w:t>
      </w:r>
      <w:r w:rsidRPr="00DD22E6">
        <w:t xml:space="preserve"> in all treatment groups.</w:t>
      </w:r>
    </w:p>
    <w:p w14:paraId="4F698FD5" w14:textId="63545C05" w:rsidR="00684A16" w:rsidRDefault="00684A16" w:rsidP="00A111E9">
      <w:pPr>
        <w:rPr>
          <w:lang w:bidi="ar-SA"/>
        </w:rPr>
      </w:pPr>
      <w:r>
        <w:rPr>
          <w:lang w:bidi="ar-SA"/>
        </w:rPr>
        <w:br w:type="page"/>
      </w:r>
    </w:p>
    <w:p w14:paraId="1FBFAEC7" w14:textId="77777777" w:rsidR="00DD22E6" w:rsidRPr="00DD22E6" w:rsidRDefault="00DD22E6" w:rsidP="00112C61">
      <w:pPr>
        <w:pStyle w:val="Heading5"/>
      </w:pPr>
      <w:r w:rsidRPr="00DD22E6">
        <w:lastRenderedPageBreak/>
        <w:t>Rats</w:t>
      </w:r>
    </w:p>
    <w:p w14:paraId="117D6A9F" w14:textId="18808566" w:rsidR="00DD22E6" w:rsidRDefault="00DD22E6" w:rsidP="00A111E9">
      <w:pPr>
        <w:rPr>
          <w:rFonts w:cs="Arial"/>
          <w:b/>
          <w:szCs w:val="22"/>
          <w:lang w:bidi="ar-SA"/>
        </w:rPr>
      </w:pPr>
      <w:r w:rsidRPr="00DD22E6">
        <w:rPr>
          <w:rFonts w:cs="Arial"/>
          <w:b/>
          <w:szCs w:val="22"/>
          <w:lang w:bidi="ar-SA"/>
        </w:rPr>
        <w:t xml:space="preserve">Palazzolo 1993 and Perkins </w:t>
      </w:r>
      <w:r w:rsidR="00180A32" w:rsidRPr="00180A32">
        <w:rPr>
          <w:rFonts w:cs="Arial"/>
          <w:b/>
          <w:i/>
          <w:szCs w:val="22"/>
          <w:lang w:bidi="ar-SA"/>
        </w:rPr>
        <w:t xml:space="preserve">et al. </w:t>
      </w:r>
      <w:r w:rsidR="002A12A9">
        <w:rPr>
          <w:rFonts w:cs="Arial"/>
          <w:b/>
          <w:szCs w:val="22"/>
          <w:lang w:bidi="ar-SA"/>
        </w:rPr>
        <w:t xml:space="preserve"> </w:t>
      </w:r>
      <w:r w:rsidRPr="00DD22E6">
        <w:rPr>
          <w:rFonts w:cs="Arial"/>
          <w:b/>
          <w:szCs w:val="22"/>
          <w:lang w:bidi="ar-SA"/>
        </w:rPr>
        <w:t xml:space="preserve">2004 13-week dietary study in male rats </w:t>
      </w:r>
    </w:p>
    <w:p w14:paraId="00B49EBF" w14:textId="77777777" w:rsidR="00684A16" w:rsidRPr="00DD22E6" w:rsidRDefault="00684A16" w:rsidP="00A111E9">
      <w:pPr>
        <w:rPr>
          <w:rFonts w:cs="Arial"/>
          <w:b/>
          <w:szCs w:val="22"/>
          <w:lang w:bidi="ar-SA"/>
        </w:rPr>
      </w:pPr>
    </w:p>
    <w:p w14:paraId="4ECE3BEC" w14:textId="0BF3A297" w:rsidR="00DD22E6" w:rsidRPr="00DD22E6" w:rsidRDefault="00DD22E6" w:rsidP="00A111E9">
      <w:pPr>
        <w:rPr>
          <w:rFonts w:cs="Arial"/>
          <w:szCs w:val="22"/>
          <w:lang w:bidi="ar-SA"/>
        </w:rPr>
      </w:pPr>
      <w:r w:rsidRPr="00DD22E6">
        <w:rPr>
          <w:rFonts w:cs="Arial"/>
          <w:szCs w:val="22"/>
          <w:lang w:bidi="ar-SA"/>
        </w:rPr>
        <w:t>Only male rats were used in this study because of the slower elimination of PFOA in male rats compared to females, and pre-existing evidence of a lower toxic threshold for PFOA in male rats than in females. Crl:CD®BR rats, approximately 41 days old at the start of treatment, were fed dietary levels of 0, 1, 10, 30, and 100 ppm AFPO, equivalent to 0, 0.06, 0</w:t>
      </w:r>
      <w:r w:rsidR="003C4A28">
        <w:rPr>
          <w:rFonts w:cs="Arial"/>
          <w:szCs w:val="22"/>
          <w:lang w:bidi="ar-SA"/>
        </w:rPr>
        <w:t>.64, 1.94, and 6.5 mg/kg bw/day</w:t>
      </w:r>
      <w:r w:rsidRPr="00DD22E6">
        <w:rPr>
          <w:rFonts w:cs="Arial"/>
          <w:szCs w:val="22"/>
          <w:lang w:bidi="ar-SA"/>
        </w:rPr>
        <w:t xml:space="preserve"> </w:t>
      </w:r>
      <w:r w:rsidRPr="00DD22E6">
        <w:t>AFPO</w:t>
      </w:r>
      <w:r w:rsidRPr="00DD22E6">
        <w:rPr>
          <w:rFonts w:cs="Arial"/>
          <w:szCs w:val="22"/>
          <w:lang w:bidi="ar-SA"/>
        </w:rPr>
        <w:t xml:space="preserve"> respectively. Cohorts were terminated after</w:t>
      </w:r>
      <w:r w:rsidR="00F20BCE">
        <w:rPr>
          <w:rFonts w:cs="Arial"/>
          <w:szCs w:val="22"/>
          <w:lang w:bidi="ar-SA"/>
        </w:rPr>
        <w:t xml:space="preserve"> </w:t>
      </w:r>
      <w:r w:rsidRPr="00DD22E6">
        <w:rPr>
          <w:rFonts w:cs="Arial"/>
          <w:szCs w:val="22"/>
          <w:lang w:bidi="ar-SA"/>
        </w:rPr>
        <w:t xml:space="preserve">4, 7, and 13 weeks of feeding, and after 8 weeks of recovery. Rats were individually housed under standard laboratory conditions. Food and water were provided </w:t>
      </w:r>
      <w:r w:rsidRPr="00DD22E6">
        <w:rPr>
          <w:rFonts w:cs="Arial"/>
          <w:i/>
          <w:szCs w:val="22"/>
          <w:lang w:bidi="ar-SA"/>
        </w:rPr>
        <w:t>ad libitum</w:t>
      </w:r>
      <w:r w:rsidRPr="00DD22E6">
        <w:rPr>
          <w:rFonts w:cs="Arial"/>
          <w:szCs w:val="22"/>
          <w:lang w:bidi="ar-SA"/>
        </w:rPr>
        <w:t xml:space="preserve">. In-life parameters were food consumption, clinical observations and body weights. Body weights were measured at study start and at the end of weeks 1, 4, 7, 10 and 13, and in weeks 17 and 21 during the recovery phase. Blood was collected at termination for determination of measurement of serum PFOA, </w:t>
      </w:r>
      <w:r w:rsidR="00BE205C">
        <w:rPr>
          <w:rFonts w:cs="Arial"/>
          <w:szCs w:val="22"/>
          <w:lang w:bidi="ar-SA"/>
        </w:rPr>
        <w:t>estradiol</w:t>
      </w:r>
      <w:r w:rsidRPr="00DD22E6">
        <w:rPr>
          <w:rFonts w:cs="Arial"/>
          <w:szCs w:val="22"/>
          <w:lang w:bidi="ar-SA"/>
        </w:rPr>
        <w:t>, testosterone and LH. At scheduled termination, gross necropsy was followed by determination of weights of brain, liver, lungs, testes, and accessory sex organs (seminal vesicle, prostate, coagulating gland, urethra), fixation of the same organ list for histopathology, and collection of liver samples for assay of palmitoyl CoA</w:t>
      </w:r>
      <w:r w:rsidR="007F02A2">
        <w:rPr>
          <w:rFonts w:cs="Arial"/>
          <w:szCs w:val="22"/>
          <w:lang w:bidi="ar-SA"/>
        </w:rPr>
        <w:t xml:space="preserve"> </w:t>
      </w:r>
      <w:r w:rsidRPr="00DD22E6">
        <w:rPr>
          <w:rFonts w:cs="Arial"/>
          <w:szCs w:val="22"/>
          <w:lang w:bidi="ar-SA"/>
        </w:rPr>
        <w:t>oxidase activity.</w:t>
      </w:r>
    </w:p>
    <w:p w14:paraId="58DDB2A3" w14:textId="77777777" w:rsidR="00DD22E6" w:rsidRPr="00DD22E6" w:rsidRDefault="00DD22E6" w:rsidP="00A111E9">
      <w:pPr>
        <w:rPr>
          <w:rFonts w:cs="Arial"/>
          <w:szCs w:val="22"/>
          <w:lang w:bidi="ar-SA"/>
        </w:rPr>
      </w:pPr>
    </w:p>
    <w:p w14:paraId="4C1AF241" w14:textId="61B979ED" w:rsidR="00DD22E6" w:rsidRPr="00DD22E6" w:rsidRDefault="00DD22E6" w:rsidP="00A111E9">
      <w:pPr>
        <w:rPr>
          <w:szCs w:val="22"/>
          <w:lang w:bidi="ar-SA"/>
        </w:rPr>
      </w:pPr>
      <w:r w:rsidRPr="00DD22E6">
        <w:rPr>
          <w:szCs w:val="22"/>
          <w:lang w:bidi="ar-SA"/>
        </w:rPr>
        <w:t>Dose analysis confirmed appropriate concentrations, homogeneity and stability of the test article in the diet. With the exception of one rat in the 100 ppm group that was euthani</w:t>
      </w:r>
      <w:r w:rsidR="001B6877">
        <w:rPr>
          <w:szCs w:val="22"/>
          <w:lang w:bidi="ar-SA"/>
        </w:rPr>
        <w:t>s</w:t>
      </w:r>
      <w:r w:rsidRPr="00DD22E6">
        <w:rPr>
          <w:szCs w:val="22"/>
          <w:lang w:bidi="ar-SA"/>
        </w:rPr>
        <w:t xml:space="preserve">ed due to dermal lesions, all rats survived to scheduled termination, and there were no treatment-related clinical signs. The mean </w:t>
      </w:r>
      <w:r w:rsidR="00E83E80">
        <w:rPr>
          <w:szCs w:val="22"/>
          <w:lang w:bidi="ar-SA"/>
        </w:rPr>
        <w:t>body weight</w:t>
      </w:r>
      <w:r w:rsidRPr="00DD22E6">
        <w:rPr>
          <w:szCs w:val="22"/>
          <w:lang w:bidi="ar-SA"/>
        </w:rPr>
        <w:t xml:space="preserve"> of the 100 ppm group was significantly lower than that of the control group from week 1 to 13. Group mean terminal </w:t>
      </w:r>
      <w:r w:rsidR="00E83E80">
        <w:rPr>
          <w:szCs w:val="22"/>
          <w:lang w:bidi="ar-SA"/>
        </w:rPr>
        <w:t>body weight</w:t>
      </w:r>
      <w:r w:rsidRPr="00DD22E6">
        <w:rPr>
          <w:szCs w:val="22"/>
          <w:lang w:bidi="ar-SA"/>
        </w:rPr>
        <w:t xml:space="preserve"> of the 100 ppm group was 494 ± 64 g, 91% the group mean of 541 ± 41g of controls, and group mean </w:t>
      </w:r>
      <w:r w:rsidR="00E83E80">
        <w:rPr>
          <w:szCs w:val="22"/>
          <w:lang w:bidi="ar-SA"/>
        </w:rPr>
        <w:t>body weight</w:t>
      </w:r>
      <w:r w:rsidRPr="00DD22E6">
        <w:rPr>
          <w:szCs w:val="22"/>
          <w:lang w:bidi="ar-SA"/>
        </w:rPr>
        <w:t xml:space="preserve"> gain from weeks 1 to 13 was 290 ± 57 g for 100 ppm rats, 86% the 338 ± 34 g group mean of controls. The difference in </w:t>
      </w:r>
      <w:r w:rsidR="00E83E80">
        <w:rPr>
          <w:szCs w:val="22"/>
          <w:lang w:bidi="ar-SA"/>
        </w:rPr>
        <w:t>body weight</w:t>
      </w:r>
      <w:r w:rsidRPr="00DD22E6">
        <w:rPr>
          <w:szCs w:val="22"/>
          <w:lang w:bidi="ar-SA"/>
        </w:rPr>
        <w:t xml:space="preserve"> was not statistically significant in weeks 17 or 21 in the recovery phase. Group mean food consumption of the 100 ppm group was slightly lower than that of the control group throughout the study, although this difference only reached statistical significance in </w:t>
      </w:r>
      <w:r w:rsidR="0094513D">
        <w:rPr>
          <w:szCs w:val="22"/>
          <w:lang w:bidi="ar-SA"/>
        </w:rPr>
        <w:t>w</w:t>
      </w:r>
      <w:r w:rsidRPr="00DD22E6">
        <w:rPr>
          <w:szCs w:val="22"/>
          <w:lang w:bidi="ar-SA"/>
        </w:rPr>
        <w:t>eek 1. Consumption of ≥ 10 ppm dietary AFPO caused a dose-related statistically significant increase in liver palmitoyl CoA</w:t>
      </w:r>
      <w:r w:rsidR="007F02A2">
        <w:rPr>
          <w:szCs w:val="22"/>
          <w:lang w:bidi="ar-SA"/>
        </w:rPr>
        <w:t xml:space="preserve"> </w:t>
      </w:r>
      <w:r w:rsidRPr="00DD22E6">
        <w:rPr>
          <w:szCs w:val="22"/>
          <w:lang w:bidi="ar-SA"/>
        </w:rPr>
        <w:t xml:space="preserve">oxidase activity. There were no statistically significant differences in levels of </w:t>
      </w:r>
      <w:r w:rsidR="00BE205C">
        <w:rPr>
          <w:szCs w:val="22"/>
          <w:lang w:bidi="ar-SA"/>
        </w:rPr>
        <w:t>estradiol</w:t>
      </w:r>
      <w:r w:rsidRPr="00DD22E6">
        <w:rPr>
          <w:szCs w:val="22"/>
          <w:lang w:bidi="ar-SA"/>
        </w:rPr>
        <w:t>, testosterone or LH. No treatment-related gross lesions were found on necropsy.</w:t>
      </w:r>
    </w:p>
    <w:p w14:paraId="40CC75B0" w14:textId="77777777" w:rsidR="00DD22E6" w:rsidRPr="00DD22E6" w:rsidRDefault="00DD22E6" w:rsidP="00A111E9">
      <w:pPr>
        <w:keepNext/>
        <w:keepLines/>
        <w:spacing w:before="40" w:after="40"/>
        <w:rPr>
          <w:szCs w:val="22"/>
          <w:lang w:bidi="ar-SA"/>
        </w:rPr>
      </w:pPr>
    </w:p>
    <w:p w14:paraId="7ECBC51D" w14:textId="34E60CBF" w:rsidR="00DD22E6" w:rsidRPr="00DD22E6" w:rsidRDefault="00DD22E6" w:rsidP="00A111E9">
      <w:pPr>
        <w:keepNext/>
        <w:keepLines/>
        <w:spacing w:before="40" w:after="40"/>
        <w:rPr>
          <w:szCs w:val="22"/>
          <w:lang w:bidi="ar-SA"/>
        </w:rPr>
      </w:pPr>
      <w:r w:rsidRPr="00DD22E6">
        <w:rPr>
          <w:szCs w:val="22"/>
          <w:lang w:bidi="ar-SA"/>
        </w:rPr>
        <w:t xml:space="preserve">Consumption of </w:t>
      </w:r>
      <w:r w:rsidRPr="00DD22E6">
        <w:rPr>
          <w:rFonts w:cs="Arial"/>
          <w:szCs w:val="22"/>
          <w:lang w:bidi="ar-SA"/>
        </w:rPr>
        <w:t>≥</w:t>
      </w:r>
      <w:r w:rsidRPr="00DD22E6">
        <w:rPr>
          <w:szCs w:val="22"/>
          <w:lang w:bidi="ar-SA"/>
        </w:rPr>
        <w:t xml:space="preserve"> 10 ppm AFPO caused dose-related statistically significant increases in group mean liver weights, absolute and relative to body weight and to brain weight, after 4, 7 and 13 weeks of treatment. These increases correlated to centrilobular hepatocellular hypertrophy. There was no associated cellular degeneration or necrosis, the hepatocellular hypertrophy was reversible during the recovery phase, and absolute and relative liver weights of treated rats in the recovery phase were not significantly different to those of controls. Because the hypertrophy was not associated with necrosis, reversible, and an expected effect of a peroxisome proliferator in a rodent, the hepatic changes were not considered adverse. The NOAEL is 1.94 mg/kg bw/day AFPO based </w:t>
      </w:r>
      <w:r w:rsidRPr="00DD22E6">
        <w:t>on decreased mean body weight compared to controls at 6.5 mg/kg bw/day.</w:t>
      </w:r>
    </w:p>
    <w:p w14:paraId="6A55E41E" w14:textId="77777777" w:rsidR="00DD22E6" w:rsidRDefault="00DD22E6" w:rsidP="00A111E9">
      <w:pPr>
        <w:rPr>
          <w:rFonts w:cs="Arial"/>
          <w:b/>
        </w:rPr>
      </w:pPr>
    </w:p>
    <w:p w14:paraId="5A6C201F" w14:textId="158A64B0" w:rsidR="00BA01D6" w:rsidRDefault="00A4621E" w:rsidP="00A111E9">
      <w:pPr>
        <w:widowControl/>
        <w:rPr>
          <w:rFonts w:cs="Arial"/>
          <w:b/>
        </w:rPr>
      </w:pPr>
      <w:r>
        <w:t xml:space="preserve">Measured PFOA concentrations in serum of male rats are shown below in Table </w:t>
      </w:r>
      <w:r w:rsidR="004436E7">
        <w:t>21</w:t>
      </w:r>
      <w:r>
        <w:t xml:space="preserve">. </w:t>
      </w:r>
      <w:r w:rsidR="00BA01D6">
        <w:br w:type="page"/>
      </w:r>
    </w:p>
    <w:p w14:paraId="0448198E" w14:textId="51E6148D" w:rsidR="007154FB" w:rsidRDefault="007154FB" w:rsidP="00A111E9">
      <w:pPr>
        <w:pStyle w:val="FSTableTitle"/>
      </w:pPr>
      <w:r w:rsidRPr="004F7359">
        <w:lastRenderedPageBreak/>
        <w:t xml:space="preserve">Table </w:t>
      </w:r>
      <w:r w:rsidR="00DA3475">
        <w:t>21</w:t>
      </w:r>
      <w:r w:rsidRPr="004F7359">
        <w:t xml:space="preserve">: Serum </w:t>
      </w:r>
      <w:r w:rsidR="004436E7">
        <w:t>l</w:t>
      </w:r>
      <w:r w:rsidR="004436E7" w:rsidRPr="004F7359">
        <w:t xml:space="preserve">evels </w:t>
      </w:r>
      <w:r w:rsidRPr="004F7359">
        <w:t xml:space="preserve">of PFOA (µg/mL) in </w:t>
      </w:r>
      <w:r w:rsidR="004436E7">
        <w:t>m</w:t>
      </w:r>
      <w:r w:rsidR="004436E7" w:rsidRPr="004F7359">
        <w:t xml:space="preserve">ale </w:t>
      </w:r>
      <w:r w:rsidRPr="004F7359">
        <w:t>Crl:CD® BR</w:t>
      </w:r>
      <w:r w:rsidRPr="00BC19E6">
        <w:rPr>
          <w:vertAlign w:val="superscript"/>
        </w:rPr>
        <w:t>1</w:t>
      </w:r>
      <w:r w:rsidRPr="004F7359">
        <w:t xml:space="preserve"> </w:t>
      </w:r>
      <w:r w:rsidR="004436E7">
        <w:t>r</w:t>
      </w:r>
      <w:r w:rsidR="004436E7" w:rsidRPr="004F7359">
        <w:t xml:space="preserve">ats </w:t>
      </w:r>
      <w:r w:rsidRPr="004F7359">
        <w:t xml:space="preserve">after </w:t>
      </w:r>
      <w:r w:rsidR="004436E7">
        <w:t>d</w:t>
      </w:r>
      <w:r w:rsidR="004436E7" w:rsidRPr="004F7359">
        <w:t xml:space="preserve">ietary </w:t>
      </w:r>
      <w:r w:rsidR="004436E7">
        <w:t>a</w:t>
      </w:r>
      <w:r w:rsidR="004436E7" w:rsidRPr="004F7359">
        <w:t xml:space="preserve">dministration </w:t>
      </w:r>
      <w:r w:rsidRPr="004F7359">
        <w:t xml:space="preserve">for up to 13 weeks (90 days) with </w:t>
      </w:r>
      <w:r w:rsidR="004436E7">
        <w:t>r</w:t>
      </w:r>
      <w:r w:rsidR="004436E7" w:rsidRPr="004F7359">
        <w:t>ecovery</w:t>
      </w:r>
    </w:p>
    <w:tbl>
      <w:tblPr>
        <w:tblStyle w:val="TableGrid8"/>
        <w:tblW w:w="0" w:type="auto"/>
        <w:jc w:val="center"/>
        <w:tblLook w:val="04A0" w:firstRow="1" w:lastRow="0" w:firstColumn="1" w:lastColumn="0" w:noHBand="0" w:noVBand="1"/>
        <w:tblCaption w:val="Table 21: Serum levels of PFOA (µg/mL) in male Crl:CD® BR1 rats after dietary administration for up to 13 weeks (90 days) with recovery"/>
        <w:tblDescription w:val="This table contains data relating to serum levels of PFOA (µg/mL) in male Crl:CD BR1 rats after dietary administration for up to 13 weeks (90 days) with recovery."/>
      </w:tblPr>
      <w:tblGrid>
        <w:gridCol w:w="1717"/>
        <w:gridCol w:w="2268"/>
        <w:gridCol w:w="2899"/>
      </w:tblGrid>
      <w:tr w:rsidR="00B901C0" w:rsidRPr="007154FB" w14:paraId="15EBC431" w14:textId="77777777" w:rsidTr="00BC19E6">
        <w:trPr>
          <w:tblHeader/>
          <w:jc w:val="center"/>
        </w:trPr>
        <w:tc>
          <w:tcPr>
            <w:tcW w:w="1717" w:type="dxa"/>
            <w:shd w:val="clear" w:color="auto" w:fill="F2F2F2" w:themeFill="background1" w:themeFillShade="F2"/>
            <w:vAlign w:val="center"/>
          </w:tcPr>
          <w:p w14:paraId="67026BFD" w14:textId="77777777" w:rsidR="00B901C0" w:rsidRPr="000B3C14" w:rsidRDefault="00B901C0" w:rsidP="002A58BE">
            <w:pPr>
              <w:spacing w:before="20" w:after="20"/>
              <w:rPr>
                <w:rFonts w:ascii="Arial" w:hAnsi="Arial"/>
                <w:b/>
                <w:sz w:val="18"/>
              </w:rPr>
            </w:pPr>
            <w:r w:rsidRPr="00D711DD">
              <w:rPr>
                <w:b/>
                <w:sz w:val="18"/>
              </w:rPr>
              <w:t>Dose level (ppm)</w:t>
            </w:r>
          </w:p>
        </w:tc>
        <w:tc>
          <w:tcPr>
            <w:tcW w:w="2268" w:type="dxa"/>
            <w:shd w:val="clear" w:color="auto" w:fill="F2F2F2" w:themeFill="background1" w:themeFillShade="F2"/>
            <w:vAlign w:val="center"/>
          </w:tcPr>
          <w:p w14:paraId="62F5C451" w14:textId="77777777" w:rsidR="00B901C0" w:rsidRPr="00F6284E" w:rsidRDefault="00B901C0" w:rsidP="002A58BE">
            <w:pPr>
              <w:spacing w:before="20" w:after="20"/>
              <w:jc w:val="right"/>
              <w:rPr>
                <w:rFonts w:ascii="Arial" w:hAnsi="Arial"/>
                <w:b/>
                <w:sz w:val="18"/>
                <w:vertAlign w:val="superscript"/>
              </w:rPr>
            </w:pPr>
            <w:r w:rsidRPr="000B3C14">
              <w:rPr>
                <w:b/>
                <w:sz w:val="18"/>
              </w:rPr>
              <w:t>Dose (mg/kg bw/day)</w:t>
            </w:r>
            <w:r w:rsidRPr="00F6284E">
              <w:rPr>
                <w:b/>
                <w:sz w:val="18"/>
                <w:vertAlign w:val="superscript"/>
              </w:rPr>
              <w:t>2</w:t>
            </w:r>
          </w:p>
        </w:tc>
        <w:tc>
          <w:tcPr>
            <w:tcW w:w="2899" w:type="dxa"/>
            <w:shd w:val="clear" w:color="auto" w:fill="F2F2F2" w:themeFill="background1" w:themeFillShade="F2"/>
            <w:vAlign w:val="center"/>
          </w:tcPr>
          <w:p w14:paraId="0979377D" w14:textId="7119F4B9" w:rsidR="00B901C0" w:rsidRPr="00D711DD" w:rsidRDefault="00B901C0" w:rsidP="002A58BE">
            <w:pPr>
              <w:spacing w:before="20" w:after="20"/>
              <w:jc w:val="right"/>
              <w:rPr>
                <w:rFonts w:ascii="Arial" w:hAnsi="Arial"/>
                <w:b/>
                <w:sz w:val="18"/>
              </w:rPr>
            </w:pPr>
            <w:r w:rsidRPr="00D10449">
              <w:rPr>
                <w:b/>
                <w:sz w:val="18"/>
              </w:rPr>
              <w:t>Males</w:t>
            </w:r>
          </w:p>
        </w:tc>
      </w:tr>
      <w:tr w:rsidR="00B901C0" w:rsidRPr="007154FB" w14:paraId="3CD0CDD8" w14:textId="4E50FED1" w:rsidTr="00BC19E6">
        <w:trPr>
          <w:jc w:val="center"/>
        </w:trPr>
        <w:tc>
          <w:tcPr>
            <w:tcW w:w="6884" w:type="dxa"/>
            <w:gridSpan w:val="3"/>
            <w:vAlign w:val="center"/>
          </w:tcPr>
          <w:p w14:paraId="3EFAF689" w14:textId="19929041" w:rsidR="00B901C0" w:rsidRPr="000B3C14" w:rsidRDefault="00B901C0" w:rsidP="002A58BE">
            <w:pPr>
              <w:spacing w:before="20" w:after="20"/>
              <w:ind w:right="284"/>
              <w:jc w:val="right"/>
              <w:rPr>
                <w:rFonts w:ascii="Arial" w:hAnsi="Arial"/>
                <w:sz w:val="18"/>
              </w:rPr>
            </w:pPr>
            <w:r w:rsidRPr="00D711DD">
              <w:rPr>
                <w:sz w:val="18"/>
              </w:rPr>
              <w:t>Week of treatment: 4</w:t>
            </w:r>
          </w:p>
        </w:tc>
      </w:tr>
      <w:tr w:rsidR="00B901C0" w:rsidRPr="007154FB" w14:paraId="632D2478" w14:textId="77777777" w:rsidTr="00BC19E6">
        <w:trPr>
          <w:trHeight w:val="227"/>
          <w:jc w:val="center"/>
        </w:trPr>
        <w:tc>
          <w:tcPr>
            <w:tcW w:w="1717" w:type="dxa"/>
            <w:vAlign w:val="center"/>
          </w:tcPr>
          <w:p w14:paraId="10D252C3" w14:textId="77777777" w:rsidR="00B901C0" w:rsidRPr="000B3C14" w:rsidRDefault="00B901C0" w:rsidP="00A111E9">
            <w:pPr>
              <w:rPr>
                <w:rFonts w:ascii="Arial" w:hAnsi="Arial"/>
                <w:sz w:val="18"/>
              </w:rPr>
            </w:pPr>
            <w:r w:rsidRPr="00D711DD">
              <w:rPr>
                <w:sz w:val="18"/>
              </w:rPr>
              <w:t>0</w:t>
            </w:r>
          </w:p>
        </w:tc>
        <w:tc>
          <w:tcPr>
            <w:tcW w:w="2268" w:type="dxa"/>
            <w:vAlign w:val="center"/>
          </w:tcPr>
          <w:p w14:paraId="6FBDB6D6" w14:textId="77777777" w:rsidR="00B901C0" w:rsidRPr="00F6284E" w:rsidRDefault="00B901C0" w:rsidP="002A58BE">
            <w:pPr>
              <w:ind w:right="284"/>
              <w:jc w:val="right"/>
              <w:rPr>
                <w:rFonts w:ascii="Arial" w:hAnsi="Arial"/>
                <w:sz w:val="18"/>
              </w:rPr>
            </w:pPr>
            <w:r w:rsidRPr="000B3C14">
              <w:rPr>
                <w:sz w:val="18"/>
              </w:rPr>
              <w:t>-</w:t>
            </w:r>
          </w:p>
        </w:tc>
        <w:tc>
          <w:tcPr>
            <w:tcW w:w="2899" w:type="dxa"/>
            <w:vAlign w:val="center"/>
          </w:tcPr>
          <w:p w14:paraId="5C1C3231" w14:textId="0BCE50D3" w:rsidR="00B901C0" w:rsidRPr="00F6284E" w:rsidRDefault="00B901C0" w:rsidP="002A58BE">
            <w:pPr>
              <w:ind w:right="284"/>
              <w:jc w:val="right"/>
              <w:rPr>
                <w:rFonts w:ascii="Arial" w:hAnsi="Arial"/>
                <w:sz w:val="18"/>
              </w:rPr>
            </w:pPr>
            <w:r w:rsidRPr="00F6284E">
              <w:rPr>
                <w:sz w:val="18"/>
              </w:rPr>
              <w:t>-</w:t>
            </w:r>
          </w:p>
        </w:tc>
      </w:tr>
      <w:tr w:rsidR="00B901C0" w:rsidRPr="007154FB" w14:paraId="1CF6CE1B" w14:textId="77777777" w:rsidTr="00BC19E6">
        <w:trPr>
          <w:trHeight w:val="227"/>
          <w:jc w:val="center"/>
        </w:trPr>
        <w:tc>
          <w:tcPr>
            <w:tcW w:w="1717" w:type="dxa"/>
            <w:vAlign w:val="center"/>
          </w:tcPr>
          <w:p w14:paraId="55DD0B4D" w14:textId="54571078" w:rsidR="00B901C0" w:rsidRPr="000B3C14" w:rsidRDefault="00B901C0" w:rsidP="00A111E9">
            <w:pPr>
              <w:rPr>
                <w:rFonts w:ascii="Arial" w:hAnsi="Arial"/>
                <w:sz w:val="18"/>
              </w:rPr>
            </w:pPr>
            <w:r w:rsidRPr="00D711DD">
              <w:rPr>
                <w:sz w:val="18"/>
              </w:rPr>
              <w:t>0</w:t>
            </w:r>
            <w:r w:rsidR="004436E7">
              <w:rPr>
                <w:sz w:val="18"/>
              </w:rPr>
              <w:t xml:space="preserve"> </w:t>
            </w:r>
            <w:r w:rsidRPr="00D711DD">
              <w:rPr>
                <w:sz w:val="18"/>
              </w:rPr>
              <w:t>Pf</w:t>
            </w:r>
          </w:p>
        </w:tc>
        <w:tc>
          <w:tcPr>
            <w:tcW w:w="2268" w:type="dxa"/>
            <w:vAlign w:val="center"/>
          </w:tcPr>
          <w:p w14:paraId="1C075E8B" w14:textId="77777777" w:rsidR="00B901C0" w:rsidRPr="00F6284E" w:rsidRDefault="00B901C0" w:rsidP="002A58BE">
            <w:pPr>
              <w:ind w:right="284"/>
              <w:jc w:val="right"/>
              <w:rPr>
                <w:rFonts w:ascii="Arial" w:hAnsi="Arial"/>
                <w:sz w:val="18"/>
              </w:rPr>
            </w:pPr>
            <w:r w:rsidRPr="000B3C14">
              <w:rPr>
                <w:sz w:val="18"/>
              </w:rPr>
              <w:t>-</w:t>
            </w:r>
          </w:p>
        </w:tc>
        <w:tc>
          <w:tcPr>
            <w:tcW w:w="2899" w:type="dxa"/>
            <w:vAlign w:val="center"/>
          </w:tcPr>
          <w:p w14:paraId="61C2BE9B" w14:textId="04FF6C9F" w:rsidR="00B901C0" w:rsidRPr="00F6284E" w:rsidRDefault="00B901C0" w:rsidP="002A58BE">
            <w:pPr>
              <w:ind w:right="284"/>
              <w:jc w:val="right"/>
              <w:rPr>
                <w:rFonts w:ascii="Arial" w:hAnsi="Arial"/>
                <w:sz w:val="18"/>
              </w:rPr>
            </w:pPr>
            <w:r w:rsidRPr="00F6284E">
              <w:rPr>
                <w:sz w:val="18"/>
              </w:rPr>
              <w:t>-</w:t>
            </w:r>
          </w:p>
        </w:tc>
      </w:tr>
      <w:tr w:rsidR="00B901C0" w:rsidRPr="007154FB" w14:paraId="67B03EC2" w14:textId="77777777" w:rsidTr="00BC19E6">
        <w:trPr>
          <w:trHeight w:val="227"/>
          <w:jc w:val="center"/>
        </w:trPr>
        <w:tc>
          <w:tcPr>
            <w:tcW w:w="1717" w:type="dxa"/>
            <w:tcBorders>
              <w:bottom w:val="single" w:sz="4" w:space="0" w:color="000000"/>
            </w:tcBorders>
            <w:vAlign w:val="center"/>
          </w:tcPr>
          <w:p w14:paraId="434DB67A" w14:textId="77777777" w:rsidR="00B901C0" w:rsidRPr="000B3C14" w:rsidRDefault="00B901C0" w:rsidP="00A111E9">
            <w:pPr>
              <w:rPr>
                <w:rFonts w:ascii="Arial" w:hAnsi="Arial"/>
                <w:sz w:val="18"/>
              </w:rPr>
            </w:pPr>
            <w:r w:rsidRPr="00D711DD">
              <w:rPr>
                <w:sz w:val="18"/>
              </w:rPr>
              <w:t>1</w:t>
            </w:r>
          </w:p>
        </w:tc>
        <w:tc>
          <w:tcPr>
            <w:tcW w:w="2268" w:type="dxa"/>
            <w:tcBorders>
              <w:bottom w:val="single" w:sz="4" w:space="0" w:color="000000"/>
            </w:tcBorders>
            <w:vAlign w:val="center"/>
          </w:tcPr>
          <w:p w14:paraId="175E49E7" w14:textId="77777777" w:rsidR="00B901C0" w:rsidRPr="00F6284E" w:rsidRDefault="00B901C0" w:rsidP="002A58BE">
            <w:pPr>
              <w:ind w:right="284"/>
              <w:jc w:val="right"/>
              <w:rPr>
                <w:rFonts w:ascii="Arial" w:hAnsi="Arial"/>
                <w:sz w:val="18"/>
              </w:rPr>
            </w:pPr>
            <w:r w:rsidRPr="000B3C14">
              <w:rPr>
                <w:sz w:val="18"/>
              </w:rPr>
              <w:t>0.07</w:t>
            </w:r>
          </w:p>
        </w:tc>
        <w:tc>
          <w:tcPr>
            <w:tcW w:w="2899" w:type="dxa"/>
            <w:tcBorders>
              <w:bottom w:val="single" w:sz="4" w:space="0" w:color="000000"/>
            </w:tcBorders>
            <w:vAlign w:val="center"/>
          </w:tcPr>
          <w:p w14:paraId="1745E5C2" w14:textId="55F6CB8E" w:rsidR="00B901C0" w:rsidRPr="00F6284E" w:rsidRDefault="00B901C0" w:rsidP="002A58BE">
            <w:pPr>
              <w:ind w:right="284"/>
              <w:jc w:val="right"/>
              <w:rPr>
                <w:rFonts w:ascii="Arial" w:hAnsi="Arial"/>
                <w:sz w:val="18"/>
              </w:rPr>
            </w:pPr>
            <w:r w:rsidRPr="00F6284E">
              <w:rPr>
                <w:sz w:val="18"/>
              </w:rPr>
              <w:t>6.5± 1.0 (8)</w:t>
            </w:r>
          </w:p>
        </w:tc>
      </w:tr>
      <w:tr w:rsidR="00B901C0" w:rsidRPr="007154FB" w14:paraId="4AE447CC" w14:textId="77777777" w:rsidTr="00BC19E6">
        <w:trPr>
          <w:trHeight w:val="227"/>
          <w:jc w:val="center"/>
        </w:trPr>
        <w:tc>
          <w:tcPr>
            <w:tcW w:w="1717" w:type="dxa"/>
            <w:vAlign w:val="center"/>
          </w:tcPr>
          <w:p w14:paraId="6F648D23" w14:textId="77777777" w:rsidR="00B901C0" w:rsidRPr="000B3C14" w:rsidRDefault="00B901C0" w:rsidP="00A111E9">
            <w:pPr>
              <w:rPr>
                <w:rFonts w:ascii="Arial" w:hAnsi="Arial"/>
                <w:sz w:val="18"/>
              </w:rPr>
            </w:pPr>
            <w:r w:rsidRPr="00D711DD">
              <w:rPr>
                <w:sz w:val="18"/>
              </w:rPr>
              <w:t>10</w:t>
            </w:r>
          </w:p>
        </w:tc>
        <w:tc>
          <w:tcPr>
            <w:tcW w:w="2268" w:type="dxa"/>
            <w:vAlign w:val="center"/>
          </w:tcPr>
          <w:p w14:paraId="7F8770CC" w14:textId="77777777" w:rsidR="00B901C0" w:rsidRPr="00F6284E" w:rsidRDefault="00B901C0" w:rsidP="002A58BE">
            <w:pPr>
              <w:ind w:right="284"/>
              <w:jc w:val="right"/>
              <w:rPr>
                <w:rFonts w:ascii="Arial" w:hAnsi="Arial"/>
                <w:sz w:val="18"/>
              </w:rPr>
            </w:pPr>
            <w:r w:rsidRPr="000B3C14">
              <w:rPr>
                <w:sz w:val="18"/>
              </w:rPr>
              <w:t>0.71</w:t>
            </w:r>
          </w:p>
        </w:tc>
        <w:tc>
          <w:tcPr>
            <w:tcW w:w="2899" w:type="dxa"/>
            <w:vAlign w:val="center"/>
          </w:tcPr>
          <w:p w14:paraId="09FF3055" w14:textId="7883B9B9" w:rsidR="00B901C0" w:rsidRPr="00F6284E" w:rsidRDefault="00B901C0" w:rsidP="002A58BE">
            <w:pPr>
              <w:ind w:right="284"/>
              <w:jc w:val="right"/>
              <w:rPr>
                <w:rFonts w:ascii="Arial" w:hAnsi="Arial"/>
                <w:sz w:val="18"/>
              </w:rPr>
            </w:pPr>
            <w:r w:rsidRPr="00F6284E">
              <w:rPr>
                <w:sz w:val="18"/>
              </w:rPr>
              <w:t>55± 8.1 (9)</w:t>
            </w:r>
          </w:p>
        </w:tc>
      </w:tr>
      <w:tr w:rsidR="00B901C0" w:rsidRPr="007154FB" w14:paraId="05B9F095" w14:textId="77777777" w:rsidTr="00BC19E6">
        <w:trPr>
          <w:trHeight w:val="227"/>
          <w:jc w:val="center"/>
        </w:trPr>
        <w:tc>
          <w:tcPr>
            <w:tcW w:w="1717" w:type="dxa"/>
            <w:vAlign w:val="center"/>
          </w:tcPr>
          <w:p w14:paraId="32A34064" w14:textId="77777777" w:rsidR="00B901C0" w:rsidRPr="000B3C14" w:rsidRDefault="00B901C0" w:rsidP="00A111E9">
            <w:pPr>
              <w:rPr>
                <w:rFonts w:ascii="Arial" w:hAnsi="Arial"/>
                <w:sz w:val="18"/>
              </w:rPr>
            </w:pPr>
            <w:r w:rsidRPr="00D711DD">
              <w:rPr>
                <w:sz w:val="18"/>
              </w:rPr>
              <w:t>30</w:t>
            </w:r>
          </w:p>
        </w:tc>
        <w:tc>
          <w:tcPr>
            <w:tcW w:w="2268" w:type="dxa"/>
            <w:vAlign w:val="center"/>
          </w:tcPr>
          <w:p w14:paraId="3BEA09A8" w14:textId="77777777" w:rsidR="00B901C0" w:rsidRPr="00F6284E" w:rsidRDefault="00B901C0" w:rsidP="002A58BE">
            <w:pPr>
              <w:ind w:right="284"/>
              <w:jc w:val="right"/>
              <w:rPr>
                <w:rFonts w:ascii="Arial" w:hAnsi="Arial"/>
                <w:sz w:val="18"/>
              </w:rPr>
            </w:pPr>
            <w:r w:rsidRPr="000B3C14">
              <w:rPr>
                <w:sz w:val="18"/>
              </w:rPr>
              <w:t>2.14</w:t>
            </w:r>
          </w:p>
        </w:tc>
        <w:tc>
          <w:tcPr>
            <w:tcW w:w="2899" w:type="dxa"/>
            <w:vAlign w:val="center"/>
          </w:tcPr>
          <w:p w14:paraId="1C8136E5" w14:textId="7078F334" w:rsidR="00B901C0" w:rsidRPr="00F6284E" w:rsidRDefault="00B901C0" w:rsidP="002A58BE">
            <w:pPr>
              <w:ind w:right="284"/>
              <w:jc w:val="right"/>
              <w:rPr>
                <w:rFonts w:ascii="Arial" w:hAnsi="Arial"/>
                <w:sz w:val="18"/>
              </w:rPr>
            </w:pPr>
            <w:r w:rsidRPr="00F6284E">
              <w:rPr>
                <w:sz w:val="18"/>
              </w:rPr>
              <w:t>104± 14 (8)</w:t>
            </w:r>
          </w:p>
        </w:tc>
      </w:tr>
      <w:tr w:rsidR="00B901C0" w:rsidRPr="007154FB" w14:paraId="2450153B" w14:textId="77777777" w:rsidTr="00BC19E6">
        <w:trPr>
          <w:trHeight w:val="227"/>
          <w:jc w:val="center"/>
        </w:trPr>
        <w:tc>
          <w:tcPr>
            <w:tcW w:w="1717" w:type="dxa"/>
            <w:vAlign w:val="center"/>
          </w:tcPr>
          <w:p w14:paraId="494F362E" w14:textId="77777777" w:rsidR="00B901C0" w:rsidRPr="000B3C14" w:rsidRDefault="00B901C0" w:rsidP="00A111E9">
            <w:pPr>
              <w:rPr>
                <w:rFonts w:ascii="Arial" w:hAnsi="Arial"/>
                <w:sz w:val="18"/>
              </w:rPr>
            </w:pPr>
            <w:r w:rsidRPr="00D711DD">
              <w:rPr>
                <w:sz w:val="18"/>
              </w:rPr>
              <w:t>1</w:t>
            </w:r>
            <w:r w:rsidRPr="000B3C14">
              <w:rPr>
                <w:sz w:val="18"/>
              </w:rPr>
              <w:t>00</w:t>
            </w:r>
          </w:p>
        </w:tc>
        <w:tc>
          <w:tcPr>
            <w:tcW w:w="2268" w:type="dxa"/>
            <w:vAlign w:val="center"/>
          </w:tcPr>
          <w:p w14:paraId="7EDE696F" w14:textId="77777777" w:rsidR="00B901C0" w:rsidRPr="00F6284E" w:rsidRDefault="00B901C0" w:rsidP="002A58BE">
            <w:pPr>
              <w:ind w:right="284"/>
              <w:jc w:val="right"/>
              <w:rPr>
                <w:rFonts w:ascii="Arial" w:hAnsi="Arial"/>
                <w:sz w:val="18"/>
              </w:rPr>
            </w:pPr>
            <w:r w:rsidRPr="00F6284E">
              <w:rPr>
                <w:sz w:val="18"/>
              </w:rPr>
              <w:t>7.39</w:t>
            </w:r>
          </w:p>
        </w:tc>
        <w:tc>
          <w:tcPr>
            <w:tcW w:w="2899" w:type="dxa"/>
            <w:vAlign w:val="center"/>
          </w:tcPr>
          <w:p w14:paraId="357FC8A7" w14:textId="01E47A4D" w:rsidR="00B901C0" w:rsidRPr="00F6284E" w:rsidRDefault="00B901C0" w:rsidP="002A58BE">
            <w:pPr>
              <w:ind w:right="284"/>
              <w:jc w:val="right"/>
              <w:rPr>
                <w:rFonts w:ascii="Arial" w:hAnsi="Arial"/>
                <w:sz w:val="18"/>
              </w:rPr>
            </w:pPr>
            <w:r w:rsidRPr="00F6284E">
              <w:rPr>
                <w:sz w:val="18"/>
              </w:rPr>
              <w:t>159± 30 (10)</w:t>
            </w:r>
          </w:p>
        </w:tc>
      </w:tr>
      <w:tr w:rsidR="00B901C0" w:rsidRPr="007154FB" w14:paraId="68ED8493" w14:textId="2FE8783D" w:rsidTr="00BC19E6">
        <w:trPr>
          <w:jc w:val="center"/>
        </w:trPr>
        <w:tc>
          <w:tcPr>
            <w:tcW w:w="6884" w:type="dxa"/>
            <w:gridSpan w:val="3"/>
            <w:vAlign w:val="center"/>
          </w:tcPr>
          <w:p w14:paraId="6936732D" w14:textId="77A272EA" w:rsidR="00B901C0" w:rsidRPr="000B3C14" w:rsidRDefault="00B901C0" w:rsidP="002A58BE">
            <w:pPr>
              <w:spacing w:before="20" w:after="20"/>
              <w:ind w:right="284"/>
              <w:jc w:val="right"/>
              <w:rPr>
                <w:rFonts w:ascii="Arial" w:hAnsi="Arial"/>
                <w:color w:val="00B0F0"/>
                <w:sz w:val="18"/>
              </w:rPr>
            </w:pPr>
            <w:r w:rsidRPr="00D711DD">
              <w:rPr>
                <w:sz w:val="18"/>
              </w:rPr>
              <w:t>Week of treatment: 7</w:t>
            </w:r>
          </w:p>
        </w:tc>
      </w:tr>
      <w:tr w:rsidR="00B901C0" w:rsidRPr="007154FB" w14:paraId="54F8BEC1" w14:textId="77777777" w:rsidTr="00BC19E6">
        <w:trPr>
          <w:trHeight w:val="227"/>
          <w:jc w:val="center"/>
        </w:trPr>
        <w:tc>
          <w:tcPr>
            <w:tcW w:w="1717" w:type="dxa"/>
            <w:vAlign w:val="center"/>
          </w:tcPr>
          <w:p w14:paraId="7B03E593" w14:textId="5D20D496" w:rsidR="00B901C0" w:rsidRPr="000B3C14" w:rsidRDefault="00B901C0" w:rsidP="00A111E9">
            <w:pPr>
              <w:rPr>
                <w:rFonts w:ascii="Arial" w:hAnsi="Arial"/>
                <w:sz w:val="18"/>
              </w:rPr>
            </w:pPr>
            <w:r w:rsidRPr="00D711DD">
              <w:rPr>
                <w:sz w:val="18"/>
              </w:rPr>
              <w:t>0</w:t>
            </w:r>
          </w:p>
        </w:tc>
        <w:tc>
          <w:tcPr>
            <w:tcW w:w="2268" w:type="dxa"/>
            <w:vAlign w:val="center"/>
          </w:tcPr>
          <w:p w14:paraId="5F8B2100" w14:textId="77777777" w:rsidR="00B901C0" w:rsidRPr="00F6284E" w:rsidRDefault="00B901C0" w:rsidP="002A58BE">
            <w:pPr>
              <w:ind w:right="284"/>
              <w:jc w:val="right"/>
              <w:rPr>
                <w:rFonts w:ascii="Arial" w:hAnsi="Arial"/>
                <w:sz w:val="18"/>
              </w:rPr>
            </w:pPr>
            <w:r w:rsidRPr="000B3C14">
              <w:rPr>
                <w:sz w:val="18"/>
              </w:rPr>
              <w:t>-</w:t>
            </w:r>
          </w:p>
        </w:tc>
        <w:tc>
          <w:tcPr>
            <w:tcW w:w="2899" w:type="dxa"/>
            <w:vAlign w:val="center"/>
          </w:tcPr>
          <w:p w14:paraId="777DECB7" w14:textId="3534A075" w:rsidR="00B901C0" w:rsidRPr="00F6284E" w:rsidRDefault="00B901C0" w:rsidP="002A58BE">
            <w:pPr>
              <w:ind w:right="284"/>
              <w:jc w:val="right"/>
              <w:rPr>
                <w:rFonts w:ascii="Arial" w:hAnsi="Arial"/>
                <w:sz w:val="18"/>
              </w:rPr>
            </w:pPr>
            <w:r w:rsidRPr="00F6284E">
              <w:rPr>
                <w:sz w:val="18"/>
              </w:rPr>
              <w:t>-</w:t>
            </w:r>
          </w:p>
        </w:tc>
      </w:tr>
      <w:tr w:rsidR="00B901C0" w:rsidRPr="007154FB" w14:paraId="74F06396" w14:textId="77777777" w:rsidTr="00BC19E6">
        <w:trPr>
          <w:trHeight w:val="227"/>
          <w:jc w:val="center"/>
        </w:trPr>
        <w:tc>
          <w:tcPr>
            <w:tcW w:w="1717" w:type="dxa"/>
            <w:vAlign w:val="center"/>
          </w:tcPr>
          <w:p w14:paraId="65BAE101" w14:textId="728B8483" w:rsidR="00B901C0" w:rsidRPr="000B3C14" w:rsidRDefault="00B901C0" w:rsidP="00A111E9">
            <w:pPr>
              <w:rPr>
                <w:rFonts w:ascii="Arial" w:hAnsi="Arial"/>
                <w:sz w:val="18"/>
              </w:rPr>
            </w:pPr>
            <w:r w:rsidRPr="00D711DD">
              <w:rPr>
                <w:sz w:val="18"/>
              </w:rPr>
              <w:t>0</w:t>
            </w:r>
            <w:r w:rsidR="004436E7">
              <w:rPr>
                <w:sz w:val="18"/>
              </w:rPr>
              <w:t xml:space="preserve"> </w:t>
            </w:r>
            <w:r w:rsidRPr="00D711DD">
              <w:rPr>
                <w:sz w:val="18"/>
              </w:rPr>
              <w:t>Pf</w:t>
            </w:r>
          </w:p>
        </w:tc>
        <w:tc>
          <w:tcPr>
            <w:tcW w:w="2268" w:type="dxa"/>
            <w:vAlign w:val="center"/>
          </w:tcPr>
          <w:p w14:paraId="4D56DCF9" w14:textId="77777777" w:rsidR="00B901C0" w:rsidRPr="00F6284E" w:rsidRDefault="00B901C0" w:rsidP="002A58BE">
            <w:pPr>
              <w:ind w:right="284"/>
              <w:jc w:val="right"/>
              <w:rPr>
                <w:rFonts w:ascii="Arial" w:hAnsi="Arial"/>
                <w:sz w:val="18"/>
              </w:rPr>
            </w:pPr>
            <w:r w:rsidRPr="000B3C14">
              <w:rPr>
                <w:sz w:val="18"/>
              </w:rPr>
              <w:t>-</w:t>
            </w:r>
          </w:p>
        </w:tc>
        <w:tc>
          <w:tcPr>
            <w:tcW w:w="2899" w:type="dxa"/>
            <w:vAlign w:val="center"/>
          </w:tcPr>
          <w:p w14:paraId="18680EBB" w14:textId="3EFC8318" w:rsidR="00B901C0" w:rsidRPr="00F6284E" w:rsidRDefault="00B901C0" w:rsidP="002A58BE">
            <w:pPr>
              <w:ind w:right="284"/>
              <w:jc w:val="right"/>
              <w:rPr>
                <w:rFonts w:ascii="Arial" w:hAnsi="Arial"/>
                <w:sz w:val="18"/>
              </w:rPr>
            </w:pPr>
            <w:r w:rsidRPr="00F6284E">
              <w:rPr>
                <w:sz w:val="18"/>
              </w:rPr>
              <w:t>-</w:t>
            </w:r>
          </w:p>
        </w:tc>
      </w:tr>
      <w:tr w:rsidR="00B901C0" w:rsidRPr="007154FB" w14:paraId="31788C9C" w14:textId="77777777" w:rsidTr="00BC19E6">
        <w:trPr>
          <w:trHeight w:val="227"/>
          <w:jc w:val="center"/>
        </w:trPr>
        <w:tc>
          <w:tcPr>
            <w:tcW w:w="1717" w:type="dxa"/>
            <w:vAlign w:val="center"/>
          </w:tcPr>
          <w:p w14:paraId="4529669B" w14:textId="4F57E0A4" w:rsidR="00B901C0" w:rsidRPr="000B3C14" w:rsidRDefault="00B901C0" w:rsidP="00A111E9">
            <w:pPr>
              <w:rPr>
                <w:rFonts w:ascii="Arial" w:hAnsi="Arial"/>
                <w:sz w:val="18"/>
              </w:rPr>
            </w:pPr>
            <w:r w:rsidRPr="00D711DD">
              <w:rPr>
                <w:sz w:val="18"/>
              </w:rPr>
              <w:t>1</w:t>
            </w:r>
          </w:p>
        </w:tc>
        <w:tc>
          <w:tcPr>
            <w:tcW w:w="2268" w:type="dxa"/>
            <w:vAlign w:val="center"/>
          </w:tcPr>
          <w:p w14:paraId="60521E8D" w14:textId="77777777" w:rsidR="00B901C0" w:rsidRPr="00F6284E" w:rsidRDefault="00B901C0" w:rsidP="002A58BE">
            <w:pPr>
              <w:ind w:right="284"/>
              <w:jc w:val="right"/>
              <w:rPr>
                <w:rFonts w:ascii="Arial" w:hAnsi="Arial"/>
                <w:sz w:val="18"/>
              </w:rPr>
            </w:pPr>
            <w:r w:rsidRPr="000B3C14">
              <w:rPr>
                <w:sz w:val="18"/>
              </w:rPr>
              <w:t>0.06</w:t>
            </w:r>
          </w:p>
        </w:tc>
        <w:tc>
          <w:tcPr>
            <w:tcW w:w="2899" w:type="dxa"/>
            <w:vAlign w:val="center"/>
          </w:tcPr>
          <w:p w14:paraId="496AE3AF" w14:textId="783E1159" w:rsidR="00B901C0" w:rsidRPr="00F6284E" w:rsidRDefault="00B901C0" w:rsidP="002A58BE">
            <w:pPr>
              <w:ind w:right="284"/>
              <w:jc w:val="right"/>
              <w:rPr>
                <w:rFonts w:ascii="Arial" w:hAnsi="Arial"/>
                <w:sz w:val="18"/>
              </w:rPr>
            </w:pPr>
            <w:r w:rsidRPr="00F6284E">
              <w:rPr>
                <w:sz w:val="18"/>
              </w:rPr>
              <w:t>7.5± 1.3 (9)</w:t>
            </w:r>
          </w:p>
        </w:tc>
      </w:tr>
      <w:tr w:rsidR="00B901C0" w:rsidRPr="007154FB" w14:paraId="364D3807" w14:textId="77777777" w:rsidTr="00BC19E6">
        <w:trPr>
          <w:trHeight w:val="227"/>
          <w:jc w:val="center"/>
        </w:trPr>
        <w:tc>
          <w:tcPr>
            <w:tcW w:w="1717" w:type="dxa"/>
            <w:vAlign w:val="center"/>
          </w:tcPr>
          <w:p w14:paraId="78B71802" w14:textId="42C05E12" w:rsidR="00B901C0" w:rsidRPr="000B3C14" w:rsidRDefault="00B901C0" w:rsidP="00A111E9">
            <w:pPr>
              <w:rPr>
                <w:rFonts w:ascii="Arial" w:hAnsi="Arial"/>
                <w:sz w:val="18"/>
              </w:rPr>
            </w:pPr>
            <w:r w:rsidRPr="00D711DD">
              <w:rPr>
                <w:sz w:val="18"/>
              </w:rPr>
              <w:t>10</w:t>
            </w:r>
          </w:p>
        </w:tc>
        <w:tc>
          <w:tcPr>
            <w:tcW w:w="2268" w:type="dxa"/>
            <w:vAlign w:val="center"/>
          </w:tcPr>
          <w:p w14:paraId="2320EEAD" w14:textId="77777777" w:rsidR="00B901C0" w:rsidRPr="00F6284E" w:rsidRDefault="00B901C0" w:rsidP="002A58BE">
            <w:pPr>
              <w:ind w:right="284"/>
              <w:jc w:val="right"/>
              <w:rPr>
                <w:rFonts w:ascii="Arial" w:hAnsi="Arial"/>
                <w:sz w:val="18"/>
              </w:rPr>
            </w:pPr>
            <w:r w:rsidRPr="000B3C14">
              <w:rPr>
                <w:sz w:val="18"/>
              </w:rPr>
              <w:t>0.60</w:t>
            </w:r>
          </w:p>
        </w:tc>
        <w:tc>
          <w:tcPr>
            <w:tcW w:w="2899" w:type="dxa"/>
            <w:vAlign w:val="center"/>
          </w:tcPr>
          <w:p w14:paraId="4171368B" w14:textId="002C772D" w:rsidR="00B901C0" w:rsidRPr="00F6284E" w:rsidRDefault="00B901C0" w:rsidP="002A58BE">
            <w:pPr>
              <w:ind w:right="284"/>
              <w:jc w:val="right"/>
              <w:rPr>
                <w:rFonts w:ascii="Arial" w:hAnsi="Arial"/>
                <w:sz w:val="18"/>
              </w:rPr>
            </w:pPr>
            <w:r w:rsidRPr="00F6284E">
              <w:rPr>
                <w:sz w:val="18"/>
              </w:rPr>
              <w:t>46± 16 (10)</w:t>
            </w:r>
          </w:p>
        </w:tc>
      </w:tr>
      <w:tr w:rsidR="00B901C0" w:rsidRPr="007154FB" w14:paraId="26EF1427" w14:textId="77777777" w:rsidTr="00BC19E6">
        <w:trPr>
          <w:trHeight w:val="227"/>
          <w:jc w:val="center"/>
        </w:trPr>
        <w:tc>
          <w:tcPr>
            <w:tcW w:w="1717" w:type="dxa"/>
            <w:vAlign w:val="center"/>
          </w:tcPr>
          <w:p w14:paraId="4B6B3A69" w14:textId="667FDB76" w:rsidR="00B901C0" w:rsidRPr="000B3C14" w:rsidRDefault="00B901C0" w:rsidP="00A111E9">
            <w:pPr>
              <w:rPr>
                <w:rFonts w:ascii="Arial" w:hAnsi="Arial"/>
                <w:sz w:val="18"/>
              </w:rPr>
            </w:pPr>
            <w:r w:rsidRPr="00D711DD">
              <w:rPr>
                <w:sz w:val="18"/>
              </w:rPr>
              <w:t>30</w:t>
            </w:r>
          </w:p>
        </w:tc>
        <w:tc>
          <w:tcPr>
            <w:tcW w:w="2268" w:type="dxa"/>
            <w:vAlign w:val="center"/>
          </w:tcPr>
          <w:p w14:paraId="6BACAE20" w14:textId="77777777" w:rsidR="00B901C0" w:rsidRPr="00F6284E" w:rsidRDefault="00B901C0" w:rsidP="002A58BE">
            <w:pPr>
              <w:ind w:right="284"/>
              <w:jc w:val="right"/>
              <w:rPr>
                <w:rFonts w:ascii="Arial" w:hAnsi="Arial"/>
                <w:sz w:val="18"/>
              </w:rPr>
            </w:pPr>
            <w:r w:rsidRPr="000B3C14">
              <w:rPr>
                <w:sz w:val="18"/>
              </w:rPr>
              <w:t>1.85</w:t>
            </w:r>
          </w:p>
        </w:tc>
        <w:tc>
          <w:tcPr>
            <w:tcW w:w="2899" w:type="dxa"/>
            <w:vAlign w:val="center"/>
          </w:tcPr>
          <w:p w14:paraId="5AA0F59D" w14:textId="6B16FB9D" w:rsidR="00B901C0" w:rsidRPr="00F6284E" w:rsidRDefault="00B901C0" w:rsidP="002A58BE">
            <w:pPr>
              <w:ind w:right="284"/>
              <w:jc w:val="right"/>
              <w:rPr>
                <w:rFonts w:ascii="Arial" w:hAnsi="Arial"/>
                <w:sz w:val="18"/>
              </w:rPr>
            </w:pPr>
            <w:r w:rsidRPr="00F6284E">
              <w:rPr>
                <w:sz w:val="18"/>
              </w:rPr>
              <w:t>87± 28 (10)</w:t>
            </w:r>
          </w:p>
        </w:tc>
      </w:tr>
      <w:tr w:rsidR="00B901C0" w:rsidRPr="007154FB" w14:paraId="0BBAA556" w14:textId="77777777" w:rsidTr="00BC19E6">
        <w:trPr>
          <w:trHeight w:val="227"/>
          <w:jc w:val="center"/>
        </w:trPr>
        <w:tc>
          <w:tcPr>
            <w:tcW w:w="1717" w:type="dxa"/>
            <w:tcBorders>
              <w:bottom w:val="single" w:sz="4" w:space="0" w:color="000000"/>
            </w:tcBorders>
            <w:vAlign w:val="center"/>
          </w:tcPr>
          <w:p w14:paraId="3CE4D3B1" w14:textId="3A1769C1" w:rsidR="00B901C0" w:rsidRPr="000B3C14" w:rsidRDefault="00B901C0" w:rsidP="00A111E9">
            <w:pPr>
              <w:rPr>
                <w:rFonts w:ascii="Arial" w:hAnsi="Arial"/>
                <w:sz w:val="18"/>
              </w:rPr>
            </w:pPr>
            <w:r w:rsidRPr="00D711DD">
              <w:rPr>
                <w:sz w:val="18"/>
              </w:rPr>
              <w:t>100</w:t>
            </w:r>
          </w:p>
        </w:tc>
        <w:tc>
          <w:tcPr>
            <w:tcW w:w="2268" w:type="dxa"/>
            <w:tcBorders>
              <w:bottom w:val="single" w:sz="4" w:space="0" w:color="000000"/>
            </w:tcBorders>
            <w:vAlign w:val="center"/>
          </w:tcPr>
          <w:p w14:paraId="3199F7A1" w14:textId="77777777" w:rsidR="00B901C0" w:rsidRPr="00F6284E" w:rsidRDefault="00B901C0" w:rsidP="002A58BE">
            <w:pPr>
              <w:ind w:right="284"/>
              <w:jc w:val="right"/>
              <w:rPr>
                <w:rFonts w:ascii="Arial" w:hAnsi="Arial"/>
                <w:sz w:val="18"/>
              </w:rPr>
            </w:pPr>
            <w:r w:rsidRPr="000B3C14">
              <w:rPr>
                <w:sz w:val="18"/>
              </w:rPr>
              <w:t>6.21</w:t>
            </w:r>
          </w:p>
        </w:tc>
        <w:tc>
          <w:tcPr>
            <w:tcW w:w="2899" w:type="dxa"/>
            <w:tcBorders>
              <w:bottom w:val="single" w:sz="4" w:space="0" w:color="000000"/>
            </w:tcBorders>
            <w:vAlign w:val="center"/>
          </w:tcPr>
          <w:p w14:paraId="7ABDBC84" w14:textId="12B8B87C" w:rsidR="00B901C0" w:rsidRPr="00F6284E" w:rsidRDefault="00B901C0" w:rsidP="002A58BE">
            <w:pPr>
              <w:ind w:right="284"/>
              <w:jc w:val="right"/>
              <w:rPr>
                <w:rFonts w:ascii="Arial" w:hAnsi="Arial"/>
                <w:sz w:val="18"/>
              </w:rPr>
            </w:pPr>
            <w:r w:rsidRPr="00F6284E">
              <w:rPr>
                <w:sz w:val="18"/>
              </w:rPr>
              <w:t>149± 35 (10)</w:t>
            </w:r>
          </w:p>
        </w:tc>
      </w:tr>
      <w:tr w:rsidR="00B901C0" w:rsidRPr="007154FB" w14:paraId="3A55D1EA" w14:textId="4C624A0A" w:rsidTr="00BC19E6">
        <w:trPr>
          <w:jc w:val="center"/>
        </w:trPr>
        <w:tc>
          <w:tcPr>
            <w:tcW w:w="6884" w:type="dxa"/>
            <w:gridSpan w:val="3"/>
            <w:tcBorders>
              <w:bottom w:val="single" w:sz="4" w:space="0" w:color="000000"/>
            </w:tcBorders>
            <w:vAlign w:val="center"/>
          </w:tcPr>
          <w:p w14:paraId="181A0C48" w14:textId="57819457" w:rsidR="00B901C0" w:rsidRPr="000B3C14" w:rsidRDefault="00B901C0" w:rsidP="002A58BE">
            <w:pPr>
              <w:spacing w:before="20" w:after="20"/>
              <w:ind w:right="284"/>
              <w:jc w:val="right"/>
              <w:rPr>
                <w:rFonts w:ascii="Arial" w:hAnsi="Arial"/>
                <w:sz w:val="18"/>
              </w:rPr>
            </w:pPr>
            <w:r w:rsidRPr="00D711DD">
              <w:rPr>
                <w:sz w:val="18"/>
              </w:rPr>
              <w:t>Week of treatment: 13</w:t>
            </w:r>
          </w:p>
        </w:tc>
      </w:tr>
      <w:tr w:rsidR="00B901C0" w:rsidRPr="007154FB" w14:paraId="57A07C9E" w14:textId="77777777" w:rsidTr="00BC19E6">
        <w:trPr>
          <w:trHeight w:val="227"/>
          <w:jc w:val="center"/>
        </w:trPr>
        <w:tc>
          <w:tcPr>
            <w:tcW w:w="1717" w:type="dxa"/>
            <w:vAlign w:val="center"/>
          </w:tcPr>
          <w:p w14:paraId="0962DAD9" w14:textId="13099252" w:rsidR="00B901C0" w:rsidRPr="000B3C14" w:rsidRDefault="00B901C0" w:rsidP="00A111E9">
            <w:pPr>
              <w:rPr>
                <w:rFonts w:ascii="Arial" w:hAnsi="Arial"/>
                <w:sz w:val="18"/>
              </w:rPr>
            </w:pPr>
            <w:r w:rsidRPr="00D711DD">
              <w:rPr>
                <w:sz w:val="18"/>
              </w:rPr>
              <w:t>0</w:t>
            </w:r>
          </w:p>
        </w:tc>
        <w:tc>
          <w:tcPr>
            <w:tcW w:w="2268" w:type="dxa"/>
            <w:vAlign w:val="center"/>
          </w:tcPr>
          <w:p w14:paraId="30726C55" w14:textId="77777777" w:rsidR="00B901C0" w:rsidRPr="00F6284E" w:rsidRDefault="00B901C0" w:rsidP="002A58BE">
            <w:pPr>
              <w:ind w:right="284"/>
              <w:jc w:val="right"/>
              <w:rPr>
                <w:rFonts w:ascii="Arial" w:hAnsi="Arial"/>
                <w:sz w:val="18"/>
              </w:rPr>
            </w:pPr>
            <w:r w:rsidRPr="000B3C14">
              <w:rPr>
                <w:sz w:val="18"/>
              </w:rPr>
              <w:t>-</w:t>
            </w:r>
          </w:p>
        </w:tc>
        <w:tc>
          <w:tcPr>
            <w:tcW w:w="2899" w:type="dxa"/>
            <w:vAlign w:val="center"/>
          </w:tcPr>
          <w:p w14:paraId="30B2C6E1" w14:textId="538A3234" w:rsidR="00B901C0" w:rsidRPr="00F6284E" w:rsidRDefault="00B901C0" w:rsidP="002A58BE">
            <w:pPr>
              <w:ind w:right="284"/>
              <w:jc w:val="right"/>
              <w:rPr>
                <w:rFonts w:ascii="Arial" w:hAnsi="Arial"/>
                <w:sz w:val="18"/>
              </w:rPr>
            </w:pPr>
            <w:r w:rsidRPr="00F6284E">
              <w:rPr>
                <w:sz w:val="18"/>
              </w:rPr>
              <w:t>-</w:t>
            </w:r>
          </w:p>
        </w:tc>
      </w:tr>
      <w:tr w:rsidR="00B901C0" w:rsidRPr="007154FB" w14:paraId="07F584A7" w14:textId="77777777" w:rsidTr="00BC19E6">
        <w:trPr>
          <w:trHeight w:val="227"/>
          <w:jc w:val="center"/>
        </w:trPr>
        <w:tc>
          <w:tcPr>
            <w:tcW w:w="1717" w:type="dxa"/>
            <w:vAlign w:val="center"/>
          </w:tcPr>
          <w:p w14:paraId="42D99928" w14:textId="38EA6424" w:rsidR="00B901C0" w:rsidRPr="000B3C14" w:rsidRDefault="00B901C0" w:rsidP="00A111E9">
            <w:pPr>
              <w:rPr>
                <w:rFonts w:ascii="Arial" w:hAnsi="Arial"/>
                <w:sz w:val="18"/>
              </w:rPr>
            </w:pPr>
            <w:r w:rsidRPr="00D711DD">
              <w:rPr>
                <w:sz w:val="18"/>
              </w:rPr>
              <w:t>0</w:t>
            </w:r>
            <w:r w:rsidR="004436E7">
              <w:rPr>
                <w:sz w:val="18"/>
              </w:rPr>
              <w:t xml:space="preserve"> </w:t>
            </w:r>
            <w:r w:rsidRPr="00D711DD">
              <w:rPr>
                <w:sz w:val="18"/>
              </w:rPr>
              <w:t>Pf</w:t>
            </w:r>
          </w:p>
        </w:tc>
        <w:tc>
          <w:tcPr>
            <w:tcW w:w="2268" w:type="dxa"/>
            <w:vAlign w:val="center"/>
          </w:tcPr>
          <w:p w14:paraId="30D5729E" w14:textId="77777777" w:rsidR="00B901C0" w:rsidRPr="00F6284E" w:rsidRDefault="00B901C0" w:rsidP="002A58BE">
            <w:pPr>
              <w:ind w:right="284"/>
              <w:jc w:val="right"/>
              <w:rPr>
                <w:rFonts w:ascii="Arial" w:hAnsi="Arial"/>
                <w:sz w:val="18"/>
              </w:rPr>
            </w:pPr>
            <w:r w:rsidRPr="000B3C14">
              <w:rPr>
                <w:sz w:val="18"/>
              </w:rPr>
              <w:t>-</w:t>
            </w:r>
          </w:p>
        </w:tc>
        <w:tc>
          <w:tcPr>
            <w:tcW w:w="2899" w:type="dxa"/>
            <w:vAlign w:val="center"/>
          </w:tcPr>
          <w:p w14:paraId="079ADE22" w14:textId="77B4E7D4" w:rsidR="00B901C0" w:rsidRPr="00F6284E" w:rsidRDefault="00B901C0" w:rsidP="002A58BE">
            <w:pPr>
              <w:ind w:right="284"/>
              <w:jc w:val="right"/>
              <w:rPr>
                <w:rFonts w:ascii="Arial" w:hAnsi="Arial"/>
                <w:sz w:val="18"/>
              </w:rPr>
            </w:pPr>
            <w:r w:rsidRPr="00F6284E">
              <w:rPr>
                <w:sz w:val="18"/>
              </w:rPr>
              <w:t>-</w:t>
            </w:r>
          </w:p>
        </w:tc>
      </w:tr>
      <w:tr w:rsidR="00B901C0" w:rsidRPr="007154FB" w14:paraId="68FA8B04" w14:textId="77777777" w:rsidTr="00BC19E6">
        <w:trPr>
          <w:trHeight w:val="227"/>
          <w:jc w:val="center"/>
        </w:trPr>
        <w:tc>
          <w:tcPr>
            <w:tcW w:w="1717" w:type="dxa"/>
            <w:tcBorders>
              <w:bottom w:val="single" w:sz="4" w:space="0" w:color="000000"/>
            </w:tcBorders>
            <w:vAlign w:val="center"/>
          </w:tcPr>
          <w:p w14:paraId="70EEB615" w14:textId="41A43A61" w:rsidR="00B901C0" w:rsidRPr="000B3C14" w:rsidRDefault="00B901C0" w:rsidP="00A111E9">
            <w:pPr>
              <w:rPr>
                <w:rFonts w:ascii="Arial" w:hAnsi="Arial"/>
                <w:sz w:val="18"/>
              </w:rPr>
            </w:pPr>
            <w:r w:rsidRPr="00D711DD">
              <w:rPr>
                <w:sz w:val="18"/>
              </w:rPr>
              <w:t>1</w:t>
            </w:r>
          </w:p>
        </w:tc>
        <w:tc>
          <w:tcPr>
            <w:tcW w:w="2268" w:type="dxa"/>
            <w:tcBorders>
              <w:bottom w:val="single" w:sz="4" w:space="0" w:color="000000"/>
            </w:tcBorders>
            <w:vAlign w:val="center"/>
          </w:tcPr>
          <w:p w14:paraId="10CC4568" w14:textId="77777777" w:rsidR="00B901C0" w:rsidRPr="00F6284E" w:rsidRDefault="00B901C0" w:rsidP="002A58BE">
            <w:pPr>
              <w:ind w:right="284"/>
              <w:jc w:val="right"/>
              <w:rPr>
                <w:rFonts w:ascii="Arial" w:hAnsi="Arial"/>
                <w:sz w:val="18"/>
              </w:rPr>
            </w:pPr>
            <w:r w:rsidRPr="000B3C14">
              <w:rPr>
                <w:sz w:val="18"/>
              </w:rPr>
              <w:t>0.05</w:t>
            </w:r>
          </w:p>
        </w:tc>
        <w:tc>
          <w:tcPr>
            <w:tcW w:w="2899" w:type="dxa"/>
            <w:tcBorders>
              <w:bottom w:val="single" w:sz="4" w:space="0" w:color="000000"/>
            </w:tcBorders>
            <w:vAlign w:val="center"/>
          </w:tcPr>
          <w:p w14:paraId="078F7157" w14:textId="722EA247" w:rsidR="00B901C0" w:rsidRPr="00F6284E" w:rsidRDefault="00B901C0" w:rsidP="002A58BE">
            <w:pPr>
              <w:ind w:right="284"/>
              <w:jc w:val="right"/>
              <w:rPr>
                <w:rFonts w:ascii="Arial" w:hAnsi="Arial"/>
                <w:sz w:val="18"/>
              </w:rPr>
            </w:pPr>
            <w:r w:rsidRPr="00F6284E">
              <w:rPr>
                <w:sz w:val="18"/>
              </w:rPr>
              <w:t>7.1± 1.2 (10)</w:t>
            </w:r>
          </w:p>
        </w:tc>
      </w:tr>
      <w:tr w:rsidR="00B901C0" w:rsidRPr="007154FB" w14:paraId="25AF6907" w14:textId="77777777" w:rsidTr="00BC19E6">
        <w:trPr>
          <w:trHeight w:val="227"/>
          <w:jc w:val="center"/>
        </w:trPr>
        <w:tc>
          <w:tcPr>
            <w:tcW w:w="1717" w:type="dxa"/>
            <w:vAlign w:val="center"/>
          </w:tcPr>
          <w:p w14:paraId="6EB40D57" w14:textId="48FD1695" w:rsidR="00B901C0" w:rsidRPr="000B3C14" w:rsidRDefault="00B901C0" w:rsidP="00A111E9">
            <w:pPr>
              <w:rPr>
                <w:rFonts w:ascii="Arial" w:hAnsi="Arial"/>
                <w:sz w:val="18"/>
              </w:rPr>
            </w:pPr>
            <w:r w:rsidRPr="00D711DD">
              <w:rPr>
                <w:sz w:val="18"/>
              </w:rPr>
              <w:t>10</w:t>
            </w:r>
          </w:p>
        </w:tc>
        <w:tc>
          <w:tcPr>
            <w:tcW w:w="2268" w:type="dxa"/>
            <w:vAlign w:val="center"/>
          </w:tcPr>
          <w:p w14:paraId="0C70AA3C" w14:textId="77777777" w:rsidR="00B901C0" w:rsidRPr="00F6284E" w:rsidRDefault="00B901C0" w:rsidP="002A58BE">
            <w:pPr>
              <w:ind w:right="284"/>
              <w:jc w:val="right"/>
              <w:rPr>
                <w:rFonts w:ascii="Arial" w:hAnsi="Arial"/>
                <w:sz w:val="18"/>
              </w:rPr>
            </w:pPr>
            <w:r w:rsidRPr="000B3C14">
              <w:rPr>
                <w:sz w:val="18"/>
              </w:rPr>
              <w:t>0.47</w:t>
            </w:r>
          </w:p>
        </w:tc>
        <w:tc>
          <w:tcPr>
            <w:tcW w:w="2899" w:type="dxa"/>
            <w:vAlign w:val="center"/>
          </w:tcPr>
          <w:p w14:paraId="593F7B5D" w14:textId="02147E26" w:rsidR="00B901C0" w:rsidRPr="00F6284E" w:rsidRDefault="00B901C0" w:rsidP="002A58BE">
            <w:pPr>
              <w:ind w:right="284"/>
              <w:jc w:val="right"/>
              <w:rPr>
                <w:rFonts w:ascii="Arial" w:hAnsi="Arial"/>
                <w:sz w:val="18"/>
              </w:rPr>
            </w:pPr>
            <w:r w:rsidRPr="00F6284E">
              <w:rPr>
                <w:sz w:val="18"/>
              </w:rPr>
              <w:t>41± 13 (10)</w:t>
            </w:r>
          </w:p>
        </w:tc>
      </w:tr>
      <w:tr w:rsidR="00B901C0" w:rsidRPr="007154FB" w14:paraId="4AF7E715" w14:textId="77777777" w:rsidTr="00BC19E6">
        <w:trPr>
          <w:trHeight w:val="227"/>
          <w:jc w:val="center"/>
        </w:trPr>
        <w:tc>
          <w:tcPr>
            <w:tcW w:w="1717" w:type="dxa"/>
            <w:vAlign w:val="center"/>
          </w:tcPr>
          <w:p w14:paraId="555D01F1" w14:textId="09EF4187" w:rsidR="00B901C0" w:rsidRPr="000B3C14" w:rsidRDefault="00B901C0" w:rsidP="00A111E9">
            <w:pPr>
              <w:rPr>
                <w:rFonts w:ascii="Arial" w:hAnsi="Arial"/>
                <w:sz w:val="18"/>
              </w:rPr>
            </w:pPr>
            <w:r w:rsidRPr="00D711DD">
              <w:rPr>
                <w:sz w:val="18"/>
              </w:rPr>
              <w:t>30</w:t>
            </w:r>
          </w:p>
        </w:tc>
        <w:tc>
          <w:tcPr>
            <w:tcW w:w="2268" w:type="dxa"/>
            <w:vAlign w:val="center"/>
          </w:tcPr>
          <w:p w14:paraId="6C205091" w14:textId="77777777" w:rsidR="00B901C0" w:rsidRPr="00F6284E" w:rsidRDefault="00B901C0" w:rsidP="002A58BE">
            <w:pPr>
              <w:ind w:right="284"/>
              <w:jc w:val="right"/>
              <w:rPr>
                <w:rFonts w:ascii="Arial" w:hAnsi="Arial"/>
                <w:sz w:val="18"/>
              </w:rPr>
            </w:pPr>
            <w:r w:rsidRPr="000B3C14">
              <w:rPr>
                <w:sz w:val="18"/>
              </w:rPr>
              <w:t>1.44</w:t>
            </w:r>
          </w:p>
        </w:tc>
        <w:tc>
          <w:tcPr>
            <w:tcW w:w="2899" w:type="dxa"/>
            <w:vAlign w:val="center"/>
          </w:tcPr>
          <w:p w14:paraId="2EBFB899" w14:textId="6BBF9B43" w:rsidR="00B901C0" w:rsidRPr="00F6284E" w:rsidRDefault="00B901C0" w:rsidP="002A58BE">
            <w:pPr>
              <w:ind w:right="284"/>
              <w:jc w:val="right"/>
              <w:rPr>
                <w:rFonts w:ascii="Arial" w:hAnsi="Arial"/>
                <w:sz w:val="18"/>
              </w:rPr>
            </w:pPr>
            <w:r w:rsidRPr="00F6284E">
              <w:rPr>
                <w:sz w:val="18"/>
              </w:rPr>
              <w:t>70± 16 (10)</w:t>
            </w:r>
          </w:p>
        </w:tc>
      </w:tr>
      <w:tr w:rsidR="00B901C0" w:rsidRPr="007154FB" w14:paraId="48EB2FC8" w14:textId="77777777" w:rsidTr="00BC19E6">
        <w:trPr>
          <w:trHeight w:val="227"/>
          <w:jc w:val="center"/>
        </w:trPr>
        <w:tc>
          <w:tcPr>
            <w:tcW w:w="1717" w:type="dxa"/>
            <w:vAlign w:val="center"/>
          </w:tcPr>
          <w:p w14:paraId="2368F26A" w14:textId="1791FC12" w:rsidR="00B901C0" w:rsidRPr="000B3C14" w:rsidRDefault="00B901C0" w:rsidP="00A111E9">
            <w:pPr>
              <w:rPr>
                <w:rFonts w:ascii="Arial" w:hAnsi="Arial"/>
                <w:sz w:val="18"/>
              </w:rPr>
            </w:pPr>
            <w:r w:rsidRPr="00D711DD">
              <w:rPr>
                <w:sz w:val="18"/>
              </w:rPr>
              <w:t>100</w:t>
            </w:r>
          </w:p>
        </w:tc>
        <w:tc>
          <w:tcPr>
            <w:tcW w:w="2268" w:type="dxa"/>
            <w:vAlign w:val="center"/>
          </w:tcPr>
          <w:p w14:paraId="0C28818F" w14:textId="77777777" w:rsidR="00B901C0" w:rsidRPr="00F6284E" w:rsidRDefault="00B901C0" w:rsidP="002A58BE">
            <w:pPr>
              <w:ind w:right="284"/>
              <w:jc w:val="right"/>
              <w:rPr>
                <w:rFonts w:ascii="Arial" w:hAnsi="Arial"/>
                <w:sz w:val="18"/>
              </w:rPr>
            </w:pPr>
            <w:r w:rsidRPr="000B3C14">
              <w:rPr>
                <w:sz w:val="18"/>
              </w:rPr>
              <w:t>4</w:t>
            </w:r>
            <w:r w:rsidRPr="00F6284E">
              <w:rPr>
                <w:sz w:val="18"/>
              </w:rPr>
              <w:t>.97</w:t>
            </w:r>
          </w:p>
        </w:tc>
        <w:tc>
          <w:tcPr>
            <w:tcW w:w="2899" w:type="dxa"/>
            <w:vAlign w:val="center"/>
          </w:tcPr>
          <w:p w14:paraId="08FF1582" w14:textId="71C170BE" w:rsidR="00B901C0" w:rsidRPr="00F6284E" w:rsidRDefault="00B901C0" w:rsidP="002A58BE">
            <w:pPr>
              <w:ind w:right="284"/>
              <w:jc w:val="right"/>
              <w:rPr>
                <w:rFonts w:ascii="Arial" w:hAnsi="Arial"/>
                <w:sz w:val="18"/>
              </w:rPr>
            </w:pPr>
            <w:r w:rsidRPr="00F6284E">
              <w:rPr>
                <w:sz w:val="18"/>
              </w:rPr>
              <w:t>138± 34 (10)</w:t>
            </w:r>
          </w:p>
        </w:tc>
      </w:tr>
      <w:tr w:rsidR="00B901C0" w:rsidRPr="007154FB" w14:paraId="437287E0" w14:textId="19FACC94" w:rsidTr="00BC19E6">
        <w:trPr>
          <w:jc w:val="center"/>
        </w:trPr>
        <w:tc>
          <w:tcPr>
            <w:tcW w:w="6884" w:type="dxa"/>
            <w:gridSpan w:val="3"/>
            <w:vAlign w:val="center"/>
          </w:tcPr>
          <w:p w14:paraId="5B0AABED" w14:textId="0FB84ECB" w:rsidR="00B901C0" w:rsidRPr="000B3C14" w:rsidRDefault="00B901C0" w:rsidP="002A58BE">
            <w:pPr>
              <w:spacing w:before="20" w:after="20"/>
              <w:ind w:right="284"/>
              <w:jc w:val="right"/>
              <w:rPr>
                <w:rFonts w:ascii="Arial" w:hAnsi="Arial"/>
                <w:sz w:val="18"/>
              </w:rPr>
            </w:pPr>
            <w:r w:rsidRPr="00D711DD">
              <w:rPr>
                <w:sz w:val="18"/>
              </w:rPr>
              <w:t>Week of treatment: 21 (recovery)</w:t>
            </w:r>
          </w:p>
        </w:tc>
      </w:tr>
      <w:tr w:rsidR="00B901C0" w:rsidRPr="007154FB" w14:paraId="078C0789" w14:textId="77777777" w:rsidTr="00BC19E6">
        <w:trPr>
          <w:trHeight w:val="227"/>
          <w:jc w:val="center"/>
        </w:trPr>
        <w:tc>
          <w:tcPr>
            <w:tcW w:w="1717" w:type="dxa"/>
            <w:vAlign w:val="center"/>
          </w:tcPr>
          <w:p w14:paraId="1BD381FB" w14:textId="20049A9A" w:rsidR="00B901C0" w:rsidRPr="000B3C14" w:rsidRDefault="00B901C0" w:rsidP="00A111E9">
            <w:pPr>
              <w:rPr>
                <w:rFonts w:ascii="Arial" w:hAnsi="Arial"/>
                <w:sz w:val="18"/>
              </w:rPr>
            </w:pPr>
            <w:r w:rsidRPr="00D711DD">
              <w:rPr>
                <w:sz w:val="18"/>
              </w:rPr>
              <w:t>0</w:t>
            </w:r>
          </w:p>
        </w:tc>
        <w:tc>
          <w:tcPr>
            <w:tcW w:w="2268" w:type="dxa"/>
            <w:vAlign w:val="center"/>
          </w:tcPr>
          <w:p w14:paraId="1C2E395A" w14:textId="77777777" w:rsidR="00B901C0" w:rsidRPr="00F6284E" w:rsidRDefault="00B901C0" w:rsidP="002A58BE">
            <w:pPr>
              <w:ind w:right="284"/>
              <w:jc w:val="right"/>
              <w:rPr>
                <w:rFonts w:ascii="Arial" w:hAnsi="Arial"/>
                <w:sz w:val="18"/>
              </w:rPr>
            </w:pPr>
            <w:r w:rsidRPr="000B3C14">
              <w:rPr>
                <w:sz w:val="18"/>
              </w:rPr>
              <w:t>-</w:t>
            </w:r>
          </w:p>
        </w:tc>
        <w:tc>
          <w:tcPr>
            <w:tcW w:w="2899" w:type="dxa"/>
            <w:vAlign w:val="center"/>
          </w:tcPr>
          <w:p w14:paraId="345AE9E4" w14:textId="287330EC" w:rsidR="00B901C0" w:rsidRPr="00F6284E" w:rsidRDefault="00B901C0" w:rsidP="002A58BE">
            <w:pPr>
              <w:ind w:right="284"/>
              <w:jc w:val="right"/>
              <w:rPr>
                <w:rFonts w:ascii="Arial" w:hAnsi="Arial"/>
                <w:sz w:val="18"/>
              </w:rPr>
            </w:pPr>
            <w:r w:rsidRPr="00F6284E">
              <w:rPr>
                <w:sz w:val="18"/>
              </w:rPr>
              <w:t>-</w:t>
            </w:r>
          </w:p>
        </w:tc>
      </w:tr>
      <w:tr w:rsidR="00B901C0" w:rsidRPr="007154FB" w14:paraId="4CFBFC0A" w14:textId="77777777" w:rsidTr="00BC19E6">
        <w:trPr>
          <w:trHeight w:val="227"/>
          <w:jc w:val="center"/>
        </w:trPr>
        <w:tc>
          <w:tcPr>
            <w:tcW w:w="1717" w:type="dxa"/>
            <w:vAlign w:val="center"/>
          </w:tcPr>
          <w:p w14:paraId="2209D23C" w14:textId="279DE6DE" w:rsidR="00B901C0" w:rsidRPr="000B3C14" w:rsidRDefault="00B901C0" w:rsidP="00A111E9">
            <w:pPr>
              <w:rPr>
                <w:rFonts w:ascii="Arial" w:hAnsi="Arial"/>
                <w:sz w:val="18"/>
              </w:rPr>
            </w:pPr>
            <w:r w:rsidRPr="00D711DD">
              <w:rPr>
                <w:sz w:val="18"/>
              </w:rPr>
              <w:t>0</w:t>
            </w:r>
            <w:r w:rsidR="004436E7">
              <w:rPr>
                <w:sz w:val="18"/>
              </w:rPr>
              <w:t xml:space="preserve"> </w:t>
            </w:r>
            <w:r w:rsidRPr="00D711DD">
              <w:rPr>
                <w:sz w:val="18"/>
              </w:rPr>
              <w:t>Pf</w:t>
            </w:r>
          </w:p>
        </w:tc>
        <w:tc>
          <w:tcPr>
            <w:tcW w:w="2268" w:type="dxa"/>
            <w:vAlign w:val="center"/>
          </w:tcPr>
          <w:p w14:paraId="6DD31BDD" w14:textId="77777777" w:rsidR="00B901C0" w:rsidRPr="00F6284E" w:rsidRDefault="00B901C0" w:rsidP="002A58BE">
            <w:pPr>
              <w:ind w:right="284"/>
              <w:jc w:val="right"/>
              <w:rPr>
                <w:rFonts w:ascii="Arial" w:hAnsi="Arial"/>
                <w:sz w:val="18"/>
              </w:rPr>
            </w:pPr>
            <w:r w:rsidRPr="000B3C14">
              <w:rPr>
                <w:sz w:val="18"/>
              </w:rPr>
              <w:t>-</w:t>
            </w:r>
          </w:p>
        </w:tc>
        <w:tc>
          <w:tcPr>
            <w:tcW w:w="2899" w:type="dxa"/>
            <w:vAlign w:val="center"/>
          </w:tcPr>
          <w:p w14:paraId="56E0E5D8" w14:textId="250F0AE2" w:rsidR="00B901C0" w:rsidRPr="00F6284E" w:rsidRDefault="00B901C0" w:rsidP="002A58BE">
            <w:pPr>
              <w:ind w:right="284"/>
              <w:jc w:val="right"/>
              <w:rPr>
                <w:rFonts w:ascii="Arial" w:hAnsi="Arial"/>
                <w:sz w:val="18"/>
              </w:rPr>
            </w:pPr>
            <w:r w:rsidRPr="00F6284E">
              <w:rPr>
                <w:sz w:val="18"/>
              </w:rPr>
              <w:t>-</w:t>
            </w:r>
          </w:p>
        </w:tc>
      </w:tr>
      <w:tr w:rsidR="00B901C0" w:rsidRPr="007154FB" w14:paraId="3A0315A9" w14:textId="77777777" w:rsidTr="00BC19E6">
        <w:trPr>
          <w:trHeight w:val="227"/>
          <w:jc w:val="center"/>
        </w:trPr>
        <w:tc>
          <w:tcPr>
            <w:tcW w:w="1717" w:type="dxa"/>
            <w:vAlign w:val="center"/>
          </w:tcPr>
          <w:p w14:paraId="7A00FC3F" w14:textId="0202BDB8" w:rsidR="00B901C0" w:rsidRPr="000B3C14" w:rsidRDefault="00B901C0" w:rsidP="00A111E9">
            <w:pPr>
              <w:rPr>
                <w:rFonts w:ascii="Arial" w:hAnsi="Arial"/>
                <w:sz w:val="18"/>
              </w:rPr>
            </w:pPr>
            <w:r w:rsidRPr="00D711DD">
              <w:rPr>
                <w:sz w:val="18"/>
              </w:rPr>
              <w:t>1</w:t>
            </w:r>
          </w:p>
        </w:tc>
        <w:tc>
          <w:tcPr>
            <w:tcW w:w="2268" w:type="dxa"/>
            <w:vAlign w:val="center"/>
          </w:tcPr>
          <w:p w14:paraId="12D9FD51" w14:textId="77777777" w:rsidR="00B901C0" w:rsidRPr="00F6284E" w:rsidRDefault="00B901C0" w:rsidP="002A58BE">
            <w:pPr>
              <w:ind w:right="284"/>
              <w:jc w:val="right"/>
              <w:rPr>
                <w:rFonts w:ascii="Arial" w:hAnsi="Arial"/>
                <w:sz w:val="18"/>
              </w:rPr>
            </w:pPr>
            <w:r w:rsidRPr="000B3C14">
              <w:rPr>
                <w:sz w:val="18"/>
              </w:rPr>
              <w:t>-</w:t>
            </w:r>
          </w:p>
        </w:tc>
        <w:tc>
          <w:tcPr>
            <w:tcW w:w="2899" w:type="dxa"/>
            <w:vAlign w:val="center"/>
          </w:tcPr>
          <w:p w14:paraId="4FD7CCA4" w14:textId="4D213C1E" w:rsidR="00B901C0" w:rsidRPr="00F6284E" w:rsidRDefault="00B901C0" w:rsidP="002A58BE">
            <w:pPr>
              <w:ind w:right="284"/>
              <w:jc w:val="right"/>
              <w:rPr>
                <w:rFonts w:ascii="Arial" w:hAnsi="Arial"/>
                <w:sz w:val="18"/>
              </w:rPr>
            </w:pPr>
            <w:r w:rsidRPr="00F6284E">
              <w:rPr>
                <w:sz w:val="18"/>
              </w:rPr>
              <w:t>1.2± - (1)</w:t>
            </w:r>
          </w:p>
        </w:tc>
      </w:tr>
      <w:tr w:rsidR="00B901C0" w:rsidRPr="007154FB" w14:paraId="45C40948" w14:textId="77777777" w:rsidTr="00BC19E6">
        <w:trPr>
          <w:trHeight w:val="227"/>
          <w:jc w:val="center"/>
        </w:trPr>
        <w:tc>
          <w:tcPr>
            <w:tcW w:w="1717" w:type="dxa"/>
            <w:vAlign w:val="center"/>
          </w:tcPr>
          <w:p w14:paraId="2362B596" w14:textId="07F84255" w:rsidR="00B901C0" w:rsidRPr="000B3C14" w:rsidRDefault="00B901C0" w:rsidP="00A111E9">
            <w:pPr>
              <w:rPr>
                <w:rFonts w:ascii="Arial" w:hAnsi="Arial"/>
                <w:sz w:val="18"/>
              </w:rPr>
            </w:pPr>
            <w:r w:rsidRPr="00D711DD">
              <w:rPr>
                <w:sz w:val="18"/>
              </w:rPr>
              <w:t>10</w:t>
            </w:r>
          </w:p>
        </w:tc>
        <w:tc>
          <w:tcPr>
            <w:tcW w:w="2268" w:type="dxa"/>
            <w:vAlign w:val="center"/>
          </w:tcPr>
          <w:p w14:paraId="1CDCF005" w14:textId="77777777" w:rsidR="00B901C0" w:rsidRPr="00F6284E" w:rsidRDefault="00B901C0" w:rsidP="002A58BE">
            <w:pPr>
              <w:ind w:right="284"/>
              <w:jc w:val="right"/>
              <w:rPr>
                <w:rFonts w:ascii="Arial" w:hAnsi="Arial"/>
                <w:sz w:val="18"/>
              </w:rPr>
            </w:pPr>
            <w:r w:rsidRPr="000B3C14">
              <w:rPr>
                <w:sz w:val="18"/>
              </w:rPr>
              <w:t>-</w:t>
            </w:r>
          </w:p>
        </w:tc>
        <w:tc>
          <w:tcPr>
            <w:tcW w:w="2899" w:type="dxa"/>
            <w:vAlign w:val="center"/>
          </w:tcPr>
          <w:p w14:paraId="62F0AFF4" w14:textId="30B44277" w:rsidR="00B901C0" w:rsidRPr="00F6284E" w:rsidRDefault="00B901C0" w:rsidP="002A58BE">
            <w:pPr>
              <w:ind w:right="284"/>
              <w:jc w:val="right"/>
              <w:rPr>
                <w:rFonts w:ascii="Arial" w:hAnsi="Arial"/>
                <w:sz w:val="18"/>
              </w:rPr>
            </w:pPr>
            <w:r w:rsidRPr="00F6284E">
              <w:rPr>
                <w:sz w:val="18"/>
              </w:rPr>
              <w:t>1.1± 1.3 (3)</w:t>
            </w:r>
          </w:p>
        </w:tc>
      </w:tr>
      <w:tr w:rsidR="00B901C0" w:rsidRPr="007154FB" w14:paraId="6FEADF90" w14:textId="77777777" w:rsidTr="00BC19E6">
        <w:trPr>
          <w:trHeight w:val="227"/>
          <w:jc w:val="center"/>
        </w:trPr>
        <w:tc>
          <w:tcPr>
            <w:tcW w:w="1717" w:type="dxa"/>
            <w:vAlign w:val="center"/>
          </w:tcPr>
          <w:p w14:paraId="0CA4F656" w14:textId="57368379" w:rsidR="00B901C0" w:rsidRPr="000B3C14" w:rsidRDefault="00B901C0" w:rsidP="00A111E9">
            <w:pPr>
              <w:rPr>
                <w:rFonts w:ascii="Arial" w:hAnsi="Arial"/>
                <w:sz w:val="18"/>
              </w:rPr>
            </w:pPr>
            <w:r w:rsidRPr="00D711DD">
              <w:rPr>
                <w:sz w:val="18"/>
              </w:rPr>
              <w:t>30</w:t>
            </w:r>
          </w:p>
        </w:tc>
        <w:tc>
          <w:tcPr>
            <w:tcW w:w="2268" w:type="dxa"/>
            <w:vAlign w:val="center"/>
          </w:tcPr>
          <w:p w14:paraId="2F8AF94A" w14:textId="77777777" w:rsidR="00B901C0" w:rsidRPr="00F6284E" w:rsidRDefault="00B901C0" w:rsidP="002A58BE">
            <w:pPr>
              <w:ind w:right="284"/>
              <w:jc w:val="right"/>
              <w:rPr>
                <w:rFonts w:ascii="Arial" w:hAnsi="Arial"/>
                <w:sz w:val="18"/>
              </w:rPr>
            </w:pPr>
            <w:r w:rsidRPr="000B3C14">
              <w:rPr>
                <w:sz w:val="18"/>
              </w:rPr>
              <w:t>-</w:t>
            </w:r>
          </w:p>
        </w:tc>
        <w:tc>
          <w:tcPr>
            <w:tcW w:w="2899" w:type="dxa"/>
            <w:vAlign w:val="center"/>
          </w:tcPr>
          <w:p w14:paraId="018A60A1" w14:textId="0E66A314" w:rsidR="00B901C0" w:rsidRPr="00F6284E" w:rsidRDefault="00B901C0" w:rsidP="002A58BE">
            <w:pPr>
              <w:ind w:right="284"/>
              <w:jc w:val="right"/>
              <w:rPr>
                <w:rFonts w:ascii="Arial" w:hAnsi="Arial"/>
                <w:sz w:val="18"/>
              </w:rPr>
            </w:pPr>
            <w:r w:rsidRPr="00F6284E">
              <w:rPr>
                <w:sz w:val="18"/>
              </w:rPr>
              <w:t>1.6± 0.9 (3)</w:t>
            </w:r>
          </w:p>
        </w:tc>
      </w:tr>
      <w:tr w:rsidR="00B901C0" w:rsidRPr="007154FB" w14:paraId="781BF920" w14:textId="77777777" w:rsidTr="00BC19E6">
        <w:trPr>
          <w:trHeight w:val="227"/>
          <w:jc w:val="center"/>
        </w:trPr>
        <w:tc>
          <w:tcPr>
            <w:tcW w:w="1717" w:type="dxa"/>
            <w:vAlign w:val="center"/>
          </w:tcPr>
          <w:p w14:paraId="208F7DEE" w14:textId="381CEC17" w:rsidR="00B901C0" w:rsidRPr="000B3C14" w:rsidRDefault="00B901C0" w:rsidP="00A111E9">
            <w:pPr>
              <w:rPr>
                <w:rFonts w:ascii="Arial" w:hAnsi="Arial"/>
                <w:sz w:val="18"/>
              </w:rPr>
            </w:pPr>
            <w:r w:rsidRPr="00D711DD">
              <w:rPr>
                <w:sz w:val="18"/>
              </w:rPr>
              <w:t>100</w:t>
            </w:r>
          </w:p>
        </w:tc>
        <w:tc>
          <w:tcPr>
            <w:tcW w:w="2268" w:type="dxa"/>
            <w:vAlign w:val="center"/>
          </w:tcPr>
          <w:p w14:paraId="3BDED0D4" w14:textId="77777777" w:rsidR="00B901C0" w:rsidRPr="00F6284E" w:rsidRDefault="00B901C0" w:rsidP="002A58BE">
            <w:pPr>
              <w:ind w:right="284"/>
              <w:jc w:val="right"/>
              <w:rPr>
                <w:rFonts w:ascii="Arial" w:hAnsi="Arial"/>
                <w:sz w:val="18"/>
              </w:rPr>
            </w:pPr>
            <w:r w:rsidRPr="000B3C14">
              <w:rPr>
                <w:sz w:val="18"/>
              </w:rPr>
              <w:t>-</w:t>
            </w:r>
          </w:p>
        </w:tc>
        <w:tc>
          <w:tcPr>
            <w:tcW w:w="2899" w:type="dxa"/>
            <w:vAlign w:val="center"/>
          </w:tcPr>
          <w:p w14:paraId="6DFE25C9" w14:textId="3316949B" w:rsidR="00B901C0" w:rsidRPr="00F6284E" w:rsidRDefault="00B901C0" w:rsidP="002A58BE">
            <w:pPr>
              <w:ind w:right="284"/>
              <w:jc w:val="right"/>
              <w:rPr>
                <w:rFonts w:ascii="Arial" w:hAnsi="Arial"/>
                <w:sz w:val="18"/>
              </w:rPr>
            </w:pPr>
            <w:r w:rsidRPr="00F6284E">
              <w:rPr>
                <w:sz w:val="18"/>
              </w:rPr>
              <w:t>2.5± 0.9(2)</w:t>
            </w:r>
          </w:p>
        </w:tc>
      </w:tr>
    </w:tbl>
    <w:p w14:paraId="4ED34ABB" w14:textId="02AF39BF" w:rsidR="007154FB" w:rsidRPr="007154FB" w:rsidRDefault="007154FB" w:rsidP="002A58BE">
      <w:pPr>
        <w:spacing w:before="120"/>
        <w:ind w:right="1134"/>
        <w:rPr>
          <w:rFonts w:cs="Arial"/>
          <w:sz w:val="16"/>
          <w:szCs w:val="16"/>
          <w:lang w:bidi="ar-SA"/>
        </w:rPr>
      </w:pPr>
      <w:r w:rsidRPr="007154FB">
        <w:rPr>
          <w:rFonts w:cs="Arial"/>
          <w:sz w:val="16"/>
          <w:szCs w:val="16"/>
          <w:lang w:bidi="ar-SA"/>
        </w:rPr>
        <w:t xml:space="preserve">Blood was collected from the vena cava at the time of sacrifice. Data are expressed as group mean ± </w:t>
      </w:r>
      <w:r w:rsidR="004436E7">
        <w:rPr>
          <w:rFonts w:cs="Arial"/>
          <w:sz w:val="16"/>
          <w:szCs w:val="16"/>
          <w:lang w:bidi="ar-SA"/>
        </w:rPr>
        <w:t>standard deviation</w:t>
      </w:r>
      <w:r w:rsidRPr="007154FB">
        <w:rPr>
          <w:rFonts w:cs="Arial"/>
          <w:sz w:val="16"/>
          <w:szCs w:val="16"/>
          <w:lang w:bidi="ar-SA"/>
        </w:rPr>
        <w:t>, with number of animals (n) in parentheses.</w:t>
      </w:r>
    </w:p>
    <w:p w14:paraId="1AE6DA47" w14:textId="77777777" w:rsidR="007154FB" w:rsidRPr="007154FB" w:rsidRDefault="007154FB" w:rsidP="002A58BE">
      <w:pPr>
        <w:ind w:right="1132"/>
        <w:rPr>
          <w:rFonts w:cs="Arial"/>
          <w:sz w:val="16"/>
          <w:szCs w:val="16"/>
          <w:lang w:bidi="ar-SA"/>
        </w:rPr>
      </w:pPr>
      <w:r w:rsidRPr="007154FB">
        <w:rPr>
          <w:rFonts w:cs="Arial"/>
          <w:sz w:val="16"/>
          <w:szCs w:val="16"/>
          <w:lang w:bidi="ar-SA"/>
        </w:rPr>
        <w:t>Pf Pair-fed controls</w:t>
      </w:r>
    </w:p>
    <w:p w14:paraId="25509050" w14:textId="128AF38F" w:rsidR="007154FB" w:rsidRPr="007154FB" w:rsidRDefault="007154FB" w:rsidP="002A58BE">
      <w:pPr>
        <w:ind w:right="1132"/>
        <w:rPr>
          <w:rFonts w:cs="Arial"/>
          <w:sz w:val="16"/>
          <w:szCs w:val="16"/>
          <w:lang w:bidi="ar-SA"/>
        </w:rPr>
      </w:pPr>
      <w:r w:rsidRPr="007154FB">
        <w:rPr>
          <w:rFonts w:cs="Arial"/>
          <w:sz w:val="16"/>
          <w:szCs w:val="16"/>
          <w:lang w:bidi="ar-SA"/>
        </w:rPr>
        <w:t>Limit of detection 0.7 µg/mL</w:t>
      </w:r>
    </w:p>
    <w:p w14:paraId="1EBD2195" w14:textId="77777777" w:rsidR="007154FB" w:rsidRPr="007154FB" w:rsidRDefault="007154FB" w:rsidP="002A58BE">
      <w:pPr>
        <w:ind w:right="1132"/>
        <w:rPr>
          <w:rFonts w:cs="Arial"/>
          <w:sz w:val="16"/>
          <w:szCs w:val="16"/>
          <w:lang w:bidi="ar-SA"/>
        </w:rPr>
      </w:pPr>
      <w:r w:rsidRPr="007154FB">
        <w:rPr>
          <w:rFonts w:cs="Arial"/>
          <w:sz w:val="16"/>
          <w:szCs w:val="16"/>
          <w:lang w:bidi="ar-SA"/>
        </w:rPr>
        <w:t>R Recovery</w:t>
      </w:r>
    </w:p>
    <w:p w14:paraId="58BE26C5" w14:textId="77AE7EC0" w:rsidR="007154FB" w:rsidRPr="007154FB" w:rsidRDefault="007154FB" w:rsidP="002A58BE">
      <w:pPr>
        <w:ind w:right="1132"/>
        <w:rPr>
          <w:rFonts w:cs="Arial"/>
          <w:sz w:val="16"/>
          <w:szCs w:val="16"/>
          <w:lang w:bidi="ar-SA"/>
        </w:rPr>
      </w:pPr>
      <w:r w:rsidRPr="007154FB">
        <w:rPr>
          <w:rFonts w:cs="Arial"/>
          <w:sz w:val="16"/>
          <w:szCs w:val="16"/>
          <w:lang w:bidi="ar-SA"/>
        </w:rPr>
        <w:t>-</w:t>
      </w:r>
      <w:r w:rsidRPr="007154FB">
        <w:rPr>
          <w:rFonts w:cs="Arial"/>
          <w:sz w:val="16"/>
          <w:szCs w:val="16"/>
        </w:rPr>
        <w:t xml:space="preserve"> not applicable</w:t>
      </w:r>
    </w:p>
    <w:p w14:paraId="11E24503" w14:textId="792746DF" w:rsidR="007154FB" w:rsidRPr="007154FB" w:rsidRDefault="007154FB" w:rsidP="002A58BE">
      <w:pPr>
        <w:ind w:right="1132"/>
        <w:rPr>
          <w:rFonts w:cs="Arial"/>
          <w:sz w:val="16"/>
          <w:szCs w:val="16"/>
          <w:vertAlign w:val="superscript"/>
        </w:rPr>
      </w:pPr>
      <w:r w:rsidRPr="007154FB">
        <w:rPr>
          <w:rFonts w:cs="Arial"/>
          <w:sz w:val="16"/>
          <w:szCs w:val="16"/>
          <w:vertAlign w:val="superscript"/>
          <w:lang w:bidi="ar-SA"/>
        </w:rPr>
        <w:t xml:space="preserve">1 </w:t>
      </w:r>
      <w:r w:rsidRPr="007154FB">
        <w:rPr>
          <w:rFonts w:cs="Arial"/>
          <w:sz w:val="16"/>
          <w:szCs w:val="16"/>
          <w:lang w:bidi="ar-SA"/>
        </w:rPr>
        <w:t>Sprague</w:t>
      </w:r>
      <w:r w:rsidR="00032CF6">
        <w:rPr>
          <w:rFonts w:cs="Arial"/>
          <w:sz w:val="16"/>
          <w:szCs w:val="16"/>
          <w:lang w:bidi="ar-SA"/>
        </w:rPr>
        <w:t xml:space="preserve"> </w:t>
      </w:r>
      <w:r w:rsidRPr="007154FB">
        <w:rPr>
          <w:rFonts w:cs="Arial"/>
          <w:sz w:val="16"/>
          <w:szCs w:val="16"/>
          <w:lang w:bidi="ar-SA"/>
        </w:rPr>
        <w:t>Dawley derived</w:t>
      </w:r>
    </w:p>
    <w:p w14:paraId="307E37B7" w14:textId="4A8E423E" w:rsidR="007154FB" w:rsidRPr="007154FB" w:rsidRDefault="007154FB" w:rsidP="002A58BE">
      <w:pPr>
        <w:ind w:right="1132"/>
        <w:rPr>
          <w:rFonts w:cs="Arial"/>
          <w:sz w:val="16"/>
          <w:szCs w:val="16"/>
        </w:rPr>
      </w:pPr>
      <w:r w:rsidRPr="007154FB">
        <w:rPr>
          <w:rFonts w:cs="Arial"/>
          <w:b/>
          <w:sz w:val="16"/>
          <w:szCs w:val="16"/>
          <w:vertAlign w:val="superscript"/>
        </w:rPr>
        <w:t xml:space="preserve">2 </w:t>
      </w:r>
      <w:r w:rsidRPr="007154FB">
        <w:rPr>
          <w:rFonts w:cs="Arial"/>
          <w:sz w:val="16"/>
          <w:szCs w:val="16"/>
        </w:rPr>
        <w:t xml:space="preserve">values taken from Table 2, Perkins </w:t>
      </w:r>
      <w:r w:rsidR="00180A32" w:rsidRPr="00180A32">
        <w:rPr>
          <w:rFonts w:cs="Arial"/>
          <w:i/>
          <w:sz w:val="16"/>
          <w:szCs w:val="16"/>
        </w:rPr>
        <w:t xml:space="preserve">et al. </w:t>
      </w:r>
      <w:r w:rsidR="00CC50B8">
        <w:rPr>
          <w:rFonts w:cs="Arial"/>
          <w:sz w:val="16"/>
          <w:szCs w:val="16"/>
        </w:rPr>
        <w:t xml:space="preserve"> </w:t>
      </w:r>
      <w:r w:rsidRPr="007154FB">
        <w:rPr>
          <w:rFonts w:cs="Arial"/>
          <w:sz w:val="16"/>
          <w:szCs w:val="16"/>
        </w:rPr>
        <w:t>2004 (Animals fed APFO; dose levels in terms of APFO but serum levels in terms of PFOA)</w:t>
      </w:r>
    </w:p>
    <w:p w14:paraId="752C4716" w14:textId="77777777" w:rsidR="007154FB" w:rsidRPr="007154FB" w:rsidRDefault="007154FB" w:rsidP="00A111E9"/>
    <w:p w14:paraId="203E09D5" w14:textId="77777777" w:rsidR="00F85EB2" w:rsidRDefault="00F85EB2" w:rsidP="00A111E9">
      <w:pPr>
        <w:widowControl/>
        <w:rPr>
          <w:b/>
          <w:bCs/>
          <w:color w:val="4F81BD" w:themeColor="accent1"/>
          <w:sz w:val="18"/>
          <w:szCs w:val="18"/>
        </w:rPr>
      </w:pPr>
      <w:r>
        <w:br w:type="page"/>
      </w:r>
    </w:p>
    <w:p w14:paraId="55786D59" w14:textId="1A648234" w:rsidR="004F7359" w:rsidRPr="00A4621E" w:rsidRDefault="004F7359" w:rsidP="00A111E9">
      <w:r w:rsidRPr="004F7359">
        <w:rPr>
          <w:b/>
          <w:szCs w:val="22"/>
          <w:lang w:bidi="ar-SA"/>
        </w:rPr>
        <w:lastRenderedPageBreak/>
        <w:t>Goldenthal (1978)</w:t>
      </w:r>
      <w:r w:rsidRPr="004F7359">
        <w:rPr>
          <w:b/>
          <w:sz w:val="20"/>
          <w:szCs w:val="20"/>
          <w:lang w:bidi="ar-SA"/>
        </w:rPr>
        <w:t xml:space="preserve"> </w:t>
      </w:r>
      <w:r w:rsidRPr="004F7359">
        <w:rPr>
          <w:b/>
          <w:szCs w:val="22"/>
          <w:lang w:bidi="ar-SA"/>
        </w:rPr>
        <w:t>90-day oral gavage study in Rhesus monkeys</w:t>
      </w:r>
      <w:r w:rsidRPr="004F7359">
        <w:rPr>
          <w:b/>
          <w:sz w:val="20"/>
          <w:szCs w:val="20"/>
          <w:lang w:bidi="ar-SA"/>
        </w:rPr>
        <w:t xml:space="preserve"> </w:t>
      </w:r>
    </w:p>
    <w:p w14:paraId="0807D84F" w14:textId="77777777" w:rsidR="004F7359" w:rsidRPr="004F7359" w:rsidRDefault="004F7359" w:rsidP="00A111E9">
      <w:pPr>
        <w:rPr>
          <w:lang w:bidi="ar-SA"/>
        </w:rPr>
      </w:pPr>
    </w:p>
    <w:p w14:paraId="30021489" w14:textId="1CE3CF86" w:rsidR="004F7359" w:rsidRPr="004F7359" w:rsidRDefault="004F7359" w:rsidP="00A111E9">
      <w:pPr>
        <w:rPr>
          <w:lang w:bidi="ar-SA"/>
        </w:rPr>
      </w:pPr>
      <w:r w:rsidRPr="004F7359">
        <w:rPr>
          <w:lang w:bidi="ar-SA"/>
        </w:rPr>
        <w:t>In this 90-day study, Rhesus monkeys, 2/sex/group, administered 0, 3, 10, 30 or 100 mg</w:t>
      </w:r>
      <w:r w:rsidR="00F20BCE">
        <w:rPr>
          <w:lang w:bidi="ar-SA"/>
        </w:rPr>
        <w:t>/kg bw/day</w:t>
      </w:r>
      <w:r w:rsidRPr="004F7359">
        <w:rPr>
          <w:lang w:bidi="ar-SA"/>
        </w:rPr>
        <w:t xml:space="preserve"> PFOA by oral gavage. Monkeys were individually housed under standard laboratory husbandry conditions. Clinical observations were recorded twice daily, and monkeys were weighed weekly. Blood and urine samples were collected pre</w:t>
      </w:r>
      <w:r w:rsidR="00CC26CA">
        <w:rPr>
          <w:lang w:bidi="ar-SA"/>
        </w:rPr>
        <w:t>study</w:t>
      </w:r>
      <w:r w:rsidRPr="004F7359">
        <w:rPr>
          <w:lang w:bidi="ar-SA"/>
        </w:rPr>
        <w:t xml:space="preserve"> and at 30 and 90 days for standard haematology, serum biochemistry and urinalysis. All surviving monkeys were terminated for necropsy at the end of the treatment period, and monkeys dying prior to the end of the study were also necropsied. Fresh weights of heart, liver, adrenals, spleen, pituitary, kidneys, gonads and brain, and fixed weights of thyroids with parathyroids, were recorded. A comprehensive list of tissues was collected for histopathology.</w:t>
      </w:r>
    </w:p>
    <w:p w14:paraId="5ADA8A55" w14:textId="77777777" w:rsidR="004F7359" w:rsidRPr="004F7359" w:rsidRDefault="004F7359" w:rsidP="00A111E9">
      <w:pPr>
        <w:rPr>
          <w:lang w:bidi="ar-SA"/>
        </w:rPr>
      </w:pPr>
    </w:p>
    <w:p w14:paraId="0CF9D26C" w14:textId="6A9CF7DB" w:rsidR="004F7359" w:rsidRPr="004F7359" w:rsidRDefault="004F7359" w:rsidP="00A111E9">
      <w:pPr>
        <w:rPr>
          <w:lang w:bidi="ar-SA"/>
        </w:rPr>
      </w:pPr>
      <w:r w:rsidRPr="004F7359">
        <w:rPr>
          <w:lang w:bidi="ar-SA"/>
        </w:rPr>
        <w:t xml:space="preserve">All monkeys dosed with 100 </w:t>
      </w:r>
      <w:r w:rsidR="00F20BCE">
        <w:rPr>
          <w:lang w:bidi="ar-SA"/>
        </w:rPr>
        <w:t>mg/kg bw/day</w:t>
      </w:r>
      <w:r w:rsidRPr="004F7359">
        <w:rPr>
          <w:lang w:bidi="ar-SA"/>
        </w:rPr>
        <w:t xml:space="preserve"> died between weeks 2 and 5, and 3 of the monkeys (both females and one male) dosed with 30 mg/kg bw/day also died during the study. Clinical signs prior to death included anorexia, emesis, decreased activity, swollen face and eyes, black stools, prostration and trembling. All monkeys dosed with </w:t>
      </w:r>
      <w:r w:rsidRPr="004F7359">
        <w:rPr>
          <w:rFonts w:cs="Arial"/>
          <w:lang w:bidi="ar-SA"/>
        </w:rPr>
        <w:t>≤</w:t>
      </w:r>
      <w:r w:rsidRPr="004F7359">
        <w:rPr>
          <w:lang w:bidi="ar-SA"/>
        </w:rPr>
        <w:t xml:space="preserve"> 10 mg/kg bw/day survived to scheduled termination, but one monkey had pallor and swollen face in week 7 and black stools in week 12. No clinical signs attributable to toxicity were observed in the 3 mg/kg bw/day group.</w:t>
      </w:r>
    </w:p>
    <w:p w14:paraId="670A3028" w14:textId="77777777" w:rsidR="004F7359" w:rsidRPr="004F7359" w:rsidRDefault="004F7359" w:rsidP="00A111E9">
      <w:pPr>
        <w:rPr>
          <w:lang w:bidi="ar-SA"/>
        </w:rPr>
      </w:pPr>
    </w:p>
    <w:p w14:paraId="0CE64DD8" w14:textId="1C53EDDD" w:rsidR="004F7359" w:rsidRPr="004F7359" w:rsidRDefault="004F7359" w:rsidP="00A111E9">
      <w:pPr>
        <w:rPr>
          <w:lang w:bidi="ar-SA"/>
        </w:rPr>
      </w:pPr>
      <w:r w:rsidRPr="004F7359">
        <w:rPr>
          <w:lang w:bidi="ar-SA"/>
        </w:rPr>
        <w:t xml:space="preserve">There were no treatment-related effects on body weight or clinical pathology parameters at ≤ 10 mg/kg bw/day. In contrast, monkeys dosed with </w:t>
      </w:r>
      <w:r w:rsidRPr="004F7359">
        <w:rPr>
          <w:rFonts w:cs="Arial"/>
          <w:lang w:bidi="ar-SA"/>
        </w:rPr>
        <w:t>≥</w:t>
      </w:r>
      <w:r w:rsidRPr="004F7359">
        <w:rPr>
          <w:lang w:bidi="ar-SA"/>
        </w:rPr>
        <w:t xml:space="preserve"> 30 mg/kg bw/day showed decreased body weight after </w:t>
      </w:r>
      <w:r w:rsidR="0007229B">
        <w:rPr>
          <w:lang w:bidi="ar-SA"/>
        </w:rPr>
        <w:t>w</w:t>
      </w:r>
      <w:r w:rsidRPr="004F7359">
        <w:rPr>
          <w:lang w:bidi="ar-SA"/>
        </w:rPr>
        <w:t xml:space="preserve">eek 1, and the body weight of the one surviving male in the 30 mg/kg bw/day group was significantly lower than those of control males. In the first month of the study, the 30 mg/kg bw/day monkeys had significantly increased activated partial thromboplastin time (APTT) and prothrombin time (PT), and in the third month, the one surviving monkey in that group had even longer APTT and PT, and also had anaemia. The 30 mg/kg bw/day monkeys also had a significant decrease in serum </w:t>
      </w:r>
      <w:r w:rsidR="004A6334">
        <w:rPr>
          <w:lang w:bidi="ar-SA"/>
        </w:rPr>
        <w:t>alkaline phosphatase (</w:t>
      </w:r>
      <w:r w:rsidRPr="004F7359">
        <w:rPr>
          <w:lang w:bidi="ar-SA"/>
        </w:rPr>
        <w:t>ALP</w:t>
      </w:r>
      <w:r w:rsidR="004A6334">
        <w:rPr>
          <w:lang w:bidi="ar-SA"/>
        </w:rPr>
        <w:t>)</w:t>
      </w:r>
      <w:r w:rsidRPr="004F7359">
        <w:rPr>
          <w:lang w:bidi="ar-SA"/>
        </w:rPr>
        <w:t xml:space="preserve"> in the first month of study, and this change was also evident in the third month in the one surviving monkey in the group, as well as significant decreases in blood sugar, total protein, and albumin, and a slight elevation in cholesterol. No treatment-related changes in urinalysis were discovered.</w:t>
      </w:r>
    </w:p>
    <w:p w14:paraId="7A450CBD" w14:textId="77777777" w:rsidR="004F7359" w:rsidRPr="004F7359" w:rsidRDefault="004F7359" w:rsidP="00A111E9">
      <w:pPr>
        <w:rPr>
          <w:lang w:bidi="ar-SA"/>
        </w:rPr>
      </w:pPr>
    </w:p>
    <w:p w14:paraId="4606B47B" w14:textId="4E87EE73" w:rsidR="004F7359" w:rsidRPr="004F7359" w:rsidRDefault="004F7359" w:rsidP="00A111E9">
      <w:pPr>
        <w:rPr>
          <w:lang w:bidi="ar-SA"/>
        </w:rPr>
      </w:pPr>
      <w:r w:rsidRPr="004F7359">
        <w:rPr>
          <w:lang w:bidi="ar-SA"/>
        </w:rPr>
        <w:t xml:space="preserve">No treatment-related gross lesions were found on scheduled or unscheduled necropsies. At necropsy, females in the 10 mg/kg bw/day group had significantly lower absolute and relative heart weights, and lower brain weights, than control females. Mean absolute heart weight of 10 mg/kg bw/day females was 11.77 g while that of control females was 15.05 g (i.e. group mean heart weight was 78.2% that of controls). Corresponding values for heart weight relative to </w:t>
      </w:r>
      <w:r w:rsidR="00E83E80">
        <w:rPr>
          <w:lang w:bidi="ar-SA"/>
        </w:rPr>
        <w:t>body weight</w:t>
      </w:r>
      <w:r w:rsidRPr="004F7359">
        <w:rPr>
          <w:lang w:bidi="ar-SA"/>
        </w:rPr>
        <w:t xml:space="preserve"> were 0.32% and 0.44% respectively. Group mean absolute brain weight of the 10 mg/kg bw/day females was 76.54 g, compared to 82.10 g for control females (i.e. 93.2 % of control group mean). Relative brain weights were also lower than those of control or 3 mg/kg bw/day females, but the difference did not reach statistical significance.</w:t>
      </w:r>
    </w:p>
    <w:p w14:paraId="0A46BC43" w14:textId="77777777" w:rsidR="004F7359" w:rsidRPr="004F7359" w:rsidRDefault="004F7359" w:rsidP="00A111E9">
      <w:pPr>
        <w:rPr>
          <w:lang w:bidi="ar-SA"/>
        </w:rPr>
      </w:pPr>
    </w:p>
    <w:p w14:paraId="4721BD96" w14:textId="3AF1003E" w:rsidR="004F7359" w:rsidRPr="004F7359" w:rsidRDefault="004F7359" w:rsidP="00A111E9">
      <w:pPr>
        <w:rPr>
          <w:color w:val="4BACC6" w:themeColor="accent5"/>
        </w:rPr>
      </w:pPr>
      <w:r w:rsidRPr="004F7359">
        <w:rPr>
          <w:lang w:bidi="ar-SA"/>
        </w:rPr>
        <w:t xml:space="preserve">No treatment-related microscopic changes were observed in organs of monkeys treated with </w:t>
      </w:r>
      <w:r w:rsidRPr="004F7359">
        <w:rPr>
          <w:rFonts w:cs="Arial"/>
          <w:lang w:bidi="ar-SA"/>
        </w:rPr>
        <w:t>≤</w:t>
      </w:r>
      <w:r w:rsidRPr="004F7359">
        <w:rPr>
          <w:lang w:bidi="ar-SA"/>
        </w:rPr>
        <w:t xml:space="preserve"> 10 mg/kg bw/day. Consistent microscopic findings in the </w:t>
      </w:r>
      <w:r w:rsidRPr="004F7359">
        <w:rPr>
          <w:rFonts w:cs="Arial"/>
          <w:lang w:bidi="ar-SA"/>
        </w:rPr>
        <w:t>≥</w:t>
      </w:r>
      <w:r w:rsidRPr="004F7359">
        <w:rPr>
          <w:lang w:bidi="ar-SA"/>
        </w:rPr>
        <w:t xml:space="preserve"> 30 mg/kg bw/day monkeys that died prior to scheduled termination included marked diffuse lipid depletion in the adrenal glands, slight to moderate hypocellularity of bone marrow, moderate atrophy of the lymphoid follicles of the spleen and lymph nodes. The one male in the 30 mg/kg bw/day group that survived to scheduled termination also had slight to moderate hypocellularity of the bone marrow and moderate lymphoid follicle atrophy in the spleen.</w:t>
      </w:r>
      <w:r w:rsidR="00064C40" w:rsidRPr="004F7359">
        <w:rPr>
          <w:color w:val="4BACC6" w:themeColor="accent5"/>
        </w:rPr>
        <w:t xml:space="preserve"> </w:t>
      </w:r>
    </w:p>
    <w:p w14:paraId="3FE1D058" w14:textId="77777777" w:rsidR="00F85EB2" w:rsidRDefault="00F85EB2" w:rsidP="00A111E9">
      <w:pPr>
        <w:widowControl/>
        <w:rPr>
          <w:b/>
          <w:lang w:bidi="ar-SA"/>
        </w:rPr>
      </w:pPr>
      <w:r>
        <w:rPr>
          <w:b/>
          <w:lang w:bidi="ar-SA"/>
        </w:rPr>
        <w:br w:type="page"/>
      </w:r>
    </w:p>
    <w:p w14:paraId="7472F77C" w14:textId="68E56E1E" w:rsidR="004F7359" w:rsidRPr="004F7359" w:rsidRDefault="004F7359" w:rsidP="00A111E9">
      <w:pPr>
        <w:rPr>
          <w:b/>
          <w:lang w:bidi="ar-SA"/>
        </w:rPr>
      </w:pPr>
      <w:r w:rsidRPr="004F7359">
        <w:rPr>
          <w:b/>
          <w:lang w:bidi="ar-SA"/>
        </w:rPr>
        <w:lastRenderedPageBreak/>
        <w:t xml:space="preserve">Butenhoff </w:t>
      </w:r>
      <w:r w:rsidR="00180A32" w:rsidRPr="00180A32">
        <w:rPr>
          <w:b/>
          <w:i/>
        </w:rPr>
        <w:t xml:space="preserve">et al. </w:t>
      </w:r>
      <w:r w:rsidR="00CC50B8">
        <w:rPr>
          <w:b/>
        </w:rPr>
        <w:t xml:space="preserve"> </w:t>
      </w:r>
      <w:r w:rsidRPr="004F7359">
        <w:rPr>
          <w:b/>
          <w:lang w:bidi="ar-SA"/>
        </w:rPr>
        <w:t xml:space="preserve">2002 26-week oral capsule study in </w:t>
      </w:r>
      <w:r w:rsidR="00F20BCE">
        <w:rPr>
          <w:b/>
          <w:lang w:bidi="ar-SA"/>
        </w:rPr>
        <w:t>cynomolgus</w:t>
      </w:r>
      <w:r w:rsidR="00F20BCE" w:rsidRPr="004F7359">
        <w:rPr>
          <w:b/>
          <w:lang w:bidi="ar-SA"/>
        </w:rPr>
        <w:t xml:space="preserve"> </w:t>
      </w:r>
      <w:r w:rsidRPr="004F7359">
        <w:rPr>
          <w:b/>
          <w:lang w:bidi="ar-SA"/>
        </w:rPr>
        <w:t xml:space="preserve">monkeys </w:t>
      </w:r>
    </w:p>
    <w:p w14:paraId="798D41A3" w14:textId="77777777" w:rsidR="004F7359" w:rsidRPr="004F7359" w:rsidRDefault="004F7359" w:rsidP="00A111E9">
      <w:pPr>
        <w:rPr>
          <w:lang w:bidi="ar-SA"/>
        </w:rPr>
      </w:pPr>
    </w:p>
    <w:p w14:paraId="3B1BF224" w14:textId="1FA06713" w:rsidR="004F7359" w:rsidRPr="004F7359" w:rsidRDefault="004F7359" w:rsidP="00A111E9">
      <w:pPr>
        <w:rPr>
          <w:lang w:bidi="ar-SA"/>
        </w:rPr>
      </w:pPr>
      <w:r w:rsidRPr="004F7359">
        <w:rPr>
          <w:lang w:bidi="ar-SA"/>
        </w:rPr>
        <w:t xml:space="preserve">Male </w:t>
      </w:r>
      <w:r w:rsidR="005E0DC9">
        <w:rPr>
          <w:lang w:bidi="ar-SA"/>
        </w:rPr>
        <w:t>cynomolgus</w:t>
      </w:r>
      <w:r w:rsidR="005E0DC9" w:rsidRPr="004F7359">
        <w:rPr>
          <w:lang w:bidi="ar-SA"/>
        </w:rPr>
        <w:t xml:space="preserve"> </w:t>
      </w:r>
      <w:r w:rsidRPr="004F7359">
        <w:rPr>
          <w:lang w:bidi="ar-SA"/>
        </w:rPr>
        <w:t>monkeys were assigned to four groups. The control, mid- and high</w:t>
      </w:r>
      <w:r w:rsidR="001012A5">
        <w:rPr>
          <w:lang w:bidi="ar-SA"/>
        </w:rPr>
        <w:t xml:space="preserve"> </w:t>
      </w:r>
      <w:r w:rsidRPr="004F7359">
        <w:rPr>
          <w:lang w:bidi="ar-SA"/>
        </w:rPr>
        <w:t>dose groups comprised six monkeys/group while the low</w:t>
      </w:r>
      <w:r w:rsidR="001012A5">
        <w:rPr>
          <w:lang w:bidi="ar-SA"/>
        </w:rPr>
        <w:t xml:space="preserve"> </w:t>
      </w:r>
      <w:r w:rsidRPr="004F7359">
        <w:rPr>
          <w:lang w:bidi="ar-SA"/>
        </w:rPr>
        <w:t>dose group comprised four monkeys. Gelatin</w:t>
      </w:r>
      <w:r w:rsidR="001B6877">
        <w:rPr>
          <w:lang w:bidi="ar-SA"/>
        </w:rPr>
        <w:t>e</w:t>
      </w:r>
      <w:r w:rsidRPr="004F7359">
        <w:rPr>
          <w:lang w:bidi="ar-SA"/>
        </w:rPr>
        <w:t xml:space="preserve"> capsules, empty for the control group and containing AFPO for treated groups, were administered daily by the oral route. The low and mid-dose groups were treated with 3 and 10 mg/kg bw/day respectively, for 26 weeks. The high</w:t>
      </w:r>
      <w:r w:rsidR="001012A5">
        <w:rPr>
          <w:lang w:bidi="ar-SA"/>
        </w:rPr>
        <w:t xml:space="preserve"> </w:t>
      </w:r>
      <w:r w:rsidRPr="004F7359">
        <w:rPr>
          <w:lang w:bidi="ar-SA"/>
        </w:rPr>
        <w:t xml:space="preserve">dose group was initially treated with 30 mg/kg bw/day but this was discontinued on </w:t>
      </w:r>
      <w:r w:rsidR="0094513D">
        <w:rPr>
          <w:lang w:bidi="ar-SA"/>
        </w:rPr>
        <w:t>d</w:t>
      </w:r>
      <w:r w:rsidRPr="004F7359">
        <w:rPr>
          <w:lang w:bidi="ar-SA"/>
        </w:rPr>
        <w:t>ay 12 due to toxicity issues and treatment of the high</w:t>
      </w:r>
      <w:r w:rsidR="001012A5">
        <w:rPr>
          <w:lang w:bidi="ar-SA"/>
        </w:rPr>
        <w:t xml:space="preserve"> </w:t>
      </w:r>
      <w:r w:rsidRPr="004F7359">
        <w:rPr>
          <w:lang w:bidi="ar-SA"/>
        </w:rPr>
        <w:t xml:space="preserve">dose group was resumed on </w:t>
      </w:r>
      <w:r w:rsidR="0094513D">
        <w:rPr>
          <w:lang w:bidi="ar-SA"/>
        </w:rPr>
        <w:t>d</w:t>
      </w:r>
      <w:r w:rsidRPr="004F7359">
        <w:rPr>
          <w:lang w:bidi="ar-SA"/>
        </w:rPr>
        <w:t>ay 22 at 20 mg/kg bw/day. Treatment of three of the six high</w:t>
      </w:r>
      <w:r w:rsidR="001012A5">
        <w:rPr>
          <w:lang w:bidi="ar-SA"/>
        </w:rPr>
        <w:t xml:space="preserve"> </w:t>
      </w:r>
      <w:r w:rsidRPr="004F7359">
        <w:rPr>
          <w:lang w:bidi="ar-SA"/>
        </w:rPr>
        <w:t xml:space="preserve">dose monkeys was discontinued on </w:t>
      </w:r>
      <w:r w:rsidR="0094513D">
        <w:rPr>
          <w:lang w:bidi="ar-SA"/>
        </w:rPr>
        <w:t>d</w:t>
      </w:r>
      <w:r w:rsidRPr="004F7359">
        <w:rPr>
          <w:lang w:bidi="ar-SA"/>
        </w:rPr>
        <w:t>ay 43 due to further toxicity issues. Two monkeys from the control group and the mid-dose (10 mg/kg bw/day) group were assigned to a 13 week recovery period.</w:t>
      </w:r>
    </w:p>
    <w:p w14:paraId="3A252685" w14:textId="77777777" w:rsidR="004F7359" w:rsidRPr="004F7359" w:rsidRDefault="004F7359" w:rsidP="00A111E9">
      <w:pPr>
        <w:rPr>
          <w:lang w:bidi="ar-SA"/>
        </w:rPr>
      </w:pPr>
    </w:p>
    <w:p w14:paraId="3E43952F" w14:textId="19C240DF" w:rsidR="004F7359" w:rsidRPr="004F7359" w:rsidRDefault="004F7359" w:rsidP="00A111E9">
      <w:pPr>
        <w:rPr>
          <w:lang w:bidi="ar-SA"/>
        </w:rPr>
      </w:pPr>
      <w:r w:rsidRPr="004F7359">
        <w:rPr>
          <w:lang w:bidi="ar-SA"/>
        </w:rPr>
        <w:t>Monkeys were housed under standard laboratory husbandry conditions. In-life parameters were daily clinical observations, weekly body weight determination, and ophthalmic examinations pre</w:t>
      </w:r>
      <w:r w:rsidR="00CC26CA">
        <w:rPr>
          <w:lang w:bidi="ar-SA"/>
        </w:rPr>
        <w:t>study</w:t>
      </w:r>
      <w:r w:rsidRPr="004F7359">
        <w:rPr>
          <w:lang w:bidi="ar-SA"/>
        </w:rPr>
        <w:t>, in week 27 and, for recovery cohorts, at the end of the recovery period.</w:t>
      </w:r>
    </w:p>
    <w:p w14:paraId="41BEEFE2" w14:textId="77777777" w:rsidR="004F7359" w:rsidRPr="004F7359" w:rsidRDefault="004F7359" w:rsidP="00A111E9">
      <w:pPr>
        <w:rPr>
          <w:lang w:bidi="ar-SA"/>
        </w:rPr>
      </w:pPr>
    </w:p>
    <w:p w14:paraId="550599B3" w14:textId="099CF0BB" w:rsidR="004F7359" w:rsidRPr="004F7359" w:rsidRDefault="004F7359" w:rsidP="00A111E9">
      <w:pPr>
        <w:rPr>
          <w:lang w:bidi="ar-SA"/>
        </w:rPr>
      </w:pPr>
      <w:r w:rsidRPr="004F7359">
        <w:rPr>
          <w:lang w:bidi="ar-SA"/>
        </w:rPr>
        <w:t>Blood and urine for clinical pathology were collected pre</w:t>
      </w:r>
      <w:r w:rsidR="00CC26CA">
        <w:rPr>
          <w:lang w:bidi="ar-SA"/>
        </w:rPr>
        <w:t>study</w:t>
      </w:r>
      <w:r w:rsidRPr="004F7359">
        <w:rPr>
          <w:lang w:bidi="ar-SA"/>
        </w:rPr>
        <w:t xml:space="preserve">, on </w:t>
      </w:r>
      <w:r w:rsidR="00185513">
        <w:rPr>
          <w:lang w:bidi="ar-SA"/>
        </w:rPr>
        <w:t>d</w:t>
      </w:r>
      <w:r w:rsidRPr="004F7359">
        <w:rPr>
          <w:lang w:bidi="ar-SA"/>
        </w:rPr>
        <w:t xml:space="preserve">ays 31, 63, 91, and 182 of treatment, and during the recovery phase on </w:t>
      </w:r>
      <w:r w:rsidR="00185513">
        <w:rPr>
          <w:lang w:bidi="ar-SA"/>
        </w:rPr>
        <w:t>d</w:t>
      </w:r>
      <w:r w:rsidRPr="004F7359">
        <w:rPr>
          <w:lang w:bidi="ar-SA"/>
        </w:rPr>
        <w:t xml:space="preserve">ays 217, 245, and 275. Blood was collected for hormone analysis on </w:t>
      </w:r>
      <w:r w:rsidR="00185513">
        <w:rPr>
          <w:lang w:bidi="ar-SA"/>
        </w:rPr>
        <w:t>d</w:t>
      </w:r>
      <w:r w:rsidRPr="004F7359">
        <w:rPr>
          <w:lang w:bidi="ar-SA"/>
        </w:rPr>
        <w:t xml:space="preserve">ays –18, –8, and –4, during treatment on </w:t>
      </w:r>
      <w:r w:rsidR="00185513">
        <w:rPr>
          <w:lang w:bidi="ar-SA"/>
        </w:rPr>
        <w:t>d</w:t>
      </w:r>
      <w:r w:rsidRPr="004F7359">
        <w:rPr>
          <w:lang w:bidi="ar-SA"/>
        </w:rPr>
        <w:t xml:space="preserve">ays 35, 66, 94, and 183, and during the recovery phase on </w:t>
      </w:r>
      <w:r w:rsidR="00185513">
        <w:rPr>
          <w:lang w:bidi="ar-SA"/>
        </w:rPr>
        <w:t>d</w:t>
      </w:r>
      <w:r w:rsidRPr="004F7359">
        <w:rPr>
          <w:lang w:bidi="ar-SA"/>
        </w:rPr>
        <w:t xml:space="preserve">ays 220, 248, and 276. Blood was collected every two weeks from </w:t>
      </w:r>
      <w:r w:rsidR="0007229B">
        <w:rPr>
          <w:lang w:bidi="ar-SA"/>
        </w:rPr>
        <w:t>w</w:t>
      </w:r>
      <w:r w:rsidRPr="004F7359">
        <w:rPr>
          <w:lang w:bidi="ar-SA"/>
        </w:rPr>
        <w:t>eek 2 and analysed for PFOA concentration</w:t>
      </w:r>
    </w:p>
    <w:p w14:paraId="52E657BF" w14:textId="77777777" w:rsidR="004F7359" w:rsidRPr="004F7359" w:rsidRDefault="004F7359" w:rsidP="00A111E9">
      <w:pPr>
        <w:rPr>
          <w:lang w:bidi="ar-SA"/>
        </w:rPr>
      </w:pPr>
    </w:p>
    <w:p w14:paraId="69C10D8E" w14:textId="7D339969" w:rsidR="004F7359" w:rsidRPr="004F7359" w:rsidRDefault="004F7359" w:rsidP="00A111E9">
      <w:pPr>
        <w:rPr>
          <w:lang w:bidi="ar-SA"/>
        </w:rPr>
      </w:pPr>
      <w:r w:rsidRPr="004F7359">
        <w:rPr>
          <w:lang w:bidi="ar-SA"/>
        </w:rPr>
        <w:t>Necropsies were performed on all monkeys including those euthani</w:t>
      </w:r>
      <w:r w:rsidR="001B6877">
        <w:rPr>
          <w:lang w:bidi="ar-SA"/>
        </w:rPr>
        <w:t>s</w:t>
      </w:r>
      <w:r w:rsidRPr="004F7359">
        <w:rPr>
          <w:lang w:bidi="ar-SA"/>
        </w:rPr>
        <w:t>ed before scheduled termination. Weights of adrenals, brain, epididymis, kidneys, liver, pancreas, testes, and thyroids with parathyroids were recorded. Samples of the right lateral lobe of the livers, and a sample of bile were collected from all monkeys and flash-frozen in liquid nitrogen. Flash-frozen liver was analysed for PFOA content and palmitoyl CoA oxidase activity, and bile was analysed for specific bile acids. A comprehensive list of tissues was preserved, processed and stained with haematoxylin and eosin for light microscopy. In addition, samples of the left lateral lobe of the liver, left and right testes and the pancreas were collected from each, fixed, processed, and stained for proliferating cell nuclear antigen (PCNA).</w:t>
      </w:r>
    </w:p>
    <w:p w14:paraId="2E31F241" w14:textId="77777777" w:rsidR="004F7359" w:rsidRPr="004F7359" w:rsidRDefault="004F7359" w:rsidP="00A111E9">
      <w:pPr>
        <w:rPr>
          <w:lang w:bidi="ar-SA"/>
        </w:rPr>
      </w:pPr>
    </w:p>
    <w:p w14:paraId="4D277025" w14:textId="679EF979" w:rsidR="004F7359" w:rsidRPr="004F7359" w:rsidRDefault="004F7359" w:rsidP="00A111E9">
      <w:pPr>
        <w:rPr>
          <w:lang w:bidi="ar-SA"/>
        </w:rPr>
      </w:pPr>
      <w:r w:rsidRPr="004F7359">
        <w:rPr>
          <w:lang w:bidi="ar-SA"/>
        </w:rPr>
        <w:t>One monkey in the 3 mg/kg bw/day group was euthani</w:t>
      </w:r>
      <w:r w:rsidR="001B6877">
        <w:rPr>
          <w:lang w:bidi="ar-SA"/>
        </w:rPr>
        <w:t>s</w:t>
      </w:r>
      <w:r w:rsidRPr="004F7359">
        <w:rPr>
          <w:lang w:bidi="ar-SA"/>
        </w:rPr>
        <w:t xml:space="preserve">ed for bacterial septicaemia, unrelated to treatment, on </w:t>
      </w:r>
      <w:r w:rsidR="00185513">
        <w:rPr>
          <w:lang w:bidi="ar-SA"/>
        </w:rPr>
        <w:t>d</w:t>
      </w:r>
      <w:r w:rsidRPr="004F7359">
        <w:rPr>
          <w:lang w:bidi="ar-SA"/>
        </w:rPr>
        <w:t xml:space="preserve">ay 15 and replaced on </w:t>
      </w:r>
      <w:r w:rsidR="00185513">
        <w:rPr>
          <w:lang w:bidi="ar-SA"/>
        </w:rPr>
        <w:t>d</w:t>
      </w:r>
      <w:r w:rsidRPr="004F7359">
        <w:rPr>
          <w:lang w:bidi="ar-SA"/>
        </w:rPr>
        <w:t xml:space="preserve">ay 17. All monkeys in the 10 mg/kg bw/day group survived to scheduled termination. Signs of toxicity in the 30 mg/kg bw/day group that led to suspension of dosing and introduction of a lower dose (20 mg/kg bw/day) were anorexia and weight loss. Dosing of three monkeys in this group was discontinued on </w:t>
      </w:r>
      <w:r w:rsidR="00185513">
        <w:rPr>
          <w:lang w:bidi="ar-SA"/>
        </w:rPr>
        <w:t>d</w:t>
      </w:r>
      <w:r w:rsidRPr="004F7359">
        <w:rPr>
          <w:lang w:bidi="ar-SA"/>
        </w:rPr>
        <w:t>ays 43, 66, or 81 because of recurrence of the same clinical signs. A sixth monkey in this group was euthani</w:t>
      </w:r>
      <w:r w:rsidR="001B6877">
        <w:rPr>
          <w:lang w:bidi="ar-SA"/>
        </w:rPr>
        <w:t>s</w:t>
      </w:r>
      <w:r w:rsidRPr="004F7359">
        <w:rPr>
          <w:lang w:bidi="ar-SA"/>
        </w:rPr>
        <w:t xml:space="preserve">ed in moribund condition on </w:t>
      </w:r>
      <w:r w:rsidR="00185513">
        <w:rPr>
          <w:lang w:bidi="ar-SA"/>
        </w:rPr>
        <w:t>d</w:t>
      </w:r>
      <w:r w:rsidRPr="004F7359">
        <w:rPr>
          <w:lang w:bidi="ar-SA"/>
        </w:rPr>
        <w:t>ay 29 with marked weight loss, and was found on necropsy to have suffered dosing injury. This monkey also had hepatocellular degeneration, necrosis and regeneration.</w:t>
      </w:r>
    </w:p>
    <w:p w14:paraId="7D060EAF" w14:textId="77777777" w:rsidR="004F7359" w:rsidRPr="004F7359" w:rsidRDefault="004F7359" w:rsidP="00A111E9">
      <w:pPr>
        <w:rPr>
          <w:lang w:bidi="ar-SA"/>
        </w:rPr>
      </w:pPr>
    </w:p>
    <w:p w14:paraId="6C6E4835" w14:textId="2F115083" w:rsidR="004F7359" w:rsidRPr="004F7359" w:rsidRDefault="004F7359" w:rsidP="00A111E9">
      <w:pPr>
        <w:rPr>
          <w:lang w:bidi="ar-SA"/>
        </w:rPr>
      </w:pPr>
      <w:r w:rsidRPr="004F7359">
        <w:rPr>
          <w:lang w:bidi="ar-SA"/>
        </w:rPr>
        <w:t>Clinical signs, food consumption, and body weights were unaffected by treatment in all monkeys receiving 3 and 10 mg/kg bw/day. One monkey in the 3 mg/kg bw/day group was euthani</w:t>
      </w:r>
      <w:r w:rsidR="001B6877">
        <w:rPr>
          <w:lang w:bidi="ar-SA"/>
        </w:rPr>
        <w:t>s</w:t>
      </w:r>
      <w:r w:rsidRPr="004F7359">
        <w:rPr>
          <w:lang w:bidi="ar-SA"/>
        </w:rPr>
        <w:t xml:space="preserve">ed in moribund condition on </w:t>
      </w:r>
      <w:r w:rsidR="00185513">
        <w:rPr>
          <w:lang w:bidi="ar-SA"/>
        </w:rPr>
        <w:t>d</w:t>
      </w:r>
      <w:r w:rsidRPr="004F7359">
        <w:rPr>
          <w:lang w:bidi="ar-SA"/>
        </w:rPr>
        <w:t>ay 137 but this was considered to be unrelated to treatment. Administration of PFOA had no effect on ophthalmologic findings.</w:t>
      </w:r>
    </w:p>
    <w:p w14:paraId="5DD50406" w14:textId="77777777" w:rsidR="004F7359" w:rsidRPr="004F7359" w:rsidRDefault="004F7359" w:rsidP="00A111E9">
      <w:pPr>
        <w:rPr>
          <w:lang w:bidi="ar-SA"/>
        </w:rPr>
      </w:pPr>
    </w:p>
    <w:p w14:paraId="5008543D" w14:textId="464A82D0" w:rsidR="004F7359" w:rsidRPr="004F7359" w:rsidRDefault="004F7359" w:rsidP="00A111E9">
      <w:pPr>
        <w:rPr>
          <w:lang w:bidi="ar-SA"/>
        </w:rPr>
      </w:pPr>
      <w:r w:rsidRPr="004F7359">
        <w:rPr>
          <w:lang w:bidi="ar-SA"/>
        </w:rPr>
        <w:t>The two 10 mg/kg bw/day monkeys that were assigned to the recovery phase gained less weight during recovery than the control monkeys assigned to the recovery period. However</w:t>
      </w:r>
      <w:r w:rsidR="007F02A2">
        <w:rPr>
          <w:lang w:bidi="ar-SA"/>
        </w:rPr>
        <w:t>,</w:t>
      </w:r>
      <w:r w:rsidRPr="004F7359">
        <w:rPr>
          <w:lang w:bidi="ar-SA"/>
        </w:rPr>
        <w:t xml:space="preserve"> this finding is considered to be unlikely to be treatment-related, because there were no significant differences between the body weights or body weight changes of the 10 mg/kg bw/day monkeys and the control monkeys during the dosing phase.</w:t>
      </w:r>
    </w:p>
    <w:p w14:paraId="6A947DE0" w14:textId="77777777" w:rsidR="004F7359" w:rsidRPr="004F7359" w:rsidRDefault="004F7359" w:rsidP="00A111E9">
      <w:pPr>
        <w:rPr>
          <w:lang w:bidi="ar-SA"/>
        </w:rPr>
      </w:pPr>
    </w:p>
    <w:p w14:paraId="5DADF2C9" w14:textId="6130EDE2" w:rsidR="004F7359" w:rsidRPr="004F7359" w:rsidRDefault="004F7359" w:rsidP="00A111E9">
      <w:pPr>
        <w:rPr>
          <w:lang w:bidi="ar-SA"/>
        </w:rPr>
      </w:pPr>
      <w:r w:rsidRPr="004F7359">
        <w:rPr>
          <w:lang w:bidi="ar-SA"/>
        </w:rPr>
        <w:lastRenderedPageBreak/>
        <w:t xml:space="preserve">There were no treatment-related effects on haematology, clinical chemistry or urinalysis at dose levels </w:t>
      </w:r>
      <w:r w:rsidRPr="004F7359">
        <w:rPr>
          <w:rFonts w:cs="Arial"/>
          <w:lang w:bidi="ar-SA"/>
        </w:rPr>
        <w:t>≤</w:t>
      </w:r>
      <w:r w:rsidRPr="004F7359">
        <w:rPr>
          <w:lang w:bidi="ar-SA"/>
        </w:rPr>
        <w:t xml:space="preserve"> 10 mg/kg bw/day. Small but significant increases in serum triglycerides</w:t>
      </w:r>
      <w:r w:rsidR="00CB765A">
        <w:rPr>
          <w:lang w:bidi="ar-SA"/>
        </w:rPr>
        <w:t xml:space="preserve"> were found</w:t>
      </w:r>
      <w:r w:rsidRPr="004F7359">
        <w:rPr>
          <w:lang w:bidi="ar-SA"/>
        </w:rPr>
        <w:t xml:space="preserve"> on </w:t>
      </w:r>
      <w:r w:rsidR="00185513">
        <w:rPr>
          <w:lang w:bidi="ar-SA"/>
        </w:rPr>
        <w:t>d</w:t>
      </w:r>
      <w:r w:rsidRPr="004F7359">
        <w:rPr>
          <w:lang w:bidi="ar-SA"/>
        </w:rPr>
        <w:t>ays 31, 63 and 91 in the 30/20 mg/kg bw/day group. The two monkeys in the 3</w:t>
      </w:r>
      <w:r w:rsidR="00F20BCE">
        <w:rPr>
          <w:lang w:bidi="ar-SA"/>
        </w:rPr>
        <w:t>0</w:t>
      </w:r>
      <w:r w:rsidRPr="004F7359">
        <w:rPr>
          <w:lang w:bidi="ar-SA"/>
        </w:rPr>
        <w:t xml:space="preserve">/20 mg/kg bw/day group that were still alive on </w:t>
      </w:r>
      <w:r w:rsidR="00185513">
        <w:rPr>
          <w:lang w:bidi="ar-SA"/>
        </w:rPr>
        <w:t>d</w:t>
      </w:r>
      <w:r w:rsidRPr="004F7359">
        <w:rPr>
          <w:lang w:bidi="ar-SA"/>
        </w:rPr>
        <w:t xml:space="preserve">ays 91 and 182 also had mild to marked decreases in absolute neutrophil count, total protein concentration and albumin concentration. On </w:t>
      </w:r>
      <w:r w:rsidR="00185513">
        <w:rPr>
          <w:lang w:bidi="ar-SA"/>
        </w:rPr>
        <w:t>d</w:t>
      </w:r>
      <w:r w:rsidRPr="004F7359">
        <w:rPr>
          <w:lang w:bidi="ar-SA"/>
        </w:rPr>
        <w:t xml:space="preserve">ay 63, the monkey for which treatment was stopped on </w:t>
      </w:r>
      <w:r w:rsidR="00185513">
        <w:rPr>
          <w:lang w:bidi="ar-SA"/>
        </w:rPr>
        <w:t>d</w:t>
      </w:r>
      <w:r w:rsidRPr="004F7359">
        <w:rPr>
          <w:lang w:bidi="ar-SA"/>
        </w:rPr>
        <w:t>ay 66 had m</w:t>
      </w:r>
      <w:r w:rsidR="00D25FA1">
        <w:rPr>
          <w:lang w:bidi="ar-SA"/>
        </w:rPr>
        <w:t xml:space="preserve">arked increases in AST, ALT, creatine kinase </w:t>
      </w:r>
      <w:r w:rsidRPr="004F7359">
        <w:rPr>
          <w:lang w:bidi="ar-SA"/>
        </w:rPr>
        <w:t xml:space="preserve">and sorbitol dehydrogenase, as well as an increase in bile acids. The same enzymes were significantly increased in the monkey that was terminated in moribund condition on </w:t>
      </w:r>
      <w:r w:rsidR="00185513">
        <w:rPr>
          <w:lang w:bidi="ar-SA"/>
        </w:rPr>
        <w:t>d</w:t>
      </w:r>
      <w:r w:rsidRPr="004F7359">
        <w:rPr>
          <w:lang w:bidi="ar-SA"/>
        </w:rPr>
        <w:t>ay 29, and that monkey also had a marked decrease in serum cholesterol.</w:t>
      </w:r>
    </w:p>
    <w:p w14:paraId="7547DEE2" w14:textId="77777777" w:rsidR="004F7359" w:rsidRPr="004F7359" w:rsidRDefault="004F7359" w:rsidP="00A111E9">
      <w:pPr>
        <w:rPr>
          <w:lang w:bidi="ar-SA"/>
        </w:rPr>
      </w:pPr>
    </w:p>
    <w:p w14:paraId="613E8A72" w14:textId="6837B44C" w:rsidR="004F7359" w:rsidRPr="004F7359" w:rsidRDefault="004F7359" w:rsidP="00A111E9">
      <w:pPr>
        <w:rPr>
          <w:lang w:bidi="ar-SA"/>
        </w:rPr>
      </w:pPr>
      <w:r w:rsidRPr="004F7359">
        <w:rPr>
          <w:lang w:bidi="ar-SA"/>
        </w:rPr>
        <w:t xml:space="preserve">There were no treatment-related effects on circulating levels of </w:t>
      </w:r>
      <w:r w:rsidR="00BE205C">
        <w:rPr>
          <w:lang w:bidi="ar-SA"/>
        </w:rPr>
        <w:t>estradiol</w:t>
      </w:r>
      <w:r w:rsidRPr="004F7359">
        <w:rPr>
          <w:lang w:bidi="ar-SA"/>
        </w:rPr>
        <w:t>, testosterone, cholecystokinin, TSH, free thyroxine or total thyroxine.</w:t>
      </w:r>
    </w:p>
    <w:p w14:paraId="37522B7B" w14:textId="77777777" w:rsidR="004F7359" w:rsidRPr="004F7359" w:rsidRDefault="004F7359" w:rsidP="00A111E9">
      <w:pPr>
        <w:rPr>
          <w:lang w:bidi="ar-SA"/>
        </w:rPr>
      </w:pPr>
    </w:p>
    <w:p w14:paraId="665ACF05" w14:textId="1459F9FA" w:rsidR="004F7359" w:rsidRPr="004F7359" w:rsidRDefault="004F7359" w:rsidP="00A111E9">
      <w:pPr>
        <w:rPr>
          <w:lang w:bidi="ar-SA"/>
        </w:rPr>
      </w:pPr>
      <w:r w:rsidRPr="004F7359">
        <w:rPr>
          <w:lang w:bidi="ar-SA"/>
        </w:rPr>
        <w:t xml:space="preserve">In monkeys treated with 30/20 mg/kg bw/day, liver tissue collected and flash-frozen at necropsy had a group mean significantly decreased DNA concentration and succinate dehydrogenase activity, and significantly increased </w:t>
      </w:r>
      <w:r w:rsidR="00CB765A">
        <w:rPr>
          <w:lang w:bidi="ar-SA"/>
        </w:rPr>
        <w:t>cyanide</w:t>
      </w:r>
      <w:r w:rsidRPr="004F7359">
        <w:rPr>
          <w:vertAlign w:val="superscript"/>
          <w:lang w:bidi="ar-SA"/>
        </w:rPr>
        <w:t>—</w:t>
      </w:r>
      <w:r w:rsidRPr="004F7359">
        <w:rPr>
          <w:lang w:bidi="ar-SA"/>
        </w:rPr>
        <w:t xml:space="preserve">insensitive palmitoyl CoA oxidation, which is a peroxisomal marker. Group mean hepatic DNA concentration of monkeys treated with </w:t>
      </w:r>
      <w:r w:rsidRPr="004F7359">
        <w:rPr>
          <w:rFonts w:cs="Arial"/>
          <w:lang w:bidi="ar-SA"/>
        </w:rPr>
        <w:t>≤</w:t>
      </w:r>
      <w:r w:rsidRPr="004F7359">
        <w:rPr>
          <w:lang w:bidi="ar-SA"/>
        </w:rPr>
        <w:t xml:space="preserve"> 10 mg/kg bw/day was also lower than that of controls, but not to a statistically significant extent. There was no evidence of increased cell proliferation in liver, pancreas </w:t>
      </w:r>
      <w:r w:rsidR="00CB765A">
        <w:rPr>
          <w:lang w:bidi="ar-SA"/>
        </w:rPr>
        <w:t>or</w:t>
      </w:r>
      <w:r w:rsidR="00CB765A" w:rsidRPr="004F7359">
        <w:rPr>
          <w:lang w:bidi="ar-SA"/>
        </w:rPr>
        <w:t xml:space="preserve"> </w:t>
      </w:r>
      <w:r w:rsidRPr="004F7359">
        <w:rPr>
          <w:lang w:bidi="ar-SA"/>
        </w:rPr>
        <w:t>testes, as measured by PCNA, in any group.</w:t>
      </w:r>
    </w:p>
    <w:p w14:paraId="44C4DBA4" w14:textId="77777777" w:rsidR="004F7359" w:rsidRPr="004F7359" w:rsidRDefault="004F7359" w:rsidP="00A111E9">
      <w:pPr>
        <w:rPr>
          <w:lang w:bidi="ar-SA"/>
        </w:rPr>
      </w:pPr>
    </w:p>
    <w:p w14:paraId="4F2B00D6" w14:textId="505A73BE" w:rsidR="004F7359" w:rsidRPr="004F7359" w:rsidRDefault="004F7359" w:rsidP="00A111E9">
      <w:pPr>
        <w:rPr>
          <w:lang w:bidi="ar-SA"/>
        </w:rPr>
      </w:pPr>
      <w:r w:rsidRPr="004F7359">
        <w:rPr>
          <w:lang w:bidi="ar-SA"/>
        </w:rPr>
        <w:t>Steady-state values for serum PFOA appeared to be reached after 4 to 6 weeks of daily dosing. Liver PFOA levels were not elevated in the 10 mg/kg bw/day monkeys that were killed at the end of the recovery period.</w:t>
      </w:r>
    </w:p>
    <w:p w14:paraId="3FCBFEEA" w14:textId="77777777" w:rsidR="004F7359" w:rsidRPr="004F7359" w:rsidRDefault="004F7359" w:rsidP="00A111E9">
      <w:pPr>
        <w:rPr>
          <w:lang w:bidi="ar-SA"/>
        </w:rPr>
      </w:pPr>
    </w:p>
    <w:p w14:paraId="0FFF2370" w14:textId="496FC09E" w:rsidR="004F7359" w:rsidRPr="004F7359" w:rsidRDefault="004F7359" w:rsidP="00A111E9">
      <w:pPr>
        <w:rPr>
          <w:lang w:bidi="ar-SA"/>
        </w:rPr>
      </w:pPr>
      <w:r w:rsidRPr="004F7359">
        <w:rPr>
          <w:lang w:bidi="ar-SA"/>
        </w:rPr>
        <w:t>Absolute liver weight was significantly elevated in all treated groups as compared to controls at the end of the treatment period, although liver weight relative to body weight was only significantly elevated in the 30/20 mg/kg bw/day monkeys that survived to scheduled necropsy. The increase in liver weight was reversible, in that it was not evident in the 10 mg/kg bw/day monkeys necropsied at the end of the recovery period. No gross or histological lesions were found in any monkeys that survived to scheduled necropsy.</w:t>
      </w:r>
    </w:p>
    <w:p w14:paraId="49FF3DA7" w14:textId="77777777" w:rsidR="004F7359" w:rsidRPr="004F7359" w:rsidRDefault="004F7359" w:rsidP="00A111E9">
      <w:pPr>
        <w:rPr>
          <w:lang w:bidi="ar-SA"/>
        </w:rPr>
      </w:pPr>
    </w:p>
    <w:p w14:paraId="5FED11D3" w14:textId="5F3D3FAB" w:rsidR="004F7359" w:rsidRPr="004F7359" w:rsidRDefault="004F7359" w:rsidP="00A111E9">
      <w:pPr>
        <w:rPr>
          <w:lang w:bidi="ar-SA"/>
        </w:rPr>
      </w:pPr>
      <w:r w:rsidRPr="004F7359">
        <w:rPr>
          <w:lang w:bidi="ar-SA"/>
        </w:rPr>
        <w:t xml:space="preserve">The increase in absolute liver weight in the monkeys treated with </w:t>
      </w:r>
      <w:r w:rsidRPr="004F7359">
        <w:rPr>
          <w:rFonts w:cs="Arial"/>
          <w:lang w:bidi="ar-SA"/>
        </w:rPr>
        <w:t>≤</w:t>
      </w:r>
      <w:r w:rsidRPr="004F7359">
        <w:rPr>
          <w:lang w:bidi="ar-SA"/>
        </w:rPr>
        <w:t>10 mg/kg bw/day was not associated with any detectable microscopic changes and was reversible, and therefore not considered to be an adverse effect. The NOAEL was 10 mg/kg bw/day based on clinical signs, decreased body weight and hepatic toxicity at the high</w:t>
      </w:r>
      <w:r w:rsidR="001012A5">
        <w:rPr>
          <w:lang w:bidi="ar-SA"/>
        </w:rPr>
        <w:t xml:space="preserve"> </w:t>
      </w:r>
      <w:r w:rsidRPr="004F7359">
        <w:rPr>
          <w:lang w:bidi="ar-SA"/>
        </w:rPr>
        <w:t>dose.</w:t>
      </w:r>
    </w:p>
    <w:p w14:paraId="24D1A38C" w14:textId="77777777" w:rsidR="004F7359" w:rsidRDefault="004F7359" w:rsidP="00A111E9">
      <w:pPr>
        <w:rPr>
          <w:lang w:bidi="ar-SA"/>
        </w:rPr>
      </w:pPr>
    </w:p>
    <w:p w14:paraId="23F04B27" w14:textId="23A052C5" w:rsidR="008F10A1" w:rsidRPr="004F7359" w:rsidRDefault="008F10A1" w:rsidP="00A111E9">
      <w:pPr>
        <w:pStyle w:val="FSTableTitle"/>
        <w:rPr>
          <w:lang w:bidi="ar-SA"/>
        </w:rPr>
      </w:pPr>
      <w:r w:rsidRPr="008F10A1">
        <w:t xml:space="preserve">Table </w:t>
      </w:r>
      <w:r w:rsidR="00DA3475">
        <w:t>22</w:t>
      </w:r>
      <w:r w:rsidRPr="008F10A1">
        <w:t xml:space="preserve">: </w:t>
      </w:r>
      <w:r w:rsidRPr="008F10A1">
        <w:rPr>
          <w:lang w:bidi="ar-SA"/>
        </w:rPr>
        <w:t xml:space="preserve">Mean serum levels (µg/mL) of PFOA in Male </w:t>
      </w:r>
      <w:r w:rsidR="00F20BCE">
        <w:rPr>
          <w:lang w:bidi="ar-SA"/>
        </w:rPr>
        <w:t>cynomolgus</w:t>
      </w:r>
      <w:r w:rsidR="00F20BCE" w:rsidRPr="008F10A1">
        <w:rPr>
          <w:lang w:bidi="ar-SA"/>
        </w:rPr>
        <w:t xml:space="preserve"> </w:t>
      </w:r>
      <w:r w:rsidR="00F20BCE">
        <w:rPr>
          <w:lang w:bidi="ar-SA"/>
        </w:rPr>
        <w:t>m</w:t>
      </w:r>
      <w:r w:rsidR="00F20BCE" w:rsidRPr="008F10A1">
        <w:rPr>
          <w:lang w:bidi="ar-SA"/>
        </w:rPr>
        <w:t xml:space="preserve">onkeys </w:t>
      </w:r>
      <w:r w:rsidR="00F20BCE">
        <w:rPr>
          <w:lang w:bidi="ar-SA"/>
        </w:rPr>
        <w:t>d</w:t>
      </w:r>
      <w:r w:rsidR="00F20BCE" w:rsidRPr="008F10A1">
        <w:rPr>
          <w:lang w:bidi="ar-SA"/>
        </w:rPr>
        <w:t xml:space="preserve">osed </w:t>
      </w:r>
      <w:r w:rsidRPr="008F10A1">
        <w:rPr>
          <w:lang w:bidi="ar-SA"/>
        </w:rPr>
        <w:t xml:space="preserve">by </w:t>
      </w:r>
      <w:r w:rsidR="00F20BCE">
        <w:rPr>
          <w:lang w:bidi="ar-SA"/>
        </w:rPr>
        <w:t>o</w:t>
      </w:r>
      <w:r w:rsidR="00F20BCE" w:rsidRPr="008F10A1">
        <w:rPr>
          <w:lang w:bidi="ar-SA"/>
        </w:rPr>
        <w:t xml:space="preserve">ral </w:t>
      </w:r>
      <w:r w:rsidR="00F20BCE">
        <w:rPr>
          <w:lang w:bidi="ar-SA"/>
        </w:rPr>
        <w:t>c</w:t>
      </w:r>
      <w:r w:rsidR="00F20BCE" w:rsidRPr="008F10A1">
        <w:rPr>
          <w:lang w:bidi="ar-SA"/>
        </w:rPr>
        <w:t xml:space="preserve">apsule </w:t>
      </w:r>
      <w:r w:rsidRPr="008F10A1">
        <w:rPr>
          <w:lang w:bidi="ar-SA"/>
        </w:rPr>
        <w:t>for 180 days</w:t>
      </w:r>
    </w:p>
    <w:tbl>
      <w:tblPr>
        <w:tblStyle w:val="TableGrid"/>
        <w:tblW w:w="0" w:type="auto"/>
        <w:jc w:val="center"/>
        <w:tblLook w:val="04A0" w:firstRow="1" w:lastRow="0" w:firstColumn="1" w:lastColumn="0" w:noHBand="0" w:noVBand="1"/>
        <w:tblCaption w:val="Table 22: Mean serum levels (µg/mL) of PFOA in Male cynomolgus monkeys dosed by oral capsule for 180 days"/>
        <w:tblDescription w:val="This table contains data relating to mean serum levels (µg/mL) of PFOA in Male cynomolgus monkeys dosed by oral capsule for 180 days."/>
      </w:tblPr>
      <w:tblGrid>
        <w:gridCol w:w="2121"/>
        <w:gridCol w:w="2840"/>
        <w:gridCol w:w="3814"/>
      </w:tblGrid>
      <w:tr w:rsidR="008F10A1" w:rsidRPr="00161F25" w14:paraId="50D01DF2" w14:textId="77777777" w:rsidTr="002A58BE">
        <w:trPr>
          <w:tblHeader/>
          <w:jc w:val="center"/>
        </w:trPr>
        <w:tc>
          <w:tcPr>
            <w:tcW w:w="2121" w:type="dxa"/>
            <w:shd w:val="clear" w:color="auto" w:fill="F2F2F2" w:themeFill="background1" w:themeFillShade="F2"/>
          </w:tcPr>
          <w:p w14:paraId="0861E5EC" w14:textId="77777777" w:rsidR="008F10A1" w:rsidRPr="00616493" w:rsidRDefault="008F10A1" w:rsidP="00A111E9">
            <w:pPr>
              <w:spacing w:before="40" w:after="40"/>
              <w:rPr>
                <w:b/>
                <w:vertAlign w:val="superscript"/>
                <w:lang w:bidi="ar-SA"/>
              </w:rPr>
            </w:pPr>
            <w:r w:rsidRPr="00161F25">
              <w:rPr>
                <w:b/>
                <w:lang w:bidi="ar-SA"/>
              </w:rPr>
              <w:t>Dose (</w:t>
            </w:r>
            <w:r>
              <w:rPr>
                <w:b/>
                <w:lang w:bidi="ar-SA"/>
              </w:rPr>
              <w:t>mg/kg bw/day</w:t>
            </w:r>
            <w:r w:rsidRPr="00161F25">
              <w:rPr>
                <w:b/>
                <w:lang w:bidi="ar-SA"/>
              </w:rPr>
              <w:t>)</w:t>
            </w:r>
          </w:p>
        </w:tc>
        <w:tc>
          <w:tcPr>
            <w:tcW w:w="2840" w:type="dxa"/>
            <w:shd w:val="clear" w:color="auto" w:fill="F2F2F2" w:themeFill="background1" w:themeFillShade="F2"/>
          </w:tcPr>
          <w:p w14:paraId="2EBE473B" w14:textId="77777777" w:rsidR="008F10A1" w:rsidRPr="00161F25" w:rsidRDefault="008F10A1" w:rsidP="00A111E9">
            <w:pPr>
              <w:spacing w:before="40" w:after="40"/>
              <w:rPr>
                <w:b/>
                <w:lang w:bidi="ar-SA"/>
              </w:rPr>
            </w:pPr>
            <w:r>
              <w:rPr>
                <w:b/>
                <w:lang w:bidi="ar-SA"/>
              </w:rPr>
              <w:t xml:space="preserve">Week </w:t>
            </w:r>
            <w:r w:rsidRPr="00161F25">
              <w:rPr>
                <w:b/>
                <w:lang w:bidi="ar-SA"/>
              </w:rPr>
              <w:t>of treatment</w:t>
            </w:r>
          </w:p>
        </w:tc>
        <w:tc>
          <w:tcPr>
            <w:tcW w:w="3814" w:type="dxa"/>
            <w:shd w:val="clear" w:color="auto" w:fill="F2F2F2" w:themeFill="background1" w:themeFillShade="F2"/>
          </w:tcPr>
          <w:p w14:paraId="54BF7AA0" w14:textId="77777777" w:rsidR="008F10A1" w:rsidRPr="00161F25" w:rsidRDefault="008F10A1" w:rsidP="00A111E9">
            <w:pPr>
              <w:spacing w:before="40" w:after="40"/>
              <w:rPr>
                <w:b/>
                <w:lang w:bidi="ar-SA"/>
              </w:rPr>
            </w:pPr>
            <w:r>
              <w:rPr>
                <w:b/>
                <w:lang w:bidi="ar-SA"/>
              </w:rPr>
              <w:t>Serum level</w:t>
            </w:r>
          </w:p>
        </w:tc>
      </w:tr>
      <w:tr w:rsidR="008F10A1" w14:paraId="76AFA9DD" w14:textId="77777777" w:rsidTr="00F6284E">
        <w:trPr>
          <w:trHeight w:val="227"/>
          <w:jc w:val="center"/>
        </w:trPr>
        <w:tc>
          <w:tcPr>
            <w:tcW w:w="2121" w:type="dxa"/>
            <w:vAlign w:val="center"/>
          </w:tcPr>
          <w:p w14:paraId="5B19B43D" w14:textId="77777777" w:rsidR="008F10A1" w:rsidRPr="000B3C14" w:rsidRDefault="008F10A1" w:rsidP="00A111E9">
            <w:pPr>
              <w:ind w:right="284"/>
              <w:rPr>
                <w:rFonts w:ascii="Arial" w:hAnsi="Arial"/>
                <w:sz w:val="18"/>
              </w:rPr>
            </w:pPr>
            <w:r w:rsidRPr="00D711DD">
              <w:rPr>
                <w:sz w:val="18"/>
              </w:rPr>
              <w:t>3</w:t>
            </w:r>
          </w:p>
        </w:tc>
        <w:tc>
          <w:tcPr>
            <w:tcW w:w="2840" w:type="dxa"/>
            <w:vAlign w:val="center"/>
          </w:tcPr>
          <w:p w14:paraId="04247483" w14:textId="77777777" w:rsidR="008F10A1" w:rsidRPr="00F6284E" w:rsidRDefault="008F10A1" w:rsidP="00A111E9">
            <w:pPr>
              <w:ind w:right="284"/>
              <w:rPr>
                <w:rFonts w:ascii="Arial" w:hAnsi="Arial"/>
                <w:sz w:val="18"/>
              </w:rPr>
            </w:pPr>
            <w:r w:rsidRPr="000B3C14">
              <w:rPr>
                <w:sz w:val="18"/>
              </w:rPr>
              <w:t>Mean 6-26</w:t>
            </w:r>
          </w:p>
        </w:tc>
        <w:tc>
          <w:tcPr>
            <w:tcW w:w="3814" w:type="dxa"/>
            <w:vAlign w:val="center"/>
          </w:tcPr>
          <w:p w14:paraId="05966BBB" w14:textId="4BC06DE5" w:rsidR="008F10A1" w:rsidRPr="00F6284E" w:rsidRDefault="008F10A1" w:rsidP="00A111E9">
            <w:pPr>
              <w:ind w:right="170"/>
              <w:rPr>
                <w:rFonts w:ascii="Arial" w:hAnsi="Arial"/>
                <w:sz w:val="18"/>
              </w:rPr>
            </w:pPr>
            <w:r w:rsidRPr="00F6284E">
              <w:rPr>
                <w:sz w:val="18"/>
              </w:rPr>
              <w:t>77± 39 ( 10-154)</w:t>
            </w:r>
          </w:p>
        </w:tc>
      </w:tr>
      <w:tr w:rsidR="008F10A1" w14:paraId="3C4C6A4A" w14:textId="77777777" w:rsidTr="00F6284E">
        <w:trPr>
          <w:trHeight w:val="227"/>
          <w:jc w:val="center"/>
        </w:trPr>
        <w:tc>
          <w:tcPr>
            <w:tcW w:w="2121" w:type="dxa"/>
            <w:vAlign w:val="center"/>
          </w:tcPr>
          <w:p w14:paraId="4C1487AF" w14:textId="77777777" w:rsidR="008F10A1" w:rsidRPr="000B3C14" w:rsidRDefault="008F10A1" w:rsidP="00A111E9">
            <w:pPr>
              <w:ind w:right="284"/>
              <w:rPr>
                <w:rFonts w:ascii="Arial" w:hAnsi="Arial"/>
                <w:sz w:val="18"/>
              </w:rPr>
            </w:pPr>
            <w:r w:rsidRPr="00D711DD">
              <w:rPr>
                <w:sz w:val="18"/>
              </w:rPr>
              <w:t>10</w:t>
            </w:r>
          </w:p>
        </w:tc>
        <w:tc>
          <w:tcPr>
            <w:tcW w:w="2840" w:type="dxa"/>
            <w:vAlign w:val="center"/>
          </w:tcPr>
          <w:p w14:paraId="4AA61CEA" w14:textId="77777777" w:rsidR="008F10A1" w:rsidRPr="00F6284E" w:rsidRDefault="008F10A1" w:rsidP="00A111E9">
            <w:pPr>
              <w:ind w:right="284"/>
              <w:rPr>
                <w:rFonts w:ascii="Arial" w:hAnsi="Arial"/>
                <w:sz w:val="18"/>
              </w:rPr>
            </w:pPr>
            <w:r w:rsidRPr="000B3C14">
              <w:rPr>
                <w:sz w:val="18"/>
              </w:rPr>
              <w:t>Mean 6-26</w:t>
            </w:r>
          </w:p>
        </w:tc>
        <w:tc>
          <w:tcPr>
            <w:tcW w:w="3814" w:type="dxa"/>
            <w:vAlign w:val="center"/>
          </w:tcPr>
          <w:p w14:paraId="61B01CC4" w14:textId="3044BDD0" w:rsidR="008F10A1" w:rsidRPr="00F6284E" w:rsidRDefault="008F10A1" w:rsidP="00A111E9">
            <w:pPr>
              <w:ind w:right="170"/>
              <w:rPr>
                <w:rFonts w:ascii="Arial" w:hAnsi="Arial"/>
                <w:sz w:val="18"/>
              </w:rPr>
            </w:pPr>
            <w:r w:rsidRPr="00F6284E">
              <w:rPr>
                <w:sz w:val="18"/>
              </w:rPr>
              <w:t>86± 33 (10-180)</w:t>
            </w:r>
          </w:p>
        </w:tc>
      </w:tr>
      <w:tr w:rsidR="008F10A1" w14:paraId="16351D83" w14:textId="77777777" w:rsidTr="00F6284E">
        <w:trPr>
          <w:trHeight w:val="227"/>
          <w:jc w:val="center"/>
        </w:trPr>
        <w:tc>
          <w:tcPr>
            <w:tcW w:w="2121" w:type="dxa"/>
            <w:vAlign w:val="center"/>
          </w:tcPr>
          <w:p w14:paraId="5A965F9D" w14:textId="77777777" w:rsidR="008F10A1" w:rsidRPr="000B3C14" w:rsidRDefault="008F10A1" w:rsidP="00A111E9">
            <w:pPr>
              <w:ind w:right="284"/>
              <w:rPr>
                <w:rFonts w:ascii="Arial" w:hAnsi="Arial"/>
                <w:sz w:val="18"/>
              </w:rPr>
            </w:pPr>
            <w:r w:rsidRPr="00D711DD">
              <w:rPr>
                <w:sz w:val="18"/>
              </w:rPr>
              <w:t>30/20</w:t>
            </w:r>
          </w:p>
        </w:tc>
        <w:tc>
          <w:tcPr>
            <w:tcW w:w="2840" w:type="dxa"/>
            <w:vAlign w:val="center"/>
          </w:tcPr>
          <w:p w14:paraId="55DEF5DB" w14:textId="77777777" w:rsidR="008F10A1" w:rsidRPr="00F6284E" w:rsidRDefault="008F10A1" w:rsidP="00A111E9">
            <w:pPr>
              <w:ind w:right="284"/>
              <w:rPr>
                <w:rFonts w:ascii="Arial" w:hAnsi="Arial"/>
                <w:sz w:val="18"/>
              </w:rPr>
            </w:pPr>
            <w:r w:rsidRPr="000B3C14">
              <w:rPr>
                <w:sz w:val="18"/>
              </w:rPr>
              <w:t>Mean 6-26</w:t>
            </w:r>
          </w:p>
        </w:tc>
        <w:tc>
          <w:tcPr>
            <w:tcW w:w="3814" w:type="dxa"/>
            <w:vAlign w:val="center"/>
          </w:tcPr>
          <w:p w14:paraId="658ABB02" w14:textId="77777777" w:rsidR="008F10A1" w:rsidRPr="00F6284E" w:rsidRDefault="008F10A1" w:rsidP="00A111E9">
            <w:pPr>
              <w:ind w:right="170"/>
              <w:rPr>
                <w:rFonts w:ascii="Arial" w:hAnsi="Arial"/>
                <w:sz w:val="18"/>
              </w:rPr>
            </w:pPr>
            <w:r w:rsidRPr="00F6284E">
              <w:rPr>
                <w:sz w:val="18"/>
              </w:rPr>
              <w:t>158± 100 (20-467)</w:t>
            </w:r>
          </w:p>
        </w:tc>
      </w:tr>
    </w:tbl>
    <w:p w14:paraId="0EB9DFA4" w14:textId="35160930" w:rsidR="008F10A1" w:rsidRPr="008F10A1" w:rsidRDefault="008F10A1" w:rsidP="002A58BE">
      <w:pPr>
        <w:spacing w:before="120"/>
        <w:rPr>
          <w:rFonts w:cs="Arial"/>
          <w:sz w:val="16"/>
          <w:szCs w:val="16"/>
          <w:lang w:bidi="ar-SA"/>
        </w:rPr>
      </w:pPr>
      <w:r w:rsidRPr="008F10A1">
        <w:rPr>
          <w:rFonts w:cs="Arial"/>
          <w:sz w:val="16"/>
          <w:szCs w:val="16"/>
          <w:lang w:bidi="ar-SA"/>
        </w:rPr>
        <w:t xml:space="preserve">Blood was collected from the femoral vein every two weeks from </w:t>
      </w:r>
      <w:r w:rsidR="0007229B">
        <w:rPr>
          <w:rFonts w:cs="Arial"/>
          <w:sz w:val="16"/>
          <w:szCs w:val="16"/>
          <w:lang w:bidi="ar-SA"/>
        </w:rPr>
        <w:t>w</w:t>
      </w:r>
      <w:r w:rsidRPr="008F10A1">
        <w:rPr>
          <w:rFonts w:cs="Arial"/>
          <w:sz w:val="16"/>
          <w:szCs w:val="16"/>
          <w:lang w:bidi="ar-SA"/>
        </w:rPr>
        <w:t xml:space="preserve">eek 2 of treatment. Mean values presented above were calculated from samples taken over the 180 days dosing period, Butenhoff </w:t>
      </w:r>
      <w:r w:rsidR="00180A32" w:rsidRPr="00180A32">
        <w:rPr>
          <w:rFonts w:cs="Arial"/>
          <w:i/>
          <w:sz w:val="16"/>
          <w:szCs w:val="16"/>
          <w:lang w:bidi="ar-SA"/>
        </w:rPr>
        <w:t xml:space="preserve">et al. </w:t>
      </w:r>
      <w:r w:rsidRPr="008F10A1">
        <w:rPr>
          <w:rFonts w:cs="Arial"/>
          <w:sz w:val="16"/>
          <w:szCs w:val="16"/>
          <w:lang w:bidi="ar-SA"/>
        </w:rPr>
        <w:t xml:space="preserve"> 2002.</w:t>
      </w:r>
    </w:p>
    <w:p w14:paraId="0BC56123" w14:textId="77777777" w:rsidR="008F10A1" w:rsidRPr="008F10A1" w:rsidRDefault="008F10A1" w:rsidP="002A58BE">
      <w:pPr>
        <w:rPr>
          <w:rFonts w:cs="Arial"/>
          <w:sz w:val="16"/>
          <w:szCs w:val="16"/>
          <w:lang w:bidi="ar-SA"/>
        </w:rPr>
      </w:pPr>
      <w:r w:rsidRPr="008F10A1">
        <w:rPr>
          <w:rFonts w:cs="Arial"/>
          <w:sz w:val="16"/>
          <w:szCs w:val="16"/>
          <w:lang w:bidi="ar-SA"/>
        </w:rPr>
        <w:t>Data are expressed as group mean ± SD, with range in parentheses.</w:t>
      </w:r>
    </w:p>
    <w:p w14:paraId="2E2C24ED" w14:textId="77777777" w:rsidR="008F10A1" w:rsidRPr="008F10A1" w:rsidRDefault="008F10A1" w:rsidP="002A58BE">
      <w:pPr>
        <w:tabs>
          <w:tab w:val="left" w:pos="1276"/>
        </w:tabs>
        <w:rPr>
          <w:rFonts w:cs="Arial"/>
          <w:sz w:val="16"/>
          <w:szCs w:val="16"/>
          <w:lang w:bidi="ar-SA"/>
        </w:rPr>
      </w:pPr>
      <w:r w:rsidRPr="008F10A1">
        <w:rPr>
          <w:rFonts w:cs="Arial"/>
          <w:sz w:val="16"/>
          <w:szCs w:val="16"/>
          <w:lang w:bidi="ar-SA"/>
        </w:rPr>
        <w:t>Limit of detection not provided.</w:t>
      </w:r>
    </w:p>
    <w:p w14:paraId="6E916E30" w14:textId="77777777" w:rsidR="008F10A1" w:rsidRDefault="008F10A1" w:rsidP="00A111E9">
      <w:pPr>
        <w:tabs>
          <w:tab w:val="left" w:pos="1276"/>
        </w:tabs>
        <w:rPr>
          <w:rFonts w:asciiTheme="minorHAnsi" w:hAnsiTheme="minorHAnsi"/>
          <w:sz w:val="20"/>
          <w:szCs w:val="20"/>
          <w:lang w:bidi="ar-SA"/>
        </w:rPr>
      </w:pPr>
    </w:p>
    <w:p w14:paraId="5C3D1C53" w14:textId="2B89CB2B" w:rsidR="008F10A1" w:rsidRDefault="008F10A1" w:rsidP="00A111E9">
      <w:pPr>
        <w:rPr>
          <w:lang w:bidi="ar-SA"/>
        </w:rPr>
      </w:pPr>
      <w:r>
        <w:rPr>
          <w:lang w:bidi="ar-SA"/>
        </w:rPr>
        <w:t>The means and ranges of the serum levels may be illustrated graphically as follows, with dose level</w:t>
      </w:r>
      <w:r w:rsidR="005E0DC9">
        <w:rPr>
          <w:lang w:bidi="ar-SA"/>
        </w:rPr>
        <w:t xml:space="preserve"> (mg/kg bw/day)</w:t>
      </w:r>
      <w:r>
        <w:rPr>
          <w:lang w:bidi="ar-SA"/>
        </w:rPr>
        <w:t xml:space="preserve"> on the x axis, and serum level (</w:t>
      </w:r>
      <w:r>
        <w:rPr>
          <w:rFonts w:cs="Arial"/>
          <w:lang w:bidi="ar-SA"/>
        </w:rPr>
        <w:t>µ</w:t>
      </w:r>
      <w:r>
        <w:rPr>
          <w:lang w:bidi="ar-SA"/>
        </w:rPr>
        <w:t>g/mL) on the y axis:</w:t>
      </w:r>
    </w:p>
    <w:p w14:paraId="69019288" w14:textId="77777777" w:rsidR="007B0AA1" w:rsidRDefault="007B0AA1" w:rsidP="00A111E9">
      <w:pPr>
        <w:widowControl/>
        <w:rPr>
          <w:lang w:bidi="ar-SA"/>
        </w:rPr>
      </w:pPr>
    </w:p>
    <w:p w14:paraId="638CCF21" w14:textId="3796F4DE" w:rsidR="008F10A1" w:rsidDel="00253107" w:rsidRDefault="00FF4199" w:rsidP="00A111E9">
      <w:pPr>
        <w:widowControl/>
        <w:rPr>
          <w:i/>
        </w:rPr>
      </w:pPr>
      <w:r>
        <w:rPr>
          <w:lang w:bidi="ar-SA"/>
        </w:rPr>
        <w:br w:type="page"/>
      </w:r>
    </w:p>
    <w:p w14:paraId="19F10A79" w14:textId="47EBD6A7" w:rsidR="008F10A1" w:rsidRDefault="008F10A1" w:rsidP="00A111E9">
      <w:pPr>
        <w:pStyle w:val="FSFigureTitle"/>
        <w:rPr>
          <w:lang w:bidi="ar-SA"/>
        </w:rPr>
      </w:pPr>
      <w:r>
        <w:rPr>
          <w:noProof/>
          <w:lang w:eastAsia="en-GB" w:bidi="ar-SA"/>
        </w:rPr>
        <w:lastRenderedPageBreak/>
        <w:drawing>
          <wp:inline distT="0" distB="0" distL="0" distR="0" wp14:anchorId="5BA94EA5" wp14:editId="31277CF6">
            <wp:extent cx="5486400" cy="3200400"/>
            <wp:effectExtent l="0" t="0" r="19050" b="19050"/>
            <wp:docPr id="4" name="Chart 4" descr="This table contains a graphic representation of the means and ranges of the serum levels, with dose level (mg/kg bw/day) on the x axis, and serum level (µg/mL) on the y axis.&#10;" title="Means and ranges of the serum levels"/>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36F2B69" w14:textId="696E79C6" w:rsidR="006158C7" w:rsidRDefault="006158C7" w:rsidP="00A111E9">
      <w:pPr>
        <w:widowControl/>
        <w:rPr>
          <w:lang w:bidi="ar-SA"/>
        </w:rPr>
      </w:pPr>
    </w:p>
    <w:p w14:paraId="313FFD6C" w14:textId="6DDFC149" w:rsidR="00A95AD6" w:rsidRPr="00A95AD6" w:rsidRDefault="00A95AD6" w:rsidP="00A111E9">
      <w:pPr>
        <w:rPr>
          <w:i/>
          <w:lang w:bidi="ar-SA"/>
        </w:rPr>
      </w:pPr>
      <w:r w:rsidRPr="00A95AD6">
        <w:rPr>
          <w:i/>
        </w:rPr>
        <w:t>Figure 2: Dose level vs PFOA serum levels</w:t>
      </w:r>
    </w:p>
    <w:p w14:paraId="710D85E0" w14:textId="77777777" w:rsidR="00A95AD6" w:rsidRDefault="00A95AD6" w:rsidP="00A111E9">
      <w:pPr>
        <w:rPr>
          <w:lang w:bidi="ar-SA"/>
        </w:rPr>
      </w:pPr>
    </w:p>
    <w:p w14:paraId="0A0424AD" w14:textId="26089C41" w:rsidR="008F10A1" w:rsidRPr="00EE0803" w:rsidRDefault="008F10A1" w:rsidP="00A111E9">
      <w:pPr>
        <w:rPr>
          <w:lang w:bidi="ar-SA"/>
        </w:rPr>
      </w:pPr>
      <w:r>
        <w:rPr>
          <w:lang w:bidi="ar-SA"/>
        </w:rPr>
        <w:t>The 10 mg/kg bw/d</w:t>
      </w:r>
      <w:r w:rsidR="00802F16">
        <w:rPr>
          <w:lang w:bidi="ar-SA"/>
        </w:rPr>
        <w:t>ay</w:t>
      </w:r>
      <w:r>
        <w:rPr>
          <w:lang w:bidi="ar-SA"/>
        </w:rPr>
        <w:t xml:space="preserve"> dose level is the NOAEL. The 30/20 mg/kg bw/d</w:t>
      </w:r>
      <w:r w:rsidR="00802F16">
        <w:rPr>
          <w:lang w:bidi="ar-SA"/>
        </w:rPr>
        <w:t>ay</w:t>
      </w:r>
      <w:r>
        <w:rPr>
          <w:lang w:bidi="ar-SA"/>
        </w:rPr>
        <w:t xml:space="preserve"> dose level was associated with significant and life-threatening morbidity. These results indicate a steep dose-response curve in </w:t>
      </w:r>
      <w:r w:rsidR="00E5397E">
        <w:rPr>
          <w:lang w:bidi="ar-SA"/>
        </w:rPr>
        <w:t xml:space="preserve">cynomolgus </w:t>
      </w:r>
      <w:r>
        <w:rPr>
          <w:lang w:bidi="ar-SA"/>
        </w:rPr>
        <w:t>monkeys.</w:t>
      </w:r>
    </w:p>
    <w:p w14:paraId="5BFFC28F" w14:textId="77777777" w:rsidR="008F10A1" w:rsidRDefault="008F10A1" w:rsidP="00A111E9">
      <w:pPr>
        <w:rPr>
          <w:lang w:bidi="ar-SA"/>
        </w:rPr>
      </w:pPr>
    </w:p>
    <w:p w14:paraId="7DD7CD40" w14:textId="77777777" w:rsidR="008F10A1" w:rsidRPr="000217D1" w:rsidRDefault="008F10A1" w:rsidP="00A111E9">
      <w:pPr>
        <w:rPr>
          <w:b/>
          <w:lang w:bidi="ar-SA"/>
        </w:rPr>
      </w:pPr>
      <w:r>
        <w:rPr>
          <w:b/>
          <w:lang w:bidi="ar-SA"/>
        </w:rPr>
        <w:t xml:space="preserve">Chronic studies of </w:t>
      </w:r>
      <w:r w:rsidRPr="000217D1">
        <w:rPr>
          <w:b/>
          <w:lang w:bidi="ar-SA"/>
        </w:rPr>
        <w:t>toxicity and carcinogenicity</w:t>
      </w:r>
    </w:p>
    <w:p w14:paraId="5AEA0044" w14:textId="77777777" w:rsidR="008F10A1" w:rsidRDefault="008F10A1" w:rsidP="00A111E9">
      <w:pPr>
        <w:rPr>
          <w:lang w:bidi="ar-SA"/>
        </w:rPr>
      </w:pPr>
    </w:p>
    <w:p w14:paraId="5E191FD2" w14:textId="68668DEA" w:rsidR="008F10A1" w:rsidRPr="00180653" w:rsidRDefault="008F10A1" w:rsidP="00A111E9">
      <w:pPr>
        <w:rPr>
          <w:b/>
          <w:lang w:bidi="ar-SA"/>
        </w:rPr>
      </w:pPr>
      <w:r w:rsidRPr="00180653">
        <w:rPr>
          <w:b/>
          <w:lang w:bidi="ar-SA"/>
        </w:rPr>
        <w:t xml:space="preserve">Biegel </w:t>
      </w:r>
      <w:r w:rsidR="00180A32" w:rsidRPr="00180A32">
        <w:rPr>
          <w:b/>
          <w:i/>
        </w:rPr>
        <w:t xml:space="preserve">et al. </w:t>
      </w:r>
      <w:r w:rsidR="00CC50B8">
        <w:rPr>
          <w:b/>
        </w:rPr>
        <w:t xml:space="preserve"> </w:t>
      </w:r>
      <w:r w:rsidRPr="00180653">
        <w:rPr>
          <w:b/>
          <w:lang w:bidi="ar-SA"/>
        </w:rPr>
        <w:t>2001</w:t>
      </w:r>
      <w:r>
        <w:rPr>
          <w:b/>
          <w:lang w:bidi="ar-SA"/>
        </w:rPr>
        <w:t xml:space="preserve"> 24-month toxicity/carcinogenicity study in male rats </w:t>
      </w:r>
    </w:p>
    <w:p w14:paraId="04E6A371" w14:textId="77777777" w:rsidR="008F10A1" w:rsidRDefault="008F10A1" w:rsidP="00A111E9">
      <w:pPr>
        <w:rPr>
          <w:lang w:bidi="ar-SA"/>
        </w:rPr>
      </w:pPr>
    </w:p>
    <w:p w14:paraId="1F18EBF6" w14:textId="075A4C3D" w:rsidR="008F10A1" w:rsidRDefault="008F10A1" w:rsidP="00A111E9">
      <w:pPr>
        <w:rPr>
          <w:lang w:bidi="ar-SA"/>
        </w:rPr>
      </w:pPr>
      <w:r>
        <w:rPr>
          <w:lang w:bidi="ar-SA"/>
        </w:rPr>
        <w:t>This study was conducted in male rats only, because it was carried out specifically to investigate the role of peroxisome proliferators in induction of Leydig cell tumours.</w:t>
      </w:r>
    </w:p>
    <w:p w14:paraId="1A2101E7" w14:textId="77777777" w:rsidR="008F10A1" w:rsidRDefault="008F10A1" w:rsidP="00A111E9">
      <w:pPr>
        <w:rPr>
          <w:lang w:bidi="ar-SA"/>
        </w:rPr>
      </w:pPr>
    </w:p>
    <w:p w14:paraId="7F52C3F8" w14:textId="56056E9B" w:rsidR="008F10A1" w:rsidRDefault="008F10A1" w:rsidP="00A111E9">
      <w:pPr>
        <w:rPr>
          <w:lang w:bidi="ar-SA"/>
        </w:rPr>
      </w:pPr>
      <w:r>
        <w:rPr>
          <w:lang w:bidi="ar-SA"/>
        </w:rPr>
        <w:t xml:space="preserve">Male CD rats, 156/group, were approximately 49 days old at study start. They were individually housed under standard laboratory husbandry conditions and provided with </w:t>
      </w:r>
      <w:r w:rsidRPr="000F1B1D">
        <w:rPr>
          <w:i/>
          <w:lang w:bidi="ar-SA"/>
        </w:rPr>
        <w:t>ad libitum</w:t>
      </w:r>
      <w:r>
        <w:rPr>
          <w:lang w:bidi="ar-SA"/>
        </w:rPr>
        <w:t xml:space="preserve"> access to diet containing either 0 or 300 ppm AFPO. Food consumption was measured daily for the first 3 weeks, then weekly to 3 months, and every two weeks thereafter. Rats were subject to daily cageside examinations and to detailed in-hand examinations when weighed. They were weighed weekly for the first 3 months of study and every second week for the rest of the study. Blood was collected for analysis of testosterone, </w:t>
      </w:r>
      <w:r w:rsidR="00BE205C">
        <w:rPr>
          <w:lang w:bidi="ar-SA"/>
        </w:rPr>
        <w:t>estradiol</w:t>
      </w:r>
      <w:r>
        <w:rPr>
          <w:lang w:bidi="ar-SA"/>
        </w:rPr>
        <w:t>, LH, follicle-stimulating hormone (FSH), and prolactin from 10 randomly selected rats at 1, 3, 6, 9, 12, 15, 18 and 21 months. At the same timepoints, 6 rats/group were terminated for evaluation of cell proliferation and 6 rats/group were terminated for evaluation of peroxisome proliferation. At these terminations, organ weights were recorded for testes, epididymides, accessory sex glands (ASG), coagulating gland/seminal vesicle, prostate and liver. All rats surviving to 24 months were subject to termination, necropsy, and recording of weights of brain, heart, liver, spleen, kidneys, ASG, coagulating gland/seminal vesicle, prostate, epididymides, and testes. Sections of liver, testes, epididymides, pancreas and any gross lesions were processed to slides and stained with haematoxylin and eosin for histopathology.</w:t>
      </w:r>
    </w:p>
    <w:p w14:paraId="2535051F" w14:textId="77777777" w:rsidR="008F10A1" w:rsidRDefault="008F10A1" w:rsidP="00A111E9">
      <w:pPr>
        <w:rPr>
          <w:lang w:bidi="ar-SA"/>
        </w:rPr>
      </w:pPr>
    </w:p>
    <w:p w14:paraId="7E122BAF" w14:textId="02E87EF0" w:rsidR="008F10A1" w:rsidRDefault="008F10A1" w:rsidP="00A111E9">
      <w:pPr>
        <w:rPr>
          <w:lang w:bidi="ar-SA"/>
        </w:rPr>
      </w:pPr>
      <w:r>
        <w:rPr>
          <w:lang w:bidi="ar-SA"/>
        </w:rPr>
        <w:t xml:space="preserve">Group mean </w:t>
      </w:r>
      <w:r w:rsidR="00E83E80">
        <w:rPr>
          <w:lang w:bidi="ar-SA"/>
        </w:rPr>
        <w:t>body weight</w:t>
      </w:r>
      <w:r>
        <w:rPr>
          <w:lang w:bidi="ar-SA"/>
        </w:rPr>
        <w:t xml:space="preserve"> of the treated group was significantly lower than that of the control group from </w:t>
      </w:r>
      <w:r w:rsidR="0094513D">
        <w:rPr>
          <w:lang w:bidi="ar-SA"/>
        </w:rPr>
        <w:t>d</w:t>
      </w:r>
      <w:r>
        <w:rPr>
          <w:lang w:bidi="ar-SA"/>
        </w:rPr>
        <w:t xml:space="preserve">ay 8 of study to the end of the study, although mean daily food consumption was very similar. Survival of the treated rats was greater than that of the control rats. Liver </w:t>
      </w:r>
      <w:r>
        <w:rPr>
          <w:lang w:bidi="ar-SA"/>
        </w:rPr>
        <w:lastRenderedPageBreak/>
        <w:t>weight was significantly increased in treated rats, relative to controls, at all time</w:t>
      </w:r>
      <w:r w:rsidR="00032CF6">
        <w:rPr>
          <w:lang w:bidi="ar-SA"/>
        </w:rPr>
        <w:t xml:space="preserve"> </w:t>
      </w:r>
      <w:r>
        <w:rPr>
          <w:lang w:bidi="ar-SA"/>
        </w:rPr>
        <w:t xml:space="preserve">points at which liver weight data were collected. Treatment was associated with a statistically significant increase in the incidence of hepatocellular adenomas, but not carcinomas. Absolute testis weight was increased in the treated group, relative to controls, at 24 months, and treatment was associated with increased incidence of Leydig cell hyperplasia and of Leydig cell adenomas. There was a treatment-related increase in pancreatic acinar cell proliferation at the 15-, 18- and 21-month timepoints, and significant increases in the incidence of acinar cell adenoma. Dietary exposure to AFPO was associated with significant elevation in serum </w:t>
      </w:r>
      <w:r w:rsidR="00BE205C">
        <w:rPr>
          <w:lang w:bidi="ar-SA"/>
        </w:rPr>
        <w:t>estradiol</w:t>
      </w:r>
      <w:r>
        <w:rPr>
          <w:lang w:bidi="ar-SA"/>
        </w:rPr>
        <w:t xml:space="preserve"> concentrations at 1, 3, 6, 9 and 12 months, but there were no consistent effects on serum testosterone. Effects on serum LH, FSH, and prolactin were also inconsistent.</w:t>
      </w:r>
    </w:p>
    <w:p w14:paraId="1A22C5F9" w14:textId="77777777" w:rsidR="008F10A1" w:rsidRDefault="008F10A1" w:rsidP="00A111E9">
      <w:pPr>
        <w:rPr>
          <w:lang w:bidi="ar-SA"/>
        </w:rPr>
      </w:pPr>
    </w:p>
    <w:p w14:paraId="43119C6D" w14:textId="02DB79F3" w:rsidR="008F10A1" w:rsidRDefault="008F10A1" w:rsidP="00A111E9">
      <w:pPr>
        <w:rPr>
          <w:lang w:bidi="ar-SA"/>
        </w:rPr>
      </w:pPr>
      <w:r>
        <w:rPr>
          <w:lang w:bidi="ar-SA"/>
        </w:rPr>
        <w:t xml:space="preserve">The increases in neoplasias of the liver, Leydig cells and pancreatic acinar cells are consistent with the effects of other peroxisome proliferators in rats. </w:t>
      </w:r>
    </w:p>
    <w:p w14:paraId="15AAD991" w14:textId="77777777" w:rsidR="008F10A1" w:rsidRDefault="008F10A1" w:rsidP="00A111E9">
      <w:pPr>
        <w:rPr>
          <w:lang w:bidi="ar-SA"/>
        </w:rPr>
      </w:pPr>
    </w:p>
    <w:p w14:paraId="56694C97" w14:textId="7D30A7FF" w:rsidR="008F10A1" w:rsidRPr="00180653" w:rsidRDefault="008F10A1" w:rsidP="00A111E9">
      <w:pPr>
        <w:rPr>
          <w:b/>
          <w:lang w:bidi="ar-SA"/>
        </w:rPr>
      </w:pPr>
      <w:r w:rsidRPr="00FA7BA4">
        <w:rPr>
          <w:b/>
          <w:lang w:bidi="ar-SA"/>
        </w:rPr>
        <w:t xml:space="preserve">Butenhoff </w:t>
      </w:r>
      <w:r w:rsidR="00180A32" w:rsidRPr="00180A32">
        <w:rPr>
          <w:b/>
          <w:i/>
        </w:rPr>
        <w:t xml:space="preserve">et al. </w:t>
      </w:r>
      <w:r w:rsidR="00CC50B8">
        <w:rPr>
          <w:b/>
        </w:rPr>
        <w:t xml:space="preserve"> </w:t>
      </w:r>
      <w:r w:rsidRPr="00FA7BA4">
        <w:rPr>
          <w:b/>
          <w:lang w:bidi="ar-SA"/>
        </w:rPr>
        <w:t>2012</w:t>
      </w:r>
      <w:r>
        <w:rPr>
          <w:b/>
          <w:lang w:bidi="ar-SA"/>
        </w:rPr>
        <w:t>–</w:t>
      </w:r>
      <w:r w:rsidRPr="00DC0898">
        <w:rPr>
          <w:b/>
          <w:sz w:val="20"/>
          <w:szCs w:val="20"/>
          <w:lang w:bidi="ar-SA"/>
        </w:rPr>
        <w:t xml:space="preserve"> </w:t>
      </w:r>
      <w:r w:rsidRPr="00310BE4">
        <w:rPr>
          <w:b/>
          <w:szCs w:val="22"/>
          <w:lang w:bidi="ar-SA"/>
        </w:rPr>
        <w:t>24-month</w:t>
      </w:r>
      <w:r>
        <w:rPr>
          <w:b/>
          <w:sz w:val="20"/>
          <w:szCs w:val="20"/>
          <w:lang w:bidi="ar-SA"/>
        </w:rPr>
        <w:t xml:space="preserve"> </w:t>
      </w:r>
      <w:r w:rsidRPr="00310BE4">
        <w:rPr>
          <w:b/>
          <w:szCs w:val="22"/>
          <w:lang w:bidi="ar-SA"/>
        </w:rPr>
        <w:t>chronic toxicity/carcinogenicity study in rats</w:t>
      </w:r>
      <w:r>
        <w:rPr>
          <w:b/>
          <w:sz w:val="20"/>
          <w:szCs w:val="20"/>
          <w:lang w:bidi="ar-SA"/>
        </w:rPr>
        <w:t xml:space="preserve"> </w:t>
      </w:r>
    </w:p>
    <w:p w14:paraId="20AC308C" w14:textId="77777777" w:rsidR="008F10A1" w:rsidRDefault="008F10A1" w:rsidP="00A111E9">
      <w:pPr>
        <w:rPr>
          <w:lang w:bidi="ar-SA"/>
        </w:rPr>
      </w:pPr>
    </w:p>
    <w:p w14:paraId="08CF2FB9" w14:textId="6832C224" w:rsidR="008F10A1" w:rsidRDefault="008F10A1" w:rsidP="00A111E9">
      <w:pPr>
        <w:rPr>
          <w:lang w:bidi="ar-SA"/>
        </w:rPr>
      </w:pPr>
      <w:r>
        <w:rPr>
          <w:lang w:bidi="ar-SA"/>
        </w:rPr>
        <w:t>This publication was written to make more accessible the results of the study of Sibinski (1987), and to include the findings of re-appraisals of the histopathology that had been published from 2003 onwards.</w:t>
      </w:r>
    </w:p>
    <w:p w14:paraId="0F667CEA" w14:textId="77777777" w:rsidR="008F10A1" w:rsidRDefault="008F10A1" w:rsidP="00A111E9">
      <w:pPr>
        <w:rPr>
          <w:lang w:bidi="ar-SA"/>
        </w:rPr>
      </w:pPr>
    </w:p>
    <w:p w14:paraId="69D2D307" w14:textId="519EB060" w:rsidR="008F10A1" w:rsidRDefault="008F10A1" w:rsidP="00A111E9">
      <w:pPr>
        <w:rPr>
          <w:lang w:bidi="ar-SA"/>
        </w:rPr>
      </w:pPr>
      <w:r>
        <w:rPr>
          <w:lang w:bidi="ar-SA"/>
        </w:rPr>
        <w:t>The study was performed in Sprague</w:t>
      </w:r>
      <w:r w:rsidR="00032CF6">
        <w:rPr>
          <w:lang w:bidi="ar-SA"/>
        </w:rPr>
        <w:t xml:space="preserve"> </w:t>
      </w:r>
      <w:r>
        <w:rPr>
          <w:lang w:bidi="ar-SA"/>
        </w:rPr>
        <w:t>Dawley rats, 65/sex/group, using AFPO as the test article. AFPO was administered in the diet. Fresh diet mixtures were prepared weekly. Concentration, homogeneity and stability of the test article in the diet were confirmed pre</w:t>
      </w:r>
      <w:r w:rsidR="00CC26CA">
        <w:rPr>
          <w:lang w:bidi="ar-SA"/>
        </w:rPr>
        <w:t>study</w:t>
      </w:r>
      <w:r>
        <w:rPr>
          <w:lang w:bidi="ar-SA"/>
        </w:rPr>
        <w:t>, and concentration and homogeneity were also measured during the first month of study and at three-month intervals thereafter. Groups comprised a control group, a 30 ppm AFPO group and a 300 ppm AFPO group. The study was conducted for 24 months, but there was an interim termination and necropsy of 15 rats/sex from the control and 300 ppm groups at 12 months. Rats were housed under standard laboratory husbandry conditions. Males were housed individually and females were pair-housed. In-life endpoints were survival, clinical observations, body weight, feed consumption, ophthalmology (pre</w:t>
      </w:r>
      <w:r w:rsidR="00CC26CA">
        <w:rPr>
          <w:lang w:bidi="ar-SA"/>
        </w:rPr>
        <w:t>study</w:t>
      </w:r>
      <w:r>
        <w:rPr>
          <w:lang w:bidi="ar-SA"/>
        </w:rPr>
        <w:t>, at 12 months and at 24 months), and clinical pathology (haematology, clinical chemistry and urinalysis, from 15 rats/sex/group/timepoint) at 3, 6, 12, 18 and 24 months. All surviving rats were terminated after 24 months on study. Necropsy procedures included weighing of adrenals, brain, testes, heart, kidneys, liver, spleen and uterus; and collection and preservation of a comprehensive list of tissues for histopathology.</w:t>
      </w:r>
    </w:p>
    <w:p w14:paraId="57F6B252" w14:textId="77777777" w:rsidR="008F10A1" w:rsidRDefault="008F10A1" w:rsidP="00A111E9">
      <w:pPr>
        <w:rPr>
          <w:lang w:bidi="ar-SA"/>
        </w:rPr>
      </w:pPr>
    </w:p>
    <w:p w14:paraId="2E23DA84" w14:textId="4FE12AEA" w:rsidR="008F10A1" w:rsidRDefault="008F10A1" w:rsidP="00A111E9">
      <w:pPr>
        <w:rPr>
          <w:lang w:bidi="ar-SA"/>
        </w:rPr>
      </w:pPr>
      <w:r>
        <w:rPr>
          <w:lang w:bidi="ar-SA"/>
        </w:rPr>
        <w:t>Mean test article consumptions in the 30 and 300 ppm groups were 1.3 and 14.2 mg/kg bw/day respectively for males, and 1.6 and 16.1 mg/kg bw/day respectively for females.</w:t>
      </w:r>
    </w:p>
    <w:p w14:paraId="3082D4EB" w14:textId="77777777" w:rsidR="008F10A1" w:rsidRDefault="008F10A1" w:rsidP="00A111E9">
      <w:pPr>
        <w:rPr>
          <w:lang w:bidi="ar-SA"/>
        </w:rPr>
      </w:pPr>
    </w:p>
    <w:p w14:paraId="262F027B" w14:textId="702F8E4E" w:rsidR="008F10A1" w:rsidRDefault="008F10A1" w:rsidP="00A111E9">
      <w:pPr>
        <w:rPr>
          <w:lang w:bidi="ar-SA"/>
        </w:rPr>
      </w:pPr>
      <w:r>
        <w:rPr>
          <w:lang w:bidi="ar-SA"/>
        </w:rPr>
        <w:t>AFPO had no adverse effects on survival; on the contrary, there were fewer unscheduled deaths and moribund terminations of rats of either sex in the 300 ppm group than in the control group. The greater survival rate of the males in the 300 ppm group, compared to males in the control group, was statistically significant and likely to reflect lower body weight over the course of the study, described below. Clinical signs were limited to a dose-related increase in the incidence of ataxia in females, near the termination of the study. However</w:t>
      </w:r>
      <w:r w:rsidR="007F02A2">
        <w:rPr>
          <w:lang w:bidi="ar-SA"/>
        </w:rPr>
        <w:t>,</w:t>
      </w:r>
      <w:r>
        <w:rPr>
          <w:lang w:bidi="ar-SA"/>
        </w:rPr>
        <w:t xml:space="preserve"> this finding was considered to be unlikely to be related to treatment because there was no corresponding dose-relationship in ataxia in the males, and ataxia was less common in males, which is not consistent with other studies that show that clearance of AFPO is slower, and plasma levels higher, in males than in females. Other sub</w:t>
      </w:r>
      <w:r w:rsidR="00CC26CA">
        <w:rPr>
          <w:lang w:bidi="ar-SA"/>
        </w:rPr>
        <w:t>chronic</w:t>
      </w:r>
      <w:r>
        <w:rPr>
          <w:lang w:bidi="ar-SA"/>
        </w:rPr>
        <w:t xml:space="preserve"> and chronic studies in rats have not identified ataxia as a clinical sign of AFPO or PFOA exposure. There was no treatment-related effect on the incidence of palpable masses in females. In males, palpable masses were more common in control rats than in treated rats. There were no treatment-related ophthalmological findings in either sex.</w:t>
      </w:r>
    </w:p>
    <w:p w14:paraId="747EEA9E" w14:textId="77777777" w:rsidR="008F10A1" w:rsidRDefault="008F10A1" w:rsidP="00A111E9">
      <w:pPr>
        <w:rPr>
          <w:lang w:bidi="ar-SA"/>
        </w:rPr>
      </w:pPr>
    </w:p>
    <w:p w14:paraId="43FBA99B" w14:textId="4EA9DB8B" w:rsidR="008F10A1" w:rsidRDefault="008F10A1" w:rsidP="00A111E9">
      <w:pPr>
        <w:rPr>
          <w:lang w:bidi="ar-SA"/>
        </w:rPr>
      </w:pPr>
      <w:r>
        <w:rPr>
          <w:lang w:bidi="ar-SA"/>
        </w:rPr>
        <w:lastRenderedPageBreak/>
        <w:t xml:space="preserve">Group mean body weight gain was decreased in excess of 10% in male rats in the 300 ppm group, when compared to controls, from study week 2 to 98 inclusive. Body weight gains of male rats in the 30 ppm group, on the other hand, were not significantly different to those of controls. Food consumption was slightly depressed in 300 ppm males, but not 30 ppm males, in the first year of study. When expressed relative to body weight, food consumption of 300 ppm males was generally </w:t>
      </w:r>
      <w:r>
        <w:rPr>
          <w:rFonts w:cs="Arial"/>
          <w:lang w:bidi="ar-SA"/>
        </w:rPr>
        <w:t>≥</w:t>
      </w:r>
      <w:r>
        <w:rPr>
          <w:lang w:bidi="ar-SA"/>
        </w:rPr>
        <w:t xml:space="preserve">13% higher than that of controls. Treatment had no effect on group mean </w:t>
      </w:r>
      <w:r w:rsidR="00E83E80">
        <w:rPr>
          <w:lang w:bidi="ar-SA"/>
        </w:rPr>
        <w:t>body weight</w:t>
      </w:r>
      <w:r>
        <w:rPr>
          <w:lang w:bidi="ar-SA"/>
        </w:rPr>
        <w:t>s of female rats until the study had been in progress for 18 months. From 18 months, there was a gradual decrease in group mean body weight in the 300 ppm females, and there was a gradual decrease in food consumption from 18 months to study termination at both dose levels in females. Information on body weights is presented in graphical rather than tabular form, so the magnitudes of these changes are uncertain. However</w:t>
      </w:r>
      <w:r w:rsidR="007F02A2">
        <w:rPr>
          <w:lang w:bidi="ar-SA"/>
        </w:rPr>
        <w:t>,</w:t>
      </w:r>
      <w:r>
        <w:rPr>
          <w:lang w:bidi="ar-SA"/>
        </w:rPr>
        <w:t xml:space="preserve"> the mean </w:t>
      </w:r>
      <w:r w:rsidR="00E83E80">
        <w:rPr>
          <w:lang w:bidi="ar-SA"/>
        </w:rPr>
        <w:t>body weight</w:t>
      </w:r>
      <w:r>
        <w:rPr>
          <w:lang w:bidi="ar-SA"/>
        </w:rPr>
        <w:t xml:space="preserve"> of the 300 ppm females appears to be around 450 g in the last six months, compared to 500 g for control and 30 ppm females. Data on food consumption are not presented.</w:t>
      </w:r>
    </w:p>
    <w:p w14:paraId="28A6830A" w14:textId="77777777" w:rsidR="008F10A1" w:rsidRDefault="008F10A1" w:rsidP="00A111E9">
      <w:pPr>
        <w:rPr>
          <w:lang w:bidi="ar-SA"/>
        </w:rPr>
      </w:pPr>
    </w:p>
    <w:p w14:paraId="16FDE769" w14:textId="655851B7" w:rsidR="008F10A1" w:rsidRDefault="008F10A1" w:rsidP="00A111E9">
      <w:pPr>
        <w:rPr>
          <w:lang w:bidi="ar-SA"/>
        </w:rPr>
      </w:pPr>
      <w:r>
        <w:rPr>
          <w:lang w:bidi="ar-SA"/>
        </w:rPr>
        <w:t>No treatment-related changes in urinalysis were found in either sex. No treatment- related haematological or clinical chemistry changes were found in female rats. In male rats in the 300 ppm group, there were consistent minimal decreases, which sometimes reached stat</w:t>
      </w:r>
      <w:r w:rsidR="00422A9E">
        <w:rPr>
          <w:lang w:bidi="ar-SA"/>
        </w:rPr>
        <w:t xml:space="preserve">istical significance, in </w:t>
      </w:r>
      <w:r w:rsidR="00B81F86">
        <w:rPr>
          <w:lang w:bidi="ar-SA"/>
        </w:rPr>
        <w:t>red blood cells</w:t>
      </w:r>
      <w:r w:rsidR="00422A9E">
        <w:rPr>
          <w:lang w:bidi="ar-SA"/>
        </w:rPr>
        <w:t>, haemoglobin</w:t>
      </w:r>
      <w:r>
        <w:rPr>
          <w:lang w:bidi="ar-SA"/>
        </w:rPr>
        <w:t xml:space="preserve"> and </w:t>
      </w:r>
      <w:r w:rsidR="00CB765A">
        <w:rPr>
          <w:lang w:bidi="ar-SA"/>
        </w:rPr>
        <w:t xml:space="preserve">haematocrit </w:t>
      </w:r>
      <w:r>
        <w:rPr>
          <w:lang w:bidi="ar-SA"/>
        </w:rPr>
        <w:t xml:space="preserve">between 3 and 18 months. Elevations in group mean </w:t>
      </w:r>
      <w:r w:rsidR="005C2B91">
        <w:rPr>
          <w:lang w:bidi="ar-SA"/>
        </w:rPr>
        <w:t>white blood cells</w:t>
      </w:r>
      <w:r>
        <w:rPr>
          <w:lang w:bidi="ar-SA"/>
        </w:rPr>
        <w:t>, relative to those of controls, were sometimes present in treated males during the first year of study, but this finding was not consistent. Alterations in serum chemistry results were consistently found only in males. From 6 to 18 months of study, group mean ALT, AST and ALP were consistently elevated, relative to those of male controls, at both dose levels in males, and these elevations were frequently statistically significant. Elevations in these parameters were present at 24 months in the 300 ppm males but not the 30 ppm males. Group mean serum albumin was significantly elevated in 300 ppm males, relative to controls, throughout the study. Group mean albumin level tended to be higher than that of controls, in 30 ppm males during the first 12 months of study, although this only reached statistical significance at the 3 and 6 month time points.</w:t>
      </w:r>
    </w:p>
    <w:p w14:paraId="25A35347" w14:textId="77777777" w:rsidR="008F10A1" w:rsidRDefault="008F10A1" w:rsidP="00A111E9">
      <w:pPr>
        <w:rPr>
          <w:lang w:bidi="ar-SA"/>
        </w:rPr>
      </w:pPr>
    </w:p>
    <w:p w14:paraId="05BEA41D" w14:textId="73866506" w:rsidR="008F10A1" w:rsidRDefault="008F10A1" w:rsidP="00A111E9">
      <w:pPr>
        <w:rPr>
          <w:lang w:bidi="ar-SA"/>
        </w:rPr>
      </w:pPr>
      <w:r>
        <w:rPr>
          <w:lang w:bidi="ar-SA"/>
        </w:rPr>
        <w:t xml:space="preserve">Only cohorts of rats from the control and 300 ppm groups were subject to interim termination at 12 months. There were no treatment-related gross findings. Group mean male liver and kidney weights, relative to body weights, were elevated in treated males but not treated females. Group mean pituitary weights of 300 ppm males were significantly lower, in absolute terms and relative to </w:t>
      </w:r>
      <w:r w:rsidR="00E83E80">
        <w:rPr>
          <w:lang w:bidi="ar-SA"/>
        </w:rPr>
        <w:t>body weight</w:t>
      </w:r>
      <w:r>
        <w:rPr>
          <w:lang w:bidi="ar-SA"/>
        </w:rPr>
        <w:t xml:space="preserve"> and to brain weight, than those of male controls. Group mean adrenal weights of males were significantly lower than those of controls, in absolute terms and relative to brain weights, but not relative to body weights. There were no significant differences in organ weights between treated and control females. Treatment-related microscopic lesions found at the interim terminations were confined to the liver and were more pronounced in males than in females. Females showed a treatment-related increase in minimal to mild hepatocellular vacuolation, whereas males showed a treatment-related increase in diffuse hepatocellular hypertrophy with ‘ground glass’ cytoplasm. Focal hepatocellular necrosis and portal mononuclear cell infiltration were more frequent findings in treated males than control males.</w:t>
      </w:r>
    </w:p>
    <w:p w14:paraId="7DAA8D6D" w14:textId="77777777" w:rsidR="008F10A1" w:rsidRDefault="008F10A1" w:rsidP="00A111E9">
      <w:pPr>
        <w:rPr>
          <w:lang w:bidi="ar-SA"/>
        </w:rPr>
      </w:pPr>
    </w:p>
    <w:p w14:paraId="130084D6" w14:textId="43128E02" w:rsidR="008F10A1" w:rsidRDefault="008F10A1" w:rsidP="00A111E9">
      <w:pPr>
        <w:rPr>
          <w:lang w:bidi="ar-SA"/>
        </w:rPr>
      </w:pPr>
      <w:r>
        <w:rPr>
          <w:lang w:bidi="ar-SA"/>
        </w:rPr>
        <w:t xml:space="preserve">In 300 ppm males subject to unscheduled necropsy or 24-month necropsy, there was a slight increase in incidence of gross hepatic lesions including masses, nodules, raised lesions, mottling or pale foci. There was also an increased incidence in testicular masses. There were no other gross findings in either sex that showed a relationship to treatment, at unscheduled necropsy or study termination, and there were no changes in organ weights that were clearly associated with treatment in either sex. At the interim terminations at 12 months, males in the 300 ppm group had increased incidence, relative to controls, of hepatocellular hypertrophy, focal hepatocellular necrosis, and portal mononuclear cell infiltration. Dose-related changes in the liver found in both sexes at unscheduled or 24-month necropsies included </w:t>
      </w:r>
      <w:r>
        <w:rPr>
          <w:lang w:bidi="ar-SA"/>
        </w:rPr>
        <w:lastRenderedPageBreak/>
        <w:t>hepatocellular hypertrophy, cystoid degeneration and portal mononuclear cell infiltration; however</w:t>
      </w:r>
      <w:r w:rsidR="007F02A2">
        <w:rPr>
          <w:lang w:bidi="ar-SA"/>
        </w:rPr>
        <w:t>,</w:t>
      </w:r>
      <w:r>
        <w:rPr>
          <w:lang w:bidi="ar-SA"/>
        </w:rPr>
        <w:t xml:space="preserve"> there </w:t>
      </w:r>
      <w:r w:rsidRPr="00FA7BA4">
        <w:rPr>
          <w:lang w:bidi="ar-SA"/>
        </w:rPr>
        <w:t>was no dose-related increase in incidence of hepatocellular necrosis</w:t>
      </w:r>
      <w:r>
        <w:rPr>
          <w:lang w:bidi="ar-SA"/>
        </w:rPr>
        <w:t>. The dose-related effects on the liver were more common in males than in females. The only neoplastic lesion that showed a relationship to dose of AFPO was a statistically significant increase in incidence of Leydig cell adenomas in the testes. There was no AFPO-related increase in hepatocellular neoplasia.</w:t>
      </w:r>
    </w:p>
    <w:p w14:paraId="15F4D159" w14:textId="77777777" w:rsidR="008F10A1" w:rsidRDefault="008F10A1" w:rsidP="00A111E9">
      <w:pPr>
        <w:rPr>
          <w:lang w:bidi="ar-SA"/>
        </w:rPr>
      </w:pPr>
    </w:p>
    <w:p w14:paraId="6C10015F" w14:textId="37CF0F4E" w:rsidR="008F10A1" w:rsidRDefault="008F10A1" w:rsidP="00A111E9">
      <w:pPr>
        <w:rPr>
          <w:lang w:bidi="ar-SA"/>
        </w:rPr>
      </w:pPr>
      <w:r>
        <w:rPr>
          <w:lang w:bidi="ar-SA"/>
        </w:rPr>
        <w:t xml:space="preserve">The increased incidence of Leydig cell adenoma in this study is consistent with the study of Biegel </w:t>
      </w:r>
      <w:r w:rsidR="00180A32" w:rsidRPr="00180A32">
        <w:rPr>
          <w:i/>
          <w:lang w:bidi="ar-SA"/>
        </w:rPr>
        <w:t xml:space="preserve">et al. </w:t>
      </w:r>
      <w:r w:rsidR="00CC50B8">
        <w:rPr>
          <w:lang w:bidi="ar-SA"/>
        </w:rPr>
        <w:t xml:space="preserve"> </w:t>
      </w:r>
      <w:r>
        <w:rPr>
          <w:lang w:bidi="ar-SA"/>
        </w:rPr>
        <w:t xml:space="preserve">(2001). It has been suggested that the increased incidence of these tumours by AFPO and other peroxisome proliferators reflects hormonal changes secondary to induction of aromatase. In contrast to the findings of Biegel </w:t>
      </w:r>
      <w:r w:rsidR="00180A32" w:rsidRPr="00180A32">
        <w:rPr>
          <w:i/>
          <w:lang w:bidi="ar-SA"/>
        </w:rPr>
        <w:t xml:space="preserve">et al. </w:t>
      </w:r>
      <w:r w:rsidR="00CC50B8">
        <w:rPr>
          <w:lang w:bidi="ar-SA"/>
        </w:rPr>
        <w:t xml:space="preserve"> </w:t>
      </w:r>
      <w:r>
        <w:rPr>
          <w:lang w:bidi="ar-SA"/>
        </w:rPr>
        <w:t>(2001), no increase in pancreatic acinar cell tumours was found in this study. There was, however, some evidence of dose-related pancreatic acinar cell hyperplasia.</w:t>
      </w:r>
    </w:p>
    <w:p w14:paraId="3D1182A3" w14:textId="77777777" w:rsidR="008F10A1" w:rsidRDefault="008F10A1" w:rsidP="00A111E9">
      <w:pPr>
        <w:rPr>
          <w:lang w:bidi="ar-SA"/>
        </w:rPr>
      </w:pPr>
    </w:p>
    <w:p w14:paraId="63CD7B0F" w14:textId="23B00608" w:rsidR="008F10A1" w:rsidRDefault="008F10A1" w:rsidP="00A111E9">
      <w:pPr>
        <w:rPr>
          <w:color w:val="7030A0"/>
          <w:lang w:bidi="ar-SA"/>
        </w:rPr>
      </w:pPr>
      <w:r>
        <w:rPr>
          <w:lang w:bidi="ar-SA"/>
        </w:rPr>
        <w:t xml:space="preserve">The LOAEL in male rats in this study is 30 ppm or 1.3 mg/kg bw/day, on the basis of increased relative liver weight, elevations </w:t>
      </w:r>
      <w:r w:rsidR="00CB765A">
        <w:rPr>
          <w:lang w:bidi="ar-SA"/>
        </w:rPr>
        <w:t xml:space="preserve">in </w:t>
      </w:r>
      <w:r>
        <w:rPr>
          <w:lang w:bidi="ar-SA"/>
        </w:rPr>
        <w:t xml:space="preserve">liver enzymes (ALT, AST, ALP) and cystoid degeneration in the liver. </w:t>
      </w:r>
      <w:r w:rsidRPr="007276A7">
        <w:rPr>
          <w:lang w:bidi="ar-SA"/>
        </w:rPr>
        <w:t>A NOAEL for male rats was not identified.</w:t>
      </w:r>
      <w:r>
        <w:rPr>
          <w:lang w:bidi="ar-SA"/>
        </w:rPr>
        <w:t xml:space="preserve"> The LOAEL in female rats is 300 ppm or 16.1 mg/kg bw/day, on the basis of weight loss in female rats from approximately 18 months of age. The NOAEL in female rats is 1.6 mg/kg bw/day.</w:t>
      </w:r>
    </w:p>
    <w:p w14:paraId="5CF6D21A" w14:textId="77777777" w:rsidR="008F10A1" w:rsidRPr="00046AC0" w:rsidRDefault="008F10A1" w:rsidP="00A111E9">
      <w:pPr>
        <w:rPr>
          <w:color w:val="7030A0"/>
          <w:lang w:bidi="ar-SA"/>
        </w:rPr>
      </w:pPr>
    </w:p>
    <w:p w14:paraId="03E71F9E" w14:textId="77777777" w:rsidR="008F10A1" w:rsidRPr="00D05F8B" w:rsidRDefault="008F10A1" w:rsidP="00A111E9">
      <w:pPr>
        <w:rPr>
          <w:b/>
          <w:lang w:bidi="ar-SA"/>
        </w:rPr>
      </w:pPr>
      <w:r w:rsidRPr="00D05F8B">
        <w:rPr>
          <w:b/>
          <w:lang w:bidi="ar-SA"/>
        </w:rPr>
        <w:t>Genotoxicity</w:t>
      </w:r>
    </w:p>
    <w:p w14:paraId="54B4A0A7" w14:textId="77777777" w:rsidR="008F10A1" w:rsidRDefault="008F10A1" w:rsidP="00A111E9">
      <w:pPr>
        <w:rPr>
          <w:lang w:bidi="ar-SA"/>
        </w:rPr>
      </w:pPr>
    </w:p>
    <w:p w14:paraId="3083FF9C" w14:textId="593F9636" w:rsidR="008F10A1" w:rsidRDefault="008F10A1" w:rsidP="00A111E9">
      <w:pPr>
        <w:rPr>
          <w:lang w:bidi="ar-SA"/>
        </w:rPr>
      </w:pPr>
      <w:r>
        <w:rPr>
          <w:lang w:bidi="ar-SA"/>
        </w:rPr>
        <w:t>EFSA (2008) concluded that the ammonium salt of PFOA (AFPO) does not have significant genotoxic activity, following review of a number of studies. AFPO did not induce mutations in the reverse mutation assay, with or without metabolic activation. Nor did it induce forward mutations in the Chinese Hamster Ovary (CHO) HGPRT assay or in cultured human lymphocytes, with or without metabolic activation. AFPO induced chromosomal aberrations and polyploidy in CHO cells only at toxic concentrations. PFOA is able to induce DNA strand breaks in the single cell gel electrophoresis assay, and micronuclei in human hepatoma HepG2 cells. These effects were accompanied by significant increases in levels of reactive oxygen species and 8-hydroxyguanosine (8-dG), consistent with the genotoxicity being an indirect effect of oxidative DNA damage. AFPO yielded a negative outcome in the mouse micronucleus assay and did not induce cell transformation in C</w:t>
      </w:r>
      <w:r>
        <w:rPr>
          <w:vertAlign w:val="subscript"/>
          <w:lang w:bidi="ar-SA"/>
        </w:rPr>
        <w:t>3</w:t>
      </w:r>
      <w:r>
        <w:rPr>
          <w:lang w:bidi="ar-SA"/>
        </w:rPr>
        <w:t>H10T</w:t>
      </w:r>
      <m:oMath>
        <m:r>
          <w:rPr>
            <w:rFonts w:ascii="Cambria Math" w:hAnsi="Cambria Math"/>
            <w:lang w:bidi="ar-SA"/>
          </w:rPr>
          <m:t>½</m:t>
        </m:r>
      </m:oMath>
      <w:r>
        <w:rPr>
          <w:lang w:bidi="ar-SA"/>
        </w:rPr>
        <w:t xml:space="preserve"> mouse embryo fibroblasts.</w:t>
      </w:r>
    </w:p>
    <w:p w14:paraId="52F1CE73" w14:textId="77777777" w:rsidR="008F10A1" w:rsidRDefault="008F10A1" w:rsidP="00A111E9">
      <w:pPr>
        <w:rPr>
          <w:lang w:bidi="ar-SA"/>
        </w:rPr>
      </w:pPr>
    </w:p>
    <w:p w14:paraId="2189F642" w14:textId="0ABAB03E" w:rsidR="008F10A1" w:rsidRDefault="008F10A1" w:rsidP="00A111E9">
      <w:pPr>
        <w:rPr>
          <w:lang w:bidi="ar-SA"/>
        </w:rPr>
      </w:pPr>
      <w:r>
        <w:rPr>
          <w:lang w:bidi="ar-SA"/>
        </w:rPr>
        <w:t xml:space="preserve">IARC (2016) also reviewed a number of studies investigating the genotoxic potential of PFOA, including studies in human cell lines </w:t>
      </w:r>
      <w:r w:rsidRPr="000200BB">
        <w:rPr>
          <w:lang w:bidi="ar-SA"/>
        </w:rPr>
        <w:t>in vitro</w:t>
      </w:r>
      <w:r>
        <w:rPr>
          <w:lang w:bidi="ar-SA"/>
        </w:rPr>
        <w:t xml:space="preserve">, in mammalian systems </w:t>
      </w:r>
      <w:r w:rsidRPr="000200BB">
        <w:rPr>
          <w:lang w:bidi="ar-SA"/>
        </w:rPr>
        <w:t>in vitro</w:t>
      </w:r>
      <w:r>
        <w:rPr>
          <w:lang w:bidi="ar-SA"/>
        </w:rPr>
        <w:t xml:space="preserve"> and </w:t>
      </w:r>
      <w:r w:rsidRPr="000200BB">
        <w:rPr>
          <w:lang w:bidi="ar-SA"/>
        </w:rPr>
        <w:t>in vivo</w:t>
      </w:r>
      <w:r>
        <w:rPr>
          <w:lang w:bidi="ar-SA"/>
        </w:rPr>
        <w:t xml:space="preserve">, in non-mammalian eukaryotic system </w:t>
      </w:r>
      <w:r w:rsidRPr="000200BB">
        <w:rPr>
          <w:lang w:bidi="ar-SA"/>
        </w:rPr>
        <w:t>in vitro</w:t>
      </w:r>
      <w:r>
        <w:rPr>
          <w:lang w:bidi="ar-SA"/>
        </w:rPr>
        <w:t xml:space="preserve">, and in bacterial and other systems. IARC concluded that there is </w:t>
      </w:r>
      <w:r w:rsidRPr="00E11C13">
        <w:rPr>
          <w:i/>
          <w:lang w:bidi="ar-SA"/>
        </w:rPr>
        <w:t>strong</w:t>
      </w:r>
      <w:r>
        <w:rPr>
          <w:lang w:bidi="ar-SA"/>
        </w:rPr>
        <w:t xml:space="preserve"> evidence that direct genotoxicity is not a mechanism of PFOA carcinogenesis. However</w:t>
      </w:r>
      <w:r w:rsidR="007F02A2">
        <w:rPr>
          <w:lang w:bidi="ar-SA"/>
        </w:rPr>
        <w:t>,</w:t>
      </w:r>
      <w:r>
        <w:rPr>
          <w:lang w:bidi="ar-SA"/>
        </w:rPr>
        <w:t xml:space="preserve"> a few assays indicated that indirect DNA damage may result from induction of oxidative stress, and therefore IARC concluded that there is </w:t>
      </w:r>
      <w:r w:rsidRPr="00E11C13">
        <w:rPr>
          <w:i/>
          <w:lang w:bidi="ar-SA"/>
        </w:rPr>
        <w:t>moderate</w:t>
      </w:r>
      <w:r>
        <w:rPr>
          <w:lang w:bidi="ar-SA"/>
        </w:rPr>
        <w:t xml:space="preserve"> evidence that genotoxicity overall is not a mechanism of PFOA carcinogenesis.</w:t>
      </w:r>
    </w:p>
    <w:p w14:paraId="0A02EE68" w14:textId="77777777" w:rsidR="008F10A1" w:rsidRPr="000217D1" w:rsidRDefault="008F10A1" w:rsidP="00684A16">
      <w:pPr>
        <w:pStyle w:val="Heading5"/>
      </w:pPr>
      <w:r w:rsidRPr="000217D1">
        <w:t>Reproductive and developmental toxicity</w:t>
      </w:r>
    </w:p>
    <w:p w14:paraId="3FB1B316" w14:textId="77777777" w:rsidR="008F10A1" w:rsidRDefault="008F10A1" w:rsidP="00684A16">
      <w:pPr>
        <w:pStyle w:val="Heading5"/>
      </w:pPr>
      <w:r w:rsidRPr="00CB6C18">
        <w:t>Mice</w:t>
      </w:r>
    </w:p>
    <w:p w14:paraId="1F303AFF" w14:textId="77777777" w:rsidR="008F10A1" w:rsidRDefault="008F10A1" w:rsidP="00A111E9">
      <w:pPr>
        <w:rPr>
          <w:i/>
          <w:lang w:bidi="ar-SA"/>
        </w:rPr>
      </w:pPr>
    </w:p>
    <w:p w14:paraId="1854009C" w14:textId="4D1740A6" w:rsidR="008F10A1" w:rsidRPr="00CB6C18" w:rsidRDefault="008F10A1" w:rsidP="00A111E9">
      <w:pPr>
        <w:rPr>
          <w:i/>
          <w:lang w:bidi="ar-SA"/>
        </w:rPr>
      </w:pPr>
      <w:r>
        <w:rPr>
          <w:b/>
          <w:lang w:bidi="ar-SA"/>
        </w:rPr>
        <w:t>Lau</w:t>
      </w:r>
      <w:r w:rsidRPr="00180653">
        <w:rPr>
          <w:b/>
          <w:lang w:bidi="ar-SA"/>
        </w:rPr>
        <w:t xml:space="preserve"> </w:t>
      </w:r>
      <w:r w:rsidR="00180A32" w:rsidRPr="00180A32">
        <w:rPr>
          <w:b/>
          <w:i/>
        </w:rPr>
        <w:t xml:space="preserve">et al. </w:t>
      </w:r>
      <w:r w:rsidR="00CC50B8">
        <w:rPr>
          <w:b/>
        </w:rPr>
        <w:t xml:space="preserve"> </w:t>
      </w:r>
      <w:r w:rsidRPr="00180653">
        <w:rPr>
          <w:b/>
          <w:lang w:bidi="ar-SA"/>
        </w:rPr>
        <w:t>20</w:t>
      </w:r>
      <w:r>
        <w:rPr>
          <w:b/>
          <w:lang w:bidi="ar-SA"/>
        </w:rPr>
        <w:t>06 developmental and female reproductive study in mice</w:t>
      </w:r>
    </w:p>
    <w:p w14:paraId="69A82E72" w14:textId="77777777" w:rsidR="008F10A1" w:rsidRDefault="008F10A1" w:rsidP="00A111E9">
      <w:pPr>
        <w:widowControl/>
        <w:autoSpaceDE w:val="0"/>
        <w:autoSpaceDN w:val="0"/>
        <w:adjustRightInd w:val="0"/>
        <w:rPr>
          <w:rFonts w:ascii="AdvPSA183" w:eastAsiaTheme="minorHAnsi" w:hAnsi="AdvPSA183" w:cs="AdvPSA183"/>
          <w:sz w:val="32"/>
          <w:szCs w:val="32"/>
          <w:lang w:val="en-NZ" w:bidi="ar-SA"/>
        </w:rPr>
      </w:pPr>
    </w:p>
    <w:p w14:paraId="740ABA15" w14:textId="77728E06" w:rsidR="008F10A1" w:rsidRDefault="008F10A1" w:rsidP="00A111E9">
      <w:pPr>
        <w:rPr>
          <w:lang w:bidi="ar-SA"/>
        </w:rPr>
      </w:pPr>
      <w:r>
        <w:rPr>
          <w:lang w:bidi="ar-SA"/>
        </w:rPr>
        <w:t xml:space="preserve">In this study, timed-pregnant CD-1 mice were administered AFPO equivalent to 0, 1, 3, 5, 10, 20 or 40 mg PFOA /kg bw by oral gavage, at a dose volume of 10 mL/kg, from GD 1 through 17 inclusive. The vehicle and control substance was water. Mice were individually housed under standard laboratory husbandry conditions. Some of each group were terminated on GD 18, 24 hours after their most recent treatment, for teratological evaluation, while others </w:t>
      </w:r>
      <w:r>
        <w:rPr>
          <w:lang w:bidi="ar-SA"/>
        </w:rPr>
        <w:lastRenderedPageBreak/>
        <w:t>were dosed on GD 18 and allowed to proceed to spontaneous parturition. In the control group, 45 mice were terminated pregnant and 23 proceeded to spontaneous parturition, whereas for the treated groups the corresponding numbers were 17/8, 17/8, 27/19, 26/21, 42/7 and 40/0 respectively.</w:t>
      </w:r>
    </w:p>
    <w:p w14:paraId="5A919C55" w14:textId="77777777" w:rsidR="008F10A1" w:rsidRDefault="008F10A1" w:rsidP="00A111E9">
      <w:pPr>
        <w:rPr>
          <w:lang w:bidi="ar-SA"/>
        </w:rPr>
      </w:pPr>
    </w:p>
    <w:p w14:paraId="1F274784" w14:textId="2D91635C" w:rsidR="008F10A1" w:rsidRDefault="008F10A1" w:rsidP="00A111E9">
      <w:pPr>
        <w:rPr>
          <w:lang w:bidi="ar-SA"/>
        </w:rPr>
      </w:pPr>
      <w:r>
        <w:rPr>
          <w:lang w:bidi="ar-SA"/>
        </w:rPr>
        <w:t xml:space="preserve">Endpoints measured included maternal survival; maternal weight gain; maternal liver weight on GD 18; number of fetuses live, dead or resorbed on GD 18; weight, sex and external appearance of fetuses on GD 18; anatomy and skeletal morphology of fetuses on GD 18; time of spontaneous parturition; number, viability and condition of pups at spontaneous parturition; </w:t>
      </w:r>
      <w:r w:rsidR="00E83E80">
        <w:rPr>
          <w:lang w:bidi="ar-SA"/>
        </w:rPr>
        <w:t>body weight</w:t>
      </w:r>
      <w:r>
        <w:rPr>
          <w:lang w:bidi="ar-SA"/>
        </w:rPr>
        <w:t xml:space="preserve">s and </w:t>
      </w:r>
      <w:r w:rsidR="00E83E80">
        <w:rPr>
          <w:lang w:bidi="ar-SA"/>
        </w:rPr>
        <w:t>body weight</w:t>
      </w:r>
      <w:r>
        <w:rPr>
          <w:lang w:bidi="ar-SA"/>
        </w:rPr>
        <w:t xml:space="preserve"> gains of surviving pups (with pups in litters with fewer than 4 pups redistributed to other dams in the same dose group); day of eye</w:t>
      </w:r>
      <w:r w:rsidR="001012A5">
        <w:rPr>
          <w:lang w:bidi="ar-SA"/>
        </w:rPr>
        <w:t>-</w:t>
      </w:r>
      <w:r>
        <w:rPr>
          <w:lang w:bidi="ar-SA"/>
        </w:rPr>
        <w:t xml:space="preserve">opening; day of puberty (vaginal opening or preputial separation) of pups; </w:t>
      </w:r>
      <w:r w:rsidR="00E83E80">
        <w:rPr>
          <w:lang w:bidi="ar-SA"/>
        </w:rPr>
        <w:t>body weight</w:t>
      </w:r>
      <w:r>
        <w:rPr>
          <w:lang w:bidi="ar-SA"/>
        </w:rPr>
        <w:t>s of pups at puberty; and age at first oestrus of female pups. In addition, dams were terminated after weaning and implantation sites in their uteri were counted.</w:t>
      </w:r>
    </w:p>
    <w:p w14:paraId="38CC4059" w14:textId="7C7816C5" w:rsidR="008F10A1" w:rsidRDefault="008F10A1" w:rsidP="00A111E9">
      <w:pPr>
        <w:rPr>
          <w:lang w:bidi="ar-SA"/>
        </w:rPr>
      </w:pPr>
      <w:r>
        <w:rPr>
          <w:lang w:bidi="ar-SA"/>
        </w:rPr>
        <w:t>The effect of PFOA on maternal survival was not stated and cannot be calculated from the data because the original group numbers were not stated</w:t>
      </w:r>
      <w:r w:rsidRPr="005516EF">
        <w:rPr>
          <w:lang w:bidi="ar-SA"/>
        </w:rPr>
        <w:t>. PFOA treatment had a dose-related negative effect on maternal weight gain during pregnancy</w:t>
      </w:r>
      <w:r>
        <w:rPr>
          <w:lang w:bidi="ar-SA"/>
        </w:rPr>
        <w:t xml:space="preserve"> at dose levels of </w:t>
      </w:r>
      <w:r>
        <w:rPr>
          <w:rFonts w:cs="Arial"/>
          <w:lang w:bidi="ar-SA"/>
        </w:rPr>
        <w:t>≥</w:t>
      </w:r>
      <w:r w:rsidR="00F03521">
        <w:rPr>
          <w:rFonts w:cs="Arial"/>
          <w:lang w:bidi="ar-SA"/>
        </w:rPr>
        <w:t xml:space="preserve"> </w:t>
      </w:r>
      <w:r>
        <w:rPr>
          <w:lang w:bidi="ar-SA"/>
        </w:rPr>
        <w:t>20 mg/kg bw/day,</w:t>
      </w:r>
      <w:r w:rsidRPr="005516EF">
        <w:rPr>
          <w:lang w:bidi="ar-SA"/>
        </w:rPr>
        <w:t xml:space="preserve"> and the</w:t>
      </w:r>
      <w:r>
        <w:rPr>
          <w:lang w:bidi="ar-SA"/>
        </w:rPr>
        <w:t xml:space="preserve"> maternal liver weights showed a dose-related increase at dose levels </w:t>
      </w:r>
      <w:r>
        <w:rPr>
          <w:rFonts w:cs="Arial"/>
          <w:lang w:bidi="ar-SA"/>
        </w:rPr>
        <w:t>≥</w:t>
      </w:r>
      <w:r>
        <w:rPr>
          <w:lang w:bidi="ar-SA"/>
        </w:rPr>
        <w:t xml:space="preserve"> 1 mg/kg bw/day. Analysis of maternal serum confirmed a dose-related increase in PFOA concentration at term. The authors reported serum PFOA data only for the 20 mg/kg bw/d dose level.</w:t>
      </w:r>
    </w:p>
    <w:p w14:paraId="0ECD562D" w14:textId="77777777" w:rsidR="008F10A1" w:rsidRDefault="008F10A1" w:rsidP="00A111E9">
      <w:pPr>
        <w:rPr>
          <w:lang w:bidi="ar-SA"/>
        </w:rPr>
      </w:pPr>
    </w:p>
    <w:p w14:paraId="766FA687" w14:textId="12C131B4" w:rsidR="008F10A1" w:rsidRDefault="008F10A1" w:rsidP="00A111E9">
      <w:pPr>
        <w:rPr>
          <w:lang w:bidi="ar-SA"/>
        </w:rPr>
      </w:pPr>
      <w:r>
        <w:rPr>
          <w:lang w:bidi="ar-SA"/>
        </w:rPr>
        <w:t xml:space="preserve">Treatment with PFOA had no effect on the number of implantations, but there was a significant dose-related increase in the incidence of full-litter resorptions in the groups receiving </w:t>
      </w:r>
      <w:r>
        <w:rPr>
          <w:rFonts w:cs="Arial"/>
          <w:lang w:bidi="ar-SA"/>
        </w:rPr>
        <w:t>≥</w:t>
      </w:r>
      <w:r>
        <w:rPr>
          <w:lang w:bidi="ar-SA"/>
        </w:rPr>
        <w:t xml:space="preserve"> 5 mg/kg bw/day PFOA. All pregnancies were lost in the 40 mg/kg bw/day group. Among litters with viable fetuses at term, significant prenatal loss was observed only in the 20 mg/kg bw/day group. Weights of live pups at term were decreased only in the 20 mg/kg bw/day group, in which there was a mean decrease of 20%. In fetuses assessed for morphology at GD 18, skeletal abnormalities were found with increased incidence in the 10 and 20 mg/kg bw/day groups, and included enlarged fontanels, and reduced ossification of </w:t>
      </w:r>
      <w:r w:rsidR="00104C8E">
        <w:rPr>
          <w:lang w:bidi="ar-SA"/>
        </w:rPr>
        <w:t>sternebrae</w:t>
      </w:r>
      <w:r>
        <w:rPr>
          <w:lang w:bidi="ar-SA"/>
        </w:rPr>
        <w:t>, caudal vertebrae, metacarpals, metatarsals, phalanges, calvaria, supraoccipital bones and hyoid bones. However, not all these defects showed a consistent dose-response relationship. Soft tissue defects found in the same dose groups were minor tail and limb defects, and microcardia.</w:t>
      </w:r>
    </w:p>
    <w:p w14:paraId="3454935D" w14:textId="77777777" w:rsidR="008F10A1" w:rsidRDefault="008F10A1" w:rsidP="00A111E9">
      <w:pPr>
        <w:rPr>
          <w:lang w:bidi="ar-SA"/>
        </w:rPr>
      </w:pPr>
    </w:p>
    <w:p w14:paraId="2BA6161A" w14:textId="637E714D" w:rsidR="008F10A1" w:rsidRDefault="008F10A1" w:rsidP="00A111E9">
      <w:pPr>
        <w:rPr>
          <w:lang w:bidi="ar-SA"/>
        </w:rPr>
      </w:pPr>
      <w:r>
        <w:rPr>
          <w:lang w:bidi="ar-SA"/>
        </w:rPr>
        <w:t xml:space="preserve">PFOA slightly increased average time to spontaneous parturition, which was statistically significant at </w:t>
      </w:r>
      <w:r>
        <w:rPr>
          <w:rFonts w:cs="Arial"/>
          <w:lang w:bidi="ar-SA"/>
        </w:rPr>
        <w:t>≥</w:t>
      </w:r>
      <w:r>
        <w:rPr>
          <w:lang w:bidi="ar-SA"/>
        </w:rPr>
        <w:t xml:space="preserve">10 mg/kg bw/day, and the incidences of stillbirth and neonatal mortality were significantly increased at </w:t>
      </w:r>
      <w:r>
        <w:rPr>
          <w:rFonts w:cs="Arial"/>
          <w:lang w:bidi="ar-SA"/>
        </w:rPr>
        <w:t>≥</w:t>
      </w:r>
      <w:r>
        <w:rPr>
          <w:lang w:bidi="ar-SA"/>
        </w:rPr>
        <w:t xml:space="preserve"> 5 mg/kg bw/day PFOA. Most neonates in the 10 and 20 mg/kg bw/day groups died within 24 hours of birth. However, postnatal viability was not affected at </w:t>
      </w:r>
      <w:r>
        <w:rPr>
          <w:rFonts w:cs="Arial"/>
          <w:lang w:bidi="ar-SA"/>
        </w:rPr>
        <w:t>≤</w:t>
      </w:r>
      <w:r>
        <w:rPr>
          <w:lang w:bidi="ar-SA"/>
        </w:rPr>
        <w:t xml:space="preserve"> 3 mg/kg bw/day PFOA. Growth retardation from birth to weaning at PND 23 was found in the pups in the </w:t>
      </w:r>
      <w:r>
        <w:rPr>
          <w:rFonts w:cs="Arial"/>
          <w:lang w:bidi="ar-SA"/>
        </w:rPr>
        <w:t>≥</w:t>
      </w:r>
      <w:r>
        <w:rPr>
          <w:lang w:bidi="ar-SA"/>
        </w:rPr>
        <w:t xml:space="preserve"> 3 mg/kg bw/day groups. </w:t>
      </w:r>
      <w:r w:rsidR="00E83E80">
        <w:rPr>
          <w:lang w:bidi="ar-SA"/>
        </w:rPr>
        <w:t>Body weight</w:t>
      </w:r>
      <w:r>
        <w:rPr>
          <w:lang w:bidi="ar-SA"/>
        </w:rPr>
        <w:t>s of pups recovered after weaning. Female pups had body weights comparable to those of controls by 6.5 weeks of age while males had body weights comparable to those of controls by 13 weeks of age. Time to eye</w:t>
      </w:r>
      <w:r w:rsidR="001012A5">
        <w:rPr>
          <w:lang w:bidi="ar-SA"/>
        </w:rPr>
        <w:t>-</w:t>
      </w:r>
      <w:r>
        <w:rPr>
          <w:lang w:bidi="ar-SA"/>
        </w:rPr>
        <w:t xml:space="preserve">opening was significantly delayed in pups in the </w:t>
      </w:r>
      <w:r>
        <w:rPr>
          <w:rFonts w:cs="Arial"/>
          <w:lang w:bidi="ar-SA"/>
        </w:rPr>
        <w:t>≥</w:t>
      </w:r>
      <w:r>
        <w:rPr>
          <w:lang w:bidi="ar-SA"/>
        </w:rPr>
        <w:t xml:space="preserve"> 5 mg/kg bw/day dose groups. Time to puberty, as determined by vaginal opening and by time to first oestrus, was not significantly altered in female pups. The authors considered that time to preputial separation was decreased in male pups of treated dams, but the presented data do not support this conclusion, because group mean time to preputial separation increased, rather than decreased, with increasing dose.</w:t>
      </w:r>
    </w:p>
    <w:p w14:paraId="1DAAA995" w14:textId="77777777" w:rsidR="008F10A1" w:rsidRDefault="008F10A1" w:rsidP="00A111E9">
      <w:pPr>
        <w:rPr>
          <w:lang w:bidi="ar-SA"/>
        </w:rPr>
      </w:pPr>
    </w:p>
    <w:p w14:paraId="37386D34" w14:textId="04CD8E90" w:rsidR="008F10A1" w:rsidRDefault="008F10A1" w:rsidP="00A111E9">
      <w:pPr>
        <w:rPr>
          <w:lang w:bidi="ar-SA"/>
        </w:rPr>
      </w:pPr>
      <w:r>
        <w:rPr>
          <w:lang w:bidi="ar-SA"/>
        </w:rPr>
        <w:t xml:space="preserve">The maternal NOAEL was 10 mg/kg bw/day, based on decreased body weight gain at </w:t>
      </w:r>
      <w:r w:rsidRPr="003A1B48">
        <w:rPr>
          <w:lang w:bidi="ar-SA"/>
        </w:rPr>
        <w:t>≥</w:t>
      </w:r>
      <w:r>
        <w:rPr>
          <w:lang w:bidi="ar-SA"/>
        </w:rPr>
        <w:t>2</w:t>
      </w:r>
      <w:r w:rsidRPr="003A1B48">
        <w:rPr>
          <w:lang w:bidi="ar-SA"/>
        </w:rPr>
        <w:t>0 mg/kg bw/d</w:t>
      </w:r>
      <w:r>
        <w:rPr>
          <w:lang w:bidi="ar-SA"/>
        </w:rPr>
        <w:t>ay.</w:t>
      </w:r>
    </w:p>
    <w:p w14:paraId="5A2890B2" w14:textId="5CE2D9E4" w:rsidR="008F10A1" w:rsidRDefault="008F10A1" w:rsidP="00A111E9">
      <w:pPr>
        <w:rPr>
          <w:lang w:bidi="ar-SA"/>
        </w:rPr>
      </w:pPr>
      <w:r>
        <w:rPr>
          <w:lang w:bidi="ar-SA"/>
        </w:rPr>
        <w:t xml:space="preserve">The NOAEL for fetotoxicity was 1 mg/kg bw/day, based on decreased body weight gain at doses of </w:t>
      </w:r>
      <w:r>
        <w:rPr>
          <w:rFonts w:cs="Arial"/>
          <w:lang w:bidi="ar-SA"/>
        </w:rPr>
        <w:t xml:space="preserve">≥ </w:t>
      </w:r>
      <w:r>
        <w:rPr>
          <w:lang w:bidi="ar-SA"/>
        </w:rPr>
        <w:t>3 mg/kg bw/day.</w:t>
      </w:r>
    </w:p>
    <w:p w14:paraId="5F815258" w14:textId="77777777" w:rsidR="00684A16" w:rsidRDefault="00684A16" w:rsidP="00A111E9">
      <w:pPr>
        <w:rPr>
          <w:lang w:bidi="ar-SA"/>
        </w:rPr>
      </w:pPr>
    </w:p>
    <w:p w14:paraId="06FE1132" w14:textId="77777777" w:rsidR="008F10A1" w:rsidRDefault="008F10A1" w:rsidP="00A111E9">
      <w:pPr>
        <w:rPr>
          <w:lang w:bidi="ar-SA"/>
        </w:rPr>
      </w:pPr>
      <w:r w:rsidRPr="00AE7943">
        <w:rPr>
          <w:lang w:bidi="ar-SA"/>
        </w:rPr>
        <w:lastRenderedPageBreak/>
        <w:t xml:space="preserve">The </w:t>
      </w:r>
      <w:r>
        <w:rPr>
          <w:lang w:bidi="ar-SA"/>
        </w:rPr>
        <w:t>US EPA obtained the following serum PFOA data from the authors of the study:</w:t>
      </w:r>
    </w:p>
    <w:p w14:paraId="5BE66BC0" w14:textId="77777777" w:rsidR="008F10A1" w:rsidRDefault="008F10A1" w:rsidP="00A111E9">
      <w:pPr>
        <w:pStyle w:val="FSTableTitle"/>
        <w:rPr>
          <w:rFonts w:eastAsiaTheme="minorHAnsi"/>
          <w:lang w:val="en-NZ" w:bidi="ar-SA"/>
        </w:rPr>
      </w:pPr>
    </w:p>
    <w:p w14:paraId="21767DC7" w14:textId="6FEFF3A1" w:rsidR="0059023B" w:rsidRDefault="008F10A1" w:rsidP="00A111E9">
      <w:pPr>
        <w:pStyle w:val="FSTableTitle"/>
        <w:rPr>
          <w:lang w:bidi="ar-SA"/>
        </w:rPr>
      </w:pPr>
      <w:r>
        <w:rPr>
          <w:rFonts w:eastAsiaTheme="minorHAnsi"/>
          <w:lang w:val="en-NZ" w:bidi="ar-SA"/>
        </w:rPr>
        <w:t xml:space="preserve">Table </w:t>
      </w:r>
      <w:r w:rsidR="00DA3475">
        <w:rPr>
          <w:rFonts w:eastAsiaTheme="minorHAnsi"/>
          <w:lang w:val="en-NZ" w:bidi="ar-SA"/>
        </w:rPr>
        <w:t>23</w:t>
      </w:r>
      <w:r>
        <w:rPr>
          <w:rFonts w:eastAsiaTheme="minorHAnsi"/>
          <w:lang w:val="en-NZ" w:bidi="ar-SA"/>
        </w:rPr>
        <w:t>:</w:t>
      </w:r>
      <w:r w:rsidR="00711821">
        <w:rPr>
          <w:rFonts w:eastAsiaTheme="minorHAnsi"/>
          <w:lang w:val="en-NZ" w:bidi="ar-SA"/>
        </w:rPr>
        <w:t xml:space="preserve"> </w:t>
      </w:r>
      <w:r w:rsidR="00711821" w:rsidRPr="00711821">
        <w:rPr>
          <w:rFonts w:eastAsiaTheme="minorHAnsi"/>
          <w:lang w:val="en-NZ" w:bidi="ar-SA"/>
        </w:rPr>
        <w:t xml:space="preserve">Serum </w:t>
      </w:r>
      <w:r w:rsidR="00D5499C">
        <w:rPr>
          <w:rFonts w:eastAsiaTheme="minorHAnsi"/>
          <w:lang w:val="en-NZ" w:bidi="ar-SA"/>
        </w:rPr>
        <w:t>l</w:t>
      </w:r>
      <w:r w:rsidR="00D5499C" w:rsidRPr="00711821">
        <w:rPr>
          <w:rFonts w:eastAsiaTheme="minorHAnsi"/>
          <w:lang w:val="en-NZ" w:bidi="ar-SA"/>
        </w:rPr>
        <w:t xml:space="preserve">evels </w:t>
      </w:r>
      <w:r w:rsidR="00711821" w:rsidRPr="00711821">
        <w:rPr>
          <w:rFonts w:eastAsiaTheme="minorHAnsi"/>
          <w:lang w:val="en-NZ" w:bidi="ar-SA"/>
        </w:rPr>
        <w:t xml:space="preserve">of PFOA in </w:t>
      </w:r>
      <w:r w:rsidR="00D5499C">
        <w:rPr>
          <w:rFonts w:eastAsiaTheme="minorHAnsi"/>
          <w:lang w:val="en-NZ" w:bidi="ar-SA"/>
        </w:rPr>
        <w:t>f</w:t>
      </w:r>
      <w:r w:rsidR="00D5499C" w:rsidRPr="00711821">
        <w:rPr>
          <w:rFonts w:eastAsiaTheme="minorHAnsi"/>
          <w:lang w:val="en-NZ" w:bidi="ar-SA"/>
        </w:rPr>
        <w:t xml:space="preserve">emale </w:t>
      </w:r>
      <w:r w:rsidR="00711821" w:rsidRPr="00711821">
        <w:rPr>
          <w:rFonts w:eastAsiaTheme="minorHAnsi"/>
          <w:lang w:val="en-NZ" w:bidi="ar-SA"/>
        </w:rPr>
        <w:t xml:space="preserve">CD-1 </w:t>
      </w:r>
      <w:r w:rsidR="00D5499C">
        <w:rPr>
          <w:rFonts w:eastAsiaTheme="minorHAnsi"/>
          <w:lang w:val="en-NZ" w:bidi="ar-SA"/>
        </w:rPr>
        <w:t>m</w:t>
      </w:r>
      <w:r w:rsidR="00D5499C" w:rsidRPr="00711821">
        <w:rPr>
          <w:rFonts w:eastAsiaTheme="minorHAnsi"/>
          <w:lang w:val="en-NZ" w:bidi="ar-SA"/>
        </w:rPr>
        <w:t xml:space="preserve">ice </w:t>
      </w:r>
      <w:r w:rsidR="00711821" w:rsidRPr="00711821">
        <w:rPr>
          <w:rFonts w:eastAsiaTheme="minorHAnsi"/>
          <w:lang w:val="en-NZ" w:bidi="ar-SA"/>
        </w:rPr>
        <w:t xml:space="preserve">after </w:t>
      </w:r>
      <w:r w:rsidR="00D5499C">
        <w:rPr>
          <w:rFonts w:eastAsiaTheme="minorHAnsi"/>
          <w:lang w:val="en-NZ" w:bidi="ar-SA"/>
        </w:rPr>
        <w:t>r</w:t>
      </w:r>
      <w:r w:rsidR="00D5499C" w:rsidRPr="00711821">
        <w:rPr>
          <w:rFonts w:eastAsiaTheme="minorHAnsi"/>
          <w:lang w:val="en-NZ" w:bidi="ar-SA"/>
        </w:rPr>
        <w:t xml:space="preserve">eceiving </w:t>
      </w:r>
      <w:r w:rsidR="00D5499C">
        <w:rPr>
          <w:rFonts w:eastAsiaTheme="minorHAnsi"/>
          <w:lang w:val="en-NZ" w:bidi="ar-SA"/>
        </w:rPr>
        <w:t>d</w:t>
      </w:r>
      <w:r w:rsidR="00D5499C" w:rsidRPr="00711821">
        <w:rPr>
          <w:rFonts w:eastAsiaTheme="minorHAnsi"/>
          <w:lang w:val="en-NZ" w:bidi="ar-SA"/>
        </w:rPr>
        <w:t xml:space="preserve">aily </w:t>
      </w:r>
      <w:r w:rsidR="00D5499C">
        <w:rPr>
          <w:rFonts w:eastAsiaTheme="minorHAnsi"/>
          <w:lang w:val="en-NZ" w:bidi="ar-SA"/>
        </w:rPr>
        <w:t>o</w:t>
      </w:r>
      <w:r w:rsidR="00D5499C" w:rsidRPr="00711821">
        <w:rPr>
          <w:rFonts w:eastAsiaTheme="minorHAnsi"/>
          <w:lang w:val="en-NZ" w:bidi="ar-SA"/>
        </w:rPr>
        <w:t xml:space="preserve">ral </w:t>
      </w:r>
      <w:r w:rsidR="00D5499C">
        <w:rPr>
          <w:rFonts w:eastAsiaTheme="minorHAnsi"/>
          <w:lang w:val="en-NZ" w:bidi="ar-SA"/>
        </w:rPr>
        <w:t>g</w:t>
      </w:r>
      <w:r w:rsidR="00D5499C" w:rsidRPr="00711821">
        <w:rPr>
          <w:rFonts w:eastAsiaTheme="minorHAnsi"/>
          <w:lang w:val="en-NZ" w:bidi="ar-SA"/>
        </w:rPr>
        <w:t xml:space="preserve">avage </w:t>
      </w:r>
      <w:r w:rsidR="00711821" w:rsidRPr="00711821">
        <w:rPr>
          <w:rFonts w:eastAsiaTheme="minorHAnsi"/>
          <w:lang w:val="en-NZ" w:bidi="ar-SA"/>
        </w:rPr>
        <w:t>from GD1-17 inclusive</w:t>
      </w:r>
    </w:p>
    <w:tbl>
      <w:tblPr>
        <w:tblStyle w:val="TableGrid11"/>
        <w:tblW w:w="0" w:type="auto"/>
        <w:jc w:val="center"/>
        <w:tblLook w:val="04A0" w:firstRow="1" w:lastRow="0" w:firstColumn="1" w:lastColumn="0" w:noHBand="0" w:noVBand="1"/>
        <w:tblCaption w:val="Table 23: Serum levels of PFOA in female CD-1 mice after receiving daily oral gavage from GD1-17 inclusive"/>
        <w:tblDescription w:val="This table contains data relating to serum levels of PFOA in female CD-1 mice after receiving daily oral gavage from GD1-17 inclusive."/>
      </w:tblPr>
      <w:tblGrid>
        <w:gridCol w:w="2797"/>
        <w:gridCol w:w="3632"/>
      </w:tblGrid>
      <w:tr w:rsidR="008F10A1" w:rsidRPr="008F10A1" w14:paraId="46111CEB" w14:textId="77777777" w:rsidTr="00BC19E6">
        <w:trPr>
          <w:tblHeader/>
          <w:jc w:val="center"/>
        </w:trPr>
        <w:tc>
          <w:tcPr>
            <w:tcW w:w="2797" w:type="dxa"/>
            <w:shd w:val="clear" w:color="auto" w:fill="F2F2F2" w:themeFill="background1" w:themeFillShade="F2"/>
          </w:tcPr>
          <w:p w14:paraId="1895567A" w14:textId="127F3A1C" w:rsidR="008F10A1" w:rsidRPr="000B3C14" w:rsidRDefault="008F10A1" w:rsidP="002A58BE">
            <w:pPr>
              <w:widowControl/>
              <w:spacing w:before="40" w:after="40"/>
              <w:jc w:val="right"/>
              <w:rPr>
                <w:rFonts w:asciiTheme="minorHAnsi" w:eastAsiaTheme="minorHAnsi" w:hAnsiTheme="minorHAnsi"/>
                <w:b/>
                <w:lang w:val="en-NZ"/>
              </w:rPr>
            </w:pPr>
            <w:r w:rsidRPr="00D711DD">
              <w:rPr>
                <w:rFonts w:asciiTheme="minorHAnsi" w:eastAsiaTheme="minorHAnsi" w:hAnsiTheme="minorHAnsi"/>
                <w:b/>
                <w:lang w:val="en-NZ"/>
              </w:rPr>
              <w:t>Dose level (mg/kg bw/d</w:t>
            </w:r>
            <w:r w:rsidR="003C4A28" w:rsidRPr="000B3C14">
              <w:rPr>
                <w:rFonts w:asciiTheme="minorHAnsi" w:eastAsiaTheme="minorHAnsi" w:hAnsiTheme="minorHAnsi"/>
                <w:b/>
                <w:lang w:val="en-NZ"/>
              </w:rPr>
              <w:t>ay</w:t>
            </w:r>
            <w:r w:rsidRPr="000B3C14">
              <w:rPr>
                <w:rFonts w:asciiTheme="minorHAnsi" w:eastAsiaTheme="minorHAnsi" w:hAnsiTheme="minorHAnsi"/>
                <w:b/>
                <w:lang w:val="en-NZ"/>
              </w:rPr>
              <w:t>)</w:t>
            </w:r>
          </w:p>
        </w:tc>
        <w:tc>
          <w:tcPr>
            <w:tcW w:w="3632" w:type="dxa"/>
            <w:shd w:val="clear" w:color="auto" w:fill="F2F2F2" w:themeFill="background1" w:themeFillShade="F2"/>
          </w:tcPr>
          <w:p w14:paraId="34233766" w14:textId="77777777" w:rsidR="008F10A1" w:rsidRPr="00F6284E" w:rsidRDefault="008F10A1" w:rsidP="002A58BE">
            <w:pPr>
              <w:widowControl/>
              <w:spacing w:before="40" w:after="40"/>
              <w:jc w:val="right"/>
              <w:rPr>
                <w:rFonts w:asciiTheme="minorHAnsi" w:eastAsiaTheme="minorHAnsi" w:hAnsiTheme="minorHAnsi"/>
                <w:b/>
                <w:lang w:val="en-NZ"/>
              </w:rPr>
            </w:pPr>
            <w:r w:rsidRPr="00F6284E">
              <w:rPr>
                <w:rFonts w:asciiTheme="minorHAnsi" w:eastAsiaTheme="minorHAnsi" w:hAnsiTheme="minorHAnsi"/>
                <w:b/>
                <w:lang w:val="en-NZ"/>
              </w:rPr>
              <w:t>Group mean serum PFOA (µg/mL)</w:t>
            </w:r>
          </w:p>
        </w:tc>
      </w:tr>
      <w:tr w:rsidR="008F10A1" w:rsidRPr="008F10A1" w14:paraId="48BCA670" w14:textId="77777777" w:rsidTr="00BC19E6">
        <w:trPr>
          <w:trHeight w:val="281"/>
          <w:jc w:val="center"/>
        </w:trPr>
        <w:tc>
          <w:tcPr>
            <w:tcW w:w="2797" w:type="dxa"/>
            <w:vAlign w:val="center"/>
          </w:tcPr>
          <w:p w14:paraId="198F4D8C" w14:textId="77777777" w:rsidR="008F10A1" w:rsidRPr="00D711DD" w:rsidRDefault="008F10A1" w:rsidP="002A58BE">
            <w:pPr>
              <w:widowControl/>
              <w:jc w:val="right"/>
              <w:rPr>
                <w:rFonts w:eastAsiaTheme="minorHAnsi"/>
                <w:sz w:val="18"/>
                <w:lang w:val="en-NZ"/>
              </w:rPr>
            </w:pPr>
            <w:r w:rsidRPr="00D711DD">
              <w:rPr>
                <w:rFonts w:eastAsiaTheme="minorHAnsi"/>
                <w:sz w:val="18"/>
                <w:lang w:val="en-NZ"/>
              </w:rPr>
              <w:t>1</w:t>
            </w:r>
          </w:p>
        </w:tc>
        <w:tc>
          <w:tcPr>
            <w:tcW w:w="3632" w:type="dxa"/>
            <w:vAlign w:val="center"/>
          </w:tcPr>
          <w:p w14:paraId="299EB619" w14:textId="7241A408" w:rsidR="008F10A1" w:rsidRPr="000B3C14" w:rsidRDefault="008F10A1" w:rsidP="002A58BE">
            <w:pPr>
              <w:widowControl/>
              <w:jc w:val="right"/>
              <w:rPr>
                <w:rFonts w:eastAsiaTheme="minorHAnsi"/>
                <w:sz w:val="18"/>
                <w:lang w:val="en-NZ"/>
              </w:rPr>
            </w:pPr>
            <w:r w:rsidRPr="000B3C14">
              <w:rPr>
                <w:rFonts w:eastAsiaTheme="minorHAnsi"/>
                <w:sz w:val="18"/>
                <w:lang w:val="en-NZ"/>
              </w:rPr>
              <w:t>21.9</w:t>
            </w:r>
          </w:p>
        </w:tc>
      </w:tr>
      <w:tr w:rsidR="008F10A1" w:rsidRPr="008F10A1" w14:paraId="2FB4419A" w14:textId="77777777" w:rsidTr="00BC19E6">
        <w:trPr>
          <w:trHeight w:val="281"/>
          <w:jc w:val="center"/>
        </w:trPr>
        <w:tc>
          <w:tcPr>
            <w:tcW w:w="2797" w:type="dxa"/>
            <w:vAlign w:val="center"/>
          </w:tcPr>
          <w:p w14:paraId="0849E9DD" w14:textId="77777777" w:rsidR="008F10A1" w:rsidRPr="00D711DD" w:rsidRDefault="008F10A1" w:rsidP="002A58BE">
            <w:pPr>
              <w:widowControl/>
              <w:jc w:val="right"/>
              <w:rPr>
                <w:rFonts w:eastAsiaTheme="minorHAnsi"/>
                <w:sz w:val="18"/>
                <w:lang w:val="en-NZ"/>
              </w:rPr>
            </w:pPr>
            <w:r w:rsidRPr="00D711DD">
              <w:rPr>
                <w:rFonts w:eastAsiaTheme="minorHAnsi"/>
                <w:sz w:val="18"/>
                <w:lang w:val="en-NZ"/>
              </w:rPr>
              <w:t>3</w:t>
            </w:r>
          </w:p>
        </w:tc>
        <w:tc>
          <w:tcPr>
            <w:tcW w:w="3632" w:type="dxa"/>
            <w:vAlign w:val="center"/>
          </w:tcPr>
          <w:p w14:paraId="169D683A" w14:textId="5B3EBE91" w:rsidR="008F10A1" w:rsidRPr="000B3C14" w:rsidRDefault="008F10A1" w:rsidP="002A58BE">
            <w:pPr>
              <w:widowControl/>
              <w:jc w:val="right"/>
              <w:rPr>
                <w:rFonts w:eastAsiaTheme="minorHAnsi"/>
                <w:sz w:val="18"/>
                <w:lang w:val="en-NZ"/>
              </w:rPr>
            </w:pPr>
            <w:r w:rsidRPr="000B3C14">
              <w:rPr>
                <w:rFonts w:eastAsiaTheme="minorHAnsi"/>
                <w:sz w:val="18"/>
                <w:lang w:val="en-NZ"/>
              </w:rPr>
              <w:t>40.5</w:t>
            </w:r>
          </w:p>
        </w:tc>
      </w:tr>
      <w:tr w:rsidR="008F10A1" w:rsidRPr="008F10A1" w14:paraId="6DA7834F" w14:textId="77777777" w:rsidTr="00BC19E6">
        <w:trPr>
          <w:trHeight w:val="281"/>
          <w:jc w:val="center"/>
        </w:trPr>
        <w:tc>
          <w:tcPr>
            <w:tcW w:w="2797" w:type="dxa"/>
            <w:vAlign w:val="center"/>
          </w:tcPr>
          <w:p w14:paraId="31458431" w14:textId="77777777" w:rsidR="008F10A1" w:rsidRPr="00D711DD" w:rsidRDefault="008F10A1" w:rsidP="002A58BE">
            <w:pPr>
              <w:widowControl/>
              <w:jc w:val="right"/>
              <w:rPr>
                <w:rFonts w:eastAsiaTheme="minorHAnsi"/>
                <w:sz w:val="18"/>
                <w:lang w:val="en-NZ"/>
              </w:rPr>
            </w:pPr>
            <w:r w:rsidRPr="00D711DD">
              <w:rPr>
                <w:rFonts w:eastAsiaTheme="minorHAnsi"/>
                <w:sz w:val="18"/>
                <w:lang w:val="en-NZ"/>
              </w:rPr>
              <w:t>5</w:t>
            </w:r>
          </w:p>
        </w:tc>
        <w:tc>
          <w:tcPr>
            <w:tcW w:w="3632" w:type="dxa"/>
            <w:vAlign w:val="center"/>
          </w:tcPr>
          <w:p w14:paraId="52ED1E12" w14:textId="11219DAA" w:rsidR="008F10A1" w:rsidRPr="000B3C14" w:rsidRDefault="008F10A1" w:rsidP="002A58BE">
            <w:pPr>
              <w:widowControl/>
              <w:jc w:val="right"/>
              <w:rPr>
                <w:rFonts w:eastAsiaTheme="minorHAnsi"/>
                <w:sz w:val="18"/>
                <w:lang w:val="en-NZ"/>
              </w:rPr>
            </w:pPr>
            <w:r w:rsidRPr="000B3C14">
              <w:rPr>
                <w:rFonts w:eastAsiaTheme="minorHAnsi"/>
                <w:sz w:val="18"/>
                <w:lang w:val="en-NZ"/>
              </w:rPr>
              <w:t>71.9</w:t>
            </w:r>
          </w:p>
        </w:tc>
      </w:tr>
      <w:tr w:rsidR="008F10A1" w:rsidRPr="008F10A1" w14:paraId="07200D53" w14:textId="77777777" w:rsidTr="00BC19E6">
        <w:trPr>
          <w:trHeight w:val="281"/>
          <w:jc w:val="center"/>
        </w:trPr>
        <w:tc>
          <w:tcPr>
            <w:tcW w:w="2797" w:type="dxa"/>
            <w:vAlign w:val="center"/>
          </w:tcPr>
          <w:p w14:paraId="4E6567AF" w14:textId="77777777" w:rsidR="008F10A1" w:rsidRPr="00D711DD" w:rsidRDefault="008F10A1" w:rsidP="002A58BE">
            <w:pPr>
              <w:widowControl/>
              <w:jc w:val="right"/>
              <w:rPr>
                <w:rFonts w:eastAsiaTheme="minorHAnsi"/>
                <w:sz w:val="18"/>
                <w:lang w:val="en-NZ"/>
              </w:rPr>
            </w:pPr>
            <w:r w:rsidRPr="00D711DD">
              <w:rPr>
                <w:rFonts w:eastAsiaTheme="minorHAnsi"/>
                <w:sz w:val="18"/>
                <w:lang w:val="en-NZ"/>
              </w:rPr>
              <w:t>10</w:t>
            </w:r>
          </w:p>
        </w:tc>
        <w:tc>
          <w:tcPr>
            <w:tcW w:w="3632" w:type="dxa"/>
            <w:vAlign w:val="center"/>
          </w:tcPr>
          <w:p w14:paraId="23477353" w14:textId="77777777" w:rsidR="008F10A1" w:rsidRPr="000B3C14" w:rsidRDefault="008F10A1" w:rsidP="002A58BE">
            <w:pPr>
              <w:widowControl/>
              <w:jc w:val="right"/>
              <w:rPr>
                <w:rFonts w:eastAsiaTheme="minorHAnsi"/>
                <w:sz w:val="18"/>
                <w:lang w:val="en-NZ"/>
              </w:rPr>
            </w:pPr>
            <w:r w:rsidRPr="000B3C14">
              <w:rPr>
                <w:rFonts w:eastAsiaTheme="minorHAnsi"/>
                <w:sz w:val="18"/>
                <w:lang w:val="en-NZ"/>
              </w:rPr>
              <w:t>116</w:t>
            </w:r>
          </w:p>
        </w:tc>
      </w:tr>
      <w:tr w:rsidR="008F10A1" w:rsidRPr="008F10A1" w14:paraId="4ED2A6A0" w14:textId="77777777" w:rsidTr="00BC19E6">
        <w:trPr>
          <w:trHeight w:val="281"/>
          <w:jc w:val="center"/>
        </w:trPr>
        <w:tc>
          <w:tcPr>
            <w:tcW w:w="2797" w:type="dxa"/>
            <w:vAlign w:val="center"/>
          </w:tcPr>
          <w:p w14:paraId="73ABD848" w14:textId="77777777" w:rsidR="008F10A1" w:rsidRPr="000B3C14" w:rsidRDefault="008F10A1" w:rsidP="002A58BE">
            <w:pPr>
              <w:widowControl/>
              <w:jc w:val="right"/>
              <w:rPr>
                <w:rFonts w:eastAsiaTheme="minorHAnsi"/>
                <w:sz w:val="18"/>
                <w:lang w:val="en-NZ"/>
              </w:rPr>
            </w:pPr>
            <w:r w:rsidRPr="00D711DD">
              <w:rPr>
                <w:rFonts w:eastAsiaTheme="minorHAnsi"/>
                <w:sz w:val="18"/>
                <w:lang w:val="en-NZ"/>
              </w:rPr>
              <w:t>2</w:t>
            </w:r>
            <w:r w:rsidRPr="000B3C14">
              <w:rPr>
                <w:rFonts w:eastAsiaTheme="minorHAnsi"/>
                <w:sz w:val="18"/>
                <w:lang w:val="en-NZ"/>
              </w:rPr>
              <w:t>0</w:t>
            </w:r>
          </w:p>
        </w:tc>
        <w:tc>
          <w:tcPr>
            <w:tcW w:w="3632" w:type="dxa"/>
            <w:vAlign w:val="center"/>
          </w:tcPr>
          <w:p w14:paraId="229525AA" w14:textId="77777777" w:rsidR="008F10A1" w:rsidRPr="000B3C14" w:rsidRDefault="008F10A1" w:rsidP="002A58BE">
            <w:pPr>
              <w:widowControl/>
              <w:jc w:val="right"/>
              <w:rPr>
                <w:rFonts w:eastAsiaTheme="minorHAnsi"/>
                <w:sz w:val="18"/>
                <w:lang w:val="en-NZ"/>
              </w:rPr>
            </w:pPr>
            <w:r w:rsidRPr="000B3C14">
              <w:rPr>
                <w:rFonts w:eastAsiaTheme="minorHAnsi"/>
                <w:sz w:val="18"/>
                <w:lang w:val="en-NZ"/>
              </w:rPr>
              <w:t>181</w:t>
            </w:r>
          </w:p>
        </w:tc>
      </w:tr>
      <w:tr w:rsidR="008F10A1" w:rsidRPr="008F10A1" w14:paraId="18C0497D" w14:textId="77777777" w:rsidTr="00BC19E6">
        <w:trPr>
          <w:trHeight w:val="281"/>
          <w:jc w:val="center"/>
        </w:trPr>
        <w:tc>
          <w:tcPr>
            <w:tcW w:w="2797" w:type="dxa"/>
            <w:tcBorders>
              <w:bottom w:val="single" w:sz="4" w:space="0" w:color="auto"/>
            </w:tcBorders>
            <w:vAlign w:val="center"/>
          </w:tcPr>
          <w:p w14:paraId="024F26FD" w14:textId="77777777" w:rsidR="008F10A1" w:rsidRPr="00D711DD" w:rsidRDefault="008F10A1" w:rsidP="002A58BE">
            <w:pPr>
              <w:widowControl/>
              <w:jc w:val="right"/>
              <w:rPr>
                <w:rFonts w:eastAsiaTheme="minorHAnsi"/>
                <w:sz w:val="18"/>
                <w:lang w:val="en-NZ"/>
              </w:rPr>
            </w:pPr>
            <w:r w:rsidRPr="00D711DD">
              <w:rPr>
                <w:rFonts w:eastAsiaTheme="minorHAnsi"/>
                <w:sz w:val="18"/>
                <w:lang w:val="en-NZ"/>
              </w:rPr>
              <w:t>40</w:t>
            </w:r>
          </w:p>
        </w:tc>
        <w:tc>
          <w:tcPr>
            <w:tcW w:w="3632" w:type="dxa"/>
            <w:tcBorders>
              <w:bottom w:val="single" w:sz="4" w:space="0" w:color="auto"/>
            </w:tcBorders>
            <w:vAlign w:val="center"/>
          </w:tcPr>
          <w:p w14:paraId="319769BD" w14:textId="77777777" w:rsidR="008F10A1" w:rsidRPr="000B3C14" w:rsidRDefault="008F10A1" w:rsidP="002A58BE">
            <w:pPr>
              <w:widowControl/>
              <w:jc w:val="right"/>
              <w:rPr>
                <w:rFonts w:eastAsiaTheme="minorHAnsi"/>
                <w:sz w:val="18"/>
                <w:lang w:val="en-NZ"/>
              </w:rPr>
            </w:pPr>
            <w:r w:rsidRPr="000B3C14">
              <w:rPr>
                <w:rFonts w:eastAsiaTheme="minorHAnsi"/>
                <w:sz w:val="18"/>
                <w:lang w:val="en-NZ"/>
              </w:rPr>
              <w:t>271</w:t>
            </w:r>
          </w:p>
        </w:tc>
      </w:tr>
    </w:tbl>
    <w:p w14:paraId="1BA649D7" w14:textId="5A267840" w:rsidR="008F10A1" w:rsidRPr="002A58BE" w:rsidRDefault="002A58BE" w:rsidP="002A58BE">
      <w:pPr>
        <w:rPr>
          <w:rFonts w:eastAsiaTheme="minorHAnsi" w:cstheme="minorBidi"/>
          <w:sz w:val="16"/>
          <w:szCs w:val="16"/>
          <w:lang w:val="en-NZ" w:bidi="ar-SA"/>
        </w:rPr>
      </w:pPr>
      <w:r w:rsidRPr="002A58BE">
        <w:rPr>
          <w:sz w:val="16"/>
          <w:szCs w:val="16"/>
          <w:lang w:bidi="ar-SA"/>
        </w:rPr>
        <w:t>Blood was collected from the trunk 24 hours after the last treatment.</w:t>
      </w:r>
    </w:p>
    <w:p w14:paraId="556B81F7" w14:textId="77777777" w:rsidR="008F10A1" w:rsidRPr="008F10A1" w:rsidRDefault="008F10A1" w:rsidP="00A111E9">
      <w:pPr>
        <w:rPr>
          <w:b/>
          <w:lang w:bidi="ar-SA"/>
        </w:rPr>
      </w:pPr>
    </w:p>
    <w:p w14:paraId="1865B7CD" w14:textId="4E0067C7" w:rsidR="008F10A1" w:rsidRPr="008F10A1" w:rsidRDefault="008F10A1" w:rsidP="00A111E9">
      <w:pPr>
        <w:rPr>
          <w:b/>
          <w:sz w:val="20"/>
          <w:szCs w:val="20"/>
          <w:lang w:bidi="ar-SA"/>
        </w:rPr>
      </w:pPr>
      <w:r w:rsidRPr="008F10A1">
        <w:rPr>
          <w:b/>
          <w:lang w:bidi="ar-SA"/>
        </w:rPr>
        <w:t xml:space="preserve">White </w:t>
      </w:r>
      <w:r w:rsidR="00180A32" w:rsidRPr="00180A32">
        <w:rPr>
          <w:b/>
          <w:i/>
        </w:rPr>
        <w:t xml:space="preserve">et al. </w:t>
      </w:r>
      <w:r w:rsidR="00CC50B8">
        <w:rPr>
          <w:b/>
        </w:rPr>
        <w:t xml:space="preserve"> </w:t>
      </w:r>
      <w:r w:rsidRPr="008F10A1">
        <w:rPr>
          <w:b/>
          <w:lang w:bidi="ar-SA"/>
        </w:rPr>
        <w:t xml:space="preserve">2007 developmental and female reproductive study in mice </w:t>
      </w:r>
    </w:p>
    <w:p w14:paraId="1148E980" w14:textId="77777777" w:rsidR="008F10A1" w:rsidRPr="008F10A1" w:rsidRDefault="008F10A1" w:rsidP="00A111E9">
      <w:pPr>
        <w:rPr>
          <w:lang w:bidi="ar-SA"/>
        </w:rPr>
      </w:pPr>
    </w:p>
    <w:p w14:paraId="3532858E" w14:textId="009A0AC6" w:rsidR="008F10A1" w:rsidRPr="008F10A1" w:rsidRDefault="008F10A1" w:rsidP="00A111E9">
      <w:pPr>
        <w:rPr>
          <w:lang w:bidi="ar-SA"/>
        </w:rPr>
      </w:pPr>
      <w:r w:rsidRPr="008F10A1">
        <w:rPr>
          <w:lang w:bidi="ar-SA"/>
        </w:rPr>
        <w:t xml:space="preserve">Timed-pregnant CD-1 mice were randomly assigned to one of four groups. The control and GD 1-17 group comprised 14 mice/group while the cohorts dosed on GD 8-17 and GD 12-17 contained 16 mice/group. Mice were individually housed under standard laboratory husbandry conditions and dosed by oral gavage with water vehicle or 5 mg PFOA/kg </w:t>
      </w:r>
      <w:r w:rsidR="00F03521">
        <w:rPr>
          <w:lang w:bidi="ar-SA"/>
        </w:rPr>
        <w:t>bw</w:t>
      </w:r>
      <w:r w:rsidRPr="008F10A1">
        <w:rPr>
          <w:lang w:bidi="ar-SA"/>
        </w:rPr>
        <w:t xml:space="preserve">/day. The dose was selected on the grounds that it had previously been shown by Lau </w:t>
      </w:r>
      <w:r w:rsidR="00180A32" w:rsidRPr="00180A32">
        <w:rPr>
          <w:i/>
          <w:lang w:bidi="ar-SA"/>
        </w:rPr>
        <w:t xml:space="preserve">et al. </w:t>
      </w:r>
      <w:r w:rsidR="00CC50B8">
        <w:rPr>
          <w:lang w:bidi="ar-SA"/>
        </w:rPr>
        <w:t xml:space="preserve"> </w:t>
      </w:r>
      <w:r w:rsidRPr="008F10A1">
        <w:rPr>
          <w:lang w:bidi="ar-SA"/>
        </w:rPr>
        <w:t xml:space="preserve">(2006) to reduce neonatal </w:t>
      </w:r>
      <w:r w:rsidR="00E83E80">
        <w:rPr>
          <w:lang w:bidi="ar-SA"/>
        </w:rPr>
        <w:t>body weight</w:t>
      </w:r>
      <w:r w:rsidRPr="008F10A1">
        <w:rPr>
          <w:lang w:bidi="ar-SA"/>
        </w:rPr>
        <w:t xml:space="preserve"> gain.</w:t>
      </w:r>
    </w:p>
    <w:p w14:paraId="6E3A58F2" w14:textId="77777777" w:rsidR="008F10A1" w:rsidRPr="008F10A1" w:rsidRDefault="008F10A1" w:rsidP="00A111E9">
      <w:pPr>
        <w:rPr>
          <w:lang w:bidi="ar-SA"/>
        </w:rPr>
      </w:pPr>
    </w:p>
    <w:p w14:paraId="4F733D3D" w14:textId="4ACA09F4" w:rsidR="008F10A1" w:rsidRPr="008F10A1" w:rsidRDefault="008F10A1" w:rsidP="00A111E9">
      <w:pPr>
        <w:rPr>
          <w:lang w:bidi="ar-SA"/>
        </w:rPr>
      </w:pPr>
      <w:r w:rsidRPr="008F10A1">
        <w:rPr>
          <w:lang w:bidi="ar-SA"/>
        </w:rPr>
        <w:t xml:space="preserve">Dams were weighed daily through gestation. Weights and sexes of pups were recorded at birth. Pups were randomly redistributed among the dams within treatment groups, with standardised litter sizes. Dams that delivered fewer than 4 pups were excluded from the rest of the study. Litters were weighed, and average pup </w:t>
      </w:r>
      <w:r w:rsidR="00E83E80">
        <w:rPr>
          <w:lang w:bidi="ar-SA"/>
        </w:rPr>
        <w:t>body weight</w:t>
      </w:r>
      <w:r w:rsidRPr="008F10A1">
        <w:rPr>
          <w:lang w:bidi="ar-SA"/>
        </w:rPr>
        <w:t>s calculated, on PNDs 5, 10, and 20. Half of the dams and their litters in each group were randomly selected for termination and necropsy on PND 10. The remaining dams and their litters were terminated and necropsied on PND 20. At necropsy, the fourth and fifth inguinal mammary glands were collected from both dams and female pups. Total RNA was extracted from lactating mammary glands for assessment of gene expression for selected milk proteins. Uteri were collected from dams for counting of implantation sites.</w:t>
      </w:r>
    </w:p>
    <w:p w14:paraId="13013AA2" w14:textId="77777777" w:rsidR="008F10A1" w:rsidRPr="008F10A1" w:rsidRDefault="008F10A1" w:rsidP="00A111E9">
      <w:pPr>
        <w:rPr>
          <w:lang w:bidi="ar-SA"/>
        </w:rPr>
      </w:pPr>
    </w:p>
    <w:p w14:paraId="31331ACA" w14:textId="43ECA8E3" w:rsidR="008F10A1" w:rsidRPr="008F10A1" w:rsidRDefault="008F10A1" w:rsidP="00A111E9">
      <w:pPr>
        <w:rPr>
          <w:lang w:bidi="ar-SA"/>
        </w:rPr>
      </w:pPr>
      <w:r w:rsidRPr="008F10A1">
        <w:rPr>
          <w:lang w:bidi="ar-SA"/>
        </w:rPr>
        <w:t xml:space="preserve">In a separate study, timed-pregnant CD-1 mice, 5/group, were dosed with 0 or 5 mg PFOA/kg </w:t>
      </w:r>
      <w:r w:rsidR="00E83E80">
        <w:rPr>
          <w:lang w:bidi="ar-SA"/>
        </w:rPr>
        <w:t>body weight</w:t>
      </w:r>
      <w:r w:rsidRPr="008F10A1">
        <w:rPr>
          <w:lang w:bidi="ar-SA"/>
        </w:rPr>
        <w:t>/day through GD 1-17 and sacrificed on GD 18 to microscopically evaluate the maternal mammary gland.</w:t>
      </w:r>
    </w:p>
    <w:p w14:paraId="10978B3B" w14:textId="77777777" w:rsidR="008F10A1" w:rsidRPr="008F10A1" w:rsidRDefault="008F10A1" w:rsidP="00A111E9">
      <w:pPr>
        <w:rPr>
          <w:lang w:bidi="ar-SA"/>
        </w:rPr>
      </w:pPr>
    </w:p>
    <w:p w14:paraId="20C513BA" w14:textId="53C8BD12" w:rsidR="008F10A1" w:rsidRPr="008F10A1" w:rsidRDefault="008F10A1" w:rsidP="00A111E9">
      <w:pPr>
        <w:rPr>
          <w:lang w:bidi="ar-SA"/>
        </w:rPr>
      </w:pPr>
      <w:r w:rsidRPr="008F10A1">
        <w:rPr>
          <w:lang w:bidi="ar-SA"/>
        </w:rPr>
        <w:t xml:space="preserve">PFOA had no effect on maternal </w:t>
      </w:r>
      <w:r w:rsidR="00E83E80">
        <w:rPr>
          <w:lang w:bidi="ar-SA"/>
        </w:rPr>
        <w:t>body weight</w:t>
      </w:r>
      <w:r w:rsidRPr="008F10A1">
        <w:rPr>
          <w:lang w:bidi="ar-SA"/>
        </w:rPr>
        <w:t xml:space="preserve">, mean number of implantation sites, number of live pups born, or embryonic/fetal loss. All PFOA treatment </w:t>
      </w:r>
      <w:r w:rsidR="00104C8E" w:rsidRPr="008F10A1">
        <w:rPr>
          <w:lang w:bidi="ar-SA"/>
        </w:rPr>
        <w:t>regimens</w:t>
      </w:r>
      <w:r w:rsidRPr="008F10A1">
        <w:rPr>
          <w:lang w:bidi="ar-SA"/>
        </w:rPr>
        <w:t xml:space="preserve"> resulted in decreased mean neonatal </w:t>
      </w:r>
      <w:r w:rsidR="00E83E80">
        <w:rPr>
          <w:lang w:bidi="ar-SA"/>
        </w:rPr>
        <w:t>body weight</w:t>
      </w:r>
      <w:r w:rsidRPr="008F10A1">
        <w:rPr>
          <w:lang w:bidi="ar-SA"/>
        </w:rPr>
        <w:t xml:space="preserve">s, relative to controls. The decreases were 3% for the GD 12-17 group, 7% for the GD 8-17 group, and 12% for the GD 1-17 group, compared to controls. Mean </w:t>
      </w:r>
      <w:r w:rsidR="00E83E80">
        <w:rPr>
          <w:lang w:bidi="ar-SA"/>
        </w:rPr>
        <w:t>body weight</w:t>
      </w:r>
      <w:r w:rsidRPr="008F10A1">
        <w:rPr>
          <w:lang w:bidi="ar-SA"/>
        </w:rPr>
        <w:t>s of pups were depressed, relative to those of controls, throughout the lactational period, in a manner directly related to the duration of PFOA treatment. The lack of effect of PFOA on mean number of implantation sites, numbers of live pups born, per</w:t>
      </w:r>
      <w:r w:rsidR="001B6877">
        <w:rPr>
          <w:lang w:bidi="ar-SA"/>
        </w:rPr>
        <w:t xml:space="preserve"> cent</w:t>
      </w:r>
      <w:r w:rsidRPr="008F10A1">
        <w:rPr>
          <w:lang w:bidi="ar-SA"/>
        </w:rPr>
        <w:t xml:space="preserve"> preimplantation loss or maternal weight gain supports the conclusion that the decreased pup </w:t>
      </w:r>
      <w:r w:rsidR="00E83E80">
        <w:rPr>
          <w:lang w:bidi="ar-SA"/>
        </w:rPr>
        <w:t>body weight</w:t>
      </w:r>
      <w:r w:rsidRPr="008F10A1">
        <w:rPr>
          <w:lang w:bidi="ar-SA"/>
        </w:rPr>
        <w:t>s were not due to general maternal toxicity or to an effect on the number of pups born.</w:t>
      </w:r>
    </w:p>
    <w:p w14:paraId="43929060" w14:textId="77777777" w:rsidR="008F10A1" w:rsidRPr="008F10A1" w:rsidRDefault="008F10A1" w:rsidP="00A111E9">
      <w:pPr>
        <w:rPr>
          <w:lang w:bidi="ar-SA"/>
        </w:rPr>
      </w:pPr>
    </w:p>
    <w:p w14:paraId="3EC1A8E0" w14:textId="77777777" w:rsidR="000830C5" w:rsidRDefault="000830C5">
      <w:pPr>
        <w:widowControl/>
        <w:rPr>
          <w:lang w:bidi="ar-SA"/>
        </w:rPr>
      </w:pPr>
      <w:r>
        <w:rPr>
          <w:lang w:bidi="ar-SA"/>
        </w:rPr>
        <w:br w:type="page"/>
      </w:r>
    </w:p>
    <w:p w14:paraId="68B9897D" w14:textId="2BBAF7D0" w:rsidR="008F10A1" w:rsidRPr="008F10A1" w:rsidRDefault="008F10A1" w:rsidP="00A111E9">
      <w:pPr>
        <w:rPr>
          <w:lang w:bidi="ar-SA"/>
        </w:rPr>
      </w:pPr>
      <w:r w:rsidRPr="008F10A1">
        <w:rPr>
          <w:lang w:bidi="ar-SA"/>
        </w:rPr>
        <w:lastRenderedPageBreak/>
        <w:t>On PND 10, typically the peak of lactation in mice, dams treated during GD 8-7 and GD 1-17 exhibited significant delays in mammary epithelial differentiation and development scores, compared to controls. Altered differentiation was also apparent in mammary glands of GD 12-17 exposed dams, but the differences were not statistically significant when translated into a score. At PND 20 the mammary glands of control dams exhibited changes associated with involution, which is normal for this stage of lactation in mice, but in all PFOA-treated groups there was a lack of evidence of involution. Histologically, PFOA-exposed glands from dams treated through GD 1-17 and terminated on GD 18 exhibited stunted alveolar development. This is consistent with the differences noted during lactation in the other study being a direct effect of PFOA rather than being secondary to differences in stimulation by pups.</w:t>
      </w:r>
    </w:p>
    <w:p w14:paraId="30DC7FB7" w14:textId="77777777" w:rsidR="008F10A1" w:rsidRPr="008F10A1" w:rsidRDefault="008F10A1" w:rsidP="00A111E9">
      <w:pPr>
        <w:rPr>
          <w:lang w:bidi="ar-SA"/>
        </w:rPr>
      </w:pPr>
    </w:p>
    <w:p w14:paraId="161C5A43" w14:textId="3CC006A5" w:rsidR="008F10A1" w:rsidRPr="008F10A1" w:rsidRDefault="008F10A1" w:rsidP="00A111E9">
      <w:pPr>
        <w:rPr>
          <w:lang w:bidi="ar-SA"/>
        </w:rPr>
      </w:pPr>
      <w:r w:rsidRPr="008F10A1">
        <w:rPr>
          <w:lang w:bidi="ar-SA"/>
        </w:rPr>
        <w:t xml:space="preserve">PFOA exposure had no clear or consistent effect on the expression of genes for </w:t>
      </w:r>
      <w:r w:rsidRPr="008F10A1">
        <w:rPr>
          <w:rFonts w:cs="Arial"/>
          <w:lang w:bidi="ar-SA"/>
        </w:rPr>
        <w:t>β</w:t>
      </w:r>
      <w:r w:rsidRPr="008F10A1">
        <w:rPr>
          <w:lang w:bidi="ar-SA"/>
        </w:rPr>
        <w:t xml:space="preserve">-casein, epidermal growth factor, or </w:t>
      </w:r>
      <w:r w:rsidRPr="008F10A1">
        <w:rPr>
          <w:rFonts w:cs="Arial"/>
          <w:lang w:bidi="ar-SA"/>
        </w:rPr>
        <w:t>α</w:t>
      </w:r>
      <w:r w:rsidRPr="008F10A1">
        <w:rPr>
          <w:lang w:bidi="ar-SA"/>
        </w:rPr>
        <w:t>-lactalbumin. Lactoferrin was elevated in mammary glands of GD 1-17 dams at PND 10, suggesting that the peak for this protein was delayed, because it is usually highest early and late in lactation. At PND 20, when lactoferrin levels are normally high, all the PFOA-exposed dams had significantly lower lactoferrin expression than the control dams. The lactoferrin expression of the treated dams at PND 20 was similar to that of the control dams at PND 10, consistent with a ten-day delay in mammary gland development.</w:t>
      </w:r>
    </w:p>
    <w:p w14:paraId="58BF7A74" w14:textId="77777777" w:rsidR="008F10A1" w:rsidRPr="008F10A1" w:rsidRDefault="008F10A1" w:rsidP="00A111E9">
      <w:pPr>
        <w:rPr>
          <w:lang w:bidi="ar-SA"/>
        </w:rPr>
      </w:pPr>
    </w:p>
    <w:p w14:paraId="44C9A43C" w14:textId="2DCBBE1C" w:rsidR="008F10A1" w:rsidRPr="008F10A1" w:rsidRDefault="008F10A1" w:rsidP="00A111E9">
      <w:pPr>
        <w:rPr>
          <w:lang w:bidi="ar-SA"/>
        </w:rPr>
      </w:pPr>
      <w:r w:rsidRPr="008F10A1">
        <w:rPr>
          <w:lang w:bidi="ar-SA"/>
        </w:rPr>
        <w:t xml:space="preserve">Mammary gland epithelial branching and longitudinal growth were effectively arrested in all PFOA-exposed female pups on both PND 10 and 20, when compared to controls. </w:t>
      </w:r>
      <w:r w:rsidR="00E83E80">
        <w:rPr>
          <w:lang w:bidi="ar-SA"/>
        </w:rPr>
        <w:t>Body weight</w:t>
      </w:r>
      <w:r w:rsidRPr="008F10A1">
        <w:rPr>
          <w:lang w:bidi="ar-SA"/>
        </w:rPr>
        <w:t xml:space="preserve"> was not a significant covariate for these mammary effects.</w:t>
      </w:r>
    </w:p>
    <w:p w14:paraId="06AE6173" w14:textId="77777777" w:rsidR="008F10A1" w:rsidRPr="008F10A1" w:rsidRDefault="008F10A1" w:rsidP="00A111E9">
      <w:pPr>
        <w:rPr>
          <w:lang w:bidi="ar-SA"/>
        </w:rPr>
      </w:pPr>
    </w:p>
    <w:p w14:paraId="6ADD2F79" w14:textId="309BFA5D" w:rsidR="008F10A1" w:rsidRPr="008F10A1" w:rsidRDefault="008F10A1" w:rsidP="00A111E9">
      <w:pPr>
        <w:rPr>
          <w:lang w:bidi="ar-SA"/>
        </w:rPr>
      </w:pPr>
      <w:r w:rsidRPr="008F10A1">
        <w:rPr>
          <w:lang w:bidi="ar-SA"/>
        </w:rPr>
        <w:t>In comparison to the usual toxicokinetics of PFOA in mice, the blood PFOA level of treated dams remained unchanged between PND 10 and 20. The authors suggested that the maternal behaviour of grooming the pups, stimulating their micturition and consuming the urine caused continuing maternal exposure to PFOA excreted by the pups. Analysis of pup livers supports this, in that levels of PFOA in pups remained elevated between PND 1 and 10, the time during which pups require maternal stimulation for elimination.</w:t>
      </w:r>
    </w:p>
    <w:p w14:paraId="427325B9" w14:textId="77777777" w:rsidR="008F10A1" w:rsidRPr="008F10A1" w:rsidRDefault="008F10A1" w:rsidP="00A111E9">
      <w:pPr>
        <w:rPr>
          <w:lang w:bidi="ar-SA"/>
        </w:rPr>
      </w:pPr>
    </w:p>
    <w:p w14:paraId="567B1248" w14:textId="199E1644" w:rsidR="008F10A1" w:rsidRPr="008F10A1" w:rsidRDefault="008F10A1" w:rsidP="00A111E9">
      <w:pPr>
        <w:rPr>
          <w:lang w:bidi="ar-SA"/>
        </w:rPr>
      </w:pPr>
      <w:r w:rsidRPr="008F10A1">
        <w:rPr>
          <w:lang w:bidi="ar-SA"/>
        </w:rPr>
        <w:t>The authors suggested that PPAR</w:t>
      </w:r>
      <w:r w:rsidRPr="008F10A1">
        <w:rPr>
          <w:rFonts w:cs="Arial"/>
          <w:lang w:bidi="ar-SA"/>
        </w:rPr>
        <w:t>α</w:t>
      </w:r>
      <w:r w:rsidRPr="008F10A1">
        <w:rPr>
          <w:lang w:bidi="ar-SA"/>
        </w:rPr>
        <w:t xml:space="preserve"> agonism may underlie the maternal lactational abnormalities, because overexpression of PPARα due to a keratin 5 promoter has been shown to cause lactation failure and consequent neonatal mortality in mice.</w:t>
      </w:r>
    </w:p>
    <w:p w14:paraId="4A793976" w14:textId="77777777" w:rsidR="008F10A1" w:rsidRPr="008F10A1" w:rsidRDefault="008F10A1" w:rsidP="00A111E9">
      <w:pPr>
        <w:rPr>
          <w:lang w:bidi="ar-SA"/>
        </w:rPr>
      </w:pPr>
    </w:p>
    <w:p w14:paraId="279E2D86" w14:textId="16DBC1E7" w:rsidR="008F10A1" w:rsidRPr="008F10A1" w:rsidRDefault="008F10A1" w:rsidP="00A111E9">
      <w:pPr>
        <w:rPr>
          <w:lang w:bidi="ar-SA"/>
        </w:rPr>
      </w:pPr>
      <w:r w:rsidRPr="008F10A1">
        <w:rPr>
          <w:lang w:bidi="ar-SA"/>
        </w:rPr>
        <w:t>Serum PFOA concentration analysis results were semi</w:t>
      </w:r>
      <w:r w:rsidR="00CC26CA">
        <w:rPr>
          <w:lang w:bidi="ar-SA"/>
        </w:rPr>
        <w:t>quantitative</w:t>
      </w:r>
      <w:r w:rsidRPr="008F10A1">
        <w:rPr>
          <w:lang w:bidi="ar-SA"/>
        </w:rPr>
        <w:t xml:space="preserve"> and not useful for modelling purposes, so they are not reported here.</w:t>
      </w:r>
    </w:p>
    <w:p w14:paraId="7A45365B" w14:textId="77777777" w:rsidR="008F10A1" w:rsidRPr="008F10A1" w:rsidRDefault="008F10A1" w:rsidP="00A111E9">
      <w:pPr>
        <w:rPr>
          <w:lang w:bidi="ar-SA"/>
        </w:rPr>
      </w:pPr>
    </w:p>
    <w:p w14:paraId="4C43489A" w14:textId="4418994F" w:rsidR="008F10A1" w:rsidRPr="008F10A1" w:rsidRDefault="008F10A1" w:rsidP="00A111E9">
      <w:pPr>
        <w:rPr>
          <w:b/>
          <w:sz w:val="20"/>
          <w:szCs w:val="20"/>
          <w:lang w:bidi="ar-SA"/>
        </w:rPr>
      </w:pPr>
      <w:r w:rsidRPr="008F10A1">
        <w:rPr>
          <w:b/>
          <w:lang w:bidi="ar-SA"/>
        </w:rPr>
        <w:t xml:space="preserve">Wolf </w:t>
      </w:r>
      <w:r w:rsidR="00180A32" w:rsidRPr="00180A32">
        <w:rPr>
          <w:b/>
          <w:i/>
        </w:rPr>
        <w:t xml:space="preserve">et al. </w:t>
      </w:r>
      <w:r w:rsidR="00CC50B8">
        <w:rPr>
          <w:b/>
        </w:rPr>
        <w:t xml:space="preserve"> </w:t>
      </w:r>
      <w:r w:rsidRPr="008F10A1">
        <w:rPr>
          <w:b/>
          <w:lang w:bidi="ar-SA"/>
        </w:rPr>
        <w:t xml:space="preserve">2007 and White </w:t>
      </w:r>
      <w:r w:rsidR="00180A32" w:rsidRPr="00180A32">
        <w:rPr>
          <w:b/>
          <w:i/>
        </w:rPr>
        <w:t xml:space="preserve">et al. </w:t>
      </w:r>
      <w:r w:rsidR="00CC50B8">
        <w:rPr>
          <w:b/>
        </w:rPr>
        <w:t xml:space="preserve"> </w:t>
      </w:r>
      <w:r w:rsidRPr="008F10A1">
        <w:rPr>
          <w:b/>
          <w:lang w:bidi="ar-SA"/>
        </w:rPr>
        <w:t>2009 developmental, female reproductive and lactational study in mice</w:t>
      </w:r>
    </w:p>
    <w:p w14:paraId="4C452C6A" w14:textId="77777777" w:rsidR="008F10A1" w:rsidRPr="008F10A1" w:rsidRDefault="008F10A1" w:rsidP="00A111E9">
      <w:pPr>
        <w:rPr>
          <w:b/>
          <w:sz w:val="20"/>
          <w:szCs w:val="20"/>
          <w:lang w:bidi="ar-SA"/>
        </w:rPr>
      </w:pPr>
    </w:p>
    <w:p w14:paraId="14C5AAA3" w14:textId="462B5762" w:rsidR="008F10A1" w:rsidRPr="008F10A1" w:rsidRDefault="008F10A1" w:rsidP="00A111E9">
      <w:pPr>
        <w:rPr>
          <w:szCs w:val="22"/>
          <w:lang w:bidi="ar-SA"/>
        </w:rPr>
      </w:pPr>
      <w:r w:rsidRPr="008F10A1">
        <w:rPr>
          <w:szCs w:val="22"/>
          <w:lang w:bidi="ar-SA"/>
        </w:rPr>
        <w:t xml:space="preserve">Wolf </w:t>
      </w:r>
      <w:r w:rsidR="00180A32" w:rsidRPr="00180A32">
        <w:rPr>
          <w:i/>
          <w:szCs w:val="22"/>
          <w:lang w:bidi="ar-SA"/>
        </w:rPr>
        <w:t xml:space="preserve">et al. </w:t>
      </w:r>
      <w:r w:rsidR="00CC50B8">
        <w:rPr>
          <w:szCs w:val="22"/>
          <w:lang w:bidi="ar-SA"/>
        </w:rPr>
        <w:t xml:space="preserve"> </w:t>
      </w:r>
      <w:r w:rsidRPr="008F10A1">
        <w:rPr>
          <w:szCs w:val="22"/>
          <w:lang w:bidi="ar-SA"/>
        </w:rPr>
        <w:t>(2007) reported a cross-fostering study and restricted exposure study.</w:t>
      </w:r>
    </w:p>
    <w:p w14:paraId="7E2FF7AB" w14:textId="77777777" w:rsidR="008F10A1" w:rsidRPr="008F10A1" w:rsidRDefault="008F10A1" w:rsidP="00A111E9">
      <w:pPr>
        <w:rPr>
          <w:szCs w:val="22"/>
          <w:lang w:bidi="ar-SA"/>
        </w:rPr>
      </w:pPr>
    </w:p>
    <w:p w14:paraId="113D4DC4" w14:textId="301AAD36" w:rsidR="008F10A1" w:rsidRPr="008F10A1" w:rsidRDefault="008F10A1" w:rsidP="00A111E9">
      <w:pPr>
        <w:rPr>
          <w:szCs w:val="22"/>
          <w:lang w:bidi="ar-SA"/>
        </w:rPr>
      </w:pPr>
      <w:r w:rsidRPr="008F10A1">
        <w:rPr>
          <w:szCs w:val="22"/>
          <w:lang w:bidi="ar-SA"/>
        </w:rPr>
        <w:t>In the cross-fostering study, timed-pregnant CD-1 mice were dosed</w:t>
      </w:r>
      <w:r w:rsidRPr="008F10A1">
        <w:rPr>
          <w:color w:val="4BACC6" w:themeColor="accent5"/>
          <w:szCs w:val="22"/>
          <w:lang w:bidi="ar-SA"/>
        </w:rPr>
        <w:t xml:space="preserve"> </w:t>
      </w:r>
      <w:r w:rsidRPr="008F10A1">
        <w:rPr>
          <w:szCs w:val="22"/>
          <w:lang w:bidi="ar-SA"/>
        </w:rPr>
        <w:t>by oral gavage</w:t>
      </w:r>
      <w:r w:rsidRPr="008F10A1">
        <w:rPr>
          <w:color w:val="4BACC6" w:themeColor="accent5"/>
          <w:szCs w:val="22"/>
          <w:lang w:bidi="ar-SA"/>
        </w:rPr>
        <w:t xml:space="preserve"> </w:t>
      </w:r>
      <w:r w:rsidRPr="008F10A1">
        <w:rPr>
          <w:szCs w:val="22"/>
          <w:lang w:bidi="ar-SA"/>
        </w:rPr>
        <w:t>on GD 1 through 7 with 0, 3 or 5 mg/kg bw/day PFOA. Mice were individually housed under standard laboratory husbandry conditions. There were 48 mice in the vehicle control group, 28 mice in the 3 mg/kg bw/day group and 36 mice in the 5 mg/kg bw/day group. The mice were monitored closely at the time of parturition. The date and time of birth, number of live and dead pups, and number of pups of each sex were recorded, and litters were weighed by sex. As close to birth as possible, litters were cross-fostered to create the following groups:</w:t>
      </w:r>
    </w:p>
    <w:p w14:paraId="77DD083B" w14:textId="77777777" w:rsidR="008F10A1" w:rsidRPr="008F10A1" w:rsidRDefault="008F10A1" w:rsidP="00A111E9">
      <w:pPr>
        <w:rPr>
          <w:szCs w:val="22"/>
          <w:lang w:bidi="ar-SA"/>
        </w:rPr>
      </w:pPr>
    </w:p>
    <w:p w14:paraId="7591A9D4" w14:textId="1370671D" w:rsidR="008F10A1" w:rsidRPr="008F10A1" w:rsidRDefault="008F10A1" w:rsidP="00684A16">
      <w:pPr>
        <w:pStyle w:val="FSBullet1"/>
      </w:pPr>
      <w:r w:rsidRPr="008F10A1">
        <w:t>control pups to control dams</w:t>
      </w:r>
    </w:p>
    <w:p w14:paraId="702D2785" w14:textId="14129492" w:rsidR="008F10A1" w:rsidRPr="008F10A1" w:rsidRDefault="008F10A1" w:rsidP="00684A16">
      <w:pPr>
        <w:pStyle w:val="FSBullet1"/>
      </w:pPr>
      <w:r w:rsidRPr="008F10A1">
        <w:t>control pups to 3 mg/kg bw/day dams</w:t>
      </w:r>
    </w:p>
    <w:p w14:paraId="0F51FCC0" w14:textId="7F238A61" w:rsidR="008F10A1" w:rsidRPr="008F10A1" w:rsidRDefault="008F10A1" w:rsidP="00684A16">
      <w:pPr>
        <w:pStyle w:val="FSBullet1"/>
      </w:pPr>
      <w:r w:rsidRPr="008F10A1">
        <w:t>control pups to 5 mg/kg bw/day dams</w:t>
      </w:r>
    </w:p>
    <w:p w14:paraId="575A06B9" w14:textId="1015A19D" w:rsidR="008F10A1" w:rsidRPr="008F10A1" w:rsidRDefault="008F10A1" w:rsidP="00684A16">
      <w:pPr>
        <w:pStyle w:val="FSBullet1"/>
      </w:pPr>
      <w:r w:rsidRPr="008F10A1">
        <w:lastRenderedPageBreak/>
        <w:t>pups of 3 mg/kg bw/day dams to control dams</w:t>
      </w:r>
    </w:p>
    <w:p w14:paraId="33C0D128" w14:textId="0DDDE3DD" w:rsidR="008F10A1" w:rsidRPr="008F10A1" w:rsidRDefault="008F10A1" w:rsidP="00684A16">
      <w:pPr>
        <w:pStyle w:val="FSBullet1"/>
      </w:pPr>
      <w:r w:rsidRPr="008F10A1">
        <w:t>pups of 5 mg/kg bw/day dams to control dams</w:t>
      </w:r>
    </w:p>
    <w:p w14:paraId="0724BF3B" w14:textId="5838D74C" w:rsidR="008F10A1" w:rsidRPr="008F10A1" w:rsidRDefault="008F10A1" w:rsidP="00684A16">
      <w:pPr>
        <w:pStyle w:val="FSBullet1"/>
      </w:pPr>
      <w:r w:rsidRPr="008F10A1">
        <w:t>pups of 3 mg/kg bw/day dams to other 3 mg/kg bw/day dams</w:t>
      </w:r>
    </w:p>
    <w:p w14:paraId="27C8E9CA" w14:textId="301F67E8" w:rsidR="008F10A1" w:rsidRPr="008F10A1" w:rsidRDefault="008F10A1" w:rsidP="00684A16">
      <w:pPr>
        <w:pStyle w:val="FSBullet1"/>
      </w:pPr>
      <w:r w:rsidRPr="008F10A1">
        <w:t>pups of 5 mg/kg bw/day dams to other 5 mg/kg bw/day dams</w:t>
      </w:r>
    </w:p>
    <w:p w14:paraId="61BDBC6D" w14:textId="77777777" w:rsidR="008F10A1" w:rsidRPr="008F10A1" w:rsidRDefault="008F10A1" w:rsidP="00A111E9">
      <w:pPr>
        <w:rPr>
          <w:szCs w:val="22"/>
          <w:lang w:bidi="ar-SA"/>
        </w:rPr>
      </w:pPr>
    </w:p>
    <w:p w14:paraId="46F29DD4" w14:textId="3FE20A3F" w:rsidR="008F10A1" w:rsidRPr="008F10A1" w:rsidRDefault="008F10A1" w:rsidP="00A111E9">
      <w:pPr>
        <w:rPr>
          <w:szCs w:val="22"/>
          <w:lang w:bidi="ar-SA"/>
        </w:rPr>
      </w:pPr>
      <w:r w:rsidRPr="008F10A1">
        <w:rPr>
          <w:szCs w:val="22"/>
          <w:lang w:bidi="ar-SA"/>
        </w:rPr>
        <w:t>All pups were either cross-fostered or killed for collection of blood and liver; no pups remained with their birth mother. Foster litters comprised 10 pups, with 5 males and 5 females whenever possible.</w:t>
      </w:r>
    </w:p>
    <w:p w14:paraId="649DADFF" w14:textId="77777777" w:rsidR="008F10A1" w:rsidRPr="008F10A1" w:rsidRDefault="008F10A1" w:rsidP="00A111E9">
      <w:pPr>
        <w:rPr>
          <w:szCs w:val="22"/>
          <w:lang w:bidi="ar-SA"/>
        </w:rPr>
      </w:pPr>
    </w:p>
    <w:p w14:paraId="102903A1" w14:textId="3E4ACD93" w:rsidR="008F10A1" w:rsidRPr="008F10A1" w:rsidRDefault="008F10A1" w:rsidP="00A111E9">
      <w:pPr>
        <w:rPr>
          <w:szCs w:val="22"/>
          <w:lang w:bidi="ar-SA"/>
        </w:rPr>
      </w:pPr>
      <w:r w:rsidRPr="008F10A1">
        <w:rPr>
          <w:szCs w:val="22"/>
          <w:lang w:bidi="ar-SA"/>
        </w:rPr>
        <w:t>In the restricted exposure study, 70 timed</w:t>
      </w:r>
      <w:r w:rsidR="00032CF6">
        <w:rPr>
          <w:szCs w:val="22"/>
          <w:lang w:bidi="ar-SA"/>
        </w:rPr>
        <w:t>-</w:t>
      </w:r>
      <w:r w:rsidRPr="008F10A1">
        <w:rPr>
          <w:szCs w:val="22"/>
          <w:lang w:bidi="ar-SA"/>
        </w:rPr>
        <w:t>pregnant CD-1 mice, housed as for the cross-fostering study, were assigned to treatment groups. The control group, n=12, was dosed by oral gavage with deioni</w:t>
      </w:r>
      <w:r w:rsidR="001B6877">
        <w:rPr>
          <w:szCs w:val="22"/>
          <w:lang w:bidi="ar-SA"/>
        </w:rPr>
        <w:t>s</w:t>
      </w:r>
      <w:r w:rsidRPr="008F10A1">
        <w:rPr>
          <w:szCs w:val="22"/>
          <w:lang w:bidi="ar-SA"/>
        </w:rPr>
        <w:t>ed water on GD 7-17. The treated groups were dosed by oral gavage with 5 mg PFOA/kg</w:t>
      </w:r>
      <w:r w:rsidR="00104C8E">
        <w:rPr>
          <w:szCs w:val="22"/>
          <w:lang w:bidi="ar-SA"/>
        </w:rPr>
        <w:t xml:space="preserve"> </w:t>
      </w:r>
      <w:r w:rsidRPr="008F10A1">
        <w:rPr>
          <w:szCs w:val="22"/>
          <w:lang w:bidi="ar-SA"/>
        </w:rPr>
        <w:t>bw</w:t>
      </w:r>
      <w:r w:rsidR="00104C8E">
        <w:rPr>
          <w:szCs w:val="22"/>
          <w:lang w:bidi="ar-SA"/>
        </w:rPr>
        <w:t>/day</w:t>
      </w:r>
      <w:r w:rsidRPr="008F10A1">
        <w:rPr>
          <w:szCs w:val="22"/>
          <w:lang w:bidi="ar-SA"/>
        </w:rPr>
        <w:t xml:space="preserve"> on GD 7-17 (n=14), GD 10-17 (n=14), GD 13-17 (n=12), GD 15-17 (n=12) or with 20 mg PFOA/kg bw</w:t>
      </w:r>
      <w:r w:rsidR="00104C8E">
        <w:rPr>
          <w:szCs w:val="22"/>
          <w:lang w:bidi="ar-SA"/>
        </w:rPr>
        <w:t>/day</w:t>
      </w:r>
      <w:r w:rsidRPr="008F10A1">
        <w:rPr>
          <w:szCs w:val="22"/>
          <w:lang w:bidi="ar-SA"/>
        </w:rPr>
        <w:t xml:space="preserve"> on GD 15-17 (n=6). Mice were closely monitored at parturition, and the date and time of birth, number of live and dead pups, and number of pups of each sex were recorded, and litters were weighed by sex. Litters were culled to 10 pups with equal representation, where possible, of male and female pups.</w:t>
      </w:r>
    </w:p>
    <w:p w14:paraId="107CF1DC" w14:textId="77777777" w:rsidR="008F10A1" w:rsidRPr="008F10A1" w:rsidRDefault="008F10A1" w:rsidP="00A111E9">
      <w:pPr>
        <w:rPr>
          <w:szCs w:val="22"/>
          <w:lang w:bidi="ar-SA"/>
        </w:rPr>
      </w:pPr>
    </w:p>
    <w:p w14:paraId="24574B82" w14:textId="5061164D" w:rsidR="008F10A1" w:rsidRPr="008F10A1" w:rsidRDefault="008F10A1" w:rsidP="00A111E9">
      <w:pPr>
        <w:rPr>
          <w:b/>
          <w:szCs w:val="22"/>
          <w:lang w:bidi="ar-SA"/>
        </w:rPr>
      </w:pPr>
      <w:r w:rsidRPr="008F10A1">
        <w:rPr>
          <w:szCs w:val="22"/>
          <w:lang w:bidi="ar-SA"/>
        </w:rPr>
        <w:t>In both studies, litters were observed daily and weighed on PNDs 1, 2, 3, 4, 7, 10, 14, 17, and 22. Eye</w:t>
      </w:r>
      <w:r w:rsidR="001012A5">
        <w:rPr>
          <w:szCs w:val="22"/>
          <w:lang w:bidi="ar-SA"/>
        </w:rPr>
        <w:t>-</w:t>
      </w:r>
      <w:r w:rsidRPr="008F10A1">
        <w:rPr>
          <w:szCs w:val="22"/>
          <w:lang w:bidi="ar-SA"/>
        </w:rPr>
        <w:t>opening and hair growth were monitored. On PND 22, pups were weighed, weaned and separated by sex. After weaning, one male and one female pup from each litter was randomly selected, weighed, and killed for collection of blood serum and liver. Dams were also killed at weaning, with collection of blood serum and livers, and examination of uteri for implantation sites. For recording of post</w:t>
      </w:r>
      <w:r w:rsidR="000203C4">
        <w:rPr>
          <w:szCs w:val="22"/>
          <w:lang w:bidi="ar-SA"/>
        </w:rPr>
        <w:t>weaning</w:t>
      </w:r>
      <w:r w:rsidRPr="008F10A1">
        <w:rPr>
          <w:szCs w:val="22"/>
          <w:lang w:bidi="ar-SA"/>
        </w:rPr>
        <w:t xml:space="preserve"> body weights, one pup per sex per litter was randomly selected, and body weights were recorded weekly from PND 29 through to 35 weeks of age for the cross-fostering study and 27 weeks of age for the restricted exposure study.</w:t>
      </w:r>
    </w:p>
    <w:p w14:paraId="43F871C0" w14:textId="77777777" w:rsidR="008F10A1" w:rsidRPr="008F10A1" w:rsidRDefault="008F10A1" w:rsidP="00A111E9">
      <w:pPr>
        <w:rPr>
          <w:lang w:bidi="ar-SA"/>
        </w:rPr>
      </w:pPr>
    </w:p>
    <w:p w14:paraId="2D309D15" w14:textId="77777777" w:rsidR="008F10A1" w:rsidRPr="008F10A1" w:rsidRDefault="008F10A1" w:rsidP="00A111E9">
      <w:pPr>
        <w:rPr>
          <w:lang w:bidi="ar-SA"/>
        </w:rPr>
      </w:pPr>
      <w:r w:rsidRPr="008F10A1">
        <w:rPr>
          <w:lang w:bidi="ar-SA"/>
        </w:rPr>
        <w:t>Treatment with PFOA had no effect on maternal weight, the number of implantation sites or the number of live pups per litter in either study.</w:t>
      </w:r>
    </w:p>
    <w:p w14:paraId="3D06E94C" w14:textId="77777777" w:rsidR="008F10A1" w:rsidRPr="008F10A1" w:rsidRDefault="008F10A1" w:rsidP="00A111E9">
      <w:pPr>
        <w:rPr>
          <w:lang w:bidi="ar-SA"/>
        </w:rPr>
      </w:pPr>
    </w:p>
    <w:p w14:paraId="4D30EB11" w14:textId="44B69FCC" w:rsidR="008F10A1" w:rsidRPr="008F10A1" w:rsidRDefault="008F10A1" w:rsidP="00A111E9">
      <w:pPr>
        <w:rPr>
          <w:lang w:bidi="ar-SA"/>
        </w:rPr>
      </w:pPr>
      <w:r w:rsidRPr="008F10A1">
        <w:rPr>
          <w:lang w:bidi="ar-SA"/>
        </w:rPr>
        <w:t>In the cross-fostering study, there was an increase in the incidence of prenatal whole litter loss in the maternal mice dosed with 5 mg PFOA/kg bw/d. The birthweights of both male and female pups of dams treated with 5 mg PFOA/kg bw were lower than those of controls. Survival of pups to weaning was decreased only in pups both gestated by and cross-fostered to dams treated with 5 mg PFOA/kg bw. Eye</w:t>
      </w:r>
      <w:r w:rsidR="001012A5">
        <w:rPr>
          <w:lang w:bidi="ar-SA"/>
        </w:rPr>
        <w:t>-</w:t>
      </w:r>
      <w:r w:rsidRPr="008F10A1">
        <w:rPr>
          <w:lang w:bidi="ar-SA"/>
        </w:rPr>
        <w:t xml:space="preserve">opening and hair growth were significantly delayed in pups gestated by and cross-fostered to dams treated with 3 mg PFOA/kg bw, pups gestated by dams treated with 5 mg/kg bw but cross-fostered to control dams, and pups gestated by 5 mg/kg bw dams and also cross-fostered to 5 mg/kg bw dams. In general, the delay was progressively more severe with dose and with exposure type, with exposure </w:t>
      </w:r>
      <w:r w:rsidRPr="000200BB">
        <w:rPr>
          <w:lang w:bidi="ar-SA"/>
        </w:rPr>
        <w:t>in utero</w:t>
      </w:r>
      <w:r w:rsidRPr="008F10A1">
        <w:rPr>
          <w:lang w:bidi="ar-SA"/>
        </w:rPr>
        <w:t xml:space="preserve"> and through lactation more harmful that </w:t>
      </w:r>
      <w:r w:rsidRPr="000200BB">
        <w:rPr>
          <w:lang w:bidi="ar-SA"/>
        </w:rPr>
        <w:t>in utero</w:t>
      </w:r>
      <w:r w:rsidRPr="008F10A1">
        <w:rPr>
          <w:lang w:bidi="ar-SA"/>
        </w:rPr>
        <w:t xml:space="preserve"> exposure alone. PFOA exposure had adverse effects on body weights in the same groups of pups. Weight gain through PND 1-22 was significantly reduced in pups exposed to PFOA in utero and cross-fostered to control dams, and also pups of 5 mg/kg bw dams that were cross-fostered to 5 mg/kg bw dams. Male pups, with the exception of those of 5 mg/kg bw dams that were cross-fostered to 5 mg/kg bw dams, recovered from the body weight deficits within a week of weaning. However</w:t>
      </w:r>
      <w:r w:rsidR="007F02A2">
        <w:rPr>
          <w:lang w:bidi="ar-SA"/>
        </w:rPr>
        <w:t>,</w:t>
      </w:r>
      <w:r w:rsidRPr="008F10A1">
        <w:rPr>
          <w:lang w:bidi="ar-SA"/>
        </w:rPr>
        <w:t xml:space="preserve"> female pups gestated by 5 mg/kg bw/day dams, whether or not they were cross-fostered to other 5 mg/kg bw dams, continued to show body weight deficits as late as PND 85. After PND 85, male pups of females treated with 5 mg PFOA/kg bw showed increased </w:t>
      </w:r>
      <w:r w:rsidR="00E83E80">
        <w:rPr>
          <w:lang w:bidi="ar-SA"/>
        </w:rPr>
        <w:t>body weight</w:t>
      </w:r>
      <w:r w:rsidRPr="008F10A1">
        <w:rPr>
          <w:lang w:bidi="ar-SA"/>
        </w:rPr>
        <w:t xml:space="preserve">s relative to controls, while females had similar </w:t>
      </w:r>
      <w:r w:rsidR="00E83E80">
        <w:rPr>
          <w:lang w:bidi="ar-SA"/>
        </w:rPr>
        <w:t>body weight</w:t>
      </w:r>
      <w:r w:rsidRPr="008F10A1">
        <w:rPr>
          <w:lang w:bidi="ar-SA"/>
        </w:rPr>
        <w:t>s to controls.</w:t>
      </w:r>
    </w:p>
    <w:p w14:paraId="68B6B893" w14:textId="77777777" w:rsidR="008F10A1" w:rsidRPr="008F10A1" w:rsidRDefault="008F10A1" w:rsidP="00A111E9">
      <w:pPr>
        <w:rPr>
          <w:lang w:bidi="ar-SA"/>
        </w:rPr>
      </w:pPr>
    </w:p>
    <w:p w14:paraId="44D3D198" w14:textId="2D1D1FE4" w:rsidR="008F10A1" w:rsidRPr="008F10A1" w:rsidRDefault="008F10A1" w:rsidP="00A111E9">
      <w:pPr>
        <w:rPr>
          <w:lang w:bidi="ar-SA"/>
        </w:rPr>
      </w:pPr>
      <w:r w:rsidRPr="008F10A1">
        <w:rPr>
          <w:lang w:bidi="ar-SA"/>
        </w:rPr>
        <w:t xml:space="preserve">Control dams that raised pups exposed to PFOA </w:t>
      </w:r>
      <w:r w:rsidRPr="000200BB">
        <w:rPr>
          <w:lang w:bidi="ar-SA"/>
        </w:rPr>
        <w:t>in utero</w:t>
      </w:r>
      <w:r w:rsidRPr="008F10A1">
        <w:rPr>
          <w:lang w:bidi="ar-SA"/>
        </w:rPr>
        <w:t xml:space="preserve"> had measurable PFOA in their serum at weaning of the pups, consistent with dams ingesting PFOA while assisting the excretion of wastes by their pups. Pups exposed to PFOA both </w:t>
      </w:r>
      <w:r w:rsidRPr="000200BB">
        <w:rPr>
          <w:lang w:bidi="ar-SA"/>
        </w:rPr>
        <w:t>in utero</w:t>
      </w:r>
      <w:r w:rsidRPr="008F10A1">
        <w:rPr>
          <w:lang w:bidi="ar-SA"/>
        </w:rPr>
        <w:t xml:space="preserve"> and through milk had the higher serum PFOA levels than those exposed only </w:t>
      </w:r>
      <w:r w:rsidRPr="000200BB">
        <w:rPr>
          <w:lang w:bidi="ar-SA"/>
        </w:rPr>
        <w:t>in utero</w:t>
      </w:r>
      <w:r w:rsidRPr="008F10A1">
        <w:rPr>
          <w:lang w:bidi="ar-SA"/>
        </w:rPr>
        <w:t xml:space="preserve"> or in milk. At weaning, levels </w:t>
      </w:r>
      <w:r w:rsidRPr="008F10A1">
        <w:rPr>
          <w:lang w:bidi="ar-SA"/>
        </w:rPr>
        <w:lastRenderedPageBreak/>
        <w:t xml:space="preserve">in pups exposed only </w:t>
      </w:r>
      <w:r w:rsidRPr="000200BB">
        <w:rPr>
          <w:lang w:bidi="ar-SA"/>
        </w:rPr>
        <w:t>in utero</w:t>
      </w:r>
      <w:r w:rsidRPr="008F10A1">
        <w:rPr>
          <w:lang w:bidi="ar-SA"/>
        </w:rPr>
        <w:t xml:space="preserve"> to a given maternal dose were very similar to those in pups exposed only in milk to the same maternal dose.</w:t>
      </w:r>
    </w:p>
    <w:p w14:paraId="0D1C872B" w14:textId="77777777" w:rsidR="008F10A1" w:rsidRPr="008F10A1" w:rsidRDefault="008F10A1" w:rsidP="00A111E9">
      <w:pPr>
        <w:rPr>
          <w:lang w:bidi="ar-SA"/>
        </w:rPr>
      </w:pPr>
    </w:p>
    <w:p w14:paraId="1A7A3306" w14:textId="515D2BF1" w:rsidR="008F10A1" w:rsidRPr="008F10A1" w:rsidRDefault="008F10A1" w:rsidP="00A111E9">
      <w:pPr>
        <w:rPr>
          <w:lang w:bidi="ar-SA"/>
        </w:rPr>
      </w:pPr>
      <w:r w:rsidRPr="008F10A1">
        <w:rPr>
          <w:lang w:bidi="ar-SA"/>
        </w:rPr>
        <w:t>In the restricted exposure study, pup weight at birth was significantly decreased for male pups, but not for females, in litters exposed from GD 7-17 and 10-17, and those pups exposed to 20 mg PFOA/kg bw on GD 15-17. Survival from birth to PND 22 was significantly decreased only for pups exposed to 20 mg PFOA/kg bw on GD 15-17. Relative liver weights were significantly increased in dams at weaning, with the exception of dams dosed to 5 mg/kg bw on GD 15-17. The increase in relative liver weight was positively associated with total administered dose. PFOA exposure also increased liver weights of pups of both sexes in all exposure groups.</w:t>
      </w:r>
    </w:p>
    <w:p w14:paraId="5D041BB5" w14:textId="77777777" w:rsidR="008F10A1" w:rsidRPr="008F10A1" w:rsidRDefault="008F10A1" w:rsidP="00A111E9">
      <w:pPr>
        <w:rPr>
          <w:lang w:bidi="ar-SA"/>
        </w:rPr>
      </w:pPr>
    </w:p>
    <w:p w14:paraId="01A7E73E" w14:textId="03CB0598" w:rsidR="008F10A1" w:rsidRPr="008F10A1" w:rsidRDefault="008F10A1" w:rsidP="00A111E9">
      <w:pPr>
        <w:rPr>
          <w:lang w:bidi="ar-SA"/>
        </w:rPr>
      </w:pPr>
      <w:r w:rsidRPr="008F10A1">
        <w:rPr>
          <w:lang w:bidi="ar-SA"/>
        </w:rPr>
        <w:t>As in the cross-fostering study, delays in eye</w:t>
      </w:r>
      <w:r w:rsidR="001012A5">
        <w:rPr>
          <w:lang w:bidi="ar-SA"/>
        </w:rPr>
        <w:t>-</w:t>
      </w:r>
      <w:r w:rsidRPr="008F10A1">
        <w:rPr>
          <w:lang w:bidi="ar-SA"/>
        </w:rPr>
        <w:t>opening and hair growth were observed, affecting pups exposed to 5 mg PFOA/kg bw on GD 7-17 and 10-17, and was more severe in the GD 7-17 pups. PFOA exposure significantly reduced body weights of male and female pups on PNDs 1 through to 22. After weaning, male body weights of pups exposed GD 7-17 did not recover to control weights until the pups were 10 weeks old, and male pups exposed GD 10-17 did not recover until the pups were 11 weeks old.</w:t>
      </w:r>
    </w:p>
    <w:p w14:paraId="215EEC00" w14:textId="77777777" w:rsidR="008F10A1" w:rsidRPr="008F10A1" w:rsidRDefault="008F10A1" w:rsidP="00A111E9">
      <w:pPr>
        <w:rPr>
          <w:lang w:bidi="ar-SA"/>
        </w:rPr>
      </w:pPr>
    </w:p>
    <w:p w14:paraId="51907180" w14:textId="1EA24EFE" w:rsidR="008F10A1" w:rsidRPr="008F10A1" w:rsidRDefault="008F10A1" w:rsidP="00A111E9">
      <w:pPr>
        <w:rPr>
          <w:lang w:bidi="ar-SA"/>
        </w:rPr>
      </w:pPr>
      <w:r w:rsidRPr="008F10A1">
        <w:rPr>
          <w:lang w:bidi="ar-SA"/>
        </w:rPr>
        <w:t>Mean serum PFOA in pups increased with longer durations of prenatal exposure.</w:t>
      </w:r>
    </w:p>
    <w:p w14:paraId="2D5F1501" w14:textId="77777777" w:rsidR="008F10A1" w:rsidRPr="008F10A1" w:rsidRDefault="008F10A1" w:rsidP="00A111E9">
      <w:pPr>
        <w:rPr>
          <w:lang w:bidi="ar-SA"/>
        </w:rPr>
      </w:pPr>
    </w:p>
    <w:p w14:paraId="33B58CE6" w14:textId="53BD37A5" w:rsidR="008F10A1" w:rsidRPr="008F10A1" w:rsidRDefault="008F10A1" w:rsidP="00A111E9">
      <w:pPr>
        <w:rPr>
          <w:lang w:bidi="ar-SA"/>
        </w:rPr>
      </w:pPr>
      <w:r w:rsidRPr="008F10A1">
        <w:rPr>
          <w:lang w:bidi="ar-SA"/>
        </w:rPr>
        <w:t>The cross-fostering study showed that lactational exposure to PFOA alone did not have detrimental effects on pup growth, development or survival, consistent with interference by PFOA on growth and development of the fetus. Furthermore, the lack of adverse effects in pups only exposed through lactation suggests that PFOA did not have any adverse effects on the maternal behaviour or milk production of the dams.</w:t>
      </w:r>
    </w:p>
    <w:p w14:paraId="56EB1C9C" w14:textId="77777777" w:rsidR="008F10A1" w:rsidRPr="008F10A1" w:rsidRDefault="008F10A1" w:rsidP="00A111E9">
      <w:pPr>
        <w:rPr>
          <w:lang w:bidi="ar-SA"/>
        </w:rPr>
      </w:pPr>
    </w:p>
    <w:p w14:paraId="07B4D928" w14:textId="657005F0" w:rsidR="008F10A1" w:rsidRDefault="008F10A1" w:rsidP="00A111E9">
      <w:pPr>
        <w:rPr>
          <w:lang w:bidi="ar-SA"/>
        </w:rPr>
      </w:pPr>
      <w:r w:rsidRPr="008F10A1">
        <w:rPr>
          <w:lang w:bidi="ar-SA"/>
        </w:rPr>
        <w:t xml:space="preserve">The study showed that PFOA exposure early in gestation is not required for the </w:t>
      </w:r>
      <w:r w:rsidR="009727E1">
        <w:rPr>
          <w:lang w:bidi="ar-SA"/>
        </w:rPr>
        <w:t xml:space="preserve">development of adverse effects. </w:t>
      </w:r>
      <w:r w:rsidRPr="008F10A1">
        <w:rPr>
          <w:lang w:bidi="ar-SA"/>
        </w:rPr>
        <w:t xml:space="preserve">Serum PFOA data obtained from the study are </w:t>
      </w:r>
      <w:r w:rsidR="009727E1">
        <w:rPr>
          <w:lang w:bidi="ar-SA"/>
        </w:rPr>
        <w:t>presented in T</w:t>
      </w:r>
      <w:r w:rsidRPr="008F10A1">
        <w:rPr>
          <w:lang w:bidi="ar-SA"/>
        </w:rPr>
        <w:t>ables</w:t>
      </w:r>
      <w:r w:rsidR="009727E1">
        <w:rPr>
          <w:lang w:bidi="ar-SA"/>
        </w:rPr>
        <w:t xml:space="preserve"> </w:t>
      </w:r>
      <w:r w:rsidR="00D5499C">
        <w:rPr>
          <w:lang w:bidi="ar-SA"/>
        </w:rPr>
        <w:t xml:space="preserve">24 </w:t>
      </w:r>
      <w:r w:rsidR="009727E1">
        <w:rPr>
          <w:lang w:bidi="ar-SA"/>
        </w:rPr>
        <w:t xml:space="preserve">and </w:t>
      </w:r>
      <w:r w:rsidR="00D5499C">
        <w:rPr>
          <w:lang w:bidi="ar-SA"/>
        </w:rPr>
        <w:t>25</w:t>
      </w:r>
      <w:r w:rsidR="009727E1">
        <w:rPr>
          <w:lang w:bidi="ar-SA"/>
        </w:rPr>
        <w:t>.</w:t>
      </w:r>
    </w:p>
    <w:p w14:paraId="323654F5" w14:textId="77777777" w:rsidR="00711821" w:rsidRDefault="00711821" w:rsidP="00A111E9">
      <w:pPr>
        <w:rPr>
          <w:lang w:bidi="ar-SA"/>
        </w:rPr>
      </w:pPr>
    </w:p>
    <w:p w14:paraId="01639685" w14:textId="77777777" w:rsidR="00132C96" w:rsidRDefault="00132C96" w:rsidP="00A111E9">
      <w:pPr>
        <w:pStyle w:val="FSTableTitle"/>
        <w:rPr>
          <w:lang w:bidi="ar-SA"/>
        </w:rPr>
      </w:pPr>
    </w:p>
    <w:p w14:paraId="568F6CC3" w14:textId="739932B8" w:rsidR="00132C96" w:rsidRDefault="00132C96" w:rsidP="00A111E9">
      <w:pPr>
        <w:rPr>
          <w:rFonts w:cs="Arial"/>
          <w:lang w:bidi="ar-SA"/>
        </w:rPr>
      </w:pPr>
      <w:r>
        <w:rPr>
          <w:lang w:bidi="ar-SA"/>
        </w:rPr>
        <w:br w:type="page"/>
      </w:r>
    </w:p>
    <w:p w14:paraId="3FFB8E80" w14:textId="75A7CBEA" w:rsidR="008F10A1" w:rsidRPr="008F10A1" w:rsidRDefault="00711821" w:rsidP="00A111E9">
      <w:pPr>
        <w:pStyle w:val="FSTableTitle"/>
        <w:rPr>
          <w:lang w:bidi="ar-SA"/>
        </w:rPr>
      </w:pPr>
      <w:r>
        <w:rPr>
          <w:lang w:bidi="ar-SA"/>
        </w:rPr>
        <w:lastRenderedPageBreak/>
        <w:t xml:space="preserve">Table </w:t>
      </w:r>
      <w:r w:rsidR="00DA3475">
        <w:rPr>
          <w:lang w:bidi="ar-SA"/>
        </w:rPr>
        <w:t>24</w:t>
      </w:r>
      <w:r>
        <w:rPr>
          <w:lang w:bidi="ar-SA"/>
        </w:rPr>
        <w:t xml:space="preserve">: </w:t>
      </w:r>
      <w:r w:rsidRPr="00711821">
        <w:rPr>
          <w:lang w:bidi="ar-SA"/>
        </w:rPr>
        <w:t>Serum levels of PFOA in cross-foster dams and male pups at weaning (3 weeks) and in female pups at 3, 6 and 9 weeks of age</w:t>
      </w:r>
    </w:p>
    <w:tbl>
      <w:tblPr>
        <w:tblStyle w:val="TableGrid"/>
        <w:tblW w:w="9403" w:type="dxa"/>
        <w:tblLayout w:type="fixed"/>
        <w:tblLook w:val="04A0" w:firstRow="1" w:lastRow="0" w:firstColumn="1" w:lastColumn="0" w:noHBand="0" w:noVBand="1"/>
        <w:tblCaption w:val="Table 24: Serum levels of PFOA in cross-foster dams and male pups at weaning (3 weeks) and in female pups at 3, 6 and 9 weeks of age"/>
        <w:tblDescription w:val="This table contains data relating to serum levels of PFOA in cross-foster dams and male pups at weaning (3 weeks) and in female pups at 3, 6 and 9 weeks of age."/>
      </w:tblPr>
      <w:tblGrid>
        <w:gridCol w:w="1802"/>
        <w:gridCol w:w="476"/>
        <w:gridCol w:w="882"/>
        <w:gridCol w:w="448"/>
        <w:gridCol w:w="1148"/>
        <w:gridCol w:w="504"/>
        <w:gridCol w:w="1049"/>
        <w:gridCol w:w="462"/>
        <w:gridCol w:w="1078"/>
        <w:gridCol w:w="481"/>
        <w:gridCol w:w="1073"/>
      </w:tblGrid>
      <w:tr w:rsidR="008F10A1" w:rsidRPr="008F10A1" w14:paraId="468A5031" w14:textId="77777777" w:rsidTr="000830C5">
        <w:trPr>
          <w:trHeight w:val="493"/>
          <w:tblHeader/>
        </w:trPr>
        <w:tc>
          <w:tcPr>
            <w:tcW w:w="1802" w:type="dxa"/>
            <w:vMerge w:val="restart"/>
            <w:shd w:val="clear" w:color="auto" w:fill="F2F2F2" w:themeFill="background1" w:themeFillShade="F2"/>
            <w:vAlign w:val="center"/>
          </w:tcPr>
          <w:p w14:paraId="4005C2EB" w14:textId="77777777" w:rsidR="008F10A1" w:rsidRPr="00F6284E" w:rsidRDefault="008F10A1" w:rsidP="00A111E9">
            <w:pPr>
              <w:rPr>
                <w:rFonts w:ascii="Arial" w:hAnsi="Arial"/>
                <w:b/>
                <w:sz w:val="18"/>
              </w:rPr>
            </w:pPr>
            <w:r w:rsidRPr="00F6284E">
              <w:rPr>
                <w:b/>
                <w:sz w:val="18"/>
              </w:rPr>
              <w:t>Group</w:t>
            </w:r>
          </w:p>
        </w:tc>
        <w:tc>
          <w:tcPr>
            <w:tcW w:w="1358" w:type="dxa"/>
            <w:gridSpan w:val="2"/>
            <w:shd w:val="clear" w:color="auto" w:fill="F2F2F2" w:themeFill="background1" w:themeFillShade="F2"/>
            <w:vAlign w:val="center"/>
          </w:tcPr>
          <w:p w14:paraId="3813763B" w14:textId="77777777" w:rsidR="008F10A1" w:rsidRPr="00F6284E" w:rsidRDefault="008F10A1" w:rsidP="00230E14">
            <w:pPr>
              <w:jc w:val="center"/>
              <w:rPr>
                <w:rFonts w:ascii="Arial" w:hAnsi="Arial"/>
                <w:b/>
                <w:sz w:val="18"/>
              </w:rPr>
            </w:pPr>
            <w:r w:rsidRPr="00F6284E">
              <w:rPr>
                <w:b/>
                <w:sz w:val="18"/>
              </w:rPr>
              <w:t>Dams at weaning</w:t>
            </w:r>
          </w:p>
        </w:tc>
        <w:tc>
          <w:tcPr>
            <w:tcW w:w="1596" w:type="dxa"/>
            <w:gridSpan w:val="2"/>
            <w:shd w:val="clear" w:color="auto" w:fill="F2F2F2" w:themeFill="background1" w:themeFillShade="F2"/>
            <w:vAlign w:val="center"/>
          </w:tcPr>
          <w:p w14:paraId="1AE2E601" w14:textId="074F8F01" w:rsidR="00132C96" w:rsidRDefault="008F10A1" w:rsidP="00230E14">
            <w:pPr>
              <w:jc w:val="center"/>
              <w:rPr>
                <w:rFonts w:ascii="Arial" w:hAnsi="Arial" w:cs="Arial"/>
                <w:b/>
                <w:sz w:val="18"/>
                <w:lang w:bidi="ar-SA"/>
              </w:rPr>
            </w:pPr>
            <w:r w:rsidRPr="00F6284E">
              <w:rPr>
                <w:b/>
                <w:sz w:val="18"/>
              </w:rPr>
              <w:t>Male pups</w:t>
            </w:r>
          </w:p>
          <w:p w14:paraId="5DAB8C80" w14:textId="0D9E6D76" w:rsidR="008F10A1" w:rsidRPr="000B3C14" w:rsidRDefault="008F10A1" w:rsidP="00230E14">
            <w:pPr>
              <w:jc w:val="center"/>
              <w:rPr>
                <w:rFonts w:ascii="Arial" w:hAnsi="Arial"/>
                <w:b/>
                <w:sz w:val="18"/>
              </w:rPr>
            </w:pPr>
            <w:r w:rsidRPr="00D711DD">
              <w:rPr>
                <w:b/>
                <w:sz w:val="18"/>
              </w:rPr>
              <w:t>3 weeks</w:t>
            </w:r>
          </w:p>
        </w:tc>
        <w:tc>
          <w:tcPr>
            <w:tcW w:w="1553" w:type="dxa"/>
            <w:gridSpan w:val="2"/>
            <w:shd w:val="clear" w:color="auto" w:fill="F2F2F2" w:themeFill="background1" w:themeFillShade="F2"/>
            <w:vAlign w:val="center"/>
          </w:tcPr>
          <w:p w14:paraId="7CF5BA01" w14:textId="122DBD42" w:rsidR="00132C96" w:rsidRDefault="008F10A1" w:rsidP="00230E14">
            <w:pPr>
              <w:jc w:val="center"/>
              <w:rPr>
                <w:rFonts w:ascii="Arial" w:hAnsi="Arial" w:cs="Arial"/>
                <w:b/>
                <w:sz w:val="18"/>
                <w:lang w:bidi="ar-SA"/>
              </w:rPr>
            </w:pPr>
            <w:r w:rsidRPr="000B3C14">
              <w:rPr>
                <w:b/>
                <w:sz w:val="18"/>
              </w:rPr>
              <w:t>Female pups</w:t>
            </w:r>
          </w:p>
          <w:p w14:paraId="1939E6E4" w14:textId="79EDAEF9" w:rsidR="008F10A1" w:rsidRPr="000B3C14" w:rsidRDefault="008F10A1" w:rsidP="00230E14">
            <w:pPr>
              <w:jc w:val="center"/>
              <w:rPr>
                <w:rFonts w:ascii="Arial" w:hAnsi="Arial"/>
                <w:b/>
                <w:sz w:val="18"/>
              </w:rPr>
            </w:pPr>
            <w:r w:rsidRPr="00D711DD">
              <w:rPr>
                <w:b/>
                <w:sz w:val="18"/>
              </w:rPr>
              <w:t>3 weeks</w:t>
            </w:r>
            <w:r w:rsidRPr="000B3C14">
              <w:rPr>
                <w:b/>
                <w:i/>
                <w:sz w:val="18"/>
                <w:vertAlign w:val="superscript"/>
              </w:rPr>
              <w:t>a</w:t>
            </w:r>
          </w:p>
        </w:tc>
        <w:tc>
          <w:tcPr>
            <w:tcW w:w="1540" w:type="dxa"/>
            <w:gridSpan w:val="2"/>
            <w:shd w:val="clear" w:color="auto" w:fill="F2F2F2" w:themeFill="background1" w:themeFillShade="F2"/>
            <w:vAlign w:val="center"/>
          </w:tcPr>
          <w:p w14:paraId="5D5B6AE1" w14:textId="1FE0D0C4" w:rsidR="008F10A1" w:rsidRPr="00F6284E" w:rsidRDefault="008F10A1" w:rsidP="00230E14">
            <w:pPr>
              <w:jc w:val="center"/>
              <w:rPr>
                <w:rFonts w:ascii="Arial" w:hAnsi="Arial"/>
                <w:b/>
                <w:sz w:val="18"/>
              </w:rPr>
            </w:pPr>
            <w:r w:rsidRPr="00F6284E">
              <w:rPr>
                <w:b/>
                <w:sz w:val="18"/>
              </w:rPr>
              <w:t>Female pups 6 weeks</w:t>
            </w:r>
          </w:p>
        </w:tc>
        <w:tc>
          <w:tcPr>
            <w:tcW w:w="1554" w:type="dxa"/>
            <w:gridSpan w:val="2"/>
            <w:shd w:val="clear" w:color="auto" w:fill="F2F2F2" w:themeFill="background1" w:themeFillShade="F2"/>
            <w:vAlign w:val="center"/>
          </w:tcPr>
          <w:p w14:paraId="17202078" w14:textId="0EB5C0BA" w:rsidR="008F10A1" w:rsidRPr="00F6284E" w:rsidRDefault="008F10A1" w:rsidP="00230E14">
            <w:pPr>
              <w:jc w:val="center"/>
              <w:rPr>
                <w:rFonts w:ascii="Arial" w:hAnsi="Arial"/>
                <w:b/>
                <w:sz w:val="18"/>
              </w:rPr>
            </w:pPr>
            <w:r w:rsidRPr="00F6284E">
              <w:rPr>
                <w:b/>
                <w:sz w:val="18"/>
              </w:rPr>
              <w:t>Female pups 9 weeks</w:t>
            </w:r>
          </w:p>
        </w:tc>
      </w:tr>
      <w:tr w:rsidR="008F10A1" w:rsidRPr="008F10A1" w14:paraId="5672F52D" w14:textId="77777777" w:rsidTr="000830C5">
        <w:trPr>
          <w:trHeight w:val="510"/>
          <w:tblHeader/>
        </w:trPr>
        <w:tc>
          <w:tcPr>
            <w:tcW w:w="1802" w:type="dxa"/>
            <w:vMerge/>
            <w:shd w:val="clear" w:color="auto" w:fill="F2F2F2" w:themeFill="background1" w:themeFillShade="F2"/>
          </w:tcPr>
          <w:p w14:paraId="43335545" w14:textId="77777777" w:rsidR="008F10A1" w:rsidRPr="00F6284E" w:rsidRDefault="008F10A1" w:rsidP="00A111E9">
            <w:pPr>
              <w:rPr>
                <w:rFonts w:ascii="Arial" w:hAnsi="Arial"/>
                <w:b/>
                <w:sz w:val="18"/>
              </w:rPr>
            </w:pPr>
          </w:p>
        </w:tc>
        <w:tc>
          <w:tcPr>
            <w:tcW w:w="476" w:type="dxa"/>
            <w:shd w:val="clear" w:color="auto" w:fill="F2F2F2" w:themeFill="background1" w:themeFillShade="F2"/>
            <w:vAlign w:val="center"/>
          </w:tcPr>
          <w:p w14:paraId="235B205E" w14:textId="77777777" w:rsidR="008F10A1" w:rsidRPr="00F6284E" w:rsidRDefault="008F10A1" w:rsidP="00230E14">
            <w:pPr>
              <w:jc w:val="right"/>
              <w:rPr>
                <w:rFonts w:ascii="Arial" w:hAnsi="Arial"/>
                <w:b/>
                <w:sz w:val="18"/>
              </w:rPr>
            </w:pPr>
            <w:r w:rsidRPr="00F6284E">
              <w:rPr>
                <w:b/>
                <w:sz w:val="18"/>
              </w:rPr>
              <w:t>n</w:t>
            </w:r>
          </w:p>
        </w:tc>
        <w:tc>
          <w:tcPr>
            <w:tcW w:w="882" w:type="dxa"/>
            <w:shd w:val="clear" w:color="auto" w:fill="F2F2F2" w:themeFill="background1" w:themeFillShade="F2"/>
            <w:vAlign w:val="center"/>
          </w:tcPr>
          <w:p w14:paraId="79F589FD" w14:textId="77777777" w:rsidR="008F10A1" w:rsidRPr="00F6284E" w:rsidRDefault="008F10A1" w:rsidP="00230E14">
            <w:pPr>
              <w:jc w:val="right"/>
              <w:rPr>
                <w:rFonts w:ascii="Arial" w:hAnsi="Arial"/>
                <w:b/>
                <w:sz w:val="18"/>
              </w:rPr>
            </w:pPr>
            <w:r w:rsidRPr="00F6284E">
              <w:rPr>
                <w:b/>
                <w:sz w:val="18"/>
              </w:rPr>
              <w:t>PFOA ng/mL</w:t>
            </w:r>
          </w:p>
        </w:tc>
        <w:tc>
          <w:tcPr>
            <w:tcW w:w="448" w:type="dxa"/>
            <w:shd w:val="clear" w:color="auto" w:fill="F2F2F2" w:themeFill="background1" w:themeFillShade="F2"/>
            <w:vAlign w:val="center"/>
          </w:tcPr>
          <w:p w14:paraId="5BBBB8ED" w14:textId="77777777" w:rsidR="008F10A1" w:rsidRPr="00F6284E" w:rsidRDefault="008F10A1" w:rsidP="00230E14">
            <w:pPr>
              <w:jc w:val="right"/>
              <w:rPr>
                <w:rFonts w:ascii="Arial" w:hAnsi="Arial"/>
                <w:b/>
                <w:sz w:val="18"/>
              </w:rPr>
            </w:pPr>
            <w:r w:rsidRPr="00F6284E">
              <w:rPr>
                <w:b/>
                <w:sz w:val="18"/>
              </w:rPr>
              <w:t>n</w:t>
            </w:r>
          </w:p>
        </w:tc>
        <w:tc>
          <w:tcPr>
            <w:tcW w:w="1148" w:type="dxa"/>
            <w:shd w:val="clear" w:color="auto" w:fill="F2F2F2" w:themeFill="background1" w:themeFillShade="F2"/>
            <w:vAlign w:val="center"/>
          </w:tcPr>
          <w:p w14:paraId="4BB24C44" w14:textId="77777777" w:rsidR="008F10A1" w:rsidRPr="00F6284E" w:rsidRDefault="008F10A1" w:rsidP="00230E14">
            <w:pPr>
              <w:jc w:val="right"/>
              <w:rPr>
                <w:rFonts w:ascii="Arial" w:hAnsi="Arial"/>
                <w:b/>
                <w:sz w:val="18"/>
              </w:rPr>
            </w:pPr>
            <w:r w:rsidRPr="00F6284E">
              <w:rPr>
                <w:b/>
                <w:sz w:val="18"/>
              </w:rPr>
              <w:t>PFOA ng/mL</w:t>
            </w:r>
          </w:p>
        </w:tc>
        <w:tc>
          <w:tcPr>
            <w:tcW w:w="504" w:type="dxa"/>
            <w:shd w:val="clear" w:color="auto" w:fill="F2F2F2" w:themeFill="background1" w:themeFillShade="F2"/>
            <w:vAlign w:val="center"/>
          </w:tcPr>
          <w:p w14:paraId="1224A353" w14:textId="6DAF6B05" w:rsidR="008F10A1" w:rsidRPr="00D711DD" w:rsidRDefault="00132C96" w:rsidP="00230E14">
            <w:pPr>
              <w:jc w:val="right"/>
              <w:rPr>
                <w:rFonts w:ascii="Arial" w:hAnsi="Arial"/>
                <w:b/>
                <w:sz w:val="18"/>
              </w:rPr>
            </w:pPr>
            <w:r w:rsidRPr="00D10449">
              <w:rPr>
                <w:rFonts w:cs="Arial"/>
                <w:b/>
                <w:sz w:val="18"/>
                <w:lang w:bidi="ar-SA"/>
              </w:rPr>
              <w:t>n</w:t>
            </w:r>
          </w:p>
        </w:tc>
        <w:tc>
          <w:tcPr>
            <w:tcW w:w="1049" w:type="dxa"/>
            <w:shd w:val="clear" w:color="auto" w:fill="F2F2F2" w:themeFill="background1" w:themeFillShade="F2"/>
            <w:vAlign w:val="center"/>
          </w:tcPr>
          <w:p w14:paraId="229A59BB" w14:textId="77777777" w:rsidR="008F10A1" w:rsidRPr="000B3C14" w:rsidRDefault="008F10A1" w:rsidP="00230E14">
            <w:pPr>
              <w:jc w:val="right"/>
              <w:rPr>
                <w:rFonts w:ascii="Arial" w:hAnsi="Arial"/>
                <w:b/>
                <w:sz w:val="18"/>
              </w:rPr>
            </w:pPr>
            <w:r w:rsidRPr="000B3C14">
              <w:rPr>
                <w:b/>
                <w:sz w:val="18"/>
              </w:rPr>
              <w:t>PFOA ng/mL</w:t>
            </w:r>
          </w:p>
        </w:tc>
        <w:tc>
          <w:tcPr>
            <w:tcW w:w="462" w:type="dxa"/>
            <w:shd w:val="clear" w:color="auto" w:fill="F2F2F2" w:themeFill="background1" w:themeFillShade="F2"/>
            <w:vAlign w:val="center"/>
          </w:tcPr>
          <w:p w14:paraId="167125B7" w14:textId="77777777" w:rsidR="008F10A1" w:rsidRPr="00F6284E" w:rsidRDefault="008F10A1" w:rsidP="00230E14">
            <w:pPr>
              <w:jc w:val="right"/>
              <w:rPr>
                <w:rFonts w:ascii="Arial" w:hAnsi="Arial"/>
                <w:b/>
                <w:sz w:val="18"/>
              </w:rPr>
            </w:pPr>
            <w:r w:rsidRPr="00F6284E">
              <w:rPr>
                <w:b/>
                <w:sz w:val="18"/>
              </w:rPr>
              <w:t>n</w:t>
            </w:r>
          </w:p>
        </w:tc>
        <w:tc>
          <w:tcPr>
            <w:tcW w:w="1078" w:type="dxa"/>
            <w:shd w:val="clear" w:color="auto" w:fill="F2F2F2" w:themeFill="background1" w:themeFillShade="F2"/>
            <w:vAlign w:val="center"/>
          </w:tcPr>
          <w:p w14:paraId="0DC09B99" w14:textId="77777777" w:rsidR="008F10A1" w:rsidRPr="00F6284E" w:rsidRDefault="008F10A1" w:rsidP="00230E14">
            <w:pPr>
              <w:jc w:val="right"/>
              <w:rPr>
                <w:rFonts w:ascii="Arial" w:hAnsi="Arial"/>
                <w:b/>
                <w:sz w:val="18"/>
              </w:rPr>
            </w:pPr>
            <w:r w:rsidRPr="00F6284E">
              <w:rPr>
                <w:b/>
                <w:sz w:val="18"/>
              </w:rPr>
              <w:t>PFOA ng/mL</w:t>
            </w:r>
          </w:p>
        </w:tc>
        <w:tc>
          <w:tcPr>
            <w:tcW w:w="481" w:type="dxa"/>
            <w:shd w:val="clear" w:color="auto" w:fill="F2F2F2" w:themeFill="background1" w:themeFillShade="F2"/>
            <w:vAlign w:val="center"/>
          </w:tcPr>
          <w:p w14:paraId="311E0650" w14:textId="7DA99BA5" w:rsidR="008F10A1" w:rsidRPr="00D711DD" w:rsidRDefault="00132C96" w:rsidP="00230E14">
            <w:pPr>
              <w:jc w:val="right"/>
              <w:rPr>
                <w:rFonts w:ascii="Arial" w:hAnsi="Arial"/>
                <w:b/>
                <w:sz w:val="18"/>
              </w:rPr>
            </w:pPr>
            <w:r w:rsidRPr="00D10449">
              <w:rPr>
                <w:rFonts w:cs="Arial"/>
                <w:b/>
                <w:sz w:val="18"/>
                <w:lang w:bidi="ar-SA"/>
              </w:rPr>
              <w:t>n</w:t>
            </w:r>
          </w:p>
        </w:tc>
        <w:tc>
          <w:tcPr>
            <w:tcW w:w="1073" w:type="dxa"/>
            <w:shd w:val="clear" w:color="auto" w:fill="F2F2F2" w:themeFill="background1" w:themeFillShade="F2"/>
            <w:vAlign w:val="center"/>
          </w:tcPr>
          <w:p w14:paraId="67E4FAB6" w14:textId="77777777" w:rsidR="008F10A1" w:rsidRPr="000B3C14" w:rsidRDefault="008F10A1" w:rsidP="00230E14">
            <w:pPr>
              <w:jc w:val="right"/>
              <w:rPr>
                <w:rFonts w:ascii="Arial" w:hAnsi="Arial"/>
                <w:b/>
                <w:sz w:val="18"/>
              </w:rPr>
            </w:pPr>
            <w:r w:rsidRPr="000B3C14">
              <w:rPr>
                <w:b/>
                <w:sz w:val="18"/>
              </w:rPr>
              <w:t>PFOA ng/mL</w:t>
            </w:r>
          </w:p>
        </w:tc>
      </w:tr>
      <w:tr w:rsidR="008F10A1" w:rsidRPr="008F10A1" w14:paraId="08183A60" w14:textId="77777777" w:rsidTr="00F6284E">
        <w:tc>
          <w:tcPr>
            <w:tcW w:w="1802" w:type="dxa"/>
          </w:tcPr>
          <w:p w14:paraId="1334B01E" w14:textId="77777777" w:rsidR="008F10A1" w:rsidRPr="00D711DD" w:rsidRDefault="008F10A1" w:rsidP="00A111E9">
            <w:pPr>
              <w:rPr>
                <w:rFonts w:ascii="Arial" w:hAnsi="Arial"/>
                <w:sz w:val="18"/>
              </w:rPr>
            </w:pPr>
            <w:r w:rsidRPr="00512F95">
              <w:rPr>
                <w:sz w:val="18"/>
              </w:rPr>
              <w:t>Control dam, control pups</w:t>
            </w:r>
          </w:p>
        </w:tc>
        <w:tc>
          <w:tcPr>
            <w:tcW w:w="476" w:type="dxa"/>
            <w:vAlign w:val="center"/>
          </w:tcPr>
          <w:p w14:paraId="67553089" w14:textId="77777777" w:rsidR="008F10A1" w:rsidRPr="00D711DD" w:rsidRDefault="008F10A1" w:rsidP="00230E14">
            <w:pPr>
              <w:jc w:val="right"/>
              <w:rPr>
                <w:rFonts w:ascii="Arial" w:hAnsi="Arial"/>
                <w:sz w:val="18"/>
              </w:rPr>
            </w:pPr>
            <w:r w:rsidRPr="00512F95">
              <w:rPr>
                <w:sz w:val="18"/>
              </w:rPr>
              <w:t>13</w:t>
            </w:r>
          </w:p>
        </w:tc>
        <w:tc>
          <w:tcPr>
            <w:tcW w:w="882" w:type="dxa"/>
            <w:vAlign w:val="center"/>
          </w:tcPr>
          <w:p w14:paraId="4A33D61B" w14:textId="77777777" w:rsidR="008F10A1" w:rsidRPr="00F6284E" w:rsidRDefault="008F10A1" w:rsidP="00230E14">
            <w:pPr>
              <w:jc w:val="right"/>
              <w:rPr>
                <w:rFonts w:ascii="Arial" w:hAnsi="Arial"/>
                <w:sz w:val="16"/>
              </w:rPr>
            </w:pPr>
            <w:r w:rsidRPr="000B3C14">
              <w:rPr>
                <w:sz w:val="16"/>
              </w:rPr>
              <w:t>24±3</w:t>
            </w:r>
            <w:r w:rsidRPr="000B3C14">
              <w:rPr>
                <w:i/>
                <w:sz w:val="16"/>
                <w:vertAlign w:val="superscript"/>
              </w:rPr>
              <w:t>b</w:t>
            </w:r>
          </w:p>
        </w:tc>
        <w:tc>
          <w:tcPr>
            <w:tcW w:w="448" w:type="dxa"/>
            <w:vAlign w:val="center"/>
          </w:tcPr>
          <w:p w14:paraId="41A99796" w14:textId="77777777" w:rsidR="008F10A1" w:rsidRPr="00D711DD" w:rsidRDefault="008F10A1" w:rsidP="00230E14">
            <w:pPr>
              <w:jc w:val="right"/>
              <w:rPr>
                <w:rFonts w:ascii="Arial" w:hAnsi="Arial"/>
                <w:sz w:val="18"/>
              </w:rPr>
            </w:pPr>
            <w:r w:rsidRPr="00512F95">
              <w:rPr>
                <w:sz w:val="18"/>
              </w:rPr>
              <w:t>12</w:t>
            </w:r>
          </w:p>
        </w:tc>
        <w:tc>
          <w:tcPr>
            <w:tcW w:w="1148" w:type="dxa"/>
            <w:vAlign w:val="center"/>
          </w:tcPr>
          <w:p w14:paraId="22291DCD" w14:textId="77777777" w:rsidR="008F10A1" w:rsidRPr="00F6284E" w:rsidRDefault="008F10A1" w:rsidP="00230E14">
            <w:pPr>
              <w:jc w:val="right"/>
              <w:rPr>
                <w:rFonts w:ascii="Arial" w:hAnsi="Arial"/>
                <w:sz w:val="16"/>
              </w:rPr>
            </w:pPr>
            <w:r w:rsidRPr="000B3C14">
              <w:rPr>
                <w:sz w:val="16"/>
              </w:rPr>
              <w:t>19±5</w:t>
            </w:r>
            <w:r w:rsidRPr="000B3C14">
              <w:rPr>
                <w:i/>
                <w:sz w:val="16"/>
                <w:vertAlign w:val="superscript"/>
              </w:rPr>
              <w:t>b</w:t>
            </w:r>
          </w:p>
        </w:tc>
        <w:tc>
          <w:tcPr>
            <w:tcW w:w="504" w:type="dxa"/>
            <w:vAlign w:val="center"/>
          </w:tcPr>
          <w:p w14:paraId="1E68FFD1" w14:textId="77777777" w:rsidR="008F10A1" w:rsidRPr="00D711DD" w:rsidRDefault="008F10A1" w:rsidP="00230E14">
            <w:pPr>
              <w:jc w:val="right"/>
              <w:rPr>
                <w:rFonts w:ascii="Arial" w:hAnsi="Arial"/>
                <w:sz w:val="18"/>
              </w:rPr>
            </w:pPr>
            <w:r w:rsidRPr="00512F95">
              <w:rPr>
                <w:sz w:val="18"/>
              </w:rPr>
              <w:t>13</w:t>
            </w:r>
          </w:p>
        </w:tc>
        <w:tc>
          <w:tcPr>
            <w:tcW w:w="1049" w:type="dxa"/>
            <w:vAlign w:val="center"/>
          </w:tcPr>
          <w:p w14:paraId="3D2AAD33" w14:textId="77777777" w:rsidR="008F10A1" w:rsidRPr="00F6284E" w:rsidRDefault="008F10A1" w:rsidP="00230E14">
            <w:pPr>
              <w:jc w:val="right"/>
              <w:rPr>
                <w:rFonts w:ascii="Arial" w:hAnsi="Arial"/>
                <w:sz w:val="16"/>
              </w:rPr>
            </w:pPr>
            <w:r w:rsidRPr="000B3C14">
              <w:rPr>
                <w:sz w:val="16"/>
              </w:rPr>
              <w:t>7±2</w:t>
            </w:r>
            <w:r w:rsidRPr="000B3C14">
              <w:rPr>
                <w:i/>
                <w:sz w:val="16"/>
                <w:vertAlign w:val="superscript"/>
              </w:rPr>
              <w:t>b</w:t>
            </w:r>
          </w:p>
        </w:tc>
        <w:tc>
          <w:tcPr>
            <w:tcW w:w="462" w:type="dxa"/>
            <w:vAlign w:val="center"/>
          </w:tcPr>
          <w:p w14:paraId="294340D1" w14:textId="77777777" w:rsidR="008F10A1" w:rsidRPr="00D711DD" w:rsidRDefault="008F10A1" w:rsidP="00230E14">
            <w:pPr>
              <w:jc w:val="right"/>
              <w:rPr>
                <w:rFonts w:ascii="Arial" w:hAnsi="Arial"/>
                <w:sz w:val="18"/>
              </w:rPr>
            </w:pPr>
            <w:r w:rsidRPr="00512F95">
              <w:rPr>
                <w:sz w:val="18"/>
              </w:rPr>
              <w:t>15</w:t>
            </w:r>
          </w:p>
        </w:tc>
        <w:tc>
          <w:tcPr>
            <w:tcW w:w="1078" w:type="dxa"/>
            <w:vAlign w:val="center"/>
          </w:tcPr>
          <w:p w14:paraId="141A49C0" w14:textId="77777777" w:rsidR="008F10A1" w:rsidRPr="00F6284E" w:rsidRDefault="008F10A1" w:rsidP="00230E14">
            <w:pPr>
              <w:jc w:val="right"/>
              <w:rPr>
                <w:rFonts w:ascii="Arial" w:hAnsi="Arial"/>
                <w:sz w:val="16"/>
              </w:rPr>
            </w:pPr>
            <w:r w:rsidRPr="000B3C14">
              <w:rPr>
                <w:sz w:val="16"/>
              </w:rPr>
              <w:t>2±2</w:t>
            </w:r>
            <w:r w:rsidRPr="000B3C14">
              <w:rPr>
                <w:i/>
                <w:sz w:val="16"/>
                <w:vertAlign w:val="superscript"/>
              </w:rPr>
              <w:t>b</w:t>
            </w:r>
          </w:p>
        </w:tc>
        <w:tc>
          <w:tcPr>
            <w:tcW w:w="481" w:type="dxa"/>
            <w:vAlign w:val="center"/>
          </w:tcPr>
          <w:p w14:paraId="4F8C0A97" w14:textId="77777777" w:rsidR="008F10A1" w:rsidRPr="00D711DD" w:rsidRDefault="008F10A1" w:rsidP="00230E14">
            <w:pPr>
              <w:jc w:val="right"/>
              <w:rPr>
                <w:rFonts w:ascii="Arial" w:hAnsi="Arial"/>
                <w:sz w:val="18"/>
              </w:rPr>
            </w:pPr>
            <w:r w:rsidRPr="00512F95">
              <w:rPr>
                <w:sz w:val="18"/>
              </w:rPr>
              <w:t>15</w:t>
            </w:r>
          </w:p>
        </w:tc>
        <w:tc>
          <w:tcPr>
            <w:tcW w:w="1073" w:type="dxa"/>
            <w:vAlign w:val="center"/>
          </w:tcPr>
          <w:p w14:paraId="4A7F1367" w14:textId="77777777" w:rsidR="008F10A1" w:rsidRPr="00F6284E" w:rsidRDefault="008F10A1" w:rsidP="00230E14">
            <w:pPr>
              <w:jc w:val="right"/>
              <w:rPr>
                <w:rFonts w:ascii="Arial" w:hAnsi="Arial"/>
                <w:sz w:val="16"/>
              </w:rPr>
            </w:pPr>
            <w:r w:rsidRPr="000B3C14">
              <w:rPr>
                <w:sz w:val="16"/>
              </w:rPr>
              <w:t>0.6 ± 0.2</w:t>
            </w:r>
            <w:r w:rsidRPr="000B3C14">
              <w:rPr>
                <w:i/>
                <w:sz w:val="16"/>
                <w:vertAlign w:val="superscript"/>
              </w:rPr>
              <w:t>b</w:t>
            </w:r>
          </w:p>
        </w:tc>
      </w:tr>
      <w:tr w:rsidR="008F10A1" w:rsidRPr="008F10A1" w14:paraId="05DE47E4" w14:textId="77777777" w:rsidTr="00F6284E">
        <w:tc>
          <w:tcPr>
            <w:tcW w:w="1802" w:type="dxa"/>
          </w:tcPr>
          <w:p w14:paraId="24843431" w14:textId="5A38136C" w:rsidR="008F10A1" w:rsidRPr="00D711DD" w:rsidRDefault="008F10A1" w:rsidP="00A111E9">
            <w:pPr>
              <w:rPr>
                <w:rFonts w:ascii="Arial" w:hAnsi="Arial"/>
                <w:sz w:val="18"/>
              </w:rPr>
            </w:pPr>
            <w:r w:rsidRPr="00512F95">
              <w:rPr>
                <w:sz w:val="18"/>
              </w:rPr>
              <w:t>Control dam,</w:t>
            </w:r>
          </w:p>
          <w:p w14:paraId="7ED301EE" w14:textId="77777777" w:rsidR="008F10A1" w:rsidRPr="00D711DD" w:rsidRDefault="008F10A1" w:rsidP="00A111E9">
            <w:pPr>
              <w:rPr>
                <w:rFonts w:ascii="Arial" w:hAnsi="Arial"/>
                <w:sz w:val="18"/>
              </w:rPr>
            </w:pPr>
            <w:r w:rsidRPr="00512F95">
              <w:rPr>
                <w:sz w:val="18"/>
              </w:rPr>
              <w:t>3 mg pups (3U)</w:t>
            </w:r>
          </w:p>
        </w:tc>
        <w:tc>
          <w:tcPr>
            <w:tcW w:w="476" w:type="dxa"/>
            <w:vAlign w:val="center"/>
          </w:tcPr>
          <w:p w14:paraId="7FFE0842" w14:textId="77777777" w:rsidR="008F10A1" w:rsidRPr="00D711DD" w:rsidRDefault="008F10A1" w:rsidP="00230E14">
            <w:pPr>
              <w:jc w:val="right"/>
              <w:rPr>
                <w:rFonts w:ascii="Arial" w:hAnsi="Arial"/>
                <w:sz w:val="18"/>
              </w:rPr>
            </w:pPr>
            <w:r w:rsidRPr="00512F95">
              <w:rPr>
                <w:sz w:val="18"/>
              </w:rPr>
              <w:t>11</w:t>
            </w:r>
          </w:p>
        </w:tc>
        <w:tc>
          <w:tcPr>
            <w:tcW w:w="882" w:type="dxa"/>
            <w:vAlign w:val="center"/>
          </w:tcPr>
          <w:p w14:paraId="4F8FD578" w14:textId="344E09B3" w:rsidR="008F10A1" w:rsidRPr="000B3C14" w:rsidRDefault="008F10A1" w:rsidP="00230E14">
            <w:pPr>
              <w:jc w:val="right"/>
              <w:rPr>
                <w:rFonts w:ascii="Arial" w:hAnsi="Arial"/>
                <w:sz w:val="16"/>
              </w:rPr>
            </w:pPr>
            <w:r w:rsidRPr="000B3C14">
              <w:rPr>
                <w:sz w:val="16"/>
              </w:rPr>
              <w:t>10</w:t>
            </w:r>
            <w:r w:rsidR="00CC26CA">
              <w:rPr>
                <w:sz w:val="16"/>
              </w:rPr>
              <w:t> 047</w:t>
            </w:r>
            <w:r w:rsidR="00132C96" w:rsidRPr="00F768EC">
              <w:rPr>
                <w:rFonts w:ascii="Arial" w:hAnsi="Arial" w:cs="Arial"/>
                <w:sz w:val="16"/>
                <w:szCs w:val="18"/>
                <w:lang w:bidi="ar-SA"/>
              </w:rPr>
              <w:t xml:space="preserve"> </w:t>
            </w:r>
            <w:r w:rsidRPr="00D711DD">
              <w:rPr>
                <w:sz w:val="16"/>
              </w:rPr>
              <w:t>±1169</w:t>
            </w:r>
            <w:r w:rsidRPr="000B3C14">
              <w:rPr>
                <w:i/>
                <w:sz w:val="16"/>
                <w:vertAlign w:val="superscript"/>
              </w:rPr>
              <w:t>c</w:t>
            </w:r>
          </w:p>
        </w:tc>
        <w:tc>
          <w:tcPr>
            <w:tcW w:w="448" w:type="dxa"/>
            <w:vAlign w:val="center"/>
          </w:tcPr>
          <w:p w14:paraId="5BFD426B" w14:textId="77777777" w:rsidR="008F10A1" w:rsidRPr="00D711DD" w:rsidRDefault="008F10A1" w:rsidP="00230E14">
            <w:pPr>
              <w:jc w:val="right"/>
              <w:rPr>
                <w:rFonts w:ascii="Arial" w:hAnsi="Arial"/>
                <w:sz w:val="18"/>
              </w:rPr>
            </w:pPr>
            <w:r w:rsidRPr="00512F95">
              <w:rPr>
                <w:sz w:val="18"/>
              </w:rPr>
              <w:t>11</w:t>
            </w:r>
          </w:p>
        </w:tc>
        <w:tc>
          <w:tcPr>
            <w:tcW w:w="1148" w:type="dxa"/>
            <w:vAlign w:val="center"/>
          </w:tcPr>
          <w:p w14:paraId="1DE9FD4E" w14:textId="30D6EE59" w:rsidR="008F10A1" w:rsidRPr="000B3C14" w:rsidRDefault="008F10A1" w:rsidP="00230E14">
            <w:pPr>
              <w:jc w:val="right"/>
              <w:rPr>
                <w:rFonts w:ascii="Arial" w:hAnsi="Arial"/>
                <w:sz w:val="16"/>
              </w:rPr>
            </w:pPr>
            <w:r w:rsidRPr="000B3C14">
              <w:rPr>
                <w:sz w:val="16"/>
              </w:rPr>
              <w:t>9562</w:t>
            </w:r>
            <w:r w:rsidR="00166F8F" w:rsidRPr="00F768EC">
              <w:rPr>
                <w:rFonts w:ascii="Arial" w:hAnsi="Arial" w:cs="Arial"/>
                <w:sz w:val="16"/>
                <w:szCs w:val="18"/>
                <w:lang w:bidi="ar-SA"/>
              </w:rPr>
              <w:t xml:space="preserve"> </w:t>
            </w:r>
            <w:r w:rsidRPr="00D711DD">
              <w:rPr>
                <w:sz w:val="16"/>
              </w:rPr>
              <w:t>±1067</w:t>
            </w:r>
          </w:p>
        </w:tc>
        <w:tc>
          <w:tcPr>
            <w:tcW w:w="504" w:type="dxa"/>
            <w:vAlign w:val="center"/>
          </w:tcPr>
          <w:p w14:paraId="34A76B89" w14:textId="77777777" w:rsidR="008F10A1" w:rsidRPr="00D711DD" w:rsidRDefault="008F10A1" w:rsidP="00230E14">
            <w:pPr>
              <w:jc w:val="right"/>
              <w:rPr>
                <w:rFonts w:ascii="Arial" w:hAnsi="Arial"/>
                <w:sz w:val="18"/>
              </w:rPr>
            </w:pPr>
            <w:r w:rsidRPr="00512F95">
              <w:rPr>
                <w:sz w:val="18"/>
              </w:rPr>
              <w:t>11</w:t>
            </w:r>
          </w:p>
        </w:tc>
        <w:tc>
          <w:tcPr>
            <w:tcW w:w="1049" w:type="dxa"/>
            <w:vAlign w:val="center"/>
          </w:tcPr>
          <w:p w14:paraId="15D52437" w14:textId="77777777" w:rsidR="008F10A1" w:rsidRPr="000B3C14" w:rsidRDefault="008F10A1" w:rsidP="00230E14">
            <w:pPr>
              <w:jc w:val="right"/>
              <w:rPr>
                <w:rFonts w:ascii="Arial" w:hAnsi="Arial"/>
                <w:sz w:val="16"/>
              </w:rPr>
            </w:pPr>
            <w:r w:rsidRPr="000B3C14">
              <w:rPr>
                <w:sz w:val="16"/>
              </w:rPr>
              <w:t>8143±1347</w:t>
            </w:r>
          </w:p>
        </w:tc>
        <w:tc>
          <w:tcPr>
            <w:tcW w:w="462" w:type="dxa"/>
            <w:vAlign w:val="center"/>
          </w:tcPr>
          <w:p w14:paraId="2CDB035C" w14:textId="77777777" w:rsidR="008F10A1" w:rsidRPr="00D711DD" w:rsidRDefault="008F10A1" w:rsidP="00230E14">
            <w:pPr>
              <w:jc w:val="right"/>
              <w:rPr>
                <w:rFonts w:ascii="Arial" w:hAnsi="Arial"/>
                <w:sz w:val="18"/>
              </w:rPr>
            </w:pPr>
            <w:r w:rsidRPr="00512F95">
              <w:rPr>
                <w:sz w:val="18"/>
              </w:rPr>
              <w:t>18</w:t>
            </w:r>
          </w:p>
        </w:tc>
        <w:tc>
          <w:tcPr>
            <w:tcW w:w="1078" w:type="dxa"/>
            <w:vAlign w:val="center"/>
          </w:tcPr>
          <w:p w14:paraId="691CAECB" w14:textId="77777777" w:rsidR="008F10A1" w:rsidRPr="000B3C14" w:rsidRDefault="008F10A1" w:rsidP="00230E14">
            <w:pPr>
              <w:jc w:val="right"/>
              <w:rPr>
                <w:rFonts w:ascii="Arial" w:hAnsi="Arial"/>
                <w:sz w:val="16"/>
              </w:rPr>
            </w:pPr>
            <w:r w:rsidRPr="000B3C14">
              <w:rPr>
                <w:sz w:val="16"/>
              </w:rPr>
              <w:t>996±108</w:t>
            </w:r>
          </w:p>
        </w:tc>
        <w:tc>
          <w:tcPr>
            <w:tcW w:w="481" w:type="dxa"/>
            <w:vAlign w:val="center"/>
          </w:tcPr>
          <w:p w14:paraId="0C6AA1CD" w14:textId="77777777" w:rsidR="008F10A1" w:rsidRPr="00D711DD" w:rsidRDefault="008F10A1" w:rsidP="00230E14">
            <w:pPr>
              <w:jc w:val="right"/>
              <w:rPr>
                <w:rFonts w:ascii="Arial" w:hAnsi="Arial"/>
                <w:sz w:val="18"/>
              </w:rPr>
            </w:pPr>
            <w:r w:rsidRPr="00512F95">
              <w:rPr>
                <w:sz w:val="18"/>
              </w:rPr>
              <w:t>13</w:t>
            </w:r>
          </w:p>
        </w:tc>
        <w:tc>
          <w:tcPr>
            <w:tcW w:w="1073" w:type="dxa"/>
            <w:vAlign w:val="center"/>
          </w:tcPr>
          <w:p w14:paraId="71CDF935" w14:textId="77777777" w:rsidR="008F10A1" w:rsidRPr="000B3C14" w:rsidRDefault="008F10A1" w:rsidP="00230E14">
            <w:pPr>
              <w:jc w:val="right"/>
              <w:rPr>
                <w:rFonts w:ascii="Arial" w:hAnsi="Arial"/>
                <w:sz w:val="16"/>
              </w:rPr>
            </w:pPr>
            <w:r w:rsidRPr="000B3C14">
              <w:rPr>
                <w:sz w:val="16"/>
              </w:rPr>
              <w:t>292±34</w:t>
            </w:r>
          </w:p>
        </w:tc>
      </w:tr>
      <w:tr w:rsidR="008F10A1" w:rsidRPr="008F10A1" w14:paraId="2DA630CE" w14:textId="77777777" w:rsidTr="00F6284E">
        <w:tc>
          <w:tcPr>
            <w:tcW w:w="1802" w:type="dxa"/>
          </w:tcPr>
          <w:p w14:paraId="3B789D04" w14:textId="40828966" w:rsidR="008F10A1" w:rsidRPr="000B3C14" w:rsidRDefault="008F10A1" w:rsidP="00A111E9">
            <w:pPr>
              <w:rPr>
                <w:rFonts w:ascii="Arial" w:hAnsi="Arial"/>
                <w:sz w:val="18"/>
              </w:rPr>
            </w:pPr>
            <w:r w:rsidRPr="00D711DD">
              <w:rPr>
                <w:sz w:val="18"/>
              </w:rPr>
              <w:t>Control dam,</w:t>
            </w:r>
          </w:p>
          <w:p w14:paraId="1D2C7C38" w14:textId="77777777" w:rsidR="008F10A1" w:rsidRPr="00F6284E" w:rsidRDefault="008F10A1" w:rsidP="00A111E9">
            <w:pPr>
              <w:rPr>
                <w:rFonts w:ascii="Arial" w:hAnsi="Arial"/>
                <w:sz w:val="18"/>
              </w:rPr>
            </w:pPr>
            <w:r w:rsidRPr="000B3C14">
              <w:rPr>
                <w:sz w:val="18"/>
              </w:rPr>
              <w:t>5 mg pups (5U)</w:t>
            </w:r>
          </w:p>
        </w:tc>
        <w:tc>
          <w:tcPr>
            <w:tcW w:w="476" w:type="dxa"/>
            <w:vAlign w:val="center"/>
          </w:tcPr>
          <w:p w14:paraId="4EA63B0C" w14:textId="77777777" w:rsidR="008F10A1" w:rsidRPr="00D711DD" w:rsidRDefault="008F10A1" w:rsidP="00230E14">
            <w:pPr>
              <w:jc w:val="right"/>
              <w:rPr>
                <w:rFonts w:ascii="Arial" w:hAnsi="Arial"/>
                <w:sz w:val="18"/>
              </w:rPr>
            </w:pPr>
            <w:r w:rsidRPr="00512F95">
              <w:rPr>
                <w:sz w:val="18"/>
              </w:rPr>
              <w:t>13</w:t>
            </w:r>
          </w:p>
        </w:tc>
        <w:tc>
          <w:tcPr>
            <w:tcW w:w="882" w:type="dxa"/>
            <w:vAlign w:val="center"/>
          </w:tcPr>
          <w:p w14:paraId="5A3418DE" w14:textId="6ADDE951" w:rsidR="008F10A1" w:rsidRPr="000B3C14" w:rsidRDefault="008F10A1" w:rsidP="00230E14">
            <w:pPr>
              <w:jc w:val="right"/>
              <w:rPr>
                <w:rFonts w:ascii="Arial" w:hAnsi="Arial"/>
                <w:sz w:val="16"/>
              </w:rPr>
            </w:pPr>
            <w:r w:rsidRPr="000B3C14">
              <w:rPr>
                <w:sz w:val="16"/>
              </w:rPr>
              <w:t>13</w:t>
            </w:r>
            <w:r w:rsidR="00CC26CA">
              <w:rPr>
                <w:sz w:val="16"/>
              </w:rPr>
              <w:t> 797</w:t>
            </w:r>
            <w:r w:rsidR="00132C96" w:rsidRPr="00F768EC">
              <w:rPr>
                <w:rFonts w:ascii="Arial" w:hAnsi="Arial" w:cs="Arial"/>
                <w:sz w:val="16"/>
                <w:szCs w:val="18"/>
                <w:lang w:bidi="ar-SA"/>
              </w:rPr>
              <w:t xml:space="preserve"> </w:t>
            </w:r>
            <w:r w:rsidRPr="00D711DD">
              <w:rPr>
                <w:sz w:val="16"/>
              </w:rPr>
              <w:t>±1439</w:t>
            </w:r>
            <w:r w:rsidRPr="000B3C14">
              <w:rPr>
                <w:i/>
                <w:sz w:val="16"/>
                <w:vertAlign w:val="superscript"/>
              </w:rPr>
              <w:t>d</w:t>
            </w:r>
          </w:p>
        </w:tc>
        <w:tc>
          <w:tcPr>
            <w:tcW w:w="448" w:type="dxa"/>
            <w:vAlign w:val="center"/>
          </w:tcPr>
          <w:p w14:paraId="1BAAF0DD" w14:textId="77777777" w:rsidR="008F10A1" w:rsidRPr="00D711DD" w:rsidRDefault="008F10A1" w:rsidP="00230E14">
            <w:pPr>
              <w:jc w:val="right"/>
              <w:rPr>
                <w:rFonts w:ascii="Arial" w:hAnsi="Arial"/>
                <w:sz w:val="18"/>
              </w:rPr>
            </w:pPr>
            <w:r w:rsidRPr="00512F95">
              <w:rPr>
                <w:sz w:val="18"/>
              </w:rPr>
              <w:t>12</w:t>
            </w:r>
          </w:p>
        </w:tc>
        <w:tc>
          <w:tcPr>
            <w:tcW w:w="1148" w:type="dxa"/>
            <w:vAlign w:val="center"/>
          </w:tcPr>
          <w:p w14:paraId="07E71D90" w14:textId="5E4CAB68" w:rsidR="008F10A1" w:rsidRPr="000B3C14" w:rsidRDefault="008F10A1" w:rsidP="00230E14">
            <w:pPr>
              <w:jc w:val="right"/>
              <w:rPr>
                <w:rFonts w:ascii="Arial" w:hAnsi="Arial"/>
                <w:sz w:val="16"/>
              </w:rPr>
            </w:pPr>
            <w:r w:rsidRPr="000B3C14">
              <w:rPr>
                <w:sz w:val="16"/>
              </w:rPr>
              <w:t>11</w:t>
            </w:r>
            <w:r w:rsidR="00CC26CA">
              <w:rPr>
                <w:sz w:val="16"/>
              </w:rPr>
              <w:t> 548</w:t>
            </w:r>
            <w:r w:rsidR="00166F8F" w:rsidRPr="00F768EC">
              <w:rPr>
                <w:rFonts w:ascii="Arial" w:hAnsi="Arial" w:cs="Arial"/>
                <w:sz w:val="16"/>
                <w:szCs w:val="18"/>
                <w:lang w:bidi="ar-SA"/>
              </w:rPr>
              <w:t xml:space="preserve"> </w:t>
            </w:r>
            <w:r w:rsidRPr="00D711DD">
              <w:rPr>
                <w:sz w:val="16"/>
              </w:rPr>
              <w:t>±1398</w:t>
            </w:r>
            <w:r w:rsidRPr="000B3C14">
              <w:rPr>
                <w:i/>
                <w:sz w:val="16"/>
                <w:vertAlign w:val="superscript"/>
              </w:rPr>
              <w:t>e</w:t>
            </w:r>
          </w:p>
        </w:tc>
        <w:tc>
          <w:tcPr>
            <w:tcW w:w="504" w:type="dxa"/>
            <w:vAlign w:val="center"/>
          </w:tcPr>
          <w:p w14:paraId="4865D788" w14:textId="77777777" w:rsidR="008F10A1" w:rsidRPr="00D711DD" w:rsidRDefault="008F10A1" w:rsidP="00230E14">
            <w:pPr>
              <w:jc w:val="right"/>
              <w:rPr>
                <w:rFonts w:ascii="Arial" w:hAnsi="Arial"/>
                <w:sz w:val="18"/>
              </w:rPr>
            </w:pPr>
            <w:r w:rsidRPr="00512F95">
              <w:rPr>
                <w:sz w:val="18"/>
              </w:rPr>
              <w:t>13</w:t>
            </w:r>
          </w:p>
        </w:tc>
        <w:tc>
          <w:tcPr>
            <w:tcW w:w="1049" w:type="dxa"/>
            <w:vAlign w:val="center"/>
          </w:tcPr>
          <w:p w14:paraId="060A5B6B" w14:textId="77777777" w:rsidR="008F10A1" w:rsidRPr="000B3C14" w:rsidRDefault="008F10A1" w:rsidP="00230E14">
            <w:pPr>
              <w:jc w:val="right"/>
              <w:rPr>
                <w:rFonts w:ascii="Arial" w:hAnsi="Arial"/>
                <w:sz w:val="16"/>
              </w:rPr>
            </w:pPr>
            <w:r w:rsidRPr="000B3C14">
              <w:rPr>
                <w:sz w:val="16"/>
              </w:rPr>
              <w:t>8767±909</w:t>
            </w:r>
          </w:p>
        </w:tc>
        <w:tc>
          <w:tcPr>
            <w:tcW w:w="462" w:type="dxa"/>
            <w:vAlign w:val="center"/>
          </w:tcPr>
          <w:p w14:paraId="5661D7A2" w14:textId="77777777" w:rsidR="008F10A1" w:rsidRPr="00D711DD" w:rsidRDefault="008F10A1" w:rsidP="00230E14">
            <w:pPr>
              <w:jc w:val="right"/>
              <w:rPr>
                <w:rFonts w:ascii="Arial" w:hAnsi="Arial"/>
                <w:sz w:val="18"/>
              </w:rPr>
            </w:pPr>
            <w:r w:rsidRPr="00512F95">
              <w:rPr>
                <w:sz w:val="18"/>
              </w:rPr>
              <w:t>15</w:t>
            </w:r>
          </w:p>
        </w:tc>
        <w:tc>
          <w:tcPr>
            <w:tcW w:w="1078" w:type="dxa"/>
            <w:vAlign w:val="center"/>
          </w:tcPr>
          <w:p w14:paraId="029A51CC" w14:textId="77777777" w:rsidR="008F10A1" w:rsidRPr="000B3C14" w:rsidRDefault="008F10A1" w:rsidP="00230E14">
            <w:pPr>
              <w:jc w:val="right"/>
              <w:rPr>
                <w:rFonts w:ascii="Arial" w:hAnsi="Arial"/>
                <w:sz w:val="16"/>
              </w:rPr>
            </w:pPr>
            <w:r w:rsidRPr="000B3C14">
              <w:rPr>
                <w:sz w:val="16"/>
              </w:rPr>
              <w:t>1136±151</w:t>
            </w:r>
          </w:p>
        </w:tc>
        <w:tc>
          <w:tcPr>
            <w:tcW w:w="481" w:type="dxa"/>
            <w:vAlign w:val="center"/>
          </w:tcPr>
          <w:p w14:paraId="7540C0D2" w14:textId="77777777" w:rsidR="008F10A1" w:rsidRPr="00D711DD" w:rsidRDefault="008F10A1" w:rsidP="00230E14">
            <w:pPr>
              <w:jc w:val="right"/>
              <w:rPr>
                <w:rFonts w:ascii="Arial" w:hAnsi="Arial"/>
                <w:sz w:val="18"/>
              </w:rPr>
            </w:pPr>
            <w:r w:rsidRPr="00512F95">
              <w:rPr>
                <w:sz w:val="18"/>
              </w:rPr>
              <w:t>15</w:t>
            </w:r>
          </w:p>
        </w:tc>
        <w:tc>
          <w:tcPr>
            <w:tcW w:w="1073" w:type="dxa"/>
            <w:vAlign w:val="center"/>
          </w:tcPr>
          <w:p w14:paraId="50321D98" w14:textId="77777777" w:rsidR="008F10A1" w:rsidRPr="000B3C14" w:rsidRDefault="008F10A1" w:rsidP="00230E14">
            <w:pPr>
              <w:jc w:val="right"/>
              <w:rPr>
                <w:rFonts w:ascii="Arial" w:hAnsi="Arial"/>
                <w:sz w:val="16"/>
              </w:rPr>
            </w:pPr>
            <w:r w:rsidRPr="000B3C14">
              <w:rPr>
                <w:sz w:val="16"/>
              </w:rPr>
              <w:t>339±56</w:t>
            </w:r>
          </w:p>
        </w:tc>
      </w:tr>
      <w:tr w:rsidR="008F10A1" w:rsidRPr="008F10A1" w14:paraId="71DE878C" w14:textId="77777777" w:rsidTr="00F6284E">
        <w:tc>
          <w:tcPr>
            <w:tcW w:w="1802" w:type="dxa"/>
          </w:tcPr>
          <w:p w14:paraId="5BAB077B" w14:textId="3E588CAC" w:rsidR="008F10A1" w:rsidRPr="000B3C14" w:rsidRDefault="008F10A1" w:rsidP="00A111E9">
            <w:pPr>
              <w:rPr>
                <w:rFonts w:ascii="Arial" w:hAnsi="Arial"/>
                <w:sz w:val="18"/>
              </w:rPr>
            </w:pPr>
            <w:r w:rsidRPr="00D711DD">
              <w:rPr>
                <w:sz w:val="18"/>
              </w:rPr>
              <w:t>3 mg/kg dam,</w:t>
            </w:r>
          </w:p>
          <w:p w14:paraId="4B4ADFCF" w14:textId="77777777" w:rsidR="008F10A1" w:rsidRPr="00F6284E" w:rsidRDefault="008F10A1" w:rsidP="00A111E9">
            <w:pPr>
              <w:rPr>
                <w:rFonts w:ascii="Arial" w:hAnsi="Arial"/>
                <w:sz w:val="18"/>
              </w:rPr>
            </w:pPr>
            <w:r w:rsidRPr="000B3C14">
              <w:rPr>
                <w:sz w:val="18"/>
              </w:rPr>
              <w:t>control pups (3L)</w:t>
            </w:r>
          </w:p>
        </w:tc>
        <w:tc>
          <w:tcPr>
            <w:tcW w:w="476" w:type="dxa"/>
            <w:vAlign w:val="center"/>
          </w:tcPr>
          <w:p w14:paraId="1278F825" w14:textId="77777777" w:rsidR="008F10A1" w:rsidRPr="00D711DD" w:rsidRDefault="008F10A1" w:rsidP="00230E14">
            <w:pPr>
              <w:jc w:val="right"/>
              <w:rPr>
                <w:rFonts w:ascii="Arial" w:hAnsi="Arial"/>
                <w:sz w:val="18"/>
              </w:rPr>
            </w:pPr>
            <w:r w:rsidRPr="00512F95">
              <w:rPr>
                <w:sz w:val="18"/>
              </w:rPr>
              <w:t>11</w:t>
            </w:r>
          </w:p>
        </w:tc>
        <w:tc>
          <w:tcPr>
            <w:tcW w:w="882" w:type="dxa"/>
            <w:vAlign w:val="center"/>
          </w:tcPr>
          <w:p w14:paraId="45D46527" w14:textId="66197ECB" w:rsidR="008F10A1" w:rsidRPr="000B3C14" w:rsidRDefault="008F10A1" w:rsidP="00230E14">
            <w:pPr>
              <w:jc w:val="right"/>
              <w:rPr>
                <w:rFonts w:ascii="Arial" w:hAnsi="Arial"/>
                <w:sz w:val="16"/>
              </w:rPr>
            </w:pPr>
            <w:r w:rsidRPr="000B3C14">
              <w:rPr>
                <w:sz w:val="16"/>
              </w:rPr>
              <w:t>23</w:t>
            </w:r>
            <w:r w:rsidR="00CC26CA">
              <w:rPr>
                <w:sz w:val="16"/>
              </w:rPr>
              <w:t> 645</w:t>
            </w:r>
            <w:r w:rsidR="00132C96" w:rsidRPr="00F768EC">
              <w:rPr>
                <w:rFonts w:ascii="Arial" w:hAnsi="Arial" w:cs="Arial"/>
                <w:sz w:val="16"/>
                <w:szCs w:val="18"/>
                <w:lang w:bidi="ar-SA"/>
              </w:rPr>
              <w:t xml:space="preserve"> </w:t>
            </w:r>
            <w:r w:rsidRPr="00D711DD">
              <w:rPr>
                <w:sz w:val="16"/>
              </w:rPr>
              <w:t>±1979</w:t>
            </w:r>
          </w:p>
        </w:tc>
        <w:tc>
          <w:tcPr>
            <w:tcW w:w="448" w:type="dxa"/>
            <w:vAlign w:val="center"/>
          </w:tcPr>
          <w:p w14:paraId="00396E7A" w14:textId="77777777" w:rsidR="008F10A1" w:rsidRPr="00D711DD" w:rsidRDefault="008F10A1" w:rsidP="00230E14">
            <w:pPr>
              <w:jc w:val="right"/>
              <w:rPr>
                <w:rFonts w:ascii="Arial" w:hAnsi="Arial"/>
                <w:sz w:val="18"/>
              </w:rPr>
            </w:pPr>
            <w:r w:rsidRPr="00512F95">
              <w:rPr>
                <w:sz w:val="18"/>
              </w:rPr>
              <w:t>11</w:t>
            </w:r>
          </w:p>
        </w:tc>
        <w:tc>
          <w:tcPr>
            <w:tcW w:w="1148" w:type="dxa"/>
            <w:vAlign w:val="center"/>
          </w:tcPr>
          <w:p w14:paraId="364FE19D" w14:textId="7B22298E" w:rsidR="008F10A1" w:rsidRPr="000B3C14" w:rsidRDefault="008F10A1" w:rsidP="00230E14">
            <w:pPr>
              <w:jc w:val="right"/>
              <w:rPr>
                <w:rFonts w:ascii="Arial" w:hAnsi="Arial"/>
                <w:sz w:val="16"/>
              </w:rPr>
            </w:pPr>
            <w:r w:rsidRPr="000B3C14">
              <w:rPr>
                <w:sz w:val="16"/>
              </w:rPr>
              <w:t>8371</w:t>
            </w:r>
            <w:r w:rsidR="00166F8F" w:rsidRPr="00F768EC">
              <w:rPr>
                <w:rFonts w:ascii="Arial" w:hAnsi="Arial" w:cs="Arial"/>
                <w:sz w:val="16"/>
                <w:szCs w:val="18"/>
                <w:lang w:bidi="ar-SA"/>
              </w:rPr>
              <w:t xml:space="preserve"> </w:t>
            </w:r>
            <w:r w:rsidRPr="00D711DD">
              <w:rPr>
                <w:sz w:val="16"/>
              </w:rPr>
              <w:t>±530</w:t>
            </w:r>
          </w:p>
        </w:tc>
        <w:tc>
          <w:tcPr>
            <w:tcW w:w="504" w:type="dxa"/>
            <w:vAlign w:val="center"/>
          </w:tcPr>
          <w:p w14:paraId="318F0CB8" w14:textId="77777777" w:rsidR="008F10A1" w:rsidRPr="00D711DD" w:rsidRDefault="008F10A1" w:rsidP="00230E14">
            <w:pPr>
              <w:jc w:val="right"/>
              <w:rPr>
                <w:rFonts w:ascii="Arial" w:hAnsi="Arial"/>
                <w:sz w:val="18"/>
              </w:rPr>
            </w:pPr>
            <w:r w:rsidRPr="00512F95">
              <w:rPr>
                <w:sz w:val="18"/>
              </w:rPr>
              <w:t>11</w:t>
            </w:r>
          </w:p>
        </w:tc>
        <w:tc>
          <w:tcPr>
            <w:tcW w:w="1049" w:type="dxa"/>
            <w:vAlign w:val="center"/>
          </w:tcPr>
          <w:p w14:paraId="57E7B80C" w14:textId="77777777" w:rsidR="008F10A1" w:rsidRPr="000B3C14" w:rsidRDefault="008F10A1" w:rsidP="00230E14">
            <w:pPr>
              <w:jc w:val="right"/>
              <w:rPr>
                <w:rFonts w:ascii="Arial" w:hAnsi="Arial"/>
                <w:sz w:val="16"/>
              </w:rPr>
            </w:pPr>
            <w:r w:rsidRPr="000B3C14">
              <w:rPr>
                <w:sz w:val="16"/>
              </w:rPr>
              <w:t>9098±1243</w:t>
            </w:r>
          </w:p>
        </w:tc>
        <w:tc>
          <w:tcPr>
            <w:tcW w:w="462" w:type="dxa"/>
            <w:vAlign w:val="center"/>
          </w:tcPr>
          <w:p w14:paraId="6F8C8FF4" w14:textId="77777777" w:rsidR="008F10A1" w:rsidRPr="00D711DD" w:rsidRDefault="008F10A1" w:rsidP="00230E14">
            <w:pPr>
              <w:jc w:val="right"/>
              <w:rPr>
                <w:rFonts w:ascii="Arial" w:hAnsi="Arial"/>
                <w:sz w:val="18"/>
              </w:rPr>
            </w:pPr>
            <w:r w:rsidRPr="00512F95">
              <w:rPr>
                <w:sz w:val="18"/>
              </w:rPr>
              <w:t>14</w:t>
            </w:r>
          </w:p>
        </w:tc>
        <w:tc>
          <w:tcPr>
            <w:tcW w:w="1078" w:type="dxa"/>
            <w:vAlign w:val="center"/>
          </w:tcPr>
          <w:p w14:paraId="7E7B7D8C" w14:textId="77777777" w:rsidR="008F10A1" w:rsidRPr="000B3C14" w:rsidRDefault="008F10A1" w:rsidP="00230E14">
            <w:pPr>
              <w:jc w:val="right"/>
              <w:rPr>
                <w:rFonts w:ascii="Arial" w:hAnsi="Arial"/>
                <w:sz w:val="16"/>
              </w:rPr>
            </w:pPr>
            <w:r w:rsidRPr="000B3C14">
              <w:rPr>
                <w:sz w:val="16"/>
              </w:rPr>
              <w:t>1195±130</w:t>
            </w:r>
          </w:p>
        </w:tc>
        <w:tc>
          <w:tcPr>
            <w:tcW w:w="481" w:type="dxa"/>
            <w:vAlign w:val="center"/>
          </w:tcPr>
          <w:p w14:paraId="628C5214" w14:textId="77777777" w:rsidR="008F10A1" w:rsidRPr="00D711DD" w:rsidRDefault="008F10A1" w:rsidP="00230E14">
            <w:pPr>
              <w:jc w:val="right"/>
              <w:rPr>
                <w:rFonts w:ascii="Arial" w:hAnsi="Arial"/>
                <w:sz w:val="18"/>
              </w:rPr>
            </w:pPr>
            <w:r w:rsidRPr="00512F95">
              <w:rPr>
                <w:sz w:val="18"/>
              </w:rPr>
              <w:t>15</w:t>
            </w:r>
          </w:p>
        </w:tc>
        <w:tc>
          <w:tcPr>
            <w:tcW w:w="1073" w:type="dxa"/>
            <w:vAlign w:val="center"/>
          </w:tcPr>
          <w:p w14:paraId="3C35AA99" w14:textId="77777777" w:rsidR="008F10A1" w:rsidRPr="000B3C14" w:rsidRDefault="008F10A1" w:rsidP="00230E14">
            <w:pPr>
              <w:jc w:val="right"/>
              <w:rPr>
                <w:rFonts w:ascii="Arial" w:hAnsi="Arial"/>
                <w:sz w:val="16"/>
              </w:rPr>
            </w:pPr>
            <w:r w:rsidRPr="000B3C14">
              <w:rPr>
                <w:sz w:val="16"/>
              </w:rPr>
              <w:t>317±41</w:t>
            </w:r>
          </w:p>
        </w:tc>
      </w:tr>
      <w:tr w:rsidR="008F10A1" w:rsidRPr="008F10A1" w14:paraId="707D9942" w14:textId="77777777" w:rsidTr="00F6284E">
        <w:tc>
          <w:tcPr>
            <w:tcW w:w="1802" w:type="dxa"/>
          </w:tcPr>
          <w:p w14:paraId="0102E925" w14:textId="68A1176E" w:rsidR="008F10A1" w:rsidRPr="000B3C14" w:rsidRDefault="008F10A1" w:rsidP="00A111E9">
            <w:pPr>
              <w:rPr>
                <w:rFonts w:ascii="Arial" w:hAnsi="Arial"/>
                <w:sz w:val="18"/>
              </w:rPr>
            </w:pPr>
            <w:r w:rsidRPr="00D711DD">
              <w:rPr>
                <w:sz w:val="18"/>
              </w:rPr>
              <w:t>3 mg/kg dam,</w:t>
            </w:r>
          </w:p>
          <w:p w14:paraId="67B6D77A" w14:textId="77777777" w:rsidR="008F10A1" w:rsidRPr="00F6284E" w:rsidRDefault="008F10A1" w:rsidP="00A111E9">
            <w:pPr>
              <w:rPr>
                <w:rFonts w:ascii="Arial" w:hAnsi="Arial"/>
                <w:sz w:val="18"/>
              </w:rPr>
            </w:pPr>
            <w:r w:rsidRPr="000B3C14">
              <w:rPr>
                <w:sz w:val="18"/>
              </w:rPr>
              <w:t>3 mg pups (3U+L)</w:t>
            </w:r>
          </w:p>
        </w:tc>
        <w:tc>
          <w:tcPr>
            <w:tcW w:w="476" w:type="dxa"/>
            <w:vAlign w:val="center"/>
          </w:tcPr>
          <w:p w14:paraId="6C755583" w14:textId="77777777" w:rsidR="008F10A1" w:rsidRPr="00D711DD" w:rsidRDefault="008F10A1" w:rsidP="00230E14">
            <w:pPr>
              <w:jc w:val="right"/>
              <w:rPr>
                <w:rFonts w:ascii="Arial" w:hAnsi="Arial"/>
                <w:sz w:val="18"/>
              </w:rPr>
            </w:pPr>
            <w:r w:rsidRPr="00512F95">
              <w:rPr>
                <w:sz w:val="18"/>
              </w:rPr>
              <w:t>12</w:t>
            </w:r>
          </w:p>
        </w:tc>
        <w:tc>
          <w:tcPr>
            <w:tcW w:w="882" w:type="dxa"/>
            <w:vAlign w:val="center"/>
          </w:tcPr>
          <w:p w14:paraId="6C5E60FF" w14:textId="070CD811" w:rsidR="008F10A1" w:rsidRPr="000B3C14" w:rsidRDefault="008F10A1" w:rsidP="00230E14">
            <w:pPr>
              <w:jc w:val="right"/>
              <w:rPr>
                <w:rFonts w:ascii="Arial" w:hAnsi="Arial"/>
                <w:sz w:val="16"/>
              </w:rPr>
            </w:pPr>
            <w:r w:rsidRPr="000B3C14">
              <w:rPr>
                <w:sz w:val="16"/>
              </w:rPr>
              <w:t>29</w:t>
            </w:r>
            <w:r w:rsidR="00CC26CA">
              <w:rPr>
                <w:sz w:val="16"/>
              </w:rPr>
              <w:t> 470</w:t>
            </w:r>
            <w:r w:rsidR="00132C96" w:rsidRPr="00F768EC">
              <w:rPr>
                <w:rFonts w:ascii="Arial" w:hAnsi="Arial" w:cs="Arial"/>
                <w:sz w:val="16"/>
                <w:szCs w:val="18"/>
                <w:lang w:bidi="ar-SA"/>
              </w:rPr>
              <w:t xml:space="preserve"> </w:t>
            </w:r>
            <w:r w:rsidRPr="00D711DD">
              <w:rPr>
                <w:sz w:val="16"/>
              </w:rPr>
              <w:t>±2554</w:t>
            </w:r>
          </w:p>
        </w:tc>
        <w:tc>
          <w:tcPr>
            <w:tcW w:w="448" w:type="dxa"/>
            <w:vAlign w:val="center"/>
          </w:tcPr>
          <w:p w14:paraId="7BBC11BE" w14:textId="77777777" w:rsidR="008F10A1" w:rsidRPr="00D711DD" w:rsidRDefault="008F10A1" w:rsidP="00230E14">
            <w:pPr>
              <w:jc w:val="right"/>
              <w:rPr>
                <w:rFonts w:ascii="Arial" w:hAnsi="Arial"/>
                <w:sz w:val="18"/>
              </w:rPr>
            </w:pPr>
            <w:r w:rsidRPr="00512F95">
              <w:rPr>
                <w:sz w:val="18"/>
              </w:rPr>
              <w:t>12</w:t>
            </w:r>
          </w:p>
        </w:tc>
        <w:tc>
          <w:tcPr>
            <w:tcW w:w="1148" w:type="dxa"/>
            <w:vAlign w:val="center"/>
          </w:tcPr>
          <w:p w14:paraId="790190A5" w14:textId="12C9B661" w:rsidR="008F10A1" w:rsidRPr="000B3C14" w:rsidRDefault="008F10A1" w:rsidP="00230E14">
            <w:pPr>
              <w:jc w:val="right"/>
              <w:rPr>
                <w:rFonts w:ascii="Arial" w:hAnsi="Arial"/>
                <w:sz w:val="16"/>
              </w:rPr>
            </w:pPr>
            <w:r w:rsidRPr="000B3C14">
              <w:rPr>
                <w:sz w:val="16"/>
              </w:rPr>
              <w:t>18</w:t>
            </w:r>
            <w:r w:rsidR="00CC26CA">
              <w:rPr>
                <w:sz w:val="16"/>
              </w:rPr>
              <w:t> 074</w:t>
            </w:r>
            <w:r w:rsidR="00166F8F" w:rsidRPr="00F768EC">
              <w:rPr>
                <w:rFonts w:ascii="Arial" w:hAnsi="Arial" w:cs="Arial"/>
                <w:sz w:val="16"/>
                <w:szCs w:val="18"/>
                <w:lang w:bidi="ar-SA"/>
              </w:rPr>
              <w:t xml:space="preserve"> </w:t>
            </w:r>
            <w:r w:rsidRPr="00D711DD">
              <w:rPr>
                <w:sz w:val="16"/>
              </w:rPr>
              <w:t>±2614</w:t>
            </w:r>
          </w:p>
        </w:tc>
        <w:tc>
          <w:tcPr>
            <w:tcW w:w="504" w:type="dxa"/>
            <w:vAlign w:val="center"/>
          </w:tcPr>
          <w:p w14:paraId="4C16F610" w14:textId="77777777" w:rsidR="008F10A1" w:rsidRPr="00D711DD" w:rsidRDefault="008F10A1" w:rsidP="00230E14">
            <w:pPr>
              <w:jc w:val="right"/>
              <w:rPr>
                <w:rFonts w:ascii="Arial" w:hAnsi="Arial"/>
                <w:sz w:val="18"/>
              </w:rPr>
            </w:pPr>
            <w:r w:rsidRPr="00512F95">
              <w:rPr>
                <w:sz w:val="18"/>
              </w:rPr>
              <w:t>12</w:t>
            </w:r>
          </w:p>
        </w:tc>
        <w:tc>
          <w:tcPr>
            <w:tcW w:w="1049" w:type="dxa"/>
            <w:vAlign w:val="center"/>
          </w:tcPr>
          <w:p w14:paraId="27EAA1D9" w14:textId="5F667589" w:rsidR="008F10A1" w:rsidRPr="000B3C14" w:rsidRDefault="008F10A1" w:rsidP="00230E14">
            <w:pPr>
              <w:jc w:val="right"/>
              <w:rPr>
                <w:rFonts w:ascii="Arial" w:hAnsi="Arial"/>
                <w:sz w:val="16"/>
              </w:rPr>
            </w:pPr>
            <w:r w:rsidRPr="000B3C14">
              <w:rPr>
                <w:sz w:val="16"/>
              </w:rPr>
              <w:t>14</w:t>
            </w:r>
            <w:r w:rsidR="00CC26CA">
              <w:rPr>
                <w:sz w:val="16"/>
              </w:rPr>
              <w:t> 788</w:t>
            </w:r>
            <w:r w:rsidRPr="000B3C14">
              <w:rPr>
                <w:sz w:val="16"/>
              </w:rPr>
              <w:t>±1647</w:t>
            </w:r>
          </w:p>
        </w:tc>
        <w:tc>
          <w:tcPr>
            <w:tcW w:w="462" w:type="dxa"/>
            <w:vAlign w:val="center"/>
          </w:tcPr>
          <w:p w14:paraId="6F4FDA18" w14:textId="77777777" w:rsidR="008F10A1" w:rsidRPr="00D711DD" w:rsidRDefault="008F10A1" w:rsidP="00230E14">
            <w:pPr>
              <w:jc w:val="right"/>
              <w:rPr>
                <w:rFonts w:ascii="Arial" w:hAnsi="Arial"/>
                <w:sz w:val="18"/>
              </w:rPr>
            </w:pPr>
            <w:r w:rsidRPr="00512F95">
              <w:rPr>
                <w:sz w:val="18"/>
              </w:rPr>
              <w:t>16</w:t>
            </w:r>
          </w:p>
        </w:tc>
        <w:tc>
          <w:tcPr>
            <w:tcW w:w="1078" w:type="dxa"/>
            <w:vAlign w:val="center"/>
          </w:tcPr>
          <w:p w14:paraId="656EC9DF" w14:textId="77777777" w:rsidR="008F10A1" w:rsidRPr="00F6284E" w:rsidRDefault="008F10A1" w:rsidP="00230E14">
            <w:pPr>
              <w:jc w:val="right"/>
              <w:rPr>
                <w:rFonts w:ascii="Arial" w:hAnsi="Arial"/>
                <w:sz w:val="16"/>
              </w:rPr>
            </w:pPr>
            <w:r w:rsidRPr="000B3C14">
              <w:rPr>
                <w:sz w:val="16"/>
              </w:rPr>
              <w:t>2063±244</w:t>
            </w:r>
            <w:r w:rsidRPr="000B3C14">
              <w:rPr>
                <w:i/>
                <w:sz w:val="16"/>
                <w:vertAlign w:val="superscript"/>
              </w:rPr>
              <w:t>f</w:t>
            </w:r>
          </w:p>
        </w:tc>
        <w:tc>
          <w:tcPr>
            <w:tcW w:w="481" w:type="dxa"/>
            <w:vAlign w:val="center"/>
          </w:tcPr>
          <w:p w14:paraId="6643534A" w14:textId="77777777" w:rsidR="008F10A1" w:rsidRPr="00D711DD" w:rsidRDefault="008F10A1" w:rsidP="00230E14">
            <w:pPr>
              <w:jc w:val="right"/>
              <w:rPr>
                <w:rFonts w:ascii="Arial" w:hAnsi="Arial"/>
                <w:sz w:val="18"/>
              </w:rPr>
            </w:pPr>
            <w:r w:rsidRPr="00512F95">
              <w:rPr>
                <w:sz w:val="18"/>
              </w:rPr>
              <w:t>8</w:t>
            </w:r>
          </w:p>
        </w:tc>
        <w:tc>
          <w:tcPr>
            <w:tcW w:w="1073" w:type="dxa"/>
            <w:vAlign w:val="center"/>
          </w:tcPr>
          <w:p w14:paraId="3FDF3193" w14:textId="77777777" w:rsidR="008F10A1" w:rsidRPr="000B3C14" w:rsidRDefault="008F10A1" w:rsidP="00230E14">
            <w:pPr>
              <w:jc w:val="right"/>
              <w:rPr>
                <w:rFonts w:ascii="Arial" w:hAnsi="Arial"/>
                <w:sz w:val="16"/>
              </w:rPr>
            </w:pPr>
            <w:r w:rsidRPr="000B3C14">
              <w:rPr>
                <w:sz w:val="16"/>
              </w:rPr>
              <w:t>362±75</w:t>
            </w:r>
          </w:p>
        </w:tc>
      </w:tr>
      <w:tr w:rsidR="008F10A1" w:rsidRPr="008F10A1" w14:paraId="32B1C022" w14:textId="77777777" w:rsidTr="00F6284E">
        <w:tc>
          <w:tcPr>
            <w:tcW w:w="1802" w:type="dxa"/>
          </w:tcPr>
          <w:p w14:paraId="1D6D7669" w14:textId="77777777" w:rsidR="008F10A1" w:rsidRPr="000B3C14" w:rsidRDefault="008F10A1" w:rsidP="00A111E9">
            <w:pPr>
              <w:rPr>
                <w:rFonts w:ascii="Arial" w:hAnsi="Arial"/>
                <w:sz w:val="18"/>
              </w:rPr>
            </w:pPr>
            <w:r w:rsidRPr="00D711DD">
              <w:rPr>
                <w:sz w:val="18"/>
              </w:rPr>
              <w:t xml:space="preserve">5 mg/kg </w:t>
            </w:r>
            <w:r w:rsidRPr="000B3C14">
              <w:rPr>
                <w:sz w:val="18"/>
              </w:rPr>
              <w:t>dam, control pups(5L)</w:t>
            </w:r>
          </w:p>
        </w:tc>
        <w:tc>
          <w:tcPr>
            <w:tcW w:w="476" w:type="dxa"/>
            <w:vAlign w:val="center"/>
          </w:tcPr>
          <w:p w14:paraId="0B64502C" w14:textId="77777777" w:rsidR="008F10A1" w:rsidRPr="00D711DD" w:rsidRDefault="008F10A1" w:rsidP="00230E14">
            <w:pPr>
              <w:jc w:val="right"/>
              <w:rPr>
                <w:rFonts w:ascii="Arial" w:hAnsi="Arial"/>
                <w:sz w:val="18"/>
              </w:rPr>
            </w:pPr>
            <w:r w:rsidRPr="00512F95">
              <w:rPr>
                <w:sz w:val="18"/>
              </w:rPr>
              <w:t>13</w:t>
            </w:r>
          </w:p>
        </w:tc>
        <w:tc>
          <w:tcPr>
            <w:tcW w:w="882" w:type="dxa"/>
            <w:vAlign w:val="center"/>
          </w:tcPr>
          <w:p w14:paraId="22645A0A" w14:textId="78B801DA" w:rsidR="008F10A1" w:rsidRPr="000B3C14" w:rsidRDefault="008F10A1" w:rsidP="00230E14">
            <w:pPr>
              <w:jc w:val="right"/>
              <w:rPr>
                <w:rFonts w:ascii="Arial" w:hAnsi="Arial"/>
                <w:sz w:val="16"/>
              </w:rPr>
            </w:pPr>
            <w:r w:rsidRPr="000B3C14">
              <w:rPr>
                <w:sz w:val="16"/>
              </w:rPr>
              <w:t>35</w:t>
            </w:r>
            <w:r w:rsidR="00CC26CA">
              <w:rPr>
                <w:sz w:val="16"/>
              </w:rPr>
              <w:t> 231</w:t>
            </w:r>
            <w:r w:rsidR="00132C96" w:rsidRPr="00F768EC">
              <w:rPr>
                <w:rFonts w:ascii="Arial" w:hAnsi="Arial" w:cs="Arial"/>
                <w:sz w:val="16"/>
                <w:szCs w:val="18"/>
                <w:lang w:bidi="ar-SA"/>
              </w:rPr>
              <w:t xml:space="preserve"> </w:t>
            </w:r>
            <w:r w:rsidRPr="00D711DD">
              <w:rPr>
                <w:sz w:val="16"/>
              </w:rPr>
              <w:t>±3756</w:t>
            </w:r>
          </w:p>
        </w:tc>
        <w:tc>
          <w:tcPr>
            <w:tcW w:w="448" w:type="dxa"/>
            <w:vAlign w:val="center"/>
          </w:tcPr>
          <w:p w14:paraId="7EDEF1FE" w14:textId="77777777" w:rsidR="008F10A1" w:rsidRPr="00D711DD" w:rsidRDefault="008F10A1" w:rsidP="00230E14">
            <w:pPr>
              <w:jc w:val="right"/>
              <w:rPr>
                <w:rFonts w:ascii="Arial" w:hAnsi="Arial"/>
                <w:sz w:val="18"/>
              </w:rPr>
            </w:pPr>
            <w:r w:rsidRPr="00512F95">
              <w:rPr>
                <w:sz w:val="18"/>
              </w:rPr>
              <w:t>13</w:t>
            </w:r>
          </w:p>
        </w:tc>
        <w:tc>
          <w:tcPr>
            <w:tcW w:w="1148" w:type="dxa"/>
            <w:vAlign w:val="center"/>
          </w:tcPr>
          <w:p w14:paraId="49F69E99" w14:textId="462BF66A" w:rsidR="008F10A1" w:rsidRPr="000B3C14" w:rsidRDefault="008F10A1" w:rsidP="00230E14">
            <w:pPr>
              <w:jc w:val="right"/>
              <w:rPr>
                <w:rFonts w:ascii="Arial" w:hAnsi="Arial"/>
                <w:sz w:val="16"/>
              </w:rPr>
            </w:pPr>
            <w:r w:rsidRPr="000B3C14">
              <w:rPr>
                <w:sz w:val="16"/>
              </w:rPr>
              <w:t>10</w:t>
            </w:r>
            <w:r w:rsidR="00CC26CA">
              <w:rPr>
                <w:sz w:val="16"/>
              </w:rPr>
              <w:t> 388</w:t>
            </w:r>
            <w:r w:rsidR="00166F8F" w:rsidRPr="00F768EC">
              <w:rPr>
                <w:rFonts w:ascii="Arial" w:hAnsi="Arial" w:cs="Arial"/>
                <w:sz w:val="16"/>
                <w:szCs w:val="18"/>
                <w:lang w:bidi="ar-SA"/>
              </w:rPr>
              <w:t xml:space="preserve"> </w:t>
            </w:r>
            <w:r w:rsidRPr="00D711DD">
              <w:rPr>
                <w:sz w:val="16"/>
              </w:rPr>
              <w:t>±1306</w:t>
            </w:r>
          </w:p>
        </w:tc>
        <w:tc>
          <w:tcPr>
            <w:tcW w:w="504" w:type="dxa"/>
            <w:vAlign w:val="center"/>
          </w:tcPr>
          <w:p w14:paraId="152F410E" w14:textId="77777777" w:rsidR="008F10A1" w:rsidRPr="00D711DD" w:rsidRDefault="008F10A1" w:rsidP="00230E14">
            <w:pPr>
              <w:jc w:val="right"/>
              <w:rPr>
                <w:rFonts w:ascii="Arial" w:hAnsi="Arial"/>
                <w:sz w:val="18"/>
              </w:rPr>
            </w:pPr>
            <w:r w:rsidRPr="00512F95">
              <w:rPr>
                <w:sz w:val="18"/>
              </w:rPr>
              <w:t>13</w:t>
            </w:r>
          </w:p>
        </w:tc>
        <w:tc>
          <w:tcPr>
            <w:tcW w:w="1049" w:type="dxa"/>
            <w:vAlign w:val="center"/>
          </w:tcPr>
          <w:p w14:paraId="50DF7806" w14:textId="1F9921D8" w:rsidR="008F10A1" w:rsidRPr="000B3C14" w:rsidRDefault="008F10A1" w:rsidP="00230E14">
            <w:pPr>
              <w:jc w:val="right"/>
              <w:rPr>
                <w:rFonts w:ascii="Arial" w:hAnsi="Arial"/>
                <w:sz w:val="16"/>
              </w:rPr>
            </w:pPr>
            <w:r w:rsidRPr="000B3C14">
              <w:rPr>
                <w:sz w:val="16"/>
              </w:rPr>
              <w:t>12</w:t>
            </w:r>
            <w:r w:rsidR="00CC26CA">
              <w:rPr>
                <w:sz w:val="16"/>
              </w:rPr>
              <w:t> 430</w:t>
            </w:r>
            <w:r w:rsidRPr="000B3C14">
              <w:rPr>
                <w:sz w:val="16"/>
              </w:rPr>
              <w:t>±1494</w:t>
            </w:r>
          </w:p>
        </w:tc>
        <w:tc>
          <w:tcPr>
            <w:tcW w:w="462" w:type="dxa"/>
            <w:vAlign w:val="center"/>
          </w:tcPr>
          <w:p w14:paraId="280C5207" w14:textId="77777777" w:rsidR="008F10A1" w:rsidRPr="00D711DD" w:rsidRDefault="008F10A1" w:rsidP="00230E14">
            <w:pPr>
              <w:jc w:val="right"/>
              <w:rPr>
                <w:rFonts w:ascii="Arial" w:hAnsi="Arial"/>
                <w:sz w:val="18"/>
              </w:rPr>
            </w:pPr>
            <w:r w:rsidRPr="00512F95">
              <w:rPr>
                <w:sz w:val="18"/>
              </w:rPr>
              <w:t>15</w:t>
            </w:r>
          </w:p>
        </w:tc>
        <w:tc>
          <w:tcPr>
            <w:tcW w:w="1078" w:type="dxa"/>
            <w:vAlign w:val="center"/>
          </w:tcPr>
          <w:p w14:paraId="7BB393D5" w14:textId="77777777" w:rsidR="008F10A1" w:rsidRPr="00F6284E" w:rsidRDefault="008F10A1" w:rsidP="00230E14">
            <w:pPr>
              <w:jc w:val="right"/>
              <w:rPr>
                <w:rFonts w:ascii="Arial" w:hAnsi="Arial"/>
                <w:i/>
                <w:sz w:val="16"/>
                <w:vertAlign w:val="superscript"/>
              </w:rPr>
            </w:pPr>
            <w:r w:rsidRPr="000B3C14">
              <w:rPr>
                <w:sz w:val="16"/>
              </w:rPr>
              <w:t>1494±141</w:t>
            </w:r>
            <w:r w:rsidRPr="000B3C14">
              <w:rPr>
                <w:i/>
                <w:sz w:val="16"/>
                <w:vertAlign w:val="superscript"/>
              </w:rPr>
              <w:t>g</w:t>
            </w:r>
          </w:p>
        </w:tc>
        <w:tc>
          <w:tcPr>
            <w:tcW w:w="481" w:type="dxa"/>
            <w:vAlign w:val="center"/>
          </w:tcPr>
          <w:p w14:paraId="333B428C" w14:textId="77777777" w:rsidR="008F10A1" w:rsidRPr="00D711DD" w:rsidRDefault="008F10A1" w:rsidP="00230E14">
            <w:pPr>
              <w:jc w:val="right"/>
              <w:rPr>
                <w:rFonts w:ascii="Arial" w:hAnsi="Arial"/>
                <w:sz w:val="18"/>
              </w:rPr>
            </w:pPr>
            <w:r w:rsidRPr="00512F95">
              <w:rPr>
                <w:sz w:val="18"/>
              </w:rPr>
              <w:t>15</w:t>
            </w:r>
          </w:p>
        </w:tc>
        <w:tc>
          <w:tcPr>
            <w:tcW w:w="1073" w:type="dxa"/>
            <w:vAlign w:val="center"/>
          </w:tcPr>
          <w:p w14:paraId="0374CB8E" w14:textId="77777777" w:rsidR="008F10A1" w:rsidRPr="000B3C14" w:rsidRDefault="008F10A1" w:rsidP="00230E14">
            <w:pPr>
              <w:jc w:val="right"/>
              <w:rPr>
                <w:rFonts w:ascii="Arial" w:hAnsi="Arial"/>
                <w:sz w:val="16"/>
              </w:rPr>
            </w:pPr>
            <w:r w:rsidRPr="000B3C14">
              <w:rPr>
                <w:sz w:val="16"/>
              </w:rPr>
              <w:t>324±58</w:t>
            </w:r>
          </w:p>
        </w:tc>
      </w:tr>
      <w:tr w:rsidR="008F10A1" w:rsidRPr="008F10A1" w14:paraId="3CA9B9F2" w14:textId="77777777" w:rsidTr="00F6284E">
        <w:tc>
          <w:tcPr>
            <w:tcW w:w="1802" w:type="dxa"/>
          </w:tcPr>
          <w:p w14:paraId="68249F02" w14:textId="50B40D12" w:rsidR="008F10A1" w:rsidRPr="000B3C14" w:rsidRDefault="008F10A1" w:rsidP="00A111E9">
            <w:pPr>
              <w:rPr>
                <w:rFonts w:ascii="Arial" w:hAnsi="Arial"/>
                <w:sz w:val="18"/>
              </w:rPr>
            </w:pPr>
            <w:r w:rsidRPr="00D711DD">
              <w:rPr>
                <w:sz w:val="18"/>
              </w:rPr>
              <w:t>5 mg/kg dam,</w:t>
            </w:r>
          </w:p>
          <w:p w14:paraId="5FF4F494" w14:textId="77777777" w:rsidR="008F10A1" w:rsidRPr="00F6284E" w:rsidRDefault="008F10A1" w:rsidP="00A111E9">
            <w:pPr>
              <w:rPr>
                <w:rFonts w:ascii="Arial" w:hAnsi="Arial"/>
                <w:sz w:val="18"/>
              </w:rPr>
            </w:pPr>
            <w:r w:rsidRPr="000B3C14">
              <w:rPr>
                <w:sz w:val="18"/>
              </w:rPr>
              <w:t>5 mg pups(5U+L)</w:t>
            </w:r>
          </w:p>
        </w:tc>
        <w:tc>
          <w:tcPr>
            <w:tcW w:w="476" w:type="dxa"/>
            <w:vAlign w:val="center"/>
          </w:tcPr>
          <w:p w14:paraId="5357BE56" w14:textId="77777777" w:rsidR="008F10A1" w:rsidRPr="00D711DD" w:rsidRDefault="008F10A1" w:rsidP="00230E14">
            <w:pPr>
              <w:jc w:val="right"/>
              <w:rPr>
                <w:rFonts w:ascii="Arial" w:hAnsi="Arial"/>
                <w:sz w:val="18"/>
              </w:rPr>
            </w:pPr>
            <w:r w:rsidRPr="00512F95">
              <w:rPr>
                <w:sz w:val="18"/>
              </w:rPr>
              <w:t>12</w:t>
            </w:r>
          </w:p>
        </w:tc>
        <w:tc>
          <w:tcPr>
            <w:tcW w:w="882" w:type="dxa"/>
            <w:vAlign w:val="center"/>
          </w:tcPr>
          <w:p w14:paraId="682DCAA6" w14:textId="26664ED2" w:rsidR="008F10A1" w:rsidRPr="000B3C14" w:rsidRDefault="008F10A1" w:rsidP="00230E14">
            <w:pPr>
              <w:jc w:val="right"/>
              <w:rPr>
                <w:rFonts w:ascii="Arial" w:hAnsi="Arial"/>
                <w:sz w:val="16"/>
              </w:rPr>
            </w:pPr>
            <w:r w:rsidRPr="000B3C14">
              <w:rPr>
                <w:sz w:val="16"/>
              </w:rPr>
              <w:t>36</w:t>
            </w:r>
            <w:r w:rsidR="00CC26CA">
              <w:rPr>
                <w:sz w:val="16"/>
              </w:rPr>
              <w:t> 900</w:t>
            </w:r>
            <w:r w:rsidR="00132C96" w:rsidRPr="00F768EC">
              <w:rPr>
                <w:rFonts w:ascii="Arial" w:hAnsi="Arial" w:cs="Arial"/>
                <w:sz w:val="16"/>
                <w:szCs w:val="18"/>
                <w:lang w:bidi="ar-SA"/>
              </w:rPr>
              <w:t xml:space="preserve"> </w:t>
            </w:r>
            <w:r w:rsidRPr="00D711DD">
              <w:rPr>
                <w:sz w:val="16"/>
              </w:rPr>
              <w:t>±4749</w:t>
            </w:r>
          </w:p>
        </w:tc>
        <w:tc>
          <w:tcPr>
            <w:tcW w:w="448" w:type="dxa"/>
            <w:vAlign w:val="center"/>
          </w:tcPr>
          <w:p w14:paraId="3FC4213D" w14:textId="77777777" w:rsidR="008F10A1" w:rsidRPr="00D711DD" w:rsidRDefault="008F10A1" w:rsidP="00230E14">
            <w:pPr>
              <w:jc w:val="right"/>
              <w:rPr>
                <w:rFonts w:ascii="Arial" w:hAnsi="Arial"/>
                <w:sz w:val="18"/>
              </w:rPr>
            </w:pPr>
            <w:r w:rsidRPr="00512F95">
              <w:rPr>
                <w:sz w:val="18"/>
              </w:rPr>
              <w:t>12</w:t>
            </w:r>
          </w:p>
        </w:tc>
        <w:tc>
          <w:tcPr>
            <w:tcW w:w="1148" w:type="dxa"/>
            <w:vAlign w:val="center"/>
          </w:tcPr>
          <w:p w14:paraId="623C0051" w14:textId="3DEA9B9E" w:rsidR="008F10A1" w:rsidRPr="000B3C14" w:rsidRDefault="008F10A1" w:rsidP="00230E14">
            <w:pPr>
              <w:jc w:val="right"/>
              <w:rPr>
                <w:rFonts w:ascii="Arial" w:hAnsi="Arial"/>
                <w:i/>
                <w:sz w:val="16"/>
                <w:vertAlign w:val="superscript"/>
              </w:rPr>
            </w:pPr>
            <w:r w:rsidRPr="000B3C14">
              <w:rPr>
                <w:sz w:val="16"/>
              </w:rPr>
              <w:t>24</w:t>
            </w:r>
            <w:r w:rsidR="00CC26CA">
              <w:rPr>
                <w:sz w:val="16"/>
              </w:rPr>
              <w:t> 948</w:t>
            </w:r>
            <w:r w:rsidR="00166F8F" w:rsidRPr="00F768EC">
              <w:rPr>
                <w:rFonts w:ascii="Arial" w:hAnsi="Arial" w:cs="Arial"/>
                <w:sz w:val="16"/>
                <w:szCs w:val="18"/>
                <w:lang w:bidi="ar-SA"/>
              </w:rPr>
              <w:t xml:space="preserve"> </w:t>
            </w:r>
            <w:r w:rsidRPr="00D711DD">
              <w:rPr>
                <w:sz w:val="16"/>
              </w:rPr>
              <w:t>±4291</w:t>
            </w:r>
            <w:r w:rsidRPr="000B3C14">
              <w:rPr>
                <w:i/>
                <w:sz w:val="16"/>
                <w:vertAlign w:val="superscript"/>
              </w:rPr>
              <w:t>h</w:t>
            </w:r>
          </w:p>
        </w:tc>
        <w:tc>
          <w:tcPr>
            <w:tcW w:w="504" w:type="dxa"/>
            <w:vAlign w:val="center"/>
          </w:tcPr>
          <w:p w14:paraId="32E5177E" w14:textId="77777777" w:rsidR="008F10A1" w:rsidRPr="00D711DD" w:rsidRDefault="008F10A1" w:rsidP="00230E14">
            <w:pPr>
              <w:jc w:val="right"/>
              <w:rPr>
                <w:rFonts w:ascii="Arial" w:hAnsi="Arial"/>
                <w:sz w:val="18"/>
              </w:rPr>
            </w:pPr>
            <w:r w:rsidRPr="00512F95">
              <w:rPr>
                <w:sz w:val="18"/>
              </w:rPr>
              <w:t>11</w:t>
            </w:r>
          </w:p>
        </w:tc>
        <w:tc>
          <w:tcPr>
            <w:tcW w:w="1049" w:type="dxa"/>
            <w:vAlign w:val="center"/>
          </w:tcPr>
          <w:p w14:paraId="19C2FE1D" w14:textId="6C60C141" w:rsidR="008F10A1" w:rsidRPr="00F6284E" w:rsidRDefault="008F10A1" w:rsidP="00230E14">
            <w:pPr>
              <w:jc w:val="right"/>
              <w:rPr>
                <w:rFonts w:ascii="Arial" w:hAnsi="Arial"/>
                <w:i/>
                <w:sz w:val="16"/>
                <w:vertAlign w:val="superscript"/>
              </w:rPr>
            </w:pPr>
            <w:r w:rsidRPr="000B3C14">
              <w:rPr>
                <w:sz w:val="16"/>
              </w:rPr>
              <w:t>22</w:t>
            </w:r>
            <w:r w:rsidR="00CC26CA">
              <w:rPr>
                <w:sz w:val="16"/>
              </w:rPr>
              <w:t>114</w:t>
            </w:r>
            <w:r w:rsidRPr="000B3C14">
              <w:rPr>
                <w:sz w:val="16"/>
              </w:rPr>
              <w:t>±3677</w:t>
            </w:r>
            <w:r w:rsidRPr="000B3C14">
              <w:rPr>
                <w:i/>
                <w:sz w:val="16"/>
                <w:vertAlign w:val="superscript"/>
              </w:rPr>
              <w:t>i</w:t>
            </w:r>
          </w:p>
        </w:tc>
        <w:tc>
          <w:tcPr>
            <w:tcW w:w="462" w:type="dxa"/>
            <w:vAlign w:val="center"/>
          </w:tcPr>
          <w:p w14:paraId="689B60FF" w14:textId="77777777" w:rsidR="008F10A1" w:rsidRPr="00D711DD" w:rsidRDefault="008F10A1" w:rsidP="00230E14">
            <w:pPr>
              <w:jc w:val="right"/>
              <w:rPr>
                <w:rFonts w:ascii="Arial" w:hAnsi="Arial"/>
                <w:sz w:val="18"/>
              </w:rPr>
            </w:pPr>
            <w:r w:rsidRPr="00512F95">
              <w:rPr>
                <w:sz w:val="18"/>
              </w:rPr>
              <w:t>9</w:t>
            </w:r>
          </w:p>
        </w:tc>
        <w:tc>
          <w:tcPr>
            <w:tcW w:w="1078" w:type="dxa"/>
            <w:vAlign w:val="center"/>
          </w:tcPr>
          <w:p w14:paraId="2BE4F4E6" w14:textId="77777777" w:rsidR="008F10A1" w:rsidRPr="00F6284E" w:rsidRDefault="008F10A1" w:rsidP="00230E14">
            <w:pPr>
              <w:jc w:val="right"/>
              <w:rPr>
                <w:rFonts w:ascii="Arial" w:hAnsi="Arial"/>
                <w:i/>
                <w:sz w:val="16"/>
                <w:vertAlign w:val="superscript"/>
              </w:rPr>
            </w:pPr>
            <w:r w:rsidRPr="000B3C14">
              <w:rPr>
                <w:sz w:val="16"/>
              </w:rPr>
              <w:t>4031±377</w:t>
            </w:r>
            <w:r w:rsidRPr="000B3C14">
              <w:rPr>
                <w:i/>
                <w:sz w:val="16"/>
                <w:vertAlign w:val="superscript"/>
              </w:rPr>
              <w:t>j</w:t>
            </w:r>
          </w:p>
        </w:tc>
        <w:tc>
          <w:tcPr>
            <w:tcW w:w="481" w:type="dxa"/>
            <w:vAlign w:val="center"/>
          </w:tcPr>
          <w:p w14:paraId="0993E25E" w14:textId="77777777" w:rsidR="008F10A1" w:rsidRPr="00D711DD" w:rsidRDefault="008F10A1" w:rsidP="00230E14">
            <w:pPr>
              <w:jc w:val="right"/>
              <w:rPr>
                <w:rFonts w:ascii="Arial" w:hAnsi="Arial"/>
                <w:sz w:val="18"/>
              </w:rPr>
            </w:pPr>
            <w:r w:rsidRPr="00512F95">
              <w:rPr>
                <w:sz w:val="18"/>
              </w:rPr>
              <w:t>4</w:t>
            </w:r>
          </w:p>
        </w:tc>
        <w:tc>
          <w:tcPr>
            <w:tcW w:w="1073" w:type="dxa"/>
            <w:vAlign w:val="center"/>
          </w:tcPr>
          <w:p w14:paraId="095FD637" w14:textId="77777777" w:rsidR="008F10A1" w:rsidRPr="00F6284E" w:rsidRDefault="008F10A1" w:rsidP="00230E14">
            <w:pPr>
              <w:jc w:val="right"/>
              <w:rPr>
                <w:rFonts w:ascii="Arial" w:hAnsi="Arial"/>
                <w:i/>
                <w:sz w:val="16"/>
                <w:vertAlign w:val="superscript"/>
              </w:rPr>
            </w:pPr>
            <w:r w:rsidRPr="000B3C14">
              <w:rPr>
                <w:sz w:val="16"/>
              </w:rPr>
              <w:t>971±123</w:t>
            </w:r>
            <w:r w:rsidRPr="000B3C14">
              <w:rPr>
                <w:i/>
                <w:sz w:val="16"/>
                <w:vertAlign w:val="superscript"/>
              </w:rPr>
              <w:t>k</w:t>
            </w:r>
          </w:p>
        </w:tc>
      </w:tr>
    </w:tbl>
    <w:p w14:paraId="4F55119C" w14:textId="15A0C732" w:rsidR="00132C96" w:rsidRDefault="00132C96" w:rsidP="00A111E9">
      <w:pPr>
        <w:spacing w:before="60"/>
        <w:rPr>
          <w:sz w:val="15"/>
        </w:rPr>
      </w:pPr>
      <w:r w:rsidRPr="00D711DD">
        <w:rPr>
          <w:sz w:val="15"/>
        </w:rPr>
        <w:t xml:space="preserve">PFOA concentrations are </w:t>
      </w:r>
      <w:r w:rsidR="00104C8E" w:rsidRPr="00D711DD">
        <w:rPr>
          <w:sz w:val="15"/>
        </w:rPr>
        <w:t>mean</w:t>
      </w:r>
      <w:r w:rsidR="00104C8E">
        <w:rPr>
          <w:sz w:val="15"/>
        </w:rPr>
        <w:t xml:space="preserve"> </w:t>
      </w:r>
      <w:r w:rsidR="00104C8E" w:rsidRPr="00D711DD">
        <w:rPr>
          <w:sz w:val="15"/>
        </w:rPr>
        <w:t>±</w:t>
      </w:r>
      <w:r w:rsidR="00104C8E">
        <w:rPr>
          <w:sz w:val="15"/>
        </w:rPr>
        <w:t xml:space="preserve"> </w:t>
      </w:r>
      <w:r w:rsidR="00D5499C">
        <w:rPr>
          <w:sz w:val="15"/>
        </w:rPr>
        <w:t>standard error of the mean</w:t>
      </w:r>
      <w:r w:rsidRPr="00D711DD">
        <w:rPr>
          <w:sz w:val="15"/>
        </w:rPr>
        <w:t>.</w:t>
      </w:r>
    </w:p>
    <w:p w14:paraId="04FC03D9" w14:textId="2357BCFB" w:rsidR="00D5499C" w:rsidRPr="00D711DD" w:rsidRDefault="00D5499C" w:rsidP="00A111E9">
      <w:pPr>
        <w:spacing w:before="60"/>
        <w:rPr>
          <w:sz w:val="15"/>
        </w:rPr>
      </w:pPr>
      <w:r>
        <w:rPr>
          <w:sz w:val="15"/>
        </w:rPr>
        <w:t>U – in utero exposure; L</w:t>
      </w:r>
      <w:r w:rsidR="00DB0B1B">
        <w:rPr>
          <w:sz w:val="15"/>
        </w:rPr>
        <w:t xml:space="preserve"> – lactational exposure</w:t>
      </w:r>
    </w:p>
    <w:p w14:paraId="0D915B9A" w14:textId="77777777" w:rsidR="00132C96" w:rsidRPr="00F6284E" w:rsidRDefault="00132C96" w:rsidP="00A111E9">
      <w:pPr>
        <w:rPr>
          <w:sz w:val="15"/>
        </w:rPr>
      </w:pPr>
      <w:r w:rsidRPr="000B3C14">
        <w:rPr>
          <w:i/>
          <w:sz w:val="15"/>
          <w:vertAlign w:val="superscript"/>
        </w:rPr>
        <w:t>a</w:t>
      </w:r>
      <w:r w:rsidRPr="000B3C14">
        <w:rPr>
          <w:sz w:val="15"/>
        </w:rPr>
        <w:t>For female pups, means of all t</w:t>
      </w:r>
      <w:r w:rsidRPr="00F6284E">
        <w:rPr>
          <w:sz w:val="15"/>
        </w:rPr>
        <w:t xml:space="preserve">reatments 3&gt;6&gt;9 weeks, </w:t>
      </w:r>
      <w:r w:rsidRPr="00F6284E">
        <w:rPr>
          <w:i/>
          <w:sz w:val="15"/>
        </w:rPr>
        <w:t>p</w:t>
      </w:r>
      <w:r w:rsidRPr="00F6284E">
        <w:rPr>
          <w:sz w:val="15"/>
        </w:rPr>
        <w:t>&lt;0.001</w:t>
      </w:r>
    </w:p>
    <w:p w14:paraId="1C73D2D4" w14:textId="77777777" w:rsidR="00132C96" w:rsidRPr="00F6284E" w:rsidRDefault="00132C96" w:rsidP="00A111E9">
      <w:pPr>
        <w:rPr>
          <w:sz w:val="15"/>
        </w:rPr>
      </w:pPr>
      <w:r w:rsidRPr="00F6284E">
        <w:rPr>
          <w:i/>
          <w:sz w:val="15"/>
          <w:vertAlign w:val="superscript"/>
        </w:rPr>
        <w:t>b</w:t>
      </w:r>
      <w:r w:rsidRPr="00F6284E">
        <w:rPr>
          <w:sz w:val="15"/>
        </w:rPr>
        <w:t xml:space="preserve">For all groups, control&lt;all PFOA-exposed groups, </w:t>
      </w:r>
      <w:r w:rsidRPr="00F6284E">
        <w:rPr>
          <w:i/>
          <w:sz w:val="15"/>
        </w:rPr>
        <w:t>p</w:t>
      </w:r>
      <w:r w:rsidRPr="00F6284E">
        <w:rPr>
          <w:sz w:val="15"/>
        </w:rPr>
        <w:t>&lt;0.001</w:t>
      </w:r>
    </w:p>
    <w:p w14:paraId="226BC51E" w14:textId="77777777" w:rsidR="00132C96" w:rsidRPr="00F6284E" w:rsidRDefault="00132C96" w:rsidP="00A111E9">
      <w:pPr>
        <w:rPr>
          <w:sz w:val="15"/>
        </w:rPr>
      </w:pPr>
      <w:r w:rsidRPr="00F6284E">
        <w:rPr>
          <w:i/>
          <w:sz w:val="15"/>
          <w:vertAlign w:val="superscript"/>
        </w:rPr>
        <w:t>c</w:t>
      </w:r>
      <w:r w:rsidRPr="00F6284E">
        <w:rPr>
          <w:sz w:val="15"/>
        </w:rPr>
        <w:t xml:space="preserve">Dams: 3U&lt;3L,5L,3U+L,5U+L, </w:t>
      </w:r>
      <w:r w:rsidRPr="00F6284E">
        <w:rPr>
          <w:i/>
          <w:sz w:val="15"/>
        </w:rPr>
        <w:t>p</w:t>
      </w:r>
      <w:r w:rsidRPr="00F6284E">
        <w:rPr>
          <w:sz w:val="15"/>
        </w:rPr>
        <w:t>&lt;0.001</w:t>
      </w:r>
    </w:p>
    <w:p w14:paraId="1B75C8EC" w14:textId="77777777" w:rsidR="00132C96" w:rsidRPr="00F6284E" w:rsidRDefault="00132C96" w:rsidP="00A111E9">
      <w:pPr>
        <w:rPr>
          <w:sz w:val="15"/>
        </w:rPr>
      </w:pPr>
      <w:r w:rsidRPr="00F6284E">
        <w:rPr>
          <w:i/>
          <w:sz w:val="15"/>
          <w:vertAlign w:val="superscript"/>
        </w:rPr>
        <w:t>d</w:t>
      </w:r>
      <w:r w:rsidRPr="00F6284E">
        <w:rPr>
          <w:sz w:val="15"/>
        </w:rPr>
        <w:t xml:space="preserve">Dams: 5U&lt;5L, 3U+L, 5U+L, </w:t>
      </w:r>
      <w:r w:rsidRPr="00F6284E">
        <w:rPr>
          <w:i/>
          <w:sz w:val="15"/>
        </w:rPr>
        <w:t>p</w:t>
      </w:r>
      <w:r w:rsidRPr="00F6284E">
        <w:rPr>
          <w:sz w:val="15"/>
        </w:rPr>
        <w:t xml:space="preserve">&lt;0.001; 5U&lt;3L, </w:t>
      </w:r>
      <w:r w:rsidRPr="00F6284E">
        <w:rPr>
          <w:i/>
          <w:sz w:val="15"/>
        </w:rPr>
        <w:t>p</w:t>
      </w:r>
      <w:r w:rsidRPr="00F6284E">
        <w:rPr>
          <w:sz w:val="15"/>
        </w:rPr>
        <w:t>&lt;0.05</w:t>
      </w:r>
    </w:p>
    <w:p w14:paraId="10A9C1FB" w14:textId="77777777" w:rsidR="00132C96" w:rsidRPr="00F6284E" w:rsidRDefault="00132C96" w:rsidP="00A111E9">
      <w:pPr>
        <w:rPr>
          <w:sz w:val="15"/>
        </w:rPr>
      </w:pPr>
      <w:r w:rsidRPr="00F6284E">
        <w:rPr>
          <w:i/>
          <w:sz w:val="15"/>
          <w:vertAlign w:val="superscript"/>
        </w:rPr>
        <w:t>e</w:t>
      </w:r>
      <w:r w:rsidRPr="00F6284E">
        <w:rPr>
          <w:sz w:val="15"/>
        </w:rPr>
        <w:t xml:space="preserve">Male pups: 3U+L&gt;3L, 5L, </w:t>
      </w:r>
      <w:r w:rsidRPr="00F6284E">
        <w:rPr>
          <w:i/>
          <w:sz w:val="15"/>
        </w:rPr>
        <w:t>p</w:t>
      </w:r>
      <w:r w:rsidRPr="00F6284E">
        <w:rPr>
          <w:sz w:val="15"/>
        </w:rPr>
        <w:t xml:space="preserve">&lt;0.01; 3U+L&gt;3U, </w:t>
      </w:r>
      <w:r w:rsidRPr="00F6284E">
        <w:rPr>
          <w:i/>
          <w:sz w:val="15"/>
        </w:rPr>
        <w:t>p</w:t>
      </w:r>
      <w:r w:rsidRPr="00F6284E">
        <w:rPr>
          <w:sz w:val="15"/>
        </w:rPr>
        <w:t>&lt;0.05</w:t>
      </w:r>
    </w:p>
    <w:p w14:paraId="5B836F28" w14:textId="77777777" w:rsidR="00132C96" w:rsidRPr="00F6284E" w:rsidRDefault="00132C96" w:rsidP="00A111E9">
      <w:pPr>
        <w:rPr>
          <w:sz w:val="15"/>
        </w:rPr>
      </w:pPr>
      <w:r w:rsidRPr="00F6284E">
        <w:rPr>
          <w:i/>
          <w:sz w:val="15"/>
          <w:vertAlign w:val="superscript"/>
        </w:rPr>
        <w:t>f</w:t>
      </w:r>
      <w:r w:rsidRPr="00F6284E">
        <w:rPr>
          <w:sz w:val="15"/>
        </w:rPr>
        <w:t xml:space="preserve">Female pups 6 weeks: 3U+L &gt; 3L, </w:t>
      </w:r>
      <w:r w:rsidRPr="00F6284E">
        <w:rPr>
          <w:i/>
          <w:sz w:val="15"/>
        </w:rPr>
        <w:t>p</w:t>
      </w:r>
      <w:r w:rsidRPr="00F6284E">
        <w:rPr>
          <w:sz w:val="15"/>
        </w:rPr>
        <w:t xml:space="preserve">&lt;0.01; 3U+L &gt; 3U, 5U; </w:t>
      </w:r>
      <w:r w:rsidRPr="00F6284E">
        <w:rPr>
          <w:i/>
          <w:sz w:val="15"/>
        </w:rPr>
        <w:t>p</w:t>
      </w:r>
      <w:r w:rsidRPr="00F6284E">
        <w:rPr>
          <w:sz w:val="15"/>
        </w:rPr>
        <w:t>&lt; 0.001</w:t>
      </w:r>
    </w:p>
    <w:p w14:paraId="5C4C3B7A" w14:textId="77777777" w:rsidR="00132C96" w:rsidRPr="00F6284E" w:rsidRDefault="00132C96" w:rsidP="00A111E9">
      <w:pPr>
        <w:rPr>
          <w:sz w:val="15"/>
        </w:rPr>
      </w:pPr>
      <w:r w:rsidRPr="00F6284E">
        <w:rPr>
          <w:i/>
          <w:sz w:val="15"/>
          <w:vertAlign w:val="superscript"/>
        </w:rPr>
        <w:t>g</w:t>
      </w:r>
      <w:r w:rsidRPr="00F6284E">
        <w:rPr>
          <w:sz w:val="15"/>
        </w:rPr>
        <w:t xml:space="preserve">Female pups 6 weeks: 5L&gt;3U, </w:t>
      </w:r>
      <w:r w:rsidRPr="00F6284E">
        <w:rPr>
          <w:i/>
          <w:sz w:val="15"/>
        </w:rPr>
        <w:t>p</w:t>
      </w:r>
      <w:r w:rsidRPr="00F6284E">
        <w:rPr>
          <w:sz w:val="15"/>
        </w:rPr>
        <w:t xml:space="preserve">&lt; 0.01; 5L&gt; 5U, </w:t>
      </w:r>
      <w:r w:rsidRPr="00F6284E">
        <w:rPr>
          <w:i/>
          <w:sz w:val="15"/>
        </w:rPr>
        <w:t>p</w:t>
      </w:r>
      <w:r w:rsidRPr="00F6284E">
        <w:rPr>
          <w:sz w:val="15"/>
        </w:rPr>
        <w:t xml:space="preserve"> &lt;0.05</w:t>
      </w:r>
    </w:p>
    <w:p w14:paraId="7392B160" w14:textId="77777777" w:rsidR="00132C96" w:rsidRPr="00F6284E" w:rsidRDefault="00132C96" w:rsidP="00A111E9">
      <w:pPr>
        <w:rPr>
          <w:sz w:val="15"/>
        </w:rPr>
      </w:pPr>
      <w:r w:rsidRPr="00F6284E">
        <w:rPr>
          <w:i/>
          <w:sz w:val="15"/>
          <w:vertAlign w:val="superscript"/>
        </w:rPr>
        <w:t>h</w:t>
      </w:r>
      <w:r w:rsidRPr="00F6284E">
        <w:rPr>
          <w:sz w:val="15"/>
        </w:rPr>
        <w:t>Male</w:t>
      </w:r>
      <w:r w:rsidRPr="00F6284E">
        <w:rPr>
          <w:i/>
          <w:sz w:val="15"/>
        </w:rPr>
        <w:t xml:space="preserve"> </w:t>
      </w:r>
      <w:r w:rsidRPr="00F6284E">
        <w:rPr>
          <w:sz w:val="15"/>
        </w:rPr>
        <w:t xml:space="preserve">pups: 5U+L &gt; 3L, 5L, 3U, 5U, </w:t>
      </w:r>
      <w:r w:rsidRPr="00F6284E">
        <w:rPr>
          <w:i/>
          <w:sz w:val="15"/>
        </w:rPr>
        <w:t>p</w:t>
      </w:r>
      <w:r w:rsidRPr="00F6284E">
        <w:rPr>
          <w:sz w:val="15"/>
        </w:rPr>
        <w:t xml:space="preserve">&lt;0.001; 5U+L &gt; 3U+L, </w:t>
      </w:r>
      <w:r w:rsidRPr="00F6284E">
        <w:rPr>
          <w:i/>
          <w:sz w:val="15"/>
        </w:rPr>
        <w:t>p</w:t>
      </w:r>
      <w:r w:rsidRPr="00F6284E">
        <w:rPr>
          <w:sz w:val="15"/>
        </w:rPr>
        <w:t>&lt;0.05</w:t>
      </w:r>
    </w:p>
    <w:p w14:paraId="5DABABF4" w14:textId="56E2D80B" w:rsidR="00132C96" w:rsidRPr="00F6284E" w:rsidRDefault="00132C96" w:rsidP="00A111E9">
      <w:pPr>
        <w:rPr>
          <w:sz w:val="15"/>
        </w:rPr>
      </w:pPr>
      <w:r w:rsidRPr="00F6284E">
        <w:rPr>
          <w:i/>
          <w:sz w:val="15"/>
          <w:vertAlign w:val="superscript"/>
        </w:rPr>
        <w:t>i</w:t>
      </w:r>
      <w:r w:rsidRPr="00F6284E">
        <w:rPr>
          <w:sz w:val="15"/>
        </w:rPr>
        <w:t xml:space="preserve">Female pups 3 weeks: 5U+L &gt; 3L, 3U, 5U, </w:t>
      </w:r>
      <w:r w:rsidRPr="00F6284E">
        <w:rPr>
          <w:i/>
          <w:sz w:val="15"/>
        </w:rPr>
        <w:t>p</w:t>
      </w:r>
      <w:r w:rsidRPr="00F6284E">
        <w:rPr>
          <w:sz w:val="15"/>
        </w:rPr>
        <w:t xml:space="preserve"> &lt; 0.01; 5U+L. 5L, </w:t>
      </w:r>
      <w:r w:rsidRPr="00F6284E">
        <w:rPr>
          <w:i/>
          <w:sz w:val="15"/>
        </w:rPr>
        <w:t>p</w:t>
      </w:r>
      <w:r w:rsidRPr="00F6284E">
        <w:rPr>
          <w:sz w:val="15"/>
        </w:rPr>
        <w:t>&lt;0.05</w:t>
      </w:r>
    </w:p>
    <w:p w14:paraId="1DF0A80E" w14:textId="77777777" w:rsidR="00132C96" w:rsidRPr="00F6284E" w:rsidRDefault="00132C96" w:rsidP="00A111E9">
      <w:pPr>
        <w:rPr>
          <w:sz w:val="15"/>
        </w:rPr>
      </w:pPr>
      <w:r w:rsidRPr="00F6284E">
        <w:rPr>
          <w:i/>
          <w:sz w:val="15"/>
          <w:vertAlign w:val="superscript"/>
        </w:rPr>
        <w:t>j</w:t>
      </w:r>
      <w:r w:rsidRPr="00F6284E">
        <w:rPr>
          <w:sz w:val="15"/>
        </w:rPr>
        <w:t xml:space="preserve">Female pups, 6 weeks: 5 U+L &gt; 3L, 5L, 3U, 5U, </w:t>
      </w:r>
      <w:r w:rsidRPr="00F6284E">
        <w:rPr>
          <w:i/>
          <w:sz w:val="15"/>
        </w:rPr>
        <w:t>p</w:t>
      </w:r>
      <w:r w:rsidRPr="00F6284E">
        <w:rPr>
          <w:sz w:val="15"/>
        </w:rPr>
        <w:t xml:space="preserve">&lt;0.001; 5U+L &gt; 3U+L, </w:t>
      </w:r>
      <w:r w:rsidRPr="00F6284E">
        <w:rPr>
          <w:i/>
          <w:sz w:val="15"/>
        </w:rPr>
        <w:t>p</w:t>
      </w:r>
      <w:r w:rsidRPr="00F6284E">
        <w:rPr>
          <w:sz w:val="15"/>
        </w:rPr>
        <w:t>&lt;0.01</w:t>
      </w:r>
    </w:p>
    <w:p w14:paraId="6C59B1EC" w14:textId="346BD097" w:rsidR="008F10A1" w:rsidRPr="00F6284E" w:rsidRDefault="00132C96" w:rsidP="00A111E9">
      <w:pPr>
        <w:rPr>
          <w:sz w:val="15"/>
        </w:rPr>
      </w:pPr>
      <w:r w:rsidRPr="00F6284E">
        <w:rPr>
          <w:i/>
          <w:sz w:val="15"/>
          <w:vertAlign w:val="superscript"/>
        </w:rPr>
        <w:t>k</w:t>
      </w:r>
      <w:r w:rsidRPr="00F6284E">
        <w:rPr>
          <w:sz w:val="15"/>
        </w:rPr>
        <w:t xml:space="preserve">Female pups, 9 weeks: 5U+L &gt; 3L, 5L, 5U, 3U+L, </w:t>
      </w:r>
      <w:r w:rsidRPr="00F6284E">
        <w:rPr>
          <w:i/>
          <w:sz w:val="15"/>
        </w:rPr>
        <w:t>p</w:t>
      </w:r>
      <w:r w:rsidRPr="00F6284E">
        <w:rPr>
          <w:sz w:val="15"/>
        </w:rPr>
        <w:t xml:space="preserve">&lt;0.05; 5U+L &gt; 3U, </w:t>
      </w:r>
      <w:r w:rsidRPr="00F6284E">
        <w:rPr>
          <w:i/>
          <w:sz w:val="15"/>
        </w:rPr>
        <w:t>p</w:t>
      </w:r>
      <w:r w:rsidRPr="00F6284E">
        <w:rPr>
          <w:sz w:val="15"/>
        </w:rPr>
        <w:t>&lt;0.01</w:t>
      </w:r>
    </w:p>
    <w:p w14:paraId="573BA13F" w14:textId="77777777" w:rsidR="00132C96" w:rsidRDefault="00132C96" w:rsidP="00A111E9">
      <w:pPr>
        <w:rPr>
          <w:lang w:bidi="ar-SA"/>
        </w:rPr>
      </w:pPr>
    </w:p>
    <w:p w14:paraId="42F10885" w14:textId="5DF6D7E7" w:rsidR="00003D0D" w:rsidRDefault="00EA327C" w:rsidP="00A111E9">
      <w:pPr>
        <w:pStyle w:val="FSTableTitle"/>
        <w:rPr>
          <w:lang w:bidi="ar-SA"/>
        </w:rPr>
      </w:pPr>
      <w:r>
        <w:rPr>
          <w:lang w:bidi="ar-SA"/>
        </w:rPr>
        <w:t xml:space="preserve">Table </w:t>
      </w:r>
      <w:r w:rsidR="00DA3475">
        <w:rPr>
          <w:lang w:bidi="ar-SA"/>
        </w:rPr>
        <w:t>25</w:t>
      </w:r>
      <w:r>
        <w:rPr>
          <w:lang w:bidi="ar-SA"/>
        </w:rPr>
        <w:t xml:space="preserve">: </w:t>
      </w:r>
      <w:r w:rsidRPr="00EA327C">
        <w:rPr>
          <w:lang w:bidi="ar-SA"/>
        </w:rPr>
        <w:t xml:space="preserve">Serum </w:t>
      </w:r>
      <w:r w:rsidR="00DB0B1B">
        <w:rPr>
          <w:lang w:bidi="ar-SA"/>
        </w:rPr>
        <w:t>l</w:t>
      </w:r>
      <w:r w:rsidR="00DB0B1B" w:rsidRPr="00EA327C">
        <w:rPr>
          <w:lang w:bidi="ar-SA"/>
        </w:rPr>
        <w:t xml:space="preserve">evels </w:t>
      </w:r>
      <w:r w:rsidRPr="00EA327C">
        <w:rPr>
          <w:lang w:bidi="ar-SA"/>
        </w:rPr>
        <w:t xml:space="preserve">of PFOA in </w:t>
      </w:r>
      <w:r w:rsidR="00DB0B1B">
        <w:rPr>
          <w:lang w:bidi="ar-SA"/>
        </w:rPr>
        <w:t>r</w:t>
      </w:r>
      <w:r w:rsidR="00DB0B1B" w:rsidRPr="00EA327C">
        <w:rPr>
          <w:lang w:bidi="ar-SA"/>
        </w:rPr>
        <w:t xml:space="preserve">estricted </w:t>
      </w:r>
      <w:r w:rsidR="00DB0B1B">
        <w:rPr>
          <w:lang w:bidi="ar-SA"/>
        </w:rPr>
        <w:t>e</w:t>
      </w:r>
      <w:r w:rsidR="00DB0B1B" w:rsidRPr="00EA327C">
        <w:rPr>
          <w:lang w:bidi="ar-SA"/>
        </w:rPr>
        <w:t xml:space="preserve">xposure </w:t>
      </w:r>
      <w:r w:rsidR="00DB0B1B">
        <w:rPr>
          <w:lang w:bidi="ar-SA"/>
        </w:rPr>
        <w:t>s</w:t>
      </w:r>
      <w:r w:rsidR="00DB0B1B" w:rsidRPr="00EA327C">
        <w:rPr>
          <w:lang w:bidi="ar-SA"/>
        </w:rPr>
        <w:t xml:space="preserve">tudy </w:t>
      </w:r>
      <w:r w:rsidR="00DB0B1B">
        <w:rPr>
          <w:lang w:bidi="ar-SA"/>
        </w:rPr>
        <w:t>d</w:t>
      </w:r>
      <w:r w:rsidR="00DB0B1B" w:rsidRPr="00EA327C">
        <w:rPr>
          <w:lang w:bidi="ar-SA"/>
        </w:rPr>
        <w:t xml:space="preserve">ams </w:t>
      </w:r>
      <w:r w:rsidRPr="00EA327C">
        <w:rPr>
          <w:lang w:bidi="ar-SA"/>
        </w:rPr>
        <w:t xml:space="preserve">and </w:t>
      </w:r>
      <w:r w:rsidR="00DB0B1B">
        <w:rPr>
          <w:lang w:bidi="ar-SA"/>
        </w:rPr>
        <w:t>m</w:t>
      </w:r>
      <w:r w:rsidR="00DB0B1B" w:rsidRPr="00EA327C">
        <w:rPr>
          <w:lang w:bidi="ar-SA"/>
        </w:rPr>
        <w:t xml:space="preserve">ale </w:t>
      </w:r>
      <w:r w:rsidR="00DB0B1B">
        <w:rPr>
          <w:lang w:bidi="ar-SA"/>
        </w:rPr>
        <w:t>p</w:t>
      </w:r>
      <w:r w:rsidR="00DB0B1B" w:rsidRPr="00EA327C">
        <w:rPr>
          <w:lang w:bidi="ar-SA"/>
        </w:rPr>
        <w:t xml:space="preserve">ups </w:t>
      </w:r>
      <w:r w:rsidRPr="00EA327C">
        <w:rPr>
          <w:lang w:bidi="ar-SA"/>
        </w:rPr>
        <w:t xml:space="preserve">at </w:t>
      </w:r>
      <w:r w:rsidR="00DB0B1B">
        <w:rPr>
          <w:lang w:bidi="ar-SA"/>
        </w:rPr>
        <w:t>w</w:t>
      </w:r>
      <w:r w:rsidR="00DB0B1B" w:rsidRPr="00EA327C">
        <w:rPr>
          <w:lang w:bidi="ar-SA"/>
        </w:rPr>
        <w:t xml:space="preserve">eaning </w:t>
      </w:r>
      <w:r w:rsidRPr="00EA327C">
        <w:rPr>
          <w:lang w:bidi="ar-SA"/>
        </w:rPr>
        <w:t xml:space="preserve">(PND22) and </w:t>
      </w:r>
      <w:r w:rsidR="00DB0B1B">
        <w:rPr>
          <w:lang w:bidi="ar-SA"/>
        </w:rPr>
        <w:t>f</w:t>
      </w:r>
      <w:r w:rsidR="00DB0B1B" w:rsidRPr="00EA327C">
        <w:rPr>
          <w:lang w:bidi="ar-SA"/>
        </w:rPr>
        <w:t xml:space="preserve">emale </w:t>
      </w:r>
      <w:r w:rsidR="00DB0B1B">
        <w:rPr>
          <w:lang w:bidi="ar-SA"/>
        </w:rPr>
        <w:t>p</w:t>
      </w:r>
      <w:r w:rsidR="00DB0B1B" w:rsidRPr="00EA327C">
        <w:rPr>
          <w:lang w:bidi="ar-SA"/>
        </w:rPr>
        <w:t xml:space="preserve">ups </w:t>
      </w:r>
      <w:r w:rsidRPr="00EA327C">
        <w:rPr>
          <w:lang w:bidi="ar-SA"/>
        </w:rPr>
        <w:t>at PND22, 29, and 32.</w:t>
      </w:r>
    </w:p>
    <w:tbl>
      <w:tblPr>
        <w:tblStyle w:val="TableGrid"/>
        <w:tblW w:w="9403" w:type="dxa"/>
        <w:tblLayout w:type="fixed"/>
        <w:tblLook w:val="04A0" w:firstRow="1" w:lastRow="0" w:firstColumn="1" w:lastColumn="0" w:noHBand="0" w:noVBand="1"/>
        <w:tblCaption w:val="Table 25: Serum levels of PFOA in restricted exposure study dams and male pups at weaning (PND22) and female pups at PND22, 29, and 32."/>
        <w:tblDescription w:val="This table contains data relating to serum levels of PFOA in restricted exposure study dams and male pups at weaning (PND22) and female pups at PND22, 29, and 32."/>
      </w:tblPr>
      <w:tblGrid>
        <w:gridCol w:w="1809"/>
        <w:gridCol w:w="469"/>
        <w:gridCol w:w="873"/>
        <w:gridCol w:w="457"/>
        <w:gridCol w:w="1151"/>
        <w:gridCol w:w="487"/>
        <w:gridCol w:w="1061"/>
        <w:gridCol w:w="464"/>
        <w:gridCol w:w="1084"/>
        <w:gridCol w:w="470"/>
        <w:gridCol w:w="1078"/>
      </w:tblGrid>
      <w:tr w:rsidR="00E51A9F" w14:paraId="134201EC" w14:textId="77777777" w:rsidTr="000830C5">
        <w:trPr>
          <w:tblHeader/>
        </w:trPr>
        <w:tc>
          <w:tcPr>
            <w:tcW w:w="1809" w:type="dxa"/>
            <w:vMerge w:val="restart"/>
            <w:shd w:val="clear" w:color="auto" w:fill="F2F2F2" w:themeFill="background1" w:themeFillShade="F2"/>
            <w:vAlign w:val="center"/>
          </w:tcPr>
          <w:p w14:paraId="1D518832" w14:textId="7BF901F7" w:rsidR="00E51A9F" w:rsidRPr="000B3C14" w:rsidRDefault="00E51A9F" w:rsidP="00A111E9">
            <w:pPr>
              <w:rPr>
                <w:rFonts w:ascii="Arial" w:hAnsi="Arial"/>
                <w:b/>
                <w:sz w:val="18"/>
              </w:rPr>
            </w:pPr>
            <w:r w:rsidRPr="00D711DD">
              <w:rPr>
                <w:b/>
                <w:sz w:val="18"/>
              </w:rPr>
              <w:t>PFOA dose and gestational period</w:t>
            </w:r>
          </w:p>
        </w:tc>
        <w:tc>
          <w:tcPr>
            <w:tcW w:w="1342" w:type="dxa"/>
            <w:gridSpan w:val="2"/>
            <w:shd w:val="clear" w:color="auto" w:fill="F2F2F2" w:themeFill="background1" w:themeFillShade="F2"/>
            <w:vAlign w:val="center"/>
          </w:tcPr>
          <w:p w14:paraId="5BE2972A" w14:textId="1557B484" w:rsidR="00E51A9F" w:rsidRPr="00F6284E" w:rsidRDefault="00E51A9F" w:rsidP="00230E14">
            <w:pPr>
              <w:jc w:val="center"/>
              <w:rPr>
                <w:rFonts w:ascii="Arial" w:hAnsi="Arial"/>
                <w:b/>
                <w:sz w:val="18"/>
              </w:rPr>
            </w:pPr>
            <w:r w:rsidRPr="000B3C14">
              <w:rPr>
                <w:b/>
              </w:rPr>
              <w:t>Dams PND22</w:t>
            </w:r>
          </w:p>
        </w:tc>
        <w:tc>
          <w:tcPr>
            <w:tcW w:w="1608" w:type="dxa"/>
            <w:gridSpan w:val="2"/>
            <w:shd w:val="clear" w:color="auto" w:fill="F2F2F2" w:themeFill="background1" w:themeFillShade="F2"/>
            <w:vAlign w:val="center"/>
          </w:tcPr>
          <w:p w14:paraId="1ECE1E85" w14:textId="25D13991" w:rsidR="00E51A9F" w:rsidRPr="00F6284E" w:rsidRDefault="00E51A9F" w:rsidP="00230E14">
            <w:pPr>
              <w:jc w:val="center"/>
              <w:rPr>
                <w:rFonts w:ascii="Arial" w:hAnsi="Arial"/>
                <w:b/>
                <w:sz w:val="18"/>
              </w:rPr>
            </w:pPr>
            <w:r w:rsidRPr="00F6284E">
              <w:rPr>
                <w:b/>
              </w:rPr>
              <w:t>Male pups PND22</w:t>
            </w:r>
          </w:p>
        </w:tc>
        <w:tc>
          <w:tcPr>
            <w:tcW w:w="1548" w:type="dxa"/>
            <w:gridSpan w:val="2"/>
            <w:shd w:val="clear" w:color="auto" w:fill="F2F2F2" w:themeFill="background1" w:themeFillShade="F2"/>
            <w:vAlign w:val="center"/>
          </w:tcPr>
          <w:p w14:paraId="64759C3F" w14:textId="669A48EA" w:rsidR="00E51A9F" w:rsidRPr="00F6284E" w:rsidRDefault="00E51A9F" w:rsidP="00230E14">
            <w:pPr>
              <w:jc w:val="center"/>
              <w:rPr>
                <w:rFonts w:ascii="Arial" w:hAnsi="Arial"/>
                <w:b/>
                <w:sz w:val="18"/>
              </w:rPr>
            </w:pPr>
            <w:r w:rsidRPr="00F6284E">
              <w:rPr>
                <w:b/>
              </w:rPr>
              <w:t>Female pups</w:t>
            </w:r>
            <w:r w:rsidRPr="00F6284E">
              <w:rPr>
                <w:b/>
                <w:i/>
                <w:vertAlign w:val="superscript"/>
              </w:rPr>
              <w:t>a</w:t>
            </w:r>
            <w:r w:rsidRPr="00F6284E">
              <w:rPr>
                <w:b/>
              </w:rPr>
              <w:t xml:space="preserve"> PND22</w:t>
            </w:r>
          </w:p>
        </w:tc>
        <w:tc>
          <w:tcPr>
            <w:tcW w:w="1548" w:type="dxa"/>
            <w:gridSpan w:val="2"/>
            <w:shd w:val="clear" w:color="auto" w:fill="F2F2F2" w:themeFill="background1" w:themeFillShade="F2"/>
            <w:vAlign w:val="center"/>
          </w:tcPr>
          <w:p w14:paraId="0EF8051E" w14:textId="47EC1FA9" w:rsidR="00E51A9F" w:rsidRPr="00F6284E" w:rsidRDefault="00E51A9F" w:rsidP="00230E14">
            <w:pPr>
              <w:jc w:val="center"/>
              <w:rPr>
                <w:rFonts w:ascii="Arial" w:hAnsi="Arial"/>
                <w:b/>
                <w:sz w:val="18"/>
              </w:rPr>
            </w:pPr>
            <w:r w:rsidRPr="00F6284E">
              <w:rPr>
                <w:b/>
              </w:rPr>
              <w:t>Female pups</w:t>
            </w:r>
            <w:r w:rsidRPr="00F6284E">
              <w:rPr>
                <w:b/>
                <w:i/>
                <w:vertAlign w:val="superscript"/>
              </w:rPr>
              <w:t>a</w:t>
            </w:r>
            <w:r w:rsidRPr="00F6284E">
              <w:rPr>
                <w:b/>
              </w:rPr>
              <w:t xml:space="preserve"> PND29</w:t>
            </w:r>
          </w:p>
        </w:tc>
        <w:tc>
          <w:tcPr>
            <w:tcW w:w="1548" w:type="dxa"/>
            <w:gridSpan w:val="2"/>
            <w:shd w:val="clear" w:color="auto" w:fill="F2F2F2" w:themeFill="background1" w:themeFillShade="F2"/>
            <w:vAlign w:val="center"/>
          </w:tcPr>
          <w:p w14:paraId="5BE8F669" w14:textId="48876A64" w:rsidR="00E51A9F" w:rsidRPr="00F6284E" w:rsidRDefault="00E51A9F" w:rsidP="00230E14">
            <w:pPr>
              <w:jc w:val="center"/>
              <w:rPr>
                <w:rFonts w:ascii="Arial" w:hAnsi="Arial"/>
                <w:b/>
                <w:sz w:val="18"/>
              </w:rPr>
            </w:pPr>
            <w:r w:rsidRPr="00F6284E">
              <w:rPr>
                <w:b/>
              </w:rPr>
              <w:t>Female pups</w:t>
            </w:r>
            <w:r w:rsidRPr="00F6284E">
              <w:rPr>
                <w:b/>
                <w:i/>
                <w:vertAlign w:val="superscript"/>
              </w:rPr>
              <w:t>a</w:t>
            </w:r>
            <w:r w:rsidRPr="00F6284E">
              <w:rPr>
                <w:b/>
              </w:rPr>
              <w:t xml:space="preserve"> PND32</w:t>
            </w:r>
          </w:p>
        </w:tc>
      </w:tr>
      <w:tr w:rsidR="00F5350E" w14:paraId="24A02446" w14:textId="77777777" w:rsidTr="000830C5">
        <w:trPr>
          <w:trHeight w:val="510"/>
          <w:tblHeader/>
        </w:trPr>
        <w:tc>
          <w:tcPr>
            <w:tcW w:w="1809" w:type="dxa"/>
            <w:vMerge/>
            <w:shd w:val="clear" w:color="auto" w:fill="F2F2F2" w:themeFill="background1" w:themeFillShade="F2"/>
            <w:vAlign w:val="center"/>
          </w:tcPr>
          <w:p w14:paraId="4814F467" w14:textId="77777777" w:rsidR="00F5350E" w:rsidRPr="00F768EC" w:rsidRDefault="00F5350E" w:rsidP="00A111E9">
            <w:pPr>
              <w:rPr>
                <w:rFonts w:cs="Arial"/>
                <w:b/>
                <w:sz w:val="18"/>
                <w:szCs w:val="18"/>
                <w:lang w:bidi="ar-SA"/>
              </w:rPr>
            </w:pPr>
          </w:p>
        </w:tc>
        <w:tc>
          <w:tcPr>
            <w:tcW w:w="469" w:type="dxa"/>
            <w:shd w:val="clear" w:color="auto" w:fill="F2F2F2" w:themeFill="background1" w:themeFillShade="F2"/>
            <w:vAlign w:val="center"/>
          </w:tcPr>
          <w:p w14:paraId="7386DB5D" w14:textId="179A7C98" w:rsidR="00F5350E" w:rsidRPr="000B3C14" w:rsidRDefault="00F5350E" w:rsidP="00230E14">
            <w:pPr>
              <w:jc w:val="right"/>
              <w:rPr>
                <w:rFonts w:ascii="Arial" w:hAnsi="Arial"/>
                <w:b/>
                <w:sz w:val="18"/>
              </w:rPr>
            </w:pPr>
            <w:r w:rsidRPr="00D711DD">
              <w:rPr>
                <w:b/>
                <w:sz w:val="18"/>
              </w:rPr>
              <w:t>n</w:t>
            </w:r>
          </w:p>
        </w:tc>
        <w:tc>
          <w:tcPr>
            <w:tcW w:w="873" w:type="dxa"/>
            <w:shd w:val="clear" w:color="auto" w:fill="F2F2F2" w:themeFill="background1" w:themeFillShade="F2"/>
            <w:vAlign w:val="center"/>
          </w:tcPr>
          <w:p w14:paraId="66F0F798" w14:textId="3527C28D" w:rsidR="00F5350E" w:rsidRPr="00F6284E" w:rsidRDefault="00F5350E" w:rsidP="00230E14">
            <w:pPr>
              <w:jc w:val="right"/>
              <w:rPr>
                <w:rFonts w:ascii="Arial" w:hAnsi="Arial"/>
                <w:b/>
                <w:sz w:val="18"/>
              </w:rPr>
            </w:pPr>
            <w:r w:rsidRPr="000B3C14">
              <w:rPr>
                <w:b/>
                <w:sz w:val="18"/>
              </w:rPr>
              <w:t>PFOA ng/mL</w:t>
            </w:r>
          </w:p>
        </w:tc>
        <w:tc>
          <w:tcPr>
            <w:tcW w:w="457" w:type="dxa"/>
            <w:shd w:val="clear" w:color="auto" w:fill="F2F2F2" w:themeFill="background1" w:themeFillShade="F2"/>
            <w:vAlign w:val="center"/>
          </w:tcPr>
          <w:p w14:paraId="5056A85C" w14:textId="7141E4FD" w:rsidR="00F5350E" w:rsidRPr="00D711DD" w:rsidRDefault="00F5350E" w:rsidP="00230E14">
            <w:pPr>
              <w:jc w:val="right"/>
              <w:rPr>
                <w:rFonts w:ascii="Arial" w:hAnsi="Arial"/>
                <w:b/>
                <w:sz w:val="18"/>
              </w:rPr>
            </w:pPr>
            <w:r>
              <w:rPr>
                <w:rFonts w:ascii="Arial" w:hAnsi="Arial" w:cs="Arial"/>
                <w:b/>
                <w:sz w:val="18"/>
                <w:szCs w:val="18"/>
              </w:rPr>
              <w:t>n</w:t>
            </w:r>
          </w:p>
        </w:tc>
        <w:tc>
          <w:tcPr>
            <w:tcW w:w="1151" w:type="dxa"/>
            <w:shd w:val="clear" w:color="auto" w:fill="F2F2F2" w:themeFill="background1" w:themeFillShade="F2"/>
            <w:vAlign w:val="center"/>
          </w:tcPr>
          <w:p w14:paraId="45577CCD" w14:textId="4D677C7B" w:rsidR="00F5350E" w:rsidRPr="00D711DD" w:rsidRDefault="00F5350E" w:rsidP="00230E14">
            <w:pPr>
              <w:jc w:val="right"/>
              <w:rPr>
                <w:rFonts w:ascii="Arial" w:hAnsi="Arial"/>
                <w:b/>
                <w:sz w:val="18"/>
              </w:rPr>
            </w:pPr>
            <w:r w:rsidRPr="006D2C22">
              <w:rPr>
                <w:rFonts w:ascii="Arial" w:hAnsi="Arial" w:cs="Arial"/>
                <w:b/>
                <w:sz w:val="18"/>
                <w:szCs w:val="18"/>
                <w:lang w:bidi="ar-SA"/>
              </w:rPr>
              <w:t>PFOA ng/mL</w:t>
            </w:r>
          </w:p>
        </w:tc>
        <w:tc>
          <w:tcPr>
            <w:tcW w:w="487" w:type="dxa"/>
            <w:shd w:val="clear" w:color="auto" w:fill="F2F2F2" w:themeFill="background1" w:themeFillShade="F2"/>
            <w:vAlign w:val="center"/>
          </w:tcPr>
          <w:p w14:paraId="08D08A89" w14:textId="42678CF6" w:rsidR="00F5350E" w:rsidRPr="00F768EC" w:rsidRDefault="00F5350E" w:rsidP="00230E14">
            <w:pPr>
              <w:jc w:val="right"/>
              <w:rPr>
                <w:rFonts w:cs="Arial"/>
                <w:b/>
                <w:sz w:val="18"/>
                <w:szCs w:val="18"/>
                <w:lang w:bidi="ar-SA"/>
              </w:rPr>
            </w:pPr>
            <w:r>
              <w:rPr>
                <w:rFonts w:ascii="Arial" w:hAnsi="Arial" w:cs="Arial"/>
                <w:b/>
                <w:sz w:val="18"/>
                <w:szCs w:val="18"/>
              </w:rPr>
              <w:t>n</w:t>
            </w:r>
          </w:p>
        </w:tc>
        <w:tc>
          <w:tcPr>
            <w:tcW w:w="1061" w:type="dxa"/>
            <w:shd w:val="clear" w:color="auto" w:fill="F2F2F2" w:themeFill="background1" w:themeFillShade="F2"/>
            <w:vAlign w:val="center"/>
          </w:tcPr>
          <w:p w14:paraId="485BA49B" w14:textId="04F83B35" w:rsidR="00F5350E" w:rsidRPr="00D711DD" w:rsidRDefault="00F5350E" w:rsidP="00230E14">
            <w:pPr>
              <w:jc w:val="right"/>
              <w:rPr>
                <w:rFonts w:ascii="Arial" w:hAnsi="Arial"/>
                <w:b/>
                <w:sz w:val="18"/>
              </w:rPr>
            </w:pPr>
            <w:r w:rsidRPr="006D2C22">
              <w:rPr>
                <w:rFonts w:ascii="Arial" w:hAnsi="Arial" w:cs="Arial"/>
                <w:b/>
                <w:sz w:val="18"/>
                <w:szCs w:val="18"/>
                <w:lang w:bidi="ar-SA"/>
              </w:rPr>
              <w:t>PFOA ng/mL</w:t>
            </w:r>
          </w:p>
        </w:tc>
        <w:tc>
          <w:tcPr>
            <w:tcW w:w="464" w:type="dxa"/>
            <w:shd w:val="clear" w:color="auto" w:fill="F2F2F2" w:themeFill="background1" w:themeFillShade="F2"/>
            <w:vAlign w:val="center"/>
          </w:tcPr>
          <w:p w14:paraId="74B3F8A6" w14:textId="158FFCAD" w:rsidR="00F5350E" w:rsidRPr="00F768EC" w:rsidRDefault="00F5350E" w:rsidP="00230E14">
            <w:pPr>
              <w:jc w:val="right"/>
              <w:rPr>
                <w:rFonts w:cs="Arial"/>
                <w:b/>
                <w:sz w:val="18"/>
                <w:szCs w:val="18"/>
                <w:lang w:bidi="ar-SA"/>
              </w:rPr>
            </w:pPr>
            <w:r>
              <w:rPr>
                <w:rFonts w:ascii="Arial" w:hAnsi="Arial" w:cs="Arial"/>
                <w:b/>
                <w:sz w:val="18"/>
                <w:szCs w:val="18"/>
              </w:rPr>
              <w:t>n</w:t>
            </w:r>
          </w:p>
        </w:tc>
        <w:tc>
          <w:tcPr>
            <w:tcW w:w="1084" w:type="dxa"/>
            <w:shd w:val="clear" w:color="auto" w:fill="F2F2F2" w:themeFill="background1" w:themeFillShade="F2"/>
            <w:vAlign w:val="center"/>
          </w:tcPr>
          <w:p w14:paraId="7EC6A9DE" w14:textId="3626D501" w:rsidR="00F5350E" w:rsidRPr="00D711DD" w:rsidRDefault="00F5350E" w:rsidP="00230E14">
            <w:pPr>
              <w:jc w:val="right"/>
              <w:rPr>
                <w:rFonts w:ascii="Arial" w:hAnsi="Arial"/>
                <w:b/>
                <w:sz w:val="18"/>
              </w:rPr>
            </w:pPr>
            <w:r w:rsidRPr="006D2C22">
              <w:rPr>
                <w:rFonts w:ascii="Arial" w:hAnsi="Arial" w:cs="Arial"/>
                <w:b/>
                <w:sz w:val="18"/>
                <w:szCs w:val="18"/>
                <w:lang w:bidi="ar-SA"/>
              </w:rPr>
              <w:t>PFOA ng/mL</w:t>
            </w:r>
          </w:p>
        </w:tc>
        <w:tc>
          <w:tcPr>
            <w:tcW w:w="470" w:type="dxa"/>
            <w:shd w:val="clear" w:color="auto" w:fill="F2F2F2" w:themeFill="background1" w:themeFillShade="F2"/>
            <w:vAlign w:val="center"/>
          </w:tcPr>
          <w:p w14:paraId="67650BCF" w14:textId="39D2EEF1" w:rsidR="00F5350E" w:rsidRPr="00F768EC" w:rsidRDefault="00F5350E" w:rsidP="00230E14">
            <w:pPr>
              <w:jc w:val="right"/>
              <w:rPr>
                <w:rFonts w:cs="Arial"/>
                <w:sz w:val="18"/>
                <w:szCs w:val="18"/>
                <w:lang w:bidi="ar-SA"/>
              </w:rPr>
            </w:pPr>
            <w:r>
              <w:rPr>
                <w:rFonts w:ascii="Arial" w:hAnsi="Arial" w:cs="Arial"/>
                <w:b/>
                <w:sz w:val="18"/>
                <w:szCs w:val="18"/>
              </w:rPr>
              <w:t>n</w:t>
            </w:r>
          </w:p>
        </w:tc>
        <w:tc>
          <w:tcPr>
            <w:tcW w:w="1078" w:type="dxa"/>
            <w:shd w:val="clear" w:color="auto" w:fill="F2F2F2" w:themeFill="background1" w:themeFillShade="F2"/>
            <w:vAlign w:val="center"/>
          </w:tcPr>
          <w:p w14:paraId="266FA881" w14:textId="3A083E21" w:rsidR="00F5350E" w:rsidRPr="00D711DD" w:rsidRDefault="00F5350E" w:rsidP="00230E14">
            <w:pPr>
              <w:jc w:val="right"/>
              <w:rPr>
                <w:rFonts w:ascii="Arial" w:hAnsi="Arial"/>
                <w:b/>
                <w:sz w:val="18"/>
              </w:rPr>
            </w:pPr>
            <w:r w:rsidRPr="006D2C22">
              <w:rPr>
                <w:rFonts w:ascii="Arial" w:hAnsi="Arial" w:cs="Arial"/>
                <w:b/>
                <w:sz w:val="18"/>
                <w:szCs w:val="18"/>
                <w:lang w:bidi="ar-SA"/>
              </w:rPr>
              <w:t>PFOA ng/mL</w:t>
            </w:r>
          </w:p>
        </w:tc>
      </w:tr>
      <w:tr w:rsidR="00640E51" w14:paraId="2C0798C7" w14:textId="77777777" w:rsidTr="00F6284E">
        <w:tc>
          <w:tcPr>
            <w:tcW w:w="1809" w:type="dxa"/>
            <w:vAlign w:val="center"/>
          </w:tcPr>
          <w:p w14:paraId="66508429" w14:textId="5BB45643" w:rsidR="00640E51" w:rsidRPr="00D711DD" w:rsidRDefault="00640E51" w:rsidP="00A111E9">
            <w:pPr>
              <w:rPr>
                <w:rFonts w:ascii="Arial" w:hAnsi="Arial"/>
                <w:sz w:val="18"/>
              </w:rPr>
            </w:pPr>
            <w:r w:rsidRPr="00512F95">
              <w:rPr>
                <w:rFonts w:cs="Arial"/>
                <w:sz w:val="18"/>
                <w:szCs w:val="18"/>
                <w:lang w:bidi="ar-SA"/>
              </w:rPr>
              <w:t>Control GD</w:t>
            </w:r>
            <w:r w:rsidR="00F03521">
              <w:rPr>
                <w:rFonts w:cs="Arial"/>
                <w:sz w:val="18"/>
                <w:szCs w:val="18"/>
                <w:lang w:bidi="ar-SA"/>
              </w:rPr>
              <w:t xml:space="preserve"> </w:t>
            </w:r>
            <w:r w:rsidRPr="00512F95">
              <w:rPr>
                <w:rFonts w:cs="Arial"/>
                <w:sz w:val="18"/>
                <w:szCs w:val="18"/>
                <w:lang w:bidi="ar-SA"/>
              </w:rPr>
              <w:t>7-17</w:t>
            </w:r>
          </w:p>
        </w:tc>
        <w:tc>
          <w:tcPr>
            <w:tcW w:w="469" w:type="dxa"/>
            <w:vAlign w:val="center"/>
          </w:tcPr>
          <w:p w14:paraId="1F851862" w14:textId="4949E6D1" w:rsidR="00640E51" w:rsidRPr="00D711DD" w:rsidRDefault="00640E51" w:rsidP="00230E14">
            <w:pPr>
              <w:jc w:val="right"/>
              <w:rPr>
                <w:rFonts w:ascii="Arial" w:hAnsi="Arial"/>
                <w:sz w:val="18"/>
              </w:rPr>
            </w:pPr>
            <w:r w:rsidRPr="00512F95">
              <w:rPr>
                <w:rFonts w:cs="Arial"/>
                <w:sz w:val="18"/>
                <w:szCs w:val="18"/>
                <w:lang w:bidi="ar-SA"/>
              </w:rPr>
              <w:t>12</w:t>
            </w:r>
          </w:p>
        </w:tc>
        <w:tc>
          <w:tcPr>
            <w:tcW w:w="873" w:type="dxa"/>
            <w:vAlign w:val="center"/>
          </w:tcPr>
          <w:p w14:paraId="55BFE473" w14:textId="77777777" w:rsidR="00640E51" w:rsidRPr="00F6284E" w:rsidRDefault="00640E51" w:rsidP="00230E14">
            <w:pPr>
              <w:spacing w:before="20" w:after="20"/>
              <w:jc w:val="right"/>
              <w:rPr>
                <w:rFonts w:ascii="Arial" w:hAnsi="Arial"/>
                <w:sz w:val="16"/>
              </w:rPr>
            </w:pPr>
            <w:r w:rsidRPr="000B3C14">
              <w:rPr>
                <w:sz w:val="16"/>
              </w:rPr>
              <w:t>69</w:t>
            </w:r>
            <w:r w:rsidRPr="000B3C14">
              <w:rPr>
                <w:i/>
                <w:sz w:val="16"/>
                <w:vertAlign w:val="superscript"/>
              </w:rPr>
              <w:t>b</w:t>
            </w:r>
          </w:p>
          <w:p w14:paraId="39EB1966" w14:textId="3DAC04F7" w:rsidR="00640E51" w:rsidRPr="00F6284E" w:rsidRDefault="00640E51" w:rsidP="00230E14">
            <w:pPr>
              <w:spacing w:before="20" w:after="20"/>
              <w:jc w:val="right"/>
              <w:rPr>
                <w:rFonts w:ascii="Arial" w:hAnsi="Arial"/>
                <w:sz w:val="16"/>
              </w:rPr>
            </w:pPr>
            <w:r w:rsidRPr="00F6284E">
              <w:rPr>
                <w:sz w:val="16"/>
              </w:rPr>
              <w:t>±12</w:t>
            </w:r>
          </w:p>
        </w:tc>
        <w:tc>
          <w:tcPr>
            <w:tcW w:w="457" w:type="dxa"/>
            <w:shd w:val="clear" w:color="auto" w:fill="auto"/>
            <w:vAlign w:val="center"/>
          </w:tcPr>
          <w:p w14:paraId="0C358F55" w14:textId="33356EB3" w:rsidR="00640E51" w:rsidRPr="00F6284E" w:rsidRDefault="00640E51" w:rsidP="00230E14">
            <w:pPr>
              <w:jc w:val="right"/>
              <w:rPr>
                <w:rFonts w:ascii="Arial" w:hAnsi="Arial"/>
                <w:sz w:val="18"/>
              </w:rPr>
            </w:pPr>
            <w:r w:rsidRPr="00F6284E">
              <w:rPr>
                <w:sz w:val="18"/>
              </w:rPr>
              <w:t>6</w:t>
            </w:r>
          </w:p>
        </w:tc>
        <w:tc>
          <w:tcPr>
            <w:tcW w:w="1151" w:type="dxa"/>
            <w:shd w:val="clear" w:color="auto" w:fill="auto"/>
            <w:vAlign w:val="center"/>
          </w:tcPr>
          <w:p w14:paraId="32C5DF6A" w14:textId="77777777" w:rsidR="00640E51" w:rsidRPr="00F6284E" w:rsidRDefault="00640E51" w:rsidP="00230E14">
            <w:pPr>
              <w:jc w:val="right"/>
              <w:rPr>
                <w:rFonts w:ascii="Arial" w:hAnsi="Arial"/>
                <w:sz w:val="16"/>
              </w:rPr>
            </w:pPr>
            <w:r w:rsidRPr="00F6284E">
              <w:rPr>
                <w:sz w:val="16"/>
              </w:rPr>
              <w:t>23</w:t>
            </w:r>
            <w:r w:rsidRPr="00F6284E">
              <w:rPr>
                <w:i/>
                <w:sz w:val="16"/>
                <w:vertAlign w:val="superscript"/>
              </w:rPr>
              <w:t>b</w:t>
            </w:r>
          </w:p>
          <w:p w14:paraId="0B3A253D" w14:textId="6C18AC50" w:rsidR="00640E51" w:rsidRPr="00F6284E" w:rsidRDefault="00640E51" w:rsidP="00230E14">
            <w:pPr>
              <w:jc w:val="right"/>
              <w:rPr>
                <w:rFonts w:ascii="Arial" w:hAnsi="Arial"/>
                <w:sz w:val="16"/>
              </w:rPr>
            </w:pPr>
            <w:r w:rsidRPr="00F6284E">
              <w:rPr>
                <w:sz w:val="16"/>
              </w:rPr>
              <w:t>±9</w:t>
            </w:r>
          </w:p>
        </w:tc>
        <w:tc>
          <w:tcPr>
            <w:tcW w:w="487" w:type="dxa"/>
            <w:shd w:val="clear" w:color="auto" w:fill="auto"/>
            <w:vAlign w:val="center"/>
          </w:tcPr>
          <w:p w14:paraId="22AC3C93" w14:textId="022D87EE" w:rsidR="00640E51" w:rsidRPr="00F6284E" w:rsidRDefault="00640E51" w:rsidP="00230E14">
            <w:pPr>
              <w:jc w:val="right"/>
              <w:rPr>
                <w:rFonts w:ascii="Arial" w:hAnsi="Arial"/>
                <w:sz w:val="18"/>
              </w:rPr>
            </w:pPr>
            <w:r w:rsidRPr="00F6284E">
              <w:rPr>
                <w:sz w:val="18"/>
              </w:rPr>
              <w:t>6</w:t>
            </w:r>
          </w:p>
        </w:tc>
        <w:tc>
          <w:tcPr>
            <w:tcW w:w="1061" w:type="dxa"/>
            <w:shd w:val="clear" w:color="auto" w:fill="auto"/>
            <w:vAlign w:val="center"/>
          </w:tcPr>
          <w:p w14:paraId="53E08D49" w14:textId="77777777" w:rsidR="00640E51" w:rsidRPr="00F6284E" w:rsidRDefault="00640E51" w:rsidP="00230E14">
            <w:pPr>
              <w:jc w:val="right"/>
              <w:rPr>
                <w:rFonts w:ascii="Arial" w:hAnsi="Arial"/>
                <w:sz w:val="16"/>
              </w:rPr>
            </w:pPr>
            <w:r w:rsidRPr="00F6284E">
              <w:rPr>
                <w:sz w:val="16"/>
              </w:rPr>
              <w:t>21</w:t>
            </w:r>
            <w:r w:rsidRPr="00F6284E">
              <w:rPr>
                <w:i/>
                <w:sz w:val="16"/>
                <w:vertAlign w:val="superscript"/>
              </w:rPr>
              <w:t>b</w:t>
            </w:r>
          </w:p>
          <w:p w14:paraId="50B35E11" w14:textId="6898FA11" w:rsidR="00640E51" w:rsidRPr="00F6284E" w:rsidRDefault="00640E51" w:rsidP="00230E14">
            <w:pPr>
              <w:jc w:val="right"/>
              <w:rPr>
                <w:rFonts w:ascii="Arial" w:hAnsi="Arial"/>
                <w:sz w:val="16"/>
              </w:rPr>
            </w:pPr>
            <w:r w:rsidRPr="00F6284E">
              <w:rPr>
                <w:sz w:val="16"/>
              </w:rPr>
              <w:t>±5</w:t>
            </w:r>
          </w:p>
        </w:tc>
        <w:tc>
          <w:tcPr>
            <w:tcW w:w="464" w:type="dxa"/>
            <w:shd w:val="clear" w:color="auto" w:fill="auto"/>
            <w:vAlign w:val="center"/>
          </w:tcPr>
          <w:p w14:paraId="4BF8D2EC" w14:textId="5F883086" w:rsidR="00640E51" w:rsidRPr="00F6284E" w:rsidRDefault="00640E51" w:rsidP="00230E14">
            <w:pPr>
              <w:jc w:val="right"/>
              <w:rPr>
                <w:rFonts w:ascii="Arial" w:hAnsi="Arial"/>
                <w:sz w:val="18"/>
              </w:rPr>
            </w:pPr>
            <w:r w:rsidRPr="00F6284E">
              <w:rPr>
                <w:sz w:val="18"/>
              </w:rPr>
              <w:t>10</w:t>
            </w:r>
          </w:p>
        </w:tc>
        <w:tc>
          <w:tcPr>
            <w:tcW w:w="1084" w:type="dxa"/>
            <w:shd w:val="clear" w:color="auto" w:fill="auto"/>
            <w:vAlign w:val="center"/>
          </w:tcPr>
          <w:p w14:paraId="718A7C90" w14:textId="77777777" w:rsidR="00640E51" w:rsidRPr="00F6284E" w:rsidRDefault="00640E51" w:rsidP="00230E14">
            <w:pPr>
              <w:jc w:val="right"/>
              <w:rPr>
                <w:rFonts w:ascii="Arial" w:hAnsi="Arial"/>
                <w:sz w:val="16"/>
              </w:rPr>
            </w:pPr>
            <w:r w:rsidRPr="00F6284E">
              <w:rPr>
                <w:sz w:val="16"/>
              </w:rPr>
              <w:t>18</w:t>
            </w:r>
            <w:r w:rsidRPr="00F6284E">
              <w:rPr>
                <w:i/>
                <w:sz w:val="16"/>
                <w:vertAlign w:val="superscript"/>
              </w:rPr>
              <w:t>b</w:t>
            </w:r>
          </w:p>
          <w:p w14:paraId="0C2C81E7" w14:textId="68D9A6E2" w:rsidR="00640E51" w:rsidRPr="00F6284E" w:rsidRDefault="00640E51" w:rsidP="00230E14">
            <w:pPr>
              <w:jc w:val="right"/>
              <w:rPr>
                <w:rFonts w:ascii="Arial" w:hAnsi="Arial"/>
                <w:sz w:val="16"/>
              </w:rPr>
            </w:pPr>
            <w:r w:rsidRPr="00F6284E">
              <w:rPr>
                <w:sz w:val="16"/>
              </w:rPr>
              <w:t>±6</w:t>
            </w:r>
          </w:p>
        </w:tc>
        <w:tc>
          <w:tcPr>
            <w:tcW w:w="470" w:type="dxa"/>
            <w:shd w:val="clear" w:color="auto" w:fill="auto"/>
            <w:vAlign w:val="center"/>
          </w:tcPr>
          <w:p w14:paraId="5DA481EE" w14:textId="78B74DE8" w:rsidR="00640E51" w:rsidRPr="00D711DD" w:rsidRDefault="00640E51" w:rsidP="00230E14">
            <w:pPr>
              <w:jc w:val="right"/>
              <w:rPr>
                <w:rFonts w:ascii="Arial" w:hAnsi="Arial"/>
                <w:sz w:val="18"/>
              </w:rPr>
            </w:pPr>
            <w:r w:rsidRPr="00512F95">
              <w:rPr>
                <w:rFonts w:cs="Arial"/>
                <w:sz w:val="18"/>
                <w:szCs w:val="18"/>
                <w:lang w:bidi="ar-SA"/>
              </w:rPr>
              <w:t>10</w:t>
            </w:r>
          </w:p>
        </w:tc>
        <w:tc>
          <w:tcPr>
            <w:tcW w:w="1078" w:type="dxa"/>
            <w:shd w:val="clear" w:color="auto" w:fill="auto"/>
            <w:vAlign w:val="center"/>
          </w:tcPr>
          <w:p w14:paraId="1C39E3F1" w14:textId="77777777" w:rsidR="00640E51" w:rsidRPr="00F6284E" w:rsidRDefault="00640E51" w:rsidP="00230E14">
            <w:pPr>
              <w:jc w:val="right"/>
              <w:rPr>
                <w:rFonts w:ascii="Arial" w:hAnsi="Arial"/>
                <w:sz w:val="16"/>
              </w:rPr>
            </w:pPr>
            <w:r w:rsidRPr="000B3C14">
              <w:rPr>
                <w:sz w:val="16"/>
              </w:rPr>
              <w:t>10</w:t>
            </w:r>
            <w:r w:rsidRPr="000B3C14">
              <w:rPr>
                <w:i/>
                <w:sz w:val="16"/>
                <w:vertAlign w:val="superscript"/>
              </w:rPr>
              <w:t>b</w:t>
            </w:r>
          </w:p>
          <w:p w14:paraId="22803896" w14:textId="354409F3" w:rsidR="00640E51" w:rsidRPr="00F6284E" w:rsidRDefault="00640E51" w:rsidP="00230E14">
            <w:pPr>
              <w:jc w:val="right"/>
              <w:rPr>
                <w:rFonts w:ascii="Arial" w:hAnsi="Arial"/>
                <w:sz w:val="16"/>
              </w:rPr>
            </w:pPr>
            <w:r w:rsidRPr="00F6284E">
              <w:rPr>
                <w:sz w:val="16"/>
              </w:rPr>
              <w:t>±1</w:t>
            </w:r>
          </w:p>
        </w:tc>
      </w:tr>
      <w:tr w:rsidR="00640E51" w14:paraId="15443E74" w14:textId="77777777" w:rsidTr="00F6284E">
        <w:tc>
          <w:tcPr>
            <w:tcW w:w="1809" w:type="dxa"/>
            <w:vAlign w:val="center"/>
          </w:tcPr>
          <w:p w14:paraId="3A7CCC4E" w14:textId="44397D20" w:rsidR="00640E51" w:rsidRPr="00D711DD" w:rsidRDefault="00640E51" w:rsidP="00A111E9">
            <w:pPr>
              <w:rPr>
                <w:rFonts w:ascii="Arial" w:hAnsi="Arial"/>
                <w:sz w:val="18"/>
              </w:rPr>
            </w:pPr>
            <w:r w:rsidRPr="00512F95">
              <w:rPr>
                <w:rFonts w:cs="Arial"/>
                <w:sz w:val="18"/>
                <w:szCs w:val="18"/>
                <w:lang w:bidi="ar-SA"/>
              </w:rPr>
              <w:t>5 mg/kg GD</w:t>
            </w:r>
            <w:r w:rsidR="00F03521">
              <w:rPr>
                <w:rFonts w:cs="Arial"/>
                <w:sz w:val="18"/>
                <w:szCs w:val="18"/>
                <w:lang w:bidi="ar-SA"/>
              </w:rPr>
              <w:t xml:space="preserve"> </w:t>
            </w:r>
            <w:r w:rsidRPr="00512F95">
              <w:rPr>
                <w:rFonts w:cs="Arial"/>
                <w:sz w:val="18"/>
                <w:szCs w:val="18"/>
                <w:lang w:bidi="ar-SA"/>
              </w:rPr>
              <w:t>7-17</w:t>
            </w:r>
          </w:p>
        </w:tc>
        <w:tc>
          <w:tcPr>
            <w:tcW w:w="469" w:type="dxa"/>
            <w:vAlign w:val="center"/>
          </w:tcPr>
          <w:p w14:paraId="36B3407B" w14:textId="3328C47B" w:rsidR="00640E51" w:rsidRPr="00D711DD" w:rsidRDefault="00640E51" w:rsidP="00230E14">
            <w:pPr>
              <w:jc w:val="right"/>
              <w:rPr>
                <w:rFonts w:ascii="Arial" w:hAnsi="Arial"/>
                <w:sz w:val="18"/>
              </w:rPr>
            </w:pPr>
            <w:r w:rsidRPr="00512F95">
              <w:rPr>
                <w:rFonts w:cs="Arial"/>
                <w:sz w:val="18"/>
                <w:szCs w:val="18"/>
                <w:lang w:bidi="ar-SA"/>
              </w:rPr>
              <w:t>14</w:t>
            </w:r>
          </w:p>
        </w:tc>
        <w:tc>
          <w:tcPr>
            <w:tcW w:w="873" w:type="dxa"/>
            <w:vAlign w:val="center"/>
          </w:tcPr>
          <w:p w14:paraId="0B4754DF" w14:textId="3DE08E84" w:rsidR="00640E51" w:rsidRPr="000B3C14" w:rsidRDefault="00640E51" w:rsidP="00230E14">
            <w:pPr>
              <w:spacing w:before="20" w:after="20"/>
              <w:jc w:val="right"/>
              <w:rPr>
                <w:rFonts w:ascii="Arial" w:hAnsi="Arial"/>
                <w:sz w:val="16"/>
              </w:rPr>
            </w:pPr>
            <w:r w:rsidRPr="000B3C14">
              <w:rPr>
                <w:sz w:val="16"/>
              </w:rPr>
              <w:t>24</w:t>
            </w:r>
            <w:r w:rsidR="00CC26CA">
              <w:rPr>
                <w:sz w:val="16"/>
              </w:rPr>
              <w:t> 843</w:t>
            </w:r>
          </w:p>
          <w:p w14:paraId="60B6A726" w14:textId="4A8F9A05" w:rsidR="00640E51" w:rsidRPr="00F6284E" w:rsidRDefault="00640E51" w:rsidP="00230E14">
            <w:pPr>
              <w:spacing w:before="20" w:after="20"/>
              <w:jc w:val="right"/>
              <w:rPr>
                <w:rFonts w:ascii="Arial" w:hAnsi="Arial"/>
                <w:sz w:val="16"/>
              </w:rPr>
            </w:pPr>
            <w:r w:rsidRPr="00F6284E">
              <w:rPr>
                <w:sz w:val="16"/>
              </w:rPr>
              <w:t>±1840</w:t>
            </w:r>
          </w:p>
        </w:tc>
        <w:tc>
          <w:tcPr>
            <w:tcW w:w="457" w:type="dxa"/>
            <w:shd w:val="clear" w:color="auto" w:fill="auto"/>
            <w:vAlign w:val="center"/>
          </w:tcPr>
          <w:p w14:paraId="24532CE9" w14:textId="23E4A68A" w:rsidR="00640E51" w:rsidRPr="00F6284E" w:rsidRDefault="00640E51" w:rsidP="00230E14">
            <w:pPr>
              <w:jc w:val="right"/>
              <w:rPr>
                <w:rFonts w:ascii="Arial" w:hAnsi="Arial"/>
                <w:sz w:val="18"/>
              </w:rPr>
            </w:pPr>
            <w:r w:rsidRPr="00F6284E">
              <w:rPr>
                <w:sz w:val="18"/>
              </w:rPr>
              <w:t>10</w:t>
            </w:r>
          </w:p>
        </w:tc>
        <w:tc>
          <w:tcPr>
            <w:tcW w:w="1151" w:type="dxa"/>
            <w:shd w:val="clear" w:color="auto" w:fill="auto"/>
            <w:vAlign w:val="center"/>
          </w:tcPr>
          <w:p w14:paraId="09976BDB" w14:textId="77777777" w:rsidR="00640E51" w:rsidRPr="00F6284E" w:rsidRDefault="00640E51" w:rsidP="00230E14">
            <w:pPr>
              <w:jc w:val="right"/>
              <w:rPr>
                <w:rFonts w:ascii="Arial" w:hAnsi="Arial"/>
                <w:sz w:val="16"/>
              </w:rPr>
            </w:pPr>
            <w:r w:rsidRPr="00F6284E">
              <w:rPr>
                <w:sz w:val="16"/>
              </w:rPr>
              <w:t>8680</w:t>
            </w:r>
            <w:r w:rsidRPr="00F6284E">
              <w:rPr>
                <w:i/>
                <w:sz w:val="16"/>
                <w:vertAlign w:val="superscript"/>
              </w:rPr>
              <w:t>c</w:t>
            </w:r>
          </w:p>
          <w:p w14:paraId="5A373C56" w14:textId="11116E87" w:rsidR="00640E51" w:rsidRPr="00F6284E" w:rsidRDefault="00640E51" w:rsidP="00230E14">
            <w:pPr>
              <w:jc w:val="right"/>
              <w:rPr>
                <w:rFonts w:ascii="Arial" w:hAnsi="Arial"/>
                <w:sz w:val="16"/>
              </w:rPr>
            </w:pPr>
            <w:r w:rsidRPr="00F6284E">
              <w:rPr>
                <w:sz w:val="16"/>
              </w:rPr>
              <w:t>±1091</w:t>
            </w:r>
          </w:p>
        </w:tc>
        <w:tc>
          <w:tcPr>
            <w:tcW w:w="487" w:type="dxa"/>
            <w:shd w:val="clear" w:color="auto" w:fill="auto"/>
            <w:vAlign w:val="center"/>
          </w:tcPr>
          <w:p w14:paraId="183DFA1F" w14:textId="27C471EE" w:rsidR="00640E51" w:rsidRPr="00F6284E" w:rsidRDefault="00640E51" w:rsidP="00230E14">
            <w:pPr>
              <w:jc w:val="right"/>
              <w:rPr>
                <w:rFonts w:ascii="Arial" w:hAnsi="Arial"/>
                <w:sz w:val="18"/>
              </w:rPr>
            </w:pPr>
            <w:r w:rsidRPr="00F6284E">
              <w:rPr>
                <w:sz w:val="18"/>
              </w:rPr>
              <w:t>12</w:t>
            </w:r>
          </w:p>
        </w:tc>
        <w:tc>
          <w:tcPr>
            <w:tcW w:w="1061" w:type="dxa"/>
            <w:shd w:val="clear" w:color="auto" w:fill="auto"/>
            <w:vAlign w:val="center"/>
          </w:tcPr>
          <w:p w14:paraId="4FBE4221" w14:textId="77777777" w:rsidR="00640E51" w:rsidRPr="00F6284E" w:rsidRDefault="00640E51" w:rsidP="00230E14">
            <w:pPr>
              <w:jc w:val="right"/>
              <w:rPr>
                <w:rFonts w:ascii="Arial" w:hAnsi="Arial"/>
                <w:sz w:val="16"/>
              </w:rPr>
            </w:pPr>
            <w:r w:rsidRPr="00F6284E">
              <w:rPr>
                <w:sz w:val="16"/>
              </w:rPr>
              <w:t>21894</w:t>
            </w:r>
            <w:r w:rsidRPr="00F6284E">
              <w:rPr>
                <w:i/>
                <w:sz w:val="16"/>
                <w:vertAlign w:val="superscript"/>
              </w:rPr>
              <w:t>d</w:t>
            </w:r>
          </w:p>
          <w:p w14:paraId="14129FCA" w14:textId="50FBD1AA" w:rsidR="00640E51" w:rsidRPr="00F6284E" w:rsidRDefault="00640E51" w:rsidP="00230E14">
            <w:pPr>
              <w:jc w:val="right"/>
              <w:rPr>
                <w:rFonts w:ascii="Arial" w:hAnsi="Arial"/>
                <w:sz w:val="16"/>
              </w:rPr>
            </w:pPr>
            <w:r w:rsidRPr="00F6284E">
              <w:rPr>
                <w:sz w:val="16"/>
              </w:rPr>
              <w:t>±2553</w:t>
            </w:r>
          </w:p>
        </w:tc>
        <w:tc>
          <w:tcPr>
            <w:tcW w:w="464" w:type="dxa"/>
            <w:shd w:val="clear" w:color="auto" w:fill="auto"/>
            <w:vAlign w:val="center"/>
          </w:tcPr>
          <w:p w14:paraId="237CF68E" w14:textId="06BA711B" w:rsidR="00640E51" w:rsidRPr="00F6284E" w:rsidRDefault="00640E51" w:rsidP="00230E14">
            <w:pPr>
              <w:jc w:val="right"/>
              <w:rPr>
                <w:rFonts w:ascii="Arial" w:hAnsi="Arial"/>
                <w:sz w:val="18"/>
              </w:rPr>
            </w:pPr>
            <w:r w:rsidRPr="00F6284E">
              <w:rPr>
                <w:sz w:val="18"/>
              </w:rPr>
              <w:t>16</w:t>
            </w:r>
          </w:p>
        </w:tc>
        <w:tc>
          <w:tcPr>
            <w:tcW w:w="1084" w:type="dxa"/>
            <w:shd w:val="clear" w:color="auto" w:fill="auto"/>
            <w:vAlign w:val="center"/>
          </w:tcPr>
          <w:p w14:paraId="00E40EA3" w14:textId="77777777" w:rsidR="00640E51" w:rsidRPr="00F6284E" w:rsidRDefault="00640E51" w:rsidP="00230E14">
            <w:pPr>
              <w:jc w:val="right"/>
              <w:rPr>
                <w:rFonts w:ascii="Arial" w:hAnsi="Arial"/>
                <w:sz w:val="16"/>
              </w:rPr>
            </w:pPr>
            <w:r w:rsidRPr="00F6284E">
              <w:rPr>
                <w:sz w:val="16"/>
              </w:rPr>
              <w:t>6048</w:t>
            </w:r>
          </w:p>
          <w:p w14:paraId="2988B51E" w14:textId="48123138" w:rsidR="00640E51" w:rsidRPr="00F6284E" w:rsidRDefault="00640E51" w:rsidP="00230E14">
            <w:pPr>
              <w:jc w:val="right"/>
              <w:rPr>
                <w:rFonts w:ascii="Arial" w:hAnsi="Arial"/>
                <w:sz w:val="16"/>
              </w:rPr>
            </w:pPr>
            <w:r w:rsidRPr="00F6284E">
              <w:rPr>
                <w:sz w:val="16"/>
              </w:rPr>
              <w:t>±500</w:t>
            </w:r>
          </w:p>
        </w:tc>
        <w:tc>
          <w:tcPr>
            <w:tcW w:w="470" w:type="dxa"/>
            <w:shd w:val="clear" w:color="auto" w:fill="auto"/>
            <w:vAlign w:val="center"/>
          </w:tcPr>
          <w:p w14:paraId="31814D97" w14:textId="2B34A8E1" w:rsidR="00640E51" w:rsidRPr="00D711DD" w:rsidRDefault="00640E51" w:rsidP="00230E14">
            <w:pPr>
              <w:jc w:val="right"/>
              <w:rPr>
                <w:rFonts w:ascii="Arial" w:hAnsi="Arial"/>
                <w:sz w:val="18"/>
              </w:rPr>
            </w:pPr>
            <w:r w:rsidRPr="00512F95">
              <w:rPr>
                <w:rFonts w:cs="Arial"/>
                <w:sz w:val="18"/>
                <w:szCs w:val="18"/>
                <w:lang w:bidi="ar-SA"/>
              </w:rPr>
              <w:t>18</w:t>
            </w:r>
          </w:p>
        </w:tc>
        <w:tc>
          <w:tcPr>
            <w:tcW w:w="1078" w:type="dxa"/>
            <w:shd w:val="clear" w:color="auto" w:fill="auto"/>
            <w:vAlign w:val="center"/>
          </w:tcPr>
          <w:p w14:paraId="6A15DCA8" w14:textId="77777777" w:rsidR="00640E51" w:rsidRPr="000B3C14" w:rsidRDefault="00640E51" w:rsidP="00230E14">
            <w:pPr>
              <w:jc w:val="right"/>
              <w:rPr>
                <w:rFonts w:ascii="Arial" w:hAnsi="Arial"/>
                <w:sz w:val="16"/>
              </w:rPr>
            </w:pPr>
            <w:r w:rsidRPr="000B3C14">
              <w:rPr>
                <w:sz w:val="16"/>
              </w:rPr>
              <w:t>6703</w:t>
            </w:r>
          </w:p>
          <w:p w14:paraId="7C99043B" w14:textId="450984CF" w:rsidR="00640E51" w:rsidRPr="00F6284E" w:rsidRDefault="00640E51" w:rsidP="00230E14">
            <w:pPr>
              <w:jc w:val="right"/>
              <w:rPr>
                <w:rFonts w:ascii="Arial" w:hAnsi="Arial"/>
                <w:sz w:val="16"/>
              </w:rPr>
            </w:pPr>
            <w:r w:rsidRPr="00F6284E">
              <w:rPr>
                <w:sz w:val="16"/>
              </w:rPr>
              <w:t>±698</w:t>
            </w:r>
          </w:p>
        </w:tc>
      </w:tr>
      <w:tr w:rsidR="00640E51" w14:paraId="78B26C55" w14:textId="77777777" w:rsidTr="00F6284E">
        <w:tc>
          <w:tcPr>
            <w:tcW w:w="1809" w:type="dxa"/>
            <w:vAlign w:val="center"/>
          </w:tcPr>
          <w:p w14:paraId="761C94B8" w14:textId="139CA3D8" w:rsidR="00640E51" w:rsidRPr="000B3C14" w:rsidRDefault="00640E51" w:rsidP="00A111E9">
            <w:pPr>
              <w:rPr>
                <w:rFonts w:ascii="Arial" w:hAnsi="Arial"/>
                <w:sz w:val="18"/>
              </w:rPr>
            </w:pPr>
            <w:r w:rsidRPr="00D711DD">
              <w:rPr>
                <w:sz w:val="18"/>
              </w:rPr>
              <w:t>5 mg/kg GD</w:t>
            </w:r>
            <w:r w:rsidR="00F03521">
              <w:rPr>
                <w:sz w:val="18"/>
              </w:rPr>
              <w:t xml:space="preserve"> </w:t>
            </w:r>
            <w:r w:rsidRPr="00D711DD">
              <w:rPr>
                <w:sz w:val="18"/>
              </w:rPr>
              <w:t>10-17</w:t>
            </w:r>
          </w:p>
        </w:tc>
        <w:tc>
          <w:tcPr>
            <w:tcW w:w="469" w:type="dxa"/>
            <w:vAlign w:val="center"/>
          </w:tcPr>
          <w:p w14:paraId="1F77D7BF" w14:textId="3E067362" w:rsidR="00640E51" w:rsidRPr="00D711DD" w:rsidRDefault="00640E51" w:rsidP="00230E14">
            <w:pPr>
              <w:jc w:val="right"/>
              <w:rPr>
                <w:rFonts w:ascii="Arial" w:hAnsi="Arial"/>
                <w:sz w:val="18"/>
              </w:rPr>
            </w:pPr>
            <w:r w:rsidRPr="00512F95">
              <w:rPr>
                <w:rFonts w:cs="Arial"/>
                <w:sz w:val="18"/>
                <w:szCs w:val="18"/>
                <w:lang w:bidi="ar-SA"/>
              </w:rPr>
              <w:t>14</w:t>
            </w:r>
          </w:p>
        </w:tc>
        <w:tc>
          <w:tcPr>
            <w:tcW w:w="873" w:type="dxa"/>
            <w:vAlign w:val="center"/>
          </w:tcPr>
          <w:p w14:paraId="021495B3" w14:textId="6AC83697" w:rsidR="00640E51" w:rsidRPr="000B3C14" w:rsidRDefault="00640E51" w:rsidP="00230E14">
            <w:pPr>
              <w:spacing w:before="20" w:after="20"/>
              <w:jc w:val="right"/>
              <w:rPr>
                <w:rFonts w:ascii="Arial" w:hAnsi="Arial"/>
                <w:sz w:val="16"/>
              </w:rPr>
            </w:pPr>
            <w:r w:rsidRPr="000B3C14">
              <w:rPr>
                <w:sz w:val="16"/>
              </w:rPr>
              <w:t>25</w:t>
            </w:r>
            <w:r w:rsidR="00CC26CA">
              <w:rPr>
                <w:sz w:val="16"/>
              </w:rPr>
              <w:t> 643</w:t>
            </w:r>
          </w:p>
          <w:p w14:paraId="418259F8" w14:textId="6ABFAC5F" w:rsidR="00640E51" w:rsidRPr="00F6284E" w:rsidRDefault="00640E51" w:rsidP="00230E14">
            <w:pPr>
              <w:spacing w:before="20" w:after="20"/>
              <w:jc w:val="right"/>
              <w:rPr>
                <w:rFonts w:ascii="Arial" w:hAnsi="Arial"/>
                <w:sz w:val="16"/>
              </w:rPr>
            </w:pPr>
            <w:r w:rsidRPr="00F6284E">
              <w:rPr>
                <w:sz w:val="16"/>
              </w:rPr>
              <w:t>±1686</w:t>
            </w:r>
          </w:p>
        </w:tc>
        <w:tc>
          <w:tcPr>
            <w:tcW w:w="457" w:type="dxa"/>
            <w:shd w:val="clear" w:color="auto" w:fill="auto"/>
            <w:vAlign w:val="center"/>
          </w:tcPr>
          <w:p w14:paraId="332ACA9E" w14:textId="15D5C9FC" w:rsidR="00640E51" w:rsidRPr="00F6284E" w:rsidRDefault="00640E51" w:rsidP="00230E14">
            <w:pPr>
              <w:jc w:val="right"/>
              <w:rPr>
                <w:rFonts w:ascii="Arial" w:hAnsi="Arial"/>
                <w:sz w:val="18"/>
              </w:rPr>
            </w:pPr>
            <w:r w:rsidRPr="00F6284E">
              <w:rPr>
                <w:sz w:val="18"/>
              </w:rPr>
              <w:t>12</w:t>
            </w:r>
          </w:p>
        </w:tc>
        <w:tc>
          <w:tcPr>
            <w:tcW w:w="1151" w:type="dxa"/>
            <w:shd w:val="clear" w:color="auto" w:fill="auto"/>
            <w:vAlign w:val="center"/>
          </w:tcPr>
          <w:p w14:paraId="64C9ECD5" w14:textId="77777777" w:rsidR="00640E51" w:rsidRPr="00F6284E" w:rsidRDefault="00640E51" w:rsidP="00230E14">
            <w:pPr>
              <w:jc w:val="right"/>
              <w:rPr>
                <w:rFonts w:ascii="Arial" w:hAnsi="Arial"/>
                <w:sz w:val="16"/>
              </w:rPr>
            </w:pPr>
            <w:r w:rsidRPr="00F6284E">
              <w:rPr>
                <w:sz w:val="16"/>
              </w:rPr>
              <w:t>6495</w:t>
            </w:r>
          </w:p>
          <w:p w14:paraId="40C253FD" w14:textId="318FA5A2" w:rsidR="00640E51" w:rsidRPr="00F6284E" w:rsidRDefault="00640E51" w:rsidP="00230E14">
            <w:pPr>
              <w:jc w:val="right"/>
              <w:rPr>
                <w:rFonts w:ascii="Arial" w:hAnsi="Arial"/>
                <w:sz w:val="16"/>
              </w:rPr>
            </w:pPr>
            <w:r w:rsidRPr="00F6284E">
              <w:rPr>
                <w:sz w:val="16"/>
              </w:rPr>
              <w:t>±297</w:t>
            </w:r>
          </w:p>
        </w:tc>
        <w:tc>
          <w:tcPr>
            <w:tcW w:w="487" w:type="dxa"/>
            <w:shd w:val="clear" w:color="auto" w:fill="auto"/>
            <w:vAlign w:val="center"/>
          </w:tcPr>
          <w:p w14:paraId="6009F072" w14:textId="36538CD7" w:rsidR="00640E51" w:rsidRPr="00F6284E" w:rsidRDefault="00640E51" w:rsidP="00230E14">
            <w:pPr>
              <w:jc w:val="right"/>
              <w:rPr>
                <w:rFonts w:ascii="Arial" w:hAnsi="Arial"/>
                <w:sz w:val="18"/>
              </w:rPr>
            </w:pPr>
            <w:r w:rsidRPr="00F6284E">
              <w:rPr>
                <w:sz w:val="18"/>
              </w:rPr>
              <w:t>13</w:t>
            </w:r>
          </w:p>
        </w:tc>
        <w:tc>
          <w:tcPr>
            <w:tcW w:w="1061" w:type="dxa"/>
            <w:shd w:val="clear" w:color="auto" w:fill="auto"/>
            <w:vAlign w:val="center"/>
          </w:tcPr>
          <w:p w14:paraId="67A75340" w14:textId="77777777" w:rsidR="00640E51" w:rsidRPr="00F6284E" w:rsidRDefault="00640E51" w:rsidP="00230E14">
            <w:pPr>
              <w:jc w:val="right"/>
              <w:rPr>
                <w:rFonts w:ascii="Arial" w:hAnsi="Arial"/>
                <w:sz w:val="16"/>
              </w:rPr>
            </w:pPr>
            <w:r w:rsidRPr="00F6284E">
              <w:rPr>
                <w:sz w:val="16"/>
              </w:rPr>
              <w:t>8782</w:t>
            </w:r>
          </w:p>
          <w:p w14:paraId="7A1CE307" w14:textId="1931BF0E" w:rsidR="00640E51" w:rsidRPr="00F6284E" w:rsidRDefault="00640E51" w:rsidP="00230E14">
            <w:pPr>
              <w:jc w:val="right"/>
              <w:rPr>
                <w:rFonts w:ascii="Arial" w:hAnsi="Arial"/>
                <w:sz w:val="16"/>
              </w:rPr>
            </w:pPr>
            <w:r w:rsidRPr="00F6284E">
              <w:rPr>
                <w:sz w:val="16"/>
              </w:rPr>
              <w:t>±840</w:t>
            </w:r>
          </w:p>
        </w:tc>
        <w:tc>
          <w:tcPr>
            <w:tcW w:w="464" w:type="dxa"/>
            <w:shd w:val="clear" w:color="auto" w:fill="auto"/>
            <w:vAlign w:val="center"/>
          </w:tcPr>
          <w:p w14:paraId="6588AAF1" w14:textId="3991C5EB" w:rsidR="00640E51" w:rsidRPr="00F6284E" w:rsidRDefault="00640E51" w:rsidP="00230E14">
            <w:pPr>
              <w:jc w:val="right"/>
              <w:rPr>
                <w:rFonts w:ascii="Arial" w:hAnsi="Arial"/>
                <w:sz w:val="18"/>
              </w:rPr>
            </w:pPr>
            <w:r w:rsidRPr="00F6284E">
              <w:rPr>
                <w:sz w:val="18"/>
              </w:rPr>
              <w:t>22</w:t>
            </w:r>
          </w:p>
        </w:tc>
        <w:tc>
          <w:tcPr>
            <w:tcW w:w="1084" w:type="dxa"/>
            <w:shd w:val="clear" w:color="auto" w:fill="auto"/>
            <w:vAlign w:val="center"/>
          </w:tcPr>
          <w:p w14:paraId="7CF71F69" w14:textId="77777777" w:rsidR="00640E51" w:rsidRPr="00F6284E" w:rsidRDefault="00640E51" w:rsidP="00230E14">
            <w:pPr>
              <w:jc w:val="right"/>
              <w:rPr>
                <w:rFonts w:ascii="Arial" w:hAnsi="Arial"/>
                <w:sz w:val="16"/>
              </w:rPr>
            </w:pPr>
            <w:r w:rsidRPr="00F6284E">
              <w:rPr>
                <w:sz w:val="16"/>
              </w:rPr>
              <w:t>6188</w:t>
            </w:r>
          </w:p>
          <w:p w14:paraId="413E86BE" w14:textId="2F7D044B" w:rsidR="00640E51" w:rsidRPr="00F6284E" w:rsidRDefault="00640E51" w:rsidP="00230E14">
            <w:pPr>
              <w:jc w:val="right"/>
              <w:rPr>
                <w:rFonts w:ascii="Arial" w:hAnsi="Arial"/>
                <w:sz w:val="16"/>
              </w:rPr>
            </w:pPr>
            <w:r w:rsidRPr="00F6284E">
              <w:rPr>
                <w:sz w:val="16"/>
              </w:rPr>
              <w:t>±833</w:t>
            </w:r>
          </w:p>
        </w:tc>
        <w:tc>
          <w:tcPr>
            <w:tcW w:w="470" w:type="dxa"/>
            <w:shd w:val="clear" w:color="auto" w:fill="auto"/>
            <w:vAlign w:val="center"/>
          </w:tcPr>
          <w:p w14:paraId="5D563FFD" w14:textId="1E3F9349" w:rsidR="00640E51" w:rsidRPr="00D711DD" w:rsidRDefault="00640E51" w:rsidP="00230E14">
            <w:pPr>
              <w:jc w:val="right"/>
              <w:rPr>
                <w:rFonts w:ascii="Arial" w:hAnsi="Arial"/>
                <w:sz w:val="18"/>
              </w:rPr>
            </w:pPr>
            <w:r w:rsidRPr="00512F95">
              <w:rPr>
                <w:rFonts w:cs="Arial"/>
                <w:sz w:val="18"/>
                <w:szCs w:val="18"/>
                <w:lang w:bidi="ar-SA"/>
              </w:rPr>
              <w:t>20</w:t>
            </w:r>
          </w:p>
        </w:tc>
        <w:tc>
          <w:tcPr>
            <w:tcW w:w="1078" w:type="dxa"/>
            <w:shd w:val="clear" w:color="auto" w:fill="auto"/>
            <w:vAlign w:val="center"/>
          </w:tcPr>
          <w:p w14:paraId="54BAD418" w14:textId="77777777" w:rsidR="00640E51" w:rsidRPr="000B3C14" w:rsidRDefault="00640E51" w:rsidP="00230E14">
            <w:pPr>
              <w:jc w:val="right"/>
              <w:rPr>
                <w:rFonts w:ascii="Arial" w:hAnsi="Arial"/>
                <w:sz w:val="16"/>
              </w:rPr>
            </w:pPr>
            <w:r w:rsidRPr="000B3C14">
              <w:rPr>
                <w:sz w:val="16"/>
              </w:rPr>
              <w:t>6719</w:t>
            </w:r>
          </w:p>
          <w:p w14:paraId="16C402F7" w14:textId="335080D2" w:rsidR="00640E51" w:rsidRPr="00F6284E" w:rsidRDefault="00640E51" w:rsidP="00230E14">
            <w:pPr>
              <w:jc w:val="right"/>
              <w:rPr>
                <w:rFonts w:ascii="Arial" w:hAnsi="Arial"/>
                <w:sz w:val="16"/>
              </w:rPr>
            </w:pPr>
            <w:r w:rsidRPr="00F6284E">
              <w:rPr>
                <w:sz w:val="16"/>
              </w:rPr>
              <w:t>±687</w:t>
            </w:r>
          </w:p>
        </w:tc>
      </w:tr>
      <w:tr w:rsidR="00640E51" w14:paraId="2911E3E6" w14:textId="77777777" w:rsidTr="00F6284E">
        <w:tc>
          <w:tcPr>
            <w:tcW w:w="1809" w:type="dxa"/>
            <w:vAlign w:val="center"/>
          </w:tcPr>
          <w:p w14:paraId="6FF2F854" w14:textId="00423D75" w:rsidR="00640E51" w:rsidRPr="000B3C14" w:rsidRDefault="00640E51" w:rsidP="00A111E9">
            <w:pPr>
              <w:rPr>
                <w:rFonts w:ascii="Arial" w:hAnsi="Arial"/>
                <w:sz w:val="18"/>
              </w:rPr>
            </w:pPr>
            <w:r w:rsidRPr="00D711DD">
              <w:rPr>
                <w:sz w:val="18"/>
              </w:rPr>
              <w:t>5 mg/kg GD</w:t>
            </w:r>
            <w:r w:rsidR="00F03521">
              <w:rPr>
                <w:sz w:val="18"/>
              </w:rPr>
              <w:t xml:space="preserve"> </w:t>
            </w:r>
            <w:r w:rsidRPr="00D711DD">
              <w:rPr>
                <w:sz w:val="18"/>
              </w:rPr>
              <w:t>13-17</w:t>
            </w:r>
          </w:p>
        </w:tc>
        <w:tc>
          <w:tcPr>
            <w:tcW w:w="469" w:type="dxa"/>
            <w:vAlign w:val="center"/>
          </w:tcPr>
          <w:p w14:paraId="7693B625" w14:textId="18854222" w:rsidR="00640E51" w:rsidRPr="00D711DD" w:rsidRDefault="00640E51" w:rsidP="00230E14">
            <w:pPr>
              <w:jc w:val="right"/>
              <w:rPr>
                <w:rFonts w:ascii="Arial" w:hAnsi="Arial"/>
                <w:sz w:val="18"/>
              </w:rPr>
            </w:pPr>
            <w:r w:rsidRPr="00512F95">
              <w:rPr>
                <w:rFonts w:cs="Arial"/>
                <w:sz w:val="18"/>
                <w:szCs w:val="18"/>
                <w:lang w:bidi="ar-SA"/>
              </w:rPr>
              <w:t>11</w:t>
            </w:r>
          </w:p>
        </w:tc>
        <w:tc>
          <w:tcPr>
            <w:tcW w:w="873" w:type="dxa"/>
            <w:vAlign w:val="center"/>
          </w:tcPr>
          <w:p w14:paraId="5644A921" w14:textId="1DE33A7D" w:rsidR="00640E51" w:rsidRPr="000B3C14" w:rsidRDefault="00640E51" w:rsidP="00230E14">
            <w:pPr>
              <w:spacing w:before="20" w:after="20"/>
              <w:jc w:val="right"/>
              <w:rPr>
                <w:rFonts w:ascii="Arial" w:hAnsi="Arial"/>
                <w:sz w:val="16"/>
              </w:rPr>
            </w:pPr>
            <w:r w:rsidRPr="000B3C14">
              <w:rPr>
                <w:sz w:val="16"/>
              </w:rPr>
              <w:t>20</w:t>
            </w:r>
            <w:r w:rsidR="00CC26CA">
              <w:rPr>
                <w:sz w:val="16"/>
              </w:rPr>
              <w:t> 259</w:t>
            </w:r>
          </w:p>
          <w:p w14:paraId="572DADAB" w14:textId="2319480F" w:rsidR="00640E51" w:rsidRPr="00F6284E" w:rsidRDefault="00640E51" w:rsidP="00230E14">
            <w:pPr>
              <w:spacing w:before="20" w:after="20"/>
              <w:jc w:val="right"/>
              <w:rPr>
                <w:rFonts w:ascii="Arial" w:hAnsi="Arial"/>
                <w:sz w:val="16"/>
              </w:rPr>
            </w:pPr>
            <w:r w:rsidRPr="00F6284E">
              <w:rPr>
                <w:sz w:val="16"/>
              </w:rPr>
              <w:t>±2627</w:t>
            </w:r>
          </w:p>
        </w:tc>
        <w:tc>
          <w:tcPr>
            <w:tcW w:w="457" w:type="dxa"/>
            <w:shd w:val="clear" w:color="auto" w:fill="auto"/>
            <w:vAlign w:val="center"/>
          </w:tcPr>
          <w:p w14:paraId="182D9AFC" w14:textId="45B297D2" w:rsidR="00640E51" w:rsidRPr="00F6284E" w:rsidRDefault="00640E51" w:rsidP="00230E14">
            <w:pPr>
              <w:jc w:val="right"/>
              <w:rPr>
                <w:rFonts w:ascii="Arial" w:hAnsi="Arial"/>
                <w:sz w:val="18"/>
              </w:rPr>
            </w:pPr>
            <w:r w:rsidRPr="00F6284E">
              <w:rPr>
                <w:sz w:val="18"/>
              </w:rPr>
              <w:t>10</w:t>
            </w:r>
          </w:p>
        </w:tc>
        <w:tc>
          <w:tcPr>
            <w:tcW w:w="1151" w:type="dxa"/>
            <w:shd w:val="clear" w:color="auto" w:fill="auto"/>
            <w:vAlign w:val="center"/>
          </w:tcPr>
          <w:p w14:paraId="6ED21429" w14:textId="77777777" w:rsidR="00640E51" w:rsidRPr="00F6284E" w:rsidRDefault="00640E51" w:rsidP="00230E14">
            <w:pPr>
              <w:jc w:val="right"/>
              <w:rPr>
                <w:rFonts w:ascii="Arial" w:hAnsi="Arial"/>
                <w:sz w:val="16"/>
              </w:rPr>
            </w:pPr>
            <w:r w:rsidRPr="00F6284E">
              <w:rPr>
                <w:sz w:val="16"/>
              </w:rPr>
              <w:t>5364</w:t>
            </w:r>
          </w:p>
          <w:p w14:paraId="0E6C5C68" w14:textId="0C5C60B5" w:rsidR="00640E51" w:rsidRPr="00F6284E" w:rsidRDefault="00640E51" w:rsidP="00230E14">
            <w:pPr>
              <w:jc w:val="right"/>
              <w:rPr>
                <w:rFonts w:ascii="Arial" w:hAnsi="Arial"/>
                <w:sz w:val="16"/>
              </w:rPr>
            </w:pPr>
            <w:r w:rsidRPr="00F6284E">
              <w:rPr>
                <w:sz w:val="16"/>
              </w:rPr>
              <w:t>±673</w:t>
            </w:r>
          </w:p>
        </w:tc>
        <w:tc>
          <w:tcPr>
            <w:tcW w:w="487" w:type="dxa"/>
            <w:shd w:val="clear" w:color="auto" w:fill="auto"/>
            <w:vAlign w:val="center"/>
          </w:tcPr>
          <w:p w14:paraId="4BF5F209" w14:textId="3E4EE956" w:rsidR="00640E51" w:rsidRPr="00F6284E" w:rsidRDefault="00640E51" w:rsidP="00230E14">
            <w:pPr>
              <w:jc w:val="right"/>
              <w:rPr>
                <w:rFonts w:ascii="Arial" w:hAnsi="Arial"/>
                <w:sz w:val="18"/>
              </w:rPr>
            </w:pPr>
            <w:r w:rsidRPr="00F6284E">
              <w:rPr>
                <w:sz w:val="18"/>
              </w:rPr>
              <w:t>10</w:t>
            </w:r>
          </w:p>
        </w:tc>
        <w:tc>
          <w:tcPr>
            <w:tcW w:w="1061" w:type="dxa"/>
            <w:shd w:val="clear" w:color="auto" w:fill="auto"/>
            <w:vAlign w:val="center"/>
          </w:tcPr>
          <w:p w14:paraId="247B38C8" w14:textId="77777777" w:rsidR="00640E51" w:rsidRPr="00F6284E" w:rsidRDefault="00640E51" w:rsidP="00230E14">
            <w:pPr>
              <w:jc w:val="right"/>
              <w:rPr>
                <w:rFonts w:ascii="Arial" w:hAnsi="Arial"/>
                <w:sz w:val="16"/>
              </w:rPr>
            </w:pPr>
            <w:r w:rsidRPr="00F6284E">
              <w:rPr>
                <w:sz w:val="16"/>
              </w:rPr>
              <w:t>5132</w:t>
            </w:r>
          </w:p>
          <w:p w14:paraId="6E21A8BE" w14:textId="263E0914" w:rsidR="00640E51" w:rsidRPr="00F6284E" w:rsidRDefault="00640E51" w:rsidP="00230E14">
            <w:pPr>
              <w:jc w:val="right"/>
              <w:rPr>
                <w:rFonts w:ascii="Arial" w:hAnsi="Arial"/>
                <w:sz w:val="16"/>
              </w:rPr>
            </w:pPr>
            <w:r w:rsidRPr="00F6284E">
              <w:rPr>
                <w:sz w:val="16"/>
              </w:rPr>
              <w:t>±280</w:t>
            </w:r>
          </w:p>
        </w:tc>
        <w:tc>
          <w:tcPr>
            <w:tcW w:w="464" w:type="dxa"/>
            <w:shd w:val="clear" w:color="auto" w:fill="auto"/>
            <w:vAlign w:val="center"/>
          </w:tcPr>
          <w:p w14:paraId="04BAE09E" w14:textId="28628930" w:rsidR="00640E51" w:rsidRPr="00F6284E" w:rsidRDefault="00640E51" w:rsidP="00230E14">
            <w:pPr>
              <w:jc w:val="right"/>
              <w:rPr>
                <w:rFonts w:ascii="Arial" w:hAnsi="Arial"/>
                <w:sz w:val="18"/>
              </w:rPr>
            </w:pPr>
            <w:r w:rsidRPr="00F6284E">
              <w:rPr>
                <w:sz w:val="18"/>
              </w:rPr>
              <w:t>9</w:t>
            </w:r>
          </w:p>
        </w:tc>
        <w:tc>
          <w:tcPr>
            <w:tcW w:w="1084" w:type="dxa"/>
            <w:shd w:val="clear" w:color="auto" w:fill="auto"/>
            <w:vAlign w:val="center"/>
          </w:tcPr>
          <w:p w14:paraId="6A1A828B" w14:textId="77777777" w:rsidR="00640E51" w:rsidRPr="00F6284E" w:rsidRDefault="00640E51" w:rsidP="00230E14">
            <w:pPr>
              <w:jc w:val="right"/>
              <w:rPr>
                <w:rFonts w:ascii="Arial" w:hAnsi="Arial"/>
                <w:sz w:val="16"/>
              </w:rPr>
            </w:pPr>
            <w:r w:rsidRPr="00F6284E">
              <w:rPr>
                <w:sz w:val="16"/>
              </w:rPr>
              <w:t>6287</w:t>
            </w:r>
          </w:p>
          <w:p w14:paraId="1C536C40" w14:textId="160EEB69" w:rsidR="00640E51" w:rsidRPr="00F6284E" w:rsidRDefault="00640E51" w:rsidP="00230E14">
            <w:pPr>
              <w:jc w:val="right"/>
              <w:rPr>
                <w:rFonts w:ascii="Arial" w:hAnsi="Arial"/>
                <w:sz w:val="16"/>
              </w:rPr>
            </w:pPr>
            <w:r w:rsidRPr="00F6284E">
              <w:rPr>
                <w:sz w:val="16"/>
              </w:rPr>
              <w:t>±761</w:t>
            </w:r>
          </w:p>
        </w:tc>
        <w:tc>
          <w:tcPr>
            <w:tcW w:w="470" w:type="dxa"/>
            <w:shd w:val="clear" w:color="auto" w:fill="auto"/>
            <w:vAlign w:val="center"/>
          </w:tcPr>
          <w:p w14:paraId="3543D3B7" w14:textId="08021F4E" w:rsidR="00640E51" w:rsidRPr="00D711DD" w:rsidRDefault="00640E51" w:rsidP="00230E14">
            <w:pPr>
              <w:jc w:val="right"/>
              <w:rPr>
                <w:rFonts w:ascii="Arial" w:hAnsi="Arial"/>
                <w:sz w:val="18"/>
              </w:rPr>
            </w:pPr>
            <w:r w:rsidRPr="00512F95">
              <w:rPr>
                <w:rFonts w:cs="Arial"/>
                <w:sz w:val="18"/>
                <w:szCs w:val="18"/>
                <w:lang w:bidi="ar-SA"/>
              </w:rPr>
              <w:t>14</w:t>
            </w:r>
          </w:p>
        </w:tc>
        <w:tc>
          <w:tcPr>
            <w:tcW w:w="1078" w:type="dxa"/>
            <w:shd w:val="clear" w:color="auto" w:fill="auto"/>
            <w:vAlign w:val="center"/>
          </w:tcPr>
          <w:p w14:paraId="05AFD97C" w14:textId="77777777" w:rsidR="00640E51" w:rsidRPr="000B3C14" w:rsidRDefault="00640E51" w:rsidP="00230E14">
            <w:pPr>
              <w:jc w:val="right"/>
              <w:rPr>
                <w:rFonts w:ascii="Arial" w:hAnsi="Arial"/>
                <w:sz w:val="16"/>
              </w:rPr>
            </w:pPr>
            <w:r w:rsidRPr="000B3C14">
              <w:rPr>
                <w:sz w:val="16"/>
              </w:rPr>
              <w:t>4781</w:t>
            </w:r>
          </w:p>
          <w:p w14:paraId="476C8407" w14:textId="6C8E315D" w:rsidR="00640E51" w:rsidRPr="00F6284E" w:rsidRDefault="00640E51" w:rsidP="00230E14">
            <w:pPr>
              <w:jc w:val="right"/>
              <w:rPr>
                <w:rFonts w:ascii="Arial" w:hAnsi="Arial"/>
                <w:sz w:val="16"/>
              </w:rPr>
            </w:pPr>
            <w:r w:rsidRPr="00F6284E">
              <w:rPr>
                <w:sz w:val="16"/>
              </w:rPr>
              <w:t>±321</w:t>
            </w:r>
          </w:p>
        </w:tc>
      </w:tr>
      <w:tr w:rsidR="00640E51" w14:paraId="5A921EAD" w14:textId="77777777" w:rsidTr="00F6284E">
        <w:tc>
          <w:tcPr>
            <w:tcW w:w="1809" w:type="dxa"/>
            <w:vAlign w:val="center"/>
          </w:tcPr>
          <w:p w14:paraId="2E60C2DA" w14:textId="21804506" w:rsidR="00640E51" w:rsidRPr="000B3C14" w:rsidRDefault="00640E51" w:rsidP="00A111E9">
            <w:pPr>
              <w:rPr>
                <w:rFonts w:ascii="Arial" w:hAnsi="Arial"/>
                <w:sz w:val="18"/>
              </w:rPr>
            </w:pPr>
            <w:r w:rsidRPr="00D711DD">
              <w:rPr>
                <w:sz w:val="18"/>
              </w:rPr>
              <w:t>5 mg/kg GD</w:t>
            </w:r>
            <w:r w:rsidR="00F03521">
              <w:rPr>
                <w:sz w:val="18"/>
              </w:rPr>
              <w:t xml:space="preserve"> </w:t>
            </w:r>
            <w:r w:rsidRPr="00D711DD">
              <w:rPr>
                <w:sz w:val="18"/>
              </w:rPr>
              <w:t>15-17</w:t>
            </w:r>
          </w:p>
        </w:tc>
        <w:tc>
          <w:tcPr>
            <w:tcW w:w="469" w:type="dxa"/>
            <w:vAlign w:val="center"/>
          </w:tcPr>
          <w:p w14:paraId="4E58CF31" w14:textId="4B46C96C" w:rsidR="00640E51" w:rsidRPr="00D711DD" w:rsidRDefault="00640E51" w:rsidP="00230E14">
            <w:pPr>
              <w:jc w:val="right"/>
              <w:rPr>
                <w:rFonts w:ascii="Arial" w:hAnsi="Arial"/>
                <w:sz w:val="18"/>
              </w:rPr>
            </w:pPr>
            <w:r w:rsidRPr="00512F95">
              <w:rPr>
                <w:rFonts w:cs="Arial"/>
                <w:sz w:val="18"/>
                <w:szCs w:val="18"/>
                <w:lang w:bidi="ar-SA"/>
              </w:rPr>
              <w:t>12</w:t>
            </w:r>
          </w:p>
        </w:tc>
        <w:tc>
          <w:tcPr>
            <w:tcW w:w="873" w:type="dxa"/>
            <w:vAlign w:val="center"/>
          </w:tcPr>
          <w:p w14:paraId="1BEE1E99" w14:textId="77777777" w:rsidR="00640E51" w:rsidRPr="00F6284E" w:rsidRDefault="00640E51" w:rsidP="00230E14">
            <w:pPr>
              <w:spacing w:before="20" w:after="20"/>
              <w:jc w:val="right"/>
              <w:rPr>
                <w:rFonts w:ascii="Arial" w:hAnsi="Arial"/>
                <w:sz w:val="16"/>
              </w:rPr>
            </w:pPr>
            <w:r w:rsidRPr="000B3C14">
              <w:rPr>
                <w:sz w:val="16"/>
              </w:rPr>
              <w:t>16104</w:t>
            </w:r>
            <w:r w:rsidRPr="000B3C14">
              <w:rPr>
                <w:i/>
                <w:sz w:val="16"/>
                <w:vertAlign w:val="superscript"/>
              </w:rPr>
              <w:t>e</w:t>
            </w:r>
          </w:p>
          <w:p w14:paraId="511FE5EF" w14:textId="1918A16F" w:rsidR="00640E51" w:rsidRPr="00F6284E" w:rsidRDefault="00640E51" w:rsidP="00230E14">
            <w:pPr>
              <w:spacing w:before="20" w:after="20"/>
              <w:jc w:val="right"/>
              <w:rPr>
                <w:rFonts w:ascii="Arial" w:hAnsi="Arial"/>
                <w:sz w:val="16"/>
              </w:rPr>
            </w:pPr>
            <w:r w:rsidRPr="00F6284E">
              <w:rPr>
                <w:sz w:val="16"/>
              </w:rPr>
              <w:t>±2312</w:t>
            </w:r>
          </w:p>
        </w:tc>
        <w:tc>
          <w:tcPr>
            <w:tcW w:w="457" w:type="dxa"/>
            <w:shd w:val="clear" w:color="auto" w:fill="auto"/>
            <w:vAlign w:val="center"/>
          </w:tcPr>
          <w:p w14:paraId="08A68EC6" w14:textId="6F7733DE" w:rsidR="00640E51" w:rsidRPr="00F6284E" w:rsidRDefault="00640E51" w:rsidP="00230E14">
            <w:pPr>
              <w:jc w:val="right"/>
              <w:rPr>
                <w:rFonts w:ascii="Arial" w:hAnsi="Arial"/>
                <w:sz w:val="18"/>
              </w:rPr>
            </w:pPr>
            <w:r w:rsidRPr="00F6284E">
              <w:rPr>
                <w:sz w:val="18"/>
              </w:rPr>
              <w:t>10</w:t>
            </w:r>
          </w:p>
        </w:tc>
        <w:tc>
          <w:tcPr>
            <w:tcW w:w="1151" w:type="dxa"/>
            <w:shd w:val="clear" w:color="auto" w:fill="auto"/>
            <w:vAlign w:val="center"/>
          </w:tcPr>
          <w:p w14:paraId="4EF6C450" w14:textId="77777777" w:rsidR="00640E51" w:rsidRPr="00F6284E" w:rsidRDefault="00640E51" w:rsidP="00230E14">
            <w:pPr>
              <w:jc w:val="right"/>
              <w:rPr>
                <w:rFonts w:ascii="Arial" w:hAnsi="Arial"/>
                <w:sz w:val="16"/>
              </w:rPr>
            </w:pPr>
            <w:r w:rsidRPr="00F6284E">
              <w:rPr>
                <w:sz w:val="16"/>
              </w:rPr>
              <w:t>4771</w:t>
            </w:r>
          </w:p>
          <w:p w14:paraId="4FC4D944" w14:textId="6BD6129E" w:rsidR="00640E51" w:rsidRPr="00F6284E" w:rsidRDefault="00640E51" w:rsidP="00230E14">
            <w:pPr>
              <w:jc w:val="right"/>
              <w:rPr>
                <w:rFonts w:ascii="Arial" w:hAnsi="Arial"/>
                <w:sz w:val="16"/>
              </w:rPr>
            </w:pPr>
            <w:r w:rsidRPr="00F6284E">
              <w:rPr>
                <w:sz w:val="16"/>
              </w:rPr>
              <w:t>±762</w:t>
            </w:r>
          </w:p>
        </w:tc>
        <w:tc>
          <w:tcPr>
            <w:tcW w:w="487" w:type="dxa"/>
            <w:shd w:val="clear" w:color="auto" w:fill="auto"/>
            <w:vAlign w:val="center"/>
          </w:tcPr>
          <w:p w14:paraId="627E4FEA" w14:textId="745A6693" w:rsidR="00640E51" w:rsidRPr="00F6284E" w:rsidRDefault="00640E51" w:rsidP="00230E14">
            <w:pPr>
              <w:jc w:val="right"/>
              <w:rPr>
                <w:rFonts w:ascii="Arial" w:hAnsi="Arial"/>
                <w:sz w:val="18"/>
              </w:rPr>
            </w:pPr>
            <w:r w:rsidRPr="00F6284E">
              <w:rPr>
                <w:sz w:val="18"/>
              </w:rPr>
              <w:t>9</w:t>
            </w:r>
          </w:p>
        </w:tc>
        <w:tc>
          <w:tcPr>
            <w:tcW w:w="1061" w:type="dxa"/>
            <w:shd w:val="clear" w:color="auto" w:fill="auto"/>
            <w:vAlign w:val="center"/>
          </w:tcPr>
          <w:p w14:paraId="34EF157D" w14:textId="77777777" w:rsidR="00640E51" w:rsidRPr="00F6284E" w:rsidRDefault="00640E51" w:rsidP="00230E14">
            <w:pPr>
              <w:jc w:val="right"/>
              <w:rPr>
                <w:rFonts w:ascii="Arial" w:hAnsi="Arial"/>
                <w:i/>
                <w:sz w:val="16"/>
                <w:vertAlign w:val="superscript"/>
              </w:rPr>
            </w:pPr>
            <w:r w:rsidRPr="00F6284E">
              <w:rPr>
                <w:sz w:val="16"/>
              </w:rPr>
              <w:t>2764</w:t>
            </w:r>
            <w:r w:rsidRPr="00F6284E">
              <w:rPr>
                <w:i/>
                <w:sz w:val="16"/>
                <w:vertAlign w:val="superscript"/>
              </w:rPr>
              <w:t>f</w:t>
            </w:r>
          </w:p>
          <w:p w14:paraId="4DCFDE91" w14:textId="5318325A" w:rsidR="00640E51" w:rsidRPr="00F6284E" w:rsidRDefault="00640E51" w:rsidP="00230E14">
            <w:pPr>
              <w:jc w:val="right"/>
              <w:rPr>
                <w:rFonts w:ascii="Arial" w:hAnsi="Arial"/>
                <w:sz w:val="16"/>
              </w:rPr>
            </w:pPr>
            <w:r w:rsidRPr="00F6284E">
              <w:rPr>
                <w:sz w:val="16"/>
              </w:rPr>
              <w:t>±152</w:t>
            </w:r>
          </w:p>
        </w:tc>
        <w:tc>
          <w:tcPr>
            <w:tcW w:w="464" w:type="dxa"/>
            <w:shd w:val="clear" w:color="auto" w:fill="auto"/>
            <w:vAlign w:val="center"/>
          </w:tcPr>
          <w:p w14:paraId="70021648" w14:textId="6735AE7B" w:rsidR="00640E51" w:rsidRPr="00F6284E" w:rsidRDefault="00640E51" w:rsidP="00230E14">
            <w:pPr>
              <w:jc w:val="right"/>
              <w:rPr>
                <w:rFonts w:ascii="Arial" w:hAnsi="Arial"/>
                <w:sz w:val="18"/>
              </w:rPr>
            </w:pPr>
            <w:r w:rsidRPr="00F6284E">
              <w:rPr>
                <w:sz w:val="18"/>
              </w:rPr>
              <w:t>11</w:t>
            </w:r>
          </w:p>
        </w:tc>
        <w:tc>
          <w:tcPr>
            <w:tcW w:w="1084" w:type="dxa"/>
            <w:shd w:val="clear" w:color="auto" w:fill="auto"/>
            <w:vAlign w:val="center"/>
          </w:tcPr>
          <w:p w14:paraId="5569D79C" w14:textId="77777777" w:rsidR="00640E51" w:rsidRPr="00F6284E" w:rsidRDefault="00640E51" w:rsidP="00230E14">
            <w:pPr>
              <w:jc w:val="right"/>
              <w:rPr>
                <w:rFonts w:ascii="Arial" w:hAnsi="Arial"/>
                <w:sz w:val="16"/>
              </w:rPr>
            </w:pPr>
            <w:r w:rsidRPr="00F6284E">
              <w:rPr>
                <w:sz w:val="16"/>
              </w:rPr>
              <w:t>4448</w:t>
            </w:r>
          </w:p>
          <w:p w14:paraId="3A9A4ADA" w14:textId="58816BEA" w:rsidR="00640E51" w:rsidRPr="00F6284E" w:rsidRDefault="00640E51" w:rsidP="00230E14">
            <w:pPr>
              <w:jc w:val="right"/>
              <w:rPr>
                <w:rFonts w:ascii="Arial" w:hAnsi="Arial"/>
                <w:sz w:val="16"/>
              </w:rPr>
            </w:pPr>
            <w:r w:rsidRPr="00F6284E">
              <w:rPr>
                <w:sz w:val="16"/>
              </w:rPr>
              <w:t>±345</w:t>
            </w:r>
          </w:p>
        </w:tc>
        <w:tc>
          <w:tcPr>
            <w:tcW w:w="470" w:type="dxa"/>
            <w:shd w:val="clear" w:color="auto" w:fill="auto"/>
            <w:vAlign w:val="center"/>
          </w:tcPr>
          <w:p w14:paraId="7CE30489" w14:textId="5477A743" w:rsidR="00640E51" w:rsidRPr="00D711DD" w:rsidRDefault="00640E51" w:rsidP="00230E14">
            <w:pPr>
              <w:jc w:val="right"/>
              <w:rPr>
                <w:rFonts w:ascii="Arial" w:hAnsi="Arial"/>
                <w:sz w:val="18"/>
              </w:rPr>
            </w:pPr>
            <w:r w:rsidRPr="00512F95">
              <w:rPr>
                <w:rFonts w:cs="Arial"/>
                <w:sz w:val="18"/>
                <w:szCs w:val="18"/>
                <w:lang w:bidi="ar-SA"/>
              </w:rPr>
              <w:t>12</w:t>
            </w:r>
          </w:p>
        </w:tc>
        <w:tc>
          <w:tcPr>
            <w:tcW w:w="1078" w:type="dxa"/>
            <w:shd w:val="clear" w:color="auto" w:fill="auto"/>
            <w:vAlign w:val="center"/>
          </w:tcPr>
          <w:p w14:paraId="72E14823" w14:textId="77777777" w:rsidR="00640E51" w:rsidRPr="00F6284E" w:rsidRDefault="00640E51" w:rsidP="00230E14">
            <w:pPr>
              <w:jc w:val="right"/>
              <w:rPr>
                <w:rFonts w:ascii="Arial" w:hAnsi="Arial"/>
                <w:i/>
                <w:sz w:val="16"/>
                <w:vertAlign w:val="superscript"/>
              </w:rPr>
            </w:pPr>
            <w:r w:rsidRPr="000B3C14">
              <w:rPr>
                <w:sz w:val="16"/>
              </w:rPr>
              <w:t>2484</w:t>
            </w:r>
            <w:r w:rsidRPr="000B3C14">
              <w:rPr>
                <w:i/>
                <w:sz w:val="16"/>
                <w:vertAlign w:val="superscript"/>
              </w:rPr>
              <w:t>g</w:t>
            </w:r>
          </w:p>
          <w:p w14:paraId="4C364F6E" w14:textId="30935000" w:rsidR="00640E51" w:rsidRPr="00F6284E" w:rsidRDefault="00640E51" w:rsidP="00230E14">
            <w:pPr>
              <w:jc w:val="right"/>
              <w:rPr>
                <w:rFonts w:ascii="Arial" w:hAnsi="Arial"/>
                <w:sz w:val="16"/>
              </w:rPr>
            </w:pPr>
            <w:r w:rsidRPr="00F6284E">
              <w:rPr>
                <w:sz w:val="16"/>
              </w:rPr>
              <w:t>249±</w:t>
            </w:r>
          </w:p>
        </w:tc>
      </w:tr>
      <w:tr w:rsidR="00185E39" w14:paraId="320366C5" w14:textId="77777777" w:rsidTr="00F6284E">
        <w:tc>
          <w:tcPr>
            <w:tcW w:w="1809" w:type="dxa"/>
            <w:vAlign w:val="center"/>
          </w:tcPr>
          <w:p w14:paraId="32AFCC62" w14:textId="4A11235B" w:rsidR="00185E39" w:rsidRPr="000B3C14" w:rsidRDefault="00185E39" w:rsidP="00A111E9">
            <w:pPr>
              <w:rPr>
                <w:rFonts w:ascii="Arial" w:hAnsi="Arial"/>
                <w:sz w:val="18"/>
              </w:rPr>
            </w:pPr>
            <w:r w:rsidRPr="00D711DD">
              <w:rPr>
                <w:sz w:val="18"/>
              </w:rPr>
              <w:t>20 mg/kg GD</w:t>
            </w:r>
            <w:r w:rsidR="00F03521">
              <w:rPr>
                <w:sz w:val="18"/>
              </w:rPr>
              <w:t xml:space="preserve"> </w:t>
            </w:r>
            <w:r w:rsidRPr="00D711DD">
              <w:rPr>
                <w:sz w:val="18"/>
              </w:rPr>
              <w:t>15-17</w:t>
            </w:r>
          </w:p>
        </w:tc>
        <w:tc>
          <w:tcPr>
            <w:tcW w:w="469" w:type="dxa"/>
            <w:vAlign w:val="center"/>
          </w:tcPr>
          <w:p w14:paraId="247BEDF6" w14:textId="75AA217A" w:rsidR="00185E39" w:rsidRPr="00D711DD" w:rsidRDefault="00185E39" w:rsidP="00230E14">
            <w:pPr>
              <w:jc w:val="right"/>
              <w:rPr>
                <w:rFonts w:ascii="Arial" w:hAnsi="Arial"/>
                <w:sz w:val="18"/>
              </w:rPr>
            </w:pPr>
            <w:r w:rsidRPr="00512F95">
              <w:rPr>
                <w:rFonts w:cs="Arial"/>
                <w:sz w:val="18"/>
                <w:szCs w:val="18"/>
                <w:lang w:bidi="ar-SA"/>
              </w:rPr>
              <w:t>5</w:t>
            </w:r>
          </w:p>
        </w:tc>
        <w:tc>
          <w:tcPr>
            <w:tcW w:w="873" w:type="dxa"/>
            <w:vAlign w:val="center"/>
          </w:tcPr>
          <w:p w14:paraId="60F5EE99" w14:textId="77777777" w:rsidR="00185E39" w:rsidRPr="00F6284E" w:rsidRDefault="00185E39" w:rsidP="00230E14">
            <w:pPr>
              <w:spacing w:before="20" w:after="20"/>
              <w:jc w:val="right"/>
              <w:rPr>
                <w:rFonts w:ascii="Arial" w:hAnsi="Arial"/>
                <w:i/>
                <w:sz w:val="16"/>
                <w:vertAlign w:val="superscript"/>
              </w:rPr>
            </w:pPr>
            <w:r w:rsidRPr="000B3C14">
              <w:rPr>
                <w:sz w:val="16"/>
              </w:rPr>
              <w:t>53460</w:t>
            </w:r>
            <w:r w:rsidRPr="000B3C14">
              <w:rPr>
                <w:i/>
                <w:sz w:val="16"/>
                <w:vertAlign w:val="superscript"/>
              </w:rPr>
              <w:t>h</w:t>
            </w:r>
          </w:p>
          <w:p w14:paraId="1D4096E8" w14:textId="55CF442A" w:rsidR="00185E39" w:rsidRPr="00F6284E" w:rsidRDefault="00185E39" w:rsidP="00230E14">
            <w:pPr>
              <w:spacing w:before="20" w:after="20"/>
              <w:jc w:val="right"/>
              <w:rPr>
                <w:rFonts w:ascii="Arial" w:hAnsi="Arial"/>
                <w:sz w:val="16"/>
              </w:rPr>
            </w:pPr>
            <w:r w:rsidRPr="00F6284E">
              <w:rPr>
                <w:sz w:val="16"/>
              </w:rPr>
              <w:t>±11024</w:t>
            </w:r>
          </w:p>
        </w:tc>
        <w:tc>
          <w:tcPr>
            <w:tcW w:w="457" w:type="dxa"/>
            <w:shd w:val="clear" w:color="auto" w:fill="auto"/>
            <w:vAlign w:val="center"/>
          </w:tcPr>
          <w:p w14:paraId="1B4A4E24" w14:textId="4B0DD105" w:rsidR="00185E39" w:rsidRPr="00F6284E" w:rsidRDefault="00185E39" w:rsidP="00230E14">
            <w:pPr>
              <w:jc w:val="right"/>
              <w:rPr>
                <w:rFonts w:ascii="Arial" w:hAnsi="Arial"/>
                <w:sz w:val="18"/>
              </w:rPr>
            </w:pPr>
            <w:r w:rsidRPr="00F6284E">
              <w:rPr>
                <w:sz w:val="18"/>
              </w:rPr>
              <w:t>-</w:t>
            </w:r>
          </w:p>
        </w:tc>
        <w:tc>
          <w:tcPr>
            <w:tcW w:w="1151" w:type="dxa"/>
            <w:shd w:val="clear" w:color="auto" w:fill="auto"/>
            <w:vAlign w:val="center"/>
          </w:tcPr>
          <w:p w14:paraId="51EA0AD0" w14:textId="39E7FA86" w:rsidR="00185E39" w:rsidRPr="00D711DD" w:rsidRDefault="00185E39" w:rsidP="00230E14">
            <w:pPr>
              <w:jc w:val="right"/>
              <w:rPr>
                <w:rFonts w:ascii="Arial" w:hAnsi="Arial"/>
                <w:sz w:val="18"/>
              </w:rPr>
            </w:pPr>
            <w:r w:rsidRPr="006D2C22">
              <w:rPr>
                <w:rFonts w:ascii="Arial" w:hAnsi="Arial" w:cs="Arial"/>
                <w:sz w:val="18"/>
                <w:szCs w:val="18"/>
              </w:rPr>
              <w:t>-</w:t>
            </w:r>
          </w:p>
        </w:tc>
        <w:tc>
          <w:tcPr>
            <w:tcW w:w="487" w:type="dxa"/>
            <w:shd w:val="clear" w:color="auto" w:fill="auto"/>
            <w:vAlign w:val="center"/>
          </w:tcPr>
          <w:p w14:paraId="19262C1D" w14:textId="5028C598" w:rsidR="00185E39" w:rsidRPr="00D711DD" w:rsidRDefault="00185E39" w:rsidP="00230E14">
            <w:pPr>
              <w:jc w:val="right"/>
              <w:rPr>
                <w:rFonts w:ascii="Arial" w:hAnsi="Arial"/>
                <w:sz w:val="18"/>
              </w:rPr>
            </w:pPr>
            <w:r w:rsidRPr="006D2C22">
              <w:rPr>
                <w:rFonts w:ascii="Arial" w:hAnsi="Arial" w:cs="Arial"/>
                <w:sz w:val="18"/>
                <w:szCs w:val="18"/>
              </w:rPr>
              <w:t>-</w:t>
            </w:r>
          </w:p>
        </w:tc>
        <w:tc>
          <w:tcPr>
            <w:tcW w:w="1061" w:type="dxa"/>
            <w:shd w:val="clear" w:color="auto" w:fill="auto"/>
            <w:vAlign w:val="center"/>
          </w:tcPr>
          <w:p w14:paraId="1AADA0CF" w14:textId="47314683" w:rsidR="00185E39" w:rsidRPr="00D711DD" w:rsidRDefault="00185E39" w:rsidP="00230E14">
            <w:pPr>
              <w:jc w:val="right"/>
              <w:rPr>
                <w:rFonts w:ascii="Arial" w:hAnsi="Arial"/>
                <w:sz w:val="18"/>
              </w:rPr>
            </w:pPr>
            <w:r w:rsidRPr="006D2C22">
              <w:rPr>
                <w:rFonts w:ascii="Arial" w:hAnsi="Arial" w:cs="Arial"/>
                <w:sz w:val="18"/>
                <w:szCs w:val="18"/>
              </w:rPr>
              <w:t>-</w:t>
            </w:r>
          </w:p>
        </w:tc>
        <w:tc>
          <w:tcPr>
            <w:tcW w:w="464" w:type="dxa"/>
            <w:shd w:val="clear" w:color="auto" w:fill="auto"/>
            <w:vAlign w:val="center"/>
          </w:tcPr>
          <w:p w14:paraId="1F44D905" w14:textId="34B73B87" w:rsidR="00185E39" w:rsidRPr="00F768EC" w:rsidRDefault="00185E39" w:rsidP="00230E14">
            <w:pPr>
              <w:jc w:val="right"/>
              <w:rPr>
                <w:rFonts w:cs="Arial"/>
                <w:sz w:val="18"/>
                <w:szCs w:val="18"/>
                <w:lang w:bidi="ar-SA"/>
              </w:rPr>
            </w:pPr>
            <w:r w:rsidRPr="006D2C22">
              <w:rPr>
                <w:rFonts w:ascii="Arial" w:hAnsi="Arial" w:cs="Arial"/>
                <w:sz w:val="18"/>
                <w:szCs w:val="18"/>
              </w:rPr>
              <w:t>-</w:t>
            </w:r>
          </w:p>
        </w:tc>
        <w:tc>
          <w:tcPr>
            <w:tcW w:w="1084" w:type="dxa"/>
            <w:shd w:val="clear" w:color="auto" w:fill="auto"/>
            <w:vAlign w:val="center"/>
          </w:tcPr>
          <w:p w14:paraId="11FEF779" w14:textId="74738407" w:rsidR="00185E39" w:rsidRPr="00D711DD" w:rsidRDefault="00185E39" w:rsidP="00230E14">
            <w:pPr>
              <w:jc w:val="right"/>
              <w:rPr>
                <w:rFonts w:ascii="Arial" w:hAnsi="Arial"/>
                <w:sz w:val="18"/>
              </w:rPr>
            </w:pPr>
            <w:r w:rsidRPr="006D2C22">
              <w:rPr>
                <w:rFonts w:ascii="Arial" w:hAnsi="Arial" w:cs="Arial"/>
                <w:sz w:val="18"/>
                <w:szCs w:val="18"/>
              </w:rPr>
              <w:t>-</w:t>
            </w:r>
          </w:p>
        </w:tc>
        <w:tc>
          <w:tcPr>
            <w:tcW w:w="470" w:type="dxa"/>
            <w:shd w:val="clear" w:color="auto" w:fill="auto"/>
            <w:vAlign w:val="center"/>
          </w:tcPr>
          <w:p w14:paraId="597E5F9A" w14:textId="11E8313E" w:rsidR="00185E39" w:rsidRPr="00F768EC" w:rsidRDefault="00185E39" w:rsidP="00230E14">
            <w:pPr>
              <w:jc w:val="right"/>
              <w:rPr>
                <w:rFonts w:cs="Arial"/>
                <w:sz w:val="18"/>
                <w:szCs w:val="18"/>
                <w:lang w:bidi="ar-SA"/>
              </w:rPr>
            </w:pPr>
            <w:r w:rsidRPr="006D2C22">
              <w:rPr>
                <w:rFonts w:ascii="Arial" w:hAnsi="Arial" w:cs="Arial"/>
                <w:sz w:val="18"/>
                <w:szCs w:val="18"/>
              </w:rPr>
              <w:t>-</w:t>
            </w:r>
          </w:p>
        </w:tc>
        <w:tc>
          <w:tcPr>
            <w:tcW w:w="1078" w:type="dxa"/>
            <w:shd w:val="clear" w:color="auto" w:fill="auto"/>
            <w:vAlign w:val="center"/>
          </w:tcPr>
          <w:p w14:paraId="7D68A15D" w14:textId="37E16B90" w:rsidR="00185E39" w:rsidRPr="00D711DD" w:rsidRDefault="00185E39" w:rsidP="00230E14">
            <w:pPr>
              <w:jc w:val="right"/>
              <w:rPr>
                <w:rFonts w:ascii="Arial" w:hAnsi="Arial"/>
                <w:sz w:val="18"/>
              </w:rPr>
            </w:pPr>
            <w:r w:rsidRPr="006D2C22">
              <w:rPr>
                <w:rFonts w:ascii="Arial" w:hAnsi="Arial" w:cs="Arial"/>
                <w:sz w:val="18"/>
                <w:szCs w:val="18"/>
              </w:rPr>
              <w:t>-</w:t>
            </w:r>
          </w:p>
        </w:tc>
      </w:tr>
    </w:tbl>
    <w:p w14:paraId="4D5A3793" w14:textId="61C5A078" w:rsidR="00640E51" w:rsidRPr="000B3C14" w:rsidRDefault="00640E51" w:rsidP="00A111E9">
      <w:pPr>
        <w:spacing w:before="60"/>
        <w:rPr>
          <w:sz w:val="15"/>
        </w:rPr>
      </w:pPr>
      <w:r w:rsidRPr="00D711DD">
        <w:rPr>
          <w:sz w:val="15"/>
        </w:rPr>
        <w:t>PFOA con</w:t>
      </w:r>
      <w:r w:rsidRPr="000B3C14">
        <w:rPr>
          <w:sz w:val="15"/>
        </w:rPr>
        <w:t>centrations are mean</w:t>
      </w:r>
      <w:r w:rsidR="00DB0B1B">
        <w:rPr>
          <w:sz w:val="15"/>
        </w:rPr>
        <w:t xml:space="preserve"> </w:t>
      </w:r>
      <w:r w:rsidRPr="000B3C14">
        <w:rPr>
          <w:sz w:val="15"/>
        </w:rPr>
        <w:t>±</w:t>
      </w:r>
      <w:r w:rsidR="00DB0B1B">
        <w:rPr>
          <w:sz w:val="15"/>
        </w:rPr>
        <w:t xml:space="preserve"> standard error of the mean</w:t>
      </w:r>
      <w:r w:rsidRPr="000B3C14">
        <w:rPr>
          <w:sz w:val="15"/>
        </w:rPr>
        <w:t>.</w:t>
      </w:r>
    </w:p>
    <w:p w14:paraId="1912DEA4" w14:textId="77777777" w:rsidR="00640E51" w:rsidRPr="00F6284E" w:rsidRDefault="00640E51" w:rsidP="00A111E9">
      <w:pPr>
        <w:rPr>
          <w:sz w:val="15"/>
        </w:rPr>
      </w:pPr>
      <w:r w:rsidRPr="000B3C14">
        <w:rPr>
          <w:i/>
          <w:sz w:val="15"/>
          <w:vertAlign w:val="superscript"/>
        </w:rPr>
        <w:t>a</w:t>
      </w:r>
      <w:r w:rsidRPr="00F6284E">
        <w:rPr>
          <w:sz w:val="15"/>
        </w:rPr>
        <w:t xml:space="preserve">For female pups, means of all treatments within PND: 22&gt;29 and 32, </w:t>
      </w:r>
      <w:r w:rsidRPr="00F6284E">
        <w:rPr>
          <w:i/>
          <w:sz w:val="15"/>
        </w:rPr>
        <w:t>p</w:t>
      </w:r>
      <w:r w:rsidRPr="00F6284E">
        <w:rPr>
          <w:sz w:val="15"/>
        </w:rPr>
        <w:t>&lt;0.001</w:t>
      </w:r>
    </w:p>
    <w:p w14:paraId="03F40410" w14:textId="77777777" w:rsidR="00640E51" w:rsidRPr="00F6284E" w:rsidRDefault="00640E51" w:rsidP="00A111E9">
      <w:pPr>
        <w:rPr>
          <w:sz w:val="15"/>
        </w:rPr>
      </w:pPr>
      <w:r w:rsidRPr="00F6284E">
        <w:rPr>
          <w:i/>
          <w:sz w:val="15"/>
          <w:vertAlign w:val="superscript"/>
        </w:rPr>
        <w:t>b</w:t>
      </w:r>
      <w:r w:rsidRPr="00F6284E">
        <w:rPr>
          <w:sz w:val="15"/>
        </w:rPr>
        <w:t xml:space="preserve">Control &lt; all PFOA-exposed groups </w:t>
      </w:r>
      <w:r w:rsidRPr="00F6284E">
        <w:rPr>
          <w:i/>
          <w:sz w:val="15"/>
        </w:rPr>
        <w:t>p</w:t>
      </w:r>
      <w:r w:rsidRPr="00F6284E">
        <w:rPr>
          <w:sz w:val="15"/>
        </w:rPr>
        <w:t>&lt;0.001</w:t>
      </w:r>
    </w:p>
    <w:p w14:paraId="434C7C0E" w14:textId="77777777" w:rsidR="00640E51" w:rsidRPr="00F6284E" w:rsidRDefault="00640E51" w:rsidP="00A111E9">
      <w:pPr>
        <w:rPr>
          <w:sz w:val="15"/>
        </w:rPr>
      </w:pPr>
      <w:r w:rsidRPr="00F6284E">
        <w:rPr>
          <w:i/>
          <w:sz w:val="15"/>
          <w:vertAlign w:val="superscript"/>
        </w:rPr>
        <w:t>c</w:t>
      </w:r>
      <w:r w:rsidRPr="00F6284E">
        <w:rPr>
          <w:sz w:val="15"/>
        </w:rPr>
        <w:t xml:space="preserve">Male pups: 5 mg/kg GD7-17 &gt; GD15-17, </w:t>
      </w:r>
      <w:r w:rsidRPr="00F6284E">
        <w:rPr>
          <w:i/>
          <w:sz w:val="15"/>
        </w:rPr>
        <w:t>p</w:t>
      </w:r>
      <w:r w:rsidRPr="00F6284E">
        <w:rPr>
          <w:sz w:val="15"/>
        </w:rPr>
        <w:t>&lt;0.01</w:t>
      </w:r>
    </w:p>
    <w:p w14:paraId="683FFF4C" w14:textId="77777777" w:rsidR="00640E51" w:rsidRPr="00F6284E" w:rsidRDefault="00640E51" w:rsidP="00A111E9">
      <w:pPr>
        <w:rPr>
          <w:sz w:val="15"/>
        </w:rPr>
      </w:pPr>
      <w:r w:rsidRPr="00F6284E">
        <w:rPr>
          <w:i/>
          <w:sz w:val="15"/>
          <w:vertAlign w:val="superscript"/>
        </w:rPr>
        <w:t>d</w:t>
      </w:r>
      <w:r w:rsidRPr="00F6284E">
        <w:rPr>
          <w:sz w:val="15"/>
        </w:rPr>
        <w:t xml:space="preserve">PND22: GD7-17 &gt; GD10-17, 13-17, 15-17, </w:t>
      </w:r>
      <w:r w:rsidRPr="00F6284E">
        <w:rPr>
          <w:i/>
          <w:sz w:val="15"/>
        </w:rPr>
        <w:t>p</w:t>
      </w:r>
      <w:r w:rsidRPr="00F6284E">
        <w:rPr>
          <w:sz w:val="15"/>
        </w:rPr>
        <w:t>&lt;0.001</w:t>
      </w:r>
    </w:p>
    <w:p w14:paraId="7A31FB1F" w14:textId="31479C29" w:rsidR="00640E51" w:rsidRPr="00F6284E" w:rsidRDefault="00640E51" w:rsidP="00A111E9">
      <w:pPr>
        <w:rPr>
          <w:sz w:val="15"/>
        </w:rPr>
      </w:pPr>
      <w:r w:rsidRPr="00F6284E">
        <w:rPr>
          <w:i/>
          <w:sz w:val="15"/>
          <w:vertAlign w:val="superscript"/>
        </w:rPr>
        <w:t xml:space="preserve">e </w:t>
      </w:r>
      <w:r w:rsidRPr="00F6284E">
        <w:rPr>
          <w:sz w:val="15"/>
        </w:rPr>
        <w:t xml:space="preserve">Dams: 5 mg/kg GD15-17 &lt;GD7-17, 10-17, </w:t>
      </w:r>
      <w:r w:rsidRPr="00F6284E">
        <w:rPr>
          <w:i/>
          <w:sz w:val="15"/>
        </w:rPr>
        <w:t>p</w:t>
      </w:r>
      <w:r w:rsidRPr="00F6284E">
        <w:rPr>
          <w:sz w:val="15"/>
        </w:rPr>
        <w:t>&lt;0.05</w:t>
      </w:r>
    </w:p>
    <w:p w14:paraId="6A7BBF68" w14:textId="77777777" w:rsidR="00640E51" w:rsidRPr="00F6284E" w:rsidRDefault="00640E51" w:rsidP="00A111E9">
      <w:pPr>
        <w:rPr>
          <w:sz w:val="15"/>
        </w:rPr>
      </w:pPr>
      <w:r w:rsidRPr="00F6284E">
        <w:rPr>
          <w:i/>
          <w:sz w:val="15"/>
          <w:vertAlign w:val="superscript"/>
        </w:rPr>
        <w:t>f</w:t>
      </w:r>
      <w:r w:rsidRPr="00F6284E">
        <w:rPr>
          <w:sz w:val="15"/>
        </w:rPr>
        <w:t xml:space="preserve">PND22: GD15-17 &lt; GD 10-17, 13-17, </w:t>
      </w:r>
      <w:r w:rsidRPr="00F6284E">
        <w:rPr>
          <w:i/>
          <w:sz w:val="15"/>
        </w:rPr>
        <w:t>p</w:t>
      </w:r>
      <w:r w:rsidRPr="00F6284E">
        <w:rPr>
          <w:sz w:val="15"/>
        </w:rPr>
        <w:t xml:space="preserve">&lt; 0.001 and </w:t>
      </w:r>
      <w:r w:rsidRPr="00F6284E">
        <w:rPr>
          <w:i/>
          <w:sz w:val="15"/>
        </w:rPr>
        <w:t>p</w:t>
      </w:r>
      <w:r w:rsidRPr="00F6284E">
        <w:rPr>
          <w:sz w:val="15"/>
        </w:rPr>
        <w:t>&lt;0.05 respectively</w:t>
      </w:r>
    </w:p>
    <w:p w14:paraId="286AEF3F" w14:textId="233EA710" w:rsidR="00640E51" w:rsidRPr="00F6284E" w:rsidRDefault="00640E51" w:rsidP="00A111E9">
      <w:pPr>
        <w:rPr>
          <w:sz w:val="15"/>
        </w:rPr>
      </w:pPr>
      <w:r w:rsidRPr="00F6284E">
        <w:rPr>
          <w:i/>
          <w:sz w:val="15"/>
          <w:vertAlign w:val="superscript"/>
        </w:rPr>
        <w:t>g</w:t>
      </w:r>
      <w:r w:rsidRPr="00F6284E">
        <w:rPr>
          <w:sz w:val="15"/>
        </w:rPr>
        <w:t xml:space="preserve"> GD15-17 &lt; GD7-17, 10-17, 13-17, </w:t>
      </w:r>
      <w:r w:rsidRPr="00F6284E">
        <w:rPr>
          <w:i/>
          <w:sz w:val="15"/>
        </w:rPr>
        <w:t>p</w:t>
      </w:r>
      <w:r w:rsidRPr="00F6284E">
        <w:rPr>
          <w:sz w:val="15"/>
        </w:rPr>
        <w:t xml:space="preserve"> &lt;0.001</w:t>
      </w:r>
    </w:p>
    <w:p w14:paraId="2968FE08" w14:textId="77777777" w:rsidR="00640E51" w:rsidRPr="00F6284E" w:rsidRDefault="00640E51" w:rsidP="00A111E9">
      <w:pPr>
        <w:rPr>
          <w:sz w:val="15"/>
        </w:rPr>
      </w:pPr>
      <w:r w:rsidRPr="00F6284E">
        <w:rPr>
          <w:i/>
          <w:sz w:val="15"/>
          <w:vertAlign w:val="superscript"/>
        </w:rPr>
        <w:t xml:space="preserve">h </w:t>
      </w:r>
      <w:r w:rsidRPr="00F6284E">
        <w:rPr>
          <w:sz w:val="15"/>
        </w:rPr>
        <w:t xml:space="preserve">Dams: 20 mg/kg GD15-17 &gt; all 5 mg/kg exposure groups, </w:t>
      </w:r>
      <w:r w:rsidRPr="00F6284E">
        <w:rPr>
          <w:i/>
          <w:sz w:val="15"/>
        </w:rPr>
        <w:t>p</w:t>
      </w:r>
      <w:r w:rsidRPr="00F6284E">
        <w:rPr>
          <w:sz w:val="15"/>
        </w:rPr>
        <w:t>&lt;0.05</w:t>
      </w:r>
    </w:p>
    <w:p w14:paraId="407A089B" w14:textId="77777777" w:rsidR="00650BC3" w:rsidRDefault="00650BC3" w:rsidP="00A111E9">
      <w:pPr>
        <w:rPr>
          <w:b/>
          <w:lang w:bidi="ar-SA"/>
        </w:rPr>
      </w:pPr>
    </w:p>
    <w:p w14:paraId="747BC713" w14:textId="77777777" w:rsidR="000830C5" w:rsidRDefault="000830C5">
      <w:pPr>
        <w:widowControl/>
        <w:rPr>
          <w:b/>
          <w:lang w:bidi="ar-SA"/>
        </w:rPr>
      </w:pPr>
      <w:r>
        <w:rPr>
          <w:b/>
          <w:lang w:bidi="ar-SA"/>
        </w:rPr>
        <w:br w:type="page"/>
      </w:r>
    </w:p>
    <w:p w14:paraId="5D57E312" w14:textId="16E7219C" w:rsidR="00711821" w:rsidRDefault="00711821" w:rsidP="00A111E9">
      <w:pPr>
        <w:rPr>
          <w:b/>
          <w:sz w:val="20"/>
          <w:szCs w:val="20"/>
          <w:lang w:bidi="ar-SA"/>
        </w:rPr>
      </w:pPr>
      <w:r>
        <w:rPr>
          <w:b/>
          <w:lang w:bidi="ar-SA"/>
        </w:rPr>
        <w:lastRenderedPageBreak/>
        <w:t xml:space="preserve">White </w:t>
      </w:r>
      <w:r w:rsidR="00180A32" w:rsidRPr="00180A32">
        <w:rPr>
          <w:b/>
          <w:i/>
        </w:rPr>
        <w:t xml:space="preserve">et al. </w:t>
      </w:r>
      <w:r w:rsidR="00CC50B8">
        <w:rPr>
          <w:b/>
        </w:rPr>
        <w:t xml:space="preserve"> </w:t>
      </w:r>
      <w:r>
        <w:rPr>
          <w:b/>
          <w:lang w:bidi="ar-SA"/>
        </w:rPr>
        <w:t xml:space="preserve">2011 three-generation developmental and female reproductive study in mice </w:t>
      </w:r>
    </w:p>
    <w:p w14:paraId="0FAF1D02" w14:textId="77777777" w:rsidR="00711821" w:rsidRDefault="00711821" w:rsidP="00A111E9">
      <w:pPr>
        <w:rPr>
          <w:lang w:bidi="ar-SA"/>
        </w:rPr>
      </w:pPr>
    </w:p>
    <w:p w14:paraId="4BF885AE" w14:textId="359BE64F" w:rsidR="00711821" w:rsidRDefault="00711821" w:rsidP="00A111E9">
      <w:pPr>
        <w:rPr>
          <w:lang w:bidi="ar-SA"/>
        </w:rPr>
      </w:pPr>
      <w:r>
        <w:rPr>
          <w:lang w:bidi="ar-SA"/>
        </w:rPr>
        <w:t>The objective of this study was to investigate the effects of gestational and chronic exposure to PFOA on lactational function of the F</w:t>
      </w:r>
      <w:r w:rsidR="00B9756A">
        <w:rPr>
          <w:lang w:bidi="ar-SA"/>
        </w:rPr>
        <w:t>1</w:t>
      </w:r>
      <w:r>
        <w:rPr>
          <w:lang w:bidi="ar-SA"/>
        </w:rPr>
        <w:t xml:space="preserve"> generation of mice, and the subsequent development of F</w:t>
      </w:r>
      <w:r w:rsidR="00404FF0">
        <w:rPr>
          <w:lang w:bidi="ar-SA"/>
        </w:rPr>
        <w:t>2</w:t>
      </w:r>
      <w:r>
        <w:rPr>
          <w:lang w:bidi="ar-SA"/>
        </w:rPr>
        <w:t xml:space="preserve"> offspring. Timed-pregnant CD-1 mice were housed individually under standard laboratory husbandry conditions, and randomly assigned into five treatment groups.</w:t>
      </w:r>
    </w:p>
    <w:p w14:paraId="182D47A5" w14:textId="77777777" w:rsidR="00711821" w:rsidRDefault="00711821" w:rsidP="00A111E9">
      <w:pPr>
        <w:rPr>
          <w:lang w:bidi="ar-SA"/>
        </w:rPr>
      </w:pPr>
    </w:p>
    <w:p w14:paraId="1C2239D8" w14:textId="76162A8B" w:rsidR="00711821" w:rsidRDefault="00711821" w:rsidP="00A111E9">
      <w:pPr>
        <w:rPr>
          <w:lang w:bidi="ar-SA"/>
        </w:rPr>
      </w:pPr>
      <w:r>
        <w:rPr>
          <w:lang w:bidi="ar-SA"/>
        </w:rPr>
        <w:t>Three groups were administered 0, 1 or 5 mg/kg bw/day PFOA by oral gavage through GD 1-17. There were 10 mice in the control group, 12 mice in the 1 mg/kg bw/day group and 11 mice in the 5 mg/kg bw/day group. An additional two groups were similarly gavaged daily with 0 (n = 7) or 1 (n = 10) mg/kg bw/day PFOA, but also received 5 ppb PFOA in their drinking water from GD 7 and throughout the study. Their F</w:t>
      </w:r>
      <w:r w:rsidR="00B9756A">
        <w:rPr>
          <w:lang w:bidi="ar-SA"/>
        </w:rPr>
        <w:t>1</w:t>
      </w:r>
      <w:r>
        <w:rPr>
          <w:lang w:bidi="ar-SA"/>
        </w:rPr>
        <w:t xml:space="preserve"> and F</w:t>
      </w:r>
      <w:r w:rsidR="00B9756A">
        <w:rPr>
          <w:lang w:bidi="ar-SA"/>
        </w:rPr>
        <w:t>2</w:t>
      </w:r>
      <w:r>
        <w:rPr>
          <w:lang w:bidi="ar-SA"/>
        </w:rPr>
        <w:t xml:space="preserve"> offspring also received 5 ppb PFOA in their drinking water throughout the study, except during breeding and early gestation of the F1 females in order to avoid administering PFOA to the males. Water was changed weekly, with bottles weighed to determine water consumption. </w:t>
      </w:r>
      <w:r w:rsidR="00F03521">
        <w:rPr>
          <w:lang w:bidi="ar-SA"/>
        </w:rPr>
        <w:t xml:space="preserve">F0 </w:t>
      </w:r>
      <w:r>
        <w:rPr>
          <w:lang w:bidi="ar-SA"/>
        </w:rPr>
        <w:t>dams were weighed daily throughout gestation. On PND1, pups were weighed and sexed, and redistributed between dams within the same dose group in order to ensure similar numbers and sex ratios between litters in the same dose group. There were between 5 and 7 litters per dose group. Pups were weighed again on PND 10. On PND 22, the F</w:t>
      </w:r>
      <w:r w:rsidR="00B9756A">
        <w:rPr>
          <w:lang w:bidi="ar-SA"/>
        </w:rPr>
        <w:t>1</w:t>
      </w:r>
      <w:r>
        <w:rPr>
          <w:vertAlign w:val="subscript"/>
          <w:lang w:bidi="ar-SA"/>
        </w:rPr>
        <w:t xml:space="preserve"> </w:t>
      </w:r>
      <w:r>
        <w:rPr>
          <w:lang w:bidi="ar-SA"/>
        </w:rPr>
        <w:t>pups were weaned, and dams and 1 or 2 female offspring per litter were weighed and then terminated for necropsy. Cohorts of F</w:t>
      </w:r>
      <w:r w:rsidR="00B9756A">
        <w:rPr>
          <w:lang w:bidi="ar-SA"/>
        </w:rPr>
        <w:t>1</w:t>
      </w:r>
      <w:r>
        <w:rPr>
          <w:lang w:bidi="ar-SA"/>
        </w:rPr>
        <w:t xml:space="preserve"> females, 6-8 per dose group, were maintained into adulthood for weighing and necropsy on PND 42 or PND 63. The remaining adult F</w:t>
      </w:r>
      <w:r w:rsidR="00B9756A">
        <w:rPr>
          <w:lang w:bidi="ar-SA"/>
        </w:rPr>
        <w:t>1</w:t>
      </w:r>
      <w:r>
        <w:rPr>
          <w:lang w:bidi="ar-SA"/>
        </w:rPr>
        <w:t xml:space="preserve"> females were bred to control F</w:t>
      </w:r>
      <w:r w:rsidR="00B9756A">
        <w:rPr>
          <w:lang w:bidi="ar-SA"/>
        </w:rPr>
        <w:t>1</w:t>
      </w:r>
      <w:r>
        <w:rPr>
          <w:lang w:bidi="ar-SA"/>
        </w:rPr>
        <w:t xml:space="preserve"> males at 7 to 8 weeks of age, for one night only, on the night of proestrus. Plug-positive females were housed individually and monitored during gestation. On PND 1, F</w:t>
      </w:r>
      <w:r w:rsidR="00404FF0">
        <w:rPr>
          <w:lang w:bidi="ar-SA"/>
        </w:rPr>
        <w:t>2</w:t>
      </w:r>
      <w:r>
        <w:rPr>
          <w:lang w:bidi="ar-SA"/>
        </w:rPr>
        <w:t xml:space="preserve"> pups were weighed, sexed and equali</w:t>
      </w:r>
      <w:r w:rsidR="001B6877">
        <w:rPr>
          <w:lang w:bidi="ar-SA"/>
        </w:rPr>
        <w:t>s</w:t>
      </w:r>
      <w:r>
        <w:rPr>
          <w:lang w:bidi="ar-SA"/>
        </w:rPr>
        <w:t>ed to 10 pups/litter. F</w:t>
      </w:r>
      <w:r w:rsidR="00B9756A">
        <w:rPr>
          <w:lang w:bidi="ar-SA"/>
        </w:rPr>
        <w:t>1</w:t>
      </w:r>
      <w:r>
        <w:rPr>
          <w:lang w:bidi="ar-SA"/>
        </w:rPr>
        <w:t xml:space="preserve"> dams and 3 female pups from each F</w:t>
      </w:r>
      <w:r w:rsidR="00B9756A">
        <w:rPr>
          <w:lang w:bidi="ar-SA"/>
        </w:rPr>
        <w:t>2</w:t>
      </w:r>
      <w:r>
        <w:rPr>
          <w:lang w:bidi="ar-SA"/>
        </w:rPr>
        <w:t xml:space="preserve"> litter were terminated on either PND 10 or PND 22, while the remaining F</w:t>
      </w:r>
      <w:r w:rsidR="00B9756A">
        <w:rPr>
          <w:lang w:bidi="ar-SA"/>
        </w:rPr>
        <w:t>2</w:t>
      </w:r>
      <w:r>
        <w:rPr>
          <w:lang w:bidi="ar-SA"/>
        </w:rPr>
        <w:t xml:space="preserve"> females, 4 to 8 per dose group, were necropsied on either PND 42 or PND 63.</w:t>
      </w:r>
    </w:p>
    <w:p w14:paraId="6811D015" w14:textId="77777777" w:rsidR="00711821" w:rsidRDefault="00711821" w:rsidP="00A111E9">
      <w:pPr>
        <w:rPr>
          <w:lang w:bidi="ar-SA"/>
        </w:rPr>
      </w:pPr>
    </w:p>
    <w:p w14:paraId="0E68B3D0" w14:textId="2DE61D1A" w:rsidR="00711821" w:rsidRDefault="00711821" w:rsidP="00A111E9">
      <w:pPr>
        <w:rPr>
          <w:lang w:bidi="ar-SA"/>
        </w:rPr>
      </w:pPr>
      <w:r>
        <w:rPr>
          <w:lang w:bidi="ar-SA"/>
        </w:rPr>
        <w:t>The lactational challenge experiment was performed with F</w:t>
      </w:r>
      <w:r w:rsidR="00B9756A">
        <w:rPr>
          <w:lang w:bidi="ar-SA"/>
        </w:rPr>
        <w:t>1</w:t>
      </w:r>
      <w:r>
        <w:rPr>
          <w:lang w:bidi="ar-SA"/>
        </w:rPr>
        <w:t xml:space="preserve"> dams and their F</w:t>
      </w:r>
      <w:r w:rsidR="00B9756A">
        <w:rPr>
          <w:lang w:bidi="ar-SA"/>
        </w:rPr>
        <w:t>2</w:t>
      </w:r>
      <w:r>
        <w:rPr>
          <w:lang w:bidi="ar-SA"/>
        </w:rPr>
        <w:t xml:space="preserve"> litters on PND 10. Dams were separated from their litters for 3 hours and then returned to them and allowed to nurse for 30 minutes. The time between returning the dam to the litter and initiating of nursing was recorded to the nearest second. In addition, the weight of the 10-pup litter was determined before nursing and after exactly 30 minutes of nursing, in order to estimate the total volume of milk consumed by the litter. Dams were terminated and necropsied immediately after nursing.</w:t>
      </w:r>
    </w:p>
    <w:p w14:paraId="61C6E18A" w14:textId="77777777" w:rsidR="00711821" w:rsidRDefault="00711821" w:rsidP="00A111E9">
      <w:pPr>
        <w:rPr>
          <w:lang w:bidi="ar-SA"/>
        </w:rPr>
      </w:pPr>
    </w:p>
    <w:p w14:paraId="25C76711" w14:textId="7C5DAD08" w:rsidR="00711821" w:rsidRDefault="00711821" w:rsidP="00A111E9">
      <w:pPr>
        <w:rPr>
          <w:lang w:bidi="ar-SA"/>
        </w:rPr>
      </w:pPr>
      <w:r>
        <w:rPr>
          <w:lang w:bidi="ar-SA"/>
        </w:rPr>
        <w:t>Blood was collected from all mice immediately prior to necropsy, for measu</w:t>
      </w:r>
      <w:r w:rsidR="00B9756A">
        <w:rPr>
          <w:lang w:bidi="ar-SA"/>
        </w:rPr>
        <w:t>rement of serum PFOA. Uteri of F0</w:t>
      </w:r>
      <w:r>
        <w:rPr>
          <w:lang w:bidi="ar-SA"/>
        </w:rPr>
        <w:t xml:space="preserve"> and F</w:t>
      </w:r>
      <w:r w:rsidR="00B9756A">
        <w:rPr>
          <w:lang w:bidi="ar-SA"/>
        </w:rPr>
        <w:t>1</w:t>
      </w:r>
      <w:r>
        <w:rPr>
          <w:lang w:bidi="ar-SA"/>
        </w:rPr>
        <w:t xml:space="preserve"> dams were examined for implantation sites, in order to determine post</w:t>
      </w:r>
      <w:r w:rsidR="000203C4">
        <w:rPr>
          <w:lang w:bidi="ar-SA"/>
        </w:rPr>
        <w:t>implantation</w:t>
      </w:r>
      <w:r>
        <w:rPr>
          <w:lang w:bidi="ar-SA"/>
        </w:rPr>
        <w:t xml:space="preserve"> loss. Mammary glands were collected at necropsies on PND 10 and PND 22, coinciding with peak lactation and weaning respectively. Mammary glands of pups were prepared as whole mounts for assessment of development, while lactating mammary glands of dams were processed to slides and stained with haematoxylin and eosin.</w:t>
      </w:r>
    </w:p>
    <w:p w14:paraId="6DC9BB48" w14:textId="77777777" w:rsidR="00711821" w:rsidRDefault="00711821" w:rsidP="00A111E9">
      <w:pPr>
        <w:rPr>
          <w:lang w:bidi="ar-SA"/>
        </w:rPr>
      </w:pPr>
    </w:p>
    <w:p w14:paraId="6F22BDA0" w14:textId="4AC468AF" w:rsidR="00711821" w:rsidRDefault="00711821" w:rsidP="00A111E9">
      <w:pPr>
        <w:rPr>
          <w:lang w:bidi="ar-SA"/>
        </w:rPr>
      </w:pPr>
      <w:r>
        <w:rPr>
          <w:lang w:bidi="ar-SA"/>
        </w:rPr>
        <w:t>PFOA had no significant effect on gestational weight gain or implantation site numbers in F</w:t>
      </w:r>
      <w:r w:rsidR="009E6E48">
        <w:rPr>
          <w:lang w:bidi="ar-SA"/>
        </w:rPr>
        <w:t>0</w:t>
      </w:r>
      <w:r>
        <w:rPr>
          <w:lang w:bidi="ar-SA"/>
        </w:rPr>
        <w:t xml:space="preserve"> dams. PFOA at 5 mg/kg, but not at 1 mg/kg bw, during gestation had significant adverse effects on number of live pups, prenatal survival, and postnatal survival and growth. Mammary involution at PND 22 was compromised in all </w:t>
      </w:r>
      <w:r w:rsidR="00F03521">
        <w:rPr>
          <w:lang w:bidi="ar-SA"/>
        </w:rPr>
        <w:t xml:space="preserve">F0 </w:t>
      </w:r>
      <w:r>
        <w:rPr>
          <w:lang w:bidi="ar-SA"/>
        </w:rPr>
        <w:t xml:space="preserve">dams. Histologically their mammary glands resembled those of control dams at peak lactation. PFOA did not have a consistent effect on </w:t>
      </w:r>
      <w:r w:rsidR="00E83E80">
        <w:rPr>
          <w:lang w:bidi="ar-SA"/>
        </w:rPr>
        <w:t>body weight</w:t>
      </w:r>
      <w:r>
        <w:rPr>
          <w:lang w:bidi="ar-SA"/>
        </w:rPr>
        <w:t xml:space="preserve">s, or </w:t>
      </w:r>
      <w:r w:rsidR="00E83E80">
        <w:rPr>
          <w:lang w:bidi="ar-SA"/>
        </w:rPr>
        <w:t>body weight</w:t>
      </w:r>
      <w:r>
        <w:rPr>
          <w:lang w:bidi="ar-SA"/>
        </w:rPr>
        <w:t>s adjusted for liver weight, in F</w:t>
      </w:r>
      <w:r w:rsidR="00B9756A">
        <w:rPr>
          <w:lang w:bidi="ar-SA"/>
        </w:rPr>
        <w:t>1</w:t>
      </w:r>
      <w:r>
        <w:rPr>
          <w:lang w:bidi="ar-SA"/>
        </w:rPr>
        <w:t xml:space="preserve"> mice between PND 22 and PND 63. Liver:</w:t>
      </w:r>
      <w:r w:rsidR="00E83E80">
        <w:rPr>
          <w:lang w:bidi="ar-SA"/>
        </w:rPr>
        <w:t>body weight</w:t>
      </w:r>
      <w:r>
        <w:rPr>
          <w:lang w:bidi="ar-SA"/>
        </w:rPr>
        <w:t xml:space="preserve"> ratios at PND 22 were elevated in F</w:t>
      </w:r>
      <w:r w:rsidR="00B9756A">
        <w:rPr>
          <w:lang w:bidi="ar-SA"/>
        </w:rPr>
        <w:t>1</w:t>
      </w:r>
      <w:r>
        <w:rPr>
          <w:lang w:bidi="ar-SA"/>
        </w:rPr>
        <w:t xml:space="preserve"> females born to dams dosed with 1 or 5 mg/kg PFOA. At PND 42, F</w:t>
      </w:r>
      <w:r w:rsidR="00B9756A">
        <w:rPr>
          <w:lang w:bidi="ar-SA"/>
        </w:rPr>
        <w:t>1</w:t>
      </w:r>
      <w:r>
        <w:rPr>
          <w:lang w:bidi="ar-SA"/>
        </w:rPr>
        <w:t xml:space="preserve"> females born to dams dosed with 5 mg/kg bw/day PFOA during gestation had significantly increased liver:</w:t>
      </w:r>
      <w:r w:rsidR="00E83E80">
        <w:rPr>
          <w:lang w:bidi="ar-SA"/>
        </w:rPr>
        <w:t>body weight</w:t>
      </w:r>
      <w:r>
        <w:rPr>
          <w:lang w:bidi="ar-SA"/>
        </w:rPr>
        <w:t xml:space="preserve"> ratios and significantly lower </w:t>
      </w:r>
      <w:r w:rsidR="00E83E80">
        <w:rPr>
          <w:lang w:bidi="ar-SA"/>
        </w:rPr>
        <w:t>body weight</w:t>
      </w:r>
      <w:r>
        <w:rPr>
          <w:lang w:bidi="ar-SA"/>
        </w:rPr>
        <w:t>s, with and without adjustment for liver weight, but these effects were not evident in F</w:t>
      </w:r>
      <w:r w:rsidR="00C13755">
        <w:rPr>
          <w:lang w:bidi="ar-SA"/>
        </w:rPr>
        <w:t>1</w:t>
      </w:r>
      <w:r>
        <w:rPr>
          <w:lang w:bidi="ar-SA"/>
        </w:rPr>
        <w:t xml:space="preserve"> females from the same group that were </w:t>
      </w:r>
      <w:r>
        <w:rPr>
          <w:lang w:bidi="ar-SA"/>
        </w:rPr>
        <w:lastRenderedPageBreak/>
        <w:t>terminated on PND 63. Chronic exposure to 5 ppb PFOA in drinking water did not affect the liver:</w:t>
      </w:r>
      <w:r w:rsidR="00E83E80">
        <w:rPr>
          <w:lang w:bidi="ar-SA"/>
        </w:rPr>
        <w:t>body weight</w:t>
      </w:r>
      <w:r>
        <w:rPr>
          <w:lang w:bidi="ar-SA"/>
        </w:rPr>
        <w:t xml:space="preserve"> ratio in F</w:t>
      </w:r>
      <w:r w:rsidR="00B9756A">
        <w:rPr>
          <w:lang w:bidi="ar-SA"/>
        </w:rPr>
        <w:t>1</w:t>
      </w:r>
      <w:r>
        <w:rPr>
          <w:lang w:bidi="ar-SA"/>
        </w:rPr>
        <w:t xml:space="preserve"> mice. Scores for mammary development were significantly reduced in F</w:t>
      </w:r>
      <w:r w:rsidR="00B9756A">
        <w:rPr>
          <w:lang w:bidi="ar-SA"/>
        </w:rPr>
        <w:t>1</w:t>
      </w:r>
      <w:r>
        <w:rPr>
          <w:lang w:bidi="ar-SA"/>
        </w:rPr>
        <w:t xml:space="preserve"> females from all treated groups until at least PND 63.</w:t>
      </w:r>
    </w:p>
    <w:p w14:paraId="22D1A8B9" w14:textId="77777777" w:rsidR="00711821" w:rsidRDefault="00711821" w:rsidP="00A111E9">
      <w:pPr>
        <w:rPr>
          <w:lang w:bidi="ar-SA"/>
        </w:rPr>
      </w:pPr>
    </w:p>
    <w:p w14:paraId="604295F3" w14:textId="7B1C0F0C" w:rsidR="00711821" w:rsidRDefault="00711821" w:rsidP="00A111E9">
      <w:pPr>
        <w:rPr>
          <w:lang w:bidi="ar-SA"/>
        </w:rPr>
      </w:pPr>
      <w:r>
        <w:rPr>
          <w:lang w:bidi="ar-SA"/>
        </w:rPr>
        <w:t>The number of uterine implants was significantly reduced in F</w:t>
      </w:r>
      <w:r w:rsidR="00B9756A">
        <w:rPr>
          <w:lang w:bidi="ar-SA"/>
        </w:rPr>
        <w:t>1</w:t>
      </w:r>
      <w:r>
        <w:rPr>
          <w:lang w:bidi="ar-SA"/>
        </w:rPr>
        <w:t xml:space="preserve"> dams that had been prenatally exposed to 5 mg/kg bw/day. However</w:t>
      </w:r>
      <w:r w:rsidR="007F02A2">
        <w:rPr>
          <w:lang w:bidi="ar-SA"/>
        </w:rPr>
        <w:t>,</w:t>
      </w:r>
      <w:r>
        <w:rPr>
          <w:lang w:bidi="ar-SA"/>
        </w:rPr>
        <w:t xml:space="preserve"> postnatal survival of F</w:t>
      </w:r>
      <w:r w:rsidR="00B9756A">
        <w:rPr>
          <w:lang w:bidi="ar-SA"/>
        </w:rPr>
        <w:t>2</w:t>
      </w:r>
      <w:r>
        <w:rPr>
          <w:lang w:bidi="ar-SA"/>
        </w:rPr>
        <w:t xml:space="preserve"> pups was not affected by prenatal or chronic exposure to PFOA. In the lactational challenge on PND 10, no effect on milk volume or timed nursing behaviour of prenatal or chronic PFOA exposure of F</w:t>
      </w:r>
      <w:r w:rsidR="00B9756A">
        <w:rPr>
          <w:lang w:bidi="ar-SA"/>
        </w:rPr>
        <w:t>1</w:t>
      </w:r>
      <w:r>
        <w:rPr>
          <w:lang w:bidi="ar-SA"/>
        </w:rPr>
        <w:t xml:space="preserve"> dams was observed. Mammary glands of F1 dams from all treatment groups were significantly different, histologically, to those of controls on PND 10, showing reduced secretory alveoli and greater adiposity. On PND 22, involution appeared to be delayed in the 5 mg/kg bw/day group relative to controls. The authors noted that at the time the F</w:t>
      </w:r>
      <w:r w:rsidR="00C13755">
        <w:rPr>
          <w:lang w:bidi="ar-SA"/>
        </w:rPr>
        <w:t>1</w:t>
      </w:r>
      <w:r w:rsidRPr="009137E7">
        <w:rPr>
          <w:vertAlign w:val="subscript"/>
          <w:lang w:bidi="ar-SA"/>
        </w:rPr>
        <w:t xml:space="preserve"> </w:t>
      </w:r>
      <w:r>
        <w:rPr>
          <w:lang w:bidi="ar-SA"/>
        </w:rPr>
        <w:t>dams became pregnant, their siblings in all PFOA-exposed groups still exhibited stunted mammary gland development relative to controls. However, the alterations in mammary gland histology were not sufficient to alter F</w:t>
      </w:r>
      <w:r w:rsidR="00C13755">
        <w:rPr>
          <w:lang w:bidi="ar-SA"/>
        </w:rPr>
        <w:t>2</w:t>
      </w:r>
      <w:r>
        <w:rPr>
          <w:lang w:bidi="ar-SA"/>
        </w:rPr>
        <w:t xml:space="preserve"> body weights.</w:t>
      </w:r>
    </w:p>
    <w:p w14:paraId="757F75D3" w14:textId="77777777" w:rsidR="00711821" w:rsidRDefault="00711821" w:rsidP="00A111E9">
      <w:pPr>
        <w:rPr>
          <w:lang w:bidi="ar-SA"/>
        </w:rPr>
      </w:pPr>
    </w:p>
    <w:p w14:paraId="35D804BB" w14:textId="4B9C1432" w:rsidR="00711821" w:rsidRDefault="00711821" w:rsidP="00A111E9">
      <w:pPr>
        <w:rPr>
          <w:lang w:bidi="ar-SA"/>
        </w:rPr>
      </w:pPr>
      <w:r>
        <w:rPr>
          <w:lang w:bidi="ar-SA"/>
        </w:rPr>
        <w:t>Developmental mammary gland scores in F</w:t>
      </w:r>
      <w:r w:rsidR="00C13755">
        <w:rPr>
          <w:lang w:bidi="ar-SA"/>
        </w:rPr>
        <w:t>2</w:t>
      </w:r>
      <w:r>
        <w:rPr>
          <w:lang w:bidi="ar-SA"/>
        </w:rPr>
        <w:t xml:space="preserve"> females did not show any effects of PFOA exposure of their dams. However</w:t>
      </w:r>
      <w:r w:rsidR="007F02A2">
        <w:rPr>
          <w:lang w:bidi="ar-SA"/>
        </w:rPr>
        <w:t>,</w:t>
      </w:r>
      <w:r>
        <w:rPr>
          <w:lang w:bidi="ar-SA"/>
        </w:rPr>
        <w:t xml:space="preserve"> by PND 42, in both of the groups chronically exposed to PFOA in drinking water, F</w:t>
      </w:r>
      <w:r w:rsidR="00C13755">
        <w:rPr>
          <w:lang w:bidi="ar-SA"/>
        </w:rPr>
        <w:t>2</w:t>
      </w:r>
      <w:r>
        <w:rPr>
          <w:lang w:bidi="ar-SA"/>
        </w:rPr>
        <w:t xml:space="preserve"> females had significantly reduced mammary gland development relative to controls.</w:t>
      </w:r>
    </w:p>
    <w:p w14:paraId="3CC6F4B1" w14:textId="77777777" w:rsidR="00F03521" w:rsidRDefault="00F03521" w:rsidP="00A111E9">
      <w:pPr>
        <w:rPr>
          <w:lang w:bidi="ar-SA"/>
        </w:rPr>
      </w:pPr>
    </w:p>
    <w:p w14:paraId="3B3A551F" w14:textId="10A8F4E0" w:rsidR="00711821" w:rsidRDefault="00711821" w:rsidP="00A111E9">
      <w:pPr>
        <w:rPr>
          <w:lang w:bidi="ar-SA"/>
        </w:rPr>
      </w:pPr>
      <w:r>
        <w:rPr>
          <w:lang w:bidi="ar-SA"/>
        </w:rPr>
        <w:t>PFOA altered lactational morphology in dams and altered mammary gland development in their F</w:t>
      </w:r>
      <w:r w:rsidR="00C13755">
        <w:rPr>
          <w:lang w:bidi="ar-SA"/>
        </w:rPr>
        <w:t>1</w:t>
      </w:r>
      <w:r>
        <w:rPr>
          <w:lang w:bidi="ar-SA"/>
        </w:rPr>
        <w:t xml:space="preserve"> offspring, although these histological changes did not affect growth or survival of F</w:t>
      </w:r>
      <w:r w:rsidR="00C13755">
        <w:rPr>
          <w:lang w:bidi="ar-SA"/>
        </w:rPr>
        <w:t>2</w:t>
      </w:r>
      <w:r>
        <w:rPr>
          <w:lang w:bidi="ar-SA"/>
        </w:rPr>
        <w:t xml:space="preserve"> pups.</w:t>
      </w:r>
    </w:p>
    <w:p w14:paraId="47E06246" w14:textId="77777777" w:rsidR="00711821" w:rsidRDefault="00711821" w:rsidP="00A111E9">
      <w:pPr>
        <w:rPr>
          <w:lang w:bidi="ar-SA"/>
        </w:rPr>
      </w:pPr>
    </w:p>
    <w:p w14:paraId="0626F35F" w14:textId="359A34E3" w:rsidR="00711821" w:rsidRPr="002E0A63" w:rsidRDefault="00711821" w:rsidP="00A111E9">
      <w:pPr>
        <w:rPr>
          <w:lang w:bidi="ar-SA"/>
        </w:rPr>
      </w:pPr>
      <w:r w:rsidRPr="002E0A63">
        <w:rPr>
          <w:lang w:bidi="ar-SA"/>
        </w:rPr>
        <w:t xml:space="preserve">Serum PFOA data obtained from the study are presented in </w:t>
      </w:r>
      <w:r w:rsidR="00125A88">
        <w:rPr>
          <w:lang w:bidi="ar-SA"/>
        </w:rPr>
        <w:t xml:space="preserve">Table </w:t>
      </w:r>
      <w:r w:rsidR="002D3856">
        <w:rPr>
          <w:lang w:bidi="ar-SA"/>
        </w:rPr>
        <w:t>26</w:t>
      </w:r>
      <w:r w:rsidRPr="002E0A63">
        <w:rPr>
          <w:lang w:bidi="ar-SA"/>
        </w:rPr>
        <w:t>.</w:t>
      </w:r>
    </w:p>
    <w:p w14:paraId="1F53321F" w14:textId="77777777" w:rsidR="00711821" w:rsidRDefault="00711821" w:rsidP="00A111E9">
      <w:pPr>
        <w:rPr>
          <w:lang w:bidi="ar-SA"/>
        </w:rPr>
      </w:pPr>
    </w:p>
    <w:p w14:paraId="0DA169A9" w14:textId="6BF0D69E" w:rsidR="00C044E7" w:rsidRPr="002E0A63" w:rsidRDefault="00C044E7" w:rsidP="00A111E9">
      <w:pPr>
        <w:pStyle w:val="FSTableTitle"/>
        <w:rPr>
          <w:lang w:bidi="ar-SA"/>
        </w:rPr>
      </w:pPr>
      <w:r>
        <w:rPr>
          <w:lang w:bidi="ar-SA"/>
        </w:rPr>
        <w:t xml:space="preserve">Table </w:t>
      </w:r>
      <w:r w:rsidR="00DA3475">
        <w:rPr>
          <w:lang w:bidi="ar-SA"/>
        </w:rPr>
        <w:t>26</w:t>
      </w:r>
      <w:r>
        <w:rPr>
          <w:lang w:bidi="ar-SA"/>
        </w:rPr>
        <w:t xml:space="preserve">: </w:t>
      </w:r>
      <w:r w:rsidRPr="002E0A63">
        <w:rPr>
          <w:szCs w:val="22"/>
          <w:lang w:bidi="ar-SA"/>
        </w:rPr>
        <w:t xml:space="preserve">Serum PFOA </w:t>
      </w:r>
      <w:r w:rsidR="00DB0B1B">
        <w:rPr>
          <w:szCs w:val="22"/>
          <w:lang w:bidi="ar-SA"/>
        </w:rPr>
        <w:t>c</w:t>
      </w:r>
      <w:r w:rsidR="00DB0B1B" w:rsidRPr="002E0A63">
        <w:rPr>
          <w:szCs w:val="22"/>
          <w:lang w:bidi="ar-SA"/>
        </w:rPr>
        <w:t xml:space="preserve">oncentrations </w:t>
      </w:r>
      <w:r w:rsidRPr="002E0A63">
        <w:rPr>
          <w:szCs w:val="22"/>
          <w:lang w:bidi="ar-SA"/>
        </w:rPr>
        <w:t>(ng/mL) over thre</w:t>
      </w:r>
      <w:r>
        <w:rPr>
          <w:szCs w:val="22"/>
          <w:lang w:bidi="ar-SA"/>
        </w:rPr>
        <w:t>e generations</w:t>
      </w:r>
      <w:r w:rsidR="000830C5">
        <w:rPr>
          <w:szCs w:val="22"/>
          <w:lang w:bidi="ar-SA"/>
        </w:rPr>
        <w:t xml:space="preserve"> </w:t>
      </w:r>
      <w:r w:rsidR="000830C5" w:rsidRPr="002E0A63">
        <w:rPr>
          <w:lang w:bidi="ar-SA"/>
        </w:rPr>
        <w:t>(mean ± SE)</w:t>
      </w:r>
    </w:p>
    <w:tbl>
      <w:tblPr>
        <w:tblStyle w:val="TableGrid"/>
        <w:tblW w:w="0" w:type="auto"/>
        <w:jc w:val="center"/>
        <w:tblLayout w:type="fixed"/>
        <w:tblLook w:val="04A0" w:firstRow="1" w:lastRow="0" w:firstColumn="1" w:lastColumn="0" w:noHBand="0" w:noVBand="1"/>
        <w:tblCaption w:val="Table 26: Serum PFOA concentrations (ng/mL) over three generations (mean ± SE)"/>
        <w:tblDescription w:val="This table contains data relating to serum PFOA concentrations over three generations."/>
      </w:tblPr>
      <w:tblGrid>
        <w:gridCol w:w="1668"/>
        <w:gridCol w:w="992"/>
        <w:gridCol w:w="1559"/>
        <w:gridCol w:w="1559"/>
        <w:gridCol w:w="1560"/>
        <w:gridCol w:w="1701"/>
      </w:tblGrid>
      <w:tr w:rsidR="00C044E7" w14:paraId="60D64C85" w14:textId="77777777" w:rsidTr="000830C5">
        <w:trPr>
          <w:tblHeader/>
          <w:jc w:val="center"/>
        </w:trPr>
        <w:tc>
          <w:tcPr>
            <w:tcW w:w="1668" w:type="dxa"/>
            <w:shd w:val="clear" w:color="auto" w:fill="F2F2F2" w:themeFill="background1" w:themeFillShade="F2"/>
            <w:vAlign w:val="center"/>
          </w:tcPr>
          <w:p w14:paraId="0C012C38" w14:textId="77777777" w:rsidR="00C044E7" w:rsidRPr="000B3C14" w:rsidRDefault="00C044E7" w:rsidP="00A111E9">
            <w:pPr>
              <w:rPr>
                <w:rFonts w:ascii="Arial" w:hAnsi="Arial"/>
                <w:b/>
                <w:sz w:val="18"/>
              </w:rPr>
            </w:pPr>
            <w:r w:rsidRPr="00D711DD">
              <w:rPr>
                <w:b/>
                <w:sz w:val="18"/>
              </w:rPr>
              <w:t>Generation/age</w:t>
            </w:r>
          </w:p>
        </w:tc>
        <w:tc>
          <w:tcPr>
            <w:tcW w:w="992" w:type="dxa"/>
            <w:shd w:val="clear" w:color="auto" w:fill="F2F2F2" w:themeFill="background1" w:themeFillShade="F2"/>
            <w:vAlign w:val="center"/>
          </w:tcPr>
          <w:p w14:paraId="240A0BBB" w14:textId="77777777" w:rsidR="00C044E7" w:rsidRPr="00F6284E" w:rsidRDefault="00C044E7" w:rsidP="00647943">
            <w:pPr>
              <w:jc w:val="right"/>
              <w:rPr>
                <w:rFonts w:ascii="Arial" w:hAnsi="Arial"/>
                <w:b/>
                <w:sz w:val="18"/>
              </w:rPr>
            </w:pPr>
            <w:r w:rsidRPr="000B3C14">
              <w:rPr>
                <w:b/>
                <w:sz w:val="18"/>
              </w:rPr>
              <w:t>Control</w:t>
            </w:r>
          </w:p>
        </w:tc>
        <w:tc>
          <w:tcPr>
            <w:tcW w:w="1559" w:type="dxa"/>
            <w:shd w:val="clear" w:color="auto" w:fill="F2F2F2" w:themeFill="background1" w:themeFillShade="F2"/>
            <w:vAlign w:val="center"/>
          </w:tcPr>
          <w:p w14:paraId="3070BEEE" w14:textId="77777777" w:rsidR="00C044E7" w:rsidRPr="00F6284E" w:rsidRDefault="00C044E7" w:rsidP="00647943">
            <w:pPr>
              <w:jc w:val="right"/>
              <w:rPr>
                <w:rFonts w:ascii="Arial" w:hAnsi="Arial"/>
                <w:b/>
                <w:sz w:val="18"/>
              </w:rPr>
            </w:pPr>
            <w:r w:rsidRPr="00F6284E">
              <w:rPr>
                <w:b/>
                <w:sz w:val="18"/>
              </w:rPr>
              <w:t>Control + 5 ppb PFOA in water</w:t>
            </w:r>
          </w:p>
        </w:tc>
        <w:tc>
          <w:tcPr>
            <w:tcW w:w="1559" w:type="dxa"/>
            <w:shd w:val="clear" w:color="auto" w:fill="F2F2F2" w:themeFill="background1" w:themeFillShade="F2"/>
            <w:vAlign w:val="center"/>
          </w:tcPr>
          <w:p w14:paraId="70597A90" w14:textId="77777777" w:rsidR="00C044E7" w:rsidRPr="00F6284E" w:rsidRDefault="00C044E7" w:rsidP="00647943">
            <w:pPr>
              <w:jc w:val="right"/>
              <w:rPr>
                <w:rFonts w:ascii="Arial" w:hAnsi="Arial"/>
                <w:b/>
                <w:sz w:val="18"/>
              </w:rPr>
            </w:pPr>
            <w:r w:rsidRPr="00F6284E">
              <w:rPr>
                <w:b/>
                <w:sz w:val="18"/>
              </w:rPr>
              <w:t>1 mg/kg bw</w:t>
            </w:r>
          </w:p>
        </w:tc>
        <w:tc>
          <w:tcPr>
            <w:tcW w:w="1560" w:type="dxa"/>
            <w:shd w:val="clear" w:color="auto" w:fill="F2F2F2" w:themeFill="background1" w:themeFillShade="F2"/>
            <w:vAlign w:val="center"/>
          </w:tcPr>
          <w:p w14:paraId="33BFD8CE" w14:textId="77777777" w:rsidR="00C044E7" w:rsidRPr="00F6284E" w:rsidRDefault="00C044E7" w:rsidP="00647943">
            <w:pPr>
              <w:jc w:val="right"/>
              <w:rPr>
                <w:rFonts w:ascii="Arial" w:hAnsi="Arial"/>
                <w:b/>
                <w:sz w:val="18"/>
              </w:rPr>
            </w:pPr>
            <w:r w:rsidRPr="00F6284E">
              <w:rPr>
                <w:b/>
                <w:sz w:val="18"/>
              </w:rPr>
              <w:t>1 mg/kg bw + 5 ppb PFOA in water</w:t>
            </w:r>
          </w:p>
        </w:tc>
        <w:tc>
          <w:tcPr>
            <w:tcW w:w="1701" w:type="dxa"/>
            <w:shd w:val="clear" w:color="auto" w:fill="F2F2F2" w:themeFill="background1" w:themeFillShade="F2"/>
            <w:vAlign w:val="center"/>
          </w:tcPr>
          <w:p w14:paraId="61ED1F4A" w14:textId="77777777" w:rsidR="00C044E7" w:rsidRPr="00F6284E" w:rsidRDefault="00C044E7" w:rsidP="00647943">
            <w:pPr>
              <w:jc w:val="right"/>
              <w:rPr>
                <w:rFonts w:ascii="Arial" w:hAnsi="Arial"/>
                <w:b/>
                <w:sz w:val="18"/>
              </w:rPr>
            </w:pPr>
            <w:r w:rsidRPr="00F6284E">
              <w:rPr>
                <w:b/>
                <w:sz w:val="18"/>
              </w:rPr>
              <w:t>5 mg/kg bw</w:t>
            </w:r>
          </w:p>
        </w:tc>
      </w:tr>
      <w:tr w:rsidR="00C044E7" w14:paraId="703D1820" w14:textId="77777777" w:rsidTr="00F6284E">
        <w:trPr>
          <w:jc w:val="center"/>
        </w:trPr>
        <w:tc>
          <w:tcPr>
            <w:tcW w:w="1668" w:type="dxa"/>
          </w:tcPr>
          <w:p w14:paraId="18428713" w14:textId="1A9C0770" w:rsidR="00C044E7" w:rsidRPr="00F6284E" w:rsidRDefault="00F03521" w:rsidP="00A111E9">
            <w:pPr>
              <w:rPr>
                <w:rFonts w:ascii="Arial" w:hAnsi="Arial"/>
                <w:sz w:val="18"/>
              </w:rPr>
            </w:pPr>
            <w:r>
              <w:rPr>
                <w:sz w:val="18"/>
              </w:rPr>
              <w:t>F0</w:t>
            </w:r>
            <w:r w:rsidRPr="000B3C14">
              <w:rPr>
                <w:sz w:val="18"/>
              </w:rPr>
              <w:t xml:space="preserve"> </w:t>
            </w:r>
            <w:r w:rsidR="00C044E7" w:rsidRPr="000B3C14">
              <w:rPr>
                <w:sz w:val="18"/>
              </w:rPr>
              <w:t>dams at weaning, PND</w:t>
            </w:r>
            <w:r>
              <w:rPr>
                <w:sz w:val="18"/>
              </w:rPr>
              <w:t xml:space="preserve"> </w:t>
            </w:r>
            <w:r w:rsidR="00C044E7" w:rsidRPr="000B3C14">
              <w:rPr>
                <w:sz w:val="18"/>
              </w:rPr>
              <w:t>22</w:t>
            </w:r>
          </w:p>
        </w:tc>
        <w:tc>
          <w:tcPr>
            <w:tcW w:w="992" w:type="dxa"/>
            <w:vAlign w:val="center"/>
          </w:tcPr>
          <w:p w14:paraId="4B44A7F0" w14:textId="77777777" w:rsidR="00C044E7" w:rsidRPr="00F6284E" w:rsidRDefault="00C044E7" w:rsidP="00647943">
            <w:pPr>
              <w:jc w:val="right"/>
              <w:rPr>
                <w:rFonts w:ascii="Arial" w:hAnsi="Arial"/>
                <w:sz w:val="18"/>
              </w:rPr>
            </w:pPr>
            <w:r w:rsidRPr="00F6284E">
              <w:rPr>
                <w:sz w:val="18"/>
              </w:rPr>
              <w:t>4.0 ± 0.3</w:t>
            </w:r>
          </w:p>
        </w:tc>
        <w:tc>
          <w:tcPr>
            <w:tcW w:w="1559" w:type="dxa"/>
            <w:vAlign w:val="center"/>
          </w:tcPr>
          <w:p w14:paraId="23EB7955" w14:textId="77777777" w:rsidR="00C044E7" w:rsidRPr="00F6284E" w:rsidRDefault="00C044E7" w:rsidP="00647943">
            <w:pPr>
              <w:jc w:val="right"/>
              <w:rPr>
                <w:rFonts w:ascii="Arial" w:hAnsi="Arial"/>
                <w:sz w:val="18"/>
              </w:rPr>
            </w:pPr>
            <w:r w:rsidRPr="00F6284E">
              <w:rPr>
                <w:sz w:val="18"/>
              </w:rPr>
              <w:t>74.8 ± 11.3</w:t>
            </w:r>
          </w:p>
        </w:tc>
        <w:tc>
          <w:tcPr>
            <w:tcW w:w="1559" w:type="dxa"/>
            <w:vAlign w:val="center"/>
          </w:tcPr>
          <w:p w14:paraId="1B9A6EE0" w14:textId="1DDF512F" w:rsidR="00C044E7" w:rsidRPr="00F6284E" w:rsidRDefault="00C044E7" w:rsidP="00647943">
            <w:pPr>
              <w:jc w:val="right"/>
              <w:rPr>
                <w:rFonts w:ascii="Arial" w:hAnsi="Arial"/>
                <w:sz w:val="18"/>
              </w:rPr>
            </w:pPr>
            <w:r w:rsidRPr="00F6284E">
              <w:rPr>
                <w:sz w:val="18"/>
              </w:rPr>
              <w:t>6658.0 ± 650.5</w:t>
            </w:r>
          </w:p>
        </w:tc>
        <w:tc>
          <w:tcPr>
            <w:tcW w:w="1560" w:type="dxa"/>
            <w:vAlign w:val="center"/>
          </w:tcPr>
          <w:p w14:paraId="0E9C354F" w14:textId="77777777" w:rsidR="00C044E7" w:rsidRPr="00F6284E" w:rsidRDefault="00C044E7" w:rsidP="00647943">
            <w:pPr>
              <w:jc w:val="right"/>
              <w:rPr>
                <w:rFonts w:ascii="Arial" w:hAnsi="Arial"/>
                <w:sz w:val="18"/>
              </w:rPr>
            </w:pPr>
            <w:r w:rsidRPr="00F6284E">
              <w:rPr>
                <w:sz w:val="18"/>
              </w:rPr>
              <w:t>4772.0 ± 282.4</w:t>
            </w:r>
          </w:p>
        </w:tc>
        <w:tc>
          <w:tcPr>
            <w:tcW w:w="1701" w:type="dxa"/>
            <w:vAlign w:val="center"/>
          </w:tcPr>
          <w:p w14:paraId="19B5D871" w14:textId="1B3A3FDC" w:rsidR="00C044E7" w:rsidRPr="00F6284E" w:rsidRDefault="00C044E7" w:rsidP="00647943">
            <w:pPr>
              <w:jc w:val="right"/>
              <w:rPr>
                <w:rFonts w:ascii="Arial" w:hAnsi="Arial"/>
                <w:sz w:val="18"/>
              </w:rPr>
            </w:pPr>
            <w:r w:rsidRPr="00F6284E">
              <w:rPr>
                <w:sz w:val="18"/>
              </w:rPr>
              <w:t>26</w:t>
            </w:r>
            <w:r w:rsidR="00CC26CA">
              <w:rPr>
                <w:sz w:val="18"/>
              </w:rPr>
              <w:t> 980</w:t>
            </w:r>
            <w:r w:rsidRPr="00F6284E">
              <w:rPr>
                <w:sz w:val="18"/>
              </w:rPr>
              <w:t>.0 ± 1288.2</w:t>
            </w:r>
          </w:p>
        </w:tc>
      </w:tr>
      <w:tr w:rsidR="00C044E7" w14:paraId="374FCF5F" w14:textId="77777777" w:rsidTr="00F6284E">
        <w:trPr>
          <w:trHeight w:val="227"/>
          <w:jc w:val="center"/>
        </w:trPr>
        <w:tc>
          <w:tcPr>
            <w:tcW w:w="9039" w:type="dxa"/>
            <w:gridSpan w:val="6"/>
          </w:tcPr>
          <w:p w14:paraId="72D382DA" w14:textId="46C948EA" w:rsidR="00C044E7" w:rsidRPr="00F6284E" w:rsidRDefault="00C044E7" w:rsidP="00647943">
            <w:pPr>
              <w:rPr>
                <w:rFonts w:ascii="Arial" w:hAnsi="Arial"/>
                <w:sz w:val="18"/>
              </w:rPr>
            </w:pPr>
            <w:r w:rsidRPr="00D711DD">
              <w:rPr>
                <w:sz w:val="18"/>
              </w:rPr>
              <w:t>F</w:t>
            </w:r>
            <w:r w:rsidR="00717CCB">
              <w:rPr>
                <w:sz w:val="18"/>
              </w:rPr>
              <w:t xml:space="preserve">1 </w:t>
            </w:r>
            <w:r w:rsidRPr="000B3C14">
              <w:rPr>
                <w:sz w:val="18"/>
              </w:rPr>
              <w:t>pups</w:t>
            </w:r>
          </w:p>
        </w:tc>
      </w:tr>
      <w:tr w:rsidR="00C044E7" w14:paraId="5B5CA189" w14:textId="77777777" w:rsidTr="00F6284E">
        <w:trPr>
          <w:trHeight w:val="227"/>
          <w:jc w:val="center"/>
        </w:trPr>
        <w:tc>
          <w:tcPr>
            <w:tcW w:w="1668" w:type="dxa"/>
            <w:vAlign w:val="center"/>
          </w:tcPr>
          <w:p w14:paraId="0BD331D4" w14:textId="7C5C8F70" w:rsidR="00C044E7" w:rsidRPr="000B3C14" w:rsidRDefault="00C044E7" w:rsidP="00A111E9">
            <w:pPr>
              <w:rPr>
                <w:rFonts w:ascii="Arial" w:hAnsi="Arial"/>
                <w:sz w:val="18"/>
              </w:rPr>
            </w:pPr>
            <w:r w:rsidRPr="00D711DD">
              <w:rPr>
                <w:sz w:val="18"/>
              </w:rPr>
              <w:t>PND</w:t>
            </w:r>
            <w:r w:rsidR="00F03521">
              <w:rPr>
                <w:sz w:val="18"/>
              </w:rPr>
              <w:t xml:space="preserve"> </w:t>
            </w:r>
            <w:r w:rsidRPr="00D711DD">
              <w:rPr>
                <w:sz w:val="18"/>
              </w:rPr>
              <w:t>22</w:t>
            </w:r>
          </w:p>
        </w:tc>
        <w:tc>
          <w:tcPr>
            <w:tcW w:w="992" w:type="dxa"/>
            <w:vAlign w:val="center"/>
          </w:tcPr>
          <w:p w14:paraId="402B3BFA" w14:textId="77777777" w:rsidR="00C044E7" w:rsidRPr="00F6284E" w:rsidRDefault="00C044E7" w:rsidP="00647943">
            <w:pPr>
              <w:jc w:val="right"/>
              <w:rPr>
                <w:rFonts w:ascii="Arial" w:hAnsi="Arial"/>
                <w:sz w:val="18"/>
              </w:rPr>
            </w:pPr>
            <w:r w:rsidRPr="000B3C14">
              <w:rPr>
                <w:sz w:val="18"/>
              </w:rPr>
              <w:t>0.6 ± 0.3</w:t>
            </w:r>
          </w:p>
        </w:tc>
        <w:tc>
          <w:tcPr>
            <w:tcW w:w="1559" w:type="dxa"/>
            <w:vAlign w:val="center"/>
          </w:tcPr>
          <w:p w14:paraId="55A8B4DE" w14:textId="77777777" w:rsidR="00C044E7" w:rsidRPr="00F6284E" w:rsidRDefault="00C044E7" w:rsidP="00647943">
            <w:pPr>
              <w:jc w:val="right"/>
              <w:rPr>
                <w:rFonts w:ascii="Arial" w:hAnsi="Arial"/>
                <w:sz w:val="18"/>
              </w:rPr>
            </w:pPr>
            <w:r w:rsidRPr="00F6284E">
              <w:rPr>
                <w:sz w:val="18"/>
              </w:rPr>
              <w:t>21.3 ± 2.1</w:t>
            </w:r>
          </w:p>
        </w:tc>
        <w:tc>
          <w:tcPr>
            <w:tcW w:w="1559" w:type="dxa"/>
            <w:vAlign w:val="center"/>
          </w:tcPr>
          <w:p w14:paraId="442F9AB0" w14:textId="24B08ED9" w:rsidR="00C044E7" w:rsidRPr="00F6284E" w:rsidRDefault="00C044E7" w:rsidP="00647943">
            <w:pPr>
              <w:jc w:val="right"/>
              <w:rPr>
                <w:rFonts w:ascii="Arial" w:hAnsi="Arial"/>
                <w:sz w:val="18"/>
              </w:rPr>
            </w:pPr>
            <w:r w:rsidRPr="00F6284E">
              <w:rPr>
                <w:sz w:val="18"/>
              </w:rPr>
              <w:t>2443.8 ± 256.4</w:t>
            </w:r>
          </w:p>
        </w:tc>
        <w:tc>
          <w:tcPr>
            <w:tcW w:w="1560" w:type="dxa"/>
            <w:vAlign w:val="center"/>
          </w:tcPr>
          <w:p w14:paraId="714E3D4F" w14:textId="77777777" w:rsidR="00C044E7" w:rsidRPr="00F6284E" w:rsidRDefault="00C044E7" w:rsidP="00647943">
            <w:pPr>
              <w:jc w:val="right"/>
              <w:rPr>
                <w:rFonts w:ascii="Arial" w:hAnsi="Arial"/>
                <w:sz w:val="18"/>
              </w:rPr>
            </w:pPr>
            <w:r w:rsidRPr="00F6284E">
              <w:rPr>
                <w:sz w:val="18"/>
              </w:rPr>
              <w:t>2743.8 ± 129.4</w:t>
            </w:r>
          </w:p>
        </w:tc>
        <w:tc>
          <w:tcPr>
            <w:tcW w:w="1701" w:type="dxa"/>
            <w:vAlign w:val="center"/>
          </w:tcPr>
          <w:p w14:paraId="6192E4B3" w14:textId="2464EFF4" w:rsidR="00C044E7" w:rsidRPr="00F6284E" w:rsidRDefault="00C044E7" w:rsidP="00647943">
            <w:pPr>
              <w:jc w:val="right"/>
              <w:rPr>
                <w:rFonts w:ascii="Arial" w:hAnsi="Arial"/>
                <w:sz w:val="18"/>
              </w:rPr>
            </w:pPr>
            <w:r w:rsidRPr="00F6284E">
              <w:rPr>
                <w:sz w:val="18"/>
              </w:rPr>
              <w:t>10</w:t>
            </w:r>
            <w:r w:rsidR="00CC26CA">
              <w:rPr>
                <w:sz w:val="18"/>
              </w:rPr>
              <w:t> 045</w:t>
            </w:r>
            <w:r w:rsidRPr="00F6284E">
              <w:rPr>
                <w:sz w:val="18"/>
              </w:rPr>
              <w:t xml:space="preserve"> ± 1125.6</w:t>
            </w:r>
          </w:p>
        </w:tc>
      </w:tr>
      <w:tr w:rsidR="00C044E7" w14:paraId="37FDC417" w14:textId="77777777" w:rsidTr="00F6284E">
        <w:trPr>
          <w:trHeight w:val="227"/>
          <w:jc w:val="center"/>
        </w:trPr>
        <w:tc>
          <w:tcPr>
            <w:tcW w:w="1668" w:type="dxa"/>
            <w:vAlign w:val="center"/>
          </w:tcPr>
          <w:p w14:paraId="0BADDDF0" w14:textId="3A67DAD6" w:rsidR="00C044E7" w:rsidRPr="000B3C14" w:rsidRDefault="00C044E7" w:rsidP="00A111E9">
            <w:pPr>
              <w:rPr>
                <w:rFonts w:ascii="Arial" w:hAnsi="Arial"/>
                <w:sz w:val="18"/>
              </w:rPr>
            </w:pPr>
            <w:r w:rsidRPr="00D711DD">
              <w:rPr>
                <w:sz w:val="18"/>
              </w:rPr>
              <w:t>PND</w:t>
            </w:r>
            <w:r w:rsidR="00F03521">
              <w:rPr>
                <w:sz w:val="18"/>
              </w:rPr>
              <w:t xml:space="preserve"> </w:t>
            </w:r>
            <w:r w:rsidRPr="00D711DD">
              <w:rPr>
                <w:sz w:val="18"/>
              </w:rPr>
              <w:t>42</w:t>
            </w:r>
          </w:p>
        </w:tc>
        <w:tc>
          <w:tcPr>
            <w:tcW w:w="992" w:type="dxa"/>
            <w:vAlign w:val="center"/>
          </w:tcPr>
          <w:p w14:paraId="2827F982" w14:textId="77777777" w:rsidR="00C044E7" w:rsidRPr="00F6284E" w:rsidRDefault="00C044E7" w:rsidP="00647943">
            <w:pPr>
              <w:jc w:val="right"/>
              <w:rPr>
                <w:rFonts w:ascii="Arial" w:hAnsi="Arial"/>
                <w:sz w:val="18"/>
              </w:rPr>
            </w:pPr>
            <w:r w:rsidRPr="000B3C14">
              <w:rPr>
                <w:sz w:val="18"/>
              </w:rPr>
              <w:t>1.4 ± 0.4</w:t>
            </w:r>
          </w:p>
        </w:tc>
        <w:tc>
          <w:tcPr>
            <w:tcW w:w="1559" w:type="dxa"/>
            <w:vAlign w:val="center"/>
          </w:tcPr>
          <w:p w14:paraId="209BC858" w14:textId="77777777" w:rsidR="00C044E7" w:rsidRPr="00F6284E" w:rsidRDefault="00C044E7" w:rsidP="00647943">
            <w:pPr>
              <w:jc w:val="right"/>
              <w:rPr>
                <w:rFonts w:ascii="Arial" w:hAnsi="Arial"/>
                <w:sz w:val="18"/>
              </w:rPr>
            </w:pPr>
            <w:r w:rsidRPr="00F6284E">
              <w:rPr>
                <w:sz w:val="18"/>
              </w:rPr>
              <w:t>48.98 ± 4.7</w:t>
            </w:r>
          </w:p>
        </w:tc>
        <w:tc>
          <w:tcPr>
            <w:tcW w:w="1559" w:type="dxa"/>
            <w:vAlign w:val="center"/>
          </w:tcPr>
          <w:p w14:paraId="1361A2D3" w14:textId="4F56244E" w:rsidR="00C044E7" w:rsidRPr="00F6284E" w:rsidRDefault="00C044E7" w:rsidP="00647943">
            <w:pPr>
              <w:jc w:val="right"/>
              <w:rPr>
                <w:rFonts w:ascii="Arial" w:hAnsi="Arial"/>
                <w:sz w:val="18"/>
              </w:rPr>
            </w:pPr>
            <w:r w:rsidRPr="00F6284E">
              <w:rPr>
                <w:sz w:val="18"/>
              </w:rPr>
              <w:t>609.5 ± 72.2</w:t>
            </w:r>
          </w:p>
        </w:tc>
        <w:tc>
          <w:tcPr>
            <w:tcW w:w="1560" w:type="dxa"/>
            <w:vAlign w:val="center"/>
          </w:tcPr>
          <w:p w14:paraId="23B03DBD" w14:textId="77777777" w:rsidR="00C044E7" w:rsidRPr="00F6284E" w:rsidRDefault="00C044E7" w:rsidP="00647943">
            <w:pPr>
              <w:jc w:val="right"/>
              <w:rPr>
                <w:rFonts w:ascii="Arial" w:hAnsi="Arial"/>
                <w:sz w:val="18"/>
              </w:rPr>
            </w:pPr>
            <w:r w:rsidRPr="00F6284E">
              <w:rPr>
                <w:sz w:val="18"/>
              </w:rPr>
              <w:t>558.0 ± 55.8</w:t>
            </w:r>
          </w:p>
        </w:tc>
        <w:tc>
          <w:tcPr>
            <w:tcW w:w="1701" w:type="dxa"/>
            <w:vAlign w:val="center"/>
          </w:tcPr>
          <w:p w14:paraId="3B3D4145" w14:textId="77777777" w:rsidR="00C044E7" w:rsidRPr="00F6284E" w:rsidRDefault="00C044E7" w:rsidP="00647943">
            <w:pPr>
              <w:jc w:val="right"/>
              <w:rPr>
                <w:rFonts w:ascii="Arial" w:hAnsi="Arial"/>
                <w:sz w:val="18"/>
              </w:rPr>
            </w:pPr>
            <w:r w:rsidRPr="00F6284E">
              <w:rPr>
                <w:sz w:val="18"/>
              </w:rPr>
              <w:t>1581.0 ± 245.1</w:t>
            </w:r>
          </w:p>
        </w:tc>
      </w:tr>
      <w:tr w:rsidR="00C044E7" w14:paraId="774737F9" w14:textId="77777777" w:rsidTr="00F6284E">
        <w:trPr>
          <w:trHeight w:val="227"/>
          <w:jc w:val="center"/>
        </w:trPr>
        <w:tc>
          <w:tcPr>
            <w:tcW w:w="1668" w:type="dxa"/>
            <w:vAlign w:val="center"/>
          </w:tcPr>
          <w:p w14:paraId="1D587FE6" w14:textId="108D1074" w:rsidR="00C044E7" w:rsidRPr="000B3C14" w:rsidRDefault="00C044E7" w:rsidP="00A111E9">
            <w:pPr>
              <w:rPr>
                <w:rFonts w:ascii="Arial" w:hAnsi="Arial"/>
                <w:sz w:val="18"/>
              </w:rPr>
            </w:pPr>
            <w:r w:rsidRPr="00D711DD">
              <w:rPr>
                <w:sz w:val="18"/>
              </w:rPr>
              <w:t>PND</w:t>
            </w:r>
            <w:r w:rsidR="00F03521">
              <w:rPr>
                <w:sz w:val="18"/>
              </w:rPr>
              <w:t xml:space="preserve"> </w:t>
            </w:r>
            <w:r w:rsidRPr="00D711DD">
              <w:rPr>
                <w:sz w:val="18"/>
              </w:rPr>
              <w:t>63</w:t>
            </w:r>
          </w:p>
        </w:tc>
        <w:tc>
          <w:tcPr>
            <w:tcW w:w="992" w:type="dxa"/>
            <w:vAlign w:val="center"/>
          </w:tcPr>
          <w:p w14:paraId="672F505A" w14:textId="77777777" w:rsidR="00C044E7" w:rsidRPr="00F6284E" w:rsidRDefault="00C044E7" w:rsidP="00647943">
            <w:pPr>
              <w:jc w:val="right"/>
              <w:rPr>
                <w:rFonts w:ascii="Arial" w:hAnsi="Arial"/>
                <w:sz w:val="18"/>
              </w:rPr>
            </w:pPr>
            <w:r w:rsidRPr="000B3C14">
              <w:rPr>
                <w:sz w:val="18"/>
              </w:rPr>
              <w:t>3.1 ± 0.2</w:t>
            </w:r>
          </w:p>
        </w:tc>
        <w:tc>
          <w:tcPr>
            <w:tcW w:w="1559" w:type="dxa"/>
            <w:vAlign w:val="center"/>
          </w:tcPr>
          <w:p w14:paraId="1D2A7692" w14:textId="77777777" w:rsidR="00C044E7" w:rsidRPr="00F6284E" w:rsidRDefault="00C044E7" w:rsidP="00647943">
            <w:pPr>
              <w:jc w:val="right"/>
              <w:rPr>
                <w:rFonts w:ascii="Arial" w:hAnsi="Arial"/>
                <w:sz w:val="18"/>
              </w:rPr>
            </w:pPr>
            <w:r w:rsidRPr="00F6284E">
              <w:rPr>
                <w:sz w:val="18"/>
              </w:rPr>
              <w:t>66.2 ± 4.1</w:t>
            </w:r>
          </w:p>
        </w:tc>
        <w:tc>
          <w:tcPr>
            <w:tcW w:w="1559" w:type="dxa"/>
            <w:vAlign w:val="center"/>
          </w:tcPr>
          <w:p w14:paraId="01138BC5" w14:textId="36BB94CF" w:rsidR="00C044E7" w:rsidRPr="00F6284E" w:rsidRDefault="00C044E7" w:rsidP="00647943">
            <w:pPr>
              <w:jc w:val="right"/>
              <w:rPr>
                <w:rFonts w:ascii="Arial" w:hAnsi="Arial"/>
                <w:sz w:val="18"/>
              </w:rPr>
            </w:pPr>
            <w:r w:rsidRPr="00F6284E">
              <w:rPr>
                <w:sz w:val="18"/>
              </w:rPr>
              <w:t>210.7 ± 21.9</w:t>
            </w:r>
          </w:p>
        </w:tc>
        <w:tc>
          <w:tcPr>
            <w:tcW w:w="1560" w:type="dxa"/>
            <w:vAlign w:val="center"/>
          </w:tcPr>
          <w:p w14:paraId="65E5B80A" w14:textId="77777777" w:rsidR="00C044E7" w:rsidRPr="00F6284E" w:rsidRDefault="00C044E7" w:rsidP="00647943">
            <w:pPr>
              <w:jc w:val="right"/>
              <w:rPr>
                <w:rFonts w:ascii="Arial" w:hAnsi="Arial"/>
                <w:sz w:val="18"/>
              </w:rPr>
            </w:pPr>
            <w:r w:rsidRPr="00F6284E">
              <w:rPr>
                <w:sz w:val="18"/>
              </w:rPr>
              <w:t>187.0 ± 24.1</w:t>
            </w:r>
          </w:p>
        </w:tc>
        <w:tc>
          <w:tcPr>
            <w:tcW w:w="1701" w:type="dxa"/>
            <w:vAlign w:val="center"/>
          </w:tcPr>
          <w:p w14:paraId="38D24FAB" w14:textId="5548A62F" w:rsidR="00C044E7" w:rsidRPr="00F6284E" w:rsidRDefault="00C044E7" w:rsidP="00647943">
            <w:pPr>
              <w:jc w:val="right"/>
              <w:rPr>
                <w:rFonts w:ascii="Arial" w:hAnsi="Arial"/>
                <w:sz w:val="18"/>
              </w:rPr>
            </w:pPr>
            <w:r w:rsidRPr="00F6284E">
              <w:rPr>
                <w:sz w:val="18"/>
              </w:rPr>
              <w:t>760.3 ± 188.3</w:t>
            </w:r>
          </w:p>
        </w:tc>
      </w:tr>
      <w:tr w:rsidR="00C044E7" w14:paraId="51918470" w14:textId="77777777" w:rsidTr="00F6284E">
        <w:trPr>
          <w:jc w:val="center"/>
        </w:trPr>
        <w:tc>
          <w:tcPr>
            <w:tcW w:w="1668" w:type="dxa"/>
          </w:tcPr>
          <w:p w14:paraId="023B3808" w14:textId="0B089EED" w:rsidR="00C044E7" w:rsidRPr="00F6284E" w:rsidRDefault="00C044E7" w:rsidP="00A111E9">
            <w:pPr>
              <w:rPr>
                <w:rFonts w:ascii="Arial" w:hAnsi="Arial"/>
                <w:sz w:val="18"/>
              </w:rPr>
            </w:pPr>
            <w:r w:rsidRPr="00D711DD">
              <w:rPr>
                <w:sz w:val="18"/>
              </w:rPr>
              <w:t>F</w:t>
            </w:r>
            <w:r w:rsidR="00717CCB">
              <w:rPr>
                <w:sz w:val="18"/>
              </w:rPr>
              <w:t>1 da</w:t>
            </w:r>
            <w:r w:rsidRPr="000B3C14">
              <w:rPr>
                <w:sz w:val="18"/>
              </w:rPr>
              <w:t>ms at weaning, PND</w:t>
            </w:r>
            <w:r w:rsidR="00F03521">
              <w:rPr>
                <w:sz w:val="18"/>
              </w:rPr>
              <w:t xml:space="preserve"> </w:t>
            </w:r>
            <w:r w:rsidRPr="000B3C14">
              <w:rPr>
                <w:sz w:val="18"/>
              </w:rPr>
              <w:t>22</w:t>
            </w:r>
          </w:p>
        </w:tc>
        <w:tc>
          <w:tcPr>
            <w:tcW w:w="992" w:type="dxa"/>
            <w:vAlign w:val="center"/>
          </w:tcPr>
          <w:p w14:paraId="34E14607" w14:textId="77777777" w:rsidR="00C044E7" w:rsidRPr="00F6284E" w:rsidRDefault="00C044E7" w:rsidP="00647943">
            <w:pPr>
              <w:jc w:val="right"/>
              <w:rPr>
                <w:rFonts w:ascii="Arial" w:hAnsi="Arial"/>
                <w:sz w:val="18"/>
              </w:rPr>
            </w:pPr>
            <w:r w:rsidRPr="00F6284E">
              <w:rPr>
                <w:sz w:val="18"/>
              </w:rPr>
              <w:t>2.0 ± 0.6</w:t>
            </w:r>
          </w:p>
        </w:tc>
        <w:tc>
          <w:tcPr>
            <w:tcW w:w="1559" w:type="dxa"/>
            <w:vAlign w:val="center"/>
          </w:tcPr>
          <w:p w14:paraId="41483A16" w14:textId="77777777" w:rsidR="00C044E7" w:rsidRPr="00F6284E" w:rsidRDefault="00C044E7" w:rsidP="00647943">
            <w:pPr>
              <w:jc w:val="right"/>
              <w:rPr>
                <w:rFonts w:ascii="Arial" w:hAnsi="Arial"/>
                <w:sz w:val="18"/>
              </w:rPr>
            </w:pPr>
            <w:r w:rsidRPr="00F6284E">
              <w:rPr>
                <w:sz w:val="18"/>
              </w:rPr>
              <w:t>86.9 ± 14.5</w:t>
            </w:r>
          </w:p>
        </w:tc>
        <w:tc>
          <w:tcPr>
            <w:tcW w:w="1559" w:type="dxa"/>
            <w:vAlign w:val="center"/>
          </w:tcPr>
          <w:p w14:paraId="0AE929AC" w14:textId="5F1C42DF" w:rsidR="00C044E7" w:rsidRPr="00F6284E" w:rsidRDefault="00C044E7" w:rsidP="00647943">
            <w:pPr>
              <w:jc w:val="right"/>
              <w:rPr>
                <w:rFonts w:ascii="Arial" w:hAnsi="Arial"/>
                <w:sz w:val="18"/>
              </w:rPr>
            </w:pPr>
            <w:r w:rsidRPr="00F6284E">
              <w:rPr>
                <w:sz w:val="18"/>
              </w:rPr>
              <w:t>9.30 ± 2.6</w:t>
            </w:r>
          </w:p>
        </w:tc>
        <w:tc>
          <w:tcPr>
            <w:tcW w:w="1560" w:type="dxa"/>
            <w:vAlign w:val="center"/>
          </w:tcPr>
          <w:p w14:paraId="2DF0707F" w14:textId="77777777" w:rsidR="00C044E7" w:rsidRPr="00F6284E" w:rsidRDefault="00C044E7" w:rsidP="00647943">
            <w:pPr>
              <w:jc w:val="right"/>
              <w:rPr>
                <w:rFonts w:ascii="Arial" w:hAnsi="Arial"/>
                <w:sz w:val="18"/>
              </w:rPr>
            </w:pPr>
            <w:r w:rsidRPr="00F6284E">
              <w:rPr>
                <w:sz w:val="18"/>
              </w:rPr>
              <w:t>173.3 ± 36.4</w:t>
            </w:r>
          </w:p>
        </w:tc>
        <w:tc>
          <w:tcPr>
            <w:tcW w:w="1701" w:type="dxa"/>
            <w:vAlign w:val="center"/>
          </w:tcPr>
          <w:p w14:paraId="7C1876C6" w14:textId="77777777" w:rsidR="00C044E7" w:rsidRPr="00F6284E" w:rsidRDefault="00C044E7" w:rsidP="00647943">
            <w:pPr>
              <w:jc w:val="right"/>
              <w:rPr>
                <w:rFonts w:ascii="Arial" w:hAnsi="Arial"/>
                <w:sz w:val="18"/>
              </w:rPr>
            </w:pPr>
            <w:r w:rsidRPr="00F6284E">
              <w:rPr>
                <w:sz w:val="18"/>
              </w:rPr>
              <w:t>18.7 ± 5.2</w:t>
            </w:r>
          </w:p>
        </w:tc>
      </w:tr>
      <w:tr w:rsidR="00C044E7" w14:paraId="508E8BC0" w14:textId="77777777" w:rsidTr="00F6284E">
        <w:trPr>
          <w:trHeight w:val="227"/>
          <w:jc w:val="center"/>
        </w:trPr>
        <w:tc>
          <w:tcPr>
            <w:tcW w:w="9039" w:type="dxa"/>
            <w:gridSpan w:val="6"/>
          </w:tcPr>
          <w:p w14:paraId="569295ED" w14:textId="18FEEB01" w:rsidR="00C044E7" w:rsidRPr="00F6284E" w:rsidRDefault="00C044E7" w:rsidP="00647943">
            <w:pPr>
              <w:rPr>
                <w:rFonts w:ascii="Arial" w:hAnsi="Arial"/>
                <w:sz w:val="18"/>
              </w:rPr>
            </w:pPr>
            <w:r w:rsidRPr="00D711DD">
              <w:rPr>
                <w:sz w:val="18"/>
              </w:rPr>
              <w:t>F</w:t>
            </w:r>
            <w:r w:rsidR="00717CCB">
              <w:rPr>
                <w:sz w:val="18"/>
              </w:rPr>
              <w:t>2</w:t>
            </w:r>
            <w:r w:rsidRPr="000B3C14">
              <w:rPr>
                <w:sz w:val="18"/>
                <w:vertAlign w:val="subscript"/>
              </w:rPr>
              <w:t xml:space="preserve"> </w:t>
            </w:r>
            <w:r w:rsidRPr="000B3C14">
              <w:rPr>
                <w:sz w:val="18"/>
              </w:rPr>
              <w:t>pups</w:t>
            </w:r>
          </w:p>
        </w:tc>
      </w:tr>
      <w:tr w:rsidR="00C044E7" w14:paraId="7A4808D0" w14:textId="77777777" w:rsidTr="00F6284E">
        <w:trPr>
          <w:trHeight w:val="227"/>
          <w:jc w:val="center"/>
        </w:trPr>
        <w:tc>
          <w:tcPr>
            <w:tcW w:w="1668" w:type="dxa"/>
            <w:vAlign w:val="center"/>
          </w:tcPr>
          <w:p w14:paraId="079418C0" w14:textId="60D9083F" w:rsidR="00C044E7" w:rsidRPr="000B3C14" w:rsidRDefault="00C044E7" w:rsidP="00A111E9">
            <w:pPr>
              <w:rPr>
                <w:rFonts w:ascii="Arial" w:hAnsi="Arial"/>
                <w:sz w:val="18"/>
              </w:rPr>
            </w:pPr>
            <w:r w:rsidRPr="00D711DD">
              <w:rPr>
                <w:sz w:val="18"/>
              </w:rPr>
              <w:t>PND</w:t>
            </w:r>
            <w:r w:rsidR="00F03521">
              <w:rPr>
                <w:sz w:val="18"/>
              </w:rPr>
              <w:t xml:space="preserve"> </w:t>
            </w:r>
            <w:r w:rsidRPr="00D711DD">
              <w:rPr>
                <w:sz w:val="18"/>
              </w:rPr>
              <w:t>22</w:t>
            </w:r>
          </w:p>
        </w:tc>
        <w:tc>
          <w:tcPr>
            <w:tcW w:w="992" w:type="dxa"/>
            <w:vAlign w:val="center"/>
          </w:tcPr>
          <w:p w14:paraId="5786229D" w14:textId="77777777" w:rsidR="00C044E7" w:rsidRPr="00F6284E" w:rsidRDefault="00C044E7" w:rsidP="00647943">
            <w:pPr>
              <w:jc w:val="right"/>
              <w:rPr>
                <w:rFonts w:ascii="Arial" w:hAnsi="Arial"/>
                <w:sz w:val="18"/>
              </w:rPr>
            </w:pPr>
            <w:r w:rsidRPr="000B3C14">
              <w:rPr>
                <w:sz w:val="18"/>
              </w:rPr>
              <w:t>0.4 ± 0.0</w:t>
            </w:r>
          </w:p>
        </w:tc>
        <w:tc>
          <w:tcPr>
            <w:tcW w:w="1559" w:type="dxa"/>
            <w:vAlign w:val="center"/>
          </w:tcPr>
          <w:p w14:paraId="4FEAC8F6" w14:textId="77777777" w:rsidR="00C044E7" w:rsidRPr="00F6284E" w:rsidRDefault="00C044E7" w:rsidP="00647943">
            <w:pPr>
              <w:jc w:val="right"/>
              <w:rPr>
                <w:rFonts w:ascii="Arial" w:hAnsi="Arial"/>
                <w:sz w:val="18"/>
              </w:rPr>
            </w:pPr>
            <w:r w:rsidRPr="00F6284E">
              <w:rPr>
                <w:sz w:val="18"/>
              </w:rPr>
              <w:t>26.6 ± 2.4</w:t>
            </w:r>
          </w:p>
        </w:tc>
        <w:tc>
          <w:tcPr>
            <w:tcW w:w="1559" w:type="dxa"/>
            <w:vAlign w:val="center"/>
          </w:tcPr>
          <w:p w14:paraId="7D2C5CBB" w14:textId="5A3E5122" w:rsidR="00C044E7" w:rsidRPr="00F6284E" w:rsidRDefault="00C044E7" w:rsidP="00647943">
            <w:pPr>
              <w:jc w:val="right"/>
              <w:rPr>
                <w:rFonts w:ascii="Arial" w:hAnsi="Arial"/>
                <w:sz w:val="18"/>
              </w:rPr>
            </w:pPr>
            <w:r w:rsidRPr="00F6284E">
              <w:rPr>
                <w:sz w:val="18"/>
              </w:rPr>
              <w:t>4.6 ± 1.2</w:t>
            </w:r>
          </w:p>
        </w:tc>
        <w:tc>
          <w:tcPr>
            <w:tcW w:w="1560" w:type="dxa"/>
            <w:vAlign w:val="center"/>
          </w:tcPr>
          <w:p w14:paraId="29EE6A32" w14:textId="77777777" w:rsidR="00C044E7" w:rsidRPr="00F6284E" w:rsidRDefault="00C044E7" w:rsidP="00647943">
            <w:pPr>
              <w:jc w:val="right"/>
              <w:rPr>
                <w:rFonts w:ascii="Arial" w:hAnsi="Arial"/>
                <w:sz w:val="18"/>
              </w:rPr>
            </w:pPr>
            <w:r w:rsidRPr="00F6284E">
              <w:rPr>
                <w:sz w:val="18"/>
              </w:rPr>
              <w:t>28.5 ± 3.7</w:t>
            </w:r>
          </w:p>
        </w:tc>
        <w:tc>
          <w:tcPr>
            <w:tcW w:w="1701" w:type="dxa"/>
            <w:vAlign w:val="center"/>
          </w:tcPr>
          <w:p w14:paraId="3A6CC82C" w14:textId="77777777" w:rsidR="00C044E7" w:rsidRPr="00F6284E" w:rsidRDefault="00C044E7" w:rsidP="00647943">
            <w:pPr>
              <w:jc w:val="right"/>
              <w:rPr>
                <w:rFonts w:ascii="Arial" w:hAnsi="Arial"/>
                <w:sz w:val="18"/>
              </w:rPr>
            </w:pPr>
            <w:r w:rsidRPr="00F6284E">
              <w:rPr>
                <w:sz w:val="18"/>
              </w:rPr>
              <w:t>7.8 ± 1.9</w:t>
            </w:r>
          </w:p>
        </w:tc>
      </w:tr>
      <w:tr w:rsidR="00C044E7" w14:paraId="0FD25628" w14:textId="77777777" w:rsidTr="00F6284E">
        <w:trPr>
          <w:trHeight w:val="227"/>
          <w:jc w:val="center"/>
        </w:trPr>
        <w:tc>
          <w:tcPr>
            <w:tcW w:w="1668" w:type="dxa"/>
            <w:vAlign w:val="center"/>
          </w:tcPr>
          <w:p w14:paraId="388702AF" w14:textId="0F43A3A8" w:rsidR="00C044E7" w:rsidRPr="000B3C14" w:rsidRDefault="00C044E7" w:rsidP="00A111E9">
            <w:pPr>
              <w:rPr>
                <w:rFonts w:ascii="Arial" w:hAnsi="Arial"/>
                <w:sz w:val="18"/>
              </w:rPr>
            </w:pPr>
            <w:r w:rsidRPr="00D711DD">
              <w:rPr>
                <w:sz w:val="18"/>
              </w:rPr>
              <w:t>PN</w:t>
            </w:r>
            <w:r w:rsidRPr="000B3C14">
              <w:rPr>
                <w:sz w:val="18"/>
              </w:rPr>
              <w:t>D</w:t>
            </w:r>
            <w:r w:rsidR="00F03521">
              <w:rPr>
                <w:sz w:val="18"/>
              </w:rPr>
              <w:t xml:space="preserve"> </w:t>
            </w:r>
            <w:r w:rsidRPr="000B3C14">
              <w:rPr>
                <w:sz w:val="18"/>
              </w:rPr>
              <w:t>42</w:t>
            </w:r>
          </w:p>
        </w:tc>
        <w:tc>
          <w:tcPr>
            <w:tcW w:w="992" w:type="dxa"/>
            <w:vAlign w:val="center"/>
          </w:tcPr>
          <w:p w14:paraId="2E7EB570" w14:textId="77777777" w:rsidR="00C044E7" w:rsidRPr="00F6284E" w:rsidRDefault="00C044E7" w:rsidP="00647943">
            <w:pPr>
              <w:jc w:val="right"/>
              <w:rPr>
                <w:rFonts w:ascii="Arial" w:hAnsi="Arial"/>
                <w:sz w:val="18"/>
              </w:rPr>
            </w:pPr>
            <w:r w:rsidRPr="00F6284E">
              <w:rPr>
                <w:sz w:val="18"/>
              </w:rPr>
              <w:t>0.7 ± 0.3</w:t>
            </w:r>
          </w:p>
        </w:tc>
        <w:tc>
          <w:tcPr>
            <w:tcW w:w="1559" w:type="dxa"/>
            <w:vAlign w:val="center"/>
          </w:tcPr>
          <w:p w14:paraId="4E035690" w14:textId="77777777" w:rsidR="00C044E7" w:rsidRPr="00F6284E" w:rsidRDefault="00C044E7" w:rsidP="00647943">
            <w:pPr>
              <w:jc w:val="right"/>
              <w:rPr>
                <w:rFonts w:ascii="Arial" w:hAnsi="Arial"/>
                <w:sz w:val="18"/>
              </w:rPr>
            </w:pPr>
            <w:r w:rsidRPr="00F6284E">
              <w:rPr>
                <w:sz w:val="18"/>
              </w:rPr>
              <w:t>57.4 ± 2.9</w:t>
            </w:r>
          </w:p>
        </w:tc>
        <w:tc>
          <w:tcPr>
            <w:tcW w:w="1559" w:type="dxa"/>
            <w:vAlign w:val="center"/>
          </w:tcPr>
          <w:p w14:paraId="711CBA16" w14:textId="23BB6350" w:rsidR="00C044E7" w:rsidRPr="00F6284E" w:rsidRDefault="00C044E7" w:rsidP="00647943">
            <w:pPr>
              <w:jc w:val="right"/>
              <w:rPr>
                <w:rFonts w:ascii="Arial" w:hAnsi="Arial"/>
                <w:sz w:val="18"/>
              </w:rPr>
            </w:pPr>
            <w:r w:rsidRPr="00F6284E">
              <w:rPr>
                <w:sz w:val="18"/>
              </w:rPr>
              <w:t>0.4 ± 0.0</w:t>
            </w:r>
          </w:p>
        </w:tc>
        <w:tc>
          <w:tcPr>
            <w:tcW w:w="1560" w:type="dxa"/>
            <w:vAlign w:val="center"/>
          </w:tcPr>
          <w:p w14:paraId="761BCDC8" w14:textId="77777777" w:rsidR="00C044E7" w:rsidRPr="00F6284E" w:rsidRDefault="00C044E7" w:rsidP="00647943">
            <w:pPr>
              <w:jc w:val="right"/>
              <w:rPr>
                <w:rFonts w:ascii="Arial" w:hAnsi="Arial"/>
                <w:sz w:val="18"/>
              </w:rPr>
            </w:pPr>
            <w:r w:rsidRPr="00F6284E">
              <w:rPr>
                <w:sz w:val="18"/>
              </w:rPr>
              <w:t>72.8 ± 5.8</w:t>
            </w:r>
          </w:p>
        </w:tc>
        <w:tc>
          <w:tcPr>
            <w:tcW w:w="1701" w:type="dxa"/>
            <w:vAlign w:val="center"/>
          </w:tcPr>
          <w:p w14:paraId="23B27229" w14:textId="77777777" w:rsidR="00C044E7" w:rsidRPr="00F6284E" w:rsidRDefault="00C044E7" w:rsidP="00647943">
            <w:pPr>
              <w:jc w:val="right"/>
              <w:rPr>
                <w:rFonts w:ascii="Arial" w:hAnsi="Arial"/>
                <w:sz w:val="18"/>
              </w:rPr>
            </w:pPr>
            <w:r w:rsidRPr="00F6284E">
              <w:rPr>
                <w:sz w:val="18"/>
              </w:rPr>
              <w:t>0.4 ± 0.0</w:t>
            </w:r>
          </w:p>
        </w:tc>
      </w:tr>
      <w:tr w:rsidR="00C044E7" w14:paraId="459BADCA" w14:textId="77777777" w:rsidTr="00F6284E">
        <w:trPr>
          <w:trHeight w:val="227"/>
          <w:jc w:val="center"/>
        </w:trPr>
        <w:tc>
          <w:tcPr>
            <w:tcW w:w="1668" w:type="dxa"/>
            <w:vAlign w:val="center"/>
          </w:tcPr>
          <w:p w14:paraId="133FE60B" w14:textId="4760BF66" w:rsidR="00C044E7" w:rsidRPr="000B3C14" w:rsidRDefault="00C044E7" w:rsidP="00A111E9">
            <w:pPr>
              <w:rPr>
                <w:rFonts w:ascii="Arial" w:hAnsi="Arial"/>
                <w:sz w:val="18"/>
              </w:rPr>
            </w:pPr>
            <w:r w:rsidRPr="00D711DD">
              <w:rPr>
                <w:sz w:val="18"/>
              </w:rPr>
              <w:t>PND</w:t>
            </w:r>
            <w:r w:rsidR="00F03521">
              <w:rPr>
                <w:sz w:val="18"/>
              </w:rPr>
              <w:t xml:space="preserve"> </w:t>
            </w:r>
            <w:r w:rsidRPr="00D711DD">
              <w:rPr>
                <w:sz w:val="18"/>
              </w:rPr>
              <w:t>63</w:t>
            </w:r>
          </w:p>
        </w:tc>
        <w:tc>
          <w:tcPr>
            <w:tcW w:w="992" w:type="dxa"/>
            <w:vAlign w:val="center"/>
          </w:tcPr>
          <w:p w14:paraId="1568FF9A" w14:textId="77777777" w:rsidR="00C044E7" w:rsidRPr="00F6284E" w:rsidRDefault="00C044E7" w:rsidP="00647943">
            <w:pPr>
              <w:jc w:val="right"/>
              <w:rPr>
                <w:rFonts w:ascii="Arial" w:hAnsi="Arial"/>
                <w:sz w:val="18"/>
              </w:rPr>
            </w:pPr>
            <w:r w:rsidRPr="000B3C14">
              <w:rPr>
                <w:sz w:val="18"/>
              </w:rPr>
              <w:t>1.1 ± 0.4</w:t>
            </w:r>
          </w:p>
        </w:tc>
        <w:tc>
          <w:tcPr>
            <w:tcW w:w="1559" w:type="dxa"/>
            <w:vAlign w:val="center"/>
          </w:tcPr>
          <w:p w14:paraId="782274FC" w14:textId="77777777" w:rsidR="00C044E7" w:rsidRPr="00F6284E" w:rsidRDefault="00C044E7" w:rsidP="00647943">
            <w:pPr>
              <w:jc w:val="right"/>
              <w:rPr>
                <w:rFonts w:ascii="Arial" w:hAnsi="Arial"/>
                <w:sz w:val="18"/>
              </w:rPr>
            </w:pPr>
            <w:r w:rsidRPr="00F6284E">
              <w:rPr>
                <w:sz w:val="18"/>
              </w:rPr>
              <w:t>68.5 ± 9.4</w:t>
            </w:r>
          </w:p>
        </w:tc>
        <w:tc>
          <w:tcPr>
            <w:tcW w:w="1559" w:type="dxa"/>
            <w:vAlign w:val="center"/>
          </w:tcPr>
          <w:p w14:paraId="5CEED0AB" w14:textId="66DDC55C" w:rsidR="00C044E7" w:rsidRPr="00F6284E" w:rsidRDefault="00C044E7" w:rsidP="00647943">
            <w:pPr>
              <w:jc w:val="right"/>
              <w:rPr>
                <w:rFonts w:ascii="Arial" w:hAnsi="Arial"/>
                <w:sz w:val="18"/>
              </w:rPr>
            </w:pPr>
            <w:r w:rsidRPr="00F6284E">
              <w:rPr>
                <w:sz w:val="18"/>
              </w:rPr>
              <w:t>1.1 ± 0.5</w:t>
            </w:r>
          </w:p>
        </w:tc>
        <w:tc>
          <w:tcPr>
            <w:tcW w:w="1560" w:type="dxa"/>
            <w:vAlign w:val="center"/>
          </w:tcPr>
          <w:p w14:paraId="50C82A54" w14:textId="77777777" w:rsidR="00C044E7" w:rsidRPr="00F6284E" w:rsidRDefault="00C044E7" w:rsidP="00647943">
            <w:pPr>
              <w:jc w:val="right"/>
              <w:rPr>
                <w:rFonts w:ascii="Arial" w:hAnsi="Arial"/>
                <w:sz w:val="18"/>
              </w:rPr>
            </w:pPr>
            <w:r w:rsidRPr="00F6284E">
              <w:rPr>
                <w:sz w:val="18"/>
              </w:rPr>
              <w:t>69.2 ± 4.3</w:t>
            </w:r>
          </w:p>
        </w:tc>
        <w:tc>
          <w:tcPr>
            <w:tcW w:w="1701" w:type="dxa"/>
            <w:vAlign w:val="center"/>
          </w:tcPr>
          <w:p w14:paraId="2A0CBC2C" w14:textId="77777777" w:rsidR="00C044E7" w:rsidRPr="00F6284E" w:rsidRDefault="00C044E7" w:rsidP="00647943">
            <w:pPr>
              <w:jc w:val="right"/>
              <w:rPr>
                <w:rFonts w:ascii="Arial" w:hAnsi="Arial"/>
                <w:sz w:val="18"/>
              </w:rPr>
            </w:pPr>
            <w:r w:rsidRPr="00F6284E">
              <w:rPr>
                <w:sz w:val="18"/>
              </w:rPr>
              <w:t>1.2 ± 0.5</w:t>
            </w:r>
          </w:p>
        </w:tc>
      </w:tr>
    </w:tbl>
    <w:p w14:paraId="0066F501" w14:textId="77777777" w:rsidR="00C044E7" w:rsidRDefault="00C044E7" w:rsidP="00A111E9">
      <w:pPr>
        <w:rPr>
          <w:color w:val="7030A0"/>
          <w:lang w:bidi="ar-SA"/>
        </w:rPr>
      </w:pPr>
    </w:p>
    <w:p w14:paraId="75A2BD54" w14:textId="04492DD7" w:rsidR="00C044E7" w:rsidRDefault="00C044E7" w:rsidP="00A111E9">
      <w:pPr>
        <w:rPr>
          <w:lang w:bidi="ar-SA"/>
        </w:rPr>
      </w:pPr>
      <w:r>
        <w:rPr>
          <w:b/>
          <w:lang w:bidi="ar-SA"/>
        </w:rPr>
        <w:t xml:space="preserve">Macon </w:t>
      </w:r>
      <w:r w:rsidR="00180A32" w:rsidRPr="00180A32">
        <w:rPr>
          <w:b/>
          <w:i/>
        </w:rPr>
        <w:t xml:space="preserve">et al. </w:t>
      </w:r>
      <w:r w:rsidR="00CC50B8">
        <w:rPr>
          <w:b/>
        </w:rPr>
        <w:t xml:space="preserve"> </w:t>
      </w:r>
      <w:r>
        <w:rPr>
          <w:b/>
          <w:lang w:bidi="ar-SA"/>
        </w:rPr>
        <w:t xml:space="preserve">2011 developmental and female reproductive study in mice </w:t>
      </w:r>
    </w:p>
    <w:p w14:paraId="7F46325E" w14:textId="77777777" w:rsidR="00C044E7" w:rsidRDefault="00C044E7" w:rsidP="00A111E9">
      <w:pPr>
        <w:rPr>
          <w:lang w:bidi="ar-SA"/>
        </w:rPr>
      </w:pPr>
    </w:p>
    <w:p w14:paraId="43074299" w14:textId="32C801FF" w:rsidR="00C044E7" w:rsidRDefault="00C044E7" w:rsidP="00A111E9">
      <w:pPr>
        <w:rPr>
          <w:szCs w:val="22"/>
        </w:rPr>
      </w:pPr>
      <w:r w:rsidRPr="009733AB">
        <w:rPr>
          <w:szCs w:val="22"/>
        </w:rPr>
        <w:t>This publication describes two studies: a full</w:t>
      </w:r>
      <w:r w:rsidR="001012A5">
        <w:rPr>
          <w:szCs w:val="22"/>
        </w:rPr>
        <w:t xml:space="preserve"> </w:t>
      </w:r>
      <w:r w:rsidRPr="009733AB">
        <w:rPr>
          <w:szCs w:val="22"/>
        </w:rPr>
        <w:t>gestation exposure study and late</w:t>
      </w:r>
      <w:r w:rsidR="001012A5">
        <w:rPr>
          <w:szCs w:val="22"/>
        </w:rPr>
        <w:t xml:space="preserve"> </w:t>
      </w:r>
      <w:r w:rsidRPr="009733AB">
        <w:rPr>
          <w:szCs w:val="22"/>
        </w:rPr>
        <w:t>gestation and early development study.</w:t>
      </w:r>
    </w:p>
    <w:p w14:paraId="0892CA91" w14:textId="77777777" w:rsidR="00C044E7" w:rsidRPr="00530050" w:rsidRDefault="00C044E7" w:rsidP="00A111E9">
      <w:pPr>
        <w:rPr>
          <w:lang w:bidi="ar-SA"/>
        </w:rPr>
      </w:pPr>
    </w:p>
    <w:p w14:paraId="0271CE22" w14:textId="1B3AA2DB" w:rsidR="00C044E7" w:rsidRDefault="00C044E7" w:rsidP="00A111E9">
      <w:pPr>
        <w:rPr>
          <w:lang w:bidi="ar-SA"/>
        </w:rPr>
      </w:pPr>
      <w:r w:rsidRPr="00530050">
        <w:rPr>
          <w:lang w:bidi="ar-SA"/>
        </w:rPr>
        <w:t>In the full</w:t>
      </w:r>
      <w:r w:rsidR="001012A5">
        <w:rPr>
          <w:lang w:bidi="ar-SA"/>
        </w:rPr>
        <w:t xml:space="preserve"> </w:t>
      </w:r>
      <w:r w:rsidRPr="00530050">
        <w:rPr>
          <w:lang w:bidi="ar-SA"/>
        </w:rPr>
        <w:t xml:space="preserve">gestation exposure study, 52 timed-pregnant CD-1 mice </w:t>
      </w:r>
      <w:r>
        <w:rPr>
          <w:lang w:bidi="ar-SA"/>
        </w:rPr>
        <w:t xml:space="preserve">were divided into four treatment groups, 13 mice per group. They were individually housed under standard laboratory husbandry conditions. Each group was dosed by oral gavage from GD 1 through 17 with 0, 0.3, 1.0 or 3.0 mg PFOA/kg </w:t>
      </w:r>
      <w:r w:rsidR="005A5E2F">
        <w:rPr>
          <w:lang w:bidi="ar-SA"/>
        </w:rPr>
        <w:t>bw/day</w:t>
      </w:r>
      <w:r>
        <w:rPr>
          <w:lang w:bidi="ar-SA"/>
        </w:rPr>
        <w:t>. At parturition, litters were equali</w:t>
      </w:r>
      <w:r w:rsidR="001B6877">
        <w:rPr>
          <w:lang w:bidi="ar-SA"/>
        </w:rPr>
        <w:t>s</w:t>
      </w:r>
      <w:r>
        <w:rPr>
          <w:lang w:bidi="ar-SA"/>
        </w:rPr>
        <w:t xml:space="preserve">ed, as far as possible, to 10 pups/litter with equal representation of each sex. One or two pups per dam were weighed and then terminated for necropsy on each of PNDs 7, 14, 21, 28, 42, 63 and 84, with the exception that </w:t>
      </w:r>
      <w:r w:rsidRPr="00530050">
        <w:rPr>
          <w:lang w:bidi="ar-SA"/>
        </w:rPr>
        <w:t>female pups</w:t>
      </w:r>
      <w:r>
        <w:rPr>
          <w:lang w:bidi="ar-SA"/>
        </w:rPr>
        <w:t xml:space="preserve"> of control dams were not included on PND 63, in </w:t>
      </w:r>
      <w:r>
        <w:rPr>
          <w:lang w:bidi="ar-SA"/>
        </w:rPr>
        <w:lastRenderedPageBreak/>
        <w:t xml:space="preserve">order to ensure sufficient female pups from control dams for </w:t>
      </w:r>
      <w:r w:rsidRPr="00530050">
        <w:rPr>
          <w:lang w:bidi="ar-SA"/>
        </w:rPr>
        <w:t xml:space="preserve">necropsy of female pups from control dams on PND </w:t>
      </w:r>
      <w:r>
        <w:rPr>
          <w:lang w:bidi="ar-SA"/>
        </w:rPr>
        <w:t>84</w:t>
      </w:r>
      <w:r w:rsidRPr="00530050">
        <w:rPr>
          <w:lang w:bidi="ar-SA"/>
        </w:rPr>
        <w:t xml:space="preserve">. </w:t>
      </w:r>
      <w:r>
        <w:rPr>
          <w:lang w:bidi="ar-SA"/>
        </w:rPr>
        <w:t>The pups were terminated by decapitation with collection of blood for serum PFOA analysis. The contralateral fourth and fifth inguinal mammary glands were removed from female pups and prepared as whole mounts. Dams were terminated on PND 24, and pups separated by sex.</w:t>
      </w:r>
    </w:p>
    <w:p w14:paraId="62FD9D54" w14:textId="77777777" w:rsidR="00C044E7" w:rsidRDefault="00C044E7" w:rsidP="00A111E9">
      <w:pPr>
        <w:rPr>
          <w:lang w:bidi="ar-SA"/>
        </w:rPr>
      </w:pPr>
    </w:p>
    <w:p w14:paraId="36899B73" w14:textId="7BD6353C" w:rsidR="00C044E7" w:rsidRDefault="00C044E7" w:rsidP="00A111E9">
      <w:pPr>
        <w:rPr>
          <w:lang w:bidi="ar-SA"/>
        </w:rPr>
      </w:pPr>
      <w:r>
        <w:rPr>
          <w:lang w:bidi="ar-SA"/>
        </w:rPr>
        <w:t xml:space="preserve">PFOA did not affect the </w:t>
      </w:r>
      <w:r w:rsidR="00E83E80">
        <w:rPr>
          <w:lang w:bidi="ar-SA"/>
        </w:rPr>
        <w:t>body weight</w:t>
      </w:r>
      <w:r>
        <w:rPr>
          <w:lang w:bidi="ar-SA"/>
        </w:rPr>
        <w:t>s, either absolute or corrected for liver weight, of pups of either sex. Prenatal exposure to PFOA resulted in a dose-related increase in absolute and relative liver weights of pups of both sexes. Notably, on PND 7, relative liver weights of pups of both sexes were significantly higher than those of controls at all doses of PFOA. This effect at 0.3 mg/kg establishes a lower threshold for this effect than previously reported. The effect on liver weights was reversible, and not evident by PND 14 for 0.3 mg/kg</w:t>
      </w:r>
      <w:r w:rsidR="005A5E2F">
        <w:rPr>
          <w:lang w:bidi="ar-SA"/>
        </w:rPr>
        <w:t xml:space="preserve"> bw/day</w:t>
      </w:r>
      <w:r>
        <w:rPr>
          <w:lang w:bidi="ar-SA"/>
        </w:rPr>
        <w:t xml:space="preserve"> pups, PND 21 for 1.0 mg/kg pups and PND 28 for 3.0 mg/kg pups. Absolute, but not relative, brain </w:t>
      </w:r>
      <w:r w:rsidRPr="009C2004">
        <w:rPr>
          <w:lang w:bidi="ar-SA"/>
        </w:rPr>
        <w:t xml:space="preserve">weights were significantly lower than those of controls in males prenatally exposed to </w:t>
      </w:r>
      <w:r w:rsidRPr="009C2004">
        <w:rPr>
          <w:rFonts w:cs="Arial"/>
          <w:lang w:bidi="ar-SA"/>
        </w:rPr>
        <w:t>≥</w:t>
      </w:r>
      <w:r w:rsidRPr="009C2004">
        <w:rPr>
          <w:lang w:bidi="ar-SA"/>
        </w:rPr>
        <w:t xml:space="preserve"> 1.0 mg/kg</w:t>
      </w:r>
      <w:r w:rsidR="005A5E2F">
        <w:rPr>
          <w:lang w:bidi="ar-SA"/>
        </w:rPr>
        <w:t xml:space="preserve"> bw/day</w:t>
      </w:r>
      <w:r w:rsidRPr="009C2004">
        <w:rPr>
          <w:lang w:bidi="ar-SA"/>
        </w:rPr>
        <w:t xml:space="preserve"> maternal bw, but not females, at PND 63 but not at other scheduled terminations. Mammary glands of pups prenatally exposed to all dose levels of PFOA showed developmental delays, relative to those of controls, at all doses, and this effect was still evident at PND 84.</w:t>
      </w:r>
    </w:p>
    <w:p w14:paraId="581D65E4" w14:textId="77777777" w:rsidR="00C044E7" w:rsidRDefault="00C044E7" w:rsidP="00A111E9">
      <w:pPr>
        <w:rPr>
          <w:lang w:bidi="ar-SA"/>
        </w:rPr>
      </w:pPr>
    </w:p>
    <w:p w14:paraId="7ADAB0DE" w14:textId="171DCCC7" w:rsidR="00C044E7" w:rsidRDefault="00C044E7" w:rsidP="00A111E9">
      <w:pPr>
        <w:rPr>
          <w:lang w:bidi="ar-SA"/>
        </w:rPr>
      </w:pPr>
      <w:r>
        <w:rPr>
          <w:lang w:bidi="ar-SA"/>
        </w:rPr>
        <w:t>Serum concentrations of PFOA were highest at PND 14 for pups in the 1.0 and 3.0 mg/kg groups, but highest on PND 7 in the 0.3 mg/kg</w:t>
      </w:r>
      <w:r w:rsidR="005A5E2F">
        <w:rPr>
          <w:lang w:bidi="ar-SA"/>
        </w:rPr>
        <w:t xml:space="preserve"> bw/day</w:t>
      </w:r>
      <w:r>
        <w:rPr>
          <w:lang w:bidi="ar-SA"/>
        </w:rPr>
        <w:t xml:space="preserve"> group. The serum concentrations of PFOA were significantly elevated until PND 42 for all treated pups, and to PND 84, the last time</w:t>
      </w:r>
      <w:r w:rsidR="00032CF6">
        <w:rPr>
          <w:lang w:bidi="ar-SA"/>
        </w:rPr>
        <w:t>point</w:t>
      </w:r>
      <w:r>
        <w:rPr>
          <w:lang w:bidi="ar-SA"/>
        </w:rPr>
        <w:t xml:space="preserve"> at which they were measured, in females in the 1.0 and 3.0 mg/kg groups. Liver was also a significant location of PFOA in prenatally exposed pups, but PFOA levels in brain were substantially lower than those in serum or liver, and data showed that PFOA is more readily eliminated from the brain.</w:t>
      </w:r>
    </w:p>
    <w:p w14:paraId="32C03B12" w14:textId="77777777" w:rsidR="00C044E7" w:rsidRDefault="00C044E7" w:rsidP="00A111E9">
      <w:pPr>
        <w:rPr>
          <w:lang w:bidi="ar-SA"/>
        </w:rPr>
      </w:pPr>
    </w:p>
    <w:p w14:paraId="13A6F623" w14:textId="50E69491" w:rsidR="00C044E7" w:rsidRDefault="00C044E7" w:rsidP="00A111E9">
      <w:pPr>
        <w:rPr>
          <w:lang w:bidi="ar-SA"/>
        </w:rPr>
      </w:pPr>
      <w:r>
        <w:rPr>
          <w:lang w:bidi="ar-SA"/>
        </w:rPr>
        <w:t>The results of this study show that doses 10- to 30-fold lower than previously investigated are sufficient to impair mammary gland development in CD-1 mice.</w:t>
      </w:r>
    </w:p>
    <w:p w14:paraId="073D52F7" w14:textId="77777777" w:rsidR="00C044E7" w:rsidRDefault="00C044E7" w:rsidP="00A111E9">
      <w:pPr>
        <w:rPr>
          <w:lang w:bidi="ar-SA"/>
        </w:rPr>
      </w:pPr>
    </w:p>
    <w:p w14:paraId="56A494B0" w14:textId="47E40C51" w:rsidR="00C044E7" w:rsidRDefault="00C044E7" w:rsidP="00A111E9">
      <w:pPr>
        <w:rPr>
          <w:lang w:bidi="ar-SA"/>
        </w:rPr>
      </w:pPr>
      <w:r>
        <w:rPr>
          <w:lang w:bidi="ar-SA"/>
        </w:rPr>
        <w:t>The late</w:t>
      </w:r>
      <w:r w:rsidR="001012A5">
        <w:rPr>
          <w:lang w:bidi="ar-SA"/>
        </w:rPr>
        <w:t xml:space="preserve"> </w:t>
      </w:r>
      <w:r>
        <w:rPr>
          <w:lang w:bidi="ar-SA"/>
        </w:rPr>
        <w:t>gestation study was performed in two blocks, with 20 dams in the first block and 32 in the second block. Mice were received on GD 9, divided into four groups of equal size, and dosed by oral gavage, once daily from GD 10 to 17, with 0, 0.01, 0.1 or 1.0 mg</w:t>
      </w:r>
      <w:r w:rsidR="005A5E2F" w:rsidDel="005A5E2F">
        <w:rPr>
          <w:lang w:bidi="ar-SA"/>
        </w:rPr>
        <w:t xml:space="preserve"> </w:t>
      </w:r>
      <w:r>
        <w:rPr>
          <w:lang w:bidi="ar-SA"/>
        </w:rPr>
        <w:t xml:space="preserve">/kg </w:t>
      </w:r>
      <w:r w:rsidR="005A5E2F">
        <w:rPr>
          <w:lang w:bidi="ar-SA"/>
        </w:rPr>
        <w:t>bw/day</w:t>
      </w:r>
      <w:r>
        <w:rPr>
          <w:lang w:bidi="ar-SA"/>
        </w:rPr>
        <w:t>. At birth, litters were equali</w:t>
      </w:r>
      <w:r w:rsidR="001B6877">
        <w:rPr>
          <w:lang w:bidi="ar-SA"/>
        </w:rPr>
        <w:t>s</w:t>
      </w:r>
      <w:r>
        <w:rPr>
          <w:lang w:bidi="ar-SA"/>
        </w:rPr>
        <w:t>ed within each group, as far as possible, to 7 to 9 pups/dam with 4 to 7 females in each litter. Female pups from at least three litters per treatment group were weighed and then terminated for necropsy on PNDs 1, 4, 7, 14 and 21. Serum was collected at decapitation. Liver was collected and weighed. The contralateral fourth and fifth inguinal mammary glands were prepared as whole mounts.</w:t>
      </w:r>
    </w:p>
    <w:p w14:paraId="02E8FE4E" w14:textId="77777777" w:rsidR="00C044E7" w:rsidRDefault="00C044E7" w:rsidP="00A111E9">
      <w:pPr>
        <w:rPr>
          <w:lang w:bidi="ar-SA"/>
        </w:rPr>
      </w:pPr>
    </w:p>
    <w:p w14:paraId="3F70AC0F" w14:textId="76F0AEBC" w:rsidR="00C044E7" w:rsidRDefault="00C044E7" w:rsidP="00A111E9">
      <w:pPr>
        <w:rPr>
          <w:lang w:bidi="ar-SA"/>
        </w:rPr>
      </w:pPr>
      <w:r>
        <w:rPr>
          <w:lang w:bidi="ar-SA"/>
        </w:rPr>
        <w:t xml:space="preserve">Prenatal exposure to PFOA had no effect on </w:t>
      </w:r>
      <w:r w:rsidR="00E83E80">
        <w:rPr>
          <w:lang w:bidi="ar-SA"/>
        </w:rPr>
        <w:t>body weight</w:t>
      </w:r>
      <w:r>
        <w:rPr>
          <w:lang w:bidi="ar-SA"/>
        </w:rPr>
        <w:t>s of pups of either sex. Group mean absolute liver weights in the 1.0 mg/kg</w:t>
      </w:r>
      <w:r w:rsidR="003C1F47">
        <w:rPr>
          <w:lang w:bidi="ar-SA"/>
        </w:rPr>
        <w:t xml:space="preserve"> bw/day</w:t>
      </w:r>
      <w:r>
        <w:rPr>
          <w:lang w:bidi="ar-SA"/>
        </w:rPr>
        <w:t xml:space="preserve"> treatment group were significantly increased, relative to those of controls, on PND 4 and PND 7, and relative liver weights in this group were increased for this group from PND 4 through to PND 14 inclusive. Mammary glands of all PFOA-treated female pups exhibited developmental delays which were most evident on PND 21. The effects were dose-related. The highest serum concentrations of PFOA occurred on PND 1, and levels declined thereafter, but were still not reduced to the levels of controls at PND 21, even in the 0.01 mg/kg</w:t>
      </w:r>
      <w:r w:rsidR="003C1F47">
        <w:rPr>
          <w:lang w:bidi="ar-SA"/>
        </w:rPr>
        <w:t xml:space="preserve"> bw/day</w:t>
      </w:r>
      <w:r>
        <w:rPr>
          <w:lang w:bidi="ar-SA"/>
        </w:rPr>
        <w:t xml:space="preserve"> group. Serum and calculated blood PFOA burdens were comparable at PND 7 between the pups exposed throughout gestation and the pups exposed only from GD 10. On the other hand, the females exposed to 1.0 mg/kg</w:t>
      </w:r>
      <w:r w:rsidR="003C1F47">
        <w:rPr>
          <w:lang w:bidi="ar-SA"/>
        </w:rPr>
        <w:t xml:space="preserve"> bw/day</w:t>
      </w:r>
      <w:r>
        <w:rPr>
          <w:lang w:bidi="ar-SA"/>
        </w:rPr>
        <w:t xml:space="preserve"> PFOA throughout gestation had almost double the serum and calculated blood PFOA burdens at PND 14 and PND 21, when compared to the female pups exposed to the same dose only from GD 10.</w:t>
      </w:r>
    </w:p>
    <w:p w14:paraId="57E5ACF4" w14:textId="77777777" w:rsidR="00F6332B" w:rsidRDefault="00F6332B" w:rsidP="00A111E9">
      <w:pPr>
        <w:rPr>
          <w:lang w:bidi="ar-SA"/>
        </w:rPr>
      </w:pPr>
    </w:p>
    <w:p w14:paraId="22150FC7" w14:textId="573FD854" w:rsidR="00F6332B" w:rsidRDefault="00F6332B" w:rsidP="00A111E9">
      <w:pPr>
        <w:rPr>
          <w:lang w:bidi="ar-SA"/>
        </w:rPr>
        <w:sectPr w:rsidR="00F6332B" w:rsidSect="00F14DD2">
          <w:pgSz w:w="11906" w:h="16838"/>
          <w:pgMar w:top="1418" w:right="1418" w:bottom="1418" w:left="1418" w:header="709" w:footer="709" w:gutter="0"/>
          <w:cols w:space="708"/>
          <w:docGrid w:linePitch="360"/>
        </w:sectPr>
      </w:pPr>
      <w:r>
        <w:rPr>
          <w:lang w:bidi="ar-SA"/>
        </w:rPr>
        <w:t xml:space="preserve">Dosimetry data obtained in this study are presented in </w:t>
      </w:r>
      <w:r w:rsidR="00125A88">
        <w:rPr>
          <w:lang w:bidi="ar-SA"/>
        </w:rPr>
        <w:t>Tables 2</w:t>
      </w:r>
      <w:r w:rsidR="00B058A6">
        <w:rPr>
          <w:lang w:bidi="ar-SA"/>
        </w:rPr>
        <w:t>7, 28</w:t>
      </w:r>
      <w:r w:rsidR="00125A88">
        <w:rPr>
          <w:lang w:bidi="ar-SA"/>
        </w:rPr>
        <w:t xml:space="preserve"> and </w:t>
      </w:r>
      <w:r w:rsidR="00B058A6">
        <w:rPr>
          <w:lang w:bidi="ar-SA"/>
        </w:rPr>
        <w:t>29</w:t>
      </w:r>
      <w:r w:rsidR="00125A88">
        <w:rPr>
          <w:lang w:bidi="ar-SA"/>
        </w:rPr>
        <w:t xml:space="preserve">. </w:t>
      </w:r>
    </w:p>
    <w:p w14:paraId="17058483" w14:textId="7AD87C48" w:rsidR="00616BC4" w:rsidRPr="008A03FB" w:rsidRDefault="00616BC4" w:rsidP="00A111E9">
      <w:pPr>
        <w:pStyle w:val="FSTableTitle"/>
        <w:ind w:left="567"/>
        <w:rPr>
          <w:szCs w:val="22"/>
          <w:lang w:val="en-US" w:bidi="ar-SA"/>
        </w:rPr>
      </w:pPr>
      <w:r>
        <w:rPr>
          <w:lang w:bidi="ar-SA"/>
        </w:rPr>
        <w:lastRenderedPageBreak/>
        <w:t xml:space="preserve">Table </w:t>
      </w:r>
      <w:r w:rsidR="00A319B5">
        <w:rPr>
          <w:lang w:bidi="ar-SA"/>
        </w:rPr>
        <w:t>27</w:t>
      </w:r>
      <w:r>
        <w:rPr>
          <w:lang w:bidi="ar-SA"/>
        </w:rPr>
        <w:t xml:space="preserve">: </w:t>
      </w:r>
      <w:r w:rsidRPr="008A03FB">
        <w:rPr>
          <w:szCs w:val="22"/>
          <w:lang w:val="en-US" w:bidi="ar-SA"/>
        </w:rPr>
        <w:t>PFOA dosimetry of female offspring from the full gestation exposure study</w:t>
      </w:r>
    </w:p>
    <w:tbl>
      <w:tblPr>
        <w:tblW w:w="13908" w:type="dxa"/>
        <w:jc w:val="center"/>
        <w:tblLayout w:type="fixed"/>
        <w:tblLook w:val="00A0" w:firstRow="1" w:lastRow="0" w:firstColumn="1" w:lastColumn="0" w:noHBand="0" w:noVBand="0"/>
      </w:tblPr>
      <w:tblGrid>
        <w:gridCol w:w="1949"/>
        <w:gridCol w:w="1708"/>
        <w:gridCol w:w="1708"/>
        <w:gridCol w:w="1709"/>
        <w:gridCol w:w="1708"/>
        <w:gridCol w:w="1709"/>
        <w:gridCol w:w="1708"/>
        <w:gridCol w:w="1709"/>
      </w:tblGrid>
      <w:tr w:rsidR="00616BC4" w:rsidRPr="008A03FB" w14:paraId="37BC89C0" w14:textId="77777777" w:rsidTr="000830C5">
        <w:trPr>
          <w:trHeight w:val="300"/>
          <w:tblHeader/>
          <w:jc w:val="center"/>
        </w:trPr>
        <w:tc>
          <w:tcPr>
            <w:tcW w:w="194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7A7F713" w14:textId="77777777" w:rsidR="00616BC4" w:rsidRPr="00D711DD" w:rsidRDefault="00616BC4" w:rsidP="00A111E9">
            <w:pPr>
              <w:widowControl/>
              <w:rPr>
                <w:b/>
                <w:color w:val="000000"/>
                <w:sz w:val="18"/>
                <w:lang w:val="en-US"/>
              </w:rPr>
            </w:pPr>
          </w:p>
        </w:tc>
        <w:tc>
          <w:tcPr>
            <w:tcW w:w="1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1BE9083" w14:textId="77777777" w:rsidR="00616BC4" w:rsidRPr="00F6284E" w:rsidRDefault="00616BC4" w:rsidP="00647943">
            <w:pPr>
              <w:widowControl/>
              <w:jc w:val="right"/>
              <w:rPr>
                <w:b/>
                <w:color w:val="000000"/>
                <w:sz w:val="18"/>
                <w:lang w:val="en-US"/>
              </w:rPr>
            </w:pPr>
            <w:r w:rsidRPr="000B3C14">
              <w:rPr>
                <w:b/>
                <w:color w:val="000000"/>
                <w:sz w:val="18"/>
                <w:lang w:val="en-US"/>
              </w:rPr>
              <w:t>PND 7</w:t>
            </w:r>
            <w:r w:rsidRPr="000B3C14">
              <w:rPr>
                <w:b/>
                <w:color w:val="000000"/>
                <w:sz w:val="18"/>
                <w:vertAlign w:val="superscript"/>
                <w:lang w:val="en-US"/>
              </w:rPr>
              <w:t xml:space="preserve">d,e </w:t>
            </w:r>
            <w:r w:rsidRPr="00F6284E">
              <w:rPr>
                <w:b/>
                <w:color w:val="000000"/>
                <w:sz w:val="18"/>
                <w:lang w:val="en-US"/>
              </w:rPr>
              <w:t>(n)</w:t>
            </w:r>
          </w:p>
        </w:tc>
        <w:tc>
          <w:tcPr>
            <w:tcW w:w="1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6BAA7C4" w14:textId="77777777" w:rsidR="00616BC4" w:rsidRPr="00F6284E" w:rsidRDefault="00616BC4" w:rsidP="00647943">
            <w:pPr>
              <w:widowControl/>
              <w:jc w:val="right"/>
              <w:rPr>
                <w:b/>
                <w:color w:val="000000"/>
                <w:sz w:val="18"/>
                <w:lang w:val="en-US"/>
              </w:rPr>
            </w:pPr>
            <w:r w:rsidRPr="00F6284E">
              <w:rPr>
                <w:b/>
                <w:color w:val="000000"/>
                <w:sz w:val="18"/>
                <w:lang w:val="en-US"/>
              </w:rPr>
              <w:t>PND 14</w:t>
            </w:r>
            <w:r w:rsidRPr="00F6284E">
              <w:rPr>
                <w:b/>
                <w:color w:val="000000"/>
                <w:sz w:val="18"/>
                <w:vertAlign w:val="superscript"/>
                <w:lang w:val="en-US"/>
              </w:rPr>
              <w:t xml:space="preserve">a,b,c </w:t>
            </w:r>
            <w:r w:rsidRPr="00F6284E">
              <w:rPr>
                <w:b/>
                <w:color w:val="000000"/>
                <w:sz w:val="18"/>
                <w:lang w:val="en-US"/>
              </w:rPr>
              <w:t>(n)</w:t>
            </w:r>
          </w:p>
        </w:tc>
        <w:tc>
          <w:tcPr>
            <w:tcW w:w="1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1C2CA32" w14:textId="77777777" w:rsidR="00616BC4" w:rsidRPr="00F6284E" w:rsidRDefault="00616BC4" w:rsidP="00647943">
            <w:pPr>
              <w:widowControl/>
              <w:jc w:val="right"/>
              <w:rPr>
                <w:b/>
                <w:color w:val="000000"/>
                <w:sz w:val="18"/>
                <w:lang w:val="en-US"/>
              </w:rPr>
            </w:pPr>
            <w:r w:rsidRPr="00F6284E">
              <w:rPr>
                <w:b/>
                <w:color w:val="000000"/>
                <w:sz w:val="18"/>
                <w:lang w:val="en-US"/>
              </w:rPr>
              <w:t>PND 21 (n)</w:t>
            </w:r>
          </w:p>
        </w:tc>
        <w:tc>
          <w:tcPr>
            <w:tcW w:w="1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8D3AF47" w14:textId="77777777" w:rsidR="00616BC4" w:rsidRPr="00F6284E" w:rsidRDefault="00616BC4" w:rsidP="00647943">
            <w:pPr>
              <w:widowControl/>
              <w:jc w:val="right"/>
              <w:rPr>
                <w:b/>
                <w:color w:val="000000"/>
                <w:sz w:val="18"/>
                <w:lang w:val="en-US"/>
              </w:rPr>
            </w:pPr>
            <w:r w:rsidRPr="00F6284E">
              <w:rPr>
                <w:b/>
                <w:color w:val="000000"/>
                <w:sz w:val="18"/>
                <w:lang w:val="en-US"/>
              </w:rPr>
              <w:t>PND 28 (n)</w:t>
            </w:r>
          </w:p>
        </w:tc>
        <w:tc>
          <w:tcPr>
            <w:tcW w:w="1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BF82085" w14:textId="77777777" w:rsidR="00616BC4" w:rsidRPr="00F6284E" w:rsidRDefault="00616BC4" w:rsidP="00647943">
            <w:pPr>
              <w:widowControl/>
              <w:jc w:val="right"/>
              <w:rPr>
                <w:b/>
                <w:color w:val="000000"/>
                <w:sz w:val="18"/>
                <w:lang w:val="en-US"/>
              </w:rPr>
            </w:pPr>
            <w:r w:rsidRPr="00F6284E">
              <w:rPr>
                <w:b/>
                <w:color w:val="000000"/>
                <w:sz w:val="18"/>
                <w:lang w:val="en-US"/>
              </w:rPr>
              <w:t>PND 42 (n)</w:t>
            </w:r>
          </w:p>
        </w:tc>
        <w:tc>
          <w:tcPr>
            <w:tcW w:w="1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9044D1C" w14:textId="77777777" w:rsidR="00616BC4" w:rsidRPr="00F6284E" w:rsidRDefault="00616BC4" w:rsidP="00647943">
            <w:pPr>
              <w:widowControl/>
              <w:jc w:val="right"/>
              <w:rPr>
                <w:b/>
                <w:color w:val="000000"/>
                <w:sz w:val="18"/>
                <w:lang w:val="en-US"/>
              </w:rPr>
            </w:pPr>
            <w:r w:rsidRPr="00F6284E">
              <w:rPr>
                <w:b/>
                <w:color w:val="000000"/>
                <w:sz w:val="18"/>
                <w:lang w:val="en-US"/>
              </w:rPr>
              <w:t>PND 63 (n)</w:t>
            </w:r>
          </w:p>
        </w:tc>
        <w:tc>
          <w:tcPr>
            <w:tcW w:w="1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50EE6E4" w14:textId="77777777" w:rsidR="00616BC4" w:rsidRPr="00F6284E" w:rsidRDefault="00616BC4" w:rsidP="00647943">
            <w:pPr>
              <w:widowControl/>
              <w:jc w:val="right"/>
              <w:rPr>
                <w:b/>
                <w:color w:val="000000"/>
                <w:sz w:val="18"/>
                <w:lang w:val="en-US"/>
              </w:rPr>
            </w:pPr>
            <w:r w:rsidRPr="00F6284E">
              <w:rPr>
                <w:b/>
                <w:color w:val="000000"/>
                <w:sz w:val="18"/>
                <w:lang w:val="en-US"/>
              </w:rPr>
              <w:t>PND 84 (n)</w:t>
            </w:r>
          </w:p>
        </w:tc>
      </w:tr>
      <w:tr w:rsidR="00616BC4" w:rsidRPr="008A03FB" w14:paraId="76A77806" w14:textId="77777777" w:rsidTr="00F6284E">
        <w:trPr>
          <w:trHeight w:val="300"/>
          <w:jc w:val="center"/>
        </w:trPr>
        <w:tc>
          <w:tcPr>
            <w:tcW w:w="13908" w:type="dxa"/>
            <w:gridSpan w:val="8"/>
            <w:tcBorders>
              <w:top w:val="single" w:sz="4" w:space="0" w:color="auto"/>
              <w:left w:val="single" w:sz="4" w:space="0" w:color="auto"/>
              <w:bottom w:val="single" w:sz="4" w:space="0" w:color="auto"/>
              <w:right w:val="single" w:sz="4" w:space="0" w:color="auto"/>
            </w:tcBorders>
            <w:noWrap/>
            <w:vAlign w:val="center"/>
          </w:tcPr>
          <w:p w14:paraId="71E19895" w14:textId="4A2F1846" w:rsidR="00616BC4" w:rsidRPr="000B3C14" w:rsidRDefault="00F6332B" w:rsidP="00647943">
            <w:pPr>
              <w:widowControl/>
              <w:rPr>
                <w:color w:val="000000"/>
                <w:sz w:val="18"/>
                <w:lang w:val="en-US"/>
              </w:rPr>
            </w:pPr>
            <w:r w:rsidRPr="00D711DD">
              <w:rPr>
                <w:i/>
                <w:color w:val="000000"/>
                <w:sz w:val="18"/>
                <w:lang w:val="en-US"/>
              </w:rPr>
              <w:t>Serum (ng/m</w:t>
            </w:r>
            <w:r w:rsidR="00D60FEF">
              <w:rPr>
                <w:i/>
                <w:color w:val="000000"/>
                <w:sz w:val="18"/>
                <w:lang w:val="en-US"/>
              </w:rPr>
              <w:t>L</w:t>
            </w:r>
            <w:r w:rsidRPr="00D711DD">
              <w:rPr>
                <w:i/>
                <w:color w:val="000000"/>
                <w:sz w:val="18"/>
                <w:lang w:val="en-US"/>
              </w:rPr>
              <w:t>)</w:t>
            </w:r>
          </w:p>
        </w:tc>
      </w:tr>
      <w:tr w:rsidR="00616BC4" w:rsidRPr="008A03FB" w14:paraId="400A35D5" w14:textId="77777777" w:rsidTr="00F6284E">
        <w:trPr>
          <w:trHeight w:val="300"/>
          <w:jc w:val="center"/>
        </w:trPr>
        <w:tc>
          <w:tcPr>
            <w:tcW w:w="1949" w:type="dxa"/>
            <w:tcBorders>
              <w:top w:val="single" w:sz="4" w:space="0" w:color="auto"/>
              <w:left w:val="single" w:sz="4" w:space="0" w:color="auto"/>
              <w:bottom w:val="single" w:sz="4" w:space="0" w:color="auto"/>
              <w:right w:val="single" w:sz="4" w:space="0" w:color="auto"/>
            </w:tcBorders>
            <w:noWrap/>
            <w:vAlign w:val="center"/>
          </w:tcPr>
          <w:p w14:paraId="11B46D9A" w14:textId="77777777" w:rsidR="00616BC4" w:rsidRPr="00D711DD" w:rsidRDefault="00616BC4" w:rsidP="00A111E9">
            <w:pPr>
              <w:widowControl/>
              <w:rPr>
                <w:color w:val="000000"/>
                <w:sz w:val="18"/>
                <w:lang w:val="en-US"/>
              </w:rPr>
            </w:pPr>
            <w:r w:rsidRPr="00D711DD">
              <w:rPr>
                <w:color w:val="000000"/>
                <w:sz w:val="18"/>
                <w:lang w:val="en-US"/>
              </w:rPr>
              <w:t>Control</w:t>
            </w:r>
          </w:p>
        </w:tc>
        <w:tc>
          <w:tcPr>
            <w:tcW w:w="1708" w:type="dxa"/>
            <w:tcBorders>
              <w:top w:val="single" w:sz="4" w:space="0" w:color="auto"/>
              <w:left w:val="single" w:sz="4" w:space="0" w:color="auto"/>
              <w:bottom w:val="single" w:sz="4" w:space="0" w:color="auto"/>
              <w:right w:val="single" w:sz="4" w:space="0" w:color="auto"/>
            </w:tcBorders>
            <w:vAlign w:val="center"/>
          </w:tcPr>
          <w:p w14:paraId="51DD6451" w14:textId="77777777" w:rsidR="00616BC4" w:rsidRPr="000B3C14" w:rsidRDefault="00616BC4" w:rsidP="00647943">
            <w:pPr>
              <w:widowControl/>
              <w:jc w:val="right"/>
              <w:rPr>
                <w:color w:val="000000"/>
                <w:sz w:val="16"/>
                <w:lang w:val="en-US"/>
              </w:rPr>
            </w:pPr>
            <w:r w:rsidRPr="000B3C14">
              <w:rPr>
                <w:color w:val="000000"/>
                <w:sz w:val="16"/>
                <w:lang w:val="en-US"/>
              </w:rPr>
              <w:t>&lt; 20, LOQ (5)</w:t>
            </w:r>
          </w:p>
        </w:tc>
        <w:tc>
          <w:tcPr>
            <w:tcW w:w="1708" w:type="dxa"/>
            <w:tcBorders>
              <w:top w:val="single" w:sz="4" w:space="0" w:color="auto"/>
              <w:left w:val="single" w:sz="4" w:space="0" w:color="auto"/>
              <w:bottom w:val="single" w:sz="4" w:space="0" w:color="auto"/>
              <w:right w:val="single" w:sz="4" w:space="0" w:color="auto"/>
            </w:tcBorders>
            <w:vAlign w:val="center"/>
          </w:tcPr>
          <w:p w14:paraId="7FB67FFB" w14:textId="77CAF8F4" w:rsidR="00616BC4" w:rsidRPr="00D711DD" w:rsidRDefault="00616BC4" w:rsidP="00647943">
            <w:pPr>
              <w:widowControl/>
              <w:jc w:val="right"/>
              <w:rPr>
                <w:color w:val="000000"/>
                <w:sz w:val="16"/>
                <w:lang w:val="en-US"/>
              </w:rPr>
            </w:pPr>
            <w:r w:rsidRPr="000B3C14">
              <w:rPr>
                <w:color w:val="000000"/>
                <w:sz w:val="16"/>
                <w:lang w:val="en-US"/>
              </w:rPr>
              <w:t>12</w:t>
            </w:r>
            <w:r w:rsidR="00573AB7">
              <w:rPr>
                <w:rFonts w:cs="Arial"/>
                <w:color w:val="000000"/>
                <w:sz w:val="16"/>
                <w:szCs w:val="18"/>
                <w:lang w:val="en-US" w:bidi="ar-SA"/>
              </w:rPr>
              <w:t xml:space="preserve"> </w:t>
            </w:r>
            <w:r w:rsidRPr="00D711DD">
              <w:rPr>
                <w:color w:val="000000"/>
                <w:sz w:val="16"/>
                <w:lang w:val="en-US"/>
              </w:rPr>
              <w:t>± 2 (4)</w:t>
            </w:r>
          </w:p>
        </w:tc>
        <w:tc>
          <w:tcPr>
            <w:tcW w:w="1709" w:type="dxa"/>
            <w:tcBorders>
              <w:top w:val="single" w:sz="4" w:space="0" w:color="auto"/>
              <w:left w:val="single" w:sz="4" w:space="0" w:color="auto"/>
              <w:bottom w:val="single" w:sz="4" w:space="0" w:color="auto"/>
              <w:right w:val="single" w:sz="4" w:space="0" w:color="auto"/>
            </w:tcBorders>
            <w:vAlign w:val="center"/>
          </w:tcPr>
          <w:p w14:paraId="1758C842" w14:textId="77777777" w:rsidR="00616BC4" w:rsidRPr="000B3C14" w:rsidRDefault="00616BC4" w:rsidP="00647943">
            <w:pPr>
              <w:widowControl/>
              <w:jc w:val="right"/>
              <w:rPr>
                <w:color w:val="000000"/>
                <w:sz w:val="16"/>
                <w:lang w:val="en-US"/>
              </w:rPr>
            </w:pPr>
            <w:r w:rsidRPr="000B3C14">
              <w:rPr>
                <w:color w:val="000000"/>
                <w:sz w:val="16"/>
                <w:lang w:val="en-US"/>
              </w:rPr>
              <w:t>&lt; 20, LOQ (6)</w:t>
            </w:r>
          </w:p>
        </w:tc>
        <w:tc>
          <w:tcPr>
            <w:tcW w:w="1708" w:type="dxa"/>
            <w:tcBorders>
              <w:top w:val="single" w:sz="4" w:space="0" w:color="auto"/>
              <w:left w:val="single" w:sz="4" w:space="0" w:color="auto"/>
              <w:bottom w:val="single" w:sz="4" w:space="0" w:color="auto"/>
              <w:right w:val="single" w:sz="4" w:space="0" w:color="auto"/>
            </w:tcBorders>
            <w:vAlign w:val="center"/>
          </w:tcPr>
          <w:p w14:paraId="44073A0F" w14:textId="77777777" w:rsidR="00616BC4" w:rsidRPr="000B3C14" w:rsidRDefault="00616BC4" w:rsidP="00647943">
            <w:pPr>
              <w:widowControl/>
              <w:jc w:val="right"/>
              <w:rPr>
                <w:color w:val="000000"/>
                <w:sz w:val="16"/>
                <w:lang w:val="en-US"/>
              </w:rPr>
            </w:pPr>
            <w:r w:rsidRPr="000B3C14">
              <w:rPr>
                <w:color w:val="000000"/>
                <w:sz w:val="16"/>
                <w:lang w:val="en-US"/>
              </w:rPr>
              <w:t>&lt; 20, LOQ (3)</w:t>
            </w:r>
          </w:p>
        </w:tc>
        <w:tc>
          <w:tcPr>
            <w:tcW w:w="1709" w:type="dxa"/>
            <w:tcBorders>
              <w:top w:val="single" w:sz="4" w:space="0" w:color="auto"/>
              <w:left w:val="single" w:sz="4" w:space="0" w:color="auto"/>
              <w:bottom w:val="single" w:sz="4" w:space="0" w:color="auto"/>
              <w:right w:val="single" w:sz="4" w:space="0" w:color="auto"/>
            </w:tcBorders>
            <w:vAlign w:val="center"/>
          </w:tcPr>
          <w:p w14:paraId="644B201F" w14:textId="77777777" w:rsidR="00616BC4" w:rsidRPr="00F6284E" w:rsidRDefault="00616BC4" w:rsidP="00647943">
            <w:pPr>
              <w:widowControl/>
              <w:jc w:val="right"/>
              <w:rPr>
                <w:color w:val="000000"/>
                <w:sz w:val="16"/>
                <w:lang w:val="en-US"/>
              </w:rPr>
            </w:pPr>
            <w:r w:rsidRPr="00F6284E">
              <w:rPr>
                <w:color w:val="000000"/>
                <w:sz w:val="16"/>
                <w:lang w:val="en-US"/>
              </w:rPr>
              <w:t>&lt;10, LOQ (4)</w:t>
            </w:r>
          </w:p>
        </w:tc>
        <w:tc>
          <w:tcPr>
            <w:tcW w:w="1708" w:type="dxa"/>
            <w:tcBorders>
              <w:top w:val="single" w:sz="4" w:space="0" w:color="auto"/>
              <w:left w:val="single" w:sz="4" w:space="0" w:color="auto"/>
              <w:bottom w:val="single" w:sz="4" w:space="0" w:color="auto"/>
              <w:right w:val="single" w:sz="4" w:space="0" w:color="auto"/>
            </w:tcBorders>
            <w:vAlign w:val="center"/>
          </w:tcPr>
          <w:p w14:paraId="311C3AD3" w14:textId="77777777" w:rsidR="00616BC4" w:rsidRPr="00F6284E" w:rsidRDefault="00616BC4" w:rsidP="00647943">
            <w:pPr>
              <w:widowControl/>
              <w:jc w:val="right"/>
              <w:rPr>
                <w:color w:val="000000"/>
                <w:sz w:val="16"/>
                <w:lang w:val="en-US"/>
              </w:rPr>
            </w:pPr>
            <w:r w:rsidRPr="00F6284E">
              <w:rPr>
                <w:color w:val="000000"/>
                <w:sz w:val="16"/>
                <w:lang w:val="en-US"/>
              </w:rPr>
              <w:t>-</w:t>
            </w:r>
          </w:p>
        </w:tc>
        <w:tc>
          <w:tcPr>
            <w:tcW w:w="1709" w:type="dxa"/>
            <w:tcBorders>
              <w:top w:val="single" w:sz="4" w:space="0" w:color="auto"/>
              <w:left w:val="single" w:sz="4" w:space="0" w:color="auto"/>
              <w:bottom w:val="single" w:sz="4" w:space="0" w:color="auto"/>
              <w:right w:val="single" w:sz="4" w:space="0" w:color="auto"/>
            </w:tcBorders>
            <w:vAlign w:val="center"/>
          </w:tcPr>
          <w:p w14:paraId="23098A45" w14:textId="77777777" w:rsidR="00616BC4" w:rsidRPr="00F6284E" w:rsidRDefault="00616BC4" w:rsidP="00647943">
            <w:pPr>
              <w:widowControl/>
              <w:jc w:val="right"/>
              <w:rPr>
                <w:color w:val="000000"/>
                <w:sz w:val="16"/>
                <w:lang w:val="en-US"/>
              </w:rPr>
            </w:pPr>
            <w:r w:rsidRPr="00F6284E">
              <w:rPr>
                <w:color w:val="000000"/>
                <w:sz w:val="16"/>
                <w:lang w:val="en-US"/>
              </w:rPr>
              <w:t>&lt;10, LOQ (2)</w:t>
            </w:r>
          </w:p>
        </w:tc>
      </w:tr>
      <w:tr w:rsidR="00616BC4" w:rsidRPr="008A03FB" w14:paraId="499A8EF3" w14:textId="77777777" w:rsidTr="00F6284E">
        <w:trPr>
          <w:trHeight w:val="300"/>
          <w:jc w:val="center"/>
        </w:trPr>
        <w:tc>
          <w:tcPr>
            <w:tcW w:w="1949" w:type="dxa"/>
            <w:tcBorders>
              <w:top w:val="single" w:sz="4" w:space="0" w:color="auto"/>
              <w:left w:val="single" w:sz="4" w:space="0" w:color="auto"/>
              <w:bottom w:val="single" w:sz="4" w:space="0" w:color="auto"/>
              <w:right w:val="single" w:sz="4" w:space="0" w:color="auto"/>
            </w:tcBorders>
            <w:noWrap/>
            <w:vAlign w:val="center"/>
          </w:tcPr>
          <w:p w14:paraId="62C01221" w14:textId="77777777" w:rsidR="00616BC4" w:rsidRPr="00D711DD" w:rsidRDefault="00616BC4" w:rsidP="00A111E9">
            <w:pPr>
              <w:widowControl/>
              <w:rPr>
                <w:color w:val="000000"/>
                <w:sz w:val="18"/>
                <w:lang w:val="en-US"/>
              </w:rPr>
            </w:pPr>
            <w:r w:rsidRPr="00D711DD">
              <w:rPr>
                <w:color w:val="000000"/>
                <w:sz w:val="18"/>
                <w:lang w:val="en-US"/>
              </w:rPr>
              <w:t>0.3 mg/kg</w:t>
            </w:r>
          </w:p>
        </w:tc>
        <w:tc>
          <w:tcPr>
            <w:tcW w:w="1708" w:type="dxa"/>
            <w:tcBorders>
              <w:top w:val="single" w:sz="4" w:space="0" w:color="auto"/>
              <w:left w:val="single" w:sz="4" w:space="0" w:color="auto"/>
              <w:bottom w:val="single" w:sz="4" w:space="0" w:color="auto"/>
              <w:right w:val="single" w:sz="4" w:space="0" w:color="auto"/>
            </w:tcBorders>
            <w:vAlign w:val="center"/>
          </w:tcPr>
          <w:p w14:paraId="5CB48B75" w14:textId="5D8473FF" w:rsidR="00616BC4" w:rsidRPr="00D711DD" w:rsidRDefault="00616BC4" w:rsidP="00647943">
            <w:pPr>
              <w:widowControl/>
              <w:jc w:val="right"/>
              <w:rPr>
                <w:color w:val="000000"/>
                <w:sz w:val="16"/>
                <w:lang w:val="en-US"/>
              </w:rPr>
            </w:pPr>
            <w:r w:rsidRPr="000B3C14">
              <w:rPr>
                <w:color w:val="000000"/>
                <w:sz w:val="16"/>
                <w:lang w:val="en-US"/>
              </w:rPr>
              <w:t>4980</w:t>
            </w:r>
            <w:r>
              <w:rPr>
                <w:color w:val="000000"/>
                <w:sz w:val="16"/>
                <w:lang w:val="en-US"/>
              </w:rPr>
              <w:t xml:space="preserve"> </w:t>
            </w:r>
            <w:r w:rsidRPr="00D711DD">
              <w:rPr>
                <w:color w:val="000000"/>
                <w:sz w:val="16"/>
                <w:lang w:val="en-US"/>
              </w:rPr>
              <w:t>± 218*** (4)</w:t>
            </w:r>
          </w:p>
        </w:tc>
        <w:tc>
          <w:tcPr>
            <w:tcW w:w="1708" w:type="dxa"/>
            <w:tcBorders>
              <w:top w:val="single" w:sz="4" w:space="0" w:color="auto"/>
              <w:left w:val="single" w:sz="4" w:space="0" w:color="auto"/>
              <w:bottom w:val="single" w:sz="4" w:space="0" w:color="auto"/>
              <w:right w:val="single" w:sz="4" w:space="0" w:color="auto"/>
            </w:tcBorders>
            <w:vAlign w:val="center"/>
          </w:tcPr>
          <w:p w14:paraId="427FAE16" w14:textId="1D8BE4EB" w:rsidR="00616BC4" w:rsidRPr="00D711DD" w:rsidRDefault="00616BC4" w:rsidP="00647943">
            <w:pPr>
              <w:widowControl/>
              <w:jc w:val="right"/>
              <w:rPr>
                <w:color w:val="000000"/>
                <w:sz w:val="16"/>
                <w:lang w:val="en-US"/>
              </w:rPr>
            </w:pPr>
            <w:r w:rsidRPr="000B3C14">
              <w:rPr>
                <w:color w:val="000000"/>
                <w:sz w:val="16"/>
                <w:lang w:val="en-US"/>
              </w:rPr>
              <w:t>4535</w:t>
            </w:r>
            <w:r w:rsidR="00DF2382">
              <w:rPr>
                <w:rFonts w:cs="Arial"/>
                <w:color w:val="000000"/>
                <w:sz w:val="16"/>
                <w:szCs w:val="18"/>
                <w:lang w:val="en-US" w:bidi="ar-SA"/>
              </w:rPr>
              <w:t xml:space="preserve"> </w:t>
            </w:r>
            <w:r w:rsidRPr="00D711DD">
              <w:rPr>
                <w:color w:val="000000"/>
                <w:sz w:val="16"/>
                <w:lang w:val="en-US"/>
              </w:rPr>
              <w:t>± 920*** (6)</w:t>
            </w:r>
          </w:p>
        </w:tc>
        <w:tc>
          <w:tcPr>
            <w:tcW w:w="1709" w:type="dxa"/>
            <w:tcBorders>
              <w:top w:val="single" w:sz="4" w:space="0" w:color="auto"/>
              <w:left w:val="single" w:sz="4" w:space="0" w:color="auto"/>
              <w:bottom w:val="single" w:sz="4" w:space="0" w:color="auto"/>
              <w:right w:val="single" w:sz="4" w:space="0" w:color="auto"/>
            </w:tcBorders>
            <w:vAlign w:val="center"/>
          </w:tcPr>
          <w:p w14:paraId="229C7C46" w14:textId="56FBF177" w:rsidR="00616BC4" w:rsidRPr="00D711DD" w:rsidRDefault="00616BC4" w:rsidP="00647943">
            <w:pPr>
              <w:widowControl/>
              <w:jc w:val="right"/>
              <w:rPr>
                <w:color w:val="000000"/>
                <w:sz w:val="16"/>
                <w:lang w:val="en-US"/>
              </w:rPr>
            </w:pPr>
            <w:r w:rsidRPr="000B3C14">
              <w:rPr>
                <w:color w:val="000000"/>
                <w:sz w:val="16"/>
                <w:lang w:val="en-US"/>
              </w:rPr>
              <w:t>1194</w:t>
            </w:r>
            <w:r w:rsidR="00DF2382">
              <w:rPr>
                <w:rFonts w:cs="Arial"/>
                <w:color w:val="000000"/>
                <w:sz w:val="16"/>
                <w:szCs w:val="18"/>
                <w:lang w:val="en-US" w:bidi="ar-SA"/>
              </w:rPr>
              <w:t xml:space="preserve"> </w:t>
            </w:r>
            <w:r w:rsidRPr="00D711DD">
              <w:rPr>
                <w:color w:val="000000"/>
                <w:sz w:val="16"/>
                <w:lang w:val="en-US"/>
              </w:rPr>
              <w:t>± 394*** (5)</w:t>
            </w:r>
          </w:p>
        </w:tc>
        <w:tc>
          <w:tcPr>
            <w:tcW w:w="1708" w:type="dxa"/>
            <w:tcBorders>
              <w:top w:val="single" w:sz="4" w:space="0" w:color="auto"/>
              <w:left w:val="single" w:sz="4" w:space="0" w:color="auto"/>
              <w:bottom w:val="single" w:sz="4" w:space="0" w:color="auto"/>
              <w:right w:val="single" w:sz="4" w:space="0" w:color="auto"/>
            </w:tcBorders>
            <w:vAlign w:val="center"/>
          </w:tcPr>
          <w:p w14:paraId="2138A780" w14:textId="3B7507FA" w:rsidR="00616BC4" w:rsidRPr="000B3C14" w:rsidRDefault="00616BC4" w:rsidP="00647943">
            <w:pPr>
              <w:widowControl/>
              <w:jc w:val="right"/>
              <w:rPr>
                <w:color w:val="000000"/>
                <w:sz w:val="16"/>
                <w:lang w:val="en-US"/>
              </w:rPr>
            </w:pPr>
            <w:r w:rsidRPr="000B3C14">
              <w:rPr>
                <w:color w:val="000000"/>
                <w:sz w:val="16"/>
                <w:lang w:val="en-US"/>
              </w:rPr>
              <w:t>630</w:t>
            </w:r>
            <w:r w:rsidR="00DF2382">
              <w:rPr>
                <w:rFonts w:cs="Arial"/>
                <w:color w:val="000000"/>
                <w:sz w:val="16"/>
                <w:szCs w:val="18"/>
                <w:lang w:val="en-US" w:bidi="ar-SA"/>
              </w:rPr>
              <w:t xml:space="preserve"> </w:t>
            </w:r>
            <w:r w:rsidRPr="00D711DD">
              <w:rPr>
                <w:color w:val="000000"/>
                <w:sz w:val="16"/>
                <w:lang w:val="en-US"/>
              </w:rPr>
              <w:t>± 162*** (</w:t>
            </w:r>
            <w:r w:rsidRPr="000B3C14">
              <w:rPr>
                <w:color w:val="000000"/>
                <w:sz w:val="16"/>
                <w:lang w:val="en-US"/>
              </w:rPr>
              <w:t>6)</w:t>
            </w:r>
          </w:p>
        </w:tc>
        <w:tc>
          <w:tcPr>
            <w:tcW w:w="1709" w:type="dxa"/>
            <w:tcBorders>
              <w:top w:val="single" w:sz="4" w:space="0" w:color="auto"/>
              <w:left w:val="single" w:sz="4" w:space="0" w:color="auto"/>
              <w:bottom w:val="single" w:sz="4" w:space="0" w:color="auto"/>
              <w:right w:val="single" w:sz="4" w:space="0" w:color="auto"/>
            </w:tcBorders>
            <w:vAlign w:val="center"/>
          </w:tcPr>
          <w:p w14:paraId="357147C8" w14:textId="7B5BCF5D" w:rsidR="00616BC4" w:rsidRPr="00D711DD" w:rsidRDefault="00616BC4" w:rsidP="00647943">
            <w:pPr>
              <w:widowControl/>
              <w:jc w:val="right"/>
              <w:rPr>
                <w:color w:val="000000"/>
                <w:sz w:val="16"/>
                <w:lang w:val="en-US"/>
              </w:rPr>
            </w:pPr>
            <w:r w:rsidRPr="000B3C14">
              <w:rPr>
                <w:color w:val="000000"/>
                <w:sz w:val="16"/>
                <w:lang w:val="en-US"/>
              </w:rPr>
              <w:t>377</w:t>
            </w:r>
            <w:r w:rsidR="00DF2382">
              <w:rPr>
                <w:rFonts w:cs="Arial"/>
                <w:color w:val="000000"/>
                <w:sz w:val="16"/>
                <w:szCs w:val="18"/>
                <w:lang w:val="en-US" w:bidi="ar-SA"/>
              </w:rPr>
              <w:t xml:space="preserve"> </w:t>
            </w:r>
            <w:r w:rsidRPr="00D711DD">
              <w:rPr>
                <w:color w:val="000000"/>
                <w:sz w:val="16"/>
                <w:lang w:val="en-US"/>
              </w:rPr>
              <w:t>± 81*** (6)</w:t>
            </w:r>
          </w:p>
        </w:tc>
        <w:tc>
          <w:tcPr>
            <w:tcW w:w="1708" w:type="dxa"/>
            <w:tcBorders>
              <w:top w:val="single" w:sz="4" w:space="0" w:color="auto"/>
              <w:left w:val="single" w:sz="4" w:space="0" w:color="auto"/>
              <w:bottom w:val="single" w:sz="4" w:space="0" w:color="auto"/>
              <w:right w:val="single" w:sz="4" w:space="0" w:color="auto"/>
            </w:tcBorders>
            <w:vAlign w:val="center"/>
          </w:tcPr>
          <w:p w14:paraId="6604D97F" w14:textId="7720E650" w:rsidR="00616BC4" w:rsidRPr="00D711DD" w:rsidRDefault="00616BC4" w:rsidP="00647943">
            <w:pPr>
              <w:widowControl/>
              <w:jc w:val="right"/>
              <w:rPr>
                <w:color w:val="000000"/>
                <w:sz w:val="16"/>
                <w:lang w:val="en-US"/>
              </w:rPr>
            </w:pPr>
            <w:r w:rsidRPr="000B3C14">
              <w:rPr>
                <w:color w:val="000000"/>
                <w:sz w:val="16"/>
                <w:lang w:val="en-US"/>
              </w:rPr>
              <w:t>55</w:t>
            </w:r>
            <w:r w:rsidR="00DF2382">
              <w:rPr>
                <w:rFonts w:cs="Arial"/>
                <w:color w:val="000000"/>
                <w:sz w:val="16"/>
                <w:szCs w:val="18"/>
                <w:lang w:val="en-US" w:bidi="ar-SA"/>
              </w:rPr>
              <w:t xml:space="preserve"> </w:t>
            </w:r>
            <w:r w:rsidRPr="00D711DD">
              <w:rPr>
                <w:color w:val="000000"/>
                <w:sz w:val="16"/>
                <w:lang w:val="en-US"/>
              </w:rPr>
              <w:t>± 17 (3)</w:t>
            </w:r>
          </w:p>
        </w:tc>
        <w:tc>
          <w:tcPr>
            <w:tcW w:w="1709" w:type="dxa"/>
            <w:tcBorders>
              <w:top w:val="single" w:sz="4" w:space="0" w:color="auto"/>
              <w:left w:val="single" w:sz="4" w:space="0" w:color="auto"/>
              <w:bottom w:val="single" w:sz="4" w:space="0" w:color="auto"/>
              <w:right w:val="single" w:sz="4" w:space="0" w:color="auto"/>
            </w:tcBorders>
            <w:vAlign w:val="center"/>
          </w:tcPr>
          <w:p w14:paraId="47A615AE" w14:textId="39A68BC9" w:rsidR="00616BC4" w:rsidRPr="00D711DD" w:rsidRDefault="00616BC4" w:rsidP="00647943">
            <w:pPr>
              <w:widowControl/>
              <w:jc w:val="right"/>
              <w:rPr>
                <w:color w:val="000000"/>
                <w:sz w:val="16"/>
                <w:lang w:val="en-US"/>
              </w:rPr>
            </w:pPr>
            <w:r w:rsidRPr="000B3C14">
              <w:rPr>
                <w:color w:val="000000"/>
                <w:sz w:val="16"/>
                <w:lang w:val="en-US"/>
              </w:rPr>
              <w:t>16</w:t>
            </w:r>
            <w:r w:rsidR="00DF2382">
              <w:rPr>
                <w:rFonts w:cs="Arial"/>
                <w:color w:val="000000"/>
                <w:sz w:val="16"/>
                <w:szCs w:val="18"/>
                <w:lang w:val="en-US" w:bidi="ar-SA"/>
              </w:rPr>
              <w:t xml:space="preserve"> </w:t>
            </w:r>
            <w:r w:rsidRPr="00D711DD">
              <w:rPr>
                <w:color w:val="000000"/>
                <w:sz w:val="16"/>
                <w:lang w:val="en-US"/>
              </w:rPr>
              <w:t>± 5 (5)</w:t>
            </w:r>
          </w:p>
        </w:tc>
      </w:tr>
      <w:tr w:rsidR="00616BC4" w:rsidRPr="008A03FB" w14:paraId="1900CE22" w14:textId="77777777" w:rsidTr="00F6284E">
        <w:trPr>
          <w:trHeight w:val="300"/>
          <w:jc w:val="center"/>
        </w:trPr>
        <w:tc>
          <w:tcPr>
            <w:tcW w:w="1949" w:type="dxa"/>
            <w:tcBorders>
              <w:top w:val="single" w:sz="4" w:space="0" w:color="auto"/>
              <w:left w:val="single" w:sz="4" w:space="0" w:color="auto"/>
              <w:bottom w:val="single" w:sz="4" w:space="0" w:color="auto"/>
              <w:right w:val="single" w:sz="4" w:space="0" w:color="auto"/>
            </w:tcBorders>
            <w:noWrap/>
            <w:vAlign w:val="center"/>
          </w:tcPr>
          <w:p w14:paraId="496AD8D8" w14:textId="77777777" w:rsidR="00616BC4" w:rsidRPr="00D711DD" w:rsidRDefault="00616BC4" w:rsidP="00A111E9">
            <w:pPr>
              <w:widowControl/>
              <w:rPr>
                <w:color w:val="000000"/>
                <w:sz w:val="18"/>
                <w:lang w:val="en-US"/>
              </w:rPr>
            </w:pPr>
            <w:r w:rsidRPr="00D711DD">
              <w:rPr>
                <w:color w:val="000000"/>
                <w:sz w:val="18"/>
                <w:lang w:val="en-US"/>
              </w:rPr>
              <w:t>1.0 mg/kg</w:t>
            </w:r>
          </w:p>
        </w:tc>
        <w:tc>
          <w:tcPr>
            <w:tcW w:w="1708" w:type="dxa"/>
            <w:tcBorders>
              <w:top w:val="single" w:sz="4" w:space="0" w:color="auto"/>
              <w:left w:val="single" w:sz="4" w:space="0" w:color="auto"/>
              <w:bottom w:val="single" w:sz="4" w:space="0" w:color="auto"/>
              <w:right w:val="single" w:sz="4" w:space="0" w:color="auto"/>
            </w:tcBorders>
            <w:vAlign w:val="center"/>
          </w:tcPr>
          <w:p w14:paraId="5D76EC49" w14:textId="475AE7D4" w:rsidR="00616BC4" w:rsidRPr="00D711DD" w:rsidRDefault="00616BC4" w:rsidP="00647943">
            <w:pPr>
              <w:widowControl/>
              <w:jc w:val="right"/>
              <w:rPr>
                <w:color w:val="000000"/>
                <w:sz w:val="16"/>
                <w:lang w:val="en-US"/>
              </w:rPr>
            </w:pPr>
            <w:r w:rsidRPr="000B3C14">
              <w:rPr>
                <w:color w:val="000000"/>
                <w:sz w:val="16"/>
                <w:lang w:val="en-US"/>
              </w:rPr>
              <w:t>11</w:t>
            </w:r>
            <w:r w:rsidR="00CC26CA">
              <w:rPr>
                <w:color w:val="000000"/>
                <w:sz w:val="16"/>
                <w:lang w:val="en-US"/>
              </w:rPr>
              <w:t> 026</w:t>
            </w:r>
            <w:r w:rsidR="00DF2382">
              <w:rPr>
                <w:rFonts w:cs="Arial"/>
                <w:color w:val="000000"/>
                <w:sz w:val="16"/>
                <w:szCs w:val="18"/>
                <w:lang w:val="en-US" w:bidi="ar-SA"/>
              </w:rPr>
              <w:t xml:space="preserve"> </w:t>
            </w:r>
            <w:r w:rsidRPr="00D711DD">
              <w:rPr>
                <w:color w:val="000000"/>
                <w:sz w:val="16"/>
                <w:lang w:val="en-US"/>
              </w:rPr>
              <w:t>± 915*** (5)</w:t>
            </w:r>
          </w:p>
        </w:tc>
        <w:tc>
          <w:tcPr>
            <w:tcW w:w="1708" w:type="dxa"/>
            <w:tcBorders>
              <w:top w:val="single" w:sz="4" w:space="0" w:color="auto"/>
              <w:left w:val="single" w:sz="4" w:space="0" w:color="auto"/>
              <w:bottom w:val="single" w:sz="4" w:space="0" w:color="auto"/>
              <w:right w:val="single" w:sz="4" w:space="0" w:color="auto"/>
            </w:tcBorders>
            <w:vAlign w:val="center"/>
          </w:tcPr>
          <w:p w14:paraId="406425EB" w14:textId="057C9DA4" w:rsidR="00616BC4" w:rsidRPr="00D711DD" w:rsidRDefault="00616BC4" w:rsidP="00647943">
            <w:pPr>
              <w:widowControl/>
              <w:jc w:val="right"/>
              <w:rPr>
                <w:color w:val="000000"/>
                <w:sz w:val="16"/>
                <w:lang w:val="en-US"/>
              </w:rPr>
            </w:pPr>
            <w:r w:rsidRPr="000B3C14">
              <w:rPr>
                <w:color w:val="000000"/>
                <w:sz w:val="16"/>
                <w:lang w:val="en-US"/>
              </w:rPr>
              <w:t>16</w:t>
            </w:r>
            <w:r w:rsidR="00CC26CA">
              <w:rPr>
                <w:color w:val="000000"/>
                <w:sz w:val="16"/>
                <w:lang w:val="en-US"/>
              </w:rPr>
              <w:t> 950</w:t>
            </w:r>
            <w:r w:rsidR="00DF2382">
              <w:rPr>
                <w:rFonts w:cs="Arial"/>
                <w:color w:val="000000"/>
                <w:sz w:val="16"/>
                <w:szCs w:val="18"/>
                <w:lang w:val="en-US" w:bidi="ar-SA"/>
              </w:rPr>
              <w:t xml:space="preserve"> </w:t>
            </w:r>
            <w:r w:rsidRPr="00D711DD">
              <w:rPr>
                <w:color w:val="000000"/>
                <w:sz w:val="16"/>
                <w:lang w:val="en-US"/>
              </w:rPr>
              <w:t>± 3606*** (6)</w:t>
            </w:r>
          </w:p>
        </w:tc>
        <w:tc>
          <w:tcPr>
            <w:tcW w:w="1709" w:type="dxa"/>
            <w:tcBorders>
              <w:top w:val="single" w:sz="4" w:space="0" w:color="auto"/>
              <w:left w:val="single" w:sz="4" w:space="0" w:color="auto"/>
              <w:bottom w:val="single" w:sz="4" w:space="0" w:color="auto"/>
              <w:right w:val="single" w:sz="4" w:space="0" w:color="auto"/>
            </w:tcBorders>
            <w:vAlign w:val="center"/>
          </w:tcPr>
          <w:p w14:paraId="35AFF28D" w14:textId="64A4E88A" w:rsidR="00616BC4" w:rsidRPr="00D711DD" w:rsidRDefault="00616BC4" w:rsidP="00647943">
            <w:pPr>
              <w:widowControl/>
              <w:jc w:val="right"/>
              <w:rPr>
                <w:color w:val="000000"/>
                <w:sz w:val="16"/>
                <w:lang w:val="en-US"/>
              </w:rPr>
            </w:pPr>
            <w:r w:rsidRPr="000B3C14">
              <w:rPr>
                <w:color w:val="000000"/>
                <w:sz w:val="16"/>
                <w:lang w:val="en-US"/>
              </w:rPr>
              <w:t>3770</w:t>
            </w:r>
            <w:r w:rsidR="00DF2382">
              <w:rPr>
                <w:rFonts w:cs="Arial"/>
                <w:color w:val="000000"/>
                <w:sz w:val="16"/>
                <w:szCs w:val="18"/>
                <w:lang w:val="en-US" w:bidi="ar-SA"/>
              </w:rPr>
              <w:t xml:space="preserve"> </w:t>
            </w:r>
            <w:r w:rsidRPr="00D711DD">
              <w:rPr>
                <w:color w:val="000000"/>
                <w:sz w:val="16"/>
                <w:lang w:val="en-US"/>
              </w:rPr>
              <w:t>± 607*** (5)</w:t>
            </w:r>
          </w:p>
        </w:tc>
        <w:tc>
          <w:tcPr>
            <w:tcW w:w="1708" w:type="dxa"/>
            <w:tcBorders>
              <w:top w:val="single" w:sz="4" w:space="0" w:color="auto"/>
              <w:left w:val="single" w:sz="4" w:space="0" w:color="auto"/>
              <w:bottom w:val="single" w:sz="4" w:space="0" w:color="auto"/>
              <w:right w:val="single" w:sz="4" w:space="0" w:color="auto"/>
            </w:tcBorders>
            <w:vAlign w:val="center"/>
          </w:tcPr>
          <w:p w14:paraId="1A89FEBB" w14:textId="2E4F4F34" w:rsidR="00616BC4" w:rsidRPr="00D711DD" w:rsidRDefault="00616BC4" w:rsidP="00647943">
            <w:pPr>
              <w:widowControl/>
              <w:jc w:val="right"/>
              <w:rPr>
                <w:color w:val="000000"/>
                <w:sz w:val="16"/>
                <w:lang w:val="en-US"/>
              </w:rPr>
            </w:pPr>
            <w:r w:rsidRPr="000B3C14">
              <w:rPr>
                <w:color w:val="000000"/>
                <w:sz w:val="16"/>
                <w:lang w:val="en-US"/>
              </w:rPr>
              <w:t>1247</w:t>
            </w:r>
            <w:r w:rsidR="00DF2382">
              <w:rPr>
                <w:rFonts w:cs="Arial"/>
                <w:color w:val="000000"/>
                <w:sz w:val="16"/>
                <w:szCs w:val="18"/>
                <w:lang w:val="en-US" w:bidi="ar-SA"/>
              </w:rPr>
              <w:t xml:space="preserve"> </w:t>
            </w:r>
            <w:r w:rsidRPr="00D711DD">
              <w:rPr>
                <w:color w:val="000000"/>
                <w:sz w:val="16"/>
                <w:lang w:val="en-US"/>
              </w:rPr>
              <w:t>± 208*** (4)</w:t>
            </w:r>
          </w:p>
        </w:tc>
        <w:tc>
          <w:tcPr>
            <w:tcW w:w="1709" w:type="dxa"/>
            <w:tcBorders>
              <w:top w:val="single" w:sz="4" w:space="0" w:color="auto"/>
              <w:left w:val="single" w:sz="4" w:space="0" w:color="auto"/>
              <w:bottom w:val="single" w:sz="4" w:space="0" w:color="auto"/>
              <w:right w:val="single" w:sz="4" w:space="0" w:color="auto"/>
            </w:tcBorders>
            <w:vAlign w:val="center"/>
          </w:tcPr>
          <w:p w14:paraId="3FE8520A" w14:textId="3FEB36B7" w:rsidR="00616BC4" w:rsidRPr="00D711DD" w:rsidRDefault="00616BC4" w:rsidP="00647943">
            <w:pPr>
              <w:widowControl/>
              <w:jc w:val="right"/>
              <w:rPr>
                <w:color w:val="000000"/>
                <w:sz w:val="16"/>
                <w:lang w:val="en-US"/>
              </w:rPr>
            </w:pPr>
            <w:r w:rsidRPr="000B3C14">
              <w:rPr>
                <w:color w:val="000000"/>
                <w:sz w:val="16"/>
                <w:lang w:val="en-US"/>
              </w:rPr>
              <w:t>663</w:t>
            </w:r>
            <w:r w:rsidR="00DF2382">
              <w:rPr>
                <w:rFonts w:cs="Arial"/>
                <w:color w:val="000000"/>
                <w:sz w:val="16"/>
                <w:szCs w:val="18"/>
                <w:lang w:val="en-US" w:bidi="ar-SA"/>
              </w:rPr>
              <w:t xml:space="preserve"> </w:t>
            </w:r>
            <w:r w:rsidRPr="00D711DD">
              <w:rPr>
                <w:color w:val="000000"/>
                <w:sz w:val="16"/>
                <w:lang w:val="en-US"/>
              </w:rPr>
              <w:t>± 185*** (6)</w:t>
            </w:r>
          </w:p>
        </w:tc>
        <w:tc>
          <w:tcPr>
            <w:tcW w:w="1708" w:type="dxa"/>
            <w:tcBorders>
              <w:top w:val="single" w:sz="4" w:space="0" w:color="auto"/>
              <w:left w:val="single" w:sz="4" w:space="0" w:color="auto"/>
              <w:bottom w:val="single" w:sz="4" w:space="0" w:color="auto"/>
              <w:right w:val="single" w:sz="4" w:space="0" w:color="auto"/>
            </w:tcBorders>
            <w:vAlign w:val="center"/>
          </w:tcPr>
          <w:p w14:paraId="6D2AD0E8" w14:textId="1712DB49" w:rsidR="00616BC4" w:rsidRPr="00D711DD" w:rsidRDefault="00616BC4" w:rsidP="00647943">
            <w:pPr>
              <w:widowControl/>
              <w:jc w:val="right"/>
              <w:rPr>
                <w:color w:val="000000"/>
                <w:sz w:val="16"/>
                <w:lang w:val="en-US"/>
              </w:rPr>
            </w:pPr>
            <w:r w:rsidRPr="000B3C14">
              <w:rPr>
                <w:color w:val="000000"/>
                <w:sz w:val="16"/>
                <w:lang w:val="en-US"/>
              </w:rPr>
              <w:t>176</w:t>
            </w:r>
            <w:r w:rsidR="00DF2382">
              <w:rPr>
                <w:rFonts w:cs="Arial"/>
                <w:color w:val="000000"/>
                <w:sz w:val="16"/>
                <w:szCs w:val="18"/>
                <w:lang w:val="en-US" w:bidi="ar-SA"/>
              </w:rPr>
              <w:t xml:space="preserve"> </w:t>
            </w:r>
            <w:r w:rsidRPr="00D711DD">
              <w:rPr>
                <w:color w:val="000000"/>
                <w:sz w:val="16"/>
                <w:lang w:val="en-US"/>
              </w:rPr>
              <w:t>± 85 (2)</w:t>
            </w:r>
          </w:p>
        </w:tc>
        <w:tc>
          <w:tcPr>
            <w:tcW w:w="1709" w:type="dxa"/>
            <w:tcBorders>
              <w:top w:val="single" w:sz="4" w:space="0" w:color="auto"/>
              <w:left w:val="single" w:sz="4" w:space="0" w:color="auto"/>
              <w:bottom w:val="single" w:sz="4" w:space="0" w:color="auto"/>
              <w:right w:val="single" w:sz="4" w:space="0" w:color="auto"/>
            </w:tcBorders>
            <w:vAlign w:val="center"/>
          </w:tcPr>
          <w:p w14:paraId="1382B906" w14:textId="7EECCD35" w:rsidR="00616BC4" w:rsidRPr="00D711DD" w:rsidRDefault="00616BC4" w:rsidP="00647943">
            <w:pPr>
              <w:widowControl/>
              <w:jc w:val="right"/>
              <w:rPr>
                <w:color w:val="000000"/>
                <w:sz w:val="16"/>
                <w:lang w:val="en-US"/>
              </w:rPr>
            </w:pPr>
            <w:r w:rsidRPr="000B3C14">
              <w:rPr>
                <w:color w:val="000000"/>
                <w:sz w:val="16"/>
                <w:lang w:val="en-US"/>
              </w:rPr>
              <w:t>71</w:t>
            </w:r>
            <w:r w:rsidR="00DF2382">
              <w:rPr>
                <w:rFonts w:cs="Arial"/>
                <w:color w:val="000000"/>
                <w:sz w:val="16"/>
                <w:szCs w:val="18"/>
                <w:lang w:val="en-US" w:bidi="ar-SA"/>
              </w:rPr>
              <w:t xml:space="preserve"> </w:t>
            </w:r>
            <w:r w:rsidRPr="00D711DD">
              <w:rPr>
                <w:color w:val="000000"/>
                <w:sz w:val="16"/>
                <w:lang w:val="en-US"/>
              </w:rPr>
              <w:t>± 8* (2)</w:t>
            </w:r>
          </w:p>
        </w:tc>
      </w:tr>
      <w:tr w:rsidR="00616BC4" w:rsidRPr="008A03FB" w14:paraId="01903105" w14:textId="77777777" w:rsidTr="00F6284E">
        <w:trPr>
          <w:trHeight w:val="300"/>
          <w:jc w:val="center"/>
        </w:trPr>
        <w:tc>
          <w:tcPr>
            <w:tcW w:w="1949" w:type="dxa"/>
            <w:tcBorders>
              <w:top w:val="single" w:sz="4" w:space="0" w:color="auto"/>
              <w:left w:val="single" w:sz="4" w:space="0" w:color="auto"/>
              <w:bottom w:val="single" w:sz="4" w:space="0" w:color="auto"/>
              <w:right w:val="single" w:sz="4" w:space="0" w:color="auto"/>
            </w:tcBorders>
            <w:noWrap/>
            <w:vAlign w:val="center"/>
          </w:tcPr>
          <w:p w14:paraId="4EF0B59C" w14:textId="77777777" w:rsidR="00616BC4" w:rsidRPr="00D711DD" w:rsidRDefault="00616BC4" w:rsidP="00A111E9">
            <w:pPr>
              <w:widowControl/>
              <w:rPr>
                <w:color w:val="000000"/>
                <w:sz w:val="18"/>
                <w:lang w:val="en-US"/>
              </w:rPr>
            </w:pPr>
            <w:r w:rsidRPr="00D711DD">
              <w:rPr>
                <w:color w:val="000000"/>
                <w:sz w:val="18"/>
                <w:lang w:val="en-US"/>
              </w:rPr>
              <w:t>3.0 mg/kg</w:t>
            </w:r>
          </w:p>
        </w:tc>
        <w:tc>
          <w:tcPr>
            <w:tcW w:w="1708" w:type="dxa"/>
            <w:tcBorders>
              <w:top w:val="single" w:sz="4" w:space="0" w:color="auto"/>
              <w:left w:val="single" w:sz="4" w:space="0" w:color="auto"/>
              <w:bottom w:val="single" w:sz="4" w:space="0" w:color="auto"/>
              <w:right w:val="single" w:sz="4" w:space="0" w:color="auto"/>
            </w:tcBorders>
            <w:vAlign w:val="center"/>
          </w:tcPr>
          <w:p w14:paraId="12065377" w14:textId="18B84617" w:rsidR="00616BC4" w:rsidRPr="00D711DD" w:rsidRDefault="00616BC4" w:rsidP="00647943">
            <w:pPr>
              <w:widowControl/>
              <w:jc w:val="right"/>
              <w:rPr>
                <w:color w:val="000000"/>
                <w:sz w:val="16"/>
                <w:lang w:val="en-US"/>
              </w:rPr>
            </w:pPr>
            <w:r w:rsidRPr="000B3C14">
              <w:rPr>
                <w:color w:val="000000"/>
                <w:sz w:val="16"/>
                <w:lang w:val="en-US"/>
              </w:rPr>
              <w:t>20</w:t>
            </w:r>
            <w:r w:rsidR="00CC26CA">
              <w:rPr>
                <w:color w:val="000000"/>
                <w:sz w:val="16"/>
                <w:lang w:val="en-US"/>
              </w:rPr>
              <w:t> 700</w:t>
            </w:r>
            <w:r w:rsidR="00DF2382">
              <w:rPr>
                <w:rFonts w:cs="Arial"/>
                <w:color w:val="000000"/>
                <w:sz w:val="16"/>
                <w:szCs w:val="18"/>
                <w:lang w:val="en-US" w:bidi="ar-SA"/>
              </w:rPr>
              <w:t xml:space="preserve"> </w:t>
            </w:r>
            <w:r w:rsidRPr="00D711DD">
              <w:rPr>
                <w:color w:val="000000"/>
                <w:sz w:val="16"/>
                <w:lang w:val="en-US"/>
              </w:rPr>
              <w:t>± 3900*** (2)</w:t>
            </w:r>
          </w:p>
        </w:tc>
        <w:tc>
          <w:tcPr>
            <w:tcW w:w="1708" w:type="dxa"/>
            <w:tcBorders>
              <w:top w:val="single" w:sz="4" w:space="0" w:color="auto"/>
              <w:left w:val="single" w:sz="4" w:space="0" w:color="auto"/>
              <w:bottom w:val="single" w:sz="4" w:space="0" w:color="auto"/>
              <w:right w:val="single" w:sz="4" w:space="0" w:color="auto"/>
            </w:tcBorders>
            <w:vAlign w:val="center"/>
          </w:tcPr>
          <w:p w14:paraId="3E42D231" w14:textId="7065ABF5" w:rsidR="00616BC4" w:rsidRPr="000B3C14" w:rsidRDefault="00616BC4" w:rsidP="00647943">
            <w:pPr>
              <w:widowControl/>
              <w:jc w:val="right"/>
              <w:rPr>
                <w:color w:val="000000"/>
                <w:sz w:val="16"/>
                <w:lang w:val="en-US"/>
              </w:rPr>
            </w:pPr>
            <w:r w:rsidRPr="000B3C14">
              <w:rPr>
                <w:color w:val="000000"/>
                <w:sz w:val="16"/>
                <w:lang w:val="en-US"/>
              </w:rPr>
              <w:t>26</w:t>
            </w:r>
            <w:r w:rsidR="00CC26CA">
              <w:rPr>
                <w:color w:val="000000"/>
                <w:sz w:val="16"/>
                <w:lang w:val="en-US"/>
              </w:rPr>
              <w:t> 525</w:t>
            </w:r>
            <w:r w:rsidRPr="000B3C14">
              <w:rPr>
                <w:color w:val="000000"/>
                <w:sz w:val="16"/>
                <w:lang w:val="en-US"/>
              </w:rPr>
              <w:t>± 244</w:t>
            </w:r>
            <w:bookmarkStart w:id="282" w:name="_GoBack"/>
            <w:bookmarkEnd w:id="282"/>
            <w:r w:rsidRPr="000B3C14">
              <w:rPr>
                <w:color w:val="000000"/>
                <w:sz w:val="16"/>
                <w:lang w:val="en-US"/>
              </w:rPr>
              <w:t>6*** (4)</w:t>
            </w:r>
          </w:p>
        </w:tc>
        <w:tc>
          <w:tcPr>
            <w:tcW w:w="1709" w:type="dxa"/>
            <w:tcBorders>
              <w:top w:val="single" w:sz="4" w:space="0" w:color="auto"/>
              <w:left w:val="single" w:sz="4" w:space="0" w:color="auto"/>
              <w:bottom w:val="single" w:sz="4" w:space="0" w:color="auto"/>
              <w:right w:val="single" w:sz="4" w:space="0" w:color="auto"/>
            </w:tcBorders>
            <w:vAlign w:val="center"/>
          </w:tcPr>
          <w:p w14:paraId="55593EB9" w14:textId="092FF057" w:rsidR="00616BC4" w:rsidRPr="00D711DD" w:rsidRDefault="00616BC4" w:rsidP="00647943">
            <w:pPr>
              <w:widowControl/>
              <w:jc w:val="right"/>
              <w:rPr>
                <w:color w:val="000000"/>
                <w:sz w:val="16"/>
                <w:lang w:val="en-US"/>
              </w:rPr>
            </w:pPr>
            <w:r w:rsidRPr="000B3C14">
              <w:rPr>
                <w:color w:val="000000"/>
                <w:sz w:val="16"/>
                <w:lang w:val="en-US"/>
              </w:rPr>
              <w:t>8343</w:t>
            </w:r>
            <w:r w:rsidR="00DF2382">
              <w:rPr>
                <w:rFonts w:cs="Arial"/>
                <w:color w:val="000000"/>
                <w:sz w:val="16"/>
                <w:szCs w:val="18"/>
                <w:lang w:val="en-US" w:bidi="ar-SA"/>
              </w:rPr>
              <w:t xml:space="preserve"> </w:t>
            </w:r>
            <w:r w:rsidRPr="00D711DD">
              <w:rPr>
                <w:color w:val="000000"/>
                <w:sz w:val="16"/>
                <w:lang w:val="en-US"/>
              </w:rPr>
              <w:t>± 1078*** (3)</w:t>
            </w:r>
          </w:p>
        </w:tc>
        <w:tc>
          <w:tcPr>
            <w:tcW w:w="1708" w:type="dxa"/>
            <w:tcBorders>
              <w:top w:val="single" w:sz="4" w:space="0" w:color="auto"/>
              <w:left w:val="single" w:sz="4" w:space="0" w:color="auto"/>
              <w:bottom w:val="single" w:sz="4" w:space="0" w:color="auto"/>
              <w:right w:val="single" w:sz="4" w:space="0" w:color="auto"/>
            </w:tcBorders>
            <w:vAlign w:val="center"/>
          </w:tcPr>
          <w:p w14:paraId="2A6C6561" w14:textId="180D6FD0" w:rsidR="00616BC4" w:rsidRPr="000B3C14" w:rsidRDefault="00616BC4" w:rsidP="00647943">
            <w:pPr>
              <w:widowControl/>
              <w:jc w:val="right"/>
              <w:rPr>
                <w:color w:val="000000"/>
                <w:sz w:val="16"/>
                <w:lang w:val="en-US"/>
              </w:rPr>
            </w:pPr>
            <w:r w:rsidRPr="000B3C14">
              <w:rPr>
                <w:color w:val="000000"/>
                <w:sz w:val="16"/>
                <w:lang w:val="en-US"/>
              </w:rPr>
              <w:t>4883</w:t>
            </w:r>
            <w:r w:rsidR="00DF2382">
              <w:rPr>
                <w:rFonts w:cs="Arial"/>
                <w:color w:val="000000"/>
                <w:sz w:val="16"/>
                <w:szCs w:val="18"/>
                <w:lang w:val="en-US" w:bidi="ar-SA"/>
              </w:rPr>
              <w:t xml:space="preserve"> </w:t>
            </w:r>
            <w:r w:rsidRPr="00D711DD">
              <w:rPr>
                <w:color w:val="000000"/>
                <w:sz w:val="16"/>
                <w:lang w:val="en-US"/>
              </w:rPr>
              <w:t>± 1378*** (6</w:t>
            </w:r>
            <w:r w:rsidRPr="000B3C14">
              <w:rPr>
                <w:color w:val="000000"/>
                <w:sz w:val="16"/>
                <w:lang w:val="en-US"/>
              </w:rPr>
              <w:t>)</w:t>
            </w:r>
          </w:p>
        </w:tc>
        <w:tc>
          <w:tcPr>
            <w:tcW w:w="1709" w:type="dxa"/>
            <w:tcBorders>
              <w:top w:val="single" w:sz="4" w:space="0" w:color="auto"/>
              <w:left w:val="single" w:sz="4" w:space="0" w:color="auto"/>
              <w:bottom w:val="single" w:sz="4" w:space="0" w:color="auto"/>
              <w:right w:val="single" w:sz="4" w:space="0" w:color="auto"/>
            </w:tcBorders>
            <w:vAlign w:val="center"/>
          </w:tcPr>
          <w:p w14:paraId="35C5B069" w14:textId="6FF023C2" w:rsidR="00616BC4" w:rsidRPr="00D711DD" w:rsidRDefault="00616BC4" w:rsidP="00647943">
            <w:pPr>
              <w:widowControl/>
              <w:jc w:val="right"/>
              <w:rPr>
                <w:color w:val="000000"/>
                <w:sz w:val="16"/>
                <w:lang w:val="en-US"/>
              </w:rPr>
            </w:pPr>
            <w:r w:rsidRPr="000B3C14">
              <w:rPr>
                <w:color w:val="000000"/>
                <w:sz w:val="16"/>
                <w:lang w:val="en-US"/>
              </w:rPr>
              <w:t>2058</w:t>
            </w:r>
            <w:r w:rsidR="00DF2382">
              <w:rPr>
                <w:rFonts w:cs="Arial"/>
                <w:color w:val="000000"/>
                <w:sz w:val="16"/>
                <w:szCs w:val="18"/>
                <w:lang w:val="en-US" w:bidi="ar-SA"/>
              </w:rPr>
              <w:t xml:space="preserve"> </w:t>
            </w:r>
            <w:r w:rsidRPr="00D711DD">
              <w:rPr>
                <w:color w:val="000000"/>
                <w:sz w:val="16"/>
                <w:lang w:val="en-US"/>
              </w:rPr>
              <w:t>± 348*** (4)</w:t>
            </w:r>
          </w:p>
        </w:tc>
        <w:tc>
          <w:tcPr>
            <w:tcW w:w="1708" w:type="dxa"/>
            <w:tcBorders>
              <w:top w:val="single" w:sz="4" w:space="0" w:color="auto"/>
              <w:left w:val="single" w:sz="4" w:space="0" w:color="auto"/>
              <w:bottom w:val="single" w:sz="4" w:space="0" w:color="auto"/>
              <w:right w:val="single" w:sz="4" w:space="0" w:color="auto"/>
            </w:tcBorders>
            <w:vAlign w:val="center"/>
          </w:tcPr>
          <w:p w14:paraId="7C0D8EBF" w14:textId="77777777" w:rsidR="00616BC4" w:rsidRPr="000B3C14" w:rsidRDefault="00616BC4" w:rsidP="00647943">
            <w:pPr>
              <w:widowControl/>
              <w:jc w:val="right"/>
              <w:rPr>
                <w:color w:val="000000"/>
                <w:sz w:val="16"/>
                <w:lang w:val="en-US"/>
              </w:rPr>
            </w:pPr>
            <w:r w:rsidRPr="000B3C14">
              <w:rPr>
                <w:color w:val="000000"/>
                <w:sz w:val="16"/>
                <w:lang w:val="en-US"/>
              </w:rPr>
              <w:t>-</w:t>
            </w:r>
          </w:p>
        </w:tc>
        <w:tc>
          <w:tcPr>
            <w:tcW w:w="1709" w:type="dxa"/>
            <w:tcBorders>
              <w:top w:val="single" w:sz="4" w:space="0" w:color="auto"/>
              <w:left w:val="single" w:sz="4" w:space="0" w:color="auto"/>
              <w:bottom w:val="single" w:sz="4" w:space="0" w:color="auto"/>
              <w:right w:val="single" w:sz="4" w:space="0" w:color="auto"/>
            </w:tcBorders>
            <w:vAlign w:val="center"/>
          </w:tcPr>
          <w:p w14:paraId="2F2A3717" w14:textId="77777777" w:rsidR="00616BC4" w:rsidRPr="000B3C14" w:rsidRDefault="00616BC4" w:rsidP="00647943">
            <w:pPr>
              <w:widowControl/>
              <w:jc w:val="right"/>
              <w:rPr>
                <w:color w:val="000000"/>
                <w:sz w:val="16"/>
                <w:lang w:val="en-US"/>
              </w:rPr>
            </w:pPr>
            <w:r w:rsidRPr="000B3C14">
              <w:rPr>
                <w:color w:val="000000"/>
                <w:sz w:val="16"/>
                <w:lang w:val="en-US"/>
              </w:rPr>
              <w:t>125* (1)</w:t>
            </w:r>
          </w:p>
        </w:tc>
      </w:tr>
      <w:tr w:rsidR="00616BC4" w:rsidRPr="008A03FB" w14:paraId="73C94CF3" w14:textId="77777777" w:rsidTr="00F6284E">
        <w:trPr>
          <w:trHeight w:val="300"/>
          <w:jc w:val="center"/>
        </w:trPr>
        <w:tc>
          <w:tcPr>
            <w:tcW w:w="13908" w:type="dxa"/>
            <w:gridSpan w:val="8"/>
            <w:tcBorders>
              <w:top w:val="single" w:sz="4" w:space="0" w:color="auto"/>
              <w:left w:val="single" w:sz="4" w:space="0" w:color="auto"/>
              <w:bottom w:val="single" w:sz="4" w:space="0" w:color="auto"/>
              <w:right w:val="single" w:sz="4" w:space="0" w:color="auto"/>
            </w:tcBorders>
            <w:noWrap/>
            <w:vAlign w:val="center"/>
          </w:tcPr>
          <w:p w14:paraId="0232D95C" w14:textId="43BA1FF6" w:rsidR="00616BC4" w:rsidRPr="000B3C14" w:rsidRDefault="00F6332B" w:rsidP="00647943">
            <w:pPr>
              <w:widowControl/>
              <w:rPr>
                <w:color w:val="000000"/>
                <w:sz w:val="18"/>
                <w:lang w:val="en-US"/>
              </w:rPr>
            </w:pPr>
            <w:r w:rsidRPr="00D711DD">
              <w:rPr>
                <w:i/>
                <w:color w:val="000000"/>
                <w:sz w:val="18"/>
                <w:lang w:val="en-US"/>
              </w:rPr>
              <w:t>Calculated Blood Burden (ng)</w:t>
            </w:r>
          </w:p>
        </w:tc>
      </w:tr>
      <w:tr w:rsidR="00616BC4" w:rsidRPr="008A03FB" w14:paraId="72EF24D2" w14:textId="77777777" w:rsidTr="00F6284E">
        <w:trPr>
          <w:trHeight w:val="300"/>
          <w:jc w:val="center"/>
        </w:trPr>
        <w:tc>
          <w:tcPr>
            <w:tcW w:w="1949" w:type="dxa"/>
            <w:tcBorders>
              <w:top w:val="single" w:sz="4" w:space="0" w:color="auto"/>
              <w:left w:val="single" w:sz="4" w:space="0" w:color="auto"/>
              <w:bottom w:val="single" w:sz="4" w:space="0" w:color="auto"/>
              <w:right w:val="single" w:sz="4" w:space="0" w:color="auto"/>
            </w:tcBorders>
            <w:noWrap/>
            <w:vAlign w:val="center"/>
          </w:tcPr>
          <w:p w14:paraId="0C99FEC5" w14:textId="77777777" w:rsidR="00616BC4" w:rsidRPr="00D711DD" w:rsidRDefault="00616BC4" w:rsidP="00A111E9">
            <w:pPr>
              <w:widowControl/>
              <w:rPr>
                <w:color w:val="000000"/>
                <w:sz w:val="18"/>
                <w:lang w:val="en-US"/>
              </w:rPr>
            </w:pPr>
            <w:r w:rsidRPr="00D711DD">
              <w:rPr>
                <w:color w:val="000000"/>
                <w:sz w:val="18"/>
                <w:lang w:val="en-US"/>
              </w:rPr>
              <w:t>Control</w:t>
            </w:r>
          </w:p>
        </w:tc>
        <w:tc>
          <w:tcPr>
            <w:tcW w:w="1708" w:type="dxa"/>
            <w:tcBorders>
              <w:top w:val="single" w:sz="4" w:space="0" w:color="auto"/>
              <w:left w:val="single" w:sz="4" w:space="0" w:color="auto"/>
              <w:bottom w:val="single" w:sz="4" w:space="0" w:color="auto"/>
              <w:right w:val="single" w:sz="4" w:space="0" w:color="auto"/>
            </w:tcBorders>
            <w:vAlign w:val="center"/>
          </w:tcPr>
          <w:p w14:paraId="536C7023" w14:textId="0782BA69" w:rsidR="00616BC4" w:rsidRPr="00D711DD" w:rsidRDefault="00616BC4" w:rsidP="00647943">
            <w:pPr>
              <w:widowControl/>
              <w:jc w:val="right"/>
              <w:rPr>
                <w:color w:val="000000"/>
                <w:sz w:val="16"/>
                <w:lang w:val="en-US"/>
              </w:rPr>
            </w:pPr>
            <w:r w:rsidRPr="000B3C14">
              <w:rPr>
                <w:color w:val="000000"/>
                <w:sz w:val="16"/>
                <w:lang w:val="en-US"/>
              </w:rPr>
              <w:t>0.3</w:t>
            </w:r>
            <w:r w:rsidR="00DF2382">
              <w:rPr>
                <w:rFonts w:cs="Arial"/>
                <w:color w:val="000000"/>
                <w:sz w:val="16"/>
                <w:szCs w:val="18"/>
                <w:lang w:val="en-US" w:bidi="ar-SA"/>
              </w:rPr>
              <w:t xml:space="preserve"> </w:t>
            </w:r>
            <w:r w:rsidRPr="00D711DD">
              <w:rPr>
                <w:color w:val="000000"/>
                <w:sz w:val="16"/>
                <w:lang w:val="en-US"/>
              </w:rPr>
              <w:t>± 0.2 (5)</w:t>
            </w:r>
          </w:p>
        </w:tc>
        <w:tc>
          <w:tcPr>
            <w:tcW w:w="1708" w:type="dxa"/>
            <w:tcBorders>
              <w:top w:val="single" w:sz="4" w:space="0" w:color="auto"/>
              <w:left w:val="single" w:sz="4" w:space="0" w:color="auto"/>
              <w:bottom w:val="single" w:sz="4" w:space="0" w:color="auto"/>
              <w:right w:val="single" w:sz="4" w:space="0" w:color="auto"/>
            </w:tcBorders>
            <w:vAlign w:val="center"/>
          </w:tcPr>
          <w:p w14:paraId="3E104D28" w14:textId="3D3610E8" w:rsidR="00616BC4" w:rsidRPr="00D711DD" w:rsidRDefault="00616BC4" w:rsidP="00647943">
            <w:pPr>
              <w:widowControl/>
              <w:jc w:val="right"/>
              <w:rPr>
                <w:color w:val="000000"/>
                <w:sz w:val="16"/>
                <w:lang w:val="en-US"/>
              </w:rPr>
            </w:pPr>
            <w:r w:rsidRPr="000B3C14">
              <w:rPr>
                <w:color w:val="000000"/>
                <w:sz w:val="16"/>
                <w:lang w:val="en-US"/>
              </w:rPr>
              <w:t>0.5</w:t>
            </w:r>
            <w:r w:rsidR="00DF2382">
              <w:rPr>
                <w:rFonts w:cs="Arial"/>
                <w:color w:val="000000"/>
                <w:sz w:val="16"/>
                <w:szCs w:val="18"/>
                <w:lang w:val="en-US" w:bidi="ar-SA"/>
              </w:rPr>
              <w:t xml:space="preserve"> </w:t>
            </w:r>
            <w:r w:rsidRPr="00D711DD">
              <w:rPr>
                <w:color w:val="000000"/>
                <w:sz w:val="16"/>
                <w:lang w:val="en-US"/>
              </w:rPr>
              <w:t>± 0.5 (4)</w:t>
            </w:r>
          </w:p>
        </w:tc>
        <w:tc>
          <w:tcPr>
            <w:tcW w:w="1709" w:type="dxa"/>
            <w:tcBorders>
              <w:top w:val="single" w:sz="4" w:space="0" w:color="auto"/>
              <w:left w:val="single" w:sz="4" w:space="0" w:color="auto"/>
              <w:bottom w:val="single" w:sz="4" w:space="0" w:color="auto"/>
              <w:right w:val="single" w:sz="4" w:space="0" w:color="auto"/>
            </w:tcBorders>
            <w:vAlign w:val="center"/>
          </w:tcPr>
          <w:p w14:paraId="72EB5AB8" w14:textId="5E33680D" w:rsidR="00616BC4" w:rsidRPr="00D711DD" w:rsidRDefault="00616BC4" w:rsidP="00647943">
            <w:pPr>
              <w:widowControl/>
              <w:jc w:val="right"/>
              <w:rPr>
                <w:color w:val="000000"/>
                <w:sz w:val="16"/>
                <w:lang w:val="en-US"/>
              </w:rPr>
            </w:pPr>
            <w:r w:rsidRPr="000B3C14">
              <w:rPr>
                <w:color w:val="000000"/>
                <w:sz w:val="16"/>
                <w:lang w:val="en-US"/>
              </w:rPr>
              <w:t>1.0</w:t>
            </w:r>
            <w:r w:rsidR="00DF2382">
              <w:rPr>
                <w:rFonts w:cs="Arial"/>
                <w:color w:val="000000"/>
                <w:sz w:val="16"/>
                <w:szCs w:val="18"/>
                <w:lang w:val="en-US" w:bidi="ar-SA"/>
              </w:rPr>
              <w:t xml:space="preserve"> </w:t>
            </w:r>
            <w:r w:rsidRPr="00D711DD">
              <w:rPr>
                <w:color w:val="000000"/>
                <w:sz w:val="16"/>
                <w:lang w:val="en-US"/>
              </w:rPr>
              <w:t>± 0.7 (6)</w:t>
            </w:r>
          </w:p>
        </w:tc>
        <w:tc>
          <w:tcPr>
            <w:tcW w:w="1708" w:type="dxa"/>
            <w:tcBorders>
              <w:top w:val="single" w:sz="4" w:space="0" w:color="auto"/>
              <w:left w:val="single" w:sz="4" w:space="0" w:color="auto"/>
              <w:bottom w:val="single" w:sz="4" w:space="0" w:color="auto"/>
              <w:right w:val="single" w:sz="4" w:space="0" w:color="auto"/>
            </w:tcBorders>
            <w:vAlign w:val="center"/>
          </w:tcPr>
          <w:p w14:paraId="1FF0D982" w14:textId="752B9768" w:rsidR="00616BC4" w:rsidRPr="00D711DD" w:rsidRDefault="00616BC4" w:rsidP="00647943">
            <w:pPr>
              <w:widowControl/>
              <w:jc w:val="right"/>
              <w:rPr>
                <w:color w:val="000000"/>
                <w:sz w:val="16"/>
                <w:lang w:val="en-US"/>
              </w:rPr>
            </w:pPr>
            <w:r w:rsidRPr="000B3C14">
              <w:rPr>
                <w:color w:val="000000"/>
                <w:sz w:val="16"/>
                <w:lang w:val="en-US"/>
              </w:rPr>
              <w:t>1.7</w:t>
            </w:r>
            <w:r w:rsidR="00DF2382">
              <w:rPr>
                <w:rFonts w:cs="Arial"/>
                <w:color w:val="000000"/>
                <w:sz w:val="16"/>
                <w:szCs w:val="18"/>
                <w:lang w:val="en-US" w:bidi="ar-SA"/>
              </w:rPr>
              <w:t xml:space="preserve"> </w:t>
            </w:r>
            <w:r w:rsidRPr="00D711DD">
              <w:rPr>
                <w:color w:val="000000"/>
                <w:sz w:val="16"/>
                <w:lang w:val="en-US"/>
              </w:rPr>
              <w:t>± 1.7 (3)</w:t>
            </w:r>
          </w:p>
        </w:tc>
        <w:tc>
          <w:tcPr>
            <w:tcW w:w="1709" w:type="dxa"/>
            <w:tcBorders>
              <w:top w:val="single" w:sz="4" w:space="0" w:color="auto"/>
              <w:left w:val="single" w:sz="4" w:space="0" w:color="auto"/>
              <w:bottom w:val="single" w:sz="4" w:space="0" w:color="auto"/>
              <w:right w:val="single" w:sz="4" w:space="0" w:color="auto"/>
            </w:tcBorders>
            <w:vAlign w:val="center"/>
          </w:tcPr>
          <w:p w14:paraId="0BF2946A" w14:textId="245C6512" w:rsidR="00616BC4" w:rsidRPr="00D711DD" w:rsidRDefault="00616BC4" w:rsidP="00647943">
            <w:pPr>
              <w:widowControl/>
              <w:jc w:val="right"/>
              <w:rPr>
                <w:color w:val="000000"/>
                <w:sz w:val="16"/>
                <w:lang w:val="en-US"/>
              </w:rPr>
            </w:pPr>
            <w:r w:rsidRPr="000B3C14">
              <w:rPr>
                <w:color w:val="000000"/>
                <w:sz w:val="16"/>
                <w:lang w:val="en-US"/>
              </w:rPr>
              <w:t>1.5</w:t>
            </w:r>
            <w:r w:rsidR="00DF2382">
              <w:rPr>
                <w:rFonts w:cs="Arial"/>
                <w:color w:val="000000"/>
                <w:sz w:val="16"/>
                <w:szCs w:val="18"/>
                <w:lang w:val="en-US" w:bidi="ar-SA"/>
              </w:rPr>
              <w:t xml:space="preserve"> </w:t>
            </w:r>
            <w:r w:rsidRPr="00D711DD">
              <w:rPr>
                <w:color w:val="000000"/>
                <w:sz w:val="16"/>
                <w:lang w:val="en-US"/>
              </w:rPr>
              <w:t>± 1.5 (4)</w:t>
            </w:r>
          </w:p>
        </w:tc>
        <w:tc>
          <w:tcPr>
            <w:tcW w:w="1708" w:type="dxa"/>
            <w:tcBorders>
              <w:top w:val="single" w:sz="4" w:space="0" w:color="auto"/>
              <w:left w:val="single" w:sz="4" w:space="0" w:color="auto"/>
              <w:bottom w:val="single" w:sz="4" w:space="0" w:color="auto"/>
              <w:right w:val="single" w:sz="4" w:space="0" w:color="auto"/>
            </w:tcBorders>
            <w:vAlign w:val="center"/>
          </w:tcPr>
          <w:p w14:paraId="74345CAE" w14:textId="77777777" w:rsidR="00616BC4" w:rsidRPr="000B3C14" w:rsidRDefault="00616BC4" w:rsidP="00647943">
            <w:pPr>
              <w:widowControl/>
              <w:jc w:val="right"/>
              <w:rPr>
                <w:color w:val="000000"/>
                <w:sz w:val="16"/>
                <w:lang w:val="en-US"/>
              </w:rPr>
            </w:pPr>
            <w:r w:rsidRPr="000B3C14">
              <w:rPr>
                <w:color w:val="000000"/>
                <w:sz w:val="16"/>
                <w:lang w:val="en-US"/>
              </w:rPr>
              <w:t>-</w:t>
            </w:r>
          </w:p>
        </w:tc>
        <w:tc>
          <w:tcPr>
            <w:tcW w:w="1709" w:type="dxa"/>
            <w:tcBorders>
              <w:top w:val="single" w:sz="4" w:space="0" w:color="auto"/>
              <w:left w:val="single" w:sz="4" w:space="0" w:color="auto"/>
              <w:bottom w:val="single" w:sz="4" w:space="0" w:color="auto"/>
              <w:right w:val="single" w:sz="4" w:space="0" w:color="auto"/>
            </w:tcBorders>
            <w:vAlign w:val="center"/>
          </w:tcPr>
          <w:p w14:paraId="4A4923CC" w14:textId="079E39C9" w:rsidR="00616BC4" w:rsidRPr="00D711DD" w:rsidRDefault="00616BC4" w:rsidP="00647943">
            <w:pPr>
              <w:widowControl/>
              <w:jc w:val="right"/>
              <w:rPr>
                <w:color w:val="000000"/>
                <w:sz w:val="16"/>
                <w:lang w:val="en-US"/>
              </w:rPr>
            </w:pPr>
            <w:r w:rsidRPr="000B3C14">
              <w:rPr>
                <w:color w:val="000000"/>
                <w:sz w:val="16"/>
                <w:lang w:val="en-US"/>
              </w:rPr>
              <w:t>0.0</w:t>
            </w:r>
            <w:r w:rsidR="00DF2382">
              <w:rPr>
                <w:rFonts w:cs="Arial"/>
                <w:color w:val="000000"/>
                <w:sz w:val="16"/>
                <w:szCs w:val="18"/>
                <w:lang w:val="en-US" w:bidi="ar-SA"/>
              </w:rPr>
              <w:t xml:space="preserve"> </w:t>
            </w:r>
            <w:r w:rsidRPr="00D711DD">
              <w:rPr>
                <w:color w:val="000000"/>
                <w:sz w:val="16"/>
                <w:lang w:val="en-US"/>
              </w:rPr>
              <w:t>± 0.0 (2)</w:t>
            </w:r>
          </w:p>
        </w:tc>
      </w:tr>
      <w:tr w:rsidR="00616BC4" w:rsidRPr="008A03FB" w14:paraId="0668C76F" w14:textId="77777777" w:rsidTr="00F6284E">
        <w:trPr>
          <w:trHeight w:val="300"/>
          <w:jc w:val="center"/>
        </w:trPr>
        <w:tc>
          <w:tcPr>
            <w:tcW w:w="1949" w:type="dxa"/>
            <w:tcBorders>
              <w:top w:val="single" w:sz="4" w:space="0" w:color="auto"/>
              <w:left w:val="single" w:sz="4" w:space="0" w:color="auto"/>
              <w:bottom w:val="single" w:sz="4" w:space="0" w:color="auto"/>
              <w:right w:val="single" w:sz="4" w:space="0" w:color="auto"/>
            </w:tcBorders>
            <w:noWrap/>
            <w:vAlign w:val="center"/>
          </w:tcPr>
          <w:p w14:paraId="5B6472B7" w14:textId="77777777" w:rsidR="00616BC4" w:rsidRPr="00D711DD" w:rsidRDefault="00616BC4" w:rsidP="00A111E9">
            <w:pPr>
              <w:widowControl/>
              <w:rPr>
                <w:color w:val="000000"/>
                <w:sz w:val="18"/>
                <w:lang w:val="en-US"/>
              </w:rPr>
            </w:pPr>
            <w:r w:rsidRPr="00D711DD">
              <w:rPr>
                <w:color w:val="000000"/>
                <w:sz w:val="18"/>
                <w:lang w:val="en-US"/>
              </w:rPr>
              <w:t>0.3 mg/kg</w:t>
            </w:r>
          </w:p>
        </w:tc>
        <w:tc>
          <w:tcPr>
            <w:tcW w:w="1708" w:type="dxa"/>
            <w:tcBorders>
              <w:top w:val="single" w:sz="4" w:space="0" w:color="auto"/>
              <w:left w:val="single" w:sz="4" w:space="0" w:color="auto"/>
              <w:bottom w:val="single" w:sz="4" w:space="0" w:color="auto"/>
              <w:right w:val="single" w:sz="4" w:space="0" w:color="auto"/>
            </w:tcBorders>
            <w:vAlign w:val="center"/>
          </w:tcPr>
          <w:p w14:paraId="6CE67749" w14:textId="06ABE922" w:rsidR="00616BC4" w:rsidRPr="00F6284E" w:rsidRDefault="00616BC4" w:rsidP="00647943">
            <w:pPr>
              <w:widowControl/>
              <w:jc w:val="right"/>
              <w:rPr>
                <w:color w:val="000000"/>
                <w:sz w:val="16"/>
                <w:lang w:val="en-US"/>
              </w:rPr>
            </w:pPr>
            <w:r w:rsidRPr="000B3C14">
              <w:rPr>
                <w:color w:val="000000"/>
                <w:sz w:val="16"/>
                <w:lang w:val="en-US"/>
              </w:rPr>
              <w:t>762</w:t>
            </w:r>
            <w:r w:rsidR="00DF2382" w:rsidRPr="000B3C14">
              <w:rPr>
                <w:color w:val="000000"/>
                <w:sz w:val="16"/>
                <w:lang w:val="en-US"/>
              </w:rPr>
              <w:t xml:space="preserve"> </w:t>
            </w:r>
            <w:r w:rsidRPr="00F6284E">
              <w:rPr>
                <w:color w:val="000000"/>
                <w:sz w:val="16"/>
                <w:lang w:val="en-US"/>
              </w:rPr>
              <w:t>± 32*** (4)</w:t>
            </w:r>
          </w:p>
        </w:tc>
        <w:tc>
          <w:tcPr>
            <w:tcW w:w="1708" w:type="dxa"/>
            <w:tcBorders>
              <w:top w:val="single" w:sz="4" w:space="0" w:color="auto"/>
              <w:left w:val="single" w:sz="4" w:space="0" w:color="auto"/>
              <w:bottom w:val="single" w:sz="4" w:space="0" w:color="auto"/>
              <w:right w:val="single" w:sz="4" w:space="0" w:color="auto"/>
            </w:tcBorders>
            <w:vAlign w:val="center"/>
          </w:tcPr>
          <w:p w14:paraId="6BDC9CE8" w14:textId="519DC3FD" w:rsidR="00616BC4" w:rsidRPr="00D711DD" w:rsidRDefault="00616BC4" w:rsidP="00647943">
            <w:pPr>
              <w:widowControl/>
              <w:jc w:val="right"/>
              <w:rPr>
                <w:color w:val="000000"/>
                <w:sz w:val="16"/>
                <w:lang w:val="en-US"/>
              </w:rPr>
            </w:pPr>
            <w:r w:rsidRPr="00D10449">
              <w:rPr>
                <w:color w:val="000000"/>
                <w:sz w:val="16"/>
                <w:lang w:val="en-US"/>
              </w:rPr>
              <w:t>116</w:t>
            </w:r>
            <w:r w:rsidR="00D97AE4">
              <w:rPr>
                <w:rFonts w:cs="Arial"/>
                <w:color w:val="000000"/>
                <w:sz w:val="16"/>
                <w:szCs w:val="18"/>
                <w:lang w:val="en-US" w:bidi="ar-SA"/>
              </w:rPr>
              <w:t>7</w:t>
            </w:r>
            <w:r>
              <w:rPr>
                <w:color w:val="000000"/>
                <w:sz w:val="16"/>
                <w:lang w:val="en-US"/>
              </w:rPr>
              <w:t xml:space="preserve"> </w:t>
            </w:r>
            <w:r w:rsidRPr="00D711DD">
              <w:rPr>
                <w:color w:val="000000"/>
                <w:sz w:val="16"/>
                <w:lang w:val="en-US"/>
              </w:rPr>
              <w:t>± 206</w:t>
            </w:r>
            <w:r w:rsidRPr="00D10449">
              <w:rPr>
                <w:color w:val="000000"/>
                <w:sz w:val="16"/>
                <w:lang w:val="en-US"/>
              </w:rPr>
              <w:t xml:space="preserve">*** </w:t>
            </w:r>
            <w:r w:rsidR="00D97AE4">
              <w:rPr>
                <w:rFonts w:cs="Arial"/>
                <w:color w:val="000000"/>
                <w:sz w:val="16"/>
                <w:szCs w:val="18"/>
                <w:lang w:val="en-US" w:bidi="ar-SA"/>
              </w:rPr>
              <w:t>(</w:t>
            </w:r>
            <w:r w:rsidRPr="00D711DD">
              <w:rPr>
                <w:color w:val="000000"/>
                <w:sz w:val="16"/>
                <w:lang w:val="en-US"/>
              </w:rPr>
              <w:t>6)</w:t>
            </w:r>
          </w:p>
        </w:tc>
        <w:tc>
          <w:tcPr>
            <w:tcW w:w="1709" w:type="dxa"/>
            <w:tcBorders>
              <w:top w:val="single" w:sz="4" w:space="0" w:color="auto"/>
              <w:left w:val="single" w:sz="4" w:space="0" w:color="auto"/>
              <w:bottom w:val="single" w:sz="4" w:space="0" w:color="auto"/>
              <w:right w:val="single" w:sz="4" w:space="0" w:color="auto"/>
            </w:tcBorders>
            <w:vAlign w:val="center"/>
          </w:tcPr>
          <w:p w14:paraId="030B9838" w14:textId="6ED1F89D" w:rsidR="00616BC4" w:rsidRPr="000B3C14" w:rsidRDefault="00616BC4" w:rsidP="00647943">
            <w:pPr>
              <w:widowControl/>
              <w:jc w:val="right"/>
              <w:rPr>
                <w:color w:val="000000"/>
                <w:sz w:val="16"/>
                <w:lang w:val="en-US"/>
              </w:rPr>
            </w:pPr>
            <w:r w:rsidRPr="000B3C14">
              <w:rPr>
                <w:color w:val="000000"/>
                <w:sz w:val="16"/>
                <w:lang w:val="en-US"/>
              </w:rPr>
              <w:t>412.3 ± 72.4*** (5)</w:t>
            </w:r>
          </w:p>
        </w:tc>
        <w:tc>
          <w:tcPr>
            <w:tcW w:w="1708" w:type="dxa"/>
            <w:tcBorders>
              <w:top w:val="single" w:sz="4" w:space="0" w:color="auto"/>
              <w:left w:val="single" w:sz="4" w:space="0" w:color="auto"/>
              <w:bottom w:val="single" w:sz="4" w:space="0" w:color="auto"/>
              <w:right w:val="single" w:sz="4" w:space="0" w:color="auto"/>
            </w:tcBorders>
            <w:vAlign w:val="center"/>
          </w:tcPr>
          <w:p w14:paraId="6D7B2981" w14:textId="55FDF509" w:rsidR="00616BC4" w:rsidRPr="00D711DD" w:rsidRDefault="00616BC4" w:rsidP="00647943">
            <w:pPr>
              <w:widowControl/>
              <w:jc w:val="right"/>
              <w:rPr>
                <w:color w:val="000000"/>
                <w:sz w:val="16"/>
                <w:lang w:val="en-US"/>
              </w:rPr>
            </w:pPr>
            <w:r w:rsidRPr="000B3C14">
              <w:rPr>
                <w:color w:val="000000"/>
                <w:sz w:val="16"/>
                <w:lang w:val="en-US"/>
              </w:rPr>
              <w:t>409.7</w:t>
            </w:r>
            <w:r>
              <w:rPr>
                <w:color w:val="000000"/>
                <w:sz w:val="16"/>
                <w:lang w:val="en-US"/>
              </w:rPr>
              <w:t xml:space="preserve"> </w:t>
            </w:r>
            <w:r w:rsidRPr="00D711DD">
              <w:rPr>
                <w:color w:val="000000"/>
                <w:sz w:val="16"/>
                <w:lang w:val="en-US"/>
              </w:rPr>
              <w:t>± 103.1*** (6)</w:t>
            </w:r>
          </w:p>
        </w:tc>
        <w:tc>
          <w:tcPr>
            <w:tcW w:w="1709" w:type="dxa"/>
            <w:tcBorders>
              <w:top w:val="single" w:sz="4" w:space="0" w:color="auto"/>
              <w:left w:val="single" w:sz="4" w:space="0" w:color="auto"/>
              <w:bottom w:val="single" w:sz="4" w:space="0" w:color="auto"/>
              <w:right w:val="single" w:sz="4" w:space="0" w:color="auto"/>
            </w:tcBorders>
            <w:vAlign w:val="center"/>
          </w:tcPr>
          <w:p w14:paraId="3C6FEF68" w14:textId="64EEDAA6" w:rsidR="00616BC4" w:rsidRPr="000B3C14" w:rsidRDefault="00616BC4" w:rsidP="00647943">
            <w:pPr>
              <w:widowControl/>
              <w:jc w:val="right"/>
              <w:rPr>
                <w:color w:val="000000"/>
                <w:sz w:val="16"/>
                <w:lang w:val="en-US"/>
              </w:rPr>
            </w:pPr>
            <w:r w:rsidRPr="000B3C14">
              <w:rPr>
                <w:color w:val="000000"/>
                <w:sz w:val="16"/>
                <w:lang w:val="en-US"/>
              </w:rPr>
              <w:t>306.7 ± 95.8* (6)</w:t>
            </w:r>
          </w:p>
        </w:tc>
        <w:tc>
          <w:tcPr>
            <w:tcW w:w="1708" w:type="dxa"/>
            <w:tcBorders>
              <w:top w:val="single" w:sz="4" w:space="0" w:color="auto"/>
              <w:left w:val="single" w:sz="4" w:space="0" w:color="auto"/>
              <w:bottom w:val="single" w:sz="4" w:space="0" w:color="auto"/>
              <w:right w:val="single" w:sz="4" w:space="0" w:color="auto"/>
            </w:tcBorders>
            <w:vAlign w:val="center"/>
          </w:tcPr>
          <w:p w14:paraId="13CA50A3" w14:textId="2CFE30CA" w:rsidR="00616BC4" w:rsidRPr="00F6284E" w:rsidRDefault="00616BC4" w:rsidP="00647943">
            <w:pPr>
              <w:widowControl/>
              <w:jc w:val="right"/>
              <w:rPr>
                <w:color w:val="000000"/>
                <w:sz w:val="16"/>
                <w:lang w:val="en-US"/>
              </w:rPr>
            </w:pPr>
            <w:r w:rsidRPr="00F6284E">
              <w:rPr>
                <w:color w:val="000000"/>
                <w:sz w:val="16"/>
                <w:lang w:val="en-US"/>
              </w:rPr>
              <w:t>46.8 ± 14.1 (3)</w:t>
            </w:r>
          </w:p>
        </w:tc>
        <w:tc>
          <w:tcPr>
            <w:tcW w:w="1709" w:type="dxa"/>
            <w:tcBorders>
              <w:top w:val="single" w:sz="4" w:space="0" w:color="auto"/>
              <w:left w:val="single" w:sz="4" w:space="0" w:color="auto"/>
              <w:bottom w:val="single" w:sz="4" w:space="0" w:color="auto"/>
              <w:right w:val="single" w:sz="4" w:space="0" w:color="auto"/>
            </w:tcBorders>
            <w:vAlign w:val="center"/>
          </w:tcPr>
          <w:p w14:paraId="12E215BE" w14:textId="30ECC1E0" w:rsidR="00616BC4" w:rsidRPr="00F6284E" w:rsidRDefault="00616BC4" w:rsidP="00647943">
            <w:pPr>
              <w:widowControl/>
              <w:jc w:val="right"/>
              <w:rPr>
                <w:color w:val="000000"/>
                <w:sz w:val="16"/>
                <w:lang w:val="en-US"/>
              </w:rPr>
            </w:pPr>
            <w:r w:rsidRPr="00F6284E">
              <w:rPr>
                <w:color w:val="000000"/>
                <w:sz w:val="16"/>
                <w:lang w:val="en-US"/>
              </w:rPr>
              <w:t>15.5 ± 3.9 (5)</w:t>
            </w:r>
          </w:p>
        </w:tc>
      </w:tr>
      <w:tr w:rsidR="00616BC4" w:rsidRPr="008A03FB" w14:paraId="30A15FAA" w14:textId="77777777" w:rsidTr="00F6284E">
        <w:trPr>
          <w:trHeight w:val="300"/>
          <w:jc w:val="center"/>
        </w:trPr>
        <w:tc>
          <w:tcPr>
            <w:tcW w:w="1949" w:type="dxa"/>
            <w:tcBorders>
              <w:top w:val="single" w:sz="4" w:space="0" w:color="auto"/>
              <w:left w:val="single" w:sz="4" w:space="0" w:color="auto"/>
              <w:bottom w:val="single" w:sz="4" w:space="0" w:color="auto"/>
              <w:right w:val="single" w:sz="4" w:space="0" w:color="auto"/>
            </w:tcBorders>
            <w:noWrap/>
            <w:vAlign w:val="center"/>
          </w:tcPr>
          <w:p w14:paraId="7CB7A3A5" w14:textId="77777777" w:rsidR="00616BC4" w:rsidRPr="00D711DD" w:rsidRDefault="00616BC4" w:rsidP="00A111E9">
            <w:pPr>
              <w:widowControl/>
              <w:rPr>
                <w:color w:val="000000"/>
                <w:sz w:val="18"/>
                <w:lang w:val="en-US"/>
              </w:rPr>
            </w:pPr>
            <w:r w:rsidRPr="00D711DD">
              <w:rPr>
                <w:color w:val="000000"/>
                <w:sz w:val="18"/>
                <w:lang w:val="en-US"/>
              </w:rPr>
              <w:t>1.0 mg/kg</w:t>
            </w:r>
          </w:p>
        </w:tc>
        <w:tc>
          <w:tcPr>
            <w:tcW w:w="1708" w:type="dxa"/>
            <w:tcBorders>
              <w:top w:val="single" w:sz="4" w:space="0" w:color="auto"/>
              <w:left w:val="single" w:sz="4" w:space="0" w:color="auto"/>
              <w:bottom w:val="single" w:sz="4" w:space="0" w:color="auto"/>
              <w:right w:val="single" w:sz="4" w:space="0" w:color="auto"/>
            </w:tcBorders>
            <w:vAlign w:val="center"/>
          </w:tcPr>
          <w:p w14:paraId="2C1FDEAD" w14:textId="3E1CDCB2" w:rsidR="00616BC4" w:rsidRPr="00D711DD" w:rsidRDefault="00616BC4" w:rsidP="00647943">
            <w:pPr>
              <w:widowControl/>
              <w:jc w:val="right"/>
              <w:rPr>
                <w:color w:val="000000"/>
                <w:sz w:val="16"/>
                <w:lang w:val="en-US"/>
              </w:rPr>
            </w:pPr>
            <w:r w:rsidRPr="00D10449">
              <w:rPr>
                <w:color w:val="000000"/>
                <w:sz w:val="16"/>
                <w:lang w:val="en-US"/>
              </w:rPr>
              <w:t>156</w:t>
            </w:r>
            <w:r w:rsidR="00D97AE4">
              <w:rPr>
                <w:rFonts w:cs="Arial"/>
                <w:color w:val="000000"/>
                <w:sz w:val="16"/>
                <w:szCs w:val="18"/>
                <w:lang w:val="en-US" w:bidi="ar-SA"/>
              </w:rPr>
              <w:t>1</w:t>
            </w:r>
            <w:r w:rsidRPr="00D10449">
              <w:rPr>
                <w:color w:val="000000"/>
                <w:sz w:val="16"/>
                <w:lang w:val="en-US"/>
              </w:rPr>
              <w:t xml:space="preserve"> ± 24</w:t>
            </w:r>
            <w:r w:rsidR="00D97AE4">
              <w:rPr>
                <w:rFonts w:cs="Arial"/>
                <w:color w:val="000000"/>
                <w:sz w:val="16"/>
                <w:szCs w:val="18"/>
                <w:lang w:val="en-US" w:bidi="ar-SA"/>
              </w:rPr>
              <w:t>2</w:t>
            </w:r>
            <w:r w:rsidRPr="00D711DD">
              <w:rPr>
                <w:color w:val="000000"/>
                <w:sz w:val="16"/>
                <w:lang w:val="en-US"/>
              </w:rPr>
              <w:t>*** (5)</w:t>
            </w:r>
          </w:p>
        </w:tc>
        <w:tc>
          <w:tcPr>
            <w:tcW w:w="1708" w:type="dxa"/>
            <w:tcBorders>
              <w:top w:val="single" w:sz="4" w:space="0" w:color="auto"/>
              <w:left w:val="single" w:sz="4" w:space="0" w:color="auto"/>
              <w:bottom w:val="single" w:sz="4" w:space="0" w:color="auto"/>
              <w:right w:val="single" w:sz="4" w:space="0" w:color="auto"/>
            </w:tcBorders>
            <w:vAlign w:val="center"/>
          </w:tcPr>
          <w:p w14:paraId="07F10916" w14:textId="3C115B06" w:rsidR="00616BC4" w:rsidRPr="00D711DD" w:rsidRDefault="00616BC4" w:rsidP="00647943">
            <w:pPr>
              <w:widowControl/>
              <w:jc w:val="right"/>
              <w:rPr>
                <w:color w:val="000000"/>
                <w:sz w:val="16"/>
                <w:lang w:val="en-US"/>
              </w:rPr>
            </w:pPr>
            <w:r w:rsidRPr="00D10449">
              <w:rPr>
                <w:color w:val="000000"/>
                <w:sz w:val="16"/>
                <w:lang w:val="en-US"/>
              </w:rPr>
              <w:t>372</w:t>
            </w:r>
            <w:r w:rsidR="00D97AE4">
              <w:rPr>
                <w:rFonts w:cs="Arial"/>
                <w:color w:val="000000"/>
                <w:sz w:val="16"/>
                <w:szCs w:val="18"/>
                <w:lang w:val="en-US" w:bidi="ar-SA"/>
              </w:rPr>
              <w:t>9</w:t>
            </w:r>
            <w:r w:rsidRPr="00D711DD">
              <w:rPr>
                <w:color w:val="000000"/>
                <w:sz w:val="16"/>
                <w:lang w:val="en-US"/>
              </w:rPr>
              <w:t xml:space="preserve"> ± 989*** (6)</w:t>
            </w:r>
          </w:p>
        </w:tc>
        <w:tc>
          <w:tcPr>
            <w:tcW w:w="1709" w:type="dxa"/>
            <w:tcBorders>
              <w:top w:val="single" w:sz="4" w:space="0" w:color="auto"/>
              <w:left w:val="single" w:sz="4" w:space="0" w:color="auto"/>
              <w:bottom w:val="single" w:sz="4" w:space="0" w:color="auto"/>
              <w:right w:val="single" w:sz="4" w:space="0" w:color="auto"/>
            </w:tcBorders>
            <w:vAlign w:val="center"/>
          </w:tcPr>
          <w:p w14:paraId="37FDD223" w14:textId="41B67202" w:rsidR="00616BC4" w:rsidRPr="00D711DD" w:rsidRDefault="00616BC4" w:rsidP="00647943">
            <w:pPr>
              <w:widowControl/>
              <w:jc w:val="right"/>
              <w:rPr>
                <w:color w:val="000000"/>
                <w:sz w:val="16"/>
                <w:lang w:val="en-US"/>
              </w:rPr>
            </w:pPr>
            <w:r w:rsidRPr="00D10449">
              <w:rPr>
                <w:color w:val="000000"/>
                <w:sz w:val="16"/>
                <w:lang w:val="en-US"/>
              </w:rPr>
              <w:t>140</w:t>
            </w:r>
            <w:r w:rsidR="00D97AE4">
              <w:rPr>
                <w:rFonts w:cs="Arial"/>
                <w:color w:val="000000"/>
                <w:sz w:val="16"/>
                <w:szCs w:val="18"/>
                <w:lang w:val="en-US" w:bidi="ar-SA"/>
              </w:rPr>
              <w:t>9</w:t>
            </w:r>
            <w:r w:rsidRPr="00D10449">
              <w:rPr>
                <w:color w:val="000000"/>
                <w:sz w:val="16"/>
                <w:lang w:val="en-US"/>
              </w:rPr>
              <w:t xml:space="preserve"> ± 17</w:t>
            </w:r>
            <w:r w:rsidR="00D97AE4">
              <w:rPr>
                <w:rFonts w:cs="Arial"/>
                <w:color w:val="000000"/>
                <w:sz w:val="16"/>
                <w:szCs w:val="18"/>
                <w:lang w:val="en-US" w:bidi="ar-SA"/>
              </w:rPr>
              <w:t>3</w:t>
            </w:r>
            <w:r w:rsidRPr="00D711DD">
              <w:rPr>
                <w:color w:val="000000"/>
                <w:sz w:val="16"/>
                <w:lang w:val="en-US"/>
              </w:rPr>
              <w:t>*** (5)</w:t>
            </w:r>
          </w:p>
        </w:tc>
        <w:tc>
          <w:tcPr>
            <w:tcW w:w="1708" w:type="dxa"/>
            <w:tcBorders>
              <w:top w:val="single" w:sz="4" w:space="0" w:color="auto"/>
              <w:left w:val="single" w:sz="4" w:space="0" w:color="auto"/>
              <w:bottom w:val="single" w:sz="4" w:space="0" w:color="auto"/>
              <w:right w:val="single" w:sz="4" w:space="0" w:color="auto"/>
            </w:tcBorders>
            <w:vAlign w:val="center"/>
          </w:tcPr>
          <w:p w14:paraId="2542F9AB" w14:textId="15AA8346" w:rsidR="00616BC4" w:rsidRPr="000B3C14" w:rsidRDefault="00616BC4" w:rsidP="00647943">
            <w:pPr>
              <w:widowControl/>
              <w:jc w:val="right"/>
              <w:rPr>
                <w:color w:val="000000"/>
                <w:sz w:val="16"/>
                <w:lang w:val="en-US"/>
              </w:rPr>
            </w:pPr>
            <w:r w:rsidRPr="000B3C14">
              <w:rPr>
                <w:color w:val="000000"/>
                <w:sz w:val="16"/>
                <w:lang w:val="en-US"/>
              </w:rPr>
              <w:t>727.2 ± 60.5*** (4)</w:t>
            </w:r>
          </w:p>
        </w:tc>
        <w:tc>
          <w:tcPr>
            <w:tcW w:w="1709" w:type="dxa"/>
            <w:tcBorders>
              <w:top w:val="single" w:sz="4" w:space="0" w:color="auto"/>
              <w:left w:val="single" w:sz="4" w:space="0" w:color="auto"/>
              <w:bottom w:val="single" w:sz="4" w:space="0" w:color="auto"/>
              <w:right w:val="single" w:sz="4" w:space="0" w:color="auto"/>
            </w:tcBorders>
            <w:vAlign w:val="center"/>
          </w:tcPr>
          <w:p w14:paraId="27EE0C27" w14:textId="296BB2BA" w:rsidR="00616BC4" w:rsidRPr="000B3C14" w:rsidRDefault="00616BC4" w:rsidP="00647943">
            <w:pPr>
              <w:widowControl/>
              <w:jc w:val="right"/>
              <w:rPr>
                <w:color w:val="000000"/>
                <w:sz w:val="16"/>
                <w:lang w:val="en-US"/>
              </w:rPr>
            </w:pPr>
            <w:r w:rsidRPr="000B3C14">
              <w:rPr>
                <w:color w:val="000000"/>
                <w:sz w:val="16"/>
                <w:lang w:val="en-US"/>
              </w:rPr>
              <w:t>547.1 ± 127.8** (6)</w:t>
            </w:r>
          </w:p>
        </w:tc>
        <w:tc>
          <w:tcPr>
            <w:tcW w:w="1708" w:type="dxa"/>
            <w:tcBorders>
              <w:top w:val="single" w:sz="4" w:space="0" w:color="auto"/>
              <w:left w:val="single" w:sz="4" w:space="0" w:color="auto"/>
              <w:bottom w:val="single" w:sz="4" w:space="0" w:color="auto"/>
              <w:right w:val="single" w:sz="4" w:space="0" w:color="auto"/>
            </w:tcBorders>
            <w:vAlign w:val="center"/>
          </w:tcPr>
          <w:p w14:paraId="436EDB41" w14:textId="6E71FDAF" w:rsidR="00616BC4" w:rsidRPr="00F6284E" w:rsidRDefault="00616BC4" w:rsidP="00647943">
            <w:pPr>
              <w:widowControl/>
              <w:jc w:val="right"/>
              <w:rPr>
                <w:color w:val="000000"/>
                <w:sz w:val="16"/>
                <w:lang w:val="en-US"/>
              </w:rPr>
            </w:pPr>
            <w:r w:rsidRPr="00F6284E">
              <w:rPr>
                <w:color w:val="000000"/>
                <w:sz w:val="16"/>
                <w:lang w:val="en-US"/>
              </w:rPr>
              <w:t>165.6 ± 77.9 (2)</w:t>
            </w:r>
          </w:p>
        </w:tc>
        <w:tc>
          <w:tcPr>
            <w:tcW w:w="1709" w:type="dxa"/>
            <w:tcBorders>
              <w:top w:val="single" w:sz="4" w:space="0" w:color="auto"/>
              <w:left w:val="single" w:sz="4" w:space="0" w:color="auto"/>
              <w:bottom w:val="single" w:sz="4" w:space="0" w:color="auto"/>
              <w:right w:val="single" w:sz="4" w:space="0" w:color="auto"/>
            </w:tcBorders>
            <w:vAlign w:val="center"/>
          </w:tcPr>
          <w:p w14:paraId="79A456C3" w14:textId="5EF2EB32" w:rsidR="00616BC4" w:rsidRPr="00F6284E" w:rsidRDefault="00616BC4" w:rsidP="00647943">
            <w:pPr>
              <w:widowControl/>
              <w:jc w:val="right"/>
              <w:rPr>
                <w:color w:val="000000"/>
                <w:sz w:val="16"/>
                <w:lang w:val="en-US"/>
              </w:rPr>
            </w:pPr>
            <w:r w:rsidRPr="00F6284E">
              <w:rPr>
                <w:color w:val="000000"/>
                <w:sz w:val="16"/>
                <w:lang w:val="en-US"/>
              </w:rPr>
              <w:t>82.1 ± 3.1 (2)</w:t>
            </w:r>
          </w:p>
        </w:tc>
      </w:tr>
      <w:tr w:rsidR="00616BC4" w:rsidRPr="008A03FB" w14:paraId="5C1C532B" w14:textId="77777777" w:rsidTr="00F6284E">
        <w:trPr>
          <w:trHeight w:val="300"/>
          <w:jc w:val="center"/>
        </w:trPr>
        <w:tc>
          <w:tcPr>
            <w:tcW w:w="1949" w:type="dxa"/>
            <w:tcBorders>
              <w:top w:val="single" w:sz="4" w:space="0" w:color="auto"/>
              <w:left w:val="single" w:sz="4" w:space="0" w:color="auto"/>
              <w:bottom w:val="single" w:sz="4" w:space="0" w:color="auto"/>
              <w:right w:val="single" w:sz="4" w:space="0" w:color="auto"/>
            </w:tcBorders>
            <w:noWrap/>
            <w:vAlign w:val="center"/>
          </w:tcPr>
          <w:p w14:paraId="39DFDB18" w14:textId="77777777" w:rsidR="00616BC4" w:rsidRPr="00D711DD" w:rsidRDefault="00616BC4" w:rsidP="00A111E9">
            <w:pPr>
              <w:widowControl/>
              <w:rPr>
                <w:color w:val="000000"/>
                <w:sz w:val="18"/>
                <w:lang w:val="en-US"/>
              </w:rPr>
            </w:pPr>
            <w:r w:rsidRPr="00D711DD">
              <w:rPr>
                <w:color w:val="000000"/>
                <w:sz w:val="18"/>
                <w:lang w:val="en-US"/>
              </w:rPr>
              <w:t>3.0 mg/kg</w:t>
            </w:r>
          </w:p>
        </w:tc>
        <w:tc>
          <w:tcPr>
            <w:tcW w:w="1708" w:type="dxa"/>
            <w:tcBorders>
              <w:top w:val="single" w:sz="4" w:space="0" w:color="auto"/>
              <w:left w:val="single" w:sz="4" w:space="0" w:color="auto"/>
              <w:bottom w:val="single" w:sz="4" w:space="0" w:color="auto"/>
              <w:right w:val="single" w:sz="4" w:space="0" w:color="auto"/>
            </w:tcBorders>
            <w:vAlign w:val="center"/>
          </w:tcPr>
          <w:p w14:paraId="79AAD170" w14:textId="365ABD88" w:rsidR="00616BC4" w:rsidRPr="00D711DD" w:rsidRDefault="00616BC4" w:rsidP="00647943">
            <w:pPr>
              <w:widowControl/>
              <w:jc w:val="right"/>
              <w:rPr>
                <w:color w:val="000000"/>
                <w:sz w:val="16"/>
                <w:lang w:val="en-US"/>
              </w:rPr>
            </w:pPr>
            <w:r w:rsidRPr="00D10449">
              <w:rPr>
                <w:color w:val="000000"/>
                <w:sz w:val="16"/>
                <w:lang w:val="en-US"/>
              </w:rPr>
              <w:t>2515 ± 73</w:t>
            </w:r>
            <w:r w:rsidR="00D97AE4">
              <w:rPr>
                <w:rFonts w:cs="Arial"/>
                <w:color w:val="000000"/>
                <w:sz w:val="16"/>
                <w:szCs w:val="18"/>
                <w:lang w:val="en-US" w:bidi="ar-SA"/>
              </w:rPr>
              <w:t>1</w:t>
            </w:r>
            <w:r w:rsidRPr="00D711DD">
              <w:rPr>
                <w:color w:val="000000"/>
                <w:sz w:val="16"/>
                <w:lang w:val="en-US"/>
              </w:rPr>
              <w:t>*** (2)</w:t>
            </w:r>
          </w:p>
        </w:tc>
        <w:tc>
          <w:tcPr>
            <w:tcW w:w="1708" w:type="dxa"/>
            <w:tcBorders>
              <w:top w:val="single" w:sz="4" w:space="0" w:color="auto"/>
              <w:left w:val="single" w:sz="4" w:space="0" w:color="auto"/>
              <w:bottom w:val="single" w:sz="4" w:space="0" w:color="auto"/>
              <w:right w:val="single" w:sz="4" w:space="0" w:color="auto"/>
            </w:tcBorders>
            <w:vAlign w:val="center"/>
          </w:tcPr>
          <w:p w14:paraId="74BC8ABF" w14:textId="18392F01" w:rsidR="00616BC4" w:rsidRPr="00D711DD" w:rsidRDefault="00616BC4" w:rsidP="00647943">
            <w:pPr>
              <w:widowControl/>
              <w:jc w:val="right"/>
              <w:rPr>
                <w:color w:val="000000"/>
                <w:sz w:val="16"/>
                <w:lang w:val="en-US"/>
              </w:rPr>
            </w:pPr>
            <w:r w:rsidRPr="000B3C14">
              <w:rPr>
                <w:color w:val="000000"/>
                <w:sz w:val="16"/>
                <w:lang w:val="en-US"/>
              </w:rPr>
              <w:t>6422</w:t>
            </w:r>
            <w:r w:rsidRPr="00D10449">
              <w:rPr>
                <w:color w:val="000000"/>
                <w:sz w:val="16"/>
                <w:lang w:val="en-US"/>
              </w:rPr>
              <w:t xml:space="preserve"> ± 45</w:t>
            </w:r>
            <w:r w:rsidR="00D97AE4">
              <w:rPr>
                <w:rFonts w:cs="Arial"/>
                <w:color w:val="000000"/>
                <w:sz w:val="16"/>
                <w:szCs w:val="18"/>
                <w:lang w:val="en-US" w:bidi="ar-SA"/>
              </w:rPr>
              <w:t>8</w:t>
            </w:r>
            <w:r w:rsidRPr="00D711DD">
              <w:rPr>
                <w:color w:val="000000"/>
                <w:sz w:val="16"/>
                <w:lang w:val="en-US"/>
              </w:rPr>
              <w:t>*** (4)</w:t>
            </w:r>
          </w:p>
        </w:tc>
        <w:tc>
          <w:tcPr>
            <w:tcW w:w="1709" w:type="dxa"/>
            <w:tcBorders>
              <w:top w:val="single" w:sz="4" w:space="0" w:color="auto"/>
              <w:left w:val="single" w:sz="4" w:space="0" w:color="auto"/>
              <w:bottom w:val="single" w:sz="4" w:space="0" w:color="auto"/>
              <w:right w:val="single" w:sz="4" w:space="0" w:color="auto"/>
            </w:tcBorders>
            <w:vAlign w:val="center"/>
          </w:tcPr>
          <w:p w14:paraId="73655674" w14:textId="5F57130B" w:rsidR="00616BC4" w:rsidRPr="000B3C14" w:rsidRDefault="00616BC4" w:rsidP="00647943">
            <w:pPr>
              <w:widowControl/>
              <w:jc w:val="right"/>
              <w:rPr>
                <w:color w:val="000000"/>
                <w:sz w:val="16"/>
                <w:lang w:val="en-US"/>
              </w:rPr>
            </w:pPr>
            <w:r w:rsidRPr="000B3C14">
              <w:rPr>
                <w:color w:val="000000"/>
                <w:sz w:val="16"/>
                <w:lang w:val="en-US"/>
              </w:rPr>
              <w:t>4038 ± 628*** (3)</w:t>
            </w:r>
          </w:p>
        </w:tc>
        <w:tc>
          <w:tcPr>
            <w:tcW w:w="1708" w:type="dxa"/>
            <w:tcBorders>
              <w:top w:val="single" w:sz="4" w:space="0" w:color="auto"/>
              <w:left w:val="single" w:sz="4" w:space="0" w:color="auto"/>
              <w:bottom w:val="single" w:sz="4" w:space="0" w:color="auto"/>
              <w:right w:val="single" w:sz="4" w:space="0" w:color="auto"/>
            </w:tcBorders>
            <w:vAlign w:val="center"/>
          </w:tcPr>
          <w:p w14:paraId="08D8BCE8" w14:textId="65145DE6" w:rsidR="00616BC4" w:rsidRPr="000B3C14" w:rsidRDefault="00616BC4" w:rsidP="00647943">
            <w:pPr>
              <w:widowControl/>
              <w:jc w:val="right"/>
              <w:rPr>
                <w:color w:val="000000"/>
                <w:sz w:val="16"/>
                <w:lang w:val="en-US"/>
              </w:rPr>
            </w:pPr>
            <w:r w:rsidRPr="00D10449">
              <w:rPr>
                <w:color w:val="000000"/>
                <w:sz w:val="16"/>
                <w:lang w:val="en-US"/>
              </w:rPr>
              <w:t>324</w:t>
            </w:r>
            <w:r w:rsidR="00D97AE4">
              <w:rPr>
                <w:rFonts w:cs="Arial"/>
                <w:color w:val="000000"/>
                <w:sz w:val="16"/>
                <w:szCs w:val="18"/>
                <w:lang w:val="en-US" w:bidi="ar-SA"/>
              </w:rPr>
              <w:t>6</w:t>
            </w:r>
            <w:r w:rsidRPr="00D711DD">
              <w:rPr>
                <w:color w:val="000000"/>
                <w:sz w:val="16"/>
                <w:lang w:val="en-US"/>
              </w:rPr>
              <w:t xml:space="preserve"> ±1080***</w:t>
            </w:r>
            <w:r w:rsidRPr="000B3C14">
              <w:rPr>
                <w:color w:val="000000"/>
                <w:sz w:val="16"/>
                <w:lang w:val="en-US"/>
              </w:rPr>
              <w:t xml:space="preserve"> (6)</w:t>
            </w:r>
          </w:p>
        </w:tc>
        <w:tc>
          <w:tcPr>
            <w:tcW w:w="1709" w:type="dxa"/>
            <w:tcBorders>
              <w:top w:val="single" w:sz="4" w:space="0" w:color="auto"/>
              <w:left w:val="single" w:sz="4" w:space="0" w:color="auto"/>
              <w:bottom w:val="single" w:sz="4" w:space="0" w:color="auto"/>
              <w:right w:val="single" w:sz="4" w:space="0" w:color="auto"/>
            </w:tcBorders>
            <w:vAlign w:val="center"/>
          </w:tcPr>
          <w:p w14:paraId="40D5D1F7" w14:textId="255C2D2A" w:rsidR="00616BC4" w:rsidRPr="000B3C14" w:rsidRDefault="00616BC4" w:rsidP="00647943">
            <w:pPr>
              <w:widowControl/>
              <w:jc w:val="right"/>
              <w:rPr>
                <w:color w:val="000000"/>
                <w:sz w:val="16"/>
                <w:lang w:val="en-US"/>
              </w:rPr>
            </w:pPr>
            <w:r w:rsidRPr="000B3C14">
              <w:rPr>
                <w:color w:val="000000"/>
                <w:sz w:val="16"/>
                <w:lang w:val="en-US"/>
              </w:rPr>
              <w:t>1640.0 ± 211.8** (4)</w:t>
            </w:r>
          </w:p>
        </w:tc>
        <w:tc>
          <w:tcPr>
            <w:tcW w:w="1708" w:type="dxa"/>
            <w:tcBorders>
              <w:top w:val="single" w:sz="4" w:space="0" w:color="auto"/>
              <w:left w:val="single" w:sz="4" w:space="0" w:color="auto"/>
              <w:bottom w:val="single" w:sz="4" w:space="0" w:color="auto"/>
              <w:right w:val="single" w:sz="4" w:space="0" w:color="auto"/>
            </w:tcBorders>
            <w:vAlign w:val="center"/>
          </w:tcPr>
          <w:p w14:paraId="65E4D881" w14:textId="77777777" w:rsidR="00616BC4" w:rsidRPr="00F6284E" w:rsidRDefault="00616BC4" w:rsidP="00647943">
            <w:pPr>
              <w:widowControl/>
              <w:jc w:val="right"/>
              <w:rPr>
                <w:color w:val="000000"/>
                <w:sz w:val="16"/>
                <w:lang w:val="en-US"/>
              </w:rPr>
            </w:pPr>
            <w:r w:rsidRPr="00F6284E">
              <w:rPr>
                <w:color w:val="000000"/>
                <w:sz w:val="16"/>
                <w:lang w:val="en-US"/>
              </w:rPr>
              <w:t>-</w:t>
            </w:r>
          </w:p>
        </w:tc>
        <w:tc>
          <w:tcPr>
            <w:tcW w:w="1709" w:type="dxa"/>
            <w:tcBorders>
              <w:top w:val="single" w:sz="4" w:space="0" w:color="auto"/>
              <w:left w:val="single" w:sz="4" w:space="0" w:color="auto"/>
              <w:bottom w:val="single" w:sz="4" w:space="0" w:color="auto"/>
              <w:right w:val="single" w:sz="4" w:space="0" w:color="auto"/>
            </w:tcBorders>
            <w:vAlign w:val="center"/>
          </w:tcPr>
          <w:p w14:paraId="1752BCA9" w14:textId="77777777" w:rsidR="00616BC4" w:rsidRPr="00F6284E" w:rsidRDefault="00616BC4" w:rsidP="00647943">
            <w:pPr>
              <w:widowControl/>
              <w:jc w:val="right"/>
              <w:rPr>
                <w:color w:val="000000"/>
                <w:sz w:val="16"/>
                <w:lang w:val="en-US"/>
              </w:rPr>
            </w:pPr>
            <w:r w:rsidRPr="00F6284E">
              <w:rPr>
                <w:color w:val="000000"/>
                <w:sz w:val="16"/>
                <w:lang w:val="en-US"/>
              </w:rPr>
              <w:t>131.5 (1)</w:t>
            </w:r>
          </w:p>
        </w:tc>
      </w:tr>
      <w:tr w:rsidR="00616BC4" w:rsidRPr="008A03FB" w14:paraId="73C1A1DC" w14:textId="77777777" w:rsidTr="00F6284E">
        <w:trPr>
          <w:trHeight w:val="300"/>
          <w:jc w:val="center"/>
        </w:trPr>
        <w:tc>
          <w:tcPr>
            <w:tcW w:w="13908" w:type="dxa"/>
            <w:gridSpan w:val="8"/>
            <w:tcBorders>
              <w:top w:val="single" w:sz="4" w:space="0" w:color="auto"/>
              <w:left w:val="single" w:sz="4" w:space="0" w:color="auto"/>
              <w:bottom w:val="single" w:sz="4" w:space="0" w:color="auto"/>
              <w:right w:val="single" w:sz="4" w:space="0" w:color="auto"/>
            </w:tcBorders>
            <w:noWrap/>
            <w:vAlign w:val="center"/>
          </w:tcPr>
          <w:p w14:paraId="78947E63" w14:textId="2529B84A" w:rsidR="00616BC4" w:rsidRPr="000B3C14" w:rsidRDefault="00F6332B" w:rsidP="00647943">
            <w:pPr>
              <w:widowControl/>
              <w:rPr>
                <w:color w:val="000000"/>
                <w:sz w:val="18"/>
                <w:lang w:val="en-US"/>
              </w:rPr>
            </w:pPr>
            <w:r w:rsidRPr="00D711DD">
              <w:rPr>
                <w:i/>
                <w:color w:val="000000"/>
                <w:sz w:val="18"/>
                <w:lang w:val="en-US"/>
              </w:rPr>
              <w:t>Liver (ng/g)</w:t>
            </w:r>
          </w:p>
        </w:tc>
      </w:tr>
      <w:tr w:rsidR="00616BC4" w:rsidRPr="008A03FB" w14:paraId="20C83BE5" w14:textId="77777777" w:rsidTr="00F6284E">
        <w:trPr>
          <w:trHeight w:val="300"/>
          <w:jc w:val="center"/>
        </w:trPr>
        <w:tc>
          <w:tcPr>
            <w:tcW w:w="1949" w:type="dxa"/>
            <w:tcBorders>
              <w:top w:val="single" w:sz="4" w:space="0" w:color="auto"/>
              <w:left w:val="single" w:sz="4" w:space="0" w:color="auto"/>
              <w:bottom w:val="single" w:sz="4" w:space="0" w:color="auto"/>
              <w:right w:val="single" w:sz="4" w:space="0" w:color="auto"/>
            </w:tcBorders>
            <w:noWrap/>
            <w:vAlign w:val="center"/>
          </w:tcPr>
          <w:p w14:paraId="666B6589" w14:textId="77777777" w:rsidR="00616BC4" w:rsidRPr="00D711DD" w:rsidRDefault="00616BC4" w:rsidP="00A111E9">
            <w:pPr>
              <w:widowControl/>
              <w:rPr>
                <w:color w:val="000000"/>
                <w:sz w:val="18"/>
                <w:lang w:val="en-US"/>
              </w:rPr>
            </w:pPr>
            <w:r w:rsidRPr="00D711DD">
              <w:rPr>
                <w:color w:val="000000"/>
                <w:sz w:val="18"/>
                <w:lang w:val="en-US"/>
              </w:rPr>
              <w:t>Control</w:t>
            </w:r>
          </w:p>
        </w:tc>
        <w:tc>
          <w:tcPr>
            <w:tcW w:w="1708" w:type="dxa"/>
            <w:tcBorders>
              <w:top w:val="single" w:sz="4" w:space="0" w:color="auto"/>
              <w:left w:val="single" w:sz="4" w:space="0" w:color="auto"/>
              <w:bottom w:val="single" w:sz="4" w:space="0" w:color="auto"/>
              <w:right w:val="single" w:sz="4" w:space="0" w:color="auto"/>
            </w:tcBorders>
            <w:noWrap/>
            <w:vAlign w:val="center"/>
          </w:tcPr>
          <w:p w14:paraId="41233946" w14:textId="77777777" w:rsidR="00616BC4" w:rsidRPr="000B3C14" w:rsidRDefault="00616BC4" w:rsidP="00647943">
            <w:pPr>
              <w:widowControl/>
              <w:jc w:val="right"/>
              <w:rPr>
                <w:color w:val="000000"/>
                <w:sz w:val="16"/>
                <w:lang w:val="en-US"/>
              </w:rPr>
            </w:pPr>
            <w:r w:rsidRPr="000B3C14">
              <w:rPr>
                <w:color w:val="000000"/>
                <w:sz w:val="16"/>
                <w:lang w:val="en-US"/>
              </w:rPr>
              <w:t>&lt;35, LOQ (5)</w:t>
            </w:r>
          </w:p>
        </w:tc>
        <w:tc>
          <w:tcPr>
            <w:tcW w:w="1708" w:type="dxa"/>
            <w:tcBorders>
              <w:top w:val="single" w:sz="4" w:space="0" w:color="auto"/>
              <w:left w:val="single" w:sz="4" w:space="0" w:color="auto"/>
              <w:bottom w:val="single" w:sz="4" w:space="0" w:color="auto"/>
              <w:right w:val="single" w:sz="4" w:space="0" w:color="auto"/>
            </w:tcBorders>
            <w:noWrap/>
            <w:vAlign w:val="center"/>
          </w:tcPr>
          <w:p w14:paraId="7F58F99C" w14:textId="77777777" w:rsidR="00616BC4" w:rsidRPr="000B3C14" w:rsidRDefault="00616BC4" w:rsidP="00647943">
            <w:pPr>
              <w:widowControl/>
              <w:jc w:val="right"/>
              <w:rPr>
                <w:color w:val="000000"/>
                <w:sz w:val="16"/>
                <w:lang w:val="en-US"/>
              </w:rPr>
            </w:pPr>
            <w:r w:rsidRPr="000B3C14">
              <w:rPr>
                <w:color w:val="000000"/>
                <w:sz w:val="16"/>
                <w:lang w:val="en-US"/>
              </w:rPr>
              <w:t>&lt;LOQ (4)</w:t>
            </w:r>
          </w:p>
        </w:tc>
        <w:tc>
          <w:tcPr>
            <w:tcW w:w="1709" w:type="dxa"/>
            <w:tcBorders>
              <w:top w:val="single" w:sz="4" w:space="0" w:color="auto"/>
              <w:left w:val="single" w:sz="4" w:space="0" w:color="auto"/>
              <w:bottom w:val="single" w:sz="4" w:space="0" w:color="auto"/>
              <w:right w:val="single" w:sz="4" w:space="0" w:color="auto"/>
            </w:tcBorders>
            <w:noWrap/>
            <w:vAlign w:val="center"/>
          </w:tcPr>
          <w:p w14:paraId="136CC4F2" w14:textId="77777777" w:rsidR="00616BC4" w:rsidRPr="00F6284E" w:rsidRDefault="00616BC4" w:rsidP="00647943">
            <w:pPr>
              <w:widowControl/>
              <w:jc w:val="right"/>
              <w:rPr>
                <w:color w:val="000000"/>
                <w:sz w:val="16"/>
                <w:lang w:val="en-US"/>
              </w:rPr>
            </w:pPr>
            <w:r w:rsidRPr="00F6284E">
              <w:rPr>
                <w:color w:val="000000"/>
                <w:sz w:val="16"/>
                <w:lang w:val="en-US"/>
              </w:rPr>
              <w:t>&lt;LOQ (6)</w:t>
            </w:r>
          </w:p>
        </w:tc>
        <w:tc>
          <w:tcPr>
            <w:tcW w:w="1708" w:type="dxa"/>
            <w:tcBorders>
              <w:top w:val="single" w:sz="4" w:space="0" w:color="auto"/>
              <w:left w:val="single" w:sz="4" w:space="0" w:color="auto"/>
              <w:bottom w:val="single" w:sz="4" w:space="0" w:color="auto"/>
              <w:right w:val="single" w:sz="4" w:space="0" w:color="auto"/>
            </w:tcBorders>
            <w:noWrap/>
            <w:vAlign w:val="center"/>
          </w:tcPr>
          <w:p w14:paraId="4ECC2159" w14:textId="77777777" w:rsidR="00616BC4" w:rsidRPr="00F6284E" w:rsidRDefault="00616BC4" w:rsidP="00647943">
            <w:pPr>
              <w:widowControl/>
              <w:jc w:val="right"/>
              <w:rPr>
                <w:color w:val="000000"/>
                <w:sz w:val="16"/>
                <w:lang w:val="en-US"/>
              </w:rPr>
            </w:pPr>
            <w:r w:rsidRPr="00F6284E">
              <w:rPr>
                <w:color w:val="000000"/>
                <w:sz w:val="16"/>
                <w:lang w:val="en-US"/>
              </w:rPr>
              <w:t>&lt;LOQ (4)</w:t>
            </w:r>
          </w:p>
        </w:tc>
        <w:tc>
          <w:tcPr>
            <w:tcW w:w="1709" w:type="dxa"/>
            <w:tcBorders>
              <w:top w:val="single" w:sz="4" w:space="0" w:color="auto"/>
              <w:left w:val="single" w:sz="4" w:space="0" w:color="auto"/>
              <w:bottom w:val="single" w:sz="4" w:space="0" w:color="auto"/>
              <w:right w:val="single" w:sz="4" w:space="0" w:color="auto"/>
            </w:tcBorders>
            <w:noWrap/>
            <w:vAlign w:val="center"/>
          </w:tcPr>
          <w:p w14:paraId="08283E55" w14:textId="77777777" w:rsidR="00616BC4" w:rsidRPr="00F6284E" w:rsidRDefault="00616BC4" w:rsidP="00647943">
            <w:pPr>
              <w:widowControl/>
              <w:jc w:val="right"/>
              <w:rPr>
                <w:color w:val="000000"/>
                <w:sz w:val="16"/>
                <w:lang w:val="en-US"/>
              </w:rPr>
            </w:pPr>
            <w:r w:rsidRPr="00F6284E">
              <w:rPr>
                <w:color w:val="000000"/>
                <w:sz w:val="16"/>
                <w:lang w:val="en-US"/>
              </w:rPr>
              <w:t>&lt;LOQ (4)</w:t>
            </w:r>
          </w:p>
        </w:tc>
        <w:tc>
          <w:tcPr>
            <w:tcW w:w="1708" w:type="dxa"/>
            <w:tcBorders>
              <w:top w:val="single" w:sz="4" w:space="0" w:color="auto"/>
              <w:left w:val="single" w:sz="4" w:space="0" w:color="auto"/>
              <w:bottom w:val="single" w:sz="4" w:space="0" w:color="auto"/>
              <w:right w:val="single" w:sz="4" w:space="0" w:color="auto"/>
            </w:tcBorders>
            <w:noWrap/>
            <w:vAlign w:val="center"/>
          </w:tcPr>
          <w:p w14:paraId="0AEC050B" w14:textId="77777777" w:rsidR="00616BC4" w:rsidRPr="00F6284E" w:rsidRDefault="00616BC4" w:rsidP="00647943">
            <w:pPr>
              <w:widowControl/>
              <w:jc w:val="right"/>
              <w:rPr>
                <w:color w:val="000000"/>
                <w:sz w:val="16"/>
                <w:lang w:val="en-US"/>
              </w:rPr>
            </w:pPr>
            <w:r w:rsidRPr="00F6284E">
              <w:rPr>
                <w:color w:val="000000"/>
                <w:sz w:val="16"/>
                <w:lang w:val="en-US"/>
              </w:rPr>
              <w:t>-</w:t>
            </w:r>
          </w:p>
        </w:tc>
        <w:tc>
          <w:tcPr>
            <w:tcW w:w="1709" w:type="dxa"/>
            <w:tcBorders>
              <w:top w:val="single" w:sz="4" w:space="0" w:color="auto"/>
              <w:left w:val="single" w:sz="4" w:space="0" w:color="auto"/>
              <w:bottom w:val="single" w:sz="4" w:space="0" w:color="auto"/>
              <w:right w:val="single" w:sz="4" w:space="0" w:color="auto"/>
            </w:tcBorders>
            <w:noWrap/>
            <w:vAlign w:val="center"/>
          </w:tcPr>
          <w:p w14:paraId="1B8A3963" w14:textId="77777777" w:rsidR="00616BC4" w:rsidRPr="00F6284E" w:rsidRDefault="00616BC4" w:rsidP="00647943">
            <w:pPr>
              <w:widowControl/>
              <w:jc w:val="right"/>
              <w:rPr>
                <w:color w:val="000000"/>
                <w:sz w:val="16"/>
                <w:lang w:val="en-US"/>
              </w:rPr>
            </w:pPr>
            <w:r w:rsidRPr="00F6284E">
              <w:rPr>
                <w:color w:val="000000"/>
                <w:sz w:val="16"/>
                <w:lang w:val="en-US"/>
              </w:rPr>
              <w:t>&lt;LOQ (2)</w:t>
            </w:r>
          </w:p>
        </w:tc>
      </w:tr>
      <w:tr w:rsidR="00616BC4" w:rsidRPr="008A03FB" w14:paraId="4C42770E" w14:textId="77777777" w:rsidTr="00F6284E">
        <w:trPr>
          <w:trHeight w:val="300"/>
          <w:jc w:val="center"/>
        </w:trPr>
        <w:tc>
          <w:tcPr>
            <w:tcW w:w="1949" w:type="dxa"/>
            <w:tcBorders>
              <w:top w:val="single" w:sz="4" w:space="0" w:color="auto"/>
              <w:left w:val="single" w:sz="4" w:space="0" w:color="auto"/>
              <w:bottom w:val="single" w:sz="4" w:space="0" w:color="auto"/>
              <w:right w:val="single" w:sz="4" w:space="0" w:color="auto"/>
            </w:tcBorders>
            <w:noWrap/>
            <w:vAlign w:val="center"/>
          </w:tcPr>
          <w:p w14:paraId="3CAE8B1F" w14:textId="77777777" w:rsidR="00616BC4" w:rsidRPr="00D711DD" w:rsidRDefault="00616BC4" w:rsidP="00A111E9">
            <w:pPr>
              <w:widowControl/>
              <w:rPr>
                <w:color w:val="000000"/>
                <w:sz w:val="18"/>
                <w:lang w:val="en-US"/>
              </w:rPr>
            </w:pPr>
            <w:r w:rsidRPr="00D711DD">
              <w:rPr>
                <w:color w:val="000000"/>
                <w:sz w:val="18"/>
                <w:lang w:val="en-US"/>
              </w:rPr>
              <w:t>0.3 mg/kg</w:t>
            </w:r>
          </w:p>
        </w:tc>
        <w:tc>
          <w:tcPr>
            <w:tcW w:w="1708" w:type="dxa"/>
            <w:tcBorders>
              <w:top w:val="single" w:sz="4" w:space="0" w:color="auto"/>
              <w:left w:val="single" w:sz="4" w:space="0" w:color="auto"/>
              <w:bottom w:val="single" w:sz="4" w:space="0" w:color="auto"/>
              <w:right w:val="single" w:sz="4" w:space="0" w:color="auto"/>
            </w:tcBorders>
            <w:noWrap/>
            <w:vAlign w:val="center"/>
          </w:tcPr>
          <w:p w14:paraId="3DDF14EA" w14:textId="2076786A" w:rsidR="00616BC4" w:rsidRPr="00D711DD" w:rsidRDefault="00616BC4" w:rsidP="00647943">
            <w:pPr>
              <w:widowControl/>
              <w:jc w:val="right"/>
              <w:rPr>
                <w:color w:val="000000"/>
                <w:sz w:val="16"/>
                <w:lang w:val="en-US"/>
              </w:rPr>
            </w:pPr>
            <w:r w:rsidRPr="000B3C14">
              <w:rPr>
                <w:color w:val="000000"/>
                <w:sz w:val="16"/>
                <w:lang w:val="en-US"/>
              </w:rPr>
              <w:t>2078</w:t>
            </w:r>
            <w:r w:rsidR="00DF2382">
              <w:rPr>
                <w:rFonts w:cs="Arial"/>
                <w:color w:val="000000"/>
                <w:sz w:val="16"/>
                <w:szCs w:val="18"/>
                <w:lang w:val="en-US" w:bidi="ar-SA"/>
              </w:rPr>
              <w:t xml:space="preserve"> </w:t>
            </w:r>
            <w:r w:rsidRPr="00D711DD">
              <w:rPr>
                <w:color w:val="000000"/>
                <w:sz w:val="16"/>
                <w:lang w:val="en-US"/>
              </w:rPr>
              <w:t>± 90*** (4)</w:t>
            </w:r>
          </w:p>
        </w:tc>
        <w:tc>
          <w:tcPr>
            <w:tcW w:w="1708" w:type="dxa"/>
            <w:tcBorders>
              <w:top w:val="single" w:sz="4" w:space="0" w:color="auto"/>
              <w:left w:val="single" w:sz="4" w:space="0" w:color="auto"/>
              <w:bottom w:val="single" w:sz="4" w:space="0" w:color="auto"/>
              <w:right w:val="single" w:sz="4" w:space="0" w:color="auto"/>
            </w:tcBorders>
            <w:noWrap/>
            <w:vAlign w:val="center"/>
          </w:tcPr>
          <w:p w14:paraId="48D1DCCC" w14:textId="1C679E2B" w:rsidR="00616BC4" w:rsidRPr="00D711DD" w:rsidRDefault="00616BC4" w:rsidP="00647943">
            <w:pPr>
              <w:widowControl/>
              <w:jc w:val="right"/>
              <w:rPr>
                <w:color w:val="000000"/>
                <w:sz w:val="16"/>
                <w:lang w:val="en-US"/>
              </w:rPr>
            </w:pPr>
            <w:r w:rsidRPr="000B3C14">
              <w:rPr>
                <w:color w:val="000000"/>
                <w:sz w:val="16"/>
                <w:lang w:val="en-US"/>
              </w:rPr>
              <w:t>972</w:t>
            </w:r>
            <w:r w:rsidR="00DF2382">
              <w:rPr>
                <w:rFonts w:cs="Arial"/>
                <w:color w:val="000000"/>
                <w:sz w:val="16"/>
                <w:szCs w:val="18"/>
                <w:lang w:val="en-US" w:bidi="ar-SA"/>
              </w:rPr>
              <w:t xml:space="preserve"> </w:t>
            </w:r>
            <w:r w:rsidRPr="00D711DD">
              <w:rPr>
                <w:color w:val="000000"/>
                <w:sz w:val="16"/>
                <w:lang w:val="en-US"/>
              </w:rPr>
              <w:t>± 124*** (6)</w:t>
            </w:r>
          </w:p>
        </w:tc>
        <w:tc>
          <w:tcPr>
            <w:tcW w:w="1709" w:type="dxa"/>
            <w:tcBorders>
              <w:top w:val="single" w:sz="4" w:space="0" w:color="auto"/>
              <w:left w:val="single" w:sz="4" w:space="0" w:color="auto"/>
              <w:bottom w:val="single" w:sz="4" w:space="0" w:color="auto"/>
              <w:right w:val="single" w:sz="4" w:space="0" w:color="auto"/>
            </w:tcBorders>
            <w:noWrap/>
            <w:vAlign w:val="center"/>
          </w:tcPr>
          <w:p w14:paraId="2F0D344B" w14:textId="50E266F4" w:rsidR="00616BC4" w:rsidRPr="000B3C14" w:rsidRDefault="00616BC4" w:rsidP="00647943">
            <w:pPr>
              <w:widowControl/>
              <w:jc w:val="right"/>
              <w:rPr>
                <w:color w:val="000000"/>
                <w:sz w:val="16"/>
                <w:lang w:val="en-US"/>
              </w:rPr>
            </w:pPr>
            <w:r w:rsidRPr="000B3C14">
              <w:rPr>
                <w:color w:val="000000"/>
                <w:sz w:val="16"/>
                <w:lang w:val="en-US"/>
              </w:rPr>
              <w:t>1188 ± 182*** (5)</w:t>
            </w:r>
          </w:p>
        </w:tc>
        <w:tc>
          <w:tcPr>
            <w:tcW w:w="1708" w:type="dxa"/>
            <w:tcBorders>
              <w:top w:val="single" w:sz="4" w:space="0" w:color="auto"/>
              <w:left w:val="single" w:sz="4" w:space="0" w:color="auto"/>
              <w:bottom w:val="single" w:sz="4" w:space="0" w:color="auto"/>
              <w:right w:val="single" w:sz="4" w:space="0" w:color="auto"/>
            </w:tcBorders>
            <w:noWrap/>
            <w:vAlign w:val="center"/>
          </w:tcPr>
          <w:p w14:paraId="7E61C1AF" w14:textId="7FE1D17C" w:rsidR="00616BC4" w:rsidRPr="000B3C14" w:rsidRDefault="00616BC4" w:rsidP="00647943">
            <w:pPr>
              <w:widowControl/>
              <w:jc w:val="right"/>
              <w:rPr>
                <w:color w:val="000000"/>
                <w:sz w:val="16"/>
                <w:lang w:val="en-US"/>
              </w:rPr>
            </w:pPr>
            <w:r w:rsidRPr="000B3C14">
              <w:rPr>
                <w:color w:val="000000"/>
                <w:sz w:val="16"/>
                <w:lang w:val="en-US"/>
              </w:rPr>
              <w:t>678 ± 130*** (6)</w:t>
            </w:r>
          </w:p>
        </w:tc>
        <w:tc>
          <w:tcPr>
            <w:tcW w:w="1709" w:type="dxa"/>
            <w:tcBorders>
              <w:top w:val="single" w:sz="4" w:space="0" w:color="auto"/>
              <w:left w:val="single" w:sz="4" w:space="0" w:color="auto"/>
              <w:bottom w:val="single" w:sz="4" w:space="0" w:color="auto"/>
              <w:right w:val="single" w:sz="4" w:space="0" w:color="auto"/>
            </w:tcBorders>
            <w:noWrap/>
            <w:vAlign w:val="center"/>
          </w:tcPr>
          <w:p w14:paraId="304BDFF9" w14:textId="29C6B53B" w:rsidR="00616BC4" w:rsidRPr="00D711DD" w:rsidRDefault="00616BC4" w:rsidP="00647943">
            <w:pPr>
              <w:widowControl/>
              <w:jc w:val="right"/>
              <w:rPr>
                <w:color w:val="000000"/>
                <w:sz w:val="16"/>
                <w:lang w:val="en-US"/>
              </w:rPr>
            </w:pPr>
            <w:r w:rsidRPr="00F6284E">
              <w:rPr>
                <w:color w:val="000000"/>
                <w:sz w:val="16"/>
                <w:lang w:val="en-US"/>
              </w:rPr>
              <w:t>342</w:t>
            </w:r>
            <w:r w:rsidR="00347536">
              <w:rPr>
                <w:rFonts w:cs="Arial"/>
                <w:color w:val="000000"/>
                <w:sz w:val="16"/>
                <w:szCs w:val="18"/>
                <w:lang w:val="en-US" w:bidi="ar-SA"/>
              </w:rPr>
              <w:t xml:space="preserve"> </w:t>
            </w:r>
            <w:r w:rsidRPr="00D711DD">
              <w:rPr>
                <w:color w:val="000000"/>
                <w:sz w:val="16"/>
                <w:lang w:val="en-US"/>
              </w:rPr>
              <w:t>± 87** (6)</w:t>
            </w:r>
          </w:p>
        </w:tc>
        <w:tc>
          <w:tcPr>
            <w:tcW w:w="1708" w:type="dxa"/>
            <w:tcBorders>
              <w:top w:val="single" w:sz="4" w:space="0" w:color="auto"/>
              <w:left w:val="single" w:sz="4" w:space="0" w:color="auto"/>
              <w:bottom w:val="single" w:sz="4" w:space="0" w:color="auto"/>
              <w:right w:val="single" w:sz="4" w:space="0" w:color="auto"/>
            </w:tcBorders>
            <w:noWrap/>
            <w:vAlign w:val="center"/>
          </w:tcPr>
          <w:p w14:paraId="3B9AD29F" w14:textId="6D09D352" w:rsidR="00616BC4" w:rsidRPr="000B3C14" w:rsidRDefault="00616BC4" w:rsidP="00647943">
            <w:pPr>
              <w:widowControl/>
              <w:jc w:val="right"/>
              <w:rPr>
                <w:color w:val="000000"/>
                <w:sz w:val="16"/>
                <w:lang w:val="en-US"/>
              </w:rPr>
            </w:pPr>
            <w:r w:rsidRPr="000B3C14">
              <w:rPr>
                <w:color w:val="000000"/>
                <w:sz w:val="16"/>
                <w:lang w:val="en-US"/>
              </w:rPr>
              <w:t>118 ± 22 (3)</w:t>
            </w:r>
          </w:p>
        </w:tc>
        <w:tc>
          <w:tcPr>
            <w:tcW w:w="1709" w:type="dxa"/>
            <w:tcBorders>
              <w:top w:val="single" w:sz="4" w:space="0" w:color="auto"/>
              <w:left w:val="single" w:sz="4" w:space="0" w:color="auto"/>
              <w:bottom w:val="single" w:sz="4" w:space="0" w:color="auto"/>
              <w:right w:val="single" w:sz="4" w:space="0" w:color="auto"/>
            </w:tcBorders>
            <w:noWrap/>
            <w:vAlign w:val="center"/>
          </w:tcPr>
          <w:p w14:paraId="31BD751C" w14:textId="3FA0E2C1" w:rsidR="00616BC4" w:rsidRPr="00D711DD" w:rsidRDefault="00616BC4" w:rsidP="00647943">
            <w:pPr>
              <w:widowControl/>
              <w:jc w:val="right"/>
              <w:rPr>
                <w:color w:val="000000"/>
                <w:sz w:val="16"/>
                <w:lang w:val="en-US"/>
              </w:rPr>
            </w:pPr>
            <w:r w:rsidRPr="000B3C14">
              <w:rPr>
                <w:color w:val="000000"/>
                <w:sz w:val="16"/>
                <w:lang w:val="en-US"/>
              </w:rPr>
              <w:t>43</w:t>
            </w:r>
            <w:r w:rsidR="00347536">
              <w:rPr>
                <w:rFonts w:cs="Arial"/>
                <w:color w:val="000000"/>
                <w:sz w:val="16"/>
                <w:szCs w:val="18"/>
                <w:lang w:val="en-US" w:bidi="ar-SA"/>
              </w:rPr>
              <w:t xml:space="preserve"> </w:t>
            </w:r>
            <w:r w:rsidRPr="00D711DD">
              <w:rPr>
                <w:color w:val="000000"/>
                <w:sz w:val="16"/>
                <w:lang w:val="en-US"/>
              </w:rPr>
              <w:t>±12 (5)</w:t>
            </w:r>
          </w:p>
        </w:tc>
      </w:tr>
      <w:tr w:rsidR="00616BC4" w:rsidRPr="008A03FB" w14:paraId="3C728CDE" w14:textId="77777777" w:rsidTr="00F6284E">
        <w:trPr>
          <w:trHeight w:val="300"/>
          <w:jc w:val="center"/>
        </w:trPr>
        <w:tc>
          <w:tcPr>
            <w:tcW w:w="1949" w:type="dxa"/>
            <w:tcBorders>
              <w:top w:val="single" w:sz="4" w:space="0" w:color="auto"/>
              <w:left w:val="single" w:sz="4" w:space="0" w:color="auto"/>
              <w:bottom w:val="single" w:sz="4" w:space="0" w:color="auto"/>
              <w:right w:val="single" w:sz="4" w:space="0" w:color="auto"/>
            </w:tcBorders>
            <w:noWrap/>
            <w:vAlign w:val="center"/>
          </w:tcPr>
          <w:p w14:paraId="2CDE43A8" w14:textId="77777777" w:rsidR="00616BC4" w:rsidRPr="00D711DD" w:rsidRDefault="00616BC4" w:rsidP="00A111E9">
            <w:pPr>
              <w:widowControl/>
              <w:rPr>
                <w:color w:val="000000"/>
                <w:sz w:val="18"/>
                <w:lang w:val="en-US"/>
              </w:rPr>
            </w:pPr>
            <w:r w:rsidRPr="00D711DD">
              <w:rPr>
                <w:color w:val="000000"/>
                <w:sz w:val="18"/>
                <w:lang w:val="en-US"/>
              </w:rPr>
              <w:t>1.0 mg/kg</w:t>
            </w:r>
          </w:p>
        </w:tc>
        <w:tc>
          <w:tcPr>
            <w:tcW w:w="1708" w:type="dxa"/>
            <w:tcBorders>
              <w:top w:val="single" w:sz="4" w:space="0" w:color="auto"/>
              <w:left w:val="single" w:sz="4" w:space="0" w:color="auto"/>
              <w:bottom w:val="single" w:sz="4" w:space="0" w:color="auto"/>
              <w:right w:val="single" w:sz="4" w:space="0" w:color="auto"/>
            </w:tcBorders>
            <w:noWrap/>
            <w:vAlign w:val="center"/>
          </w:tcPr>
          <w:p w14:paraId="68C5893F" w14:textId="5F942CAC" w:rsidR="00616BC4" w:rsidRPr="000B3C14" w:rsidRDefault="00616BC4" w:rsidP="00647943">
            <w:pPr>
              <w:widowControl/>
              <w:jc w:val="right"/>
              <w:rPr>
                <w:color w:val="000000"/>
                <w:sz w:val="16"/>
                <w:lang w:val="en-US"/>
              </w:rPr>
            </w:pPr>
            <w:r w:rsidRPr="000B3C14">
              <w:rPr>
                <w:color w:val="000000"/>
                <w:sz w:val="16"/>
                <w:lang w:val="en-US"/>
              </w:rPr>
              <w:t>8134 ± 740*** (5)</w:t>
            </w:r>
          </w:p>
        </w:tc>
        <w:tc>
          <w:tcPr>
            <w:tcW w:w="1708" w:type="dxa"/>
            <w:tcBorders>
              <w:top w:val="single" w:sz="4" w:space="0" w:color="auto"/>
              <w:left w:val="single" w:sz="4" w:space="0" w:color="auto"/>
              <w:bottom w:val="single" w:sz="4" w:space="0" w:color="auto"/>
              <w:right w:val="single" w:sz="4" w:space="0" w:color="auto"/>
            </w:tcBorders>
            <w:noWrap/>
            <w:vAlign w:val="center"/>
          </w:tcPr>
          <w:p w14:paraId="14862133" w14:textId="1159AE19" w:rsidR="00616BC4" w:rsidRPr="00F6284E" w:rsidRDefault="00616BC4" w:rsidP="00647943">
            <w:pPr>
              <w:widowControl/>
              <w:ind w:hanging="18"/>
              <w:jc w:val="right"/>
              <w:rPr>
                <w:color w:val="000000"/>
                <w:sz w:val="16"/>
                <w:lang w:val="en-US"/>
              </w:rPr>
            </w:pPr>
            <w:r w:rsidRPr="00F6284E">
              <w:rPr>
                <w:color w:val="000000"/>
                <w:sz w:val="16"/>
                <w:lang w:val="en-US"/>
              </w:rPr>
              <w:t>4152 ± 483*** (6)</w:t>
            </w:r>
          </w:p>
        </w:tc>
        <w:tc>
          <w:tcPr>
            <w:tcW w:w="1709" w:type="dxa"/>
            <w:tcBorders>
              <w:top w:val="single" w:sz="4" w:space="0" w:color="auto"/>
              <w:left w:val="single" w:sz="4" w:space="0" w:color="auto"/>
              <w:bottom w:val="single" w:sz="4" w:space="0" w:color="auto"/>
              <w:right w:val="single" w:sz="4" w:space="0" w:color="auto"/>
            </w:tcBorders>
            <w:noWrap/>
            <w:vAlign w:val="center"/>
          </w:tcPr>
          <w:p w14:paraId="387BA10E" w14:textId="54682458" w:rsidR="00616BC4" w:rsidRPr="00F6284E" w:rsidRDefault="00616BC4" w:rsidP="00647943">
            <w:pPr>
              <w:widowControl/>
              <w:jc w:val="right"/>
              <w:rPr>
                <w:color w:val="000000"/>
                <w:sz w:val="16"/>
                <w:lang w:val="en-US"/>
              </w:rPr>
            </w:pPr>
            <w:r w:rsidRPr="00F6284E">
              <w:rPr>
                <w:color w:val="000000"/>
                <w:sz w:val="16"/>
                <w:lang w:val="en-US"/>
              </w:rPr>
              <w:t>1939 ± 637*** (5)</w:t>
            </w:r>
          </w:p>
        </w:tc>
        <w:tc>
          <w:tcPr>
            <w:tcW w:w="1708" w:type="dxa"/>
            <w:tcBorders>
              <w:top w:val="single" w:sz="4" w:space="0" w:color="auto"/>
              <w:left w:val="single" w:sz="4" w:space="0" w:color="auto"/>
              <w:bottom w:val="single" w:sz="4" w:space="0" w:color="auto"/>
              <w:right w:val="single" w:sz="4" w:space="0" w:color="auto"/>
            </w:tcBorders>
            <w:noWrap/>
            <w:vAlign w:val="center"/>
          </w:tcPr>
          <w:p w14:paraId="6373400C" w14:textId="2C2F3F4A" w:rsidR="00616BC4" w:rsidRPr="00F6284E" w:rsidRDefault="00616BC4" w:rsidP="00647943">
            <w:pPr>
              <w:widowControl/>
              <w:jc w:val="right"/>
              <w:rPr>
                <w:color w:val="000000"/>
                <w:sz w:val="16"/>
                <w:lang w:val="en-US"/>
              </w:rPr>
            </w:pPr>
            <w:r w:rsidRPr="00F6284E">
              <w:rPr>
                <w:color w:val="000000"/>
                <w:sz w:val="16"/>
                <w:lang w:val="en-US"/>
              </w:rPr>
              <w:t>2007 ± 560*** (4)</w:t>
            </w:r>
          </w:p>
        </w:tc>
        <w:tc>
          <w:tcPr>
            <w:tcW w:w="1709" w:type="dxa"/>
            <w:tcBorders>
              <w:top w:val="single" w:sz="4" w:space="0" w:color="auto"/>
              <w:left w:val="single" w:sz="4" w:space="0" w:color="auto"/>
              <w:bottom w:val="single" w:sz="4" w:space="0" w:color="auto"/>
              <w:right w:val="single" w:sz="4" w:space="0" w:color="auto"/>
            </w:tcBorders>
            <w:noWrap/>
            <w:vAlign w:val="center"/>
          </w:tcPr>
          <w:p w14:paraId="09A52EBC" w14:textId="720D6085" w:rsidR="00616BC4" w:rsidRPr="00F6284E" w:rsidRDefault="00616BC4" w:rsidP="00647943">
            <w:pPr>
              <w:widowControl/>
              <w:jc w:val="right"/>
              <w:rPr>
                <w:color w:val="000000"/>
                <w:sz w:val="16"/>
                <w:lang w:val="en-US"/>
              </w:rPr>
            </w:pPr>
            <w:r w:rsidRPr="00F6284E">
              <w:rPr>
                <w:color w:val="000000"/>
                <w:sz w:val="16"/>
                <w:lang w:val="en-US"/>
              </w:rPr>
              <w:t>617 ± 145*** (6)</w:t>
            </w:r>
          </w:p>
        </w:tc>
        <w:tc>
          <w:tcPr>
            <w:tcW w:w="1708" w:type="dxa"/>
            <w:tcBorders>
              <w:top w:val="single" w:sz="4" w:space="0" w:color="auto"/>
              <w:left w:val="single" w:sz="4" w:space="0" w:color="auto"/>
              <w:bottom w:val="single" w:sz="4" w:space="0" w:color="auto"/>
              <w:right w:val="single" w:sz="4" w:space="0" w:color="auto"/>
            </w:tcBorders>
            <w:noWrap/>
            <w:vAlign w:val="center"/>
          </w:tcPr>
          <w:p w14:paraId="62AA9441" w14:textId="6DCC2B48" w:rsidR="00616BC4" w:rsidRPr="00F6284E" w:rsidRDefault="00616BC4" w:rsidP="00647943">
            <w:pPr>
              <w:widowControl/>
              <w:jc w:val="right"/>
              <w:rPr>
                <w:color w:val="000000"/>
                <w:sz w:val="16"/>
                <w:lang w:val="en-US"/>
              </w:rPr>
            </w:pPr>
            <w:r w:rsidRPr="00F6284E">
              <w:rPr>
                <w:color w:val="000000"/>
                <w:sz w:val="16"/>
                <w:lang w:val="en-US"/>
              </w:rPr>
              <w:t>320 ± 113 (5)</w:t>
            </w:r>
          </w:p>
        </w:tc>
        <w:tc>
          <w:tcPr>
            <w:tcW w:w="1709" w:type="dxa"/>
            <w:tcBorders>
              <w:top w:val="single" w:sz="4" w:space="0" w:color="auto"/>
              <w:left w:val="single" w:sz="4" w:space="0" w:color="auto"/>
              <w:bottom w:val="single" w:sz="4" w:space="0" w:color="auto"/>
              <w:right w:val="single" w:sz="4" w:space="0" w:color="auto"/>
            </w:tcBorders>
            <w:noWrap/>
            <w:vAlign w:val="center"/>
          </w:tcPr>
          <w:p w14:paraId="2233E8B1" w14:textId="632157D8" w:rsidR="00616BC4" w:rsidRPr="00F6284E" w:rsidRDefault="00616BC4" w:rsidP="00647943">
            <w:pPr>
              <w:widowControl/>
              <w:jc w:val="right"/>
              <w:rPr>
                <w:color w:val="000000"/>
                <w:sz w:val="16"/>
                <w:lang w:val="en-US"/>
              </w:rPr>
            </w:pPr>
            <w:r w:rsidRPr="00F6284E">
              <w:rPr>
                <w:color w:val="000000"/>
                <w:sz w:val="16"/>
                <w:lang w:val="en-US"/>
              </w:rPr>
              <w:t>55 ± 12 (4)</w:t>
            </w:r>
          </w:p>
        </w:tc>
      </w:tr>
      <w:tr w:rsidR="00616BC4" w:rsidRPr="008A03FB" w14:paraId="5157A38D" w14:textId="77777777" w:rsidTr="00F6284E">
        <w:trPr>
          <w:trHeight w:val="300"/>
          <w:jc w:val="center"/>
        </w:trPr>
        <w:tc>
          <w:tcPr>
            <w:tcW w:w="1949" w:type="dxa"/>
            <w:tcBorders>
              <w:top w:val="single" w:sz="4" w:space="0" w:color="auto"/>
              <w:left w:val="single" w:sz="4" w:space="0" w:color="auto"/>
              <w:bottom w:val="single" w:sz="4" w:space="0" w:color="auto"/>
              <w:right w:val="single" w:sz="4" w:space="0" w:color="auto"/>
            </w:tcBorders>
            <w:noWrap/>
            <w:vAlign w:val="center"/>
          </w:tcPr>
          <w:p w14:paraId="1192EDD4" w14:textId="77777777" w:rsidR="00616BC4" w:rsidRPr="00D711DD" w:rsidRDefault="00616BC4" w:rsidP="00A111E9">
            <w:pPr>
              <w:widowControl/>
              <w:rPr>
                <w:color w:val="000000"/>
                <w:sz w:val="18"/>
                <w:lang w:val="en-US"/>
              </w:rPr>
            </w:pPr>
            <w:r w:rsidRPr="00D711DD">
              <w:rPr>
                <w:color w:val="000000"/>
                <w:sz w:val="18"/>
                <w:lang w:val="en-US"/>
              </w:rPr>
              <w:t>3.0 mg/kg</w:t>
            </w:r>
          </w:p>
        </w:tc>
        <w:tc>
          <w:tcPr>
            <w:tcW w:w="1708" w:type="dxa"/>
            <w:tcBorders>
              <w:top w:val="single" w:sz="4" w:space="0" w:color="auto"/>
              <w:left w:val="single" w:sz="4" w:space="0" w:color="auto"/>
              <w:bottom w:val="single" w:sz="4" w:space="0" w:color="auto"/>
              <w:right w:val="single" w:sz="4" w:space="0" w:color="auto"/>
            </w:tcBorders>
            <w:noWrap/>
            <w:vAlign w:val="center"/>
          </w:tcPr>
          <w:p w14:paraId="2CF09A7F" w14:textId="5C1B8A1E" w:rsidR="00616BC4" w:rsidRPr="000B3C14" w:rsidRDefault="00616BC4" w:rsidP="00647943">
            <w:pPr>
              <w:widowControl/>
              <w:jc w:val="right"/>
              <w:rPr>
                <w:color w:val="000000"/>
                <w:sz w:val="16"/>
                <w:lang w:val="en-US"/>
              </w:rPr>
            </w:pPr>
            <w:r w:rsidRPr="000B3C14">
              <w:rPr>
                <w:color w:val="000000"/>
                <w:sz w:val="16"/>
                <w:lang w:val="en-US"/>
              </w:rPr>
              <w:t>16</w:t>
            </w:r>
            <w:r w:rsidR="00CC26CA">
              <w:rPr>
                <w:color w:val="000000"/>
                <w:sz w:val="16"/>
                <w:lang w:val="en-US"/>
              </w:rPr>
              <w:t> 700</w:t>
            </w:r>
            <w:r w:rsidRPr="000B3C14">
              <w:rPr>
                <w:color w:val="000000"/>
                <w:sz w:val="16"/>
                <w:lang w:val="en-US"/>
              </w:rPr>
              <w:t xml:space="preserve"> ± 749*** (4)</w:t>
            </w:r>
          </w:p>
        </w:tc>
        <w:tc>
          <w:tcPr>
            <w:tcW w:w="1708" w:type="dxa"/>
            <w:tcBorders>
              <w:top w:val="single" w:sz="4" w:space="0" w:color="auto"/>
              <w:left w:val="single" w:sz="4" w:space="0" w:color="auto"/>
              <w:bottom w:val="single" w:sz="4" w:space="0" w:color="auto"/>
              <w:right w:val="single" w:sz="4" w:space="0" w:color="auto"/>
            </w:tcBorders>
            <w:noWrap/>
            <w:vAlign w:val="center"/>
          </w:tcPr>
          <w:p w14:paraId="020CEC64" w14:textId="278E8049" w:rsidR="00616BC4" w:rsidRPr="000B3C14" w:rsidRDefault="00616BC4" w:rsidP="00647943">
            <w:pPr>
              <w:widowControl/>
              <w:jc w:val="right"/>
              <w:rPr>
                <w:color w:val="000000"/>
                <w:sz w:val="16"/>
                <w:lang w:val="en-US"/>
              </w:rPr>
            </w:pPr>
            <w:r w:rsidRPr="000B3C14">
              <w:rPr>
                <w:color w:val="000000"/>
                <w:sz w:val="16"/>
                <w:lang w:val="en-US"/>
              </w:rPr>
              <w:t>10</w:t>
            </w:r>
            <w:r w:rsidR="00CC26CA">
              <w:rPr>
                <w:color w:val="000000"/>
                <w:sz w:val="16"/>
                <w:lang w:val="en-US"/>
              </w:rPr>
              <w:t> 290</w:t>
            </w:r>
            <w:r w:rsidRPr="000B3C14">
              <w:rPr>
                <w:color w:val="000000"/>
                <w:sz w:val="16"/>
                <w:lang w:val="en-US"/>
              </w:rPr>
              <w:t xml:space="preserve"> ± 1028*** (4)</w:t>
            </w:r>
          </w:p>
        </w:tc>
        <w:tc>
          <w:tcPr>
            <w:tcW w:w="1709" w:type="dxa"/>
            <w:tcBorders>
              <w:top w:val="single" w:sz="4" w:space="0" w:color="auto"/>
              <w:left w:val="single" w:sz="4" w:space="0" w:color="auto"/>
              <w:bottom w:val="single" w:sz="4" w:space="0" w:color="auto"/>
              <w:right w:val="single" w:sz="4" w:space="0" w:color="auto"/>
            </w:tcBorders>
            <w:noWrap/>
            <w:vAlign w:val="center"/>
          </w:tcPr>
          <w:p w14:paraId="4CF1345A" w14:textId="07B0F334" w:rsidR="00616BC4" w:rsidRPr="00F6284E" w:rsidRDefault="00616BC4" w:rsidP="00647943">
            <w:pPr>
              <w:widowControl/>
              <w:jc w:val="right"/>
              <w:rPr>
                <w:color w:val="000000"/>
                <w:sz w:val="16"/>
                <w:lang w:val="en-US"/>
              </w:rPr>
            </w:pPr>
            <w:r w:rsidRPr="00F6284E">
              <w:rPr>
                <w:color w:val="000000"/>
                <w:sz w:val="16"/>
                <w:lang w:val="en-US"/>
              </w:rPr>
              <w:t>2339 ± 1241*** (3)</w:t>
            </w:r>
          </w:p>
        </w:tc>
        <w:tc>
          <w:tcPr>
            <w:tcW w:w="1708" w:type="dxa"/>
            <w:tcBorders>
              <w:top w:val="single" w:sz="4" w:space="0" w:color="auto"/>
              <w:left w:val="single" w:sz="4" w:space="0" w:color="auto"/>
              <w:bottom w:val="single" w:sz="4" w:space="0" w:color="auto"/>
              <w:right w:val="single" w:sz="4" w:space="0" w:color="auto"/>
            </w:tcBorders>
            <w:noWrap/>
            <w:vAlign w:val="center"/>
          </w:tcPr>
          <w:p w14:paraId="25678981" w14:textId="40875833" w:rsidR="00616BC4" w:rsidRPr="00F6284E" w:rsidRDefault="00616BC4" w:rsidP="00647943">
            <w:pPr>
              <w:widowControl/>
              <w:jc w:val="right"/>
              <w:rPr>
                <w:color w:val="000000"/>
                <w:sz w:val="16"/>
                <w:lang w:val="en-US"/>
              </w:rPr>
            </w:pPr>
            <w:r w:rsidRPr="00F6284E">
              <w:rPr>
                <w:color w:val="000000"/>
                <w:sz w:val="16"/>
                <w:lang w:val="en-US"/>
              </w:rPr>
              <w:t>7124 ± 1081*** (6)</w:t>
            </w:r>
          </w:p>
        </w:tc>
        <w:tc>
          <w:tcPr>
            <w:tcW w:w="1709" w:type="dxa"/>
            <w:tcBorders>
              <w:top w:val="single" w:sz="4" w:space="0" w:color="auto"/>
              <w:left w:val="single" w:sz="4" w:space="0" w:color="auto"/>
              <w:bottom w:val="single" w:sz="4" w:space="0" w:color="auto"/>
              <w:right w:val="single" w:sz="4" w:space="0" w:color="auto"/>
            </w:tcBorders>
            <w:noWrap/>
            <w:vAlign w:val="center"/>
          </w:tcPr>
          <w:p w14:paraId="3E871B51" w14:textId="34AF2635" w:rsidR="00616BC4" w:rsidRPr="00F6284E" w:rsidRDefault="00616BC4" w:rsidP="00647943">
            <w:pPr>
              <w:widowControl/>
              <w:jc w:val="right"/>
              <w:rPr>
                <w:color w:val="000000"/>
                <w:sz w:val="16"/>
                <w:lang w:val="en-US"/>
              </w:rPr>
            </w:pPr>
            <w:r w:rsidRPr="00F6284E">
              <w:rPr>
                <w:color w:val="000000"/>
                <w:sz w:val="16"/>
                <w:lang w:val="en-US"/>
              </w:rPr>
              <w:t>1145 ± 274*** (4)</w:t>
            </w:r>
          </w:p>
        </w:tc>
        <w:tc>
          <w:tcPr>
            <w:tcW w:w="1708" w:type="dxa"/>
            <w:tcBorders>
              <w:top w:val="single" w:sz="4" w:space="0" w:color="auto"/>
              <w:left w:val="single" w:sz="4" w:space="0" w:color="auto"/>
              <w:bottom w:val="single" w:sz="4" w:space="0" w:color="auto"/>
              <w:right w:val="single" w:sz="4" w:space="0" w:color="auto"/>
            </w:tcBorders>
            <w:noWrap/>
            <w:vAlign w:val="center"/>
          </w:tcPr>
          <w:p w14:paraId="2634AD6F" w14:textId="12047551" w:rsidR="00616BC4" w:rsidRPr="00F6284E" w:rsidRDefault="00616BC4" w:rsidP="00647943">
            <w:pPr>
              <w:widowControl/>
              <w:jc w:val="right"/>
              <w:rPr>
                <w:color w:val="000000"/>
                <w:sz w:val="16"/>
                <w:lang w:val="en-US"/>
              </w:rPr>
            </w:pPr>
            <w:r w:rsidRPr="00F6284E">
              <w:rPr>
                <w:color w:val="000000"/>
                <w:sz w:val="16"/>
                <w:lang w:val="en-US"/>
              </w:rPr>
              <w:t>417 ± 160 (2)</w:t>
            </w:r>
          </w:p>
        </w:tc>
        <w:tc>
          <w:tcPr>
            <w:tcW w:w="1709" w:type="dxa"/>
            <w:tcBorders>
              <w:top w:val="single" w:sz="4" w:space="0" w:color="auto"/>
              <w:left w:val="single" w:sz="4" w:space="0" w:color="auto"/>
              <w:bottom w:val="single" w:sz="4" w:space="0" w:color="auto"/>
              <w:right w:val="single" w:sz="4" w:space="0" w:color="auto"/>
            </w:tcBorders>
            <w:noWrap/>
            <w:vAlign w:val="center"/>
          </w:tcPr>
          <w:p w14:paraId="4ACA637E" w14:textId="340A0E40" w:rsidR="00616BC4" w:rsidRPr="00F6284E" w:rsidRDefault="00616BC4" w:rsidP="00647943">
            <w:pPr>
              <w:widowControl/>
              <w:jc w:val="right"/>
              <w:rPr>
                <w:color w:val="000000"/>
                <w:sz w:val="16"/>
                <w:lang w:val="en-US"/>
              </w:rPr>
            </w:pPr>
            <w:r w:rsidRPr="00F6284E">
              <w:rPr>
                <w:color w:val="000000"/>
                <w:sz w:val="16"/>
                <w:lang w:val="en-US"/>
              </w:rPr>
              <w:t>235 ± 79** (2)</w:t>
            </w:r>
          </w:p>
        </w:tc>
      </w:tr>
      <w:tr w:rsidR="00616BC4" w:rsidRPr="008A03FB" w14:paraId="7DD46D8F" w14:textId="77777777" w:rsidTr="00F6284E">
        <w:trPr>
          <w:trHeight w:val="300"/>
          <w:jc w:val="center"/>
        </w:trPr>
        <w:tc>
          <w:tcPr>
            <w:tcW w:w="13908" w:type="dxa"/>
            <w:gridSpan w:val="8"/>
            <w:tcBorders>
              <w:top w:val="single" w:sz="4" w:space="0" w:color="auto"/>
              <w:left w:val="single" w:sz="4" w:space="0" w:color="auto"/>
              <w:bottom w:val="single" w:sz="4" w:space="0" w:color="auto"/>
              <w:right w:val="single" w:sz="4" w:space="0" w:color="auto"/>
            </w:tcBorders>
            <w:noWrap/>
            <w:vAlign w:val="center"/>
          </w:tcPr>
          <w:p w14:paraId="1A7461B0" w14:textId="192F3B91" w:rsidR="00616BC4" w:rsidRPr="000B3C14" w:rsidRDefault="00F6332B" w:rsidP="00647943">
            <w:pPr>
              <w:widowControl/>
              <w:rPr>
                <w:color w:val="000000"/>
                <w:sz w:val="18"/>
                <w:lang w:val="en-US"/>
              </w:rPr>
            </w:pPr>
            <w:r w:rsidRPr="00D711DD">
              <w:rPr>
                <w:i/>
                <w:color w:val="000000"/>
                <w:sz w:val="18"/>
                <w:lang w:val="en-US"/>
              </w:rPr>
              <w:t>Brain (ng/</w:t>
            </w:r>
            <w:r w:rsidRPr="000B3C14">
              <w:rPr>
                <w:i/>
                <w:color w:val="000000"/>
                <w:sz w:val="18"/>
                <w:lang w:val="en-US"/>
              </w:rPr>
              <w:t>g)</w:t>
            </w:r>
          </w:p>
        </w:tc>
      </w:tr>
      <w:tr w:rsidR="00616BC4" w:rsidRPr="008A03FB" w14:paraId="4AD280DA" w14:textId="77777777" w:rsidTr="00F6284E">
        <w:trPr>
          <w:trHeight w:val="300"/>
          <w:jc w:val="center"/>
        </w:trPr>
        <w:tc>
          <w:tcPr>
            <w:tcW w:w="1949" w:type="dxa"/>
            <w:tcBorders>
              <w:top w:val="single" w:sz="4" w:space="0" w:color="auto"/>
              <w:left w:val="single" w:sz="4" w:space="0" w:color="auto"/>
              <w:bottom w:val="single" w:sz="4" w:space="0" w:color="auto"/>
              <w:right w:val="single" w:sz="4" w:space="0" w:color="auto"/>
            </w:tcBorders>
            <w:noWrap/>
            <w:vAlign w:val="center"/>
          </w:tcPr>
          <w:p w14:paraId="597BF1DF" w14:textId="77777777" w:rsidR="00616BC4" w:rsidRPr="00D711DD" w:rsidRDefault="00616BC4" w:rsidP="00A111E9">
            <w:pPr>
              <w:widowControl/>
              <w:rPr>
                <w:color w:val="000000"/>
                <w:sz w:val="18"/>
                <w:lang w:val="en-US"/>
              </w:rPr>
            </w:pPr>
            <w:r w:rsidRPr="00D711DD">
              <w:rPr>
                <w:color w:val="000000"/>
                <w:sz w:val="18"/>
                <w:lang w:val="en-US"/>
              </w:rPr>
              <w:t>Control</w:t>
            </w:r>
          </w:p>
        </w:tc>
        <w:tc>
          <w:tcPr>
            <w:tcW w:w="1708" w:type="dxa"/>
            <w:tcBorders>
              <w:top w:val="single" w:sz="4" w:space="0" w:color="auto"/>
              <w:left w:val="single" w:sz="4" w:space="0" w:color="auto"/>
              <w:bottom w:val="single" w:sz="4" w:space="0" w:color="auto"/>
              <w:right w:val="single" w:sz="4" w:space="0" w:color="auto"/>
            </w:tcBorders>
            <w:noWrap/>
            <w:vAlign w:val="center"/>
          </w:tcPr>
          <w:p w14:paraId="02FAD9A6" w14:textId="77777777" w:rsidR="00616BC4" w:rsidRPr="000B3C14" w:rsidRDefault="00616BC4" w:rsidP="00647943">
            <w:pPr>
              <w:widowControl/>
              <w:jc w:val="right"/>
              <w:rPr>
                <w:color w:val="000000"/>
                <w:sz w:val="16"/>
                <w:lang w:val="en-US"/>
              </w:rPr>
            </w:pPr>
            <w:r w:rsidRPr="000B3C14">
              <w:rPr>
                <w:color w:val="000000"/>
                <w:sz w:val="16"/>
                <w:lang w:val="en-US"/>
              </w:rPr>
              <w:t>&lt;35, LOQ (5)</w:t>
            </w:r>
          </w:p>
        </w:tc>
        <w:tc>
          <w:tcPr>
            <w:tcW w:w="1708" w:type="dxa"/>
            <w:tcBorders>
              <w:top w:val="single" w:sz="4" w:space="0" w:color="auto"/>
              <w:left w:val="single" w:sz="4" w:space="0" w:color="auto"/>
              <w:bottom w:val="single" w:sz="4" w:space="0" w:color="auto"/>
              <w:right w:val="single" w:sz="4" w:space="0" w:color="auto"/>
            </w:tcBorders>
            <w:noWrap/>
            <w:vAlign w:val="center"/>
          </w:tcPr>
          <w:p w14:paraId="6C7C5C6A" w14:textId="77777777" w:rsidR="00616BC4" w:rsidRPr="000B3C14" w:rsidRDefault="00616BC4" w:rsidP="00647943">
            <w:pPr>
              <w:widowControl/>
              <w:jc w:val="right"/>
              <w:rPr>
                <w:color w:val="000000"/>
                <w:sz w:val="16"/>
                <w:lang w:val="en-US"/>
              </w:rPr>
            </w:pPr>
            <w:r w:rsidRPr="000B3C14">
              <w:rPr>
                <w:color w:val="000000"/>
                <w:sz w:val="16"/>
                <w:lang w:val="en-US"/>
              </w:rPr>
              <w:t>&lt;LOQ (4)</w:t>
            </w:r>
          </w:p>
        </w:tc>
        <w:tc>
          <w:tcPr>
            <w:tcW w:w="1709" w:type="dxa"/>
            <w:tcBorders>
              <w:top w:val="single" w:sz="4" w:space="0" w:color="auto"/>
              <w:left w:val="single" w:sz="4" w:space="0" w:color="auto"/>
              <w:bottom w:val="single" w:sz="4" w:space="0" w:color="auto"/>
              <w:right w:val="single" w:sz="4" w:space="0" w:color="auto"/>
            </w:tcBorders>
            <w:noWrap/>
            <w:vAlign w:val="center"/>
          </w:tcPr>
          <w:p w14:paraId="79F247AA" w14:textId="77777777" w:rsidR="00616BC4" w:rsidRPr="00F6284E" w:rsidRDefault="00616BC4" w:rsidP="00647943">
            <w:pPr>
              <w:widowControl/>
              <w:jc w:val="right"/>
              <w:rPr>
                <w:color w:val="000000"/>
                <w:sz w:val="16"/>
                <w:lang w:val="en-US"/>
              </w:rPr>
            </w:pPr>
            <w:r w:rsidRPr="00F6284E">
              <w:rPr>
                <w:color w:val="000000"/>
                <w:sz w:val="16"/>
                <w:lang w:val="en-US"/>
              </w:rPr>
              <w:t>&lt;LOQ (6)</w:t>
            </w:r>
          </w:p>
        </w:tc>
        <w:tc>
          <w:tcPr>
            <w:tcW w:w="1708" w:type="dxa"/>
            <w:tcBorders>
              <w:top w:val="single" w:sz="4" w:space="0" w:color="auto"/>
              <w:left w:val="single" w:sz="4" w:space="0" w:color="auto"/>
              <w:bottom w:val="single" w:sz="4" w:space="0" w:color="auto"/>
              <w:right w:val="single" w:sz="4" w:space="0" w:color="auto"/>
            </w:tcBorders>
            <w:noWrap/>
            <w:vAlign w:val="center"/>
          </w:tcPr>
          <w:p w14:paraId="5EB450F2" w14:textId="77777777" w:rsidR="00616BC4" w:rsidRPr="00F6284E" w:rsidRDefault="00616BC4" w:rsidP="00647943">
            <w:pPr>
              <w:widowControl/>
              <w:jc w:val="right"/>
              <w:rPr>
                <w:sz w:val="16"/>
                <w:lang w:val="en-US"/>
              </w:rPr>
            </w:pPr>
            <w:r w:rsidRPr="00F6284E">
              <w:rPr>
                <w:color w:val="000000"/>
                <w:sz w:val="16"/>
                <w:lang w:val="en-US"/>
              </w:rPr>
              <w:t>&lt;LOQ (4)</w:t>
            </w:r>
          </w:p>
        </w:tc>
        <w:tc>
          <w:tcPr>
            <w:tcW w:w="1709" w:type="dxa"/>
            <w:tcBorders>
              <w:top w:val="single" w:sz="4" w:space="0" w:color="auto"/>
              <w:left w:val="single" w:sz="4" w:space="0" w:color="auto"/>
              <w:bottom w:val="single" w:sz="4" w:space="0" w:color="auto"/>
              <w:right w:val="single" w:sz="4" w:space="0" w:color="auto"/>
            </w:tcBorders>
            <w:noWrap/>
            <w:vAlign w:val="center"/>
          </w:tcPr>
          <w:p w14:paraId="46924E6C" w14:textId="77777777" w:rsidR="00616BC4" w:rsidRPr="00F6284E" w:rsidRDefault="00616BC4" w:rsidP="00647943">
            <w:pPr>
              <w:widowControl/>
              <w:jc w:val="right"/>
              <w:rPr>
                <w:sz w:val="16"/>
                <w:lang w:val="en-US"/>
              </w:rPr>
            </w:pPr>
            <w:r w:rsidRPr="00F6284E">
              <w:rPr>
                <w:color w:val="000000"/>
                <w:sz w:val="16"/>
                <w:lang w:val="en-US"/>
              </w:rPr>
              <w:t>&lt;LOQ (4)</w:t>
            </w:r>
          </w:p>
        </w:tc>
        <w:tc>
          <w:tcPr>
            <w:tcW w:w="1708" w:type="dxa"/>
            <w:tcBorders>
              <w:top w:val="single" w:sz="4" w:space="0" w:color="auto"/>
              <w:left w:val="single" w:sz="4" w:space="0" w:color="auto"/>
              <w:bottom w:val="single" w:sz="4" w:space="0" w:color="auto"/>
              <w:right w:val="single" w:sz="4" w:space="0" w:color="auto"/>
            </w:tcBorders>
            <w:noWrap/>
            <w:vAlign w:val="center"/>
          </w:tcPr>
          <w:p w14:paraId="75D75E65" w14:textId="77777777" w:rsidR="00616BC4" w:rsidRPr="00F6284E" w:rsidRDefault="00616BC4" w:rsidP="00647943">
            <w:pPr>
              <w:widowControl/>
              <w:jc w:val="right"/>
              <w:rPr>
                <w:color w:val="000000"/>
                <w:sz w:val="16"/>
                <w:lang w:val="en-US"/>
              </w:rPr>
            </w:pPr>
            <w:r w:rsidRPr="00F6284E">
              <w:rPr>
                <w:color w:val="000000"/>
                <w:sz w:val="16"/>
                <w:lang w:val="en-US"/>
              </w:rPr>
              <w:t>-</w:t>
            </w:r>
          </w:p>
        </w:tc>
        <w:tc>
          <w:tcPr>
            <w:tcW w:w="1709" w:type="dxa"/>
            <w:tcBorders>
              <w:top w:val="single" w:sz="4" w:space="0" w:color="auto"/>
              <w:left w:val="single" w:sz="4" w:space="0" w:color="auto"/>
              <w:bottom w:val="single" w:sz="4" w:space="0" w:color="auto"/>
              <w:right w:val="single" w:sz="4" w:space="0" w:color="auto"/>
            </w:tcBorders>
            <w:noWrap/>
            <w:vAlign w:val="center"/>
          </w:tcPr>
          <w:p w14:paraId="624D4EBD" w14:textId="77777777" w:rsidR="00616BC4" w:rsidRPr="00F6284E" w:rsidRDefault="00616BC4" w:rsidP="00647943">
            <w:pPr>
              <w:widowControl/>
              <w:jc w:val="right"/>
              <w:rPr>
                <w:sz w:val="16"/>
                <w:lang w:val="en-US"/>
              </w:rPr>
            </w:pPr>
            <w:r w:rsidRPr="00F6284E">
              <w:rPr>
                <w:color w:val="000000"/>
                <w:sz w:val="16"/>
                <w:lang w:val="en-US"/>
              </w:rPr>
              <w:t>&lt;LOQ (2)</w:t>
            </w:r>
          </w:p>
        </w:tc>
      </w:tr>
      <w:tr w:rsidR="00616BC4" w:rsidRPr="008A03FB" w14:paraId="0964B2E0" w14:textId="77777777" w:rsidTr="00F6284E">
        <w:trPr>
          <w:trHeight w:val="300"/>
          <w:jc w:val="center"/>
        </w:trPr>
        <w:tc>
          <w:tcPr>
            <w:tcW w:w="1949" w:type="dxa"/>
            <w:tcBorders>
              <w:top w:val="single" w:sz="4" w:space="0" w:color="auto"/>
              <w:left w:val="single" w:sz="4" w:space="0" w:color="auto"/>
              <w:bottom w:val="single" w:sz="4" w:space="0" w:color="auto"/>
              <w:right w:val="single" w:sz="4" w:space="0" w:color="auto"/>
            </w:tcBorders>
            <w:noWrap/>
            <w:vAlign w:val="center"/>
          </w:tcPr>
          <w:p w14:paraId="08A5FD05" w14:textId="77777777" w:rsidR="00616BC4" w:rsidRPr="00D711DD" w:rsidRDefault="00616BC4" w:rsidP="00A111E9">
            <w:pPr>
              <w:widowControl/>
              <w:rPr>
                <w:color w:val="000000"/>
                <w:sz w:val="18"/>
                <w:lang w:val="en-US"/>
              </w:rPr>
            </w:pPr>
            <w:r w:rsidRPr="00D711DD">
              <w:rPr>
                <w:color w:val="000000"/>
                <w:sz w:val="18"/>
                <w:lang w:val="en-US"/>
              </w:rPr>
              <w:t>0.3 mg/kg</w:t>
            </w:r>
          </w:p>
        </w:tc>
        <w:tc>
          <w:tcPr>
            <w:tcW w:w="1708" w:type="dxa"/>
            <w:tcBorders>
              <w:top w:val="single" w:sz="4" w:space="0" w:color="auto"/>
              <w:left w:val="single" w:sz="4" w:space="0" w:color="auto"/>
              <w:bottom w:val="single" w:sz="4" w:space="0" w:color="auto"/>
              <w:right w:val="single" w:sz="4" w:space="0" w:color="auto"/>
            </w:tcBorders>
            <w:noWrap/>
            <w:vAlign w:val="center"/>
          </w:tcPr>
          <w:p w14:paraId="092EE3A5" w14:textId="46CF6DE3" w:rsidR="00616BC4" w:rsidRPr="00D711DD" w:rsidRDefault="00616BC4" w:rsidP="00647943">
            <w:pPr>
              <w:widowControl/>
              <w:jc w:val="right"/>
              <w:rPr>
                <w:color w:val="000000"/>
                <w:sz w:val="16"/>
                <w:lang w:val="en-US"/>
              </w:rPr>
            </w:pPr>
            <w:r w:rsidRPr="000B3C14">
              <w:rPr>
                <w:color w:val="000000"/>
                <w:sz w:val="16"/>
                <w:lang w:val="en-US"/>
              </w:rPr>
              <w:t>150</w:t>
            </w:r>
            <w:r w:rsidR="00347536">
              <w:rPr>
                <w:rFonts w:cs="Arial"/>
                <w:color w:val="000000"/>
                <w:sz w:val="16"/>
                <w:szCs w:val="18"/>
                <w:lang w:val="en-US" w:bidi="ar-SA"/>
              </w:rPr>
              <w:t xml:space="preserve"> </w:t>
            </w:r>
            <w:r w:rsidRPr="00D711DD">
              <w:rPr>
                <w:color w:val="000000"/>
                <w:sz w:val="16"/>
                <w:lang w:val="en-US"/>
              </w:rPr>
              <w:t>± 26*** (4)</w:t>
            </w:r>
          </w:p>
        </w:tc>
        <w:tc>
          <w:tcPr>
            <w:tcW w:w="1708" w:type="dxa"/>
            <w:tcBorders>
              <w:top w:val="single" w:sz="4" w:space="0" w:color="auto"/>
              <w:left w:val="single" w:sz="4" w:space="0" w:color="auto"/>
              <w:bottom w:val="single" w:sz="4" w:space="0" w:color="auto"/>
              <w:right w:val="single" w:sz="4" w:space="0" w:color="auto"/>
            </w:tcBorders>
            <w:noWrap/>
            <w:vAlign w:val="center"/>
          </w:tcPr>
          <w:p w14:paraId="344B0590" w14:textId="202B50AE" w:rsidR="00616BC4" w:rsidRPr="00D711DD" w:rsidRDefault="00616BC4" w:rsidP="00647943">
            <w:pPr>
              <w:widowControl/>
              <w:jc w:val="right"/>
              <w:rPr>
                <w:color w:val="000000"/>
                <w:sz w:val="16"/>
                <w:lang w:val="en-US"/>
              </w:rPr>
            </w:pPr>
            <w:r w:rsidRPr="000B3C14">
              <w:rPr>
                <w:color w:val="000000"/>
                <w:sz w:val="16"/>
                <w:lang w:val="en-US"/>
              </w:rPr>
              <w:t>65</w:t>
            </w:r>
            <w:r w:rsidR="00347536">
              <w:rPr>
                <w:rFonts w:cs="Arial"/>
                <w:color w:val="000000"/>
                <w:sz w:val="16"/>
                <w:szCs w:val="18"/>
                <w:lang w:val="en-US" w:bidi="ar-SA"/>
              </w:rPr>
              <w:t xml:space="preserve"> </w:t>
            </w:r>
            <w:r w:rsidRPr="00D711DD">
              <w:rPr>
                <w:color w:val="000000"/>
                <w:sz w:val="16"/>
                <w:lang w:val="en-US"/>
              </w:rPr>
              <w:t>± 12** (6)</w:t>
            </w:r>
          </w:p>
        </w:tc>
        <w:tc>
          <w:tcPr>
            <w:tcW w:w="1709" w:type="dxa"/>
            <w:tcBorders>
              <w:top w:val="single" w:sz="4" w:space="0" w:color="auto"/>
              <w:left w:val="single" w:sz="4" w:space="0" w:color="auto"/>
              <w:bottom w:val="single" w:sz="4" w:space="0" w:color="auto"/>
              <w:right w:val="single" w:sz="4" w:space="0" w:color="auto"/>
            </w:tcBorders>
            <w:noWrap/>
            <w:vAlign w:val="center"/>
          </w:tcPr>
          <w:p w14:paraId="3D214359" w14:textId="77777777" w:rsidR="00616BC4" w:rsidRPr="000B3C14" w:rsidRDefault="00616BC4" w:rsidP="00647943">
            <w:pPr>
              <w:widowControl/>
              <w:jc w:val="right"/>
              <w:rPr>
                <w:color w:val="000000"/>
                <w:sz w:val="16"/>
                <w:lang w:val="en-US"/>
              </w:rPr>
            </w:pPr>
            <w:r w:rsidRPr="000B3C14">
              <w:rPr>
                <w:color w:val="000000"/>
                <w:sz w:val="16"/>
                <w:lang w:val="en-US"/>
              </w:rPr>
              <w:t>&lt;LOQ (5)</w:t>
            </w:r>
          </w:p>
        </w:tc>
        <w:tc>
          <w:tcPr>
            <w:tcW w:w="1708" w:type="dxa"/>
            <w:tcBorders>
              <w:top w:val="single" w:sz="4" w:space="0" w:color="auto"/>
              <w:left w:val="single" w:sz="4" w:space="0" w:color="auto"/>
              <w:bottom w:val="single" w:sz="4" w:space="0" w:color="auto"/>
              <w:right w:val="single" w:sz="4" w:space="0" w:color="auto"/>
            </w:tcBorders>
            <w:noWrap/>
            <w:vAlign w:val="center"/>
          </w:tcPr>
          <w:p w14:paraId="40218599" w14:textId="77777777" w:rsidR="00616BC4" w:rsidRPr="00F6284E" w:rsidRDefault="00616BC4" w:rsidP="00647943">
            <w:pPr>
              <w:widowControl/>
              <w:jc w:val="right"/>
              <w:rPr>
                <w:sz w:val="16"/>
                <w:lang w:val="en-US"/>
              </w:rPr>
            </w:pPr>
            <w:r w:rsidRPr="000B3C14">
              <w:rPr>
                <w:color w:val="000000"/>
                <w:sz w:val="16"/>
                <w:lang w:val="en-US"/>
              </w:rPr>
              <w:t>&lt;LOQ (6)</w:t>
            </w:r>
          </w:p>
        </w:tc>
        <w:tc>
          <w:tcPr>
            <w:tcW w:w="1709" w:type="dxa"/>
            <w:tcBorders>
              <w:top w:val="single" w:sz="4" w:space="0" w:color="auto"/>
              <w:left w:val="single" w:sz="4" w:space="0" w:color="auto"/>
              <w:bottom w:val="single" w:sz="4" w:space="0" w:color="auto"/>
              <w:right w:val="single" w:sz="4" w:space="0" w:color="auto"/>
            </w:tcBorders>
            <w:noWrap/>
            <w:vAlign w:val="center"/>
          </w:tcPr>
          <w:p w14:paraId="610F175F" w14:textId="77777777" w:rsidR="00616BC4" w:rsidRPr="00F6284E" w:rsidRDefault="00616BC4" w:rsidP="00647943">
            <w:pPr>
              <w:widowControl/>
              <w:jc w:val="right"/>
              <w:rPr>
                <w:sz w:val="16"/>
                <w:lang w:val="en-US"/>
              </w:rPr>
            </w:pPr>
            <w:r w:rsidRPr="00F6284E">
              <w:rPr>
                <w:color w:val="000000"/>
                <w:sz w:val="16"/>
                <w:lang w:val="en-US"/>
              </w:rPr>
              <w:t>&lt;LOQ (6)</w:t>
            </w:r>
          </w:p>
        </w:tc>
        <w:tc>
          <w:tcPr>
            <w:tcW w:w="1708" w:type="dxa"/>
            <w:tcBorders>
              <w:top w:val="single" w:sz="4" w:space="0" w:color="auto"/>
              <w:left w:val="single" w:sz="4" w:space="0" w:color="auto"/>
              <w:bottom w:val="single" w:sz="4" w:space="0" w:color="auto"/>
              <w:right w:val="single" w:sz="4" w:space="0" w:color="auto"/>
            </w:tcBorders>
            <w:noWrap/>
            <w:vAlign w:val="center"/>
          </w:tcPr>
          <w:p w14:paraId="1B007AB8" w14:textId="77777777" w:rsidR="00616BC4" w:rsidRPr="00F6284E" w:rsidRDefault="00616BC4" w:rsidP="00647943">
            <w:pPr>
              <w:widowControl/>
              <w:jc w:val="right"/>
              <w:rPr>
                <w:sz w:val="16"/>
                <w:lang w:val="en-US"/>
              </w:rPr>
            </w:pPr>
            <w:r w:rsidRPr="00F6284E">
              <w:rPr>
                <w:color w:val="000000"/>
                <w:sz w:val="16"/>
                <w:lang w:val="en-US"/>
              </w:rPr>
              <w:t>&lt;LOQ (3)</w:t>
            </w:r>
          </w:p>
        </w:tc>
        <w:tc>
          <w:tcPr>
            <w:tcW w:w="1709" w:type="dxa"/>
            <w:tcBorders>
              <w:top w:val="single" w:sz="4" w:space="0" w:color="auto"/>
              <w:left w:val="single" w:sz="4" w:space="0" w:color="auto"/>
              <w:bottom w:val="single" w:sz="4" w:space="0" w:color="auto"/>
              <w:right w:val="single" w:sz="4" w:space="0" w:color="auto"/>
            </w:tcBorders>
            <w:noWrap/>
            <w:vAlign w:val="center"/>
          </w:tcPr>
          <w:p w14:paraId="7C70AB33" w14:textId="77777777" w:rsidR="00616BC4" w:rsidRPr="00F6284E" w:rsidRDefault="00616BC4" w:rsidP="00647943">
            <w:pPr>
              <w:widowControl/>
              <w:jc w:val="right"/>
              <w:rPr>
                <w:sz w:val="16"/>
                <w:lang w:val="en-US"/>
              </w:rPr>
            </w:pPr>
            <w:r w:rsidRPr="00F6284E">
              <w:rPr>
                <w:color w:val="000000"/>
                <w:sz w:val="16"/>
                <w:lang w:val="en-US"/>
              </w:rPr>
              <w:t>&lt;LOQ (5)</w:t>
            </w:r>
          </w:p>
        </w:tc>
      </w:tr>
      <w:tr w:rsidR="00616BC4" w:rsidRPr="008A03FB" w14:paraId="7FEDC6C5" w14:textId="77777777" w:rsidTr="00F6284E">
        <w:trPr>
          <w:trHeight w:val="300"/>
          <w:jc w:val="center"/>
        </w:trPr>
        <w:tc>
          <w:tcPr>
            <w:tcW w:w="1949" w:type="dxa"/>
            <w:tcBorders>
              <w:top w:val="single" w:sz="4" w:space="0" w:color="auto"/>
              <w:left w:val="single" w:sz="4" w:space="0" w:color="auto"/>
              <w:bottom w:val="single" w:sz="4" w:space="0" w:color="auto"/>
              <w:right w:val="single" w:sz="4" w:space="0" w:color="auto"/>
            </w:tcBorders>
            <w:noWrap/>
            <w:vAlign w:val="center"/>
          </w:tcPr>
          <w:p w14:paraId="772EEBB3" w14:textId="77777777" w:rsidR="00616BC4" w:rsidRPr="00D711DD" w:rsidRDefault="00616BC4" w:rsidP="00A111E9">
            <w:pPr>
              <w:widowControl/>
              <w:rPr>
                <w:color w:val="000000"/>
                <w:sz w:val="18"/>
                <w:lang w:val="en-US"/>
              </w:rPr>
            </w:pPr>
            <w:r w:rsidRPr="00D711DD">
              <w:rPr>
                <w:color w:val="000000"/>
                <w:sz w:val="18"/>
                <w:lang w:val="en-US"/>
              </w:rPr>
              <w:t>1.0 mg/kg</w:t>
            </w:r>
          </w:p>
        </w:tc>
        <w:tc>
          <w:tcPr>
            <w:tcW w:w="1708" w:type="dxa"/>
            <w:tcBorders>
              <w:top w:val="single" w:sz="4" w:space="0" w:color="auto"/>
              <w:left w:val="single" w:sz="4" w:space="0" w:color="auto"/>
              <w:bottom w:val="single" w:sz="4" w:space="0" w:color="auto"/>
              <w:right w:val="single" w:sz="4" w:space="0" w:color="auto"/>
            </w:tcBorders>
            <w:noWrap/>
            <w:vAlign w:val="center"/>
          </w:tcPr>
          <w:p w14:paraId="6F1DA8A1" w14:textId="63BE28E3" w:rsidR="00616BC4" w:rsidRPr="00D711DD" w:rsidRDefault="00616BC4" w:rsidP="00647943">
            <w:pPr>
              <w:widowControl/>
              <w:jc w:val="right"/>
              <w:rPr>
                <w:color w:val="000000"/>
                <w:sz w:val="16"/>
                <w:lang w:val="en-US"/>
              </w:rPr>
            </w:pPr>
            <w:r w:rsidRPr="000B3C14">
              <w:rPr>
                <w:color w:val="000000"/>
                <w:sz w:val="16"/>
                <w:lang w:val="en-US"/>
              </w:rPr>
              <w:t>479</w:t>
            </w:r>
            <w:r w:rsidR="00347536">
              <w:rPr>
                <w:rFonts w:cs="Arial"/>
                <w:color w:val="000000"/>
                <w:sz w:val="16"/>
                <w:szCs w:val="18"/>
                <w:lang w:val="en-US" w:bidi="ar-SA"/>
              </w:rPr>
              <w:t xml:space="preserve"> </w:t>
            </w:r>
            <w:r w:rsidRPr="00D711DD">
              <w:rPr>
                <w:color w:val="000000"/>
                <w:sz w:val="16"/>
                <w:lang w:val="en-US"/>
              </w:rPr>
              <w:t>± 41*** (5)</w:t>
            </w:r>
          </w:p>
        </w:tc>
        <w:tc>
          <w:tcPr>
            <w:tcW w:w="1708" w:type="dxa"/>
            <w:tcBorders>
              <w:top w:val="single" w:sz="4" w:space="0" w:color="auto"/>
              <w:left w:val="single" w:sz="4" w:space="0" w:color="auto"/>
              <w:bottom w:val="single" w:sz="4" w:space="0" w:color="auto"/>
              <w:right w:val="single" w:sz="4" w:space="0" w:color="auto"/>
            </w:tcBorders>
            <w:noWrap/>
            <w:vAlign w:val="center"/>
          </w:tcPr>
          <w:p w14:paraId="719BAF2D" w14:textId="5C678C25" w:rsidR="00616BC4" w:rsidRPr="00D711DD" w:rsidRDefault="00616BC4" w:rsidP="00647943">
            <w:pPr>
              <w:widowControl/>
              <w:jc w:val="right"/>
              <w:rPr>
                <w:color w:val="000000"/>
                <w:sz w:val="16"/>
                <w:lang w:val="en-US"/>
              </w:rPr>
            </w:pPr>
            <w:r w:rsidRPr="000B3C14">
              <w:rPr>
                <w:color w:val="000000"/>
                <w:sz w:val="16"/>
                <w:lang w:val="en-US"/>
              </w:rPr>
              <w:t>241</w:t>
            </w:r>
            <w:r w:rsidR="00347536">
              <w:rPr>
                <w:rFonts w:cs="Arial"/>
                <w:color w:val="000000"/>
                <w:sz w:val="16"/>
                <w:szCs w:val="18"/>
                <w:lang w:val="en-US" w:bidi="ar-SA"/>
              </w:rPr>
              <w:t xml:space="preserve"> </w:t>
            </w:r>
            <w:r w:rsidRPr="00D711DD">
              <w:rPr>
                <w:color w:val="000000"/>
                <w:sz w:val="16"/>
                <w:lang w:val="en-US"/>
              </w:rPr>
              <w:t>± 20*** (6)</w:t>
            </w:r>
          </w:p>
        </w:tc>
        <w:tc>
          <w:tcPr>
            <w:tcW w:w="1709" w:type="dxa"/>
            <w:tcBorders>
              <w:top w:val="single" w:sz="4" w:space="0" w:color="auto"/>
              <w:left w:val="single" w:sz="4" w:space="0" w:color="auto"/>
              <w:bottom w:val="single" w:sz="4" w:space="0" w:color="auto"/>
              <w:right w:val="single" w:sz="4" w:space="0" w:color="auto"/>
            </w:tcBorders>
            <w:noWrap/>
            <w:vAlign w:val="center"/>
          </w:tcPr>
          <w:p w14:paraId="0F53F50D" w14:textId="6B82EF6F" w:rsidR="00616BC4" w:rsidRPr="000B3C14" w:rsidRDefault="00616BC4" w:rsidP="00647943">
            <w:pPr>
              <w:widowControl/>
              <w:jc w:val="right"/>
              <w:rPr>
                <w:color w:val="000000"/>
                <w:sz w:val="16"/>
                <w:lang w:val="en-US"/>
              </w:rPr>
            </w:pPr>
            <w:r w:rsidRPr="000B3C14">
              <w:rPr>
                <w:color w:val="000000"/>
                <w:sz w:val="16"/>
                <w:lang w:val="en-US"/>
              </w:rPr>
              <w:t>31± 5 (5)</w:t>
            </w:r>
          </w:p>
        </w:tc>
        <w:tc>
          <w:tcPr>
            <w:tcW w:w="1708" w:type="dxa"/>
            <w:tcBorders>
              <w:top w:val="single" w:sz="4" w:space="0" w:color="auto"/>
              <w:left w:val="single" w:sz="4" w:space="0" w:color="auto"/>
              <w:bottom w:val="single" w:sz="4" w:space="0" w:color="auto"/>
              <w:right w:val="single" w:sz="4" w:space="0" w:color="auto"/>
            </w:tcBorders>
            <w:noWrap/>
            <w:vAlign w:val="center"/>
          </w:tcPr>
          <w:p w14:paraId="22ECAC98" w14:textId="77777777" w:rsidR="00616BC4" w:rsidRPr="00F6284E" w:rsidRDefault="00616BC4" w:rsidP="00647943">
            <w:pPr>
              <w:widowControl/>
              <w:jc w:val="right"/>
              <w:rPr>
                <w:sz w:val="16"/>
                <w:lang w:val="en-US"/>
              </w:rPr>
            </w:pPr>
            <w:r w:rsidRPr="000B3C14">
              <w:rPr>
                <w:color w:val="000000"/>
                <w:sz w:val="16"/>
                <w:lang w:val="en-US"/>
              </w:rPr>
              <w:t>&lt;LOQ (4)</w:t>
            </w:r>
          </w:p>
        </w:tc>
        <w:tc>
          <w:tcPr>
            <w:tcW w:w="1709" w:type="dxa"/>
            <w:tcBorders>
              <w:top w:val="single" w:sz="4" w:space="0" w:color="auto"/>
              <w:left w:val="single" w:sz="4" w:space="0" w:color="auto"/>
              <w:bottom w:val="single" w:sz="4" w:space="0" w:color="auto"/>
              <w:right w:val="single" w:sz="4" w:space="0" w:color="auto"/>
            </w:tcBorders>
            <w:noWrap/>
            <w:vAlign w:val="center"/>
          </w:tcPr>
          <w:p w14:paraId="6CA617E3" w14:textId="77777777" w:rsidR="00616BC4" w:rsidRPr="00F6284E" w:rsidRDefault="00616BC4" w:rsidP="00647943">
            <w:pPr>
              <w:widowControl/>
              <w:jc w:val="right"/>
              <w:rPr>
                <w:sz w:val="16"/>
                <w:lang w:val="en-US"/>
              </w:rPr>
            </w:pPr>
            <w:r w:rsidRPr="00F6284E">
              <w:rPr>
                <w:color w:val="000000"/>
                <w:sz w:val="16"/>
                <w:lang w:val="en-US"/>
              </w:rPr>
              <w:t>&lt;LOQ (6)</w:t>
            </w:r>
          </w:p>
        </w:tc>
        <w:tc>
          <w:tcPr>
            <w:tcW w:w="1708" w:type="dxa"/>
            <w:tcBorders>
              <w:top w:val="single" w:sz="4" w:space="0" w:color="auto"/>
              <w:left w:val="single" w:sz="4" w:space="0" w:color="auto"/>
              <w:bottom w:val="single" w:sz="4" w:space="0" w:color="auto"/>
              <w:right w:val="single" w:sz="4" w:space="0" w:color="auto"/>
            </w:tcBorders>
            <w:noWrap/>
            <w:vAlign w:val="center"/>
          </w:tcPr>
          <w:p w14:paraId="3AEF430C" w14:textId="77777777" w:rsidR="00616BC4" w:rsidRPr="00F6284E" w:rsidRDefault="00616BC4" w:rsidP="00647943">
            <w:pPr>
              <w:widowControl/>
              <w:jc w:val="right"/>
              <w:rPr>
                <w:sz w:val="16"/>
                <w:lang w:val="en-US"/>
              </w:rPr>
            </w:pPr>
            <w:r w:rsidRPr="00F6284E">
              <w:rPr>
                <w:color w:val="000000"/>
                <w:sz w:val="16"/>
                <w:lang w:val="en-US"/>
              </w:rPr>
              <w:t>&lt;LOQ (5)</w:t>
            </w:r>
          </w:p>
        </w:tc>
        <w:tc>
          <w:tcPr>
            <w:tcW w:w="1709" w:type="dxa"/>
            <w:tcBorders>
              <w:top w:val="single" w:sz="4" w:space="0" w:color="auto"/>
              <w:left w:val="single" w:sz="4" w:space="0" w:color="auto"/>
              <w:bottom w:val="single" w:sz="4" w:space="0" w:color="auto"/>
              <w:right w:val="single" w:sz="4" w:space="0" w:color="auto"/>
            </w:tcBorders>
            <w:noWrap/>
            <w:vAlign w:val="center"/>
          </w:tcPr>
          <w:p w14:paraId="07EBE646" w14:textId="77777777" w:rsidR="00616BC4" w:rsidRPr="00F6284E" w:rsidRDefault="00616BC4" w:rsidP="00647943">
            <w:pPr>
              <w:widowControl/>
              <w:jc w:val="right"/>
              <w:rPr>
                <w:sz w:val="16"/>
                <w:lang w:val="en-US"/>
              </w:rPr>
            </w:pPr>
            <w:r w:rsidRPr="00F6284E">
              <w:rPr>
                <w:color w:val="000000"/>
                <w:sz w:val="16"/>
                <w:lang w:val="en-US"/>
              </w:rPr>
              <w:t>&lt;LOQ (4)</w:t>
            </w:r>
          </w:p>
        </w:tc>
      </w:tr>
      <w:tr w:rsidR="00616BC4" w:rsidRPr="008A03FB" w14:paraId="259249D9" w14:textId="77777777" w:rsidTr="00F6284E">
        <w:trPr>
          <w:trHeight w:val="300"/>
          <w:jc w:val="center"/>
        </w:trPr>
        <w:tc>
          <w:tcPr>
            <w:tcW w:w="1949" w:type="dxa"/>
            <w:tcBorders>
              <w:top w:val="single" w:sz="4" w:space="0" w:color="auto"/>
              <w:left w:val="single" w:sz="4" w:space="0" w:color="auto"/>
              <w:bottom w:val="single" w:sz="4" w:space="0" w:color="auto"/>
              <w:right w:val="single" w:sz="4" w:space="0" w:color="auto"/>
            </w:tcBorders>
            <w:noWrap/>
            <w:vAlign w:val="center"/>
          </w:tcPr>
          <w:p w14:paraId="5FEF6E5F" w14:textId="77777777" w:rsidR="00616BC4" w:rsidRPr="000B3C14" w:rsidRDefault="00616BC4" w:rsidP="00A111E9">
            <w:pPr>
              <w:widowControl/>
              <w:rPr>
                <w:color w:val="000000"/>
                <w:sz w:val="18"/>
                <w:lang w:val="en-US"/>
              </w:rPr>
            </w:pPr>
            <w:r w:rsidRPr="00D711DD">
              <w:rPr>
                <w:color w:val="000000"/>
                <w:sz w:val="18"/>
                <w:lang w:val="en-US"/>
              </w:rPr>
              <w:t>3.0 mg/k</w:t>
            </w:r>
            <w:r w:rsidRPr="000B3C14">
              <w:rPr>
                <w:color w:val="000000"/>
                <w:sz w:val="18"/>
                <w:lang w:val="en-US"/>
              </w:rPr>
              <w:t>g</w:t>
            </w:r>
          </w:p>
        </w:tc>
        <w:tc>
          <w:tcPr>
            <w:tcW w:w="1708" w:type="dxa"/>
            <w:tcBorders>
              <w:top w:val="single" w:sz="4" w:space="0" w:color="auto"/>
              <w:left w:val="single" w:sz="4" w:space="0" w:color="auto"/>
              <w:bottom w:val="single" w:sz="4" w:space="0" w:color="auto"/>
              <w:right w:val="single" w:sz="4" w:space="0" w:color="auto"/>
            </w:tcBorders>
            <w:noWrap/>
            <w:vAlign w:val="center"/>
          </w:tcPr>
          <w:p w14:paraId="267EFB4B" w14:textId="70313EF6" w:rsidR="00616BC4" w:rsidRPr="00D711DD" w:rsidRDefault="00616BC4" w:rsidP="00647943">
            <w:pPr>
              <w:widowControl/>
              <w:jc w:val="right"/>
              <w:rPr>
                <w:color w:val="000000"/>
                <w:sz w:val="16"/>
                <w:lang w:val="en-US"/>
              </w:rPr>
            </w:pPr>
            <w:r w:rsidRPr="000B3C14">
              <w:rPr>
                <w:color w:val="000000"/>
                <w:sz w:val="16"/>
                <w:lang w:val="en-US"/>
              </w:rPr>
              <w:t>1594</w:t>
            </w:r>
            <w:r w:rsidR="00347536">
              <w:rPr>
                <w:rFonts w:cs="Arial"/>
                <w:color w:val="000000"/>
                <w:sz w:val="16"/>
                <w:szCs w:val="18"/>
                <w:lang w:val="en-US" w:bidi="ar-SA"/>
              </w:rPr>
              <w:t xml:space="preserve"> </w:t>
            </w:r>
            <w:r w:rsidRPr="00D711DD">
              <w:rPr>
                <w:color w:val="000000"/>
                <w:sz w:val="16"/>
                <w:lang w:val="en-US"/>
              </w:rPr>
              <w:t>± 162*** (4)</w:t>
            </w:r>
          </w:p>
        </w:tc>
        <w:tc>
          <w:tcPr>
            <w:tcW w:w="1708" w:type="dxa"/>
            <w:tcBorders>
              <w:top w:val="single" w:sz="4" w:space="0" w:color="auto"/>
              <w:left w:val="single" w:sz="4" w:space="0" w:color="auto"/>
              <w:bottom w:val="single" w:sz="4" w:space="0" w:color="auto"/>
              <w:right w:val="single" w:sz="4" w:space="0" w:color="auto"/>
            </w:tcBorders>
            <w:noWrap/>
            <w:vAlign w:val="center"/>
          </w:tcPr>
          <w:p w14:paraId="4395D32A" w14:textId="251A27E1" w:rsidR="00616BC4" w:rsidRPr="00D711DD" w:rsidRDefault="00616BC4" w:rsidP="00647943">
            <w:pPr>
              <w:widowControl/>
              <w:jc w:val="right"/>
              <w:rPr>
                <w:color w:val="000000"/>
                <w:sz w:val="16"/>
                <w:lang w:val="en-US"/>
              </w:rPr>
            </w:pPr>
            <w:r w:rsidRPr="000B3C14">
              <w:rPr>
                <w:color w:val="000000"/>
                <w:sz w:val="16"/>
                <w:lang w:val="en-US"/>
              </w:rPr>
              <w:t>650</w:t>
            </w:r>
            <w:r w:rsidR="00347536">
              <w:rPr>
                <w:rFonts w:cs="Arial"/>
                <w:color w:val="000000"/>
                <w:sz w:val="16"/>
                <w:szCs w:val="18"/>
                <w:lang w:val="en-US" w:bidi="ar-SA"/>
              </w:rPr>
              <w:t xml:space="preserve"> </w:t>
            </w:r>
            <w:r w:rsidRPr="00D711DD">
              <w:rPr>
                <w:color w:val="000000"/>
                <w:sz w:val="16"/>
                <w:lang w:val="en-US"/>
              </w:rPr>
              <w:t>± 44*** (4)</w:t>
            </w:r>
          </w:p>
        </w:tc>
        <w:tc>
          <w:tcPr>
            <w:tcW w:w="1709" w:type="dxa"/>
            <w:tcBorders>
              <w:top w:val="single" w:sz="4" w:space="0" w:color="auto"/>
              <w:left w:val="single" w:sz="4" w:space="0" w:color="auto"/>
              <w:bottom w:val="single" w:sz="4" w:space="0" w:color="auto"/>
              <w:right w:val="single" w:sz="4" w:space="0" w:color="auto"/>
            </w:tcBorders>
            <w:noWrap/>
            <w:vAlign w:val="center"/>
          </w:tcPr>
          <w:p w14:paraId="642E9E44" w14:textId="7B80D587" w:rsidR="00616BC4" w:rsidRPr="00D711DD" w:rsidRDefault="00616BC4" w:rsidP="00647943">
            <w:pPr>
              <w:widowControl/>
              <w:jc w:val="right"/>
              <w:rPr>
                <w:color w:val="000000"/>
                <w:sz w:val="16"/>
                <w:lang w:val="en-US"/>
              </w:rPr>
            </w:pPr>
            <w:r w:rsidRPr="000B3C14">
              <w:rPr>
                <w:color w:val="000000"/>
                <w:sz w:val="16"/>
                <w:lang w:val="en-US"/>
              </w:rPr>
              <w:t>133</w:t>
            </w:r>
            <w:r w:rsidR="00347536">
              <w:rPr>
                <w:rFonts w:cs="Arial"/>
                <w:color w:val="000000"/>
                <w:sz w:val="16"/>
                <w:szCs w:val="18"/>
                <w:lang w:val="en-US" w:bidi="ar-SA"/>
              </w:rPr>
              <w:t xml:space="preserve"> </w:t>
            </w:r>
            <w:r w:rsidRPr="00D711DD">
              <w:rPr>
                <w:color w:val="000000"/>
                <w:sz w:val="16"/>
                <w:lang w:val="en-US"/>
              </w:rPr>
              <w:t>± 23*** (3)</w:t>
            </w:r>
          </w:p>
        </w:tc>
        <w:tc>
          <w:tcPr>
            <w:tcW w:w="1708" w:type="dxa"/>
            <w:tcBorders>
              <w:top w:val="single" w:sz="4" w:space="0" w:color="auto"/>
              <w:left w:val="single" w:sz="4" w:space="0" w:color="auto"/>
              <w:bottom w:val="single" w:sz="4" w:space="0" w:color="auto"/>
              <w:right w:val="single" w:sz="4" w:space="0" w:color="auto"/>
            </w:tcBorders>
            <w:noWrap/>
            <w:vAlign w:val="center"/>
          </w:tcPr>
          <w:p w14:paraId="58BCD6CC" w14:textId="3F6A86A3" w:rsidR="00616BC4" w:rsidRPr="00D711DD" w:rsidRDefault="00616BC4" w:rsidP="00647943">
            <w:pPr>
              <w:widowControl/>
              <w:jc w:val="right"/>
              <w:rPr>
                <w:color w:val="000000"/>
                <w:sz w:val="16"/>
                <w:lang w:val="en-US"/>
              </w:rPr>
            </w:pPr>
            <w:r w:rsidRPr="000B3C14">
              <w:rPr>
                <w:color w:val="000000"/>
                <w:sz w:val="16"/>
                <w:lang w:val="en-US"/>
              </w:rPr>
              <w:t>62</w:t>
            </w:r>
            <w:r w:rsidR="00347536">
              <w:rPr>
                <w:rFonts w:cs="Arial"/>
                <w:color w:val="000000"/>
                <w:sz w:val="16"/>
                <w:szCs w:val="18"/>
                <w:lang w:val="en-US" w:bidi="ar-SA"/>
              </w:rPr>
              <w:t xml:space="preserve"> </w:t>
            </w:r>
            <w:r w:rsidRPr="00D711DD">
              <w:rPr>
                <w:color w:val="000000"/>
                <w:sz w:val="16"/>
                <w:lang w:val="en-US"/>
              </w:rPr>
              <w:t>± 93*** (6)</w:t>
            </w:r>
          </w:p>
        </w:tc>
        <w:tc>
          <w:tcPr>
            <w:tcW w:w="1709" w:type="dxa"/>
            <w:tcBorders>
              <w:top w:val="single" w:sz="4" w:space="0" w:color="auto"/>
              <w:left w:val="single" w:sz="4" w:space="0" w:color="auto"/>
              <w:bottom w:val="single" w:sz="4" w:space="0" w:color="auto"/>
              <w:right w:val="single" w:sz="4" w:space="0" w:color="auto"/>
            </w:tcBorders>
            <w:noWrap/>
            <w:vAlign w:val="center"/>
          </w:tcPr>
          <w:p w14:paraId="5F89376F" w14:textId="77777777" w:rsidR="00616BC4" w:rsidRPr="000B3C14" w:rsidRDefault="00616BC4" w:rsidP="00647943">
            <w:pPr>
              <w:widowControl/>
              <w:jc w:val="right"/>
              <w:rPr>
                <w:sz w:val="16"/>
                <w:lang w:val="en-US"/>
              </w:rPr>
            </w:pPr>
            <w:r w:rsidRPr="000B3C14">
              <w:rPr>
                <w:color w:val="000000"/>
                <w:sz w:val="16"/>
                <w:lang w:val="en-US"/>
              </w:rPr>
              <w:t>&lt;LOQ (4)</w:t>
            </w:r>
          </w:p>
        </w:tc>
        <w:tc>
          <w:tcPr>
            <w:tcW w:w="1708" w:type="dxa"/>
            <w:tcBorders>
              <w:top w:val="single" w:sz="4" w:space="0" w:color="auto"/>
              <w:left w:val="single" w:sz="4" w:space="0" w:color="auto"/>
              <w:bottom w:val="single" w:sz="4" w:space="0" w:color="auto"/>
              <w:right w:val="single" w:sz="4" w:space="0" w:color="auto"/>
            </w:tcBorders>
            <w:noWrap/>
            <w:vAlign w:val="center"/>
          </w:tcPr>
          <w:p w14:paraId="2E2089AC" w14:textId="77777777" w:rsidR="00616BC4" w:rsidRPr="00F6284E" w:rsidRDefault="00616BC4" w:rsidP="00647943">
            <w:pPr>
              <w:widowControl/>
              <w:jc w:val="right"/>
              <w:rPr>
                <w:sz w:val="16"/>
                <w:lang w:val="en-US"/>
              </w:rPr>
            </w:pPr>
            <w:r w:rsidRPr="00F6284E">
              <w:rPr>
                <w:color w:val="000000"/>
                <w:sz w:val="16"/>
                <w:lang w:val="en-US"/>
              </w:rPr>
              <w:t>&lt;LOQ (2)</w:t>
            </w:r>
          </w:p>
        </w:tc>
        <w:tc>
          <w:tcPr>
            <w:tcW w:w="1709" w:type="dxa"/>
            <w:tcBorders>
              <w:top w:val="single" w:sz="4" w:space="0" w:color="auto"/>
              <w:left w:val="single" w:sz="4" w:space="0" w:color="auto"/>
              <w:bottom w:val="single" w:sz="4" w:space="0" w:color="auto"/>
              <w:right w:val="single" w:sz="4" w:space="0" w:color="auto"/>
            </w:tcBorders>
            <w:noWrap/>
            <w:vAlign w:val="center"/>
          </w:tcPr>
          <w:p w14:paraId="314E57FD" w14:textId="77777777" w:rsidR="00616BC4" w:rsidRPr="00F6284E" w:rsidRDefault="00616BC4" w:rsidP="00647943">
            <w:pPr>
              <w:widowControl/>
              <w:jc w:val="right"/>
              <w:rPr>
                <w:color w:val="000000"/>
                <w:sz w:val="16"/>
                <w:lang w:val="en-US"/>
              </w:rPr>
            </w:pPr>
            <w:r w:rsidRPr="00F6284E">
              <w:rPr>
                <w:color w:val="000000"/>
                <w:sz w:val="16"/>
                <w:lang w:val="en-US"/>
              </w:rPr>
              <w:t>&lt;LOQ (2)</w:t>
            </w:r>
          </w:p>
        </w:tc>
      </w:tr>
    </w:tbl>
    <w:p w14:paraId="4B1B45CA" w14:textId="6BF8937E" w:rsidR="00573AB7" w:rsidRPr="00F6284E" w:rsidRDefault="00573AB7" w:rsidP="00A111E9">
      <w:pPr>
        <w:widowControl/>
        <w:spacing w:before="60"/>
        <w:ind w:left="284" w:right="578"/>
        <w:rPr>
          <w:sz w:val="16"/>
          <w:lang w:val="en-US"/>
        </w:rPr>
      </w:pPr>
      <w:r w:rsidRPr="00D711DD">
        <w:rPr>
          <w:i/>
          <w:sz w:val="16"/>
          <w:lang w:val="en-US"/>
        </w:rPr>
        <w:t>Note.</w:t>
      </w:r>
      <w:r w:rsidRPr="000B3C14">
        <w:rPr>
          <w:sz w:val="16"/>
          <w:lang w:val="en-US"/>
        </w:rPr>
        <w:t xml:space="preserve"> PFOA dosimetry data for female pups from the full gestation study. Data presented are mean ± </w:t>
      </w:r>
      <w:r w:rsidR="00DB0B1B">
        <w:rPr>
          <w:sz w:val="16"/>
          <w:lang w:val="en-US"/>
        </w:rPr>
        <w:t>standard error</w:t>
      </w:r>
      <w:r w:rsidRPr="000B3C14">
        <w:rPr>
          <w:sz w:val="16"/>
          <w:lang w:val="en-US"/>
        </w:rPr>
        <w:t xml:space="preserve">. Dashes (-) signify time points where no measure was taken for a treatment group. Calculated blood burdens were determined by the equation (BW x (58.5/1000) x serum x 0.55). Since calculated blood burdens were log transformed to determine significance and the control value was 0.0, at PND 84 </w:t>
      </w:r>
      <w:r w:rsidR="00DB0B1B">
        <w:rPr>
          <w:sz w:val="16"/>
          <w:lang w:val="en-US"/>
        </w:rPr>
        <w:t>statistical</w:t>
      </w:r>
      <w:r w:rsidR="00DB0B1B" w:rsidRPr="000B3C14">
        <w:rPr>
          <w:sz w:val="16"/>
          <w:lang w:val="en-US"/>
        </w:rPr>
        <w:t xml:space="preserve"> </w:t>
      </w:r>
      <w:r w:rsidRPr="000B3C14">
        <w:rPr>
          <w:sz w:val="16"/>
          <w:lang w:val="en-US"/>
        </w:rPr>
        <w:t xml:space="preserve">significance could </w:t>
      </w:r>
      <w:r w:rsidR="00DB0B1B">
        <w:rPr>
          <w:sz w:val="16"/>
          <w:lang w:val="en-US"/>
        </w:rPr>
        <w:t xml:space="preserve">not </w:t>
      </w:r>
      <w:r w:rsidRPr="00F6284E">
        <w:rPr>
          <w:sz w:val="16"/>
          <w:lang w:val="en-US"/>
        </w:rPr>
        <w:t>be determined. LOQ=Limit of Quantitation.</w:t>
      </w:r>
    </w:p>
    <w:p w14:paraId="70512B33" w14:textId="77777777" w:rsidR="00573AB7" w:rsidRPr="00F6284E" w:rsidRDefault="00573AB7" w:rsidP="00A111E9">
      <w:pPr>
        <w:widowControl/>
        <w:ind w:left="284"/>
        <w:rPr>
          <w:color w:val="000000"/>
          <w:sz w:val="16"/>
          <w:lang w:val="en-US"/>
        </w:rPr>
      </w:pPr>
      <w:r w:rsidRPr="00F6284E">
        <w:rPr>
          <w:color w:val="000000"/>
          <w:sz w:val="16"/>
          <w:lang w:val="en-US"/>
        </w:rPr>
        <w:t>Significant treatment effect compared to controls; * p &lt; 0.05, ** p &lt; 0.01, *** p &lt;0.001.</w:t>
      </w:r>
    </w:p>
    <w:p w14:paraId="74F3350A" w14:textId="39AE102E" w:rsidR="00573AB7" w:rsidRPr="00F6284E" w:rsidRDefault="00573AB7" w:rsidP="00A111E9">
      <w:pPr>
        <w:widowControl/>
        <w:ind w:left="284"/>
        <w:rPr>
          <w:color w:val="000000"/>
          <w:sz w:val="16"/>
          <w:lang w:val="en-US"/>
        </w:rPr>
      </w:pPr>
      <w:r w:rsidRPr="00F6284E">
        <w:rPr>
          <w:color w:val="000000"/>
          <w:sz w:val="16"/>
          <w:vertAlign w:val="superscript"/>
          <w:lang w:val="en-US"/>
        </w:rPr>
        <w:t>a</w:t>
      </w:r>
      <w:r w:rsidRPr="00F6284E">
        <w:rPr>
          <w:color w:val="000000"/>
          <w:sz w:val="16"/>
          <w:lang w:val="en-US"/>
        </w:rPr>
        <w:t xml:space="preserve"> Mean serum concentration of each PFOA-treated group within PND: 14&gt; 21, 21, 42, 63, and 84, p&lt;0.</w:t>
      </w:r>
      <w:r w:rsidR="00986779">
        <w:rPr>
          <w:color w:val="000000"/>
          <w:sz w:val="16"/>
          <w:lang w:val="en-US"/>
        </w:rPr>
        <w:t>001</w:t>
      </w:r>
    </w:p>
    <w:p w14:paraId="3146C808" w14:textId="65AF784B" w:rsidR="00573AB7" w:rsidRPr="00F6284E" w:rsidRDefault="00573AB7" w:rsidP="00A111E9">
      <w:pPr>
        <w:widowControl/>
        <w:ind w:left="284"/>
        <w:rPr>
          <w:color w:val="000000"/>
          <w:sz w:val="16"/>
          <w:lang w:val="en-US"/>
        </w:rPr>
      </w:pPr>
      <w:r w:rsidRPr="00F6284E">
        <w:rPr>
          <w:color w:val="000000"/>
          <w:sz w:val="16"/>
          <w:vertAlign w:val="superscript"/>
          <w:lang w:val="en-US"/>
        </w:rPr>
        <w:t>b</w:t>
      </w:r>
      <w:r w:rsidRPr="00F6284E">
        <w:rPr>
          <w:color w:val="000000"/>
          <w:sz w:val="16"/>
          <w:lang w:val="en-US"/>
        </w:rPr>
        <w:t xml:space="preserve"> Mean calculated blood burden of 0.3 and 1.0 mg/kg group within PND: 14&gt; 21, 28, 42, 63, and 84, p&lt;0.</w:t>
      </w:r>
      <w:r w:rsidR="00986779">
        <w:rPr>
          <w:color w:val="000000"/>
          <w:sz w:val="16"/>
          <w:lang w:val="en-US"/>
        </w:rPr>
        <w:t>05</w:t>
      </w:r>
    </w:p>
    <w:p w14:paraId="03749714" w14:textId="17A6CF4F" w:rsidR="00573AB7" w:rsidRPr="00F6284E" w:rsidRDefault="00573AB7" w:rsidP="00A111E9">
      <w:pPr>
        <w:widowControl/>
        <w:ind w:left="284"/>
        <w:rPr>
          <w:color w:val="000000"/>
          <w:sz w:val="16"/>
          <w:lang w:val="en-US"/>
        </w:rPr>
      </w:pPr>
      <w:r w:rsidRPr="00F6284E">
        <w:rPr>
          <w:color w:val="000000"/>
          <w:sz w:val="16"/>
          <w:vertAlign w:val="superscript"/>
          <w:lang w:val="en-US"/>
        </w:rPr>
        <w:t>c</w:t>
      </w:r>
      <w:r w:rsidRPr="00F6284E">
        <w:rPr>
          <w:color w:val="000000"/>
          <w:sz w:val="16"/>
          <w:lang w:val="en-US"/>
        </w:rPr>
        <w:t xml:space="preserve"> Mean calculated blood burden of 3.0 mg/kg group within PND: 14&gt; 42 and 84, p≤0.</w:t>
      </w:r>
      <w:r w:rsidR="00986779">
        <w:rPr>
          <w:color w:val="000000"/>
          <w:sz w:val="16"/>
          <w:lang w:val="en-US"/>
        </w:rPr>
        <w:t>05</w:t>
      </w:r>
    </w:p>
    <w:p w14:paraId="2AD48846" w14:textId="756BB90D" w:rsidR="00573AB7" w:rsidRPr="00F6284E" w:rsidRDefault="00573AB7" w:rsidP="00A111E9">
      <w:pPr>
        <w:widowControl/>
        <w:ind w:left="284"/>
        <w:rPr>
          <w:color w:val="000000"/>
          <w:sz w:val="16"/>
          <w:lang w:val="en-US"/>
        </w:rPr>
      </w:pPr>
      <w:r w:rsidRPr="00F6284E">
        <w:rPr>
          <w:color w:val="000000"/>
          <w:sz w:val="16"/>
          <w:vertAlign w:val="superscript"/>
          <w:lang w:val="en-US"/>
        </w:rPr>
        <w:t>d</w:t>
      </w:r>
      <w:r w:rsidRPr="00F6284E">
        <w:rPr>
          <w:color w:val="000000"/>
          <w:sz w:val="16"/>
          <w:lang w:val="en-US"/>
        </w:rPr>
        <w:t xml:space="preserve"> Mean liver concentration of each PFOA-treated group within PND: 7&gt; 14, 21, 28, 42, 63, 84, p&lt;0.</w:t>
      </w:r>
      <w:r w:rsidR="00986779">
        <w:rPr>
          <w:color w:val="000000"/>
          <w:sz w:val="16"/>
          <w:lang w:val="en-US"/>
        </w:rPr>
        <w:t>01</w:t>
      </w:r>
    </w:p>
    <w:p w14:paraId="367CAD23" w14:textId="40A72022" w:rsidR="00573AB7" w:rsidRPr="00F6284E" w:rsidRDefault="00573AB7" w:rsidP="00A111E9">
      <w:pPr>
        <w:pStyle w:val="FSTableTitle"/>
        <w:ind w:left="284"/>
        <w:rPr>
          <w:b w:val="0"/>
          <w:sz w:val="20"/>
        </w:rPr>
      </w:pPr>
      <w:r w:rsidRPr="00F6284E">
        <w:rPr>
          <w:b w:val="0"/>
          <w:color w:val="000000"/>
          <w:sz w:val="16"/>
          <w:vertAlign w:val="superscript"/>
          <w:lang w:val="en-US"/>
        </w:rPr>
        <w:t>e</w:t>
      </w:r>
      <w:r w:rsidRPr="00F6284E">
        <w:rPr>
          <w:b w:val="0"/>
          <w:color w:val="000000"/>
          <w:sz w:val="16"/>
          <w:lang w:val="en-US"/>
        </w:rPr>
        <w:t xml:space="preserve"> Mean brain concentration of each PFOA-treated group within PND: 7 &gt; 14, 21, 28, 42, 63, 84, p&lt;0.</w:t>
      </w:r>
      <w:r w:rsidR="00986779">
        <w:rPr>
          <w:b w:val="0"/>
          <w:color w:val="000000"/>
          <w:sz w:val="16"/>
          <w:lang w:val="en-US"/>
        </w:rPr>
        <w:t>001</w:t>
      </w:r>
    </w:p>
    <w:p w14:paraId="72D72793" w14:textId="77777777" w:rsidR="000830C5" w:rsidRDefault="000830C5">
      <w:pPr>
        <w:widowControl/>
        <w:rPr>
          <w:rFonts w:cs="Arial"/>
          <w:b/>
          <w:lang w:bidi="ar-SA"/>
        </w:rPr>
      </w:pPr>
      <w:r>
        <w:rPr>
          <w:lang w:bidi="ar-SA"/>
        </w:rPr>
        <w:br w:type="page"/>
      </w:r>
    </w:p>
    <w:p w14:paraId="12742187" w14:textId="685A7F6B" w:rsidR="0074731F" w:rsidRDefault="0074731F" w:rsidP="00A111E9">
      <w:pPr>
        <w:pStyle w:val="FSTableTitle"/>
        <w:ind w:left="616"/>
        <w:rPr>
          <w:szCs w:val="22"/>
          <w:lang w:val="en-US" w:bidi="ar-SA"/>
        </w:rPr>
      </w:pPr>
      <w:r>
        <w:rPr>
          <w:lang w:bidi="ar-SA"/>
        </w:rPr>
        <w:lastRenderedPageBreak/>
        <w:t xml:space="preserve">Table </w:t>
      </w:r>
      <w:r w:rsidR="00A319B5">
        <w:rPr>
          <w:lang w:bidi="ar-SA"/>
        </w:rPr>
        <w:t>28</w:t>
      </w:r>
      <w:r>
        <w:rPr>
          <w:lang w:bidi="ar-SA"/>
        </w:rPr>
        <w:t xml:space="preserve">: </w:t>
      </w:r>
      <w:r w:rsidRPr="008A03FB">
        <w:rPr>
          <w:szCs w:val="22"/>
          <w:lang w:val="en-US" w:bidi="ar-SA"/>
        </w:rPr>
        <w:t>PFOA dosimetry of male offspring from the full gestation exposure study</w:t>
      </w:r>
    </w:p>
    <w:tbl>
      <w:tblPr>
        <w:tblW w:w="12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8"/>
        <w:gridCol w:w="1580"/>
        <w:gridCol w:w="1580"/>
        <w:gridCol w:w="1580"/>
        <w:gridCol w:w="1580"/>
        <w:gridCol w:w="1580"/>
        <w:gridCol w:w="1580"/>
        <w:gridCol w:w="1580"/>
      </w:tblGrid>
      <w:tr w:rsidR="00616BC4" w:rsidRPr="00571422" w14:paraId="296A20B7" w14:textId="77777777" w:rsidTr="000830C5">
        <w:trPr>
          <w:trHeight w:val="315"/>
          <w:tblHeader/>
          <w:jc w:val="center"/>
        </w:trPr>
        <w:tc>
          <w:tcPr>
            <w:tcW w:w="1938" w:type="dxa"/>
            <w:shd w:val="clear" w:color="auto" w:fill="F2F2F2" w:themeFill="background1" w:themeFillShade="F2"/>
            <w:noWrap/>
            <w:vAlign w:val="center"/>
          </w:tcPr>
          <w:p w14:paraId="1873A35A" w14:textId="77777777" w:rsidR="00616BC4" w:rsidRPr="00D711DD" w:rsidRDefault="00616BC4" w:rsidP="00A111E9">
            <w:pPr>
              <w:widowControl/>
              <w:rPr>
                <w:color w:val="000000"/>
                <w:sz w:val="18"/>
                <w:lang w:val="en-US"/>
              </w:rPr>
            </w:pPr>
          </w:p>
        </w:tc>
        <w:tc>
          <w:tcPr>
            <w:tcW w:w="1580" w:type="dxa"/>
            <w:shd w:val="clear" w:color="auto" w:fill="F2F2F2" w:themeFill="background1" w:themeFillShade="F2"/>
            <w:noWrap/>
            <w:vAlign w:val="center"/>
          </w:tcPr>
          <w:p w14:paraId="274E7FE6" w14:textId="77777777" w:rsidR="00616BC4" w:rsidRPr="000B3C14" w:rsidRDefault="00616BC4" w:rsidP="00647943">
            <w:pPr>
              <w:widowControl/>
              <w:jc w:val="right"/>
              <w:rPr>
                <w:b/>
                <w:color w:val="000000"/>
                <w:sz w:val="18"/>
                <w:lang w:val="en-US"/>
              </w:rPr>
            </w:pPr>
            <w:r w:rsidRPr="000B3C14">
              <w:rPr>
                <w:b/>
                <w:color w:val="000000"/>
                <w:sz w:val="18"/>
                <w:lang w:val="en-US"/>
              </w:rPr>
              <w:t>PND 7 (n)</w:t>
            </w:r>
          </w:p>
        </w:tc>
        <w:tc>
          <w:tcPr>
            <w:tcW w:w="1580" w:type="dxa"/>
            <w:shd w:val="clear" w:color="auto" w:fill="F2F2F2" w:themeFill="background1" w:themeFillShade="F2"/>
            <w:noWrap/>
            <w:vAlign w:val="center"/>
          </w:tcPr>
          <w:p w14:paraId="098D69FB" w14:textId="77777777" w:rsidR="00616BC4" w:rsidRPr="000B3C14" w:rsidRDefault="00616BC4" w:rsidP="00647943">
            <w:pPr>
              <w:widowControl/>
              <w:jc w:val="right"/>
              <w:rPr>
                <w:b/>
                <w:color w:val="000000"/>
                <w:sz w:val="18"/>
                <w:lang w:val="en-US"/>
              </w:rPr>
            </w:pPr>
            <w:r w:rsidRPr="000B3C14">
              <w:rPr>
                <w:b/>
                <w:color w:val="000000"/>
                <w:sz w:val="18"/>
                <w:lang w:val="en-US"/>
              </w:rPr>
              <w:t>PND 14 (n)</w:t>
            </w:r>
          </w:p>
        </w:tc>
        <w:tc>
          <w:tcPr>
            <w:tcW w:w="1580" w:type="dxa"/>
            <w:shd w:val="clear" w:color="auto" w:fill="F2F2F2" w:themeFill="background1" w:themeFillShade="F2"/>
            <w:noWrap/>
            <w:vAlign w:val="center"/>
          </w:tcPr>
          <w:p w14:paraId="11278A58" w14:textId="77777777" w:rsidR="00616BC4" w:rsidRPr="00F6284E" w:rsidRDefault="00616BC4" w:rsidP="00647943">
            <w:pPr>
              <w:widowControl/>
              <w:jc w:val="right"/>
              <w:rPr>
                <w:b/>
                <w:color w:val="000000"/>
                <w:sz w:val="18"/>
                <w:lang w:val="en-US"/>
              </w:rPr>
            </w:pPr>
            <w:r w:rsidRPr="00F6284E">
              <w:rPr>
                <w:b/>
                <w:color w:val="000000"/>
                <w:sz w:val="18"/>
                <w:lang w:val="en-US"/>
              </w:rPr>
              <w:t>PND 21 (n)</w:t>
            </w:r>
          </w:p>
        </w:tc>
        <w:tc>
          <w:tcPr>
            <w:tcW w:w="1580" w:type="dxa"/>
            <w:shd w:val="clear" w:color="auto" w:fill="F2F2F2" w:themeFill="background1" w:themeFillShade="F2"/>
            <w:noWrap/>
            <w:vAlign w:val="center"/>
          </w:tcPr>
          <w:p w14:paraId="34F30260" w14:textId="77777777" w:rsidR="00616BC4" w:rsidRPr="00F6284E" w:rsidRDefault="00616BC4" w:rsidP="00647943">
            <w:pPr>
              <w:widowControl/>
              <w:jc w:val="right"/>
              <w:rPr>
                <w:b/>
                <w:color w:val="000000"/>
                <w:sz w:val="18"/>
                <w:lang w:val="en-US"/>
              </w:rPr>
            </w:pPr>
            <w:r w:rsidRPr="00F6284E">
              <w:rPr>
                <w:b/>
                <w:color w:val="000000"/>
                <w:sz w:val="18"/>
                <w:lang w:val="en-US"/>
              </w:rPr>
              <w:t>PND 28 (n)</w:t>
            </w:r>
          </w:p>
        </w:tc>
        <w:tc>
          <w:tcPr>
            <w:tcW w:w="1580" w:type="dxa"/>
            <w:shd w:val="clear" w:color="auto" w:fill="F2F2F2" w:themeFill="background1" w:themeFillShade="F2"/>
            <w:noWrap/>
            <w:vAlign w:val="center"/>
          </w:tcPr>
          <w:p w14:paraId="69AEDD63" w14:textId="77777777" w:rsidR="00616BC4" w:rsidRPr="00F6284E" w:rsidRDefault="00616BC4" w:rsidP="00647943">
            <w:pPr>
              <w:widowControl/>
              <w:jc w:val="right"/>
              <w:rPr>
                <w:b/>
                <w:color w:val="000000"/>
                <w:sz w:val="18"/>
                <w:lang w:val="en-US"/>
              </w:rPr>
            </w:pPr>
            <w:r w:rsidRPr="00F6284E">
              <w:rPr>
                <w:b/>
                <w:color w:val="000000"/>
                <w:sz w:val="18"/>
                <w:lang w:val="en-US"/>
              </w:rPr>
              <w:t>PND 42 (n)</w:t>
            </w:r>
          </w:p>
        </w:tc>
        <w:tc>
          <w:tcPr>
            <w:tcW w:w="1580" w:type="dxa"/>
            <w:shd w:val="clear" w:color="auto" w:fill="F2F2F2" w:themeFill="background1" w:themeFillShade="F2"/>
            <w:noWrap/>
            <w:vAlign w:val="center"/>
          </w:tcPr>
          <w:p w14:paraId="747007DD" w14:textId="77777777" w:rsidR="00616BC4" w:rsidRPr="00F6284E" w:rsidRDefault="00616BC4" w:rsidP="00647943">
            <w:pPr>
              <w:widowControl/>
              <w:jc w:val="right"/>
              <w:rPr>
                <w:b/>
                <w:color w:val="000000"/>
                <w:sz w:val="18"/>
                <w:lang w:val="en-US"/>
              </w:rPr>
            </w:pPr>
            <w:r w:rsidRPr="00F6284E">
              <w:rPr>
                <w:b/>
                <w:color w:val="000000"/>
                <w:sz w:val="18"/>
                <w:lang w:val="en-US"/>
              </w:rPr>
              <w:t>PND 63 (n)</w:t>
            </w:r>
          </w:p>
        </w:tc>
        <w:tc>
          <w:tcPr>
            <w:tcW w:w="1580" w:type="dxa"/>
            <w:shd w:val="clear" w:color="auto" w:fill="F2F2F2" w:themeFill="background1" w:themeFillShade="F2"/>
            <w:noWrap/>
            <w:vAlign w:val="center"/>
          </w:tcPr>
          <w:p w14:paraId="08EA8E84" w14:textId="77777777" w:rsidR="00616BC4" w:rsidRPr="00F6284E" w:rsidRDefault="00616BC4" w:rsidP="00647943">
            <w:pPr>
              <w:widowControl/>
              <w:jc w:val="right"/>
              <w:rPr>
                <w:b/>
                <w:color w:val="000000"/>
                <w:sz w:val="18"/>
                <w:lang w:val="en-US"/>
              </w:rPr>
            </w:pPr>
            <w:r w:rsidRPr="00F6284E">
              <w:rPr>
                <w:b/>
                <w:color w:val="000000"/>
                <w:sz w:val="18"/>
                <w:lang w:val="en-US"/>
              </w:rPr>
              <w:t>PND 84 (n)</w:t>
            </w:r>
          </w:p>
        </w:tc>
      </w:tr>
      <w:tr w:rsidR="00616BC4" w:rsidRPr="00571422" w14:paraId="208259BF" w14:textId="77777777" w:rsidTr="00F6284E">
        <w:trPr>
          <w:trHeight w:val="300"/>
          <w:jc w:val="center"/>
        </w:trPr>
        <w:tc>
          <w:tcPr>
            <w:tcW w:w="12998" w:type="dxa"/>
            <w:gridSpan w:val="8"/>
            <w:shd w:val="clear" w:color="auto" w:fill="auto"/>
            <w:noWrap/>
            <w:vAlign w:val="center"/>
          </w:tcPr>
          <w:p w14:paraId="30073B80" w14:textId="04D32BE5" w:rsidR="00616BC4" w:rsidRPr="000B3C14" w:rsidRDefault="00653CD2" w:rsidP="00647943">
            <w:pPr>
              <w:widowControl/>
              <w:rPr>
                <w:color w:val="000000"/>
                <w:sz w:val="18"/>
                <w:lang w:val="en-US"/>
              </w:rPr>
            </w:pPr>
            <w:r w:rsidRPr="00D711DD">
              <w:rPr>
                <w:i/>
                <w:color w:val="000000"/>
                <w:sz w:val="18"/>
                <w:lang w:val="en-US"/>
              </w:rPr>
              <w:t>Ser</w:t>
            </w:r>
            <w:r w:rsidRPr="000B3C14">
              <w:rPr>
                <w:i/>
                <w:color w:val="000000"/>
                <w:sz w:val="18"/>
                <w:lang w:val="en-US"/>
              </w:rPr>
              <w:t>um (ng/m</w:t>
            </w:r>
            <w:r w:rsidR="00D60FEF">
              <w:rPr>
                <w:i/>
                <w:color w:val="000000"/>
                <w:sz w:val="18"/>
                <w:lang w:val="en-US"/>
              </w:rPr>
              <w:t>L</w:t>
            </w:r>
            <w:r w:rsidRPr="000B3C14">
              <w:rPr>
                <w:i/>
                <w:color w:val="000000"/>
                <w:sz w:val="18"/>
                <w:lang w:val="en-US"/>
              </w:rPr>
              <w:t>)</w:t>
            </w:r>
          </w:p>
        </w:tc>
      </w:tr>
      <w:tr w:rsidR="00616BC4" w:rsidRPr="00571422" w14:paraId="19DB7D19" w14:textId="77777777" w:rsidTr="00F6284E">
        <w:trPr>
          <w:trHeight w:val="300"/>
          <w:jc w:val="center"/>
        </w:trPr>
        <w:tc>
          <w:tcPr>
            <w:tcW w:w="1938" w:type="dxa"/>
            <w:shd w:val="clear" w:color="auto" w:fill="auto"/>
            <w:noWrap/>
            <w:vAlign w:val="center"/>
          </w:tcPr>
          <w:p w14:paraId="43B9A95C" w14:textId="77777777" w:rsidR="00616BC4" w:rsidRPr="00D711DD" w:rsidRDefault="00616BC4" w:rsidP="00A111E9">
            <w:pPr>
              <w:widowControl/>
              <w:rPr>
                <w:color w:val="000000"/>
                <w:sz w:val="18"/>
                <w:lang w:val="en-US"/>
              </w:rPr>
            </w:pPr>
            <w:r w:rsidRPr="00D711DD">
              <w:rPr>
                <w:color w:val="000000"/>
                <w:sz w:val="18"/>
                <w:lang w:val="en-US"/>
              </w:rPr>
              <w:t>Control</w:t>
            </w:r>
          </w:p>
        </w:tc>
        <w:tc>
          <w:tcPr>
            <w:tcW w:w="1580" w:type="dxa"/>
            <w:shd w:val="clear" w:color="auto" w:fill="auto"/>
            <w:noWrap/>
            <w:vAlign w:val="center"/>
          </w:tcPr>
          <w:p w14:paraId="44A3185F" w14:textId="77777777" w:rsidR="00616BC4" w:rsidRPr="000B3C14" w:rsidRDefault="00616BC4" w:rsidP="00647943">
            <w:pPr>
              <w:widowControl/>
              <w:jc w:val="right"/>
              <w:rPr>
                <w:color w:val="000000"/>
                <w:sz w:val="16"/>
                <w:lang w:val="en-US"/>
              </w:rPr>
            </w:pPr>
            <w:r w:rsidRPr="000B3C14">
              <w:rPr>
                <w:color w:val="000000"/>
                <w:sz w:val="16"/>
                <w:lang w:val="en-US"/>
              </w:rPr>
              <w:t>&lt; 20, LOQ (1)</w:t>
            </w:r>
          </w:p>
        </w:tc>
        <w:tc>
          <w:tcPr>
            <w:tcW w:w="1580" w:type="dxa"/>
            <w:shd w:val="clear" w:color="auto" w:fill="auto"/>
            <w:noWrap/>
            <w:vAlign w:val="center"/>
          </w:tcPr>
          <w:p w14:paraId="2D0F6EF9" w14:textId="10538650" w:rsidR="00616BC4" w:rsidRPr="00D711DD" w:rsidRDefault="00616BC4" w:rsidP="00647943">
            <w:pPr>
              <w:widowControl/>
              <w:jc w:val="right"/>
              <w:rPr>
                <w:color w:val="000000"/>
                <w:sz w:val="16"/>
                <w:lang w:val="en-US"/>
              </w:rPr>
            </w:pPr>
            <w:r w:rsidRPr="000B3C14">
              <w:rPr>
                <w:color w:val="000000"/>
                <w:sz w:val="16"/>
                <w:lang w:val="en-US"/>
              </w:rPr>
              <w:t>2292</w:t>
            </w:r>
            <w:r w:rsidR="00FC2E94">
              <w:rPr>
                <w:rFonts w:cs="Arial"/>
                <w:color w:val="000000"/>
                <w:sz w:val="16"/>
                <w:szCs w:val="18"/>
                <w:lang w:val="en-US" w:bidi="ar-SA"/>
              </w:rPr>
              <w:t xml:space="preserve"> </w:t>
            </w:r>
            <w:r w:rsidRPr="00D711DD">
              <w:rPr>
                <w:color w:val="000000"/>
                <w:sz w:val="16"/>
                <w:lang w:val="en-US"/>
              </w:rPr>
              <w:t>± 2278 (2)</w:t>
            </w:r>
          </w:p>
        </w:tc>
        <w:tc>
          <w:tcPr>
            <w:tcW w:w="1580" w:type="dxa"/>
            <w:shd w:val="clear" w:color="auto" w:fill="auto"/>
            <w:noWrap/>
            <w:vAlign w:val="center"/>
          </w:tcPr>
          <w:p w14:paraId="44211881" w14:textId="574A8845" w:rsidR="00616BC4" w:rsidRPr="000B3C14" w:rsidRDefault="00616BC4" w:rsidP="00647943">
            <w:pPr>
              <w:widowControl/>
              <w:jc w:val="right"/>
              <w:rPr>
                <w:color w:val="000000"/>
                <w:sz w:val="16"/>
                <w:lang w:val="en-US"/>
              </w:rPr>
            </w:pPr>
            <w:r w:rsidRPr="000B3C14">
              <w:rPr>
                <w:color w:val="000000"/>
                <w:sz w:val="16"/>
                <w:lang w:val="en-US"/>
              </w:rPr>
              <w:t>-</w:t>
            </w:r>
          </w:p>
        </w:tc>
        <w:tc>
          <w:tcPr>
            <w:tcW w:w="1580" w:type="dxa"/>
            <w:shd w:val="clear" w:color="auto" w:fill="auto"/>
            <w:noWrap/>
            <w:vAlign w:val="center"/>
          </w:tcPr>
          <w:p w14:paraId="44B5E2BB" w14:textId="77777777" w:rsidR="00616BC4" w:rsidRPr="000B3C14" w:rsidRDefault="00616BC4" w:rsidP="00647943">
            <w:pPr>
              <w:widowControl/>
              <w:jc w:val="right"/>
              <w:rPr>
                <w:color w:val="000000"/>
                <w:sz w:val="16"/>
                <w:lang w:val="en-US"/>
              </w:rPr>
            </w:pPr>
            <w:r w:rsidRPr="000B3C14">
              <w:rPr>
                <w:color w:val="000000"/>
                <w:sz w:val="16"/>
                <w:lang w:val="en-US"/>
              </w:rPr>
              <w:t>&lt; 20, LOQ (2)</w:t>
            </w:r>
          </w:p>
        </w:tc>
        <w:tc>
          <w:tcPr>
            <w:tcW w:w="1580" w:type="dxa"/>
            <w:shd w:val="clear" w:color="auto" w:fill="auto"/>
            <w:noWrap/>
            <w:vAlign w:val="center"/>
          </w:tcPr>
          <w:p w14:paraId="10C7FFEC" w14:textId="77777777" w:rsidR="00616BC4" w:rsidRPr="00F6284E" w:rsidRDefault="00616BC4" w:rsidP="00647943">
            <w:pPr>
              <w:widowControl/>
              <w:jc w:val="right"/>
              <w:rPr>
                <w:color w:val="000000"/>
                <w:sz w:val="16"/>
                <w:lang w:val="en-US"/>
              </w:rPr>
            </w:pPr>
            <w:r w:rsidRPr="00F6284E">
              <w:rPr>
                <w:color w:val="000000"/>
                <w:sz w:val="16"/>
                <w:lang w:val="en-US"/>
              </w:rPr>
              <w:t>&lt; 10, LOQ (2)</w:t>
            </w:r>
          </w:p>
        </w:tc>
        <w:tc>
          <w:tcPr>
            <w:tcW w:w="1580" w:type="dxa"/>
            <w:shd w:val="clear" w:color="auto" w:fill="auto"/>
            <w:noWrap/>
            <w:vAlign w:val="center"/>
          </w:tcPr>
          <w:p w14:paraId="63B1A7FF" w14:textId="77777777" w:rsidR="00616BC4" w:rsidRPr="00F6284E" w:rsidRDefault="00616BC4" w:rsidP="00647943">
            <w:pPr>
              <w:widowControl/>
              <w:jc w:val="right"/>
              <w:rPr>
                <w:color w:val="000000"/>
                <w:sz w:val="16"/>
                <w:lang w:val="en-US"/>
              </w:rPr>
            </w:pPr>
            <w:r w:rsidRPr="00F6284E">
              <w:rPr>
                <w:color w:val="000000"/>
                <w:sz w:val="16"/>
                <w:lang w:val="en-US"/>
              </w:rPr>
              <w:t>&lt; 10, LOQ (4)</w:t>
            </w:r>
          </w:p>
        </w:tc>
        <w:tc>
          <w:tcPr>
            <w:tcW w:w="1580" w:type="dxa"/>
            <w:shd w:val="clear" w:color="auto" w:fill="auto"/>
            <w:noWrap/>
            <w:vAlign w:val="center"/>
          </w:tcPr>
          <w:p w14:paraId="3186C25F" w14:textId="77777777" w:rsidR="00616BC4" w:rsidRPr="00F6284E" w:rsidRDefault="00616BC4" w:rsidP="00647943">
            <w:pPr>
              <w:widowControl/>
              <w:jc w:val="right"/>
              <w:rPr>
                <w:color w:val="000000"/>
                <w:sz w:val="16"/>
                <w:lang w:val="en-US"/>
              </w:rPr>
            </w:pPr>
            <w:r w:rsidRPr="00F6284E">
              <w:rPr>
                <w:color w:val="000000"/>
                <w:sz w:val="16"/>
                <w:lang w:val="en-US"/>
              </w:rPr>
              <w:t>&lt; 10, LOQ (3)</w:t>
            </w:r>
          </w:p>
        </w:tc>
      </w:tr>
      <w:tr w:rsidR="00616BC4" w:rsidRPr="00571422" w14:paraId="0DB23333" w14:textId="77777777" w:rsidTr="00F6284E">
        <w:trPr>
          <w:trHeight w:val="300"/>
          <w:jc w:val="center"/>
        </w:trPr>
        <w:tc>
          <w:tcPr>
            <w:tcW w:w="1938" w:type="dxa"/>
            <w:shd w:val="clear" w:color="auto" w:fill="auto"/>
            <w:noWrap/>
            <w:vAlign w:val="center"/>
          </w:tcPr>
          <w:p w14:paraId="145ADF9B" w14:textId="77777777" w:rsidR="00616BC4" w:rsidRPr="00D711DD" w:rsidRDefault="00616BC4" w:rsidP="00A111E9">
            <w:pPr>
              <w:widowControl/>
              <w:rPr>
                <w:color w:val="000000"/>
                <w:sz w:val="18"/>
                <w:lang w:val="en-US"/>
              </w:rPr>
            </w:pPr>
            <w:r w:rsidRPr="00D711DD">
              <w:rPr>
                <w:color w:val="000000"/>
                <w:sz w:val="18"/>
                <w:lang w:val="en-US"/>
              </w:rPr>
              <w:t>0.3 mg/kg</w:t>
            </w:r>
          </w:p>
        </w:tc>
        <w:tc>
          <w:tcPr>
            <w:tcW w:w="1580" w:type="dxa"/>
            <w:shd w:val="clear" w:color="auto" w:fill="auto"/>
            <w:noWrap/>
            <w:vAlign w:val="center"/>
          </w:tcPr>
          <w:p w14:paraId="7D4107A2" w14:textId="77777777" w:rsidR="00616BC4" w:rsidRPr="000B3C14" w:rsidRDefault="00616BC4" w:rsidP="00647943">
            <w:pPr>
              <w:widowControl/>
              <w:jc w:val="right"/>
              <w:rPr>
                <w:color w:val="000000"/>
                <w:sz w:val="16"/>
                <w:lang w:val="en-US"/>
              </w:rPr>
            </w:pPr>
            <w:r w:rsidRPr="000B3C14">
              <w:rPr>
                <w:color w:val="000000"/>
                <w:sz w:val="16"/>
                <w:lang w:val="en-US"/>
              </w:rPr>
              <w:t>5940* (1)</w:t>
            </w:r>
          </w:p>
        </w:tc>
        <w:tc>
          <w:tcPr>
            <w:tcW w:w="1580" w:type="dxa"/>
            <w:shd w:val="clear" w:color="auto" w:fill="auto"/>
            <w:noWrap/>
            <w:vAlign w:val="center"/>
          </w:tcPr>
          <w:p w14:paraId="42CED93F" w14:textId="6A753BCA" w:rsidR="00616BC4" w:rsidRPr="00F6284E" w:rsidRDefault="00616BC4" w:rsidP="00647943">
            <w:pPr>
              <w:widowControl/>
              <w:jc w:val="right"/>
              <w:rPr>
                <w:color w:val="000000"/>
                <w:sz w:val="16"/>
                <w:lang w:val="en-US"/>
              </w:rPr>
            </w:pPr>
            <w:r w:rsidRPr="000B3C14">
              <w:rPr>
                <w:color w:val="000000"/>
                <w:sz w:val="16"/>
                <w:lang w:val="en-US"/>
              </w:rPr>
              <w:t>-</w:t>
            </w:r>
          </w:p>
        </w:tc>
        <w:tc>
          <w:tcPr>
            <w:tcW w:w="1580" w:type="dxa"/>
            <w:shd w:val="clear" w:color="auto" w:fill="auto"/>
            <w:noWrap/>
            <w:vAlign w:val="center"/>
          </w:tcPr>
          <w:p w14:paraId="1471286C" w14:textId="77777777" w:rsidR="00616BC4" w:rsidRPr="00F6284E" w:rsidRDefault="00616BC4" w:rsidP="00647943">
            <w:pPr>
              <w:widowControl/>
              <w:jc w:val="right"/>
              <w:rPr>
                <w:color w:val="000000"/>
                <w:sz w:val="16"/>
                <w:lang w:val="en-US"/>
              </w:rPr>
            </w:pPr>
            <w:r w:rsidRPr="00F6284E">
              <w:rPr>
                <w:color w:val="000000"/>
                <w:sz w:val="16"/>
                <w:lang w:val="en-US"/>
              </w:rPr>
              <w:t>597 (1)</w:t>
            </w:r>
          </w:p>
        </w:tc>
        <w:tc>
          <w:tcPr>
            <w:tcW w:w="1580" w:type="dxa"/>
            <w:shd w:val="clear" w:color="auto" w:fill="auto"/>
            <w:noWrap/>
            <w:vAlign w:val="center"/>
          </w:tcPr>
          <w:p w14:paraId="5428653D" w14:textId="2E83A0BB" w:rsidR="00616BC4" w:rsidRPr="00F6284E" w:rsidRDefault="00616BC4" w:rsidP="00647943">
            <w:pPr>
              <w:widowControl/>
              <w:jc w:val="right"/>
              <w:rPr>
                <w:color w:val="000000"/>
                <w:sz w:val="16"/>
                <w:lang w:val="en-US"/>
              </w:rPr>
            </w:pPr>
            <w:r w:rsidRPr="00F6284E">
              <w:rPr>
                <w:color w:val="000000"/>
                <w:sz w:val="16"/>
                <w:lang w:val="en-US"/>
              </w:rPr>
              <w:t>-</w:t>
            </w:r>
          </w:p>
        </w:tc>
        <w:tc>
          <w:tcPr>
            <w:tcW w:w="1580" w:type="dxa"/>
            <w:shd w:val="clear" w:color="auto" w:fill="auto"/>
            <w:noWrap/>
            <w:vAlign w:val="center"/>
          </w:tcPr>
          <w:p w14:paraId="2CC0C33B" w14:textId="0AB9F270" w:rsidR="00616BC4" w:rsidRPr="00F6284E" w:rsidRDefault="00616BC4" w:rsidP="00647943">
            <w:pPr>
              <w:widowControl/>
              <w:jc w:val="right"/>
              <w:rPr>
                <w:color w:val="000000"/>
                <w:sz w:val="16"/>
                <w:lang w:val="en-US"/>
              </w:rPr>
            </w:pPr>
            <w:r w:rsidRPr="00F6284E">
              <w:rPr>
                <w:color w:val="000000"/>
                <w:sz w:val="16"/>
                <w:lang w:val="en-US"/>
              </w:rPr>
              <w:t>-</w:t>
            </w:r>
          </w:p>
        </w:tc>
        <w:tc>
          <w:tcPr>
            <w:tcW w:w="1580" w:type="dxa"/>
            <w:shd w:val="clear" w:color="auto" w:fill="auto"/>
            <w:noWrap/>
            <w:vAlign w:val="center"/>
          </w:tcPr>
          <w:p w14:paraId="1994A25B" w14:textId="27BED30D" w:rsidR="00616BC4" w:rsidRPr="00D711DD" w:rsidRDefault="00616BC4" w:rsidP="00647943">
            <w:pPr>
              <w:widowControl/>
              <w:jc w:val="right"/>
              <w:rPr>
                <w:color w:val="000000"/>
                <w:sz w:val="16"/>
                <w:lang w:val="en-US"/>
              </w:rPr>
            </w:pPr>
            <w:r w:rsidRPr="00F6284E">
              <w:rPr>
                <w:color w:val="000000"/>
                <w:sz w:val="16"/>
                <w:lang w:val="en-US"/>
              </w:rPr>
              <w:t>74</w:t>
            </w:r>
            <w:r w:rsidR="00653CD2">
              <w:rPr>
                <w:rFonts w:cs="Arial"/>
                <w:color w:val="000000"/>
                <w:sz w:val="16"/>
                <w:szCs w:val="18"/>
                <w:lang w:val="en-US" w:bidi="ar-SA"/>
              </w:rPr>
              <w:t xml:space="preserve"> </w:t>
            </w:r>
            <w:r w:rsidRPr="00D711DD">
              <w:rPr>
                <w:color w:val="000000"/>
                <w:sz w:val="16"/>
                <w:lang w:val="en-US"/>
              </w:rPr>
              <w:t>± 24 ***(3)</w:t>
            </w:r>
          </w:p>
        </w:tc>
        <w:tc>
          <w:tcPr>
            <w:tcW w:w="1580" w:type="dxa"/>
            <w:shd w:val="clear" w:color="auto" w:fill="auto"/>
            <w:noWrap/>
            <w:vAlign w:val="center"/>
          </w:tcPr>
          <w:p w14:paraId="76253D6B" w14:textId="77777777" w:rsidR="00616BC4" w:rsidRPr="000B3C14" w:rsidRDefault="00616BC4" w:rsidP="00647943">
            <w:pPr>
              <w:widowControl/>
              <w:jc w:val="right"/>
              <w:rPr>
                <w:color w:val="000000"/>
                <w:sz w:val="16"/>
                <w:lang w:val="en-US"/>
              </w:rPr>
            </w:pPr>
            <w:r w:rsidRPr="000B3C14">
              <w:rPr>
                <w:color w:val="000000"/>
                <w:sz w:val="16"/>
                <w:lang w:val="en-US"/>
              </w:rPr>
              <w:t>39*** (1)</w:t>
            </w:r>
          </w:p>
        </w:tc>
      </w:tr>
      <w:tr w:rsidR="00616BC4" w:rsidRPr="00571422" w14:paraId="019DE89A" w14:textId="77777777" w:rsidTr="00F6284E">
        <w:trPr>
          <w:trHeight w:val="300"/>
          <w:jc w:val="center"/>
        </w:trPr>
        <w:tc>
          <w:tcPr>
            <w:tcW w:w="1938" w:type="dxa"/>
            <w:shd w:val="clear" w:color="auto" w:fill="auto"/>
            <w:noWrap/>
            <w:vAlign w:val="center"/>
          </w:tcPr>
          <w:p w14:paraId="0862F2A3" w14:textId="77777777" w:rsidR="00616BC4" w:rsidRPr="00D711DD" w:rsidRDefault="00616BC4" w:rsidP="00A111E9">
            <w:pPr>
              <w:widowControl/>
              <w:rPr>
                <w:color w:val="000000"/>
                <w:sz w:val="18"/>
                <w:lang w:val="en-US"/>
              </w:rPr>
            </w:pPr>
            <w:r w:rsidRPr="00D711DD">
              <w:rPr>
                <w:color w:val="000000"/>
                <w:sz w:val="18"/>
                <w:lang w:val="en-US"/>
              </w:rPr>
              <w:t>1.0 mg/kg</w:t>
            </w:r>
          </w:p>
        </w:tc>
        <w:tc>
          <w:tcPr>
            <w:tcW w:w="1580" w:type="dxa"/>
            <w:shd w:val="clear" w:color="auto" w:fill="auto"/>
            <w:noWrap/>
            <w:vAlign w:val="center"/>
          </w:tcPr>
          <w:p w14:paraId="57031927" w14:textId="66888E4B" w:rsidR="00616BC4" w:rsidRPr="000B3C14" w:rsidRDefault="00616BC4" w:rsidP="00647943">
            <w:pPr>
              <w:widowControl/>
              <w:jc w:val="right"/>
              <w:rPr>
                <w:color w:val="000000"/>
                <w:sz w:val="16"/>
                <w:lang w:val="en-US"/>
              </w:rPr>
            </w:pPr>
            <w:r w:rsidRPr="000B3C14">
              <w:rPr>
                <w:color w:val="000000"/>
                <w:sz w:val="16"/>
                <w:lang w:val="en-US"/>
              </w:rPr>
              <w:t>11</w:t>
            </w:r>
            <w:r w:rsidR="00CC26CA">
              <w:rPr>
                <w:color w:val="000000"/>
                <w:sz w:val="16"/>
                <w:lang w:val="en-US"/>
              </w:rPr>
              <w:t> 600</w:t>
            </w:r>
            <w:r w:rsidRPr="000B3C14">
              <w:rPr>
                <w:color w:val="000000"/>
                <w:sz w:val="16"/>
                <w:lang w:val="en-US"/>
              </w:rPr>
              <w:t>* (1)</w:t>
            </w:r>
          </w:p>
        </w:tc>
        <w:tc>
          <w:tcPr>
            <w:tcW w:w="1580" w:type="dxa"/>
            <w:shd w:val="clear" w:color="auto" w:fill="auto"/>
            <w:noWrap/>
            <w:vAlign w:val="center"/>
          </w:tcPr>
          <w:p w14:paraId="2CE8C104" w14:textId="28C42660" w:rsidR="00616BC4" w:rsidRPr="00F6284E" w:rsidRDefault="00616BC4" w:rsidP="00647943">
            <w:pPr>
              <w:widowControl/>
              <w:jc w:val="right"/>
              <w:rPr>
                <w:color w:val="000000"/>
                <w:sz w:val="16"/>
                <w:lang w:val="en-US"/>
              </w:rPr>
            </w:pPr>
            <w:r w:rsidRPr="000B3C14">
              <w:rPr>
                <w:color w:val="000000"/>
                <w:sz w:val="16"/>
                <w:lang w:val="en-US"/>
              </w:rPr>
              <w:t>-</w:t>
            </w:r>
          </w:p>
        </w:tc>
        <w:tc>
          <w:tcPr>
            <w:tcW w:w="1580" w:type="dxa"/>
            <w:shd w:val="clear" w:color="auto" w:fill="auto"/>
            <w:noWrap/>
            <w:vAlign w:val="center"/>
          </w:tcPr>
          <w:p w14:paraId="784173BE" w14:textId="77777777" w:rsidR="00616BC4" w:rsidRPr="00F6284E" w:rsidRDefault="00616BC4" w:rsidP="00647943">
            <w:pPr>
              <w:widowControl/>
              <w:jc w:val="right"/>
              <w:rPr>
                <w:color w:val="000000"/>
                <w:sz w:val="16"/>
                <w:lang w:val="en-US"/>
              </w:rPr>
            </w:pPr>
            <w:r w:rsidRPr="00F6284E">
              <w:rPr>
                <w:color w:val="000000"/>
                <w:sz w:val="16"/>
                <w:lang w:val="en-US"/>
              </w:rPr>
              <w:t>2840 (1)</w:t>
            </w:r>
          </w:p>
        </w:tc>
        <w:tc>
          <w:tcPr>
            <w:tcW w:w="1580" w:type="dxa"/>
            <w:shd w:val="clear" w:color="auto" w:fill="auto"/>
            <w:noWrap/>
            <w:vAlign w:val="center"/>
          </w:tcPr>
          <w:p w14:paraId="02023032" w14:textId="77777777" w:rsidR="00616BC4" w:rsidRPr="00F6284E" w:rsidRDefault="00616BC4" w:rsidP="00647943">
            <w:pPr>
              <w:widowControl/>
              <w:jc w:val="right"/>
              <w:rPr>
                <w:color w:val="000000"/>
                <w:sz w:val="16"/>
                <w:lang w:val="en-US"/>
              </w:rPr>
            </w:pPr>
            <w:r w:rsidRPr="00F6284E">
              <w:rPr>
                <w:color w:val="000000"/>
                <w:sz w:val="16"/>
                <w:lang w:val="en-US"/>
              </w:rPr>
              <w:t>1833</w:t>
            </w:r>
          </w:p>
          <w:p w14:paraId="28FF9E7F" w14:textId="080109AB" w:rsidR="00616BC4" w:rsidRPr="00F6284E" w:rsidRDefault="00616BC4" w:rsidP="00647943">
            <w:pPr>
              <w:widowControl/>
              <w:jc w:val="right"/>
              <w:rPr>
                <w:color w:val="000000"/>
                <w:sz w:val="16"/>
                <w:lang w:val="en-US"/>
              </w:rPr>
            </w:pPr>
            <w:r w:rsidRPr="00F6284E">
              <w:rPr>
                <w:color w:val="000000"/>
                <w:sz w:val="16"/>
                <w:lang w:val="en-US"/>
              </w:rPr>
              <w:t>± 1217* (2)</w:t>
            </w:r>
          </w:p>
        </w:tc>
        <w:tc>
          <w:tcPr>
            <w:tcW w:w="1580" w:type="dxa"/>
            <w:shd w:val="clear" w:color="auto" w:fill="auto"/>
            <w:noWrap/>
            <w:vAlign w:val="center"/>
          </w:tcPr>
          <w:p w14:paraId="717027AE" w14:textId="2ADCA1F7" w:rsidR="00616BC4" w:rsidRPr="00F6284E" w:rsidRDefault="00616BC4" w:rsidP="00647943">
            <w:pPr>
              <w:widowControl/>
              <w:jc w:val="right"/>
              <w:rPr>
                <w:color w:val="000000"/>
                <w:sz w:val="16"/>
                <w:lang w:val="en-US"/>
              </w:rPr>
            </w:pPr>
            <w:r w:rsidRPr="00F6284E">
              <w:rPr>
                <w:color w:val="000000"/>
                <w:sz w:val="16"/>
                <w:lang w:val="en-US"/>
              </w:rPr>
              <w:t>-</w:t>
            </w:r>
          </w:p>
        </w:tc>
        <w:tc>
          <w:tcPr>
            <w:tcW w:w="1580" w:type="dxa"/>
            <w:shd w:val="clear" w:color="auto" w:fill="auto"/>
            <w:noWrap/>
            <w:vAlign w:val="center"/>
          </w:tcPr>
          <w:p w14:paraId="76AF423B" w14:textId="77777777" w:rsidR="00616BC4" w:rsidRPr="00F6284E" w:rsidRDefault="00616BC4" w:rsidP="00647943">
            <w:pPr>
              <w:widowControl/>
              <w:jc w:val="right"/>
              <w:rPr>
                <w:color w:val="000000"/>
                <w:sz w:val="16"/>
                <w:lang w:val="en-US"/>
              </w:rPr>
            </w:pPr>
            <w:r w:rsidRPr="00F6284E">
              <w:rPr>
                <w:color w:val="000000"/>
                <w:sz w:val="16"/>
                <w:lang w:val="en-US"/>
              </w:rPr>
              <w:t>130*** (1)</w:t>
            </w:r>
          </w:p>
        </w:tc>
        <w:tc>
          <w:tcPr>
            <w:tcW w:w="1580" w:type="dxa"/>
            <w:shd w:val="clear" w:color="auto" w:fill="auto"/>
            <w:noWrap/>
            <w:vAlign w:val="center"/>
          </w:tcPr>
          <w:p w14:paraId="3C8CD396" w14:textId="77777777" w:rsidR="00616BC4" w:rsidRPr="00F6284E" w:rsidRDefault="00616BC4" w:rsidP="00647943">
            <w:pPr>
              <w:widowControl/>
              <w:jc w:val="right"/>
              <w:rPr>
                <w:color w:val="000000"/>
                <w:sz w:val="16"/>
                <w:lang w:val="en-US"/>
              </w:rPr>
            </w:pPr>
            <w:r w:rsidRPr="00F6284E">
              <w:rPr>
                <w:color w:val="000000"/>
                <w:sz w:val="16"/>
                <w:lang w:val="en-US"/>
              </w:rPr>
              <w:t>29*** (1)</w:t>
            </w:r>
          </w:p>
        </w:tc>
      </w:tr>
      <w:tr w:rsidR="00616BC4" w:rsidRPr="00571422" w14:paraId="23583BDA" w14:textId="77777777" w:rsidTr="00F6284E">
        <w:trPr>
          <w:trHeight w:val="300"/>
          <w:jc w:val="center"/>
        </w:trPr>
        <w:tc>
          <w:tcPr>
            <w:tcW w:w="1938" w:type="dxa"/>
            <w:shd w:val="clear" w:color="auto" w:fill="auto"/>
            <w:noWrap/>
            <w:vAlign w:val="center"/>
          </w:tcPr>
          <w:p w14:paraId="21F11DE2" w14:textId="77777777" w:rsidR="00616BC4" w:rsidRPr="00D711DD" w:rsidRDefault="00616BC4" w:rsidP="00A111E9">
            <w:pPr>
              <w:widowControl/>
              <w:rPr>
                <w:color w:val="000000"/>
                <w:sz w:val="18"/>
                <w:lang w:val="en-US"/>
              </w:rPr>
            </w:pPr>
            <w:r w:rsidRPr="00D711DD">
              <w:rPr>
                <w:color w:val="000000"/>
                <w:sz w:val="18"/>
                <w:lang w:val="en-US"/>
              </w:rPr>
              <w:t>3.0 mg/kg</w:t>
            </w:r>
          </w:p>
        </w:tc>
        <w:tc>
          <w:tcPr>
            <w:tcW w:w="1580" w:type="dxa"/>
            <w:shd w:val="clear" w:color="auto" w:fill="auto"/>
            <w:noWrap/>
            <w:vAlign w:val="center"/>
          </w:tcPr>
          <w:p w14:paraId="35264512" w14:textId="1FC7BA33" w:rsidR="00616BC4" w:rsidRPr="00D711DD" w:rsidRDefault="00616BC4" w:rsidP="00647943">
            <w:pPr>
              <w:widowControl/>
              <w:jc w:val="right"/>
              <w:rPr>
                <w:color w:val="000000"/>
                <w:sz w:val="16"/>
                <w:lang w:val="en-US"/>
              </w:rPr>
            </w:pPr>
            <w:r w:rsidRPr="000B3C14">
              <w:rPr>
                <w:color w:val="000000"/>
                <w:sz w:val="16"/>
                <w:lang w:val="en-US"/>
              </w:rPr>
              <w:t>27</w:t>
            </w:r>
            <w:r w:rsidR="00CC26CA">
              <w:rPr>
                <w:color w:val="000000"/>
                <w:sz w:val="16"/>
                <w:lang w:val="en-US"/>
              </w:rPr>
              <w:t> 050</w:t>
            </w:r>
            <w:r w:rsidR="00FC2E94">
              <w:rPr>
                <w:rFonts w:cs="Arial"/>
                <w:color w:val="000000"/>
                <w:sz w:val="16"/>
                <w:szCs w:val="18"/>
                <w:lang w:val="en-US" w:bidi="ar-SA"/>
              </w:rPr>
              <w:t xml:space="preserve"> </w:t>
            </w:r>
            <w:r w:rsidRPr="00D711DD">
              <w:rPr>
                <w:color w:val="000000"/>
                <w:sz w:val="16"/>
                <w:lang w:val="en-US"/>
              </w:rPr>
              <w:t>± 1550* (2)</w:t>
            </w:r>
          </w:p>
        </w:tc>
        <w:tc>
          <w:tcPr>
            <w:tcW w:w="1580" w:type="dxa"/>
            <w:shd w:val="clear" w:color="auto" w:fill="auto"/>
            <w:noWrap/>
            <w:vAlign w:val="center"/>
          </w:tcPr>
          <w:p w14:paraId="3552A63D" w14:textId="4C3F0008" w:rsidR="00616BC4" w:rsidRPr="00D711DD" w:rsidRDefault="00616BC4" w:rsidP="00647943">
            <w:pPr>
              <w:widowControl/>
              <w:jc w:val="right"/>
              <w:rPr>
                <w:color w:val="000000"/>
                <w:sz w:val="16"/>
                <w:lang w:val="en-US"/>
              </w:rPr>
            </w:pPr>
            <w:r w:rsidRPr="000B3C14">
              <w:rPr>
                <w:color w:val="000000"/>
                <w:sz w:val="16"/>
                <w:lang w:val="en-US"/>
              </w:rPr>
              <w:t>23</w:t>
            </w:r>
            <w:r w:rsidR="00CC26CA">
              <w:rPr>
                <w:color w:val="000000"/>
                <w:sz w:val="16"/>
                <w:lang w:val="en-US"/>
              </w:rPr>
              <w:t> 650</w:t>
            </w:r>
            <w:r w:rsidR="00FC2E94">
              <w:rPr>
                <w:rFonts w:cs="Arial"/>
                <w:color w:val="000000"/>
                <w:sz w:val="16"/>
                <w:szCs w:val="18"/>
                <w:lang w:val="en-US" w:bidi="ar-SA"/>
              </w:rPr>
              <w:t xml:space="preserve"> </w:t>
            </w:r>
            <w:r w:rsidRPr="00D711DD">
              <w:rPr>
                <w:color w:val="000000"/>
                <w:sz w:val="16"/>
                <w:lang w:val="en-US"/>
              </w:rPr>
              <w:t>± 2850 (2)</w:t>
            </w:r>
          </w:p>
        </w:tc>
        <w:tc>
          <w:tcPr>
            <w:tcW w:w="1580" w:type="dxa"/>
            <w:shd w:val="clear" w:color="auto" w:fill="auto"/>
            <w:noWrap/>
            <w:vAlign w:val="center"/>
          </w:tcPr>
          <w:p w14:paraId="71BD72D8" w14:textId="27F11404" w:rsidR="00616BC4" w:rsidRPr="00D711DD" w:rsidRDefault="00616BC4" w:rsidP="00647943">
            <w:pPr>
              <w:widowControl/>
              <w:jc w:val="right"/>
              <w:rPr>
                <w:color w:val="000000"/>
                <w:sz w:val="16"/>
                <w:lang w:val="en-US"/>
              </w:rPr>
            </w:pPr>
            <w:r w:rsidRPr="000B3C14">
              <w:rPr>
                <w:color w:val="000000"/>
                <w:sz w:val="16"/>
                <w:lang w:val="en-US"/>
              </w:rPr>
              <w:t>11</w:t>
            </w:r>
            <w:r w:rsidR="00CC26CA">
              <w:rPr>
                <w:color w:val="000000"/>
                <w:sz w:val="16"/>
                <w:lang w:val="en-US"/>
              </w:rPr>
              <w:t> 440</w:t>
            </w:r>
            <w:r w:rsidR="00FC2E94">
              <w:rPr>
                <w:rFonts w:cs="Arial"/>
                <w:color w:val="000000"/>
                <w:sz w:val="16"/>
                <w:szCs w:val="18"/>
                <w:lang w:val="en-US" w:bidi="ar-SA"/>
              </w:rPr>
              <w:t xml:space="preserve"> </w:t>
            </w:r>
            <w:r w:rsidRPr="00D711DD">
              <w:rPr>
                <w:color w:val="000000"/>
                <w:sz w:val="16"/>
                <w:lang w:val="en-US"/>
              </w:rPr>
              <w:t>± 1060 (3)</w:t>
            </w:r>
          </w:p>
        </w:tc>
        <w:tc>
          <w:tcPr>
            <w:tcW w:w="1580" w:type="dxa"/>
            <w:shd w:val="clear" w:color="auto" w:fill="auto"/>
            <w:noWrap/>
            <w:vAlign w:val="center"/>
          </w:tcPr>
          <w:p w14:paraId="0BEBAD40" w14:textId="53FB9BBB" w:rsidR="00616BC4" w:rsidRPr="000B3C14" w:rsidRDefault="00616BC4" w:rsidP="00647943">
            <w:pPr>
              <w:widowControl/>
              <w:jc w:val="right"/>
              <w:rPr>
                <w:color w:val="000000"/>
                <w:sz w:val="16"/>
                <w:lang w:val="en-US"/>
              </w:rPr>
            </w:pPr>
            <w:r w:rsidRPr="000B3C14">
              <w:rPr>
                <w:color w:val="000000"/>
                <w:sz w:val="16"/>
                <w:lang w:val="en-US"/>
              </w:rPr>
              <w:t>-</w:t>
            </w:r>
          </w:p>
        </w:tc>
        <w:tc>
          <w:tcPr>
            <w:tcW w:w="1580" w:type="dxa"/>
            <w:shd w:val="clear" w:color="auto" w:fill="auto"/>
            <w:noWrap/>
            <w:vAlign w:val="center"/>
          </w:tcPr>
          <w:p w14:paraId="30C793CF" w14:textId="3605FDB2" w:rsidR="00616BC4" w:rsidRPr="00D711DD" w:rsidRDefault="00616BC4" w:rsidP="00647943">
            <w:pPr>
              <w:widowControl/>
              <w:jc w:val="right"/>
              <w:rPr>
                <w:color w:val="000000"/>
                <w:sz w:val="16"/>
                <w:lang w:val="en-US"/>
              </w:rPr>
            </w:pPr>
            <w:r w:rsidRPr="000B3C14">
              <w:rPr>
                <w:color w:val="000000"/>
                <w:sz w:val="16"/>
                <w:lang w:val="en-US"/>
              </w:rPr>
              <w:t>3245</w:t>
            </w:r>
            <w:r w:rsidR="00FC2E94">
              <w:rPr>
                <w:rFonts w:cs="Arial"/>
                <w:color w:val="000000"/>
                <w:sz w:val="16"/>
                <w:szCs w:val="18"/>
                <w:lang w:val="en-US" w:bidi="ar-SA"/>
              </w:rPr>
              <w:t xml:space="preserve"> </w:t>
            </w:r>
            <w:r w:rsidRPr="00D711DD">
              <w:rPr>
                <w:color w:val="000000"/>
                <w:sz w:val="16"/>
                <w:lang w:val="en-US"/>
              </w:rPr>
              <w:t>± 255*** (2)</w:t>
            </w:r>
          </w:p>
        </w:tc>
        <w:tc>
          <w:tcPr>
            <w:tcW w:w="1580" w:type="dxa"/>
            <w:shd w:val="clear" w:color="auto" w:fill="auto"/>
            <w:noWrap/>
            <w:vAlign w:val="center"/>
          </w:tcPr>
          <w:p w14:paraId="737E46A3" w14:textId="77777777" w:rsidR="00616BC4" w:rsidRPr="000B3C14" w:rsidRDefault="00616BC4" w:rsidP="00647943">
            <w:pPr>
              <w:widowControl/>
              <w:jc w:val="right"/>
              <w:rPr>
                <w:color w:val="000000"/>
                <w:sz w:val="16"/>
                <w:lang w:val="en-US"/>
              </w:rPr>
            </w:pPr>
            <w:r w:rsidRPr="000B3C14">
              <w:rPr>
                <w:color w:val="000000"/>
                <w:sz w:val="16"/>
                <w:lang w:val="en-US"/>
              </w:rPr>
              <w:t>118** (1)</w:t>
            </w:r>
          </w:p>
        </w:tc>
        <w:tc>
          <w:tcPr>
            <w:tcW w:w="1580" w:type="dxa"/>
            <w:shd w:val="clear" w:color="auto" w:fill="auto"/>
            <w:noWrap/>
            <w:vAlign w:val="center"/>
          </w:tcPr>
          <w:p w14:paraId="4E68BE45" w14:textId="63F9127E" w:rsidR="00616BC4" w:rsidRPr="000B3C14" w:rsidRDefault="00616BC4" w:rsidP="00647943">
            <w:pPr>
              <w:widowControl/>
              <w:jc w:val="right"/>
              <w:rPr>
                <w:color w:val="000000"/>
                <w:sz w:val="16"/>
                <w:lang w:val="en-US"/>
              </w:rPr>
            </w:pPr>
            <w:r w:rsidRPr="000B3C14">
              <w:rPr>
                <w:color w:val="000000"/>
                <w:sz w:val="16"/>
                <w:lang w:val="en-US"/>
              </w:rPr>
              <w:t>-</w:t>
            </w:r>
          </w:p>
        </w:tc>
      </w:tr>
      <w:tr w:rsidR="00616BC4" w:rsidRPr="00571422" w14:paraId="5D6F4540" w14:textId="77777777" w:rsidTr="00F6284E">
        <w:trPr>
          <w:trHeight w:val="300"/>
          <w:jc w:val="center"/>
        </w:trPr>
        <w:tc>
          <w:tcPr>
            <w:tcW w:w="12998" w:type="dxa"/>
            <w:gridSpan w:val="8"/>
            <w:shd w:val="clear" w:color="auto" w:fill="auto"/>
            <w:noWrap/>
            <w:vAlign w:val="center"/>
          </w:tcPr>
          <w:p w14:paraId="6DF14EF7" w14:textId="6699A083" w:rsidR="00616BC4" w:rsidRPr="000B3C14" w:rsidRDefault="00653CD2" w:rsidP="00647943">
            <w:pPr>
              <w:widowControl/>
              <w:rPr>
                <w:color w:val="000000"/>
                <w:sz w:val="18"/>
                <w:lang w:val="en-US"/>
              </w:rPr>
            </w:pPr>
            <w:r w:rsidRPr="00D711DD">
              <w:rPr>
                <w:i/>
                <w:color w:val="000000"/>
                <w:sz w:val="18"/>
                <w:lang w:val="en-US"/>
              </w:rPr>
              <w:t>Calculated Blood Burden (ng</w:t>
            </w:r>
            <w:r w:rsidRPr="000B3C14">
              <w:rPr>
                <w:color w:val="000000"/>
                <w:sz w:val="18"/>
                <w:lang w:val="en-US"/>
              </w:rPr>
              <w:t>)</w:t>
            </w:r>
          </w:p>
        </w:tc>
      </w:tr>
      <w:tr w:rsidR="00616BC4" w:rsidRPr="00571422" w14:paraId="0631A671" w14:textId="77777777" w:rsidTr="00F6284E">
        <w:trPr>
          <w:trHeight w:val="300"/>
          <w:jc w:val="center"/>
        </w:trPr>
        <w:tc>
          <w:tcPr>
            <w:tcW w:w="1938" w:type="dxa"/>
            <w:shd w:val="clear" w:color="auto" w:fill="auto"/>
            <w:noWrap/>
            <w:vAlign w:val="center"/>
          </w:tcPr>
          <w:p w14:paraId="10C09B45" w14:textId="77777777" w:rsidR="00616BC4" w:rsidRPr="00D711DD" w:rsidRDefault="00616BC4" w:rsidP="00A111E9">
            <w:pPr>
              <w:widowControl/>
              <w:rPr>
                <w:color w:val="000000"/>
                <w:sz w:val="18"/>
                <w:lang w:val="en-US"/>
              </w:rPr>
            </w:pPr>
            <w:r w:rsidRPr="00D711DD">
              <w:rPr>
                <w:color w:val="000000"/>
                <w:sz w:val="18"/>
                <w:lang w:val="en-US"/>
              </w:rPr>
              <w:t>Control</w:t>
            </w:r>
          </w:p>
        </w:tc>
        <w:tc>
          <w:tcPr>
            <w:tcW w:w="1580" w:type="dxa"/>
            <w:shd w:val="clear" w:color="auto" w:fill="auto"/>
            <w:noWrap/>
            <w:vAlign w:val="center"/>
          </w:tcPr>
          <w:p w14:paraId="48115293" w14:textId="77777777" w:rsidR="00616BC4" w:rsidRPr="000B3C14" w:rsidRDefault="00616BC4" w:rsidP="00647943">
            <w:pPr>
              <w:widowControl/>
              <w:jc w:val="right"/>
              <w:rPr>
                <w:color w:val="000000"/>
                <w:sz w:val="16"/>
                <w:lang w:val="en-US"/>
              </w:rPr>
            </w:pPr>
            <w:r w:rsidRPr="000B3C14">
              <w:rPr>
                <w:color w:val="000000"/>
                <w:sz w:val="16"/>
                <w:lang w:val="en-US"/>
              </w:rPr>
              <w:t>1.1 (1)</w:t>
            </w:r>
          </w:p>
        </w:tc>
        <w:tc>
          <w:tcPr>
            <w:tcW w:w="1580" w:type="dxa"/>
            <w:shd w:val="clear" w:color="auto" w:fill="auto"/>
            <w:noWrap/>
            <w:vAlign w:val="center"/>
          </w:tcPr>
          <w:p w14:paraId="30B0022E" w14:textId="723C6FC0" w:rsidR="00616BC4" w:rsidRPr="00D711DD" w:rsidRDefault="00616BC4" w:rsidP="00647943">
            <w:pPr>
              <w:widowControl/>
              <w:jc w:val="right"/>
              <w:rPr>
                <w:color w:val="000000"/>
                <w:sz w:val="16"/>
                <w:lang w:val="en-US"/>
              </w:rPr>
            </w:pPr>
            <w:r w:rsidRPr="000B3C14">
              <w:rPr>
                <w:color w:val="000000"/>
                <w:sz w:val="16"/>
                <w:lang w:val="en-US"/>
              </w:rPr>
              <w:t>600.4</w:t>
            </w:r>
            <w:r w:rsidR="00FC2E94">
              <w:rPr>
                <w:rFonts w:cs="Arial"/>
                <w:color w:val="000000"/>
                <w:sz w:val="16"/>
                <w:szCs w:val="18"/>
                <w:lang w:val="en-US" w:bidi="ar-SA"/>
              </w:rPr>
              <w:t xml:space="preserve"> </w:t>
            </w:r>
            <w:r w:rsidRPr="00D711DD">
              <w:rPr>
                <w:color w:val="000000"/>
                <w:sz w:val="16"/>
                <w:lang w:val="en-US"/>
              </w:rPr>
              <w:t>± 598.0 (2)</w:t>
            </w:r>
          </w:p>
        </w:tc>
        <w:tc>
          <w:tcPr>
            <w:tcW w:w="1580" w:type="dxa"/>
            <w:shd w:val="clear" w:color="auto" w:fill="auto"/>
            <w:noWrap/>
            <w:vAlign w:val="center"/>
          </w:tcPr>
          <w:p w14:paraId="6B507075" w14:textId="2B1586D0" w:rsidR="00616BC4" w:rsidRPr="000B3C14" w:rsidRDefault="00616BC4" w:rsidP="00647943">
            <w:pPr>
              <w:widowControl/>
              <w:jc w:val="right"/>
              <w:rPr>
                <w:color w:val="000000"/>
                <w:sz w:val="16"/>
                <w:lang w:val="en-US"/>
              </w:rPr>
            </w:pPr>
            <w:r w:rsidRPr="000B3C14">
              <w:rPr>
                <w:color w:val="000000"/>
                <w:sz w:val="16"/>
                <w:lang w:val="en-US"/>
              </w:rPr>
              <w:t>-</w:t>
            </w:r>
          </w:p>
        </w:tc>
        <w:tc>
          <w:tcPr>
            <w:tcW w:w="1580" w:type="dxa"/>
            <w:shd w:val="clear" w:color="auto" w:fill="auto"/>
            <w:noWrap/>
            <w:vAlign w:val="center"/>
          </w:tcPr>
          <w:p w14:paraId="2D81A064" w14:textId="70A0F521" w:rsidR="00616BC4" w:rsidRPr="00D711DD" w:rsidRDefault="00616BC4" w:rsidP="00647943">
            <w:pPr>
              <w:widowControl/>
              <w:jc w:val="right"/>
              <w:rPr>
                <w:color w:val="000000"/>
                <w:sz w:val="16"/>
                <w:lang w:val="en-US"/>
              </w:rPr>
            </w:pPr>
            <w:r w:rsidRPr="00F6284E">
              <w:rPr>
                <w:color w:val="000000"/>
                <w:sz w:val="16"/>
                <w:lang w:val="en-US"/>
              </w:rPr>
              <w:t>3.0</w:t>
            </w:r>
            <w:r w:rsidR="00FC2E94">
              <w:rPr>
                <w:rFonts w:cs="Arial"/>
                <w:color w:val="000000"/>
                <w:sz w:val="16"/>
                <w:szCs w:val="18"/>
                <w:lang w:val="en-US" w:bidi="ar-SA"/>
              </w:rPr>
              <w:t xml:space="preserve"> </w:t>
            </w:r>
            <w:r w:rsidRPr="00D711DD">
              <w:rPr>
                <w:color w:val="000000"/>
                <w:sz w:val="16"/>
                <w:lang w:val="en-US"/>
              </w:rPr>
              <w:t>± 3.0 (2)</w:t>
            </w:r>
          </w:p>
        </w:tc>
        <w:tc>
          <w:tcPr>
            <w:tcW w:w="1580" w:type="dxa"/>
            <w:shd w:val="clear" w:color="auto" w:fill="auto"/>
            <w:noWrap/>
            <w:vAlign w:val="center"/>
          </w:tcPr>
          <w:p w14:paraId="61CC98F5" w14:textId="32667641" w:rsidR="00616BC4" w:rsidRPr="00D711DD" w:rsidRDefault="00616BC4" w:rsidP="00647943">
            <w:pPr>
              <w:widowControl/>
              <w:jc w:val="right"/>
              <w:rPr>
                <w:color w:val="000000"/>
                <w:sz w:val="16"/>
                <w:lang w:val="en-US"/>
              </w:rPr>
            </w:pPr>
            <w:r w:rsidRPr="000B3C14">
              <w:rPr>
                <w:color w:val="000000"/>
                <w:sz w:val="16"/>
                <w:lang w:val="en-US"/>
              </w:rPr>
              <w:t>0.0</w:t>
            </w:r>
            <w:r w:rsidR="00FC2E94">
              <w:rPr>
                <w:rFonts w:cs="Arial"/>
                <w:color w:val="000000"/>
                <w:sz w:val="16"/>
                <w:szCs w:val="18"/>
                <w:lang w:val="en-US" w:bidi="ar-SA"/>
              </w:rPr>
              <w:t xml:space="preserve"> </w:t>
            </w:r>
            <w:r w:rsidRPr="00D711DD">
              <w:rPr>
                <w:color w:val="000000"/>
                <w:sz w:val="16"/>
                <w:lang w:val="en-US"/>
              </w:rPr>
              <w:t>± 0.0 (2)</w:t>
            </w:r>
          </w:p>
        </w:tc>
        <w:tc>
          <w:tcPr>
            <w:tcW w:w="1580" w:type="dxa"/>
            <w:shd w:val="clear" w:color="auto" w:fill="auto"/>
            <w:noWrap/>
            <w:vAlign w:val="center"/>
          </w:tcPr>
          <w:p w14:paraId="0114E1A6" w14:textId="77777777" w:rsidR="00616BC4" w:rsidRPr="000B3C14" w:rsidRDefault="00616BC4" w:rsidP="00647943">
            <w:pPr>
              <w:widowControl/>
              <w:jc w:val="right"/>
              <w:rPr>
                <w:color w:val="000000"/>
                <w:sz w:val="16"/>
                <w:lang w:val="en-US"/>
              </w:rPr>
            </w:pPr>
            <w:r w:rsidRPr="000B3C14">
              <w:rPr>
                <w:color w:val="000000"/>
                <w:sz w:val="16"/>
                <w:lang w:val="en-US"/>
              </w:rPr>
              <w:t>&lt; LOQ (4)</w:t>
            </w:r>
          </w:p>
        </w:tc>
        <w:tc>
          <w:tcPr>
            <w:tcW w:w="1580" w:type="dxa"/>
            <w:shd w:val="clear" w:color="auto" w:fill="auto"/>
            <w:noWrap/>
            <w:vAlign w:val="center"/>
          </w:tcPr>
          <w:p w14:paraId="2DA0A048" w14:textId="704D5B10" w:rsidR="00616BC4" w:rsidRPr="00D711DD" w:rsidRDefault="00616BC4" w:rsidP="00647943">
            <w:pPr>
              <w:widowControl/>
              <w:jc w:val="right"/>
              <w:rPr>
                <w:color w:val="000000"/>
                <w:sz w:val="16"/>
                <w:lang w:val="en-US"/>
              </w:rPr>
            </w:pPr>
            <w:r w:rsidRPr="000B3C14">
              <w:rPr>
                <w:color w:val="000000"/>
                <w:sz w:val="16"/>
                <w:lang w:val="en-US"/>
              </w:rPr>
              <w:t>2.5</w:t>
            </w:r>
            <w:r w:rsidR="00FC2E94">
              <w:rPr>
                <w:rFonts w:cs="Arial"/>
                <w:color w:val="000000"/>
                <w:sz w:val="16"/>
                <w:szCs w:val="18"/>
                <w:lang w:val="en-US" w:bidi="ar-SA"/>
              </w:rPr>
              <w:t xml:space="preserve"> </w:t>
            </w:r>
            <w:r w:rsidRPr="00D711DD">
              <w:rPr>
                <w:color w:val="000000"/>
                <w:sz w:val="16"/>
                <w:lang w:val="en-US"/>
              </w:rPr>
              <w:t>± 2.5 (3)</w:t>
            </w:r>
          </w:p>
        </w:tc>
      </w:tr>
      <w:tr w:rsidR="00616BC4" w:rsidRPr="00571422" w14:paraId="42086FD0" w14:textId="77777777" w:rsidTr="00F6284E">
        <w:trPr>
          <w:trHeight w:val="300"/>
          <w:jc w:val="center"/>
        </w:trPr>
        <w:tc>
          <w:tcPr>
            <w:tcW w:w="1938" w:type="dxa"/>
            <w:shd w:val="clear" w:color="auto" w:fill="auto"/>
            <w:noWrap/>
            <w:vAlign w:val="center"/>
          </w:tcPr>
          <w:p w14:paraId="39CAE254" w14:textId="77777777" w:rsidR="00616BC4" w:rsidRPr="00D711DD" w:rsidRDefault="00616BC4" w:rsidP="00A111E9">
            <w:pPr>
              <w:widowControl/>
              <w:rPr>
                <w:color w:val="000000"/>
                <w:sz w:val="18"/>
                <w:lang w:val="en-US"/>
              </w:rPr>
            </w:pPr>
            <w:r w:rsidRPr="00D711DD">
              <w:rPr>
                <w:color w:val="000000"/>
                <w:sz w:val="18"/>
                <w:lang w:val="en-US"/>
              </w:rPr>
              <w:t>0.3 mg/kg</w:t>
            </w:r>
          </w:p>
        </w:tc>
        <w:tc>
          <w:tcPr>
            <w:tcW w:w="1580" w:type="dxa"/>
            <w:shd w:val="clear" w:color="auto" w:fill="auto"/>
            <w:noWrap/>
            <w:vAlign w:val="center"/>
          </w:tcPr>
          <w:p w14:paraId="37598539" w14:textId="77777777" w:rsidR="00616BC4" w:rsidRPr="000B3C14" w:rsidRDefault="00616BC4" w:rsidP="00647943">
            <w:pPr>
              <w:widowControl/>
              <w:jc w:val="right"/>
              <w:rPr>
                <w:color w:val="000000"/>
                <w:sz w:val="16"/>
                <w:lang w:val="en-US"/>
              </w:rPr>
            </w:pPr>
            <w:r w:rsidRPr="000B3C14">
              <w:rPr>
                <w:color w:val="000000"/>
                <w:sz w:val="16"/>
                <w:lang w:val="en-US"/>
              </w:rPr>
              <w:t>716.7* (1)</w:t>
            </w:r>
          </w:p>
        </w:tc>
        <w:tc>
          <w:tcPr>
            <w:tcW w:w="1580" w:type="dxa"/>
            <w:shd w:val="clear" w:color="auto" w:fill="auto"/>
            <w:noWrap/>
            <w:vAlign w:val="center"/>
          </w:tcPr>
          <w:p w14:paraId="0058AFA2" w14:textId="0C4DB09B" w:rsidR="00616BC4" w:rsidRPr="00F6284E" w:rsidRDefault="00616BC4" w:rsidP="00647943">
            <w:pPr>
              <w:widowControl/>
              <w:jc w:val="right"/>
              <w:rPr>
                <w:color w:val="000000"/>
                <w:sz w:val="16"/>
                <w:lang w:val="en-US"/>
              </w:rPr>
            </w:pPr>
            <w:r w:rsidRPr="000B3C14">
              <w:rPr>
                <w:color w:val="000000"/>
                <w:sz w:val="16"/>
                <w:lang w:val="en-US"/>
              </w:rPr>
              <w:t>-</w:t>
            </w:r>
          </w:p>
        </w:tc>
        <w:tc>
          <w:tcPr>
            <w:tcW w:w="1580" w:type="dxa"/>
            <w:shd w:val="clear" w:color="auto" w:fill="auto"/>
            <w:noWrap/>
            <w:vAlign w:val="center"/>
          </w:tcPr>
          <w:p w14:paraId="655677BF" w14:textId="77777777" w:rsidR="00616BC4" w:rsidRPr="00F6284E" w:rsidRDefault="00616BC4" w:rsidP="00647943">
            <w:pPr>
              <w:widowControl/>
              <w:jc w:val="right"/>
              <w:rPr>
                <w:color w:val="000000"/>
                <w:sz w:val="16"/>
                <w:lang w:val="en-US"/>
              </w:rPr>
            </w:pPr>
            <w:r w:rsidRPr="00F6284E">
              <w:rPr>
                <w:color w:val="000000"/>
                <w:sz w:val="16"/>
                <w:lang w:val="en-US"/>
              </w:rPr>
              <w:t>263.2 (1)</w:t>
            </w:r>
          </w:p>
        </w:tc>
        <w:tc>
          <w:tcPr>
            <w:tcW w:w="1580" w:type="dxa"/>
            <w:shd w:val="clear" w:color="auto" w:fill="auto"/>
            <w:noWrap/>
            <w:vAlign w:val="center"/>
          </w:tcPr>
          <w:p w14:paraId="413CC66F" w14:textId="1B7CD94B" w:rsidR="00616BC4" w:rsidRPr="00F6284E" w:rsidRDefault="00616BC4" w:rsidP="00647943">
            <w:pPr>
              <w:widowControl/>
              <w:jc w:val="right"/>
              <w:rPr>
                <w:color w:val="000000"/>
                <w:sz w:val="16"/>
                <w:lang w:val="en-US"/>
              </w:rPr>
            </w:pPr>
            <w:r w:rsidRPr="00F6284E">
              <w:rPr>
                <w:color w:val="000000"/>
                <w:sz w:val="16"/>
                <w:lang w:val="en-US"/>
              </w:rPr>
              <w:t>-</w:t>
            </w:r>
          </w:p>
        </w:tc>
        <w:tc>
          <w:tcPr>
            <w:tcW w:w="1580" w:type="dxa"/>
            <w:shd w:val="clear" w:color="auto" w:fill="auto"/>
            <w:noWrap/>
            <w:vAlign w:val="center"/>
          </w:tcPr>
          <w:p w14:paraId="539575B4" w14:textId="1FA8C174" w:rsidR="00616BC4" w:rsidRPr="00F6284E" w:rsidRDefault="00616BC4" w:rsidP="00647943">
            <w:pPr>
              <w:widowControl/>
              <w:jc w:val="right"/>
              <w:rPr>
                <w:color w:val="000000"/>
                <w:sz w:val="16"/>
                <w:lang w:val="en-US"/>
              </w:rPr>
            </w:pPr>
            <w:r w:rsidRPr="00F6284E">
              <w:rPr>
                <w:color w:val="000000"/>
                <w:sz w:val="16"/>
                <w:lang w:val="en-US"/>
              </w:rPr>
              <w:t>-</w:t>
            </w:r>
          </w:p>
        </w:tc>
        <w:tc>
          <w:tcPr>
            <w:tcW w:w="1580" w:type="dxa"/>
            <w:shd w:val="clear" w:color="auto" w:fill="auto"/>
            <w:noWrap/>
            <w:vAlign w:val="center"/>
          </w:tcPr>
          <w:p w14:paraId="23379D04" w14:textId="2A975696" w:rsidR="00616BC4" w:rsidRPr="00D711DD" w:rsidRDefault="00616BC4" w:rsidP="00647943">
            <w:pPr>
              <w:widowControl/>
              <w:jc w:val="right"/>
              <w:rPr>
                <w:color w:val="000000"/>
                <w:sz w:val="16"/>
                <w:lang w:val="en-US"/>
              </w:rPr>
            </w:pPr>
            <w:r w:rsidRPr="00F6284E">
              <w:rPr>
                <w:color w:val="000000"/>
                <w:sz w:val="16"/>
                <w:lang w:val="en-US"/>
              </w:rPr>
              <w:t>93.7</w:t>
            </w:r>
            <w:r w:rsidR="00FC2E94">
              <w:rPr>
                <w:rFonts w:cs="Arial"/>
                <w:color w:val="000000"/>
                <w:sz w:val="16"/>
                <w:szCs w:val="18"/>
                <w:lang w:val="en-US" w:bidi="ar-SA"/>
              </w:rPr>
              <w:t xml:space="preserve"> </w:t>
            </w:r>
            <w:r w:rsidRPr="00D711DD">
              <w:rPr>
                <w:color w:val="000000"/>
                <w:sz w:val="16"/>
                <w:lang w:val="en-US"/>
              </w:rPr>
              <w:t>± 29.9 (3)</w:t>
            </w:r>
          </w:p>
        </w:tc>
        <w:tc>
          <w:tcPr>
            <w:tcW w:w="1580" w:type="dxa"/>
            <w:shd w:val="clear" w:color="auto" w:fill="auto"/>
            <w:noWrap/>
            <w:vAlign w:val="center"/>
          </w:tcPr>
          <w:p w14:paraId="278F5DA6" w14:textId="77777777" w:rsidR="00616BC4" w:rsidRPr="000B3C14" w:rsidRDefault="00616BC4" w:rsidP="00647943">
            <w:pPr>
              <w:widowControl/>
              <w:jc w:val="right"/>
              <w:rPr>
                <w:color w:val="000000"/>
                <w:sz w:val="16"/>
                <w:lang w:val="en-US"/>
              </w:rPr>
            </w:pPr>
            <w:r w:rsidRPr="000B3C14">
              <w:rPr>
                <w:color w:val="000000"/>
                <w:sz w:val="16"/>
                <w:lang w:val="en-US"/>
              </w:rPr>
              <w:t>58.4 (1)</w:t>
            </w:r>
          </w:p>
        </w:tc>
      </w:tr>
      <w:tr w:rsidR="00616BC4" w:rsidRPr="00571422" w14:paraId="55D5806D" w14:textId="77777777" w:rsidTr="00F6284E">
        <w:trPr>
          <w:trHeight w:val="300"/>
          <w:jc w:val="center"/>
        </w:trPr>
        <w:tc>
          <w:tcPr>
            <w:tcW w:w="1938" w:type="dxa"/>
            <w:shd w:val="clear" w:color="auto" w:fill="auto"/>
            <w:noWrap/>
            <w:vAlign w:val="center"/>
          </w:tcPr>
          <w:p w14:paraId="58B6557A" w14:textId="77777777" w:rsidR="00616BC4" w:rsidRPr="00D711DD" w:rsidRDefault="00616BC4" w:rsidP="00A111E9">
            <w:pPr>
              <w:widowControl/>
              <w:rPr>
                <w:color w:val="000000"/>
                <w:sz w:val="18"/>
                <w:lang w:val="en-US"/>
              </w:rPr>
            </w:pPr>
            <w:r w:rsidRPr="00D711DD">
              <w:rPr>
                <w:color w:val="000000"/>
                <w:sz w:val="18"/>
                <w:lang w:val="en-US"/>
              </w:rPr>
              <w:t>1.0 mg/kg</w:t>
            </w:r>
          </w:p>
        </w:tc>
        <w:tc>
          <w:tcPr>
            <w:tcW w:w="1580" w:type="dxa"/>
            <w:shd w:val="clear" w:color="auto" w:fill="auto"/>
            <w:noWrap/>
            <w:vAlign w:val="center"/>
          </w:tcPr>
          <w:p w14:paraId="65FA1E22" w14:textId="77777777" w:rsidR="00616BC4" w:rsidRPr="000B3C14" w:rsidRDefault="00616BC4" w:rsidP="00647943">
            <w:pPr>
              <w:widowControl/>
              <w:jc w:val="right"/>
              <w:rPr>
                <w:color w:val="000000"/>
                <w:sz w:val="16"/>
                <w:lang w:val="en-US"/>
              </w:rPr>
            </w:pPr>
            <w:r w:rsidRPr="000B3C14">
              <w:rPr>
                <w:color w:val="000000"/>
                <w:sz w:val="16"/>
                <w:lang w:val="en-US"/>
              </w:rPr>
              <w:t>1642.2* (1)</w:t>
            </w:r>
          </w:p>
        </w:tc>
        <w:tc>
          <w:tcPr>
            <w:tcW w:w="1580" w:type="dxa"/>
            <w:shd w:val="clear" w:color="auto" w:fill="auto"/>
            <w:noWrap/>
            <w:vAlign w:val="center"/>
          </w:tcPr>
          <w:p w14:paraId="4762DF02" w14:textId="366EC4A8" w:rsidR="00616BC4" w:rsidRPr="00F6284E" w:rsidRDefault="00616BC4" w:rsidP="00647943">
            <w:pPr>
              <w:widowControl/>
              <w:jc w:val="right"/>
              <w:rPr>
                <w:color w:val="000000"/>
                <w:sz w:val="16"/>
                <w:lang w:val="en-US"/>
              </w:rPr>
            </w:pPr>
            <w:r w:rsidRPr="000B3C14">
              <w:rPr>
                <w:color w:val="000000"/>
                <w:sz w:val="16"/>
                <w:lang w:val="en-US"/>
              </w:rPr>
              <w:t>-</w:t>
            </w:r>
          </w:p>
        </w:tc>
        <w:tc>
          <w:tcPr>
            <w:tcW w:w="1580" w:type="dxa"/>
            <w:shd w:val="clear" w:color="auto" w:fill="auto"/>
            <w:noWrap/>
            <w:vAlign w:val="center"/>
          </w:tcPr>
          <w:p w14:paraId="371235B4" w14:textId="2EAFB13C" w:rsidR="00616BC4" w:rsidRPr="00F6284E" w:rsidRDefault="00616BC4" w:rsidP="00647943">
            <w:pPr>
              <w:widowControl/>
              <w:jc w:val="right"/>
              <w:rPr>
                <w:color w:val="000000"/>
                <w:sz w:val="16"/>
                <w:lang w:val="en-US"/>
              </w:rPr>
            </w:pPr>
            <w:r w:rsidRPr="00F6284E">
              <w:rPr>
                <w:color w:val="000000"/>
                <w:sz w:val="16"/>
                <w:lang w:val="en-US"/>
              </w:rPr>
              <w:t>1261.0 (1)</w:t>
            </w:r>
          </w:p>
        </w:tc>
        <w:tc>
          <w:tcPr>
            <w:tcW w:w="1580" w:type="dxa"/>
            <w:shd w:val="clear" w:color="auto" w:fill="auto"/>
            <w:noWrap/>
            <w:vAlign w:val="center"/>
          </w:tcPr>
          <w:p w14:paraId="1C853F03" w14:textId="0D3D7175" w:rsidR="00616BC4" w:rsidRPr="00D711DD" w:rsidRDefault="00616BC4" w:rsidP="00647943">
            <w:pPr>
              <w:widowControl/>
              <w:jc w:val="right"/>
              <w:rPr>
                <w:color w:val="000000"/>
                <w:sz w:val="16"/>
                <w:lang w:val="en-US"/>
              </w:rPr>
            </w:pPr>
            <w:r w:rsidRPr="00F6284E">
              <w:rPr>
                <w:color w:val="000000"/>
                <w:sz w:val="16"/>
                <w:lang w:val="en-US"/>
              </w:rPr>
              <w:t>1625</w:t>
            </w:r>
            <w:r w:rsidR="00FC2E94">
              <w:rPr>
                <w:rFonts w:cs="Arial"/>
                <w:color w:val="000000"/>
                <w:sz w:val="16"/>
                <w:szCs w:val="18"/>
                <w:lang w:val="en-US" w:bidi="ar-SA"/>
              </w:rPr>
              <w:t xml:space="preserve"> </w:t>
            </w:r>
            <w:r w:rsidRPr="00D711DD">
              <w:rPr>
                <w:color w:val="000000"/>
                <w:sz w:val="16"/>
                <w:lang w:val="en-US"/>
              </w:rPr>
              <w:t>± 1103 (2)</w:t>
            </w:r>
          </w:p>
        </w:tc>
        <w:tc>
          <w:tcPr>
            <w:tcW w:w="1580" w:type="dxa"/>
            <w:shd w:val="clear" w:color="auto" w:fill="auto"/>
            <w:noWrap/>
            <w:vAlign w:val="center"/>
          </w:tcPr>
          <w:p w14:paraId="3ECF1448" w14:textId="5BC7F79B" w:rsidR="00616BC4" w:rsidRPr="000B3C14" w:rsidRDefault="00616BC4" w:rsidP="00647943">
            <w:pPr>
              <w:widowControl/>
              <w:jc w:val="right"/>
              <w:rPr>
                <w:color w:val="000000"/>
                <w:sz w:val="16"/>
                <w:lang w:val="en-US"/>
              </w:rPr>
            </w:pPr>
            <w:r w:rsidRPr="000B3C14">
              <w:rPr>
                <w:color w:val="000000"/>
                <w:sz w:val="16"/>
                <w:lang w:val="en-US"/>
              </w:rPr>
              <w:t>-</w:t>
            </w:r>
          </w:p>
        </w:tc>
        <w:tc>
          <w:tcPr>
            <w:tcW w:w="1580" w:type="dxa"/>
            <w:shd w:val="clear" w:color="auto" w:fill="auto"/>
            <w:noWrap/>
            <w:vAlign w:val="center"/>
          </w:tcPr>
          <w:p w14:paraId="2949DEDB" w14:textId="77777777" w:rsidR="00616BC4" w:rsidRPr="000B3C14" w:rsidRDefault="00616BC4" w:rsidP="00647943">
            <w:pPr>
              <w:widowControl/>
              <w:jc w:val="right"/>
              <w:rPr>
                <w:color w:val="000000"/>
                <w:sz w:val="16"/>
                <w:lang w:val="en-US"/>
              </w:rPr>
            </w:pPr>
            <w:r w:rsidRPr="000B3C14">
              <w:rPr>
                <w:color w:val="000000"/>
                <w:sz w:val="16"/>
                <w:lang w:val="en-US"/>
              </w:rPr>
              <w:t>169.0 (1)</w:t>
            </w:r>
          </w:p>
        </w:tc>
        <w:tc>
          <w:tcPr>
            <w:tcW w:w="1580" w:type="dxa"/>
            <w:shd w:val="clear" w:color="auto" w:fill="auto"/>
            <w:noWrap/>
            <w:vAlign w:val="center"/>
          </w:tcPr>
          <w:p w14:paraId="11F74317" w14:textId="77777777" w:rsidR="00616BC4" w:rsidRPr="00F6284E" w:rsidRDefault="00616BC4" w:rsidP="00647943">
            <w:pPr>
              <w:widowControl/>
              <w:jc w:val="right"/>
              <w:rPr>
                <w:color w:val="000000"/>
                <w:sz w:val="16"/>
                <w:lang w:val="en-US"/>
              </w:rPr>
            </w:pPr>
            <w:r w:rsidRPr="00F6284E">
              <w:rPr>
                <w:color w:val="000000"/>
                <w:sz w:val="16"/>
                <w:lang w:val="en-US"/>
              </w:rPr>
              <w:t>39.2 (1)</w:t>
            </w:r>
          </w:p>
        </w:tc>
      </w:tr>
      <w:tr w:rsidR="00616BC4" w:rsidRPr="00571422" w14:paraId="47650D7D" w14:textId="77777777" w:rsidTr="00F6284E">
        <w:trPr>
          <w:trHeight w:val="423"/>
          <w:jc w:val="center"/>
        </w:trPr>
        <w:tc>
          <w:tcPr>
            <w:tcW w:w="1938" w:type="dxa"/>
            <w:shd w:val="clear" w:color="auto" w:fill="auto"/>
            <w:noWrap/>
            <w:vAlign w:val="center"/>
          </w:tcPr>
          <w:p w14:paraId="7AACC2D7" w14:textId="77777777" w:rsidR="00616BC4" w:rsidRPr="00D711DD" w:rsidRDefault="00616BC4" w:rsidP="00A111E9">
            <w:pPr>
              <w:widowControl/>
              <w:rPr>
                <w:color w:val="000000"/>
                <w:sz w:val="18"/>
                <w:lang w:val="en-US"/>
              </w:rPr>
            </w:pPr>
            <w:r w:rsidRPr="00D711DD">
              <w:rPr>
                <w:color w:val="000000"/>
                <w:sz w:val="18"/>
                <w:lang w:val="en-US"/>
              </w:rPr>
              <w:t>3.0 mg/kg</w:t>
            </w:r>
          </w:p>
        </w:tc>
        <w:tc>
          <w:tcPr>
            <w:tcW w:w="1580" w:type="dxa"/>
            <w:shd w:val="clear" w:color="auto" w:fill="auto"/>
            <w:noWrap/>
            <w:vAlign w:val="center"/>
          </w:tcPr>
          <w:p w14:paraId="62D2D962" w14:textId="252F1700" w:rsidR="006A1353" w:rsidRDefault="00616BC4" w:rsidP="00647943">
            <w:pPr>
              <w:widowControl/>
              <w:jc w:val="right"/>
              <w:rPr>
                <w:rFonts w:cs="Arial"/>
                <w:color w:val="000000"/>
                <w:sz w:val="16"/>
                <w:szCs w:val="18"/>
                <w:lang w:val="en-US" w:bidi="ar-SA"/>
              </w:rPr>
            </w:pPr>
            <w:r w:rsidRPr="000B3C14">
              <w:rPr>
                <w:color w:val="000000"/>
                <w:sz w:val="16"/>
                <w:lang w:val="en-US"/>
              </w:rPr>
              <w:t>3900.4</w:t>
            </w:r>
          </w:p>
          <w:p w14:paraId="4ABD1D91" w14:textId="2172DE83" w:rsidR="00616BC4" w:rsidRPr="00D711DD" w:rsidRDefault="00616BC4" w:rsidP="00647943">
            <w:pPr>
              <w:widowControl/>
              <w:jc w:val="right"/>
              <w:rPr>
                <w:color w:val="000000"/>
                <w:sz w:val="16"/>
                <w:lang w:val="en-US"/>
              </w:rPr>
            </w:pPr>
            <w:r w:rsidRPr="00D711DD">
              <w:rPr>
                <w:color w:val="000000"/>
                <w:sz w:val="16"/>
                <w:lang w:val="en-US"/>
              </w:rPr>
              <w:t>± 700.6* (2)</w:t>
            </w:r>
          </w:p>
        </w:tc>
        <w:tc>
          <w:tcPr>
            <w:tcW w:w="1580" w:type="dxa"/>
            <w:shd w:val="clear" w:color="auto" w:fill="auto"/>
            <w:noWrap/>
            <w:vAlign w:val="center"/>
          </w:tcPr>
          <w:p w14:paraId="0AE5E799" w14:textId="4A7D2D23" w:rsidR="00616BC4" w:rsidRPr="00D711DD" w:rsidRDefault="00616BC4" w:rsidP="00647943">
            <w:pPr>
              <w:widowControl/>
              <w:jc w:val="right"/>
              <w:rPr>
                <w:color w:val="000000"/>
                <w:sz w:val="16"/>
                <w:lang w:val="en-US"/>
              </w:rPr>
            </w:pPr>
            <w:r w:rsidRPr="000B3C14">
              <w:rPr>
                <w:color w:val="000000"/>
                <w:sz w:val="16"/>
                <w:lang w:val="en-US"/>
              </w:rPr>
              <w:t>5128.5</w:t>
            </w:r>
            <w:r w:rsidR="00FC2E94">
              <w:rPr>
                <w:rFonts w:cs="Arial"/>
                <w:color w:val="000000"/>
                <w:sz w:val="16"/>
                <w:szCs w:val="18"/>
                <w:lang w:val="en-US" w:bidi="ar-SA"/>
              </w:rPr>
              <w:t xml:space="preserve"> </w:t>
            </w:r>
            <w:r w:rsidRPr="00D711DD">
              <w:rPr>
                <w:color w:val="000000"/>
                <w:sz w:val="16"/>
                <w:lang w:val="en-US"/>
              </w:rPr>
              <w:t>± 243.1 (2)</w:t>
            </w:r>
          </w:p>
        </w:tc>
        <w:tc>
          <w:tcPr>
            <w:tcW w:w="1580" w:type="dxa"/>
            <w:shd w:val="clear" w:color="auto" w:fill="auto"/>
            <w:noWrap/>
            <w:vAlign w:val="center"/>
          </w:tcPr>
          <w:p w14:paraId="670A698E" w14:textId="68D7AEAF" w:rsidR="00616BC4" w:rsidRPr="00D711DD" w:rsidRDefault="00616BC4" w:rsidP="00647943">
            <w:pPr>
              <w:widowControl/>
              <w:jc w:val="right"/>
              <w:rPr>
                <w:color w:val="000000"/>
                <w:sz w:val="16"/>
                <w:lang w:val="en-US"/>
              </w:rPr>
            </w:pPr>
            <w:r w:rsidRPr="000B3C14">
              <w:rPr>
                <w:color w:val="000000"/>
                <w:sz w:val="16"/>
                <w:lang w:val="en-US"/>
              </w:rPr>
              <w:t>4243.2</w:t>
            </w:r>
            <w:r w:rsidR="00FC2E94">
              <w:rPr>
                <w:rFonts w:cs="Arial"/>
                <w:color w:val="000000"/>
                <w:sz w:val="16"/>
                <w:szCs w:val="18"/>
                <w:lang w:val="en-US" w:bidi="ar-SA"/>
              </w:rPr>
              <w:t xml:space="preserve"> </w:t>
            </w:r>
            <w:r w:rsidRPr="00D711DD">
              <w:rPr>
                <w:color w:val="000000"/>
                <w:sz w:val="16"/>
                <w:lang w:val="en-US"/>
              </w:rPr>
              <w:t>± 505.1 (3)</w:t>
            </w:r>
          </w:p>
        </w:tc>
        <w:tc>
          <w:tcPr>
            <w:tcW w:w="1580" w:type="dxa"/>
            <w:shd w:val="clear" w:color="auto" w:fill="auto"/>
            <w:noWrap/>
            <w:vAlign w:val="center"/>
          </w:tcPr>
          <w:p w14:paraId="15805796" w14:textId="57AF30E9" w:rsidR="00616BC4" w:rsidRPr="000B3C14" w:rsidRDefault="00616BC4" w:rsidP="00647943">
            <w:pPr>
              <w:widowControl/>
              <w:jc w:val="right"/>
              <w:rPr>
                <w:color w:val="000000"/>
                <w:sz w:val="16"/>
                <w:lang w:val="en-US"/>
              </w:rPr>
            </w:pPr>
            <w:r w:rsidRPr="000B3C14">
              <w:rPr>
                <w:color w:val="000000"/>
                <w:sz w:val="16"/>
                <w:lang w:val="en-US"/>
              </w:rPr>
              <w:t>-</w:t>
            </w:r>
          </w:p>
        </w:tc>
        <w:tc>
          <w:tcPr>
            <w:tcW w:w="1580" w:type="dxa"/>
            <w:shd w:val="clear" w:color="auto" w:fill="auto"/>
            <w:noWrap/>
            <w:vAlign w:val="center"/>
          </w:tcPr>
          <w:p w14:paraId="3CDA0A6B" w14:textId="030E71EF" w:rsidR="00616BC4" w:rsidRPr="00D711DD" w:rsidRDefault="00616BC4" w:rsidP="00647943">
            <w:pPr>
              <w:widowControl/>
              <w:jc w:val="right"/>
              <w:rPr>
                <w:color w:val="000000"/>
                <w:sz w:val="16"/>
                <w:lang w:val="en-US"/>
              </w:rPr>
            </w:pPr>
            <w:r w:rsidRPr="000B3C14">
              <w:rPr>
                <w:color w:val="000000"/>
                <w:sz w:val="16"/>
                <w:lang w:val="en-US"/>
              </w:rPr>
              <w:t>3384.8</w:t>
            </w:r>
            <w:r w:rsidR="00FC2E94">
              <w:rPr>
                <w:rFonts w:cs="Arial"/>
                <w:color w:val="000000"/>
                <w:sz w:val="16"/>
                <w:szCs w:val="18"/>
                <w:lang w:val="en-US" w:bidi="ar-SA"/>
              </w:rPr>
              <w:t xml:space="preserve"> </w:t>
            </w:r>
            <w:r w:rsidRPr="00D711DD">
              <w:rPr>
                <w:color w:val="000000"/>
                <w:sz w:val="16"/>
                <w:lang w:val="en-US"/>
              </w:rPr>
              <w:t>± 489.1 (2)</w:t>
            </w:r>
          </w:p>
        </w:tc>
        <w:tc>
          <w:tcPr>
            <w:tcW w:w="1580" w:type="dxa"/>
            <w:shd w:val="clear" w:color="auto" w:fill="auto"/>
            <w:noWrap/>
            <w:vAlign w:val="center"/>
          </w:tcPr>
          <w:p w14:paraId="13CE822A" w14:textId="77777777" w:rsidR="00616BC4" w:rsidRPr="000B3C14" w:rsidRDefault="00616BC4" w:rsidP="00647943">
            <w:pPr>
              <w:widowControl/>
              <w:jc w:val="right"/>
              <w:rPr>
                <w:color w:val="000000"/>
                <w:sz w:val="16"/>
                <w:lang w:val="en-US"/>
              </w:rPr>
            </w:pPr>
            <w:r w:rsidRPr="000B3C14">
              <w:rPr>
                <w:color w:val="000000"/>
                <w:sz w:val="16"/>
                <w:lang w:val="en-US"/>
              </w:rPr>
              <w:t>138.2 (1)</w:t>
            </w:r>
          </w:p>
        </w:tc>
        <w:tc>
          <w:tcPr>
            <w:tcW w:w="1580" w:type="dxa"/>
            <w:shd w:val="clear" w:color="auto" w:fill="auto"/>
            <w:noWrap/>
            <w:vAlign w:val="center"/>
          </w:tcPr>
          <w:p w14:paraId="7464502F" w14:textId="108016E1" w:rsidR="00616BC4" w:rsidRPr="000B3C14" w:rsidRDefault="00616BC4" w:rsidP="00647943">
            <w:pPr>
              <w:widowControl/>
              <w:jc w:val="right"/>
              <w:rPr>
                <w:color w:val="000000"/>
                <w:sz w:val="16"/>
                <w:lang w:val="en-US"/>
              </w:rPr>
            </w:pPr>
            <w:r w:rsidRPr="000B3C14">
              <w:rPr>
                <w:color w:val="000000"/>
                <w:sz w:val="16"/>
                <w:lang w:val="en-US"/>
              </w:rPr>
              <w:t>-</w:t>
            </w:r>
          </w:p>
        </w:tc>
      </w:tr>
      <w:tr w:rsidR="00616BC4" w:rsidRPr="00571422" w14:paraId="72F6C988" w14:textId="77777777" w:rsidTr="00F6284E">
        <w:trPr>
          <w:trHeight w:val="300"/>
          <w:jc w:val="center"/>
        </w:trPr>
        <w:tc>
          <w:tcPr>
            <w:tcW w:w="12998" w:type="dxa"/>
            <w:gridSpan w:val="8"/>
            <w:shd w:val="clear" w:color="auto" w:fill="auto"/>
            <w:noWrap/>
            <w:vAlign w:val="center"/>
          </w:tcPr>
          <w:p w14:paraId="5C3B88AA" w14:textId="075700BC" w:rsidR="00616BC4" w:rsidRPr="000B3C14" w:rsidRDefault="00653CD2" w:rsidP="00647943">
            <w:pPr>
              <w:widowControl/>
              <w:rPr>
                <w:color w:val="000000"/>
                <w:sz w:val="18"/>
                <w:lang w:val="en-US"/>
              </w:rPr>
            </w:pPr>
            <w:r w:rsidRPr="00D711DD">
              <w:rPr>
                <w:i/>
                <w:color w:val="000000"/>
                <w:sz w:val="18"/>
                <w:lang w:val="en-US"/>
              </w:rPr>
              <w:t>Liver (ng/g)</w:t>
            </w:r>
          </w:p>
        </w:tc>
      </w:tr>
      <w:tr w:rsidR="00616BC4" w:rsidRPr="00571422" w14:paraId="761E537E" w14:textId="77777777" w:rsidTr="00F6284E">
        <w:trPr>
          <w:trHeight w:val="300"/>
          <w:jc w:val="center"/>
        </w:trPr>
        <w:tc>
          <w:tcPr>
            <w:tcW w:w="1938" w:type="dxa"/>
            <w:shd w:val="clear" w:color="auto" w:fill="auto"/>
            <w:noWrap/>
            <w:vAlign w:val="center"/>
          </w:tcPr>
          <w:p w14:paraId="009E5634" w14:textId="77777777" w:rsidR="00616BC4" w:rsidRPr="00D711DD" w:rsidRDefault="00616BC4" w:rsidP="00A111E9">
            <w:pPr>
              <w:widowControl/>
              <w:rPr>
                <w:color w:val="000000"/>
                <w:sz w:val="18"/>
                <w:lang w:val="en-US"/>
              </w:rPr>
            </w:pPr>
            <w:r w:rsidRPr="00D711DD">
              <w:rPr>
                <w:color w:val="000000"/>
                <w:sz w:val="18"/>
                <w:lang w:val="en-US"/>
              </w:rPr>
              <w:t>Control</w:t>
            </w:r>
          </w:p>
        </w:tc>
        <w:tc>
          <w:tcPr>
            <w:tcW w:w="1580" w:type="dxa"/>
            <w:shd w:val="clear" w:color="auto" w:fill="auto"/>
            <w:noWrap/>
            <w:vAlign w:val="center"/>
          </w:tcPr>
          <w:p w14:paraId="555DBCAA" w14:textId="77777777" w:rsidR="00616BC4" w:rsidRPr="000B3C14" w:rsidRDefault="00616BC4" w:rsidP="00647943">
            <w:pPr>
              <w:widowControl/>
              <w:jc w:val="right"/>
              <w:rPr>
                <w:color w:val="000000"/>
                <w:sz w:val="16"/>
                <w:lang w:val="en-US"/>
              </w:rPr>
            </w:pPr>
            <w:r w:rsidRPr="000B3C14">
              <w:rPr>
                <w:color w:val="000000"/>
                <w:sz w:val="16"/>
                <w:lang w:val="en-US"/>
              </w:rPr>
              <w:t>&lt;35, LOQ (1)</w:t>
            </w:r>
          </w:p>
        </w:tc>
        <w:tc>
          <w:tcPr>
            <w:tcW w:w="1580" w:type="dxa"/>
            <w:shd w:val="clear" w:color="auto" w:fill="auto"/>
            <w:noWrap/>
            <w:vAlign w:val="center"/>
          </w:tcPr>
          <w:p w14:paraId="081BB34F" w14:textId="77777777" w:rsidR="00616BC4" w:rsidRPr="000B3C14" w:rsidRDefault="00616BC4" w:rsidP="00647943">
            <w:pPr>
              <w:widowControl/>
              <w:jc w:val="right"/>
              <w:rPr>
                <w:color w:val="000000"/>
                <w:sz w:val="16"/>
                <w:lang w:val="en-US"/>
              </w:rPr>
            </w:pPr>
            <w:r w:rsidRPr="000B3C14">
              <w:rPr>
                <w:color w:val="000000"/>
                <w:sz w:val="16"/>
                <w:lang w:val="en-US"/>
              </w:rPr>
              <w:t>&lt; LOQ (2)</w:t>
            </w:r>
          </w:p>
        </w:tc>
        <w:tc>
          <w:tcPr>
            <w:tcW w:w="1580" w:type="dxa"/>
            <w:shd w:val="clear" w:color="auto" w:fill="auto"/>
            <w:noWrap/>
            <w:vAlign w:val="center"/>
          </w:tcPr>
          <w:p w14:paraId="29BA8BB5" w14:textId="4E21AEF6" w:rsidR="00616BC4" w:rsidRPr="00F6284E" w:rsidRDefault="00616BC4" w:rsidP="00647943">
            <w:pPr>
              <w:widowControl/>
              <w:jc w:val="right"/>
              <w:rPr>
                <w:color w:val="000000"/>
                <w:sz w:val="16"/>
                <w:lang w:val="en-US"/>
              </w:rPr>
            </w:pPr>
            <w:r w:rsidRPr="00F6284E">
              <w:rPr>
                <w:color w:val="000000"/>
                <w:sz w:val="16"/>
                <w:lang w:val="en-US"/>
              </w:rPr>
              <w:t>-</w:t>
            </w:r>
          </w:p>
        </w:tc>
        <w:tc>
          <w:tcPr>
            <w:tcW w:w="1580" w:type="dxa"/>
            <w:shd w:val="clear" w:color="auto" w:fill="auto"/>
            <w:noWrap/>
            <w:vAlign w:val="center"/>
          </w:tcPr>
          <w:p w14:paraId="748E6675" w14:textId="77777777" w:rsidR="00616BC4" w:rsidRPr="00F6284E" w:rsidRDefault="00616BC4" w:rsidP="00647943">
            <w:pPr>
              <w:widowControl/>
              <w:jc w:val="right"/>
              <w:rPr>
                <w:color w:val="000000"/>
                <w:sz w:val="16"/>
                <w:lang w:val="en-US"/>
              </w:rPr>
            </w:pPr>
            <w:r w:rsidRPr="00F6284E">
              <w:rPr>
                <w:color w:val="000000"/>
                <w:sz w:val="16"/>
                <w:lang w:val="en-US"/>
              </w:rPr>
              <w:t>&lt; LOQ (2)</w:t>
            </w:r>
          </w:p>
        </w:tc>
        <w:tc>
          <w:tcPr>
            <w:tcW w:w="1580" w:type="dxa"/>
            <w:shd w:val="clear" w:color="auto" w:fill="auto"/>
            <w:noWrap/>
            <w:vAlign w:val="center"/>
          </w:tcPr>
          <w:p w14:paraId="15FD9031" w14:textId="77777777" w:rsidR="00616BC4" w:rsidRPr="00F6284E" w:rsidRDefault="00616BC4" w:rsidP="00647943">
            <w:pPr>
              <w:widowControl/>
              <w:jc w:val="right"/>
              <w:rPr>
                <w:color w:val="000000"/>
                <w:sz w:val="16"/>
                <w:lang w:val="en-US"/>
              </w:rPr>
            </w:pPr>
            <w:r w:rsidRPr="00F6284E">
              <w:rPr>
                <w:color w:val="000000"/>
                <w:sz w:val="16"/>
                <w:lang w:val="en-US"/>
              </w:rPr>
              <w:t>&lt; LOQ (2)</w:t>
            </w:r>
          </w:p>
        </w:tc>
        <w:tc>
          <w:tcPr>
            <w:tcW w:w="1580" w:type="dxa"/>
            <w:shd w:val="clear" w:color="auto" w:fill="auto"/>
            <w:noWrap/>
            <w:vAlign w:val="center"/>
          </w:tcPr>
          <w:p w14:paraId="3B915AAD" w14:textId="77777777" w:rsidR="00616BC4" w:rsidRPr="00F6284E" w:rsidRDefault="00616BC4" w:rsidP="00647943">
            <w:pPr>
              <w:widowControl/>
              <w:jc w:val="right"/>
              <w:rPr>
                <w:color w:val="000000"/>
                <w:sz w:val="16"/>
                <w:lang w:val="en-US"/>
              </w:rPr>
            </w:pPr>
            <w:r w:rsidRPr="00F6284E">
              <w:rPr>
                <w:color w:val="000000"/>
                <w:sz w:val="16"/>
                <w:lang w:val="en-US"/>
              </w:rPr>
              <w:t>&lt; LOQ (4)</w:t>
            </w:r>
          </w:p>
        </w:tc>
        <w:tc>
          <w:tcPr>
            <w:tcW w:w="1580" w:type="dxa"/>
            <w:shd w:val="clear" w:color="auto" w:fill="auto"/>
            <w:noWrap/>
            <w:vAlign w:val="center"/>
          </w:tcPr>
          <w:p w14:paraId="52508580" w14:textId="77777777" w:rsidR="00616BC4" w:rsidRPr="00F6284E" w:rsidRDefault="00616BC4" w:rsidP="00647943">
            <w:pPr>
              <w:widowControl/>
              <w:jc w:val="right"/>
              <w:rPr>
                <w:color w:val="000000"/>
                <w:sz w:val="16"/>
                <w:lang w:val="en-US"/>
              </w:rPr>
            </w:pPr>
            <w:r w:rsidRPr="00F6284E">
              <w:rPr>
                <w:color w:val="000000"/>
                <w:sz w:val="16"/>
                <w:lang w:val="en-US"/>
              </w:rPr>
              <w:t>&lt; LOQ (3)</w:t>
            </w:r>
          </w:p>
        </w:tc>
      </w:tr>
      <w:tr w:rsidR="00616BC4" w:rsidRPr="00571422" w14:paraId="69E57B2D" w14:textId="77777777" w:rsidTr="00F6284E">
        <w:trPr>
          <w:trHeight w:val="300"/>
          <w:jc w:val="center"/>
        </w:trPr>
        <w:tc>
          <w:tcPr>
            <w:tcW w:w="1938" w:type="dxa"/>
            <w:shd w:val="clear" w:color="auto" w:fill="auto"/>
            <w:noWrap/>
            <w:vAlign w:val="center"/>
          </w:tcPr>
          <w:p w14:paraId="0475FA5E" w14:textId="77777777" w:rsidR="00616BC4" w:rsidRPr="00D711DD" w:rsidRDefault="00616BC4" w:rsidP="00A111E9">
            <w:pPr>
              <w:widowControl/>
              <w:rPr>
                <w:color w:val="000000"/>
                <w:sz w:val="18"/>
                <w:lang w:val="en-US"/>
              </w:rPr>
            </w:pPr>
            <w:r w:rsidRPr="00D711DD">
              <w:rPr>
                <w:color w:val="000000"/>
                <w:sz w:val="18"/>
                <w:lang w:val="en-US"/>
              </w:rPr>
              <w:t>0.3 mg/kg</w:t>
            </w:r>
          </w:p>
        </w:tc>
        <w:tc>
          <w:tcPr>
            <w:tcW w:w="1580" w:type="dxa"/>
            <w:shd w:val="clear" w:color="auto" w:fill="auto"/>
            <w:noWrap/>
            <w:vAlign w:val="center"/>
          </w:tcPr>
          <w:p w14:paraId="1005827D" w14:textId="62DC6F6D" w:rsidR="00616BC4" w:rsidRPr="00D711DD" w:rsidRDefault="00616BC4" w:rsidP="00647943">
            <w:pPr>
              <w:widowControl/>
              <w:jc w:val="right"/>
              <w:rPr>
                <w:color w:val="000000"/>
                <w:sz w:val="16"/>
                <w:lang w:val="en-US"/>
              </w:rPr>
            </w:pPr>
            <w:r w:rsidRPr="000B3C14">
              <w:rPr>
                <w:color w:val="000000"/>
                <w:sz w:val="16"/>
                <w:lang w:val="en-US"/>
              </w:rPr>
              <w:t>2600</w:t>
            </w:r>
            <w:r w:rsidR="006A1353">
              <w:rPr>
                <w:rFonts w:cs="Arial"/>
                <w:color w:val="000000"/>
                <w:sz w:val="16"/>
                <w:szCs w:val="18"/>
                <w:lang w:val="en-US" w:bidi="ar-SA"/>
              </w:rPr>
              <w:t xml:space="preserve"> </w:t>
            </w:r>
            <w:r w:rsidRPr="00D711DD">
              <w:rPr>
                <w:color w:val="000000"/>
                <w:sz w:val="16"/>
                <w:lang w:val="en-US"/>
              </w:rPr>
              <w:t>± 490** (2)</w:t>
            </w:r>
          </w:p>
        </w:tc>
        <w:tc>
          <w:tcPr>
            <w:tcW w:w="1580" w:type="dxa"/>
            <w:shd w:val="clear" w:color="auto" w:fill="auto"/>
            <w:noWrap/>
            <w:vAlign w:val="center"/>
          </w:tcPr>
          <w:p w14:paraId="3E6BA0F2" w14:textId="171E59D7" w:rsidR="00616BC4" w:rsidRPr="000B3C14" w:rsidRDefault="00616BC4" w:rsidP="00647943">
            <w:pPr>
              <w:widowControl/>
              <w:jc w:val="right"/>
              <w:rPr>
                <w:color w:val="000000"/>
                <w:sz w:val="16"/>
                <w:lang w:val="en-US"/>
              </w:rPr>
            </w:pPr>
            <w:r w:rsidRPr="000B3C14">
              <w:rPr>
                <w:color w:val="000000"/>
                <w:sz w:val="16"/>
                <w:lang w:val="en-US"/>
              </w:rPr>
              <w:t>-</w:t>
            </w:r>
          </w:p>
        </w:tc>
        <w:tc>
          <w:tcPr>
            <w:tcW w:w="1580" w:type="dxa"/>
            <w:shd w:val="clear" w:color="auto" w:fill="auto"/>
            <w:noWrap/>
            <w:vAlign w:val="center"/>
          </w:tcPr>
          <w:p w14:paraId="420A2BD8" w14:textId="77777777" w:rsidR="00616BC4" w:rsidRPr="00F6284E" w:rsidRDefault="00616BC4" w:rsidP="00647943">
            <w:pPr>
              <w:widowControl/>
              <w:jc w:val="right"/>
              <w:rPr>
                <w:color w:val="000000"/>
                <w:sz w:val="16"/>
                <w:lang w:val="en-US"/>
              </w:rPr>
            </w:pPr>
            <w:r w:rsidRPr="00F6284E">
              <w:rPr>
                <w:color w:val="000000"/>
                <w:sz w:val="16"/>
                <w:lang w:val="en-US"/>
              </w:rPr>
              <w:t>1015 (1)</w:t>
            </w:r>
          </w:p>
        </w:tc>
        <w:tc>
          <w:tcPr>
            <w:tcW w:w="1580" w:type="dxa"/>
            <w:shd w:val="clear" w:color="auto" w:fill="auto"/>
            <w:noWrap/>
            <w:vAlign w:val="center"/>
          </w:tcPr>
          <w:p w14:paraId="1B40E5B2" w14:textId="026940CF" w:rsidR="00616BC4" w:rsidRPr="00F6284E" w:rsidRDefault="00616BC4" w:rsidP="00647943">
            <w:pPr>
              <w:widowControl/>
              <w:jc w:val="right"/>
              <w:rPr>
                <w:color w:val="000000"/>
                <w:sz w:val="16"/>
                <w:lang w:val="en-US"/>
              </w:rPr>
            </w:pPr>
            <w:r w:rsidRPr="00F6284E">
              <w:rPr>
                <w:color w:val="000000"/>
                <w:sz w:val="16"/>
                <w:lang w:val="en-US"/>
              </w:rPr>
              <w:t>-</w:t>
            </w:r>
          </w:p>
        </w:tc>
        <w:tc>
          <w:tcPr>
            <w:tcW w:w="1580" w:type="dxa"/>
            <w:shd w:val="clear" w:color="auto" w:fill="auto"/>
            <w:noWrap/>
            <w:vAlign w:val="center"/>
          </w:tcPr>
          <w:p w14:paraId="23B8AA8B" w14:textId="1AE8056A" w:rsidR="00616BC4" w:rsidRPr="00F6284E" w:rsidRDefault="00616BC4" w:rsidP="00647943">
            <w:pPr>
              <w:widowControl/>
              <w:jc w:val="right"/>
              <w:rPr>
                <w:color w:val="000000"/>
                <w:sz w:val="16"/>
                <w:lang w:val="en-US"/>
              </w:rPr>
            </w:pPr>
            <w:r w:rsidRPr="00F6284E">
              <w:rPr>
                <w:color w:val="000000"/>
                <w:sz w:val="16"/>
                <w:lang w:val="en-US"/>
              </w:rPr>
              <w:t>-</w:t>
            </w:r>
          </w:p>
        </w:tc>
        <w:tc>
          <w:tcPr>
            <w:tcW w:w="1580" w:type="dxa"/>
            <w:shd w:val="clear" w:color="auto" w:fill="auto"/>
            <w:noWrap/>
            <w:vAlign w:val="center"/>
          </w:tcPr>
          <w:p w14:paraId="2A004F13" w14:textId="0183967B" w:rsidR="00616BC4" w:rsidRPr="00D711DD" w:rsidRDefault="00616BC4" w:rsidP="00647943">
            <w:pPr>
              <w:widowControl/>
              <w:jc w:val="right"/>
              <w:rPr>
                <w:color w:val="000000"/>
                <w:sz w:val="16"/>
                <w:lang w:val="en-US"/>
              </w:rPr>
            </w:pPr>
            <w:r w:rsidRPr="00F6284E">
              <w:rPr>
                <w:color w:val="000000"/>
                <w:sz w:val="16"/>
                <w:lang w:val="en-US"/>
              </w:rPr>
              <w:t>220</w:t>
            </w:r>
            <w:r w:rsidR="006A1353">
              <w:rPr>
                <w:rFonts w:cs="Arial"/>
                <w:color w:val="000000"/>
                <w:sz w:val="16"/>
                <w:szCs w:val="18"/>
                <w:lang w:val="en-US" w:bidi="ar-SA"/>
              </w:rPr>
              <w:t xml:space="preserve"> </w:t>
            </w:r>
            <w:r w:rsidRPr="00D711DD">
              <w:rPr>
                <w:color w:val="000000"/>
                <w:sz w:val="16"/>
                <w:lang w:val="en-US"/>
              </w:rPr>
              <w:t>± 67*** (3)</w:t>
            </w:r>
          </w:p>
        </w:tc>
        <w:tc>
          <w:tcPr>
            <w:tcW w:w="1580" w:type="dxa"/>
            <w:shd w:val="clear" w:color="auto" w:fill="auto"/>
            <w:noWrap/>
            <w:vAlign w:val="center"/>
          </w:tcPr>
          <w:p w14:paraId="68E6660A" w14:textId="77777777" w:rsidR="00616BC4" w:rsidRPr="000B3C14" w:rsidRDefault="00616BC4" w:rsidP="00647943">
            <w:pPr>
              <w:widowControl/>
              <w:jc w:val="right"/>
              <w:rPr>
                <w:color w:val="000000"/>
                <w:sz w:val="16"/>
                <w:lang w:val="en-US"/>
              </w:rPr>
            </w:pPr>
            <w:r w:rsidRPr="000B3C14">
              <w:rPr>
                <w:color w:val="000000"/>
                <w:sz w:val="16"/>
                <w:lang w:val="en-US"/>
              </w:rPr>
              <w:t>83 (1)</w:t>
            </w:r>
          </w:p>
        </w:tc>
      </w:tr>
      <w:tr w:rsidR="00616BC4" w:rsidRPr="00571422" w14:paraId="0D9B7D49" w14:textId="77777777" w:rsidTr="00F6284E">
        <w:trPr>
          <w:trHeight w:val="300"/>
          <w:jc w:val="center"/>
        </w:trPr>
        <w:tc>
          <w:tcPr>
            <w:tcW w:w="1938" w:type="dxa"/>
            <w:shd w:val="clear" w:color="auto" w:fill="auto"/>
            <w:noWrap/>
            <w:vAlign w:val="center"/>
          </w:tcPr>
          <w:p w14:paraId="23B35C9E" w14:textId="77777777" w:rsidR="00616BC4" w:rsidRPr="00D711DD" w:rsidRDefault="00616BC4" w:rsidP="00A111E9">
            <w:pPr>
              <w:widowControl/>
              <w:rPr>
                <w:color w:val="000000"/>
                <w:sz w:val="18"/>
                <w:lang w:val="en-US"/>
              </w:rPr>
            </w:pPr>
            <w:r w:rsidRPr="00D711DD">
              <w:rPr>
                <w:color w:val="000000"/>
                <w:sz w:val="18"/>
                <w:lang w:val="en-US"/>
              </w:rPr>
              <w:t>1.0 mg/kg</w:t>
            </w:r>
          </w:p>
        </w:tc>
        <w:tc>
          <w:tcPr>
            <w:tcW w:w="1580" w:type="dxa"/>
            <w:shd w:val="clear" w:color="auto" w:fill="auto"/>
            <w:noWrap/>
            <w:vAlign w:val="center"/>
          </w:tcPr>
          <w:p w14:paraId="32F4E920" w14:textId="77777777" w:rsidR="00616BC4" w:rsidRPr="000B3C14" w:rsidRDefault="00616BC4" w:rsidP="00647943">
            <w:pPr>
              <w:widowControl/>
              <w:jc w:val="right"/>
              <w:rPr>
                <w:color w:val="000000"/>
                <w:sz w:val="16"/>
                <w:lang w:val="en-US"/>
              </w:rPr>
            </w:pPr>
            <w:r w:rsidRPr="000B3C14">
              <w:rPr>
                <w:color w:val="000000"/>
                <w:sz w:val="16"/>
                <w:lang w:val="en-US"/>
              </w:rPr>
              <w:t>6490** (1)</w:t>
            </w:r>
          </w:p>
        </w:tc>
        <w:tc>
          <w:tcPr>
            <w:tcW w:w="1580" w:type="dxa"/>
            <w:shd w:val="clear" w:color="auto" w:fill="auto"/>
            <w:noWrap/>
            <w:vAlign w:val="center"/>
          </w:tcPr>
          <w:p w14:paraId="78A02E4A" w14:textId="5DB2F9BF" w:rsidR="00616BC4" w:rsidRPr="00F6284E" w:rsidRDefault="00616BC4" w:rsidP="00647943">
            <w:pPr>
              <w:widowControl/>
              <w:jc w:val="right"/>
              <w:rPr>
                <w:color w:val="000000"/>
                <w:sz w:val="16"/>
                <w:lang w:val="en-US"/>
              </w:rPr>
            </w:pPr>
            <w:r w:rsidRPr="000B3C14">
              <w:rPr>
                <w:color w:val="000000"/>
                <w:sz w:val="16"/>
                <w:lang w:val="en-US"/>
              </w:rPr>
              <w:t>-</w:t>
            </w:r>
          </w:p>
        </w:tc>
        <w:tc>
          <w:tcPr>
            <w:tcW w:w="1580" w:type="dxa"/>
            <w:shd w:val="clear" w:color="auto" w:fill="auto"/>
            <w:noWrap/>
            <w:vAlign w:val="center"/>
          </w:tcPr>
          <w:p w14:paraId="341CB988" w14:textId="77777777" w:rsidR="00616BC4" w:rsidRPr="00F6284E" w:rsidRDefault="00616BC4" w:rsidP="00647943">
            <w:pPr>
              <w:widowControl/>
              <w:jc w:val="right"/>
              <w:rPr>
                <w:color w:val="000000"/>
                <w:sz w:val="16"/>
                <w:lang w:val="en-US"/>
              </w:rPr>
            </w:pPr>
            <w:r w:rsidRPr="00F6284E">
              <w:rPr>
                <w:color w:val="000000"/>
                <w:sz w:val="16"/>
                <w:lang w:val="en-US"/>
              </w:rPr>
              <w:t>654 (1)</w:t>
            </w:r>
          </w:p>
        </w:tc>
        <w:tc>
          <w:tcPr>
            <w:tcW w:w="1580" w:type="dxa"/>
            <w:shd w:val="clear" w:color="auto" w:fill="auto"/>
            <w:noWrap/>
            <w:vAlign w:val="center"/>
          </w:tcPr>
          <w:p w14:paraId="077ADBB0" w14:textId="09A108B0" w:rsidR="00616BC4" w:rsidRPr="00D711DD" w:rsidRDefault="00616BC4" w:rsidP="00647943">
            <w:pPr>
              <w:widowControl/>
              <w:jc w:val="right"/>
              <w:rPr>
                <w:color w:val="000000"/>
                <w:sz w:val="16"/>
                <w:lang w:val="en-US"/>
              </w:rPr>
            </w:pPr>
            <w:r w:rsidRPr="00F6284E">
              <w:rPr>
                <w:color w:val="000000"/>
                <w:sz w:val="16"/>
                <w:lang w:val="en-US"/>
              </w:rPr>
              <w:t>3132</w:t>
            </w:r>
            <w:r w:rsidR="006A1353">
              <w:rPr>
                <w:rFonts w:cs="Arial"/>
                <w:color w:val="000000"/>
                <w:sz w:val="16"/>
                <w:szCs w:val="18"/>
                <w:lang w:val="en-US" w:bidi="ar-SA"/>
              </w:rPr>
              <w:t xml:space="preserve"> </w:t>
            </w:r>
            <w:r w:rsidRPr="00D711DD">
              <w:rPr>
                <w:color w:val="000000"/>
                <w:sz w:val="16"/>
                <w:lang w:val="en-US"/>
              </w:rPr>
              <w:t>± 2412* (2)</w:t>
            </w:r>
          </w:p>
        </w:tc>
        <w:tc>
          <w:tcPr>
            <w:tcW w:w="1580" w:type="dxa"/>
            <w:shd w:val="clear" w:color="auto" w:fill="auto"/>
            <w:noWrap/>
            <w:vAlign w:val="center"/>
          </w:tcPr>
          <w:p w14:paraId="0F4AA81C" w14:textId="1BBED583" w:rsidR="00616BC4" w:rsidRPr="000B3C14" w:rsidRDefault="00616BC4" w:rsidP="00647943">
            <w:pPr>
              <w:widowControl/>
              <w:jc w:val="right"/>
              <w:rPr>
                <w:color w:val="000000"/>
                <w:sz w:val="16"/>
                <w:lang w:val="en-US"/>
              </w:rPr>
            </w:pPr>
            <w:r w:rsidRPr="000B3C14">
              <w:rPr>
                <w:color w:val="000000"/>
                <w:sz w:val="16"/>
                <w:lang w:val="en-US"/>
              </w:rPr>
              <w:t>-</w:t>
            </w:r>
          </w:p>
        </w:tc>
        <w:tc>
          <w:tcPr>
            <w:tcW w:w="1580" w:type="dxa"/>
            <w:shd w:val="clear" w:color="auto" w:fill="auto"/>
            <w:noWrap/>
            <w:vAlign w:val="center"/>
          </w:tcPr>
          <w:p w14:paraId="3E20045A" w14:textId="77777777" w:rsidR="00616BC4" w:rsidRPr="000B3C14" w:rsidRDefault="00616BC4" w:rsidP="00647943">
            <w:pPr>
              <w:widowControl/>
              <w:jc w:val="right"/>
              <w:rPr>
                <w:color w:val="000000"/>
                <w:sz w:val="16"/>
                <w:lang w:val="en-US"/>
              </w:rPr>
            </w:pPr>
            <w:r w:rsidRPr="000B3C14">
              <w:rPr>
                <w:color w:val="000000"/>
                <w:sz w:val="16"/>
                <w:lang w:val="en-US"/>
              </w:rPr>
              <w:t>406*** (1)</w:t>
            </w:r>
          </w:p>
        </w:tc>
        <w:tc>
          <w:tcPr>
            <w:tcW w:w="1580" w:type="dxa"/>
            <w:shd w:val="clear" w:color="auto" w:fill="auto"/>
            <w:noWrap/>
            <w:vAlign w:val="center"/>
          </w:tcPr>
          <w:p w14:paraId="418B0715" w14:textId="4330D23D" w:rsidR="00616BC4" w:rsidRPr="00D711DD" w:rsidRDefault="00616BC4" w:rsidP="00647943">
            <w:pPr>
              <w:widowControl/>
              <w:jc w:val="right"/>
              <w:rPr>
                <w:color w:val="000000"/>
                <w:sz w:val="16"/>
                <w:lang w:val="en-US"/>
              </w:rPr>
            </w:pPr>
            <w:r w:rsidRPr="00F6284E">
              <w:rPr>
                <w:color w:val="000000"/>
                <w:sz w:val="16"/>
                <w:lang w:val="en-US"/>
              </w:rPr>
              <w:t>172</w:t>
            </w:r>
            <w:r w:rsidR="006A1353">
              <w:rPr>
                <w:rFonts w:cs="Arial"/>
                <w:color w:val="000000"/>
                <w:sz w:val="16"/>
                <w:szCs w:val="18"/>
                <w:lang w:val="en-US" w:bidi="ar-SA"/>
              </w:rPr>
              <w:t xml:space="preserve"> </w:t>
            </w:r>
            <w:r w:rsidRPr="00D711DD">
              <w:rPr>
                <w:color w:val="000000"/>
                <w:sz w:val="16"/>
                <w:lang w:val="en-US"/>
              </w:rPr>
              <w:t>± 97** (2)</w:t>
            </w:r>
          </w:p>
        </w:tc>
      </w:tr>
      <w:tr w:rsidR="00616BC4" w:rsidRPr="00571422" w14:paraId="6D0E1917" w14:textId="77777777" w:rsidTr="00F6284E">
        <w:trPr>
          <w:trHeight w:val="423"/>
          <w:jc w:val="center"/>
        </w:trPr>
        <w:tc>
          <w:tcPr>
            <w:tcW w:w="1938" w:type="dxa"/>
            <w:shd w:val="clear" w:color="auto" w:fill="auto"/>
            <w:noWrap/>
            <w:vAlign w:val="center"/>
          </w:tcPr>
          <w:p w14:paraId="21220607" w14:textId="77777777" w:rsidR="00616BC4" w:rsidRPr="00D711DD" w:rsidRDefault="00616BC4" w:rsidP="00A111E9">
            <w:pPr>
              <w:widowControl/>
              <w:rPr>
                <w:color w:val="000000"/>
                <w:sz w:val="18"/>
                <w:lang w:val="en-US"/>
              </w:rPr>
            </w:pPr>
            <w:r w:rsidRPr="00D711DD">
              <w:rPr>
                <w:color w:val="000000"/>
                <w:sz w:val="18"/>
                <w:lang w:val="en-US"/>
              </w:rPr>
              <w:t>3.0 mg/kg</w:t>
            </w:r>
          </w:p>
        </w:tc>
        <w:tc>
          <w:tcPr>
            <w:tcW w:w="1580" w:type="dxa"/>
            <w:shd w:val="clear" w:color="auto" w:fill="auto"/>
            <w:noWrap/>
            <w:vAlign w:val="center"/>
          </w:tcPr>
          <w:p w14:paraId="1AD58C42" w14:textId="1A922A6D" w:rsidR="00616BC4" w:rsidRPr="00D711DD" w:rsidRDefault="00616BC4" w:rsidP="00647943">
            <w:pPr>
              <w:widowControl/>
              <w:jc w:val="right"/>
              <w:rPr>
                <w:color w:val="000000"/>
                <w:sz w:val="16"/>
                <w:lang w:val="en-US"/>
              </w:rPr>
            </w:pPr>
            <w:r w:rsidRPr="000B3C14">
              <w:rPr>
                <w:color w:val="000000"/>
                <w:sz w:val="16"/>
                <w:lang w:val="en-US"/>
              </w:rPr>
              <w:t>17</w:t>
            </w:r>
            <w:r w:rsidR="00CC26CA">
              <w:rPr>
                <w:color w:val="000000"/>
                <w:sz w:val="16"/>
                <w:lang w:val="en-US"/>
              </w:rPr>
              <w:t> 450</w:t>
            </w:r>
            <w:r w:rsidR="006A1353">
              <w:rPr>
                <w:rFonts w:cs="Arial"/>
                <w:color w:val="000000"/>
                <w:sz w:val="16"/>
                <w:szCs w:val="18"/>
                <w:lang w:val="en-US" w:bidi="ar-SA"/>
              </w:rPr>
              <w:t xml:space="preserve"> </w:t>
            </w:r>
            <w:r w:rsidRPr="00D711DD">
              <w:rPr>
                <w:color w:val="000000"/>
                <w:sz w:val="16"/>
                <w:lang w:val="en-US"/>
              </w:rPr>
              <w:t>± 450** (2)</w:t>
            </w:r>
          </w:p>
        </w:tc>
        <w:tc>
          <w:tcPr>
            <w:tcW w:w="1580" w:type="dxa"/>
            <w:shd w:val="clear" w:color="auto" w:fill="auto"/>
            <w:noWrap/>
            <w:vAlign w:val="center"/>
          </w:tcPr>
          <w:p w14:paraId="335E2181" w14:textId="62D045E1" w:rsidR="006A1353" w:rsidRPr="00D711DD" w:rsidRDefault="00616BC4" w:rsidP="00647943">
            <w:pPr>
              <w:widowControl/>
              <w:jc w:val="right"/>
              <w:rPr>
                <w:color w:val="000000"/>
                <w:sz w:val="16"/>
                <w:lang w:val="en-US"/>
              </w:rPr>
            </w:pPr>
            <w:r w:rsidRPr="000B3C14">
              <w:rPr>
                <w:color w:val="000000"/>
                <w:sz w:val="16"/>
                <w:lang w:val="en-US"/>
              </w:rPr>
              <w:t>11</w:t>
            </w:r>
            <w:r w:rsidR="00CC26CA">
              <w:rPr>
                <w:color w:val="000000"/>
                <w:sz w:val="16"/>
                <w:lang w:val="en-US"/>
              </w:rPr>
              <w:t> 030</w:t>
            </w:r>
          </w:p>
          <w:p w14:paraId="7F4D4690" w14:textId="42782A47" w:rsidR="00616BC4" w:rsidRPr="000B3C14" w:rsidRDefault="00616BC4" w:rsidP="00647943">
            <w:pPr>
              <w:widowControl/>
              <w:jc w:val="right"/>
              <w:rPr>
                <w:color w:val="000000"/>
                <w:sz w:val="16"/>
                <w:lang w:val="en-US"/>
              </w:rPr>
            </w:pPr>
            <w:r w:rsidRPr="000B3C14">
              <w:rPr>
                <w:color w:val="000000"/>
                <w:sz w:val="16"/>
                <w:lang w:val="en-US"/>
              </w:rPr>
              <w:t>± 1170*** (2)</w:t>
            </w:r>
          </w:p>
        </w:tc>
        <w:tc>
          <w:tcPr>
            <w:tcW w:w="1580" w:type="dxa"/>
            <w:shd w:val="clear" w:color="auto" w:fill="auto"/>
            <w:noWrap/>
            <w:vAlign w:val="center"/>
          </w:tcPr>
          <w:p w14:paraId="50A6AEDC" w14:textId="1A11CCA8" w:rsidR="00616BC4" w:rsidRPr="00D711DD" w:rsidRDefault="00616BC4" w:rsidP="00647943">
            <w:pPr>
              <w:widowControl/>
              <w:jc w:val="right"/>
              <w:rPr>
                <w:color w:val="000000"/>
                <w:sz w:val="16"/>
                <w:lang w:val="en-US"/>
              </w:rPr>
            </w:pPr>
            <w:r w:rsidRPr="000B3C14">
              <w:rPr>
                <w:color w:val="000000"/>
                <w:sz w:val="16"/>
                <w:lang w:val="en-US"/>
              </w:rPr>
              <w:t>3383</w:t>
            </w:r>
            <w:r w:rsidR="006A1353">
              <w:rPr>
                <w:rFonts w:cs="Arial"/>
                <w:color w:val="000000"/>
                <w:sz w:val="16"/>
                <w:szCs w:val="18"/>
                <w:lang w:val="en-US" w:bidi="ar-SA"/>
              </w:rPr>
              <w:t xml:space="preserve"> </w:t>
            </w:r>
            <w:r w:rsidRPr="00D711DD">
              <w:rPr>
                <w:color w:val="000000"/>
                <w:sz w:val="16"/>
                <w:lang w:val="en-US"/>
              </w:rPr>
              <w:t>± 562 (3)</w:t>
            </w:r>
          </w:p>
        </w:tc>
        <w:tc>
          <w:tcPr>
            <w:tcW w:w="1580" w:type="dxa"/>
            <w:shd w:val="clear" w:color="auto" w:fill="auto"/>
            <w:noWrap/>
            <w:vAlign w:val="center"/>
          </w:tcPr>
          <w:p w14:paraId="258EFD59" w14:textId="2B7FA812" w:rsidR="00616BC4" w:rsidRPr="000B3C14" w:rsidRDefault="00616BC4" w:rsidP="00647943">
            <w:pPr>
              <w:widowControl/>
              <w:jc w:val="right"/>
              <w:rPr>
                <w:color w:val="000000"/>
                <w:sz w:val="16"/>
                <w:lang w:val="en-US"/>
              </w:rPr>
            </w:pPr>
            <w:r w:rsidRPr="000B3C14">
              <w:rPr>
                <w:color w:val="000000"/>
                <w:sz w:val="16"/>
                <w:lang w:val="en-US"/>
              </w:rPr>
              <w:t>-</w:t>
            </w:r>
          </w:p>
        </w:tc>
        <w:tc>
          <w:tcPr>
            <w:tcW w:w="1580" w:type="dxa"/>
            <w:shd w:val="clear" w:color="auto" w:fill="auto"/>
            <w:noWrap/>
            <w:vAlign w:val="center"/>
          </w:tcPr>
          <w:p w14:paraId="251E1D2E" w14:textId="7498E27B" w:rsidR="00616BC4" w:rsidRPr="00D711DD" w:rsidRDefault="00616BC4" w:rsidP="00647943">
            <w:pPr>
              <w:widowControl/>
              <w:jc w:val="right"/>
              <w:rPr>
                <w:color w:val="000000"/>
                <w:sz w:val="16"/>
                <w:lang w:val="en-US"/>
              </w:rPr>
            </w:pPr>
            <w:r w:rsidRPr="000B3C14">
              <w:rPr>
                <w:color w:val="000000"/>
                <w:sz w:val="16"/>
                <w:lang w:val="en-US"/>
              </w:rPr>
              <w:t>5758</w:t>
            </w:r>
            <w:r w:rsidR="006A1353">
              <w:rPr>
                <w:rFonts w:cs="Arial"/>
                <w:color w:val="000000"/>
                <w:sz w:val="16"/>
                <w:szCs w:val="18"/>
                <w:lang w:val="en-US" w:bidi="ar-SA"/>
              </w:rPr>
              <w:t xml:space="preserve"> </w:t>
            </w:r>
            <w:r w:rsidRPr="00D711DD">
              <w:rPr>
                <w:color w:val="000000"/>
                <w:sz w:val="16"/>
                <w:lang w:val="en-US"/>
              </w:rPr>
              <w:t>± 2713** (2)</w:t>
            </w:r>
          </w:p>
        </w:tc>
        <w:tc>
          <w:tcPr>
            <w:tcW w:w="1580" w:type="dxa"/>
            <w:shd w:val="clear" w:color="auto" w:fill="auto"/>
            <w:noWrap/>
            <w:vAlign w:val="center"/>
          </w:tcPr>
          <w:p w14:paraId="5EC4299B" w14:textId="58D070B7" w:rsidR="00616BC4" w:rsidRPr="000B3C14" w:rsidRDefault="00616BC4" w:rsidP="00647943">
            <w:pPr>
              <w:widowControl/>
              <w:jc w:val="right"/>
              <w:rPr>
                <w:color w:val="000000"/>
                <w:sz w:val="16"/>
                <w:lang w:val="en-US"/>
              </w:rPr>
            </w:pPr>
            <w:r w:rsidRPr="000B3C14">
              <w:rPr>
                <w:color w:val="000000"/>
                <w:sz w:val="16"/>
                <w:lang w:val="en-US"/>
              </w:rPr>
              <w:t>2384</w:t>
            </w:r>
            <w:r w:rsidR="006A1353">
              <w:rPr>
                <w:rFonts w:cs="Arial"/>
                <w:color w:val="000000"/>
                <w:sz w:val="16"/>
                <w:szCs w:val="18"/>
                <w:lang w:val="en-US" w:bidi="ar-SA"/>
              </w:rPr>
              <w:t xml:space="preserve"> </w:t>
            </w:r>
            <w:r w:rsidRPr="00D711DD">
              <w:rPr>
                <w:color w:val="000000"/>
                <w:sz w:val="16"/>
                <w:lang w:val="en-US"/>
              </w:rPr>
              <w:t>± 921**</w:t>
            </w:r>
            <w:r w:rsidRPr="000B3C14">
              <w:rPr>
                <w:color w:val="000000"/>
                <w:sz w:val="16"/>
                <w:lang w:val="en-US"/>
              </w:rPr>
              <w:t>* (2)</w:t>
            </w:r>
          </w:p>
        </w:tc>
        <w:tc>
          <w:tcPr>
            <w:tcW w:w="1580" w:type="dxa"/>
            <w:shd w:val="clear" w:color="auto" w:fill="auto"/>
            <w:noWrap/>
            <w:vAlign w:val="center"/>
          </w:tcPr>
          <w:p w14:paraId="2523E4D2" w14:textId="591E7D41" w:rsidR="00616BC4" w:rsidRPr="00D711DD" w:rsidRDefault="00616BC4" w:rsidP="00647943">
            <w:pPr>
              <w:widowControl/>
              <w:jc w:val="right"/>
              <w:rPr>
                <w:color w:val="000000"/>
                <w:sz w:val="16"/>
                <w:lang w:val="en-US"/>
              </w:rPr>
            </w:pPr>
            <w:r w:rsidRPr="000B3C14">
              <w:rPr>
                <w:color w:val="000000"/>
                <w:sz w:val="16"/>
                <w:lang w:val="en-US"/>
              </w:rPr>
              <w:t>421</w:t>
            </w:r>
            <w:r w:rsidR="006A1353">
              <w:rPr>
                <w:rFonts w:cs="Arial"/>
                <w:color w:val="000000"/>
                <w:sz w:val="16"/>
                <w:szCs w:val="18"/>
                <w:lang w:val="en-US" w:bidi="ar-SA"/>
              </w:rPr>
              <w:t xml:space="preserve"> </w:t>
            </w:r>
            <w:r w:rsidRPr="00D711DD">
              <w:rPr>
                <w:color w:val="000000"/>
                <w:sz w:val="16"/>
                <w:lang w:val="en-US"/>
              </w:rPr>
              <w:t>± 28*** (3)</w:t>
            </w:r>
          </w:p>
        </w:tc>
      </w:tr>
      <w:tr w:rsidR="00616BC4" w:rsidRPr="00571422" w14:paraId="7EB5F47D" w14:textId="77777777" w:rsidTr="00F6284E">
        <w:trPr>
          <w:trHeight w:val="300"/>
          <w:jc w:val="center"/>
        </w:trPr>
        <w:tc>
          <w:tcPr>
            <w:tcW w:w="12998" w:type="dxa"/>
            <w:gridSpan w:val="8"/>
            <w:shd w:val="clear" w:color="auto" w:fill="auto"/>
            <w:noWrap/>
            <w:vAlign w:val="center"/>
          </w:tcPr>
          <w:p w14:paraId="4439F698" w14:textId="01B81B35" w:rsidR="00616BC4" w:rsidRPr="000B3C14" w:rsidRDefault="00653CD2" w:rsidP="00647943">
            <w:pPr>
              <w:widowControl/>
              <w:rPr>
                <w:color w:val="000000"/>
                <w:sz w:val="18"/>
                <w:lang w:val="en-US"/>
              </w:rPr>
            </w:pPr>
            <w:r w:rsidRPr="00D711DD">
              <w:rPr>
                <w:i/>
                <w:color w:val="000000"/>
                <w:sz w:val="18"/>
                <w:lang w:val="en-US"/>
              </w:rPr>
              <w:t>Brain (ng</w:t>
            </w:r>
            <w:r>
              <w:rPr>
                <w:rFonts w:cs="Arial"/>
                <w:i/>
                <w:color w:val="000000"/>
                <w:sz w:val="18"/>
                <w:szCs w:val="18"/>
                <w:lang w:val="en-US" w:bidi="ar-SA"/>
              </w:rPr>
              <w:t>/g</w:t>
            </w:r>
            <w:r w:rsidRPr="00D711DD">
              <w:rPr>
                <w:i/>
                <w:color w:val="000000"/>
                <w:sz w:val="18"/>
                <w:lang w:val="en-US"/>
              </w:rPr>
              <w:t>)</w:t>
            </w:r>
          </w:p>
        </w:tc>
      </w:tr>
      <w:tr w:rsidR="00616BC4" w:rsidRPr="00571422" w14:paraId="3F51D4E4" w14:textId="77777777" w:rsidTr="00F6284E">
        <w:trPr>
          <w:trHeight w:val="300"/>
          <w:jc w:val="center"/>
        </w:trPr>
        <w:tc>
          <w:tcPr>
            <w:tcW w:w="1938" w:type="dxa"/>
            <w:shd w:val="clear" w:color="auto" w:fill="auto"/>
            <w:noWrap/>
            <w:vAlign w:val="center"/>
          </w:tcPr>
          <w:p w14:paraId="2571665C" w14:textId="77777777" w:rsidR="00616BC4" w:rsidRPr="00D711DD" w:rsidRDefault="00616BC4" w:rsidP="00A111E9">
            <w:pPr>
              <w:widowControl/>
              <w:rPr>
                <w:color w:val="000000"/>
                <w:sz w:val="18"/>
                <w:lang w:val="en-US"/>
              </w:rPr>
            </w:pPr>
            <w:r w:rsidRPr="00D711DD">
              <w:rPr>
                <w:color w:val="000000"/>
                <w:sz w:val="18"/>
                <w:lang w:val="en-US"/>
              </w:rPr>
              <w:t>Control</w:t>
            </w:r>
          </w:p>
        </w:tc>
        <w:tc>
          <w:tcPr>
            <w:tcW w:w="1580" w:type="dxa"/>
            <w:shd w:val="clear" w:color="auto" w:fill="auto"/>
            <w:noWrap/>
            <w:vAlign w:val="center"/>
          </w:tcPr>
          <w:p w14:paraId="0A709025" w14:textId="77777777" w:rsidR="00616BC4" w:rsidRPr="000B3C14" w:rsidRDefault="00616BC4" w:rsidP="00647943">
            <w:pPr>
              <w:widowControl/>
              <w:jc w:val="right"/>
              <w:rPr>
                <w:color w:val="000000"/>
                <w:sz w:val="16"/>
                <w:lang w:val="en-US"/>
              </w:rPr>
            </w:pPr>
            <w:r w:rsidRPr="000B3C14">
              <w:rPr>
                <w:color w:val="000000"/>
                <w:sz w:val="16"/>
                <w:lang w:val="en-US"/>
              </w:rPr>
              <w:t>&lt;35, LOQ (1)</w:t>
            </w:r>
          </w:p>
        </w:tc>
        <w:tc>
          <w:tcPr>
            <w:tcW w:w="1580" w:type="dxa"/>
            <w:shd w:val="clear" w:color="auto" w:fill="auto"/>
            <w:noWrap/>
            <w:vAlign w:val="center"/>
          </w:tcPr>
          <w:p w14:paraId="1B56A22D" w14:textId="77777777" w:rsidR="00616BC4" w:rsidRPr="000B3C14" w:rsidRDefault="00616BC4" w:rsidP="00647943">
            <w:pPr>
              <w:widowControl/>
              <w:jc w:val="right"/>
              <w:rPr>
                <w:color w:val="000000"/>
                <w:sz w:val="16"/>
                <w:lang w:val="en-US"/>
              </w:rPr>
            </w:pPr>
            <w:r w:rsidRPr="000B3C14">
              <w:rPr>
                <w:color w:val="000000"/>
                <w:sz w:val="16"/>
                <w:lang w:val="en-US"/>
              </w:rPr>
              <w:t>&lt; LOQ (2)</w:t>
            </w:r>
          </w:p>
        </w:tc>
        <w:tc>
          <w:tcPr>
            <w:tcW w:w="1580" w:type="dxa"/>
            <w:shd w:val="clear" w:color="auto" w:fill="auto"/>
            <w:noWrap/>
            <w:vAlign w:val="center"/>
          </w:tcPr>
          <w:p w14:paraId="65985DCE" w14:textId="2A509016" w:rsidR="00616BC4" w:rsidRPr="00F6284E" w:rsidRDefault="00616BC4" w:rsidP="00647943">
            <w:pPr>
              <w:widowControl/>
              <w:jc w:val="right"/>
              <w:rPr>
                <w:color w:val="000000"/>
                <w:sz w:val="16"/>
                <w:lang w:val="en-US"/>
              </w:rPr>
            </w:pPr>
            <w:r w:rsidRPr="00F6284E">
              <w:rPr>
                <w:color w:val="000000"/>
                <w:sz w:val="16"/>
                <w:lang w:val="en-US"/>
              </w:rPr>
              <w:t>-</w:t>
            </w:r>
          </w:p>
        </w:tc>
        <w:tc>
          <w:tcPr>
            <w:tcW w:w="1580" w:type="dxa"/>
            <w:shd w:val="clear" w:color="auto" w:fill="auto"/>
            <w:noWrap/>
            <w:vAlign w:val="center"/>
          </w:tcPr>
          <w:p w14:paraId="2153904A" w14:textId="77777777" w:rsidR="00616BC4" w:rsidRPr="00F6284E" w:rsidRDefault="00616BC4" w:rsidP="00647943">
            <w:pPr>
              <w:widowControl/>
              <w:jc w:val="right"/>
              <w:rPr>
                <w:color w:val="000000"/>
                <w:sz w:val="16"/>
                <w:lang w:val="en-US"/>
              </w:rPr>
            </w:pPr>
            <w:r w:rsidRPr="00F6284E">
              <w:rPr>
                <w:color w:val="000000"/>
                <w:sz w:val="16"/>
                <w:lang w:val="en-US"/>
              </w:rPr>
              <w:t>&lt; LOQ (2)</w:t>
            </w:r>
          </w:p>
        </w:tc>
        <w:tc>
          <w:tcPr>
            <w:tcW w:w="1580" w:type="dxa"/>
            <w:shd w:val="clear" w:color="auto" w:fill="auto"/>
            <w:noWrap/>
            <w:vAlign w:val="center"/>
          </w:tcPr>
          <w:p w14:paraId="1DD3224E" w14:textId="77777777" w:rsidR="00616BC4" w:rsidRPr="00F6284E" w:rsidRDefault="00616BC4" w:rsidP="00647943">
            <w:pPr>
              <w:widowControl/>
              <w:jc w:val="right"/>
              <w:rPr>
                <w:color w:val="000000"/>
                <w:sz w:val="16"/>
                <w:lang w:val="en-US"/>
              </w:rPr>
            </w:pPr>
            <w:r w:rsidRPr="00F6284E">
              <w:rPr>
                <w:color w:val="000000"/>
                <w:sz w:val="16"/>
                <w:lang w:val="en-US"/>
              </w:rPr>
              <w:t>&lt; LOQ (2)</w:t>
            </w:r>
          </w:p>
        </w:tc>
        <w:tc>
          <w:tcPr>
            <w:tcW w:w="1580" w:type="dxa"/>
            <w:shd w:val="clear" w:color="auto" w:fill="auto"/>
            <w:noWrap/>
            <w:vAlign w:val="center"/>
          </w:tcPr>
          <w:p w14:paraId="47D7BF63" w14:textId="77777777" w:rsidR="00616BC4" w:rsidRPr="00F6284E" w:rsidRDefault="00616BC4" w:rsidP="00647943">
            <w:pPr>
              <w:widowControl/>
              <w:jc w:val="right"/>
              <w:rPr>
                <w:color w:val="000000"/>
                <w:sz w:val="16"/>
                <w:lang w:val="en-US"/>
              </w:rPr>
            </w:pPr>
            <w:r w:rsidRPr="00F6284E">
              <w:rPr>
                <w:color w:val="000000"/>
                <w:sz w:val="16"/>
                <w:lang w:val="en-US"/>
              </w:rPr>
              <w:t>&lt; LOQ (4)</w:t>
            </w:r>
          </w:p>
        </w:tc>
        <w:tc>
          <w:tcPr>
            <w:tcW w:w="1580" w:type="dxa"/>
            <w:shd w:val="clear" w:color="auto" w:fill="auto"/>
            <w:noWrap/>
            <w:vAlign w:val="center"/>
          </w:tcPr>
          <w:p w14:paraId="3AD60385" w14:textId="77777777" w:rsidR="00616BC4" w:rsidRPr="00F6284E" w:rsidRDefault="00616BC4" w:rsidP="00647943">
            <w:pPr>
              <w:widowControl/>
              <w:jc w:val="right"/>
              <w:rPr>
                <w:color w:val="000000"/>
                <w:sz w:val="16"/>
                <w:lang w:val="en-US"/>
              </w:rPr>
            </w:pPr>
            <w:r w:rsidRPr="00F6284E">
              <w:rPr>
                <w:color w:val="000000"/>
                <w:sz w:val="16"/>
                <w:lang w:val="en-US"/>
              </w:rPr>
              <w:t>&lt; LOQ (3)</w:t>
            </w:r>
          </w:p>
        </w:tc>
      </w:tr>
      <w:tr w:rsidR="00616BC4" w:rsidRPr="00571422" w14:paraId="2FF0FFC6" w14:textId="77777777" w:rsidTr="00F6284E">
        <w:trPr>
          <w:trHeight w:val="300"/>
          <w:jc w:val="center"/>
        </w:trPr>
        <w:tc>
          <w:tcPr>
            <w:tcW w:w="1938" w:type="dxa"/>
            <w:shd w:val="clear" w:color="auto" w:fill="auto"/>
            <w:noWrap/>
            <w:vAlign w:val="center"/>
          </w:tcPr>
          <w:p w14:paraId="416104EC" w14:textId="77777777" w:rsidR="00616BC4" w:rsidRPr="00D711DD" w:rsidRDefault="00616BC4" w:rsidP="00A111E9">
            <w:pPr>
              <w:widowControl/>
              <w:rPr>
                <w:color w:val="000000"/>
                <w:sz w:val="18"/>
                <w:lang w:val="en-US"/>
              </w:rPr>
            </w:pPr>
            <w:r w:rsidRPr="00D711DD">
              <w:rPr>
                <w:color w:val="000000"/>
                <w:sz w:val="18"/>
                <w:lang w:val="en-US"/>
              </w:rPr>
              <w:t>0.3 mg/kg</w:t>
            </w:r>
          </w:p>
        </w:tc>
        <w:tc>
          <w:tcPr>
            <w:tcW w:w="1580" w:type="dxa"/>
            <w:shd w:val="clear" w:color="auto" w:fill="auto"/>
            <w:noWrap/>
            <w:vAlign w:val="center"/>
          </w:tcPr>
          <w:p w14:paraId="133EEB9B" w14:textId="0827CD43" w:rsidR="00616BC4" w:rsidRPr="00D711DD" w:rsidRDefault="00616BC4" w:rsidP="00647943">
            <w:pPr>
              <w:widowControl/>
              <w:jc w:val="right"/>
              <w:rPr>
                <w:color w:val="000000"/>
                <w:sz w:val="16"/>
                <w:lang w:val="en-US"/>
              </w:rPr>
            </w:pPr>
            <w:r w:rsidRPr="000B3C14">
              <w:rPr>
                <w:color w:val="000000"/>
                <w:sz w:val="16"/>
                <w:lang w:val="en-US"/>
              </w:rPr>
              <w:t>188</w:t>
            </w:r>
            <w:r w:rsidR="00653CD2">
              <w:rPr>
                <w:rFonts w:cs="Arial"/>
                <w:color w:val="000000"/>
                <w:sz w:val="16"/>
                <w:szCs w:val="18"/>
                <w:lang w:val="en-US" w:bidi="ar-SA"/>
              </w:rPr>
              <w:t xml:space="preserve"> </w:t>
            </w:r>
            <w:r w:rsidRPr="00D711DD">
              <w:rPr>
                <w:color w:val="000000"/>
                <w:sz w:val="16"/>
                <w:lang w:val="en-US"/>
              </w:rPr>
              <w:t>± 48 (2)</w:t>
            </w:r>
          </w:p>
        </w:tc>
        <w:tc>
          <w:tcPr>
            <w:tcW w:w="1580" w:type="dxa"/>
            <w:shd w:val="clear" w:color="auto" w:fill="auto"/>
            <w:noWrap/>
            <w:vAlign w:val="center"/>
          </w:tcPr>
          <w:p w14:paraId="6FE154CD" w14:textId="39839CAA" w:rsidR="00616BC4" w:rsidRPr="000B3C14" w:rsidRDefault="00616BC4" w:rsidP="00647943">
            <w:pPr>
              <w:widowControl/>
              <w:jc w:val="right"/>
              <w:rPr>
                <w:color w:val="000000"/>
                <w:sz w:val="16"/>
                <w:lang w:val="en-US"/>
              </w:rPr>
            </w:pPr>
            <w:r w:rsidRPr="000B3C14">
              <w:rPr>
                <w:color w:val="000000"/>
                <w:sz w:val="16"/>
                <w:lang w:val="en-US"/>
              </w:rPr>
              <w:t>-</w:t>
            </w:r>
          </w:p>
        </w:tc>
        <w:tc>
          <w:tcPr>
            <w:tcW w:w="1580" w:type="dxa"/>
            <w:shd w:val="clear" w:color="auto" w:fill="auto"/>
            <w:noWrap/>
            <w:vAlign w:val="center"/>
          </w:tcPr>
          <w:p w14:paraId="327F1EDB" w14:textId="77777777" w:rsidR="00616BC4" w:rsidRPr="00F6284E" w:rsidRDefault="00616BC4" w:rsidP="00647943">
            <w:pPr>
              <w:widowControl/>
              <w:jc w:val="right"/>
              <w:rPr>
                <w:color w:val="000000"/>
                <w:sz w:val="16"/>
                <w:lang w:val="en-US"/>
              </w:rPr>
            </w:pPr>
            <w:r w:rsidRPr="00F6284E">
              <w:rPr>
                <w:color w:val="000000"/>
                <w:sz w:val="16"/>
                <w:lang w:val="en-US"/>
              </w:rPr>
              <w:t>&lt; LOQ (1)</w:t>
            </w:r>
          </w:p>
        </w:tc>
        <w:tc>
          <w:tcPr>
            <w:tcW w:w="1580" w:type="dxa"/>
            <w:shd w:val="clear" w:color="auto" w:fill="auto"/>
            <w:noWrap/>
            <w:vAlign w:val="center"/>
          </w:tcPr>
          <w:p w14:paraId="51CF7E11" w14:textId="091DF0C4" w:rsidR="00616BC4" w:rsidRPr="00F6284E" w:rsidRDefault="00616BC4" w:rsidP="00647943">
            <w:pPr>
              <w:widowControl/>
              <w:jc w:val="right"/>
              <w:rPr>
                <w:color w:val="000000"/>
                <w:sz w:val="16"/>
                <w:lang w:val="en-US"/>
              </w:rPr>
            </w:pPr>
            <w:r w:rsidRPr="00F6284E">
              <w:rPr>
                <w:color w:val="000000"/>
                <w:sz w:val="16"/>
                <w:lang w:val="en-US"/>
              </w:rPr>
              <w:t>-</w:t>
            </w:r>
          </w:p>
        </w:tc>
        <w:tc>
          <w:tcPr>
            <w:tcW w:w="1580" w:type="dxa"/>
            <w:shd w:val="clear" w:color="auto" w:fill="auto"/>
            <w:noWrap/>
            <w:vAlign w:val="center"/>
          </w:tcPr>
          <w:p w14:paraId="20242918" w14:textId="5CAA3BDC" w:rsidR="00616BC4" w:rsidRPr="00F6284E" w:rsidRDefault="00616BC4" w:rsidP="00647943">
            <w:pPr>
              <w:widowControl/>
              <w:jc w:val="right"/>
              <w:rPr>
                <w:color w:val="000000"/>
                <w:sz w:val="16"/>
                <w:lang w:val="en-US"/>
              </w:rPr>
            </w:pPr>
            <w:r w:rsidRPr="00F6284E">
              <w:rPr>
                <w:color w:val="000000"/>
                <w:sz w:val="16"/>
                <w:lang w:val="en-US"/>
              </w:rPr>
              <w:t>-</w:t>
            </w:r>
          </w:p>
        </w:tc>
        <w:tc>
          <w:tcPr>
            <w:tcW w:w="1580" w:type="dxa"/>
            <w:shd w:val="clear" w:color="auto" w:fill="auto"/>
            <w:noWrap/>
            <w:vAlign w:val="center"/>
          </w:tcPr>
          <w:p w14:paraId="26494C2C" w14:textId="77777777" w:rsidR="00616BC4" w:rsidRPr="00F6284E" w:rsidRDefault="00616BC4" w:rsidP="00647943">
            <w:pPr>
              <w:widowControl/>
              <w:jc w:val="right"/>
              <w:rPr>
                <w:color w:val="000000"/>
                <w:sz w:val="16"/>
                <w:lang w:val="en-US"/>
              </w:rPr>
            </w:pPr>
            <w:r w:rsidRPr="00F6284E">
              <w:rPr>
                <w:color w:val="000000"/>
                <w:sz w:val="16"/>
                <w:lang w:val="en-US"/>
              </w:rPr>
              <w:t>&lt; LOQ (3)</w:t>
            </w:r>
          </w:p>
        </w:tc>
        <w:tc>
          <w:tcPr>
            <w:tcW w:w="1580" w:type="dxa"/>
            <w:shd w:val="clear" w:color="auto" w:fill="auto"/>
            <w:noWrap/>
            <w:vAlign w:val="center"/>
          </w:tcPr>
          <w:p w14:paraId="64FBEE47" w14:textId="77777777" w:rsidR="00616BC4" w:rsidRPr="00F6284E" w:rsidRDefault="00616BC4" w:rsidP="00647943">
            <w:pPr>
              <w:widowControl/>
              <w:jc w:val="right"/>
              <w:rPr>
                <w:color w:val="000000"/>
                <w:sz w:val="16"/>
                <w:lang w:val="en-US"/>
              </w:rPr>
            </w:pPr>
            <w:r w:rsidRPr="00F6284E">
              <w:rPr>
                <w:color w:val="000000"/>
                <w:sz w:val="16"/>
                <w:lang w:val="en-US"/>
              </w:rPr>
              <w:t>&lt; LOQ (1)</w:t>
            </w:r>
          </w:p>
        </w:tc>
      </w:tr>
      <w:tr w:rsidR="00616BC4" w:rsidRPr="00571422" w14:paraId="1496CED2" w14:textId="77777777" w:rsidTr="00F6284E">
        <w:trPr>
          <w:trHeight w:val="300"/>
          <w:jc w:val="center"/>
        </w:trPr>
        <w:tc>
          <w:tcPr>
            <w:tcW w:w="1938" w:type="dxa"/>
            <w:shd w:val="clear" w:color="auto" w:fill="auto"/>
            <w:noWrap/>
            <w:vAlign w:val="center"/>
          </w:tcPr>
          <w:p w14:paraId="4B910A92" w14:textId="77777777" w:rsidR="00616BC4" w:rsidRPr="00D711DD" w:rsidRDefault="00616BC4" w:rsidP="00A111E9">
            <w:pPr>
              <w:widowControl/>
              <w:rPr>
                <w:color w:val="000000"/>
                <w:sz w:val="18"/>
                <w:lang w:val="en-US"/>
              </w:rPr>
            </w:pPr>
            <w:r w:rsidRPr="00D711DD">
              <w:rPr>
                <w:color w:val="000000"/>
                <w:sz w:val="18"/>
                <w:lang w:val="en-US"/>
              </w:rPr>
              <w:t>1.0 mg/kg</w:t>
            </w:r>
          </w:p>
        </w:tc>
        <w:tc>
          <w:tcPr>
            <w:tcW w:w="1580" w:type="dxa"/>
            <w:shd w:val="clear" w:color="auto" w:fill="auto"/>
            <w:noWrap/>
            <w:vAlign w:val="center"/>
          </w:tcPr>
          <w:p w14:paraId="164F735C" w14:textId="77777777" w:rsidR="00616BC4" w:rsidRPr="000B3C14" w:rsidRDefault="00616BC4" w:rsidP="00647943">
            <w:pPr>
              <w:widowControl/>
              <w:jc w:val="right"/>
              <w:rPr>
                <w:color w:val="000000"/>
                <w:sz w:val="16"/>
                <w:lang w:val="en-US"/>
              </w:rPr>
            </w:pPr>
            <w:r w:rsidRPr="000B3C14">
              <w:rPr>
                <w:color w:val="000000"/>
                <w:sz w:val="16"/>
                <w:lang w:val="en-US"/>
              </w:rPr>
              <w:t>412 (1)</w:t>
            </w:r>
          </w:p>
        </w:tc>
        <w:tc>
          <w:tcPr>
            <w:tcW w:w="1580" w:type="dxa"/>
            <w:shd w:val="clear" w:color="auto" w:fill="auto"/>
            <w:noWrap/>
            <w:vAlign w:val="center"/>
          </w:tcPr>
          <w:p w14:paraId="01094E9E" w14:textId="3D87B971" w:rsidR="00616BC4" w:rsidRPr="00F6284E" w:rsidRDefault="00616BC4" w:rsidP="00647943">
            <w:pPr>
              <w:widowControl/>
              <w:jc w:val="right"/>
              <w:rPr>
                <w:color w:val="000000"/>
                <w:sz w:val="16"/>
                <w:lang w:val="en-US"/>
              </w:rPr>
            </w:pPr>
            <w:r w:rsidRPr="000B3C14">
              <w:rPr>
                <w:color w:val="000000"/>
                <w:sz w:val="16"/>
                <w:lang w:val="en-US"/>
              </w:rPr>
              <w:t>-</w:t>
            </w:r>
          </w:p>
        </w:tc>
        <w:tc>
          <w:tcPr>
            <w:tcW w:w="1580" w:type="dxa"/>
            <w:shd w:val="clear" w:color="auto" w:fill="auto"/>
            <w:noWrap/>
            <w:vAlign w:val="center"/>
          </w:tcPr>
          <w:p w14:paraId="5D19ADBB" w14:textId="77777777" w:rsidR="00616BC4" w:rsidRPr="00F6284E" w:rsidRDefault="00616BC4" w:rsidP="00647943">
            <w:pPr>
              <w:widowControl/>
              <w:jc w:val="right"/>
              <w:rPr>
                <w:color w:val="000000"/>
                <w:sz w:val="16"/>
                <w:lang w:val="en-US"/>
              </w:rPr>
            </w:pPr>
            <w:r w:rsidRPr="00F6284E">
              <w:rPr>
                <w:color w:val="000000"/>
                <w:sz w:val="16"/>
                <w:lang w:val="en-US"/>
              </w:rPr>
              <w:t>&lt; LOQ (1)</w:t>
            </w:r>
          </w:p>
        </w:tc>
        <w:tc>
          <w:tcPr>
            <w:tcW w:w="1580" w:type="dxa"/>
            <w:shd w:val="clear" w:color="auto" w:fill="auto"/>
            <w:noWrap/>
            <w:vAlign w:val="center"/>
          </w:tcPr>
          <w:p w14:paraId="3D2AD0D4" w14:textId="77777777" w:rsidR="00616BC4" w:rsidRPr="00F6284E" w:rsidRDefault="00616BC4" w:rsidP="00647943">
            <w:pPr>
              <w:widowControl/>
              <w:jc w:val="right"/>
              <w:rPr>
                <w:color w:val="000000"/>
                <w:sz w:val="16"/>
                <w:lang w:val="en-US"/>
              </w:rPr>
            </w:pPr>
            <w:r w:rsidRPr="00F6284E">
              <w:rPr>
                <w:color w:val="000000"/>
                <w:sz w:val="16"/>
                <w:lang w:val="en-US"/>
              </w:rPr>
              <w:t>&lt; LOQ (2)</w:t>
            </w:r>
          </w:p>
        </w:tc>
        <w:tc>
          <w:tcPr>
            <w:tcW w:w="1580" w:type="dxa"/>
            <w:shd w:val="clear" w:color="auto" w:fill="auto"/>
            <w:noWrap/>
            <w:vAlign w:val="center"/>
          </w:tcPr>
          <w:p w14:paraId="2E9A178E" w14:textId="1AE1F68D" w:rsidR="00616BC4" w:rsidRPr="00F6284E" w:rsidRDefault="00616BC4" w:rsidP="00647943">
            <w:pPr>
              <w:widowControl/>
              <w:jc w:val="right"/>
              <w:rPr>
                <w:color w:val="000000"/>
                <w:sz w:val="16"/>
                <w:lang w:val="en-US"/>
              </w:rPr>
            </w:pPr>
            <w:r w:rsidRPr="00F6284E">
              <w:rPr>
                <w:color w:val="000000"/>
                <w:sz w:val="16"/>
                <w:lang w:val="en-US"/>
              </w:rPr>
              <w:t>-</w:t>
            </w:r>
          </w:p>
        </w:tc>
        <w:tc>
          <w:tcPr>
            <w:tcW w:w="1580" w:type="dxa"/>
            <w:shd w:val="clear" w:color="auto" w:fill="auto"/>
            <w:noWrap/>
            <w:vAlign w:val="center"/>
          </w:tcPr>
          <w:p w14:paraId="68866173" w14:textId="77777777" w:rsidR="00616BC4" w:rsidRPr="00F6284E" w:rsidRDefault="00616BC4" w:rsidP="00647943">
            <w:pPr>
              <w:widowControl/>
              <w:jc w:val="right"/>
              <w:rPr>
                <w:color w:val="000000"/>
                <w:sz w:val="16"/>
                <w:lang w:val="en-US"/>
              </w:rPr>
            </w:pPr>
            <w:r w:rsidRPr="00F6284E">
              <w:rPr>
                <w:color w:val="000000"/>
                <w:sz w:val="16"/>
                <w:lang w:val="en-US"/>
              </w:rPr>
              <w:t>&lt; LOQ (1)</w:t>
            </w:r>
          </w:p>
        </w:tc>
        <w:tc>
          <w:tcPr>
            <w:tcW w:w="1580" w:type="dxa"/>
            <w:shd w:val="clear" w:color="auto" w:fill="auto"/>
            <w:noWrap/>
            <w:vAlign w:val="center"/>
          </w:tcPr>
          <w:p w14:paraId="065561D5" w14:textId="77777777" w:rsidR="00616BC4" w:rsidRPr="00F6284E" w:rsidRDefault="00616BC4" w:rsidP="00647943">
            <w:pPr>
              <w:widowControl/>
              <w:jc w:val="right"/>
              <w:rPr>
                <w:color w:val="000000"/>
                <w:sz w:val="16"/>
                <w:lang w:val="en-US"/>
              </w:rPr>
            </w:pPr>
            <w:r w:rsidRPr="00F6284E">
              <w:rPr>
                <w:color w:val="000000"/>
                <w:sz w:val="16"/>
                <w:lang w:val="en-US"/>
              </w:rPr>
              <w:t xml:space="preserve">&lt; </w:t>
            </w:r>
            <w:r w:rsidRPr="00F6284E">
              <w:rPr>
                <w:color w:val="000000"/>
                <w:sz w:val="16"/>
                <w:u w:val="single"/>
                <w:lang w:val="en-US"/>
              </w:rPr>
              <w:t>LOQ</w:t>
            </w:r>
            <w:r w:rsidRPr="00F6284E">
              <w:rPr>
                <w:color w:val="000000"/>
                <w:sz w:val="16"/>
                <w:lang w:val="en-US"/>
              </w:rPr>
              <w:t xml:space="preserve"> (2)</w:t>
            </w:r>
          </w:p>
        </w:tc>
      </w:tr>
      <w:tr w:rsidR="00616BC4" w:rsidRPr="00571422" w14:paraId="429FE862" w14:textId="77777777" w:rsidTr="00F6284E">
        <w:trPr>
          <w:trHeight w:val="300"/>
          <w:jc w:val="center"/>
        </w:trPr>
        <w:tc>
          <w:tcPr>
            <w:tcW w:w="1938" w:type="dxa"/>
            <w:shd w:val="clear" w:color="auto" w:fill="auto"/>
            <w:noWrap/>
            <w:vAlign w:val="center"/>
          </w:tcPr>
          <w:p w14:paraId="788908BB" w14:textId="77777777" w:rsidR="00616BC4" w:rsidRPr="00D711DD" w:rsidRDefault="00616BC4" w:rsidP="00A111E9">
            <w:pPr>
              <w:widowControl/>
              <w:rPr>
                <w:color w:val="000000"/>
                <w:sz w:val="18"/>
                <w:lang w:val="en-US"/>
              </w:rPr>
            </w:pPr>
            <w:r w:rsidRPr="00D711DD">
              <w:rPr>
                <w:color w:val="000000"/>
                <w:sz w:val="18"/>
                <w:lang w:val="en-US"/>
              </w:rPr>
              <w:t>3.0 mg/kg</w:t>
            </w:r>
          </w:p>
        </w:tc>
        <w:tc>
          <w:tcPr>
            <w:tcW w:w="1580" w:type="dxa"/>
            <w:shd w:val="clear" w:color="auto" w:fill="auto"/>
            <w:noWrap/>
            <w:vAlign w:val="center"/>
          </w:tcPr>
          <w:p w14:paraId="54851BAC" w14:textId="1BE178F7" w:rsidR="00616BC4" w:rsidRPr="000B3C14" w:rsidRDefault="00616BC4" w:rsidP="00647943">
            <w:pPr>
              <w:widowControl/>
              <w:jc w:val="right"/>
              <w:rPr>
                <w:color w:val="000000"/>
                <w:sz w:val="16"/>
                <w:lang w:val="en-US"/>
              </w:rPr>
            </w:pPr>
            <w:r w:rsidRPr="000B3C14">
              <w:rPr>
                <w:color w:val="000000"/>
                <w:sz w:val="16"/>
                <w:lang w:val="en-US"/>
              </w:rPr>
              <w:t>1256</w:t>
            </w:r>
            <w:r w:rsidR="00653CD2">
              <w:rPr>
                <w:rFonts w:cs="Arial"/>
                <w:color w:val="000000"/>
                <w:sz w:val="16"/>
                <w:szCs w:val="18"/>
                <w:lang w:val="en-US" w:bidi="ar-SA"/>
              </w:rPr>
              <w:t xml:space="preserve"> </w:t>
            </w:r>
            <w:r w:rsidRPr="00D711DD">
              <w:rPr>
                <w:color w:val="000000"/>
                <w:sz w:val="16"/>
                <w:lang w:val="en-US"/>
              </w:rPr>
              <w:t xml:space="preserve">± 305* </w:t>
            </w:r>
            <w:r w:rsidRPr="000B3C14">
              <w:rPr>
                <w:color w:val="000000"/>
                <w:sz w:val="16"/>
                <w:lang w:val="en-US"/>
              </w:rPr>
              <w:t>(2)</w:t>
            </w:r>
          </w:p>
        </w:tc>
        <w:tc>
          <w:tcPr>
            <w:tcW w:w="1580" w:type="dxa"/>
            <w:shd w:val="clear" w:color="auto" w:fill="auto"/>
            <w:noWrap/>
            <w:vAlign w:val="center"/>
          </w:tcPr>
          <w:p w14:paraId="791942EB" w14:textId="109E0276" w:rsidR="00616BC4" w:rsidRPr="00D711DD" w:rsidRDefault="00616BC4" w:rsidP="00647943">
            <w:pPr>
              <w:widowControl/>
              <w:jc w:val="right"/>
              <w:rPr>
                <w:color w:val="000000"/>
                <w:sz w:val="16"/>
                <w:lang w:val="en-US"/>
              </w:rPr>
            </w:pPr>
            <w:r w:rsidRPr="000B3C14">
              <w:rPr>
                <w:color w:val="000000"/>
                <w:sz w:val="16"/>
                <w:lang w:val="en-US"/>
              </w:rPr>
              <w:t>751</w:t>
            </w:r>
            <w:r w:rsidR="00653CD2">
              <w:rPr>
                <w:rFonts w:cs="Arial"/>
                <w:color w:val="000000"/>
                <w:sz w:val="16"/>
                <w:szCs w:val="18"/>
                <w:lang w:val="en-US" w:bidi="ar-SA"/>
              </w:rPr>
              <w:t xml:space="preserve"> </w:t>
            </w:r>
            <w:r w:rsidRPr="00D711DD">
              <w:rPr>
                <w:color w:val="000000"/>
                <w:sz w:val="16"/>
                <w:lang w:val="en-US"/>
              </w:rPr>
              <w:t>± 61*** (2)</w:t>
            </w:r>
          </w:p>
        </w:tc>
        <w:tc>
          <w:tcPr>
            <w:tcW w:w="1580" w:type="dxa"/>
            <w:shd w:val="clear" w:color="auto" w:fill="auto"/>
            <w:noWrap/>
            <w:vAlign w:val="center"/>
          </w:tcPr>
          <w:p w14:paraId="1AA21A1F" w14:textId="5AA43CAE" w:rsidR="00616BC4" w:rsidRPr="00D711DD" w:rsidRDefault="00616BC4" w:rsidP="00647943">
            <w:pPr>
              <w:widowControl/>
              <w:jc w:val="right"/>
              <w:rPr>
                <w:color w:val="000000"/>
                <w:sz w:val="16"/>
                <w:lang w:val="en-US"/>
              </w:rPr>
            </w:pPr>
            <w:r w:rsidRPr="000B3C14">
              <w:rPr>
                <w:color w:val="000000"/>
                <w:sz w:val="16"/>
                <w:lang w:val="en-US"/>
              </w:rPr>
              <w:t>181</w:t>
            </w:r>
            <w:r w:rsidR="00653CD2">
              <w:rPr>
                <w:rFonts w:cs="Arial"/>
                <w:color w:val="000000"/>
                <w:sz w:val="16"/>
                <w:szCs w:val="18"/>
                <w:lang w:val="en-US" w:bidi="ar-SA"/>
              </w:rPr>
              <w:t xml:space="preserve"> </w:t>
            </w:r>
            <w:r w:rsidRPr="00D711DD">
              <w:rPr>
                <w:color w:val="000000"/>
                <w:sz w:val="16"/>
                <w:lang w:val="en-US"/>
              </w:rPr>
              <w:t>± 20 (3)</w:t>
            </w:r>
          </w:p>
        </w:tc>
        <w:tc>
          <w:tcPr>
            <w:tcW w:w="1580" w:type="dxa"/>
            <w:shd w:val="clear" w:color="auto" w:fill="auto"/>
            <w:noWrap/>
            <w:vAlign w:val="center"/>
          </w:tcPr>
          <w:p w14:paraId="57D0E33D" w14:textId="04E8DFAE" w:rsidR="00616BC4" w:rsidRPr="000B3C14" w:rsidRDefault="00616BC4" w:rsidP="00647943">
            <w:pPr>
              <w:widowControl/>
              <w:jc w:val="right"/>
              <w:rPr>
                <w:color w:val="000000"/>
                <w:sz w:val="16"/>
                <w:lang w:val="en-US"/>
              </w:rPr>
            </w:pPr>
            <w:r w:rsidRPr="000B3C14">
              <w:rPr>
                <w:color w:val="000000"/>
                <w:sz w:val="16"/>
                <w:lang w:val="en-US"/>
              </w:rPr>
              <w:t>-</w:t>
            </w:r>
          </w:p>
        </w:tc>
        <w:tc>
          <w:tcPr>
            <w:tcW w:w="1580" w:type="dxa"/>
            <w:shd w:val="clear" w:color="auto" w:fill="auto"/>
            <w:noWrap/>
            <w:vAlign w:val="center"/>
          </w:tcPr>
          <w:p w14:paraId="3E658684" w14:textId="4C6E35A4" w:rsidR="00616BC4" w:rsidRPr="00D711DD" w:rsidRDefault="00616BC4" w:rsidP="00647943">
            <w:pPr>
              <w:widowControl/>
              <w:jc w:val="right"/>
              <w:rPr>
                <w:color w:val="000000"/>
                <w:sz w:val="16"/>
                <w:lang w:val="en-US"/>
              </w:rPr>
            </w:pPr>
            <w:r w:rsidRPr="000B3C14">
              <w:rPr>
                <w:color w:val="000000"/>
                <w:sz w:val="16"/>
                <w:lang w:val="en-US"/>
              </w:rPr>
              <w:t>32</w:t>
            </w:r>
            <w:r w:rsidR="00653CD2">
              <w:rPr>
                <w:rFonts w:cs="Arial"/>
                <w:color w:val="000000"/>
                <w:sz w:val="16"/>
                <w:szCs w:val="18"/>
                <w:lang w:val="en-US" w:bidi="ar-SA"/>
              </w:rPr>
              <w:t xml:space="preserve"> </w:t>
            </w:r>
            <w:r w:rsidRPr="00D711DD">
              <w:rPr>
                <w:color w:val="000000"/>
                <w:sz w:val="16"/>
                <w:lang w:val="en-US"/>
              </w:rPr>
              <w:t>± 7 (2)</w:t>
            </w:r>
          </w:p>
        </w:tc>
        <w:tc>
          <w:tcPr>
            <w:tcW w:w="1580" w:type="dxa"/>
            <w:shd w:val="clear" w:color="auto" w:fill="auto"/>
            <w:noWrap/>
            <w:vAlign w:val="center"/>
          </w:tcPr>
          <w:p w14:paraId="57E64B98" w14:textId="77777777" w:rsidR="00616BC4" w:rsidRPr="000B3C14" w:rsidRDefault="00616BC4" w:rsidP="00647943">
            <w:pPr>
              <w:widowControl/>
              <w:jc w:val="right"/>
              <w:rPr>
                <w:color w:val="000000"/>
                <w:sz w:val="16"/>
                <w:lang w:val="en-US"/>
              </w:rPr>
            </w:pPr>
            <w:r w:rsidRPr="000B3C14">
              <w:rPr>
                <w:color w:val="000000"/>
                <w:sz w:val="16"/>
                <w:lang w:val="en-US"/>
              </w:rPr>
              <w:t>&lt; LOQ (2)</w:t>
            </w:r>
          </w:p>
        </w:tc>
        <w:tc>
          <w:tcPr>
            <w:tcW w:w="1580" w:type="dxa"/>
            <w:shd w:val="clear" w:color="auto" w:fill="auto"/>
            <w:noWrap/>
            <w:vAlign w:val="center"/>
          </w:tcPr>
          <w:p w14:paraId="38EEF7A9" w14:textId="77777777" w:rsidR="00616BC4" w:rsidRPr="000B3C14" w:rsidRDefault="00616BC4" w:rsidP="00647943">
            <w:pPr>
              <w:widowControl/>
              <w:jc w:val="right"/>
              <w:rPr>
                <w:color w:val="000000"/>
                <w:sz w:val="16"/>
                <w:lang w:val="en-US"/>
              </w:rPr>
            </w:pPr>
            <w:r w:rsidRPr="000B3C14">
              <w:rPr>
                <w:color w:val="000000"/>
                <w:sz w:val="16"/>
                <w:lang w:val="en-US"/>
              </w:rPr>
              <w:t>&lt; LOQ (3)</w:t>
            </w:r>
          </w:p>
        </w:tc>
      </w:tr>
    </w:tbl>
    <w:p w14:paraId="0BA2D737" w14:textId="3A3F3FFC" w:rsidR="00616BC4" w:rsidRPr="0074731F" w:rsidRDefault="00616BC4" w:rsidP="00A111E9">
      <w:pPr>
        <w:widowControl/>
        <w:tabs>
          <w:tab w:val="left" w:pos="9810"/>
        </w:tabs>
        <w:spacing w:before="120"/>
        <w:ind w:left="709" w:right="-448"/>
        <w:rPr>
          <w:rFonts w:cs="Arial"/>
          <w:sz w:val="16"/>
          <w:szCs w:val="16"/>
          <w:lang w:val="en-US" w:bidi="ar-SA"/>
        </w:rPr>
      </w:pPr>
      <w:r w:rsidRPr="0074731F">
        <w:rPr>
          <w:rFonts w:cs="Arial"/>
          <w:i/>
          <w:sz w:val="16"/>
          <w:szCs w:val="16"/>
          <w:lang w:val="en-US" w:bidi="ar-SA"/>
        </w:rPr>
        <w:t>Note.</w:t>
      </w:r>
      <w:r w:rsidRPr="0074731F">
        <w:rPr>
          <w:rFonts w:cs="Arial"/>
          <w:sz w:val="16"/>
          <w:szCs w:val="16"/>
          <w:lang w:val="en-US" w:bidi="ar-SA"/>
        </w:rPr>
        <w:t xml:space="preserve"> PFOA dosimetry data for male offspring from the full gestation study. Data presented are mean ± </w:t>
      </w:r>
      <w:r w:rsidR="00DB0B1B">
        <w:rPr>
          <w:rFonts w:cs="Arial"/>
          <w:sz w:val="16"/>
          <w:szCs w:val="16"/>
          <w:lang w:val="en-US" w:bidi="ar-SA"/>
        </w:rPr>
        <w:t>standard error</w:t>
      </w:r>
      <w:r w:rsidRPr="0074731F">
        <w:rPr>
          <w:rFonts w:cs="Arial"/>
          <w:sz w:val="16"/>
          <w:szCs w:val="16"/>
          <w:lang w:val="en-US" w:bidi="ar-SA"/>
        </w:rPr>
        <w:t>. Dashes (-) signify time points where no measure</w:t>
      </w:r>
    </w:p>
    <w:p w14:paraId="012703C5" w14:textId="77777777" w:rsidR="00616BC4" w:rsidRPr="0074731F" w:rsidRDefault="00616BC4" w:rsidP="00A111E9">
      <w:pPr>
        <w:widowControl/>
        <w:tabs>
          <w:tab w:val="left" w:pos="9810"/>
        </w:tabs>
        <w:ind w:left="709" w:right="-450"/>
        <w:rPr>
          <w:rFonts w:cs="Arial"/>
          <w:sz w:val="16"/>
          <w:szCs w:val="16"/>
          <w:lang w:val="en-US" w:bidi="ar-SA"/>
        </w:rPr>
      </w:pPr>
      <w:r w:rsidRPr="0074731F">
        <w:rPr>
          <w:rFonts w:cs="Arial"/>
          <w:sz w:val="16"/>
          <w:szCs w:val="16"/>
          <w:lang w:val="en-US" w:bidi="ar-SA"/>
        </w:rPr>
        <w:t xml:space="preserve"> was taken for a treatment group. Calculated blood burdens were determined by the equation (BW x (58.5/1000) x serum x 0.55). Not able to determine</w:t>
      </w:r>
    </w:p>
    <w:p w14:paraId="50C8452D" w14:textId="54B0D9EC" w:rsidR="00616BC4" w:rsidRPr="0074731F" w:rsidRDefault="00616BC4" w:rsidP="00A111E9">
      <w:pPr>
        <w:widowControl/>
        <w:tabs>
          <w:tab w:val="left" w:pos="9810"/>
        </w:tabs>
        <w:ind w:left="709" w:right="-450"/>
        <w:rPr>
          <w:rFonts w:cs="Arial"/>
          <w:sz w:val="16"/>
          <w:szCs w:val="16"/>
          <w:lang w:val="en-US" w:bidi="ar-SA"/>
        </w:rPr>
      </w:pPr>
      <w:r w:rsidRPr="0074731F">
        <w:rPr>
          <w:rFonts w:cs="Arial"/>
          <w:sz w:val="16"/>
          <w:szCs w:val="16"/>
          <w:lang w:val="en-US" w:bidi="ar-SA"/>
        </w:rPr>
        <w:t xml:space="preserve"> </w:t>
      </w:r>
      <w:r w:rsidR="00DB0B1B">
        <w:rPr>
          <w:rFonts w:cs="Arial"/>
          <w:sz w:val="16"/>
          <w:szCs w:val="16"/>
          <w:lang w:val="en-US" w:bidi="ar-SA"/>
        </w:rPr>
        <w:t xml:space="preserve">statistical </w:t>
      </w:r>
      <w:r w:rsidRPr="0074731F">
        <w:rPr>
          <w:rFonts w:cs="Arial"/>
          <w:sz w:val="16"/>
          <w:szCs w:val="16"/>
          <w:lang w:val="en-US" w:bidi="ar-SA"/>
        </w:rPr>
        <w:t>significance at PND 21 due to absence of controls. LOQ=Limit of Quantitation.</w:t>
      </w:r>
    </w:p>
    <w:p w14:paraId="2E12BA6C" w14:textId="77777777" w:rsidR="00616BC4" w:rsidRPr="0074731F" w:rsidRDefault="00616BC4" w:rsidP="00A111E9">
      <w:pPr>
        <w:widowControl/>
        <w:tabs>
          <w:tab w:val="left" w:pos="9810"/>
        </w:tabs>
        <w:ind w:left="709" w:right="-450"/>
        <w:rPr>
          <w:rFonts w:cs="Arial"/>
          <w:color w:val="000000"/>
          <w:sz w:val="16"/>
          <w:szCs w:val="16"/>
          <w:lang w:val="en-US" w:bidi="ar-SA"/>
        </w:rPr>
      </w:pPr>
      <w:r w:rsidRPr="0074731F">
        <w:rPr>
          <w:rFonts w:cs="Arial"/>
          <w:color w:val="000000"/>
          <w:sz w:val="16"/>
          <w:szCs w:val="16"/>
          <w:lang w:val="en-US" w:bidi="ar-SA"/>
        </w:rPr>
        <w:t>Significant treatment effect compared to controls; * p &lt; 0.05, ** p &lt; 0.01, *** p &lt;0.001.</w:t>
      </w:r>
    </w:p>
    <w:p w14:paraId="014ADAB7" w14:textId="19F489DD" w:rsidR="008F10A1" w:rsidRDefault="008F10A1" w:rsidP="00A111E9">
      <w:pPr>
        <w:widowControl/>
        <w:ind w:right="-540"/>
        <w:rPr>
          <w:lang w:bidi="ar-SA"/>
        </w:rPr>
      </w:pPr>
    </w:p>
    <w:p w14:paraId="10BBC8BA" w14:textId="5F729DC4" w:rsidR="00F6332B" w:rsidRDefault="00F6332B" w:rsidP="00A111E9">
      <w:pPr>
        <w:pStyle w:val="FSTableTitle"/>
        <w:rPr>
          <w:lang w:bidi="ar-SA"/>
        </w:rPr>
        <w:sectPr w:rsidR="00F6332B" w:rsidSect="00D711DD">
          <w:pgSz w:w="16838" w:h="11906" w:orient="landscape"/>
          <w:pgMar w:top="1418" w:right="1418" w:bottom="1418" w:left="1418" w:header="709" w:footer="709" w:gutter="0"/>
          <w:cols w:space="708"/>
          <w:docGrid w:linePitch="360"/>
        </w:sectPr>
      </w:pPr>
    </w:p>
    <w:p w14:paraId="19D94DBE" w14:textId="17054C70" w:rsidR="008365BB" w:rsidRDefault="008365BB" w:rsidP="00A111E9">
      <w:pPr>
        <w:pStyle w:val="FSTableTitle"/>
        <w:rPr>
          <w:lang w:bidi="ar-SA"/>
        </w:rPr>
      </w:pPr>
      <w:r>
        <w:rPr>
          <w:lang w:bidi="ar-SA"/>
        </w:rPr>
        <w:lastRenderedPageBreak/>
        <w:t xml:space="preserve">Table </w:t>
      </w:r>
      <w:r w:rsidR="00A319B5">
        <w:rPr>
          <w:lang w:bidi="ar-SA"/>
        </w:rPr>
        <w:t>29</w:t>
      </w:r>
      <w:r>
        <w:rPr>
          <w:lang w:bidi="ar-SA"/>
        </w:rPr>
        <w:t xml:space="preserve">: </w:t>
      </w:r>
      <w:r w:rsidRPr="008A03FB">
        <w:rPr>
          <w:szCs w:val="22"/>
          <w:lang w:val="en-US" w:bidi="ar-SA"/>
        </w:rPr>
        <w:t xml:space="preserve">PFOA dosimetry of </w:t>
      </w:r>
      <w:r>
        <w:rPr>
          <w:szCs w:val="22"/>
          <w:lang w:val="en-US" w:bidi="ar-SA"/>
        </w:rPr>
        <w:t>fe</w:t>
      </w:r>
      <w:r w:rsidRPr="008A03FB">
        <w:rPr>
          <w:szCs w:val="22"/>
          <w:lang w:val="en-US" w:bidi="ar-SA"/>
        </w:rPr>
        <w:t xml:space="preserve">male offspring from the </w:t>
      </w:r>
      <w:r>
        <w:rPr>
          <w:szCs w:val="22"/>
          <w:lang w:val="en-US" w:bidi="ar-SA"/>
        </w:rPr>
        <w:t>late</w:t>
      </w:r>
      <w:r w:rsidRPr="008A03FB">
        <w:rPr>
          <w:szCs w:val="22"/>
          <w:lang w:val="en-US" w:bidi="ar-SA"/>
        </w:rPr>
        <w:t xml:space="preserve"> gestation exposure study</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0"/>
        <w:gridCol w:w="1710"/>
        <w:gridCol w:w="1286"/>
        <w:gridCol w:w="10"/>
        <w:gridCol w:w="1674"/>
        <w:gridCol w:w="1530"/>
        <w:gridCol w:w="1891"/>
      </w:tblGrid>
      <w:tr w:rsidR="008365BB" w:rsidRPr="008A6C94" w14:paraId="6B4836FE" w14:textId="77777777" w:rsidTr="000830C5">
        <w:trPr>
          <w:trHeight w:val="270"/>
          <w:tblHeader/>
        </w:trPr>
        <w:tc>
          <w:tcPr>
            <w:tcW w:w="1260" w:type="dxa"/>
            <w:shd w:val="clear" w:color="auto" w:fill="F2F2F2" w:themeFill="background1" w:themeFillShade="F2"/>
          </w:tcPr>
          <w:p w14:paraId="0BB4EA49" w14:textId="77777777" w:rsidR="008365BB" w:rsidRPr="008A6C94" w:rsidRDefault="008365BB" w:rsidP="00A111E9">
            <w:pPr>
              <w:widowControl/>
              <w:rPr>
                <w:rFonts w:cs="Arial"/>
                <w:color w:val="000000"/>
                <w:sz w:val="14"/>
                <w:szCs w:val="14"/>
                <w:lang w:val="en-US" w:bidi="ar-SA"/>
              </w:rPr>
            </w:pPr>
          </w:p>
        </w:tc>
        <w:tc>
          <w:tcPr>
            <w:tcW w:w="1710" w:type="dxa"/>
            <w:shd w:val="clear" w:color="auto" w:fill="F2F2F2" w:themeFill="background1" w:themeFillShade="F2"/>
            <w:noWrap/>
            <w:vAlign w:val="center"/>
          </w:tcPr>
          <w:p w14:paraId="368CB548" w14:textId="77777777" w:rsidR="008365BB" w:rsidRPr="00F6284E" w:rsidRDefault="008365BB" w:rsidP="00647943">
            <w:pPr>
              <w:widowControl/>
              <w:jc w:val="right"/>
              <w:rPr>
                <w:b/>
                <w:sz w:val="18"/>
                <w:lang w:val="en-US"/>
              </w:rPr>
            </w:pPr>
            <w:r w:rsidRPr="00F6284E">
              <w:rPr>
                <w:b/>
                <w:sz w:val="18"/>
                <w:lang w:val="en-US"/>
              </w:rPr>
              <w:t>PND 1</w:t>
            </w:r>
            <w:r w:rsidRPr="00F6284E">
              <w:rPr>
                <w:b/>
                <w:i/>
                <w:sz w:val="18"/>
                <w:vertAlign w:val="superscript"/>
                <w:lang w:val="en-US"/>
              </w:rPr>
              <w:t xml:space="preserve">a </w:t>
            </w:r>
            <w:r w:rsidRPr="00F6284E">
              <w:rPr>
                <w:b/>
                <w:sz w:val="18"/>
                <w:lang w:val="en-US"/>
              </w:rPr>
              <w:t>(n)</w:t>
            </w:r>
          </w:p>
        </w:tc>
        <w:tc>
          <w:tcPr>
            <w:tcW w:w="1286" w:type="dxa"/>
            <w:shd w:val="clear" w:color="auto" w:fill="F2F2F2" w:themeFill="background1" w:themeFillShade="F2"/>
            <w:noWrap/>
            <w:vAlign w:val="center"/>
          </w:tcPr>
          <w:p w14:paraId="4F135EED" w14:textId="77777777" w:rsidR="008365BB" w:rsidRPr="00F6284E" w:rsidRDefault="008365BB" w:rsidP="00647943">
            <w:pPr>
              <w:widowControl/>
              <w:jc w:val="right"/>
              <w:rPr>
                <w:b/>
                <w:sz w:val="18"/>
                <w:lang w:val="en-US"/>
              </w:rPr>
            </w:pPr>
            <w:r w:rsidRPr="00F6284E">
              <w:rPr>
                <w:b/>
                <w:sz w:val="18"/>
                <w:lang w:val="en-US"/>
              </w:rPr>
              <w:t>PND 4 (n)</w:t>
            </w:r>
          </w:p>
        </w:tc>
        <w:tc>
          <w:tcPr>
            <w:tcW w:w="1684" w:type="dxa"/>
            <w:gridSpan w:val="2"/>
            <w:shd w:val="clear" w:color="auto" w:fill="F2F2F2" w:themeFill="background1" w:themeFillShade="F2"/>
            <w:noWrap/>
            <w:vAlign w:val="center"/>
          </w:tcPr>
          <w:p w14:paraId="352D86C9" w14:textId="77777777" w:rsidR="008365BB" w:rsidRPr="00F6284E" w:rsidRDefault="008365BB" w:rsidP="00647943">
            <w:pPr>
              <w:widowControl/>
              <w:jc w:val="right"/>
              <w:rPr>
                <w:b/>
                <w:sz w:val="18"/>
                <w:lang w:val="en-US"/>
              </w:rPr>
            </w:pPr>
            <w:r w:rsidRPr="00F6284E">
              <w:rPr>
                <w:b/>
                <w:sz w:val="18"/>
                <w:lang w:val="en-US"/>
              </w:rPr>
              <w:t>PND 7 (n)</w:t>
            </w:r>
          </w:p>
        </w:tc>
        <w:tc>
          <w:tcPr>
            <w:tcW w:w="1530" w:type="dxa"/>
            <w:shd w:val="clear" w:color="auto" w:fill="F2F2F2" w:themeFill="background1" w:themeFillShade="F2"/>
            <w:noWrap/>
            <w:vAlign w:val="center"/>
          </w:tcPr>
          <w:p w14:paraId="2E989AF2" w14:textId="77777777" w:rsidR="008365BB" w:rsidRPr="00F6284E" w:rsidRDefault="008365BB" w:rsidP="00647943">
            <w:pPr>
              <w:widowControl/>
              <w:jc w:val="right"/>
              <w:rPr>
                <w:b/>
                <w:sz w:val="18"/>
                <w:lang w:val="en-US"/>
              </w:rPr>
            </w:pPr>
            <w:r w:rsidRPr="00F6284E">
              <w:rPr>
                <w:b/>
                <w:sz w:val="18"/>
                <w:lang w:val="en-US"/>
              </w:rPr>
              <w:t>PND 14 (n)</w:t>
            </w:r>
          </w:p>
        </w:tc>
        <w:tc>
          <w:tcPr>
            <w:tcW w:w="1891" w:type="dxa"/>
            <w:shd w:val="clear" w:color="auto" w:fill="F2F2F2" w:themeFill="background1" w:themeFillShade="F2"/>
            <w:noWrap/>
            <w:vAlign w:val="center"/>
          </w:tcPr>
          <w:p w14:paraId="2F7D0C28" w14:textId="77777777" w:rsidR="008365BB" w:rsidRPr="00F6284E" w:rsidRDefault="008365BB" w:rsidP="00647943">
            <w:pPr>
              <w:widowControl/>
              <w:jc w:val="right"/>
              <w:rPr>
                <w:b/>
                <w:sz w:val="18"/>
                <w:lang w:val="en-US"/>
              </w:rPr>
            </w:pPr>
            <w:r w:rsidRPr="00F6284E">
              <w:rPr>
                <w:b/>
                <w:sz w:val="18"/>
                <w:lang w:val="en-US"/>
              </w:rPr>
              <w:t>PND 21</w:t>
            </w:r>
            <w:r w:rsidRPr="00F6284E">
              <w:rPr>
                <w:b/>
                <w:sz w:val="18"/>
                <w:vertAlign w:val="superscript"/>
                <w:lang w:val="en-US"/>
              </w:rPr>
              <w:t xml:space="preserve">b </w:t>
            </w:r>
            <w:r w:rsidRPr="00F6284E">
              <w:rPr>
                <w:b/>
                <w:sz w:val="18"/>
                <w:lang w:val="en-US"/>
              </w:rPr>
              <w:t>(n)</w:t>
            </w:r>
          </w:p>
        </w:tc>
      </w:tr>
      <w:tr w:rsidR="008365BB" w:rsidRPr="008A6C94" w14:paraId="693F506C" w14:textId="77777777" w:rsidTr="00F6284E">
        <w:trPr>
          <w:trHeight w:val="270"/>
        </w:trPr>
        <w:tc>
          <w:tcPr>
            <w:tcW w:w="9361" w:type="dxa"/>
            <w:gridSpan w:val="7"/>
            <w:noWrap/>
            <w:vAlign w:val="center"/>
          </w:tcPr>
          <w:p w14:paraId="61B148B6" w14:textId="2B54A2DD" w:rsidR="008365BB" w:rsidRPr="008A6C94" w:rsidRDefault="00D60FEF" w:rsidP="00A111E9">
            <w:pPr>
              <w:widowControl/>
              <w:rPr>
                <w:rFonts w:cs="Arial"/>
                <w:sz w:val="14"/>
                <w:szCs w:val="14"/>
                <w:lang w:val="en-US" w:bidi="ar-SA"/>
              </w:rPr>
            </w:pPr>
            <w:r>
              <w:rPr>
                <w:b/>
                <w:i/>
                <w:sz w:val="16"/>
                <w:lang w:val="en-US"/>
              </w:rPr>
              <w:t>Serum (ng/mL</w:t>
            </w:r>
            <w:r w:rsidR="00003D0D" w:rsidRPr="000B3C14">
              <w:rPr>
                <w:b/>
                <w:i/>
                <w:sz w:val="16"/>
                <w:lang w:val="en-US"/>
              </w:rPr>
              <w:t>)</w:t>
            </w:r>
          </w:p>
        </w:tc>
      </w:tr>
      <w:tr w:rsidR="008365BB" w:rsidRPr="008A6C94" w14:paraId="5CC103D0" w14:textId="77777777" w:rsidTr="00F6284E">
        <w:trPr>
          <w:trHeight w:val="270"/>
        </w:trPr>
        <w:tc>
          <w:tcPr>
            <w:tcW w:w="1260" w:type="dxa"/>
            <w:noWrap/>
            <w:vAlign w:val="center"/>
          </w:tcPr>
          <w:p w14:paraId="3CFD2510" w14:textId="77777777" w:rsidR="008365BB" w:rsidRPr="00D711DD" w:rsidRDefault="008365BB" w:rsidP="00A111E9">
            <w:pPr>
              <w:widowControl/>
              <w:rPr>
                <w:sz w:val="16"/>
                <w:lang w:val="en-US"/>
              </w:rPr>
            </w:pPr>
            <w:r w:rsidRPr="00D711DD">
              <w:rPr>
                <w:sz w:val="16"/>
                <w:lang w:val="en-US"/>
              </w:rPr>
              <w:t>Control</w:t>
            </w:r>
          </w:p>
        </w:tc>
        <w:tc>
          <w:tcPr>
            <w:tcW w:w="1710" w:type="dxa"/>
            <w:noWrap/>
            <w:vAlign w:val="center"/>
          </w:tcPr>
          <w:p w14:paraId="5683AAE2" w14:textId="77777777" w:rsidR="008365BB" w:rsidRPr="008A6C94" w:rsidRDefault="008365BB" w:rsidP="00647943">
            <w:pPr>
              <w:widowControl/>
              <w:jc w:val="right"/>
              <w:rPr>
                <w:rFonts w:cs="Arial"/>
                <w:sz w:val="14"/>
                <w:szCs w:val="14"/>
                <w:lang w:val="en-US" w:bidi="ar-SA"/>
              </w:rPr>
            </w:pPr>
            <w:r w:rsidRPr="008A6C94">
              <w:rPr>
                <w:rFonts w:cs="Arial"/>
                <w:sz w:val="14"/>
                <w:szCs w:val="14"/>
                <w:lang w:val="en-US" w:bidi="ar-SA"/>
              </w:rPr>
              <w:t xml:space="preserve">22.6 </w:t>
            </w:r>
            <w:r w:rsidRPr="008A6C94">
              <w:rPr>
                <w:rFonts w:cs="Arial"/>
                <w:color w:val="000000"/>
                <w:sz w:val="14"/>
                <w:szCs w:val="14"/>
                <w:lang w:val="en-US" w:bidi="ar-SA"/>
              </w:rPr>
              <w:t xml:space="preserve">± </w:t>
            </w:r>
            <w:r w:rsidRPr="008A6C94">
              <w:rPr>
                <w:rFonts w:cs="Arial"/>
                <w:sz w:val="14"/>
                <w:szCs w:val="14"/>
                <w:lang w:val="en-US" w:bidi="ar-SA"/>
              </w:rPr>
              <w:t>5.5 (4)</w:t>
            </w:r>
          </w:p>
        </w:tc>
        <w:tc>
          <w:tcPr>
            <w:tcW w:w="1286" w:type="dxa"/>
            <w:noWrap/>
            <w:vAlign w:val="center"/>
          </w:tcPr>
          <w:p w14:paraId="143F724D" w14:textId="77777777" w:rsidR="008365BB" w:rsidRPr="008A6C94" w:rsidRDefault="008365BB" w:rsidP="00647943">
            <w:pPr>
              <w:widowControl/>
              <w:jc w:val="right"/>
              <w:rPr>
                <w:rFonts w:cs="Arial"/>
                <w:sz w:val="14"/>
                <w:szCs w:val="14"/>
                <w:lang w:val="en-US" w:bidi="ar-SA"/>
              </w:rPr>
            </w:pPr>
            <w:r w:rsidRPr="008A6C94">
              <w:rPr>
                <w:rFonts w:cs="Arial"/>
                <w:sz w:val="14"/>
                <w:szCs w:val="14"/>
                <w:lang w:val="en-US" w:bidi="ar-SA"/>
              </w:rPr>
              <w:t xml:space="preserve">8.6 </w:t>
            </w:r>
            <w:r w:rsidRPr="008A6C94">
              <w:rPr>
                <w:rFonts w:cs="Arial"/>
                <w:color w:val="000000"/>
                <w:sz w:val="14"/>
                <w:szCs w:val="14"/>
                <w:lang w:val="en-US" w:bidi="ar-SA"/>
              </w:rPr>
              <w:t xml:space="preserve">± </w:t>
            </w:r>
            <w:r w:rsidRPr="008A6C94">
              <w:rPr>
                <w:rFonts w:cs="Arial"/>
                <w:sz w:val="14"/>
                <w:szCs w:val="14"/>
                <w:lang w:val="en-US" w:bidi="ar-SA"/>
              </w:rPr>
              <w:t>0.5 (2)</w:t>
            </w:r>
          </w:p>
        </w:tc>
        <w:tc>
          <w:tcPr>
            <w:tcW w:w="1684" w:type="dxa"/>
            <w:gridSpan w:val="2"/>
            <w:noWrap/>
            <w:vAlign w:val="center"/>
          </w:tcPr>
          <w:p w14:paraId="6110B16A" w14:textId="77777777" w:rsidR="008365BB" w:rsidRPr="008A6C94" w:rsidRDefault="008365BB" w:rsidP="00647943">
            <w:pPr>
              <w:widowControl/>
              <w:jc w:val="right"/>
              <w:rPr>
                <w:rFonts w:cs="Arial"/>
                <w:sz w:val="14"/>
                <w:szCs w:val="14"/>
                <w:lang w:val="en-US" w:bidi="ar-SA"/>
              </w:rPr>
            </w:pPr>
            <w:r w:rsidRPr="008A6C94">
              <w:rPr>
                <w:rFonts w:cs="Arial"/>
                <w:sz w:val="14"/>
                <w:szCs w:val="14"/>
                <w:lang w:val="en-US" w:bidi="ar-SA"/>
              </w:rPr>
              <w:t xml:space="preserve">7.8 </w:t>
            </w:r>
            <w:r w:rsidRPr="008A6C94">
              <w:rPr>
                <w:rFonts w:cs="Arial"/>
                <w:color w:val="000000"/>
                <w:sz w:val="14"/>
                <w:szCs w:val="14"/>
                <w:lang w:val="en-US" w:bidi="ar-SA"/>
              </w:rPr>
              <w:t xml:space="preserve">± </w:t>
            </w:r>
            <w:r w:rsidRPr="008A6C94">
              <w:rPr>
                <w:rFonts w:cs="Arial"/>
                <w:sz w:val="14"/>
                <w:szCs w:val="14"/>
                <w:lang w:val="en-US" w:bidi="ar-SA"/>
              </w:rPr>
              <w:t>2.1 (5)</w:t>
            </w:r>
          </w:p>
        </w:tc>
        <w:tc>
          <w:tcPr>
            <w:tcW w:w="1530" w:type="dxa"/>
            <w:noWrap/>
            <w:vAlign w:val="center"/>
          </w:tcPr>
          <w:p w14:paraId="5873073F" w14:textId="77777777" w:rsidR="008365BB" w:rsidRPr="008A6C94" w:rsidRDefault="008365BB" w:rsidP="00647943">
            <w:pPr>
              <w:widowControl/>
              <w:jc w:val="right"/>
              <w:rPr>
                <w:rFonts w:cs="Arial"/>
                <w:sz w:val="14"/>
                <w:szCs w:val="14"/>
                <w:lang w:val="en-US" w:bidi="ar-SA"/>
              </w:rPr>
            </w:pPr>
            <w:r w:rsidRPr="008A6C94">
              <w:rPr>
                <w:rFonts w:cs="Arial"/>
                <w:sz w:val="14"/>
                <w:szCs w:val="14"/>
                <w:lang w:val="en-US" w:bidi="ar-SA"/>
              </w:rPr>
              <w:t xml:space="preserve">7.8 </w:t>
            </w:r>
            <w:r w:rsidRPr="008A6C94">
              <w:rPr>
                <w:rFonts w:cs="Arial"/>
                <w:color w:val="000000"/>
                <w:sz w:val="14"/>
                <w:szCs w:val="14"/>
                <w:lang w:val="en-US" w:bidi="ar-SA"/>
              </w:rPr>
              <w:t xml:space="preserve">± </w:t>
            </w:r>
            <w:r w:rsidRPr="008A6C94">
              <w:rPr>
                <w:rFonts w:cs="Arial"/>
                <w:sz w:val="14"/>
                <w:szCs w:val="14"/>
                <w:lang w:val="en-US" w:bidi="ar-SA"/>
              </w:rPr>
              <w:t>1.5 (8)</w:t>
            </w:r>
          </w:p>
        </w:tc>
        <w:tc>
          <w:tcPr>
            <w:tcW w:w="1891" w:type="dxa"/>
            <w:noWrap/>
            <w:vAlign w:val="center"/>
          </w:tcPr>
          <w:p w14:paraId="4FE9F0A0" w14:textId="77777777" w:rsidR="008365BB" w:rsidRPr="008A6C94" w:rsidRDefault="008365BB" w:rsidP="00647943">
            <w:pPr>
              <w:widowControl/>
              <w:jc w:val="right"/>
              <w:rPr>
                <w:rFonts w:cs="Arial"/>
                <w:sz w:val="14"/>
                <w:szCs w:val="14"/>
                <w:lang w:val="en-US" w:bidi="ar-SA"/>
              </w:rPr>
            </w:pPr>
            <w:r w:rsidRPr="008A6C94">
              <w:rPr>
                <w:rFonts w:cs="Arial"/>
                <w:sz w:val="14"/>
                <w:szCs w:val="14"/>
                <w:lang w:val="en-US" w:bidi="ar-SA"/>
              </w:rPr>
              <w:t xml:space="preserve">4.1 </w:t>
            </w:r>
            <w:r w:rsidRPr="008A6C94">
              <w:rPr>
                <w:rFonts w:cs="Arial"/>
                <w:color w:val="000000"/>
                <w:sz w:val="14"/>
                <w:szCs w:val="14"/>
                <w:lang w:val="en-US" w:bidi="ar-SA"/>
              </w:rPr>
              <w:t xml:space="preserve">± </w:t>
            </w:r>
            <w:r w:rsidRPr="008A6C94">
              <w:rPr>
                <w:rFonts w:cs="Arial"/>
                <w:sz w:val="14"/>
                <w:szCs w:val="14"/>
                <w:lang w:val="en-US" w:bidi="ar-SA"/>
              </w:rPr>
              <w:t>0.6 (7)</w:t>
            </w:r>
          </w:p>
        </w:tc>
      </w:tr>
      <w:tr w:rsidR="008365BB" w:rsidRPr="008A6C94" w14:paraId="01003732" w14:textId="77777777" w:rsidTr="00F6284E">
        <w:trPr>
          <w:trHeight w:val="255"/>
        </w:trPr>
        <w:tc>
          <w:tcPr>
            <w:tcW w:w="1260" w:type="dxa"/>
            <w:noWrap/>
            <w:vAlign w:val="center"/>
          </w:tcPr>
          <w:p w14:paraId="73BC2CA8" w14:textId="77777777" w:rsidR="008365BB" w:rsidRPr="00D711DD" w:rsidRDefault="008365BB" w:rsidP="00A111E9">
            <w:pPr>
              <w:widowControl/>
              <w:rPr>
                <w:sz w:val="16"/>
                <w:lang w:val="en-US"/>
              </w:rPr>
            </w:pPr>
            <w:r w:rsidRPr="00D711DD">
              <w:rPr>
                <w:sz w:val="16"/>
                <w:lang w:val="en-US"/>
              </w:rPr>
              <w:t>0.01 mg/kg</w:t>
            </w:r>
          </w:p>
        </w:tc>
        <w:tc>
          <w:tcPr>
            <w:tcW w:w="1710" w:type="dxa"/>
            <w:noWrap/>
            <w:vAlign w:val="center"/>
          </w:tcPr>
          <w:p w14:paraId="150A3107" w14:textId="77777777" w:rsidR="008365BB" w:rsidRPr="008A6C94" w:rsidRDefault="008365BB" w:rsidP="00647943">
            <w:pPr>
              <w:widowControl/>
              <w:jc w:val="right"/>
              <w:rPr>
                <w:rFonts w:cs="Arial"/>
                <w:sz w:val="14"/>
                <w:szCs w:val="14"/>
                <w:lang w:val="en-US" w:bidi="ar-SA"/>
              </w:rPr>
            </w:pPr>
            <w:r w:rsidRPr="008A6C94">
              <w:rPr>
                <w:rFonts w:cs="Arial"/>
                <w:sz w:val="14"/>
                <w:szCs w:val="14"/>
                <w:lang w:val="en-US" w:bidi="ar-SA"/>
              </w:rPr>
              <w:t xml:space="preserve">284.5 </w:t>
            </w:r>
            <w:r w:rsidRPr="008A6C94">
              <w:rPr>
                <w:rFonts w:cs="Arial"/>
                <w:color w:val="000000"/>
                <w:sz w:val="14"/>
                <w:szCs w:val="14"/>
                <w:lang w:val="en-US" w:bidi="ar-SA"/>
              </w:rPr>
              <w:t xml:space="preserve">± </w:t>
            </w:r>
            <w:r w:rsidRPr="008A6C94">
              <w:rPr>
                <w:rFonts w:cs="Arial"/>
                <w:sz w:val="14"/>
                <w:szCs w:val="14"/>
                <w:lang w:val="en-US" w:bidi="ar-SA"/>
              </w:rPr>
              <w:t>21.0* (3)</w:t>
            </w:r>
          </w:p>
        </w:tc>
        <w:tc>
          <w:tcPr>
            <w:tcW w:w="1286" w:type="dxa"/>
            <w:noWrap/>
            <w:vAlign w:val="center"/>
          </w:tcPr>
          <w:p w14:paraId="4307A718" w14:textId="77777777" w:rsidR="008365BB" w:rsidRPr="008A6C94" w:rsidRDefault="008365BB" w:rsidP="00647943">
            <w:pPr>
              <w:widowControl/>
              <w:jc w:val="right"/>
              <w:rPr>
                <w:rFonts w:cs="Arial"/>
                <w:sz w:val="14"/>
                <w:szCs w:val="14"/>
                <w:lang w:val="en-US" w:bidi="ar-SA"/>
              </w:rPr>
            </w:pPr>
            <w:r w:rsidRPr="008A6C94">
              <w:rPr>
                <w:rFonts w:cs="Arial"/>
                <w:sz w:val="14"/>
                <w:szCs w:val="14"/>
                <w:lang w:val="en-US" w:bidi="ar-SA"/>
              </w:rPr>
              <w:t xml:space="preserve">184.1 </w:t>
            </w:r>
            <w:r w:rsidRPr="008A6C94">
              <w:rPr>
                <w:rFonts w:cs="Arial"/>
                <w:color w:val="000000"/>
                <w:sz w:val="14"/>
                <w:szCs w:val="14"/>
                <w:lang w:val="en-US" w:bidi="ar-SA"/>
              </w:rPr>
              <w:t xml:space="preserve">± </w:t>
            </w:r>
            <w:r w:rsidRPr="008A6C94">
              <w:rPr>
                <w:rFonts w:cs="Arial"/>
                <w:sz w:val="14"/>
                <w:szCs w:val="14"/>
                <w:lang w:val="en-US" w:bidi="ar-SA"/>
              </w:rPr>
              <w:t>12.1* (2)</w:t>
            </w:r>
          </w:p>
        </w:tc>
        <w:tc>
          <w:tcPr>
            <w:tcW w:w="1684" w:type="dxa"/>
            <w:gridSpan w:val="2"/>
            <w:noWrap/>
            <w:vAlign w:val="center"/>
          </w:tcPr>
          <w:p w14:paraId="17A21D7C" w14:textId="77777777" w:rsidR="008365BB" w:rsidRPr="008A6C94" w:rsidRDefault="008365BB" w:rsidP="00647943">
            <w:pPr>
              <w:widowControl/>
              <w:jc w:val="right"/>
              <w:rPr>
                <w:rFonts w:cs="Arial"/>
                <w:sz w:val="14"/>
                <w:szCs w:val="14"/>
                <w:lang w:val="en-US" w:bidi="ar-SA"/>
              </w:rPr>
            </w:pPr>
            <w:r w:rsidRPr="008A6C94">
              <w:rPr>
                <w:rFonts w:cs="Arial"/>
                <w:sz w:val="14"/>
                <w:szCs w:val="14"/>
                <w:lang w:val="en-US" w:bidi="ar-SA"/>
              </w:rPr>
              <w:t xml:space="preserve">150.7 </w:t>
            </w:r>
            <w:r w:rsidRPr="008A6C94">
              <w:rPr>
                <w:rFonts w:cs="Arial"/>
                <w:color w:val="000000"/>
                <w:sz w:val="14"/>
                <w:szCs w:val="14"/>
                <w:lang w:val="en-US" w:bidi="ar-SA"/>
              </w:rPr>
              <w:t xml:space="preserve">± </w:t>
            </w:r>
            <w:r w:rsidRPr="008A6C94">
              <w:rPr>
                <w:rFonts w:cs="Arial"/>
                <w:sz w:val="14"/>
                <w:szCs w:val="14"/>
                <w:lang w:val="en-US" w:bidi="ar-SA"/>
              </w:rPr>
              <w:t>20.9* (7)</w:t>
            </w:r>
          </w:p>
        </w:tc>
        <w:tc>
          <w:tcPr>
            <w:tcW w:w="1530" w:type="dxa"/>
            <w:noWrap/>
            <w:vAlign w:val="center"/>
          </w:tcPr>
          <w:p w14:paraId="4151E8C0" w14:textId="77777777" w:rsidR="008365BB" w:rsidRPr="008A6C94" w:rsidRDefault="008365BB" w:rsidP="00647943">
            <w:pPr>
              <w:widowControl/>
              <w:jc w:val="right"/>
              <w:rPr>
                <w:rFonts w:cs="Arial"/>
                <w:sz w:val="14"/>
                <w:szCs w:val="14"/>
                <w:lang w:val="en-US" w:bidi="ar-SA"/>
              </w:rPr>
            </w:pPr>
            <w:r w:rsidRPr="008A6C94">
              <w:rPr>
                <w:rFonts w:cs="Arial"/>
                <w:sz w:val="14"/>
                <w:szCs w:val="14"/>
                <w:lang w:val="en-US" w:bidi="ar-SA"/>
              </w:rPr>
              <w:t xml:space="preserve">80.2 </w:t>
            </w:r>
            <w:r w:rsidRPr="008A6C94">
              <w:rPr>
                <w:rFonts w:cs="Arial"/>
                <w:color w:val="000000"/>
                <w:sz w:val="14"/>
                <w:szCs w:val="14"/>
                <w:lang w:val="en-US" w:bidi="ar-SA"/>
              </w:rPr>
              <w:t>± 1</w:t>
            </w:r>
            <w:r w:rsidRPr="008A6C94">
              <w:rPr>
                <w:rFonts w:cs="Arial"/>
                <w:sz w:val="14"/>
                <w:szCs w:val="14"/>
                <w:lang w:val="en-US" w:bidi="ar-SA"/>
              </w:rPr>
              <w:t>3.9* (8)</w:t>
            </w:r>
          </w:p>
        </w:tc>
        <w:tc>
          <w:tcPr>
            <w:tcW w:w="1891" w:type="dxa"/>
            <w:noWrap/>
            <w:vAlign w:val="center"/>
          </w:tcPr>
          <w:p w14:paraId="7E5AEB42" w14:textId="77777777" w:rsidR="008365BB" w:rsidRPr="008A6C94" w:rsidRDefault="008365BB" w:rsidP="00647943">
            <w:pPr>
              <w:widowControl/>
              <w:jc w:val="right"/>
              <w:rPr>
                <w:rFonts w:cs="Arial"/>
                <w:sz w:val="14"/>
                <w:szCs w:val="14"/>
                <w:lang w:val="en-US" w:bidi="ar-SA"/>
              </w:rPr>
            </w:pPr>
            <w:r w:rsidRPr="008A6C94">
              <w:rPr>
                <w:rFonts w:cs="Arial"/>
                <w:sz w:val="14"/>
                <w:szCs w:val="14"/>
                <w:lang w:val="en-US" w:bidi="ar-SA"/>
              </w:rPr>
              <w:t xml:space="preserve">16.5 </w:t>
            </w:r>
            <w:r w:rsidRPr="008A6C94">
              <w:rPr>
                <w:rFonts w:cs="Arial"/>
                <w:color w:val="000000"/>
                <w:sz w:val="14"/>
                <w:szCs w:val="14"/>
                <w:lang w:val="en-US" w:bidi="ar-SA"/>
              </w:rPr>
              <w:t xml:space="preserve">± </w:t>
            </w:r>
            <w:r w:rsidRPr="008A6C94">
              <w:rPr>
                <w:rFonts w:cs="Arial"/>
                <w:sz w:val="14"/>
                <w:szCs w:val="14"/>
                <w:lang w:val="en-US" w:bidi="ar-SA"/>
              </w:rPr>
              <w:t>2.1* (10)</w:t>
            </w:r>
          </w:p>
        </w:tc>
      </w:tr>
      <w:tr w:rsidR="008365BB" w:rsidRPr="008A6C94" w14:paraId="3C26FD3A" w14:textId="77777777" w:rsidTr="00F6284E">
        <w:trPr>
          <w:trHeight w:val="255"/>
        </w:trPr>
        <w:tc>
          <w:tcPr>
            <w:tcW w:w="1260" w:type="dxa"/>
            <w:noWrap/>
            <w:vAlign w:val="center"/>
          </w:tcPr>
          <w:p w14:paraId="00522227" w14:textId="77777777" w:rsidR="008365BB" w:rsidRPr="00D711DD" w:rsidRDefault="008365BB" w:rsidP="00A111E9">
            <w:pPr>
              <w:widowControl/>
              <w:rPr>
                <w:sz w:val="16"/>
                <w:lang w:val="en-US"/>
              </w:rPr>
            </w:pPr>
            <w:r w:rsidRPr="00D711DD">
              <w:rPr>
                <w:sz w:val="16"/>
                <w:lang w:val="en-US"/>
              </w:rPr>
              <w:t>0.1 mg/kg</w:t>
            </w:r>
          </w:p>
        </w:tc>
        <w:tc>
          <w:tcPr>
            <w:tcW w:w="1710" w:type="dxa"/>
            <w:noWrap/>
            <w:vAlign w:val="center"/>
          </w:tcPr>
          <w:p w14:paraId="69F4F35B" w14:textId="77777777" w:rsidR="008365BB" w:rsidRPr="008A6C94" w:rsidRDefault="008365BB" w:rsidP="00647943">
            <w:pPr>
              <w:widowControl/>
              <w:jc w:val="right"/>
              <w:rPr>
                <w:rFonts w:cs="Arial"/>
                <w:sz w:val="14"/>
                <w:szCs w:val="14"/>
                <w:lang w:val="en-US" w:bidi="ar-SA"/>
              </w:rPr>
            </w:pPr>
            <w:r w:rsidRPr="008A6C94">
              <w:rPr>
                <w:rFonts w:cs="Arial"/>
                <w:sz w:val="14"/>
                <w:szCs w:val="14"/>
                <w:lang w:val="en-US" w:bidi="ar-SA"/>
              </w:rPr>
              <w:t xml:space="preserve">2303.5 </w:t>
            </w:r>
            <w:r w:rsidRPr="008A6C94">
              <w:rPr>
                <w:rFonts w:cs="Arial"/>
                <w:color w:val="000000"/>
                <w:sz w:val="14"/>
                <w:szCs w:val="14"/>
                <w:lang w:val="en-US" w:bidi="ar-SA"/>
              </w:rPr>
              <w:t xml:space="preserve">± </w:t>
            </w:r>
            <w:r w:rsidRPr="008A6C94">
              <w:rPr>
                <w:rFonts w:cs="Arial"/>
                <w:sz w:val="14"/>
                <w:szCs w:val="14"/>
                <w:lang w:val="en-US" w:bidi="ar-SA"/>
              </w:rPr>
              <w:t>114.1* (2)</w:t>
            </w:r>
          </w:p>
        </w:tc>
        <w:tc>
          <w:tcPr>
            <w:tcW w:w="1296" w:type="dxa"/>
            <w:gridSpan w:val="2"/>
            <w:vAlign w:val="center"/>
          </w:tcPr>
          <w:p w14:paraId="7528D071" w14:textId="77777777" w:rsidR="008365BB" w:rsidRPr="008A6C94" w:rsidRDefault="008365BB" w:rsidP="00647943">
            <w:pPr>
              <w:widowControl/>
              <w:jc w:val="right"/>
              <w:rPr>
                <w:rFonts w:cs="Arial"/>
                <w:sz w:val="14"/>
                <w:szCs w:val="14"/>
                <w:lang w:val="en-US" w:bidi="ar-SA"/>
              </w:rPr>
            </w:pPr>
            <w:r w:rsidRPr="008A6C94">
              <w:rPr>
                <w:rFonts w:cs="Arial"/>
                <w:color w:val="000000"/>
                <w:sz w:val="14"/>
                <w:szCs w:val="14"/>
                <w:lang w:val="en-US" w:bidi="ar-SA"/>
              </w:rPr>
              <w:t>-</w:t>
            </w:r>
          </w:p>
        </w:tc>
        <w:tc>
          <w:tcPr>
            <w:tcW w:w="1674" w:type="dxa"/>
            <w:noWrap/>
            <w:vAlign w:val="center"/>
          </w:tcPr>
          <w:p w14:paraId="39D18672" w14:textId="77777777" w:rsidR="008365BB" w:rsidRPr="008A6C94" w:rsidRDefault="008365BB" w:rsidP="00647943">
            <w:pPr>
              <w:widowControl/>
              <w:jc w:val="right"/>
              <w:rPr>
                <w:rFonts w:cs="Arial"/>
                <w:sz w:val="14"/>
                <w:szCs w:val="14"/>
                <w:lang w:val="en-US" w:bidi="ar-SA"/>
              </w:rPr>
            </w:pPr>
            <w:r w:rsidRPr="008A6C94">
              <w:rPr>
                <w:rFonts w:cs="Arial"/>
                <w:sz w:val="14"/>
                <w:szCs w:val="14"/>
                <w:lang w:val="en-US" w:bidi="ar-SA"/>
              </w:rPr>
              <w:t xml:space="preserve">1277.8 </w:t>
            </w:r>
            <w:r w:rsidRPr="008A6C94">
              <w:rPr>
                <w:rFonts w:cs="Arial"/>
                <w:color w:val="000000"/>
                <w:sz w:val="14"/>
                <w:szCs w:val="14"/>
                <w:lang w:val="en-US" w:bidi="ar-SA"/>
              </w:rPr>
              <w:t xml:space="preserve">± </w:t>
            </w:r>
            <w:r w:rsidRPr="008A6C94">
              <w:rPr>
                <w:rFonts w:cs="Arial"/>
                <w:sz w:val="14"/>
                <w:szCs w:val="14"/>
                <w:lang w:val="en-US" w:bidi="ar-SA"/>
              </w:rPr>
              <w:t>122.6* (8)</w:t>
            </w:r>
          </w:p>
        </w:tc>
        <w:tc>
          <w:tcPr>
            <w:tcW w:w="1530" w:type="dxa"/>
            <w:noWrap/>
            <w:vAlign w:val="center"/>
          </w:tcPr>
          <w:p w14:paraId="361FA5F2" w14:textId="77777777" w:rsidR="008365BB" w:rsidRPr="008A6C94" w:rsidRDefault="008365BB" w:rsidP="00647943">
            <w:pPr>
              <w:widowControl/>
              <w:jc w:val="right"/>
              <w:rPr>
                <w:rFonts w:cs="Arial"/>
                <w:sz w:val="14"/>
                <w:szCs w:val="14"/>
                <w:lang w:val="en-US" w:bidi="ar-SA"/>
              </w:rPr>
            </w:pPr>
            <w:r w:rsidRPr="008A6C94">
              <w:rPr>
                <w:rFonts w:cs="Arial"/>
                <w:sz w:val="14"/>
                <w:szCs w:val="14"/>
                <w:lang w:val="en-US" w:bidi="ar-SA"/>
              </w:rPr>
              <w:t xml:space="preserve">645.4 </w:t>
            </w:r>
            <w:r w:rsidRPr="008A6C94">
              <w:rPr>
                <w:rFonts w:cs="Arial"/>
                <w:color w:val="000000"/>
                <w:sz w:val="14"/>
                <w:szCs w:val="14"/>
                <w:lang w:val="en-US" w:bidi="ar-SA"/>
              </w:rPr>
              <w:t xml:space="preserve">± </w:t>
            </w:r>
            <w:r w:rsidRPr="008A6C94">
              <w:rPr>
                <w:rFonts w:cs="Arial"/>
                <w:sz w:val="14"/>
                <w:szCs w:val="14"/>
                <w:lang w:val="en-US" w:bidi="ar-SA"/>
              </w:rPr>
              <w:t>114.2* (7)</w:t>
            </w:r>
          </w:p>
        </w:tc>
        <w:tc>
          <w:tcPr>
            <w:tcW w:w="1891" w:type="dxa"/>
            <w:noWrap/>
            <w:vAlign w:val="center"/>
          </w:tcPr>
          <w:p w14:paraId="772E0948" w14:textId="77777777" w:rsidR="008365BB" w:rsidRPr="008A6C94" w:rsidRDefault="008365BB" w:rsidP="00647943">
            <w:pPr>
              <w:widowControl/>
              <w:jc w:val="right"/>
              <w:rPr>
                <w:rFonts w:cs="Arial"/>
                <w:sz w:val="14"/>
                <w:szCs w:val="14"/>
                <w:lang w:val="en-US" w:bidi="ar-SA"/>
              </w:rPr>
            </w:pPr>
            <w:r w:rsidRPr="008A6C94">
              <w:rPr>
                <w:rFonts w:cs="Arial"/>
                <w:sz w:val="14"/>
                <w:szCs w:val="14"/>
                <w:lang w:val="en-US" w:bidi="ar-SA"/>
              </w:rPr>
              <w:t xml:space="preserve">131.7 </w:t>
            </w:r>
            <w:r w:rsidRPr="008A6C94">
              <w:rPr>
                <w:rFonts w:cs="Arial"/>
                <w:color w:val="000000"/>
                <w:sz w:val="14"/>
                <w:szCs w:val="14"/>
                <w:lang w:val="en-US" w:bidi="ar-SA"/>
              </w:rPr>
              <w:t xml:space="preserve">± </w:t>
            </w:r>
            <w:r w:rsidRPr="008A6C94">
              <w:rPr>
                <w:rFonts w:cs="Arial"/>
                <w:sz w:val="14"/>
                <w:szCs w:val="14"/>
                <w:lang w:val="en-US" w:bidi="ar-SA"/>
              </w:rPr>
              <w:t>24.5* (7)</w:t>
            </w:r>
          </w:p>
        </w:tc>
      </w:tr>
      <w:tr w:rsidR="008365BB" w:rsidRPr="008A6C94" w14:paraId="4727FC96" w14:textId="77777777" w:rsidTr="00F6284E">
        <w:trPr>
          <w:trHeight w:val="255"/>
        </w:trPr>
        <w:tc>
          <w:tcPr>
            <w:tcW w:w="1260" w:type="dxa"/>
            <w:noWrap/>
            <w:vAlign w:val="center"/>
          </w:tcPr>
          <w:p w14:paraId="3ECD6D77" w14:textId="77777777" w:rsidR="008365BB" w:rsidRPr="00D711DD" w:rsidRDefault="008365BB" w:rsidP="00A111E9">
            <w:pPr>
              <w:widowControl/>
              <w:rPr>
                <w:sz w:val="16"/>
                <w:lang w:val="en-US"/>
              </w:rPr>
            </w:pPr>
            <w:r w:rsidRPr="00D711DD">
              <w:rPr>
                <w:sz w:val="16"/>
                <w:lang w:val="en-US"/>
              </w:rPr>
              <w:t>1.0 mg/kg</w:t>
            </w:r>
          </w:p>
        </w:tc>
        <w:tc>
          <w:tcPr>
            <w:tcW w:w="1710" w:type="dxa"/>
            <w:noWrap/>
            <w:vAlign w:val="center"/>
          </w:tcPr>
          <w:p w14:paraId="69ED4E70" w14:textId="6B15AFC3" w:rsidR="008365BB" w:rsidRPr="008A6C94" w:rsidRDefault="008365BB" w:rsidP="00647943">
            <w:pPr>
              <w:widowControl/>
              <w:ind w:right="-18"/>
              <w:jc w:val="right"/>
              <w:rPr>
                <w:rFonts w:cs="Arial"/>
                <w:sz w:val="14"/>
                <w:szCs w:val="14"/>
                <w:lang w:val="en-US" w:bidi="ar-SA"/>
              </w:rPr>
            </w:pPr>
            <w:r w:rsidRPr="008A6C94">
              <w:rPr>
                <w:rFonts w:cs="Arial"/>
                <w:sz w:val="14"/>
                <w:szCs w:val="14"/>
                <w:lang w:val="en-US" w:bidi="ar-SA"/>
              </w:rPr>
              <w:t>16</w:t>
            </w:r>
            <w:r w:rsidR="00CC26CA">
              <w:rPr>
                <w:rFonts w:cs="Arial"/>
                <w:sz w:val="14"/>
                <w:szCs w:val="14"/>
                <w:lang w:val="en-US" w:bidi="ar-SA"/>
              </w:rPr>
              <w:t> 305</w:t>
            </w:r>
            <w:r w:rsidRPr="008A6C94">
              <w:rPr>
                <w:rFonts w:cs="Arial"/>
                <w:sz w:val="14"/>
                <w:szCs w:val="14"/>
                <w:lang w:val="en-US" w:bidi="ar-SA"/>
              </w:rPr>
              <w:t xml:space="preserve">.5 </w:t>
            </w:r>
            <w:r w:rsidRPr="008A6C94">
              <w:rPr>
                <w:rFonts w:cs="Arial"/>
                <w:color w:val="000000"/>
                <w:sz w:val="14"/>
                <w:szCs w:val="14"/>
                <w:lang w:val="en-US" w:bidi="ar-SA"/>
              </w:rPr>
              <w:t xml:space="preserve">± </w:t>
            </w:r>
            <w:r w:rsidRPr="008A6C94">
              <w:rPr>
                <w:rFonts w:cs="Arial"/>
                <w:sz w:val="14"/>
                <w:szCs w:val="14"/>
                <w:lang w:val="en-US" w:bidi="ar-SA"/>
              </w:rPr>
              <w:t>873.5* (7)</w:t>
            </w:r>
          </w:p>
        </w:tc>
        <w:tc>
          <w:tcPr>
            <w:tcW w:w="1296" w:type="dxa"/>
            <w:gridSpan w:val="2"/>
            <w:vAlign w:val="center"/>
          </w:tcPr>
          <w:p w14:paraId="4FE70138" w14:textId="77777777" w:rsidR="008365BB" w:rsidRPr="008A6C94" w:rsidRDefault="008365BB" w:rsidP="00647943">
            <w:pPr>
              <w:widowControl/>
              <w:jc w:val="right"/>
              <w:rPr>
                <w:rFonts w:cs="Arial"/>
                <w:sz w:val="14"/>
                <w:szCs w:val="14"/>
                <w:lang w:val="en-US" w:bidi="ar-SA"/>
              </w:rPr>
            </w:pPr>
            <w:r w:rsidRPr="008A6C94">
              <w:rPr>
                <w:rFonts w:cs="Arial"/>
                <w:color w:val="000000"/>
                <w:sz w:val="14"/>
                <w:szCs w:val="14"/>
                <w:lang w:val="en-US" w:bidi="ar-SA"/>
              </w:rPr>
              <w:t>-</w:t>
            </w:r>
          </w:p>
        </w:tc>
        <w:tc>
          <w:tcPr>
            <w:tcW w:w="1674" w:type="dxa"/>
            <w:noWrap/>
            <w:vAlign w:val="center"/>
          </w:tcPr>
          <w:p w14:paraId="6C2695B6" w14:textId="77777777" w:rsidR="008365BB" w:rsidRPr="008A6C94" w:rsidRDefault="008365BB" w:rsidP="00647943">
            <w:pPr>
              <w:widowControl/>
              <w:jc w:val="right"/>
              <w:rPr>
                <w:rFonts w:cs="Arial"/>
                <w:sz w:val="14"/>
                <w:szCs w:val="14"/>
                <w:lang w:val="en-US" w:bidi="ar-SA"/>
              </w:rPr>
            </w:pPr>
            <w:r w:rsidRPr="008A6C94">
              <w:rPr>
                <w:rFonts w:cs="Arial"/>
                <w:sz w:val="14"/>
                <w:szCs w:val="14"/>
                <w:lang w:val="en-US" w:bidi="ar-SA"/>
              </w:rPr>
              <w:t xml:space="preserve">11880.3 </w:t>
            </w:r>
            <w:r w:rsidRPr="008A6C94">
              <w:rPr>
                <w:rFonts w:cs="Arial"/>
                <w:color w:val="000000"/>
                <w:sz w:val="14"/>
                <w:szCs w:val="14"/>
                <w:lang w:val="en-US" w:bidi="ar-SA"/>
              </w:rPr>
              <w:t xml:space="preserve">± </w:t>
            </w:r>
            <w:r w:rsidRPr="008A6C94">
              <w:rPr>
                <w:rFonts w:cs="Arial"/>
                <w:sz w:val="14"/>
                <w:szCs w:val="14"/>
                <w:lang w:val="en-US" w:bidi="ar-SA"/>
              </w:rPr>
              <w:t>1447.6* (11)</w:t>
            </w:r>
          </w:p>
        </w:tc>
        <w:tc>
          <w:tcPr>
            <w:tcW w:w="1530" w:type="dxa"/>
            <w:noWrap/>
            <w:vAlign w:val="center"/>
          </w:tcPr>
          <w:p w14:paraId="1F4A5530" w14:textId="77777777" w:rsidR="008365BB" w:rsidRPr="008A6C94" w:rsidRDefault="008365BB" w:rsidP="00647943">
            <w:pPr>
              <w:widowControl/>
              <w:jc w:val="right"/>
              <w:rPr>
                <w:rFonts w:cs="Arial"/>
                <w:sz w:val="14"/>
                <w:szCs w:val="14"/>
                <w:lang w:val="en-US" w:bidi="ar-SA"/>
              </w:rPr>
            </w:pPr>
            <w:r w:rsidRPr="008A6C94">
              <w:rPr>
                <w:rFonts w:cs="Arial"/>
                <w:sz w:val="14"/>
                <w:szCs w:val="14"/>
                <w:lang w:val="en-US" w:bidi="ar-SA"/>
              </w:rPr>
              <w:t xml:space="preserve">6083.7 </w:t>
            </w:r>
            <w:r w:rsidRPr="008A6C94">
              <w:rPr>
                <w:rFonts w:cs="Arial"/>
                <w:color w:val="000000"/>
                <w:sz w:val="14"/>
                <w:szCs w:val="14"/>
                <w:lang w:val="en-US" w:bidi="ar-SA"/>
              </w:rPr>
              <w:t xml:space="preserve">± </w:t>
            </w:r>
            <w:r w:rsidRPr="008A6C94">
              <w:rPr>
                <w:rFonts w:cs="Arial"/>
                <w:sz w:val="14"/>
                <w:szCs w:val="14"/>
                <w:lang w:val="en-US" w:bidi="ar-SA"/>
              </w:rPr>
              <w:t>662.6* (11)</w:t>
            </w:r>
          </w:p>
        </w:tc>
        <w:tc>
          <w:tcPr>
            <w:tcW w:w="1891" w:type="dxa"/>
            <w:noWrap/>
            <w:vAlign w:val="center"/>
          </w:tcPr>
          <w:p w14:paraId="01B2E5D6" w14:textId="77777777" w:rsidR="008365BB" w:rsidRPr="008A6C94" w:rsidRDefault="008365BB" w:rsidP="00647943">
            <w:pPr>
              <w:widowControl/>
              <w:jc w:val="right"/>
              <w:rPr>
                <w:rFonts w:cs="Arial"/>
                <w:sz w:val="14"/>
                <w:szCs w:val="14"/>
                <w:lang w:val="en-US" w:bidi="ar-SA"/>
              </w:rPr>
            </w:pPr>
            <w:r w:rsidRPr="008A6C94">
              <w:rPr>
                <w:rFonts w:cs="Arial"/>
                <w:sz w:val="14"/>
                <w:szCs w:val="14"/>
                <w:lang w:val="en-US" w:bidi="ar-SA"/>
              </w:rPr>
              <w:t xml:space="preserve">2025.1 </w:t>
            </w:r>
            <w:r w:rsidRPr="008A6C94">
              <w:rPr>
                <w:rFonts w:cs="Arial"/>
                <w:color w:val="000000"/>
                <w:sz w:val="14"/>
                <w:szCs w:val="14"/>
                <w:lang w:val="en-US" w:bidi="ar-SA"/>
              </w:rPr>
              <w:t xml:space="preserve">± </w:t>
            </w:r>
            <w:r w:rsidRPr="008A6C94">
              <w:rPr>
                <w:rFonts w:cs="Arial"/>
                <w:sz w:val="14"/>
                <w:szCs w:val="14"/>
                <w:lang w:val="en-US" w:bidi="ar-SA"/>
              </w:rPr>
              <w:t>281.9* (11)</w:t>
            </w:r>
          </w:p>
        </w:tc>
      </w:tr>
      <w:tr w:rsidR="008365BB" w:rsidRPr="008A6C94" w14:paraId="60DD5937" w14:textId="77777777" w:rsidTr="00F6284E">
        <w:trPr>
          <w:trHeight w:val="270"/>
        </w:trPr>
        <w:tc>
          <w:tcPr>
            <w:tcW w:w="9361" w:type="dxa"/>
            <w:gridSpan w:val="7"/>
            <w:noWrap/>
            <w:vAlign w:val="center"/>
          </w:tcPr>
          <w:p w14:paraId="1E41E43A" w14:textId="3AF3B810" w:rsidR="008365BB" w:rsidRPr="008A6C94" w:rsidRDefault="00003D0D" w:rsidP="00647943">
            <w:pPr>
              <w:widowControl/>
              <w:rPr>
                <w:rFonts w:cs="Arial"/>
                <w:sz w:val="14"/>
                <w:szCs w:val="14"/>
                <w:lang w:val="en-US" w:bidi="ar-SA"/>
              </w:rPr>
            </w:pPr>
            <w:r w:rsidRPr="00D711DD">
              <w:rPr>
                <w:b/>
                <w:i/>
                <w:sz w:val="16"/>
                <w:lang w:val="en-US"/>
              </w:rPr>
              <w:t>Calculated Blood Burden (ng)</w:t>
            </w:r>
          </w:p>
        </w:tc>
      </w:tr>
      <w:tr w:rsidR="008365BB" w:rsidRPr="008A6C94" w14:paraId="193B875E" w14:textId="77777777" w:rsidTr="00F6284E">
        <w:trPr>
          <w:trHeight w:val="270"/>
        </w:trPr>
        <w:tc>
          <w:tcPr>
            <w:tcW w:w="1260" w:type="dxa"/>
            <w:noWrap/>
            <w:vAlign w:val="center"/>
          </w:tcPr>
          <w:p w14:paraId="26B46C26" w14:textId="77777777" w:rsidR="008365BB" w:rsidRPr="00D711DD" w:rsidRDefault="008365BB" w:rsidP="00A111E9">
            <w:pPr>
              <w:widowControl/>
              <w:rPr>
                <w:sz w:val="16"/>
                <w:lang w:val="en-US"/>
              </w:rPr>
            </w:pPr>
            <w:r w:rsidRPr="00D711DD">
              <w:rPr>
                <w:sz w:val="16"/>
                <w:lang w:val="en-US"/>
              </w:rPr>
              <w:t>Control</w:t>
            </w:r>
          </w:p>
        </w:tc>
        <w:tc>
          <w:tcPr>
            <w:tcW w:w="1710" w:type="dxa"/>
            <w:noWrap/>
            <w:vAlign w:val="center"/>
          </w:tcPr>
          <w:p w14:paraId="72A5A71F" w14:textId="77777777" w:rsidR="008365BB" w:rsidRPr="008A6C94" w:rsidRDefault="008365BB" w:rsidP="00647943">
            <w:pPr>
              <w:widowControl/>
              <w:jc w:val="right"/>
              <w:rPr>
                <w:rFonts w:cs="Arial"/>
                <w:sz w:val="14"/>
                <w:szCs w:val="14"/>
                <w:lang w:val="en-US" w:bidi="ar-SA"/>
              </w:rPr>
            </w:pPr>
            <w:r w:rsidRPr="008A6C94">
              <w:rPr>
                <w:rFonts w:cs="Arial"/>
                <w:sz w:val="14"/>
                <w:szCs w:val="14"/>
                <w:lang w:val="en-US" w:bidi="ar-SA"/>
              </w:rPr>
              <w:t xml:space="preserve">1.3 </w:t>
            </w:r>
            <w:r w:rsidRPr="008A6C94">
              <w:rPr>
                <w:rFonts w:cs="Arial"/>
                <w:color w:val="000000"/>
                <w:sz w:val="14"/>
                <w:szCs w:val="14"/>
                <w:lang w:val="en-US" w:bidi="ar-SA"/>
              </w:rPr>
              <w:t xml:space="preserve">± </w:t>
            </w:r>
            <w:r w:rsidRPr="008A6C94">
              <w:rPr>
                <w:rFonts w:cs="Arial"/>
                <w:sz w:val="14"/>
                <w:szCs w:val="14"/>
                <w:lang w:val="en-US" w:bidi="ar-SA"/>
              </w:rPr>
              <w:t>0.38 (4)</w:t>
            </w:r>
          </w:p>
        </w:tc>
        <w:tc>
          <w:tcPr>
            <w:tcW w:w="1286" w:type="dxa"/>
            <w:noWrap/>
            <w:vAlign w:val="center"/>
          </w:tcPr>
          <w:p w14:paraId="58094EBD" w14:textId="77777777" w:rsidR="008365BB" w:rsidRPr="008A6C94" w:rsidRDefault="008365BB" w:rsidP="00647943">
            <w:pPr>
              <w:widowControl/>
              <w:jc w:val="right"/>
              <w:rPr>
                <w:rFonts w:cs="Arial"/>
                <w:sz w:val="14"/>
                <w:szCs w:val="14"/>
                <w:lang w:val="en-US" w:bidi="ar-SA"/>
              </w:rPr>
            </w:pPr>
            <w:r w:rsidRPr="008A6C94">
              <w:rPr>
                <w:rFonts w:cs="Arial"/>
                <w:sz w:val="14"/>
                <w:szCs w:val="14"/>
                <w:lang w:val="en-US" w:bidi="ar-SA"/>
              </w:rPr>
              <w:t xml:space="preserve">0.9 </w:t>
            </w:r>
            <w:r w:rsidRPr="008A6C94">
              <w:rPr>
                <w:rFonts w:cs="Arial"/>
                <w:color w:val="000000"/>
                <w:sz w:val="14"/>
                <w:szCs w:val="14"/>
                <w:lang w:val="en-US" w:bidi="ar-SA"/>
              </w:rPr>
              <w:t xml:space="preserve">± </w:t>
            </w:r>
            <w:r w:rsidRPr="008A6C94">
              <w:rPr>
                <w:rFonts w:cs="Arial"/>
                <w:sz w:val="14"/>
                <w:szCs w:val="14"/>
                <w:lang w:val="en-US" w:bidi="ar-SA"/>
              </w:rPr>
              <w:t>0.1 (2)</w:t>
            </w:r>
          </w:p>
        </w:tc>
        <w:tc>
          <w:tcPr>
            <w:tcW w:w="1684" w:type="dxa"/>
            <w:gridSpan w:val="2"/>
            <w:noWrap/>
            <w:vAlign w:val="center"/>
          </w:tcPr>
          <w:p w14:paraId="781E99E0" w14:textId="77777777" w:rsidR="008365BB" w:rsidRPr="008A6C94" w:rsidRDefault="008365BB" w:rsidP="00647943">
            <w:pPr>
              <w:widowControl/>
              <w:jc w:val="right"/>
              <w:rPr>
                <w:rFonts w:cs="Arial"/>
                <w:sz w:val="14"/>
                <w:szCs w:val="14"/>
                <w:lang w:val="en-US" w:bidi="ar-SA"/>
              </w:rPr>
            </w:pPr>
            <w:r w:rsidRPr="008A6C94">
              <w:rPr>
                <w:rFonts w:cs="Arial"/>
                <w:sz w:val="14"/>
                <w:szCs w:val="14"/>
                <w:lang w:val="en-US" w:bidi="ar-SA"/>
              </w:rPr>
              <w:t xml:space="preserve">1.5 </w:t>
            </w:r>
            <w:r w:rsidRPr="008A6C94">
              <w:rPr>
                <w:rFonts w:cs="Arial"/>
                <w:color w:val="000000"/>
                <w:sz w:val="14"/>
                <w:szCs w:val="14"/>
                <w:lang w:val="en-US" w:bidi="ar-SA"/>
              </w:rPr>
              <w:t xml:space="preserve">± </w:t>
            </w:r>
            <w:r w:rsidRPr="008A6C94">
              <w:rPr>
                <w:rFonts w:cs="Arial"/>
                <w:sz w:val="14"/>
                <w:szCs w:val="14"/>
                <w:lang w:val="en-US" w:bidi="ar-SA"/>
              </w:rPr>
              <w:t>0.4 (5)</w:t>
            </w:r>
          </w:p>
        </w:tc>
        <w:tc>
          <w:tcPr>
            <w:tcW w:w="1530" w:type="dxa"/>
            <w:noWrap/>
            <w:vAlign w:val="center"/>
          </w:tcPr>
          <w:p w14:paraId="490211D2" w14:textId="77777777" w:rsidR="008365BB" w:rsidRPr="008A6C94" w:rsidRDefault="008365BB" w:rsidP="00647943">
            <w:pPr>
              <w:widowControl/>
              <w:jc w:val="right"/>
              <w:rPr>
                <w:rFonts w:cs="Arial"/>
                <w:sz w:val="14"/>
                <w:szCs w:val="14"/>
                <w:lang w:val="en-US" w:bidi="ar-SA"/>
              </w:rPr>
            </w:pPr>
            <w:r w:rsidRPr="008A6C94">
              <w:rPr>
                <w:rFonts w:cs="Arial"/>
                <w:sz w:val="14"/>
                <w:szCs w:val="14"/>
                <w:lang w:val="en-US" w:bidi="ar-SA"/>
              </w:rPr>
              <w:t xml:space="preserve">2.7 </w:t>
            </w:r>
            <w:r w:rsidRPr="008A6C94">
              <w:rPr>
                <w:rFonts w:cs="Arial"/>
                <w:color w:val="000000"/>
                <w:sz w:val="14"/>
                <w:szCs w:val="14"/>
                <w:lang w:val="en-US" w:bidi="ar-SA"/>
              </w:rPr>
              <w:t xml:space="preserve">± </w:t>
            </w:r>
            <w:r w:rsidRPr="008A6C94">
              <w:rPr>
                <w:rFonts w:cs="Arial"/>
                <w:sz w:val="14"/>
                <w:szCs w:val="14"/>
                <w:lang w:val="en-US" w:bidi="ar-SA"/>
              </w:rPr>
              <w:t>0.7 (8)</w:t>
            </w:r>
          </w:p>
        </w:tc>
        <w:tc>
          <w:tcPr>
            <w:tcW w:w="1891" w:type="dxa"/>
            <w:noWrap/>
            <w:vAlign w:val="center"/>
          </w:tcPr>
          <w:p w14:paraId="6F729142" w14:textId="77777777" w:rsidR="008365BB" w:rsidRPr="008A6C94" w:rsidRDefault="008365BB" w:rsidP="00647943">
            <w:pPr>
              <w:widowControl/>
              <w:jc w:val="right"/>
              <w:rPr>
                <w:rFonts w:cs="Arial"/>
                <w:sz w:val="14"/>
                <w:szCs w:val="14"/>
                <w:lang w:val="en-US" w:bidi="ar-SA"/>
              </w:rPr>
            </w:pPr>
            <w:r w:rsidRPr="008A6C94">
              <w:rPr>
                <w:rFonts w:cs="Arial"/>
                <w:sz w:val="14"/>
                <w:szCs w:val="14"/>
                <w:lang w:val="en-US" w:bidi="ar-SA"/>
              </w:rPr>
              <w:t xml:space="preserve">1.2 </w:t>
            </w:r>
            <w:r w:rsidRPr="008A6C94">
              <w:rPr>
                <w:rFonts w:cs="Arial"/>
                <w:color w:val="000000"/>
                <w:sz w:val="14"/>
                <w:szCs w:val="14"/>
                <w:lang w:val="en-US" w:bidi="ar-SA"/>
              </w:rPr>
              <w:t xml:space="preserve">± </w:t>
            </w:r>
            <w:r w:rsidRPr="008A6C94">
              <w:rPr>
                <w:rFonts w:cs="Arial"/>
                <w:sz w:val="14"/>
                <w:szCs w:val="14"/>
                <w:lang w:val="en-US" w:bidi="ar-SA"/>
              </w:rPr>
              <w:t>0.6 (7)</w:t>
            </w:r>
          </w:p>
        </w:tc>
      </w:tr>
      <w:tr w:rsidR="008365BB" w:rsidRPr="008A6C94" w14:paraId="599ACB40" w14:textId="77777777" w:rsidTr="00F6284E">
        <w:trPr>
          <w:trHeight w:val="255"/>
        </w:trPr>
        <w:tc>
          <w:tcPr>
            <w:tcW w:w="1260" w:type="dxa"/>
            <w:noWrap/>
            <w:vAlign w:val="center"/>
          </w:tcPr>
          <w:p w14:paraId="1BC4D454" w14:textId="77777777" w:rsidR="008365BB" w:rsidRPr="00D711DD" w:rsidRDefault="008365BB" w:rsidP="00A111E9">
            <w:pPr>
              <w:widowControl/>
              <w:rPr>
                <w:sz w:val="16"/>
                <w:lang w:val="en-US"/>
              </w:rPr>
            </w:pPr>
            <w:r w:rsidRPr="00D711DD">
              <w:rPr>
                <w:sz w:val="16"/>
                <w:lang w:val="en-US"/>
              </w:rPr>
              <w:t>0.01 mg/kg</w:t>
            </w:r>
          </w:p>
        </w:tc>
        <w:tc>
          <w:tcPr>
            <w:tcW w:w="1710" w:type="dxa"/>
            <w:noWrap/>
            <w:vAlign w:val="center"/>
          </w:tcPr>
          <w:p w14:paraId="69125050" w14:textId="77777777" w:rsidR="008365BB" w:rsidRPr="008A6C94" w:rsidRDefault="008365BB" w:rsidP="00647943">
            <w:pPr>
              <w:widowControl/>
              <w:jc w:val="right"/>
              <w:rPr>
                <w:rFonts w:cs="Arial"/>
                <w:sz w:val="14"/>
                <w:szCs w:val="14"/>
                <w:lang w:val="en-US" w:bidi="ar-SA"/>
              </w:rPr>
            </w:pPr>
            <w:r w:rsidRPr="008A6C94">
              <w:rPr>
                <w:rFonts w:cs="Arial"/>
                <w:sz w:val="14"/>
                <w:szCs w:val="14"/>
                <w:lang w:val="en-US" w:bidi="ar-SA"/>
              </w:rPr>
              <w:t xml:space="preserve">15.2 </w:t>
            </w:r>
            <w:r w:rsidRPr="008A6C94">
              <w:rPr>
                <w:rFonts w:cs="Arial"/>
                <w:color w:val="000000"/>
                <w:sz w:val="14"/>
                <w:szCs w:val="14"/>
                <w:lang w:val="en-US" w:bidi="ar-SA"/>
              </w:rPr>
              <w:t xml:space="preserve">± </w:t>
            </w:r>
            <w:r w:rsidRPr="008A6C94">
              <w:rPr>
                <w:rFonts w:cs="Arial"/>
                <w:sz w:val="14"/>
                <w:szCs w:val="14"/>
                <w:lang w:val="en-US" w:bidi="ar-SA"/>
              </w:rPr>
              <w:t>1.7* (3)</w:t>
            </w:r>
          </w:p>
        </w:tc>
        <w:tc>
          <w:tcPr>
            <w:tcW w:w="1286" w:type="dxa"/>
            <w:noWrap/>
            <w:vAlign w:val="center"/>
          </w:tcPr>
          <w:p w14:paraId="7E9FF6EF" w14:textId="77777777" w:rsidR="008365BB" w:rsidRPr="008A6C94" w:rsidRDefault="008365BB" w:rsidP="00647943">
            <w:pPr>
              <w:widowControl/>
              <w:jc w:val="right"/>
              <w:rPr>
                <w:rFonts w:cs="Arial"/>
                <w:sz w:val="14"/>
                <w:szCs w:val="14"/>
                <w:lang w:val="en-US" w:bidi="ar-SA"/>
              </w:rPr>
            </w:pPr>
            <w:r w:rsidRPr="008A6C94">
              <w:rPr>
                <w:rFonts w:cs="Arial"/>
                <w:sz w:val="14"/>
                <w:szCs w:val="14"/>
                <w:lang w:val="en-US" w:bidi="ar-SA"/>
              </w:rPr>
              <w:t xml:space="preserve">20.6 </w:t>
            </w:r>
            <w:r w:rsidRPr="008A6C94">
              <w:rPr>
                <w:rFonts w:cs="Arial"/>
                <w:color w:val="000000"/>
                <w:sz w:val="14"/>
                <w:szCs w:val="14"/>
                <w:lang w:val="en-US" w:bidi="ar-SA"/>
              </w:rPr>
              <w:t xml:space="preserve">± </w:t>
            </w:r>
            <w:r w:rsidRPr="008A6C94">
              <w:rPr>
                <w:rFonts w:cs="Arial"/>
                <w:sz w:val="14"/>
                <w:szCs w:val="14"/>
                <w:lang w:val="en-US" w:bidi="ar-SA"/>
              </w:rPr>
              <w:t>0.1* (2)</w:t>
            </w:r>
          </w:p>
        </w:tc>
        <w:tc>
          <w:tcPr>
            <w:tcW w:w="1684" w:type="dxa"/>
            <w:gridSpan w:val="2"/>
            <w:noWrap/>
            <w:vAlign w:val="center"/>
          </w:tcPr>
          <w:p w14:paraId="59D121EA" w14:textId="77777777" w:rsidR="008365BB" w:rsidRPr="008A6C94" w:rsidRDefault="008365BB" w:rsidP="00647943">
            <w:pPr>
              <w:widowControl/>
              <w:jc w:val="right"/>
              <w:rPr>
                <w:rFonts w:cs="Arial"/>
                <w:sz w:val="14"/>
                <w:szCs w:val="14"/>
                <w:lang w:val="en-US" w:bidi="ar-SA"/>
              </w:rPr>
            </w:pPr>
            <w:r w:rsidRPr="008A6C94">
              <w:rPr>
                <w:rFonts w:cs="Arial"/>
                <w:sz w:val="14"/>
                <w:szCs w:val="14"/>
                <w:lang w:val="en-US" w:bidi="ar-SA"/>
              </w:rPr>
              <w:t xml:space="preserve">27.3 </w:t>
            </w:r>
            <w:r w:rsidRPr="008A6C94">
              <w:rPr>
                <w:rFonts w:cs="Arial"/>
                <w:color w:val="000000"/>
                <w:sz w:val="14"/>
                <w:szCs w:val="14"/>
                <w:lang w:val="en-US" w:bidi="ar-SA"/>
              </w:rPr>
              <w:t xml:space="preserve">± </w:t>
            </w:r>
            <w:r w:rsidRPr="008A6C94">
              <w:rPr>
                <w:rFonts w:cs="Arial"/>
                <w:sz w:val="14"/>
                <w:szCs w:val="14"/>
                <w:lang w:val="en-US" w:bidi="ar-SA"/>
              </w:rPr>
              <w:t>3.8* (7)</w:t>
            </w:r>
          </w:p>
        </w:tc>
        <w:tc>
          <w:tcPr>
            <w:tcW w:w="1530" w:type="dxa"/>
            <w:noWrap/>
            <w:vAlign w:val="center"/>
          </w:tcPr>
          <w:p w14:paraId="470EE7D9" w14:textId="77777777" w:rsidR="008365BB" w:rsidRPr="008A6C94" w:rsidRDefault="008365BB" w:rsidP="00647943">
            <w:pPr>
              <w:widowControl/>
              <w:jc w:val="right"/>
              <w:rPr>
                <w:rFonts w:cs="Arial"/>
                <w:sz w:val="14"/>
                <w:szCs w:val="14"/>
                <w:lang w:val="en-US" w:bidi="ar-SA"/>
              </w:rPr>
            </w:pPr>
            <w:r w:rsidRPr="008A6C94">
              <w:rPr>
                <w:rFonts w:cs="Arial"/>
                <w:sz w:val="14"/>
                <w:szCs w:val="14"/>
                <w:lang w:val="en-US" w:bidi="ar-SA"/>
              </w:rPr>
              <w:t xml:space="preserve">27.0 </w:t>
            </w:r>
            <w:r w:rsidRPr="008A6C94">
              <w:rPr>
                <w:rFonts w:cs="Arial"/>
                <w:color w:val="000000"/>
                <w:sz w:val="14"/>
                <w:szCs w:val="14"/>
                <w:lang w:val="en-US" w:bidi="ar-SA"/>
              </w:rPr>
              <w:t xml:space="preserve">± </w:t>
            </w:r>
            <w:r w:rsidRPr="008A6C94">
              <w:rPr>
                <w:rFonts w:cs="Arial"/>
                <w:sz w:val="14"/>
                <w:szCs w:val="14"/>
                <w:lang w:val="en-US" w:bidi="ar-SA"/>
              </w:rPr>
              <w:t>4.6* (8)</w:t>
            </w:r>
          </w:p>
        </w:tc>
        <w:tc>
          <w:tcPr>
            <w:tcW w:w="1891" w:type="dxa"/>
            <w:noWrap/>
            <w:vAlign w:val="center"/>
          </w:tcPr>
          <w:p w14:paraId="21E14182" w14:textId="77777777" w:rsidR="008365BB" w:rsidRPr="008A6C94" w:rsidRDefault="008365BB" w:rsidP="00647943">
            <w:pPr>
              <w:widowControl/>
              <w:jc w:val="right"/>
              <w:rPr>
                <w:rFonts w:cs="Arial"/>
                <w:sz w:val="14"/>
                <w:szCs w:val="14"/>
                <w:lang w:val="en-US" w:bidi="ar-SA"/>
              </w:rPr>
            </w:pPr>
            <w:r w:rsidRPr="008A6C94">
              <w:rPr>
                <w:rFonts w:cs="Arial"/>
                <w:sz w:val="14"/>
                <w:szCs w:val="14"/>
                <w:lang w:val="en-US" w:bidi="ar-SA"/>
              </w:rPr>
              <w:t xml:space="preserve">7.9 </w:t>
            </w:r>
            <w:r w:rsidRPr="008A6C94">
              <w:rPr>
                <w:rFonts w:cs="Arial"/>
                <w:color w:val="000000"/>
                <w:sz w:val="14"/>
                <w:szCs w:val="14"/>
                <w:lang w:val="en-US" w:bidi="ar-SA"/>
              </w:rPr>
              <w:t xml:space="preserve">± </w:t>
            </w:r>
            <w:r w:rsidRPr="008A6C94">
              <w:rPr>
                <w:rFonts w:cs="Arial"/>
                <w:sz w:val="14"/>
                <w:szCs w:val="14"/>
                <w:lang w:val="en-US" w:bidi="ar-SA"/>
              </w:rPr>
              <w:t>1.0* (10)</w:t>
            </w:r>
          </w:p>
        </w:tc>
      </w:tr>
      <w:tr w:rsidR="008365BB" w:rsidRPr="008A6C94" w14:paraId="642161B5" w14:textId="77777777" w:rsidTr="00F6284E">
        <w:trPr>
          <w:trHeight w:val="255"/>
        </w:trPr>
        <w:tc>
          <w:tcPr>
            <w:tcW w:w="1260" w:type="dxa"/>
            <w:noWrap/>
            <w:vAlign w:val="center"/>
          </w:tcPr>
          <w:p w14:paraId="22744AD7" w14:textId="77777777" w:rsidR="008365BB" w:rsidRPr="00D711DD" w:rsidRDefault="008365BB" w:rsidP="00A111E9">
            <w:pPr>
              <w:widowControl/>
              <w:rPr>
                <w:sz w:val="16"/>
                <w:lang w:val="en-US"/>
              </w:rPr>
            </w:pPr>
            <w:r w:rsidRPr="00D711DD">
              <w:rPr>
                <w:sz w:val="16"/>
                <w:lang w:val="en-US"/>
              </w:rPr>
              <w:t>0.1 mg/kg</w:t>
            </w:r>
          </w:p>
        </w:tc>
        <w:tc>
          <w:tcPr>
            <w:tcW w:w="1710" w:type="dxa"/>
            <w:noWrap/>
            <w:vAlign w:val="center"/>
          </w:tcPr>
          <w:p w14:paraId="6267E5DB" w14:textId="77777777" w:rsidR="008365BB" w:rsidRPr="008A6C94" w:rsidRDefault="008365BB" w:rsidP="00647943">
            <w:pPr>
              <w:widowControl/>
              <w:jc w:val="right"/>
              <w:rPr>
                <w:rFonts w:cs="Arial"/>
                <w:sz w:val="14"/>
                <w:szCs w:val="14"/>
                <w:lang w:val="en-US" w:bidi="ar-SA"/>
              </w:rPr>
            </w:pPr>
            <w:r w:rsidRPr="008A6C94">
              <w:rPr>
                <w:rFonts w:cs="Arial"/>
                <w:sz w:val="14"/>
                <w:szCs w:val="14"/>
                <w:lang w:val="en-US" w:bidi="ar-SA"/>
              </w:rPr>
              <w:t xml:space="preserve">114.3 </w:t>
            </w:r>
            <w:r w:rsidRPr="008A6C94">
              <w:rPr>
                <w:rFonts w:cs="Arial"/>
                <w:color w:val="000000"/>
                <w:sz w:val="14"/>
                <w:szCs w:val="14"/>
                <w:lang w:val="en-US" w:bidi="ar-SA"/>
              </w:rPr>
              <w:t xml:space="preserve">± </w:t>
            </w:r>
            <w:r w:rsidRPr="008A6C94">
              <w:rPr>
                <w:rFonts w:cs="Arial"/>
                <w:sz w:val="14"/>
                <w:szCs w:val="14"/>
                <w:lang w:val="en-US" w:bidi="ar-SA"/>
              </w:rPr>
              <w:t>5.4* (2)</w:t>
            </w:r>
          </w:p>
        </w:tc>
        <w:tc>
          <w:tcPr>
            <w:tcW w:w="1286" w:type="dxa"/>
            <w:noWrap/>
            <w:vAlign w:val="center"/>
          </w:tcPr>
          <w:p w14:paraId="46E9F4E6" w14:textId="77777777" w:rsidR="008365BB" w:rsidRPr="008A6C94" w:rsidRDefault="008365BB" w:rsidP="00647943">
            <w:pPr>
              <w:widowControl/>
              <w:jc w:val="right"/>
              <w:rPr>
                <w:rFonts w:cs="Arial"/>
                <w:sz w:val="14"/>
                <w:szCs w:val="14"/>
                <w:lang w:val="en-US" w:bidi="ar-SA"/>
              </w:rPr>
            </w:pPr>
            <w:r w:rsidRPr="008A6C94">
              <w:rPr>
                <w:rFonts w:cs="Arial"/>
                <w:color w:val="000000"/>
                <w:sz w:val="14"/>
                <w:szCs w:val="14"/>
                <w:lang w:val="en-US" w:bidi="ar-SA"/>
              </w:rPr>
              <w:t>-</w:t>
            </w:r>
          </w:p>
        </w:tc>
        <w:tc>
          <w:tcPr>
            <w:tcW w:w="1684" w:type="dxa"/>
            <w:gridSpan w:val="2"/>
            <w:noWrap/>
            <w:vAlign w:val="center"/>
          </w:tcPr>
          <w:p w14:paraId="1864FC71" w14:textId="77777777" w:rsidR="008365BB" w:rsidRPr="008A6C94" w:rsidRDefault="008365BB" w:rsidP="00647943">
            <w:pPr>
              <w:widowControl/>
              <w:jc w:val="right"/>
              <w:rPr>
                <w:rFonts w:cs="Arial"/>
                <w:sz w:val="14"/>
                <w:szCs w:val="14"/>
                <w:lang w:val="en-US" w:bidi="ar-SA"/>
              </w:rPr>
            </w:pPr>
            <w:r w:rsidRPr="008A6C94">
              <w:rPr>
                <w:rFonts w:cs="Arial"/>
                <w:sz w:val="14"/>
                <w:szCs w:val="14"/>
                <w:lang w:val="en-US" w:bidi="ar-SA"/>
              </w:rPr>
              <w:t xml:space="preserve">221.7 </w:t>
            </w:r>
            <w:r w:rsidRPr="008A6C94">
              <w:rPr>
                <w:rFonts w:cs="Arial"/>
                <w:color w:val="000000"/>
                <w:sz w:val="14"/>
                <w:szCs w:val="14"/>
                <w:lang w:val="en-US" w:bidi="ar-SA"/>
              </w:rPr>
              <w:t xml:space="preserve">± </w:t>
            </w:r>
            <w:r w:rsidRPr="008A6C94">
              <w:rPr>
                <w:rFonts w:cs="Arial"/>
                <w:sz w:val="14"/>
                <w:szCs w:val="14"/>
                <w:lang w:val="en-US" w:bidi="ar-SA"/>
              </w:rPr>
              <w:t>24.9* (8)</w:t>
            </w:r>
          </w:p>
        </w:tc>
        <w:tc>
          <w:tcPr>
            <w:tcW w:w="1530" w:type="dxa"/>
            <w:noWrap/>
            <w:vAlign w:val="center"/>
          </w:tcPr>
          <w:p w14:paraId="75352934" w14:textId="77777777" w:rsidR="008365BB" w:rsidRPr="008A6C94" w:rsidRDefault="008365BB" w:rsidP="00647943">
            <w:pPr>
              <w:widowControl/>
              <w:jc w:val="right"/>
              <w:rPr>
                <w:rFonts w:cs="Arial"/>
                <w:sz w:val="14"/>
                <w:szCs w:val="14"/>
                <w:lang w:val="en-US" w:bidi="ar-SA"/>
              </w:rPr>
            </w:pPr>
            <w:r w:rsidRPr="008A6C94">
              <w:rPr>
                <w:rFonts w:cs="Arial"/>
                <w:sz w:val="14"/>
                <w:szCs w:val="14"/>
                <w:lang w:val="en-US" w:bidi="ar-SA"/>
              </w:rPr>
              <w:t xml:space="preserve">218.5 </w:t>
            </w:r>
            <w:r w:rsidRPr="008A6C94">
              <w:rPr>
                <w:rFonts w:cs="Arial"/>
                <w:color w:val="000000"/>
                <w:sz w:val="14"/>
                <w:szCs w:val="14"/>
                <w:lang w:val="en-US" w:bidi="ar-SA"/>
              </w:rPr>
              <w:t xml:space="preserve">± </w:t>
            </w:r>
            <w:r w:rsidRPr="008A6C94">
              <w:rPr>
                <w:rFonts w:cs="Arial"/>
                <w:sz w:val="14"/>
                <w:szCs w:val="14"/>
                <w:lang w:val="en-US" w:bidi="ar-SA"/>
              </w:rPr>
              <w:t>39.8* (7)</w:t>
            </w:r>
          </w:p>
        </w:tc>
        <w:tc>
          <w:tcPr>
            <w:tcW w:w="1891" w:type="dxa"/>
            <w:noWrap/>
            <w:vAlign w:val="center"/>
          </w:tcPr>
          <w:p w14:paraId="137AABE6" w14:textId="77777777" w:rsidR="008365BB" w:rsidRPr="008A6C94" w:rsidRDefault="008365BB" w:rsidP="00647943">
            <w:pPr>
              <w:widowControl/>
              <w:jc w:val="right"/>
              <w:rPr>
                <w:rFonts w:cs="Arial"/>
                <w:sz w:val="14"/>
                <w:szCs w:val="14"/>
                <w:lang w:val="en-US" w:bidi="ar-SA"/>
              </w:rPr>
            </w:pPr>
            <w:r w:rsidRPr="008A6C94">
              <w:rPr>
                <w:rFonts w:cs="Arial"/>
                <w:sz w:val="14"/>
                <w:szCs w:val="14"/>
                <w:lang w:val="en-US" w:bidi="ar-SA"/>
              </w:rPr>
              <w:t xml:space="preserve">66.4 </w:t>
            </w:r>
            <w:r w:rsidRPr="008A6C94">
              <w:rPr>
                <w:rFonts w:cs="Arial"/>
                <w:color w:val="000000"/>
                <w:sz w:val="14"/>
                <w:szCs w:val="14"/>
                <w:lang w:val="en-US" w:bidi="ar-SA"/>
              </w:rPr>
              <w:t xml:space="preserve">± </w:t>
            </w:r>
            <w:r w:rsidRPr="008A6C94">
              <w:rPr>
                <w:rFonts w:cs="Arial"/>
                <w:sz w:val="14"/>
                <w:szCs w:val="14"/>
                <w:lang w:val="en-US" w:bidi="ar-SA"/>
              </w:rPr>
              <w:t>12.8* (7)</w:t>
            </w:r>
          </w:p>
        </w:tc>
      </w:tr>
      <w:tr w:rsidR="008365BB" w:rsidRPr="008A6C94" w14:paraId="5080E300" w14:textId="77777777" w:rsidTr="00F6284E">
        <w:trPr>
          <w:trHeight w:val="255"/>
        </w:trPr>
        <w:tc>
          <w:tcPr>
            <w:tcW w:w="1260" w:type="dxa"/>
            <w:noWrap/>
            <w:vAlign w:val="center"/>
          </w:tcPr>
          <w:p w14:paraId="6FAE3DB5" w14:textId="77777777" w:rsidR="008365BB" w:rsidRPr="00D711DD" w:rsidRDefault="008365BB" w:rsidP="00A111E9">
            <w:pPr>
              <w:widowControl/>
              <w:rPr>
                <w:sz w:val="16"/>
                <w:lang w:val="en-US"/>
              </w:rPr>
            </w:pPr>
            <w:r w:rsidRPr="00D711DD">
              <w:rPr>
                <w:sz w:val="16"/>
                <w:lang w:val="en-US"/>
              </w:rPr>
              <w:t>1.0 mg/kg</w:t>
            </w:r>
          </w:p>
        </w:tc>
        <w:tc>
          <w:tcPr>
            <w:tcW w:w="1710" w:type="dxa"/>
            <w:noWrap/>
            <w:vAlign w:val="center"/>
          </w:tcPr>
          <w:p w14:paraId="0A824A9C" w14:textId="77777777" w:rsidR="008365BB" w:rsidRPr="008A6C94" w:rsidRDefault="008365BB" w:rsidP="00647943">
            <w:pPr>
              <w:widowControl/>
              <w:ind w:right="-108"/>
              <w:jc w:val="right"/>
              <w:rPr>
                <w:rFonts w:cs="Arial"/>
                <w:sz w:val="14"/>
                <w:szCs w:val="14"/>
                <w:lang w:val="en-US" w:bidi="ar-SA"/>
              </w:rPr>
            </w:pPr>
            <w:r w:rsidRPr="008A6C94">
              <w:rPr>
                <w:rFonts w:cs="Arial"/>
                <w:sz w:val="14"/>
                <w:szCs w:val="14"/>
                <w:lang w:val="en-US" w:bidi="ar-SA"/>
              </w:rPr>
              <w:t xml:space="preserve">926.0 </w:t>
            </w:r>
            <w:r w:rsidRPr="008A6C94">
              <w:rPr>
                <w:rFonts w:cs="Arial"/>
                <w:color w:val="000000"/>
                <w:sz w:val="14"/>
                <w:szCs w:val="14"/>
                <w:lang w:val="en-US" w:bidi="ar-SA"/>
              </w:rPr>
              <w:t xml:space="preserve">± </w:t>
            </w:r>
            <w:r w:rsidRPr="008A6C94">
              <w:rPr>
                <w:rFonts w:cs="Arial"/>
                <w:sz w:val="14"/>
                <w:szCs w:val="14"/>
                <w:lang w:val="en-US" w:bidi="ar-SA"/>
              </w:rPr>
              <w:t>47.6* (7)</w:t>
            </w:r>
          </w:p>
        </w:tc>
        <w:tc>
          <w:tcPr>
            <w:tcW w:w="1296" w:type="dxa"/>
            <w:gridSpan w:val="2"/>
            <w:vAlign w:val="center"/>
          </w:tcPr>
          <w:p w14:paraId="4374EDE8" w14:textId="77777777" w:rsidR="008365BB" w:rsidRPr="008A6C94" w:rsidRDefault="008365BB" w:rsidP="00647943">
            <w:pPr>
              <w:widowControl/>
              <w:jc w:val="right"/>
              <w:rPr>
                <w:rFonts w:cs="Arial"/>
                <w:sz w:val="14"/>
                <w:szCs w:val="14"/>
                <w:lang w:val="en-US" w:bidi="ar-SA"/>
              </w:rPr>
            </w:pPr>
            <w:r w:rsidRPr="008A6C94">
              <w:rPr>
                <w:rFonts w:cs="Arial"/>
                <w:color w:val="000000"/>
                <w:sz w:val="14"/>
                <w:szCs w:val="14"/>
                <w:lang w:val="en-US" w:bidi="ar-SA"/>
              </w:rPr>
              <w:t>-</w:t>
            </w:r>
          </w:p>
        </w:tc>
        <w:tc>
          <w:tcPr>
            <w:tcW w:w="1674" w:type="dxa"/>
            <w:noWrap/>
            <w:vAlign w:val="center"/>
          </w:tcPr>
          <w:p w14:paraId="77D7AFB3" w14:textId="77777777" w:rsidR="008365BB" w:rsidRPr="008A6C94" w:rsidRDefault="008365BB" w:rsidP="00647943">
            <w:pPr>
              <w:widowControl/>
              <w:jc w:val="right"/>
              <w:rPr>
                <w:rFonts w:cs="Arial"/>
                <w:sz w:val="14"/>
                <w:szCs w:val="14"/>
                <w:lang w:val="en-US" w:bidi="ar-SA"/>
              </w:rPr>
            </w:pPr>
            <w:r w:rsidRPr="008A6C94">
              <w:rPr>
                <w:rFonts w:cs="Arial"/>
                <w:sz w:val="14"/>
                <w:szCs w:val="14"/>
                <w:lang w:val="en-US" w:bidi="ar-SA"/>
              </w:rPr>
              <w:t xml:space="preserve">1965.9 </w:t>
            </w:r>
            <w:r w:rsidRPr="008A6C94">
              <w:rPr>
                <w:rFonts w:cs="Arial"/>
                <w:color w:val="000000"/>
                <w:sz w:val="14"/>
                <w:szCs w:val="14"/>
                <w:lang w:val="en-US" w:bidi="ar-SA"/>
              </w:rPr>
              <w:t xml:space="preserve">± </w:t>
            </w:r>
            <w:r w:rsidRPr="008A6C94">
              <w:rPr>
                <w:rFonts w:cs="Arial"/>
                <w:sz w:val="14"/>
                <w:szCs w:val="14"/>
                <w:lang w:val="en-US" w:bidi="ar-SA"/>
              </w:rPr>
              <w:t>256.7* (11)</w:t>
            </w:r>
          </w:p>
        </w:tc>
        <w:tc>
          <w:tcPr>
            <w:tcW w:w="1530" w:type="dxa"/>
            <w:noWrap/>
            <w:vAlign w:val="center"/>
          </w:tcPr>
          <w:p w14:paraId="287C5EBD" w14:textId="77777777" w:rsidR="008365BB" w:rsidRPr="008A6C94" w:rsidRDefault="008365BB" w:rsidP="00647943">
            <w:pPr>
              <w:widowControl/>
              <w:jc w:val="right"/>
              <w:rPr>
                <w:rFonts w:cs="Arial"/>
                <w:sz w:val="14"/>
                <w:szCs w:val="14"/>
                <w:lang w:val="en-US" w:bidi="ar-SA"/>
              </w:rPr>
            </w:pPr>
            <w:r w:rsidRPr="008A6C94">
              <w:rPr>
                <w:rFonts w:cs="Arial"/>
                <w:sz w:val="14"/>
                <w:szCs w:val="14"/>
                <w:lang w:val="en-US" w:bidi="ar-SA"/>
              </w:rPr>
              <w:t xml:space="preserve">2033.6 </w:t>
            </w:r>
            <w:r w:rsidRPr="008A6C94">
              <w:rPr>
                <w:rFonts w:cs="Arial"/>
                <w:color w:val="000000"/>
                <w:sz w:val="14"/>
                <w:szCs w:val="14"/>
                <w:lang w:val="en-US" w:bidi="ar-SA"/>
              </w:rPr>
              <w:t>± 293.5* (11)</w:t>
            </w:r>
          </w:p>
        </w:tc>
        <w:tc>
          <w:tcPr>
            <w:tcW w:w="1891" w:type="dxa"/>
            <w:noWrap/>
            <w:vAlign w:val="center"/>
          </w:tcPr>
          <w:p w14:paraId="464B441D" w14:textId="77777777" w:rsidR="008365BB" w:rsidRPr="008A6C94" w:rsidRDefault="008365BB" w:rsidP="00647943">
            <w:pPr>
              <w:widowControl/>
              <w:jc w:val="right"/>
              <w:rPr>
                <w:rFonts w:cs="Arial"/>
                <w:sz w:val="14"/>
                <w:szCs w:val="14"/>
                <w:lang w:val="en-US" w:bidi="ar-SA"/>
              </w:rPr>
            </w:pPr>
            <w:r w:rsidRPr="008A6C94">
              <w:rPr>
                <w:rFonts w:cs="Arial"/>
                <w:sz w:val="14"/>
                <w:szCs w:val="14"/>
                <w:lang w:val="en-US" w:bidi="ar-SA"/>
              </w:rPr>
              <w:t xml:space="preserve">984.9 </w:t>
            </w:r>
            <w:r w:rsidRPr="008A6C94">
              <w:rPr>
                <w:rFonts w:cs="Arial"/>
                <w:color w:val="000000"/>
                <w:sz w:val="14"/>
                <w:szCs w:val="14"/>
                <w:lang w:val="en-US" w:bidi="ar-SA"/>
              </w:rPr>
              <w:t xml:space="preserve">± </w:t>
            </w:r>
            <w:r w:rsidRPr="008A6C94">
              <w:rPr>
                <w:rFonts w:cs="Arial"/>
                <w:sz w:val="14"/>
                <w:szCs w:val="14"/>
                <w:lang w:val="en-US" w:bidi="ar-SA"/>
              </w:rPr>
              <w:t>142.8* (11)</w:t>
            </w:r>
          </w:p>
        </w:tc>
      </w:tr>
    </w:tbl>
    <w:p w14:paraId="7B91685D" w14:textId="27868017" w:rsidR="008365BB" w:rsidRPr="008365BB" w:rsidRDefault="008365BB" w:rsidP="00A111E9">
      <w:pPr>
        <w:widowControl/>
        <w:spacing w:before="120"/>
        <w:rPr>
          <w:rFonts w:cs="Arial"/>
          <w:sz w:val="16"/>
          <w:szCs w:val="16"/>
          <w:lang w:val="en-US" w:bidi="ar-SA"/>
        </w:rPr>
      </w:pPr>
      <w:r w:rsidRPr="008365BB">
        <w:rPr>
          <w:rFonts w:cs="Arial"/>
          <w:i/>
          <w:iCs/>
          <w:sz w:val="16"/>
          <w:szCs w:val="16"/>
          <w:lang w:val="en-US" w:bidi="ar-SA"/>
        </w:rPr>
        <w:t>Note</w:t>
      </w:r>
      <w:r w:rsidRPr="008365BB">
        <w:rPr>
          <w:rFonts w:cs="Arial"/>
          <w:sz w:val="16"/>
          <w:szCs w:val="16"/>
          <w:lang w:val="en-US" w:bidi="ar-SA"/>
        </w:rPr>
        <w:t xml:space="preserve">. PFOA </w:t>
      </w:r>
      <w:r w:rsidR="001745CB">
        <w:rPr>
          <w:rFonts w:cs="Arial"/>
          <w:sz w:val="16"/>
          <w:szCs w:val="16"/>
          <w:lang w:val="en-US" w:bidi="ar-SA"/>
        </w:rPr>
        <w:t>d</w:t>
      </w:r>
      <w:r w:rsidRPr="008365BB">
        <w:rPr>
          <w:rFonts w:cs="Arial"/>
          <w:sz w:val="16"/>
          <w:szCs w:val="16"/>
          <w:lang w:val="en-US" w:bidi="ar-SA"/>
        </w:rPr>
        <w:t xml:space="preserve">osimetry data for female offspring from late gestation study. Data presented are mean ± </w:t>
      </w:r>
      <w:r w:rsidR="00DB0B1B">
        <w:rPr>
          <w:rFonts w:cs="Arial"/>
          <w:sz w:val="16"/>
          <w:szCs w:val="16"/>
          <w:lang w:val="en-US" w:bidi="ar-SA"/>
        </w:rPr>
        <w:t>standard error</w:t>
      </w:r>
      <w:r w:rsidRPr="008365BB">
        <w:rPr>
          <w:rFonts w:cs="Arial"/>
          <w:sz w:val="16"/>
          <w:szCs w:val="16"/>
          <w:lang w:val="en-US" w:bidi="ar-SA"/>
        </w:rPr>
        <w:t>.</w:t>
      </w:r>
      <w:r w:rsidRPr="008365BB">
        <w:rPr>
          <w:rFonts w:cs="Arial"/>
          <w:color w:val="000000"/>
          <w:sz w:val="16"/>
          <w:szCs w:val="16"/>
          <w:lang w:val="en-US" w:bidi="ar-SA"/>
        </w:rPr>
        <w:t xml:space="preserve"> Dashes (-) signify time points where no measure was taken for a treatment group. </w:t>
      </w:r>
      <w:r w:rsidRPr="008365BB">
        <w:rPr>
          <w:rFonts w:cs="Arial"/>
          <w:sz w:val="16"/>
          <w:szCs w:val="16"/>
          <w:lang w:val="en-US" w:bidi="ar-SA"/>
        </w:rPr>
        <w:t>Calculated blood burdens were determined by the equation (BW x (58.5/1000) x serum x 0.55).</w:t>
      </w:r>
    </w:p>
    <w:p w14:paraId="145DB12C" w14:textId="77777777" w:rsidR="008365BB" w:rsidRPr="008365BB" w:rsidRDefault="008365BB" w:rsidP="00A111E9">
      <w:pPr>
        <w:widowControl/>
        <w:rPr>
          <w:rFonts w:cs="Arial"/>
          <w:color w:val="000000"/>
          <w:sz w:val="16"/>
          <w:szCs w:val="16"/>
          <w:lang w:val="en-US" w:bidi="ar-SA"/>
        </w:rPr>
      </w:pPr>
      <w:r w:rsidRPr="008365BB">
        <w:rPr>
          <w:rFonts w:cs="Arial"/>
          <w:color w:val="000000"/>
          <w:sz w:val="16"/>
          <w:szCs w:val="16"/>
          <w:lang w:val="en-US" w:bidi="ar-SA"/>
        </w:rPr>
        <w:t>Significant treatment effect compared to controls; * p&lt;0.001.</w:t>
      </w:r>
    </w:p>
    <w:p w14:paraId="6962A259" w14:textId="29087A41" w:rsidR="008365BB" w:rsidRPr="008365BB" w:rsidRDefault="008365BB" w:rsidP="00A111E9">
      <w:pPr>
        <w:widowControl/>
        <w:rPr>
          <w:rFonts w:cs="Arial"/>
          <w:color w:val="000000"/>
          <w:sz w:val="16"/>
          <w:szCs w:val="16"/>
          <w:lang w:val="en-US" w:bidi="ar-SA"/>
        </w:rPr>
      </w:pPr>
      <w:r w:rsidRPr="008365BB">
        <w:rPr>
          <w:rFonts w:cs="Arial"/>
          <w:color w:val="000000"/>
          <w:sz w:val="16"/>
          <w:szCs w:val="16"/>
          <w:vertAlign w:val="superscript"/>
          <w:lang w:val="en-US" w:bidi="ar-SA"/>
        </w:rPr>
        <w:t>a</w:t>
      </w:r>
      <w:r w:rsidRPr="008365BB">
        <w:rPr>
          <w:rFonts w:cs="Arial"/>
          <w:color w:val="000000"/>
          <w:sz w:val="16"/>
          <w:szCs w:val="16"/>
          <w:lang w:val="en-US" w:bidi="ar-SA"/>
        </w:rPr>
        <w:t xml:space="preserve"> Mean serum concentration of each PFOA-treated group within PND: 1&gt; 4, 7, 14, and 21, p&lt;0.</w:t>
      </w:r>
      <w:r w:rsidR="00986779">
        <w:rPr>
          <w:rFonts w:cs="Arial"/>
          <w:color w:val="000000"/>
          <w:sz w:val="16"/>
          <w:szCs w:val="16"/>
          <w:lang w:val="en-US" w:bidi="ar-SA"/>
        </w:rPr>
        <w:t>05</w:t>
      </w:r>
    </w:p>
    <w:p w14:paraId="07FB2779" w14:textId="4546C7F6" w:rsidR="008365BB" w:rsidRPr="008365BB" w:rsidRDefault="008365BB" w:rsidP="00A111E9">
      <w:pPr>
        <w:widowControl/>
        <w:rPr>
          <w:rFonts w:cs="Arial"/>
          <w:sz w:val="16"/>
          <w:szCs w:val="16"/>
          <w:lang w:val="en-US" w:bidi="ar-SA"/>
        </w:rPr>
      </w:pPr>
      <w:r w:rsidRPr="008365BB">
        <w:rPr>
          <w:rFonts w:cs="Arial"/>
          <w:color w:val="000000"/>
          <w:sz w:val="16"/>
          <w:szCs w:val="16"/>
          <w:vertAlign w:val="superscript"/>
          <w:lang w:val="en-US" w:bidi="ar-SA"/>
        </w:rPr>
        <w:t>b</w:t>
      </w:r>
      <w:r w:rsidRPr="008365BB">
        <w:rPr>
          <w:rFonts w:cs="Arial"/>
          <w:color w:val="000000"/>
          <w:sz w:val="16"/>
          <w:szCs w:val="16"/>
          <w:lang w:val="en-US" w:bidi="ar-SA"/>
        </w:rPr>
        <w:t xml:space="preserve"> Mean calculated blood burdens of each PFOA-treated group within PND: 21&lt; 7 and 14, p&lt;0.</w:t>
      </w:r>
      <w:r w:rsidR="00986779">
        <w:rPr>
          <w:rFonts w:cs="Arial"/>
          <w:color w:val="000000"/>
          <w:sz w:val="16"/>
          <w:szCs w:val="16"/>
          <w:lang w:val="en-US" w:bidi="ar-SA"/>
        </w:rPr>
        <w:t>02</w:t>
      </w:r>
    </w:p>
    <w:p w14:paraId="10C558C4" w14:textId="77777777" w:rsidR="008365BB" w:rsidRDefault="008365BB" w:rsidP="00684A16">
      <w:pPr>
        <w:pStyle w:val="Heading5"/>
      </w:pPr>
      <w:r w:rsidRPr="00D9158A">
        <w:t>Rats</w:t>
      </w:r>
    </w:p>
    <w:p w14:paraId="3F920987" w14:textId="1882D4CD" w:rsidR="008365BB" w:rsidRPr="00180653" w:rsidRDefault="008365BB" w:rsidP="00A111E9">
      <w:pPr>
        <w:rPr>
          <w:b/>
          <w:lang w:bidi="ar-SA"/>
        </w:rPr>
      </w:pPr>
      <w:r w:rsidRPr="0079612C">
        <w:rPr>
          <w:b/>
          <w:lang w:bidi="ar-SA"/>
        </w:rPr>
        <w:t xml:space="preserve">Butenhoff </w:t>
      </w:r>
      <w:r w:rsidR="00180A32" w:rsidRPr="00180A32">
        <w:rPr>
          <w:b/>
          <w:i/>
        </w:rPr>
        <w:t xml:space="preserve">et al. </w:t>
      </w:r>
      <w:r w:rsidR="00CC50B8">
        <w:rPr>
          <w:b/>
        </w:rPr>
        <w:t xml:space="preserve"> </w:t>
      </w:r>
      <w:r w:rsidRPr="0079612C">
        <w:rPr>
          <w:b/>
          <w:lang w:bidi="ar-SA"/>
        </w:rPr>
        <w:t>2004</w:t>
      </w:r>
      <w:r>
        <w:rPr>
          <w:b/>
          <w:lang w:bidi="ar-SA"/>
        </w:rPr>
        <w:t xml:space="preserve"> two-generation developmental and reproductive study in rats </w:t>
      </w:r>
    </w:p>
    <w:p w14:paraId="60844ABF" w14:textId="77777777" w:rsidR="008365BB" w:rsidRPr="00180653" w:rsidRDefault="008365BB" w:rsidP="00A111E9">
      <w:pPr>
        <w:rPr>
          <w:b/>
          <w:lang w:bidi="ar-SA"/>
        </w:rPr>
      </w:pPr>
    </w:p>
    <w:p w14:paraId="4E345EE6" w14:textId="7B2C2DC4" w:rsidR="008365BB" w:rsidRDefault="008365BB" w:rsidP="00A111E9">
      <w:pPr>
        <w:rPr>
          <w:lang w:bidi="ar-SA"/>
        </w:rPr>
      </w:pPr>
      <w:r>
        <w:rPr>
          <w:lang w:bidi="ar-SA"/>
        </w:rPr>
        <w:t xml:space="preserve">This two-generation study was conducted in Sprague Dawley rats, using AFPO as the test article. Adult rats were housed individually except during mating, and husbandry was according to standard laboratory conditions. The </w:t>
      </w:r>
      <w:r w:rsidR="00404FF0">
        <w:rPr>
          <w:lang w:bidi="ar-SA"/>
        </w:rPr>
        <w:t>F0</w:t>
      </w:r>
      <w:r>
        <w:rPr>
          <w:lang w:bidi="ar-SA"/>
        </w:rPr>
        <w:t xml:space="preserve"> generation consisted of five dosage groups with 30 rats/sex/group. Two F</w:t>
      </w:r>
      <w:r w:rsidR="00E46C0A">
        <w:rPr>
          <w:lang w:bidi="ar-SA"/>
        </w:rPr>
        <w:t>1</w:t>
      </w:r>
      <w:r>
        <w:rPr>
          <w:lang w:bidi="ar-SA"/>
        </w:rPr>
        <w:t>-generation pups/sex/litter/dosage group were selected at weaning for continued evaluation, making a total 300 F</w:t>
      </w:r>
      <w:r w:rsidR="00E46C0A">
        <w:rPr>
          <w:lang w:bidi="ar-SA"/>
        </w:rPr>
        <w:t>1</w:t>
      </w:r>
      <w:r>
        <w:rPr>
          <w:lang w:bidi="ar-SA"/>
        </w:rPr>
        <w:t xml:space="preserve"> rats/sex/group. </w:t>
      </w:r>
      <w:r w:rsidR="00404FF0">
        <w:rPr>
          <w:lang w:bidi="ar-SA"/>
        </w:rPr>
        <w:t>F0</w:t>
      </w:r>
      <w:r>
        <w:rPr>
          <w:lang w:bidi="ar-SA"/>
        </w:rPr>
        <w:t>-generation rats were gavaged daily from 6 weeks of age, and for at least 70 days before mating, with 0, 1, 3, 10 or 30 mg/kg</w:t>
      </w:r>
      <w:r w:rsidR="00F56AD3">
        <w:rPr>
          <w:lang w:bidi="ar-SA"/>
        </w:rPr>
        <w:t xml:space="preserve"> bw/day</w:t>
      </w:r>
      <w:r>
        <w:rPr>
          <w:lang w:bidi="ar-SA"/>
        </w:rPr>
        <w:t xml:space="preserve"> AFPO at a constant volume of 5 mL/kg. The doses were selected on the basis of earlier studies that showed that male rats did not tolerate &gt; 30 mg/kg</w:t>
      </w:r>
      <w:r w:rsidR="00F56AD3">
        <w:rPr>
          <w:lang w:bidi="ar-SA"/>
        </w:rPr>
        <w:t xml:space="preserve"> bw/day</w:t>
      </w:r>
      <w:r>
        <w:rPr>
          <w:lang w:bidi="ar-SA"/>
        </w:rPr>
        <w:t xml:space="preserve"> AFPO on a subchronic basis. F</w:t>
      </w:r>
      <w:r w:rsidR="00E46C0A">
        <w:rPr>
          <w:lang w:bidi="ar-SA"/>
        </w:rPr>
        <w:t>1</w:t>
      </w:r>
      <w:r>
        <w:rPr>
          <w:lang w:bidi="ar-SA"/>
        </w:rPr>
        <w:t xml:space="preserve"> rats were administered the same daily dose as their parents from weaning at 22 days.</w:t>
      </w:r>
    </w:p>
    <w:p w14:paraId="4A296B68" w14:textId="77777777" w:rsidR="008365BB" w:rsidRDefault="008365BB" w:rsidP="00A111E9">
      <w:pPr>
        <w:rPr>
          <w:lang w:bidi="ar-SA"/>
        </w:rPr>
      </w:pPr>
    </w:p>
    <w:p w14:paraId="320A440E" w14:textId="6E2A76EA" w:rsidR="008365BB" w:rsidRDefault="008365BB" w:rsidP="00A111E9">
      <w:pPr>
        <w:rPr>
          <w:lang w:bidi="ar-SA"/>
        </w:rPr>
      </w:pPr>
      <w:r>
        <w:rPr>
          <w:lang w:bidi="ar-SA"/>
        </w:rPr>
        <w:t xml:space="preserve">Measured endpoints in the </w:t>
      </w:r>
      <w:r w:rsidR="00404FF0">
        <w:rPr>
          <w:lang w:bidi="ar-SA"/>
        </w:rPr>
        <w:t>F0</w:t>
      </w:r>
      <w:r>
        <w:rPr>
          <w:lang w:bidi="ar-SA"/>
        </w:rPr>
        <w:t xml:space="preserve"> and F1 generations were survival, clinical observations, abortions or premature deliveries, and body weights. Feed consumption was also measured, except during cohabitation for mating and from PND 15 to weaning (PND 22) because pups began to eat food provided to the dams from PND 15. Day of vaginal opening or preputial separation was recorded for F</w:t>
      </w:r>
      <w:r w:rsidR="00E46C0A">
        <w:rPr>
          <w:lang w:bidi="ar-SA"/>
        </w:rPr>
        <w:t>1</w:t>
      </w:r>
      <w:r>
        <w:rPr>
          <w:lang w:bidi="ar-SA"/>
        </w:rPr>
        <w:t xml:space="preserve"> rats. Following sexual maturation, 30 mating pairs of F</w:t>
      </w:r>
      <w:r w:rsidR="00E46C0A">
        <w:rPr>
          <w:lang w:bidi="ar-SA"/>
        </w:rPr>
        <w:t>1</w:t>
      </w:r>
      <w:r>
        <w:rPr>
          <w:lang w:bidi="ar-SA"/>
        </w:rPr>
        <w:t xml:space="preserve"> rats were selected, on a generally random basis although avoiding sibling pairs, and the rest of the F1 rats were terminated and necropsied. For the F1 rats selected for mating, oestrus activity was evaluated by vaginal cytology for 21 days before cohabitation for mating. Reproductive parameters measured or calculated in the </w:t>
      </w:r>
      <w:r w:rsidR="00E46C0A">
        <w:rPr>
          <w:lang w:bidi="ar-SA"/>
        </w:rPr>
        <w:t xml:space="preserve">F0 </w:t>
      </w:r>
      <w:r>
        <w:rPr>
          <w:lang w:bidi="ar-SA"/>
        </w:rPr>
        <w:t>and F</w:t>
      </w:r>
      <w:r w:rsidR="00E46C0A">
        <w:rPr>
          <w:lang w:bidi="ar-SA"/>
        </w:rPr>
        <w:t>1</w:t>
      </w:r>
      <w:r>
        <w:rPr>
          <w:lang w:bidi="ar-SA"/>
        </w:rPr>
        <w:t xml:space="preserve"> females were duration of gestation, fertility and gestation indices, number and sex of pups, number of implantation sites, condition of dam and litter, viability index, lactation index, per</w:t>
      </w:r>
      <w:r w:rsidR="001B6877">
        <w:rPr>
          <w:lang w:bidi="ar-SA"/>
        </w:rPr>
        <w:t xml:space="preserve"> cent</w:t>
      </w:r>
      <w:r>
        <w:rPr>
          <w:lang w:bidi="ar-SA"/>
        </w:rPr>
        <w:t xml:space="preserve"> survival and sex ratio. F</w:t>
      </w:r>
      <w:r w:rsidR="00E46C0A">
        <w:rPr>
          <w:lang w:bidi="ar-SA"/>
        </w:rPr>
        <w:t>2</w:t>
      </w:r>
      <w:r>
        <w:rPr>
          <w:vertAlign w:val="subscript"/>
          <w:lang w:bidi="ar-SA"/>
        </w:rPr>
        <w:t xml:space="preserve"> </w:t>
      </w:r>
      <w:r>
        <w:rPr>
          <w:lang w:bidi="ar-SA"/>
        </w:rPr>
        <w:t>pup weights were recorded on PNDs 1, 5, 8, 15 and 22. F</w:t>
      </w:r>
      <w:r w:rsidR="00E46C0A">
        <w:rPr>
          <w:lang w:bidi="ar-SA"/>
        </w:rPr>
        <w:t>2</w:t>
      </w:r>
      <w:r>
        <w:rPr>
          <w:lang w:bidi="ar-SA"/>
        </w:rPr>
        <w:t xml:space="preserve"> males were examined on </w:t>
      </w:r>
      <w:r w:rsidRPr="00253074">
        <w:t>PND 12 for retention of nipples</w:t>
      </w:r>
      <w:r>
        <w:rPr>
          <w:lang w:bidi="ar-SA"/>
        </w:rPr>
        <w:t xml:space="preserve">, which would not usually be present on males of that age, and anogenital distance was measured in all pups on PNDs 1 and 22. </w:t>
      </w:r>
      <w:r w:rsidR="00E46C0A">
        <w:rPr>
          <w:lang w:bidi="ar-SA"/>
        </w:rPr>
        <w:t>F0</w:t>
      </w:r>
      <w:r>
        <w:rPr>
          <w:lang w:bidi="ar-SA"/>
        </w:rPr>
        <w:t xml:space="preserve"> generation male rats were terminated at 106 – 110 days of age and F</w:t>
      </w:r>
      <w:r w:rsidR="00E46C0A">
        <w:rPr>
          <w:lang w:bidi="ar-SA"/>
        </w:rPr>
        <w:t>1</w:t>
      </w:r>
      <w:r>
        <w:rPr>
          <w:lang w:bidi="ar-SA"/>
        </w:rPr>
        <w:t xml:space="preserve"> males at 109-120 days of age. Concentration, mobility and morphology of sperm from the cauda epididymis was assessed at termination, and testicular spermatid concentration was also assessed. Female breeding rats were terminated on PND 22 and implantation sites were counted in uteri. Three randomly selected F</w:t>
      </w:r>
      <w:r w:rsidR="00A66323">
        <w:rPr>
          <w:lang w:bidi="ar-SA"/>
        </w:rPr>
        <w:t>1</w:t>
      </w:r>
      <w:r>
        <w:rPr>
          <w:lang w:bidi="ar-SA"/>
        </w:rPr>
        <w:t xml:space="preserve"> pups from those culled on </w:t>
      </w:r>
      <w:r w:rsidR="00BF005D">
        <w:rPr>
          <w:lang w:bidi="ar-SA"/>
        </w:rPr>
        <w:t xml:space="preserve">PND </w:t>
      </w:r>
      <w:r>
        <w:rPr>
          <w:lang w:bidi="ar-SA"/>
        </w:rPr>
        <w:t>22 were examined for gross lesions including assessment for hydrocephaly. Brain, spleen and thymus from these pups were weighed and retained for histological evaluation.</w:t>
      </w:r>
    </w:p>
    <w:p w14:paraId="4EE1ADAB" w14:textId="77777777" w:rsidR="008365BB" w:rsidRDefault="008365BB" w:rsidP="00A111E9">
      <w:pPr>
        <w:rPr>
          <w:lang w:bidi="ar-SA"/>
        </w:rPr>
      </w:pPr>
    </w:p>
    <w:p w14:paraId="42D05821" w14:textId="7EAE5192" w:rsidR="008365BB" w:rsidRDefault="00A66323" w:rsidP="00A111E9">
      <w:pPr>
        <w:rPr>
          <w:lang w:bidi="ar-SA"/>
        </w:rPr>
      </w:pPr>
      <w:r>
        <w:rPr>
          <w:lang w:bidi="ar-SA"/>
        </w:rPr>
        <w:t>F0</w:t>
      </w:r>
      <w:r w:rsidR="008365BB">
        <w:rPr>
          <w:lang w:bidi="ar-SA"/>
        </w:rPr>
        <w:t xml:space="preserve"> and F</w:t>
      </w:r>
      <w:r>
        <w:rPr>
          <w:lang w:bidi="ar-SA"/>
        </w:rPr>
        <w:t>1</w:t>
      </w:r>
      <w:r w:rsidR="00BF005D">
        <w:rPr>
          <w:lang w:bidi="ar-SA"/>
        </w:rPr>
        <w:t xml:space="preserve"> </w:t>
      </w:r>
      <w:r w:rsidR="008365BB">
        <w:rPr>
          <w:lang w:bidi="ar-SA"/>
        </w:rPr>
        <w:t xml:space="preserve">generation dams were terminated when pups were weaned. All </w:t>
      </w:r>
      <w:r>
        <w:rPr>
          <w:lang w:bidi="ar-SA"/>
        </w:rPr>
        <w:t>F0</w:t>
      </w:r>
      <w:r w:rsidR="008365BB">
        <w:rPr>
          <w:lang w:bidi="ar-SA"/>
        </w:rPr>
        <w:t xml:space="preserve"> and F</w:t>
      </w:r>
      <w:r>
        <w:rPr>
          <w:lang w:bidi="ar-SA"/>
        </w:rPr>
        <w:t>1</w:t>
      </w:r>
      <w:r w:rsidR="008365BB">
        <w:rPr>
          <w:lang w:bidi="ar-SA"/>
        </w:rPr>
        <w:t xml:space="preserve"> breeding rats were subject to blood collection for PFOA analysis, and full necropsy, and stage of oestrus was assessed by vaginal cytology on day of termination of breeding females. Organ weights recorded included brain, kidneys, spleen, gonads, thymus, liver, adrenal glands, pituitary, uterus, epididymides (separately), prostate and seminal vesicles. Organs fixed and processed for histopathology included pituitary, adrenal glands, vagina, uterus with oviducts, cervix, gonads, seminal vesicles, right epididymis and prostate.</w:t>
      </w:r>
    </w:p>
    <w:p w14:paraId="4DD1D01D" w14:textId="2BB97F80" w:rsidR="008365BB" w:rsidRDefault="008365BB" w:rsidP="00A111E9">
      <w:pPr>
        <w:rPr>
          <w:lang w:bidi="ar-SA"/>
        </w:rPr>
      </w:pPr>
    </w:p>
    <w:p w14:paraId="0529D87B" w14:textId="1C450EE1" w:rsidR="008365BB" w:rsidRPr="00E1207D" w:rsidRDefault="00A66323" w:rsidP="00684A16">
      <w:pPr>
        <w:pStyle w:val="Heading5"/>
      </w:pPr>
      <w:r>
        <w:t>F0</w:t>
      </w:r>
      <w:r w:rsidR="008365BB" w:rsidRPr="00E1207D">
        <w:t xml:space="preserve"> generation</w:t>
      </w:r>
    </w:p>
    <w:p w14:paraId="3162A866" w14:textId="77777777" w:rsidR="008365BB" w:rsidRDefault="008365BB" w:rsidP="00A111E9">
      <w:pPr>
        <w:rPr>
          <w:lang w:bidi="ar-SA"/>
        </w:rPr>
      </w:pPr>
    </w:p>
    <w:p w14:paraId="30E30FFF" w14:textId="0FA85398" w:rsidR="008365BB" w:rsidRDefault="008365BB" w:rsidP="00A111E9">
      <w:pPr>
        <w:rPr>
          <w:lang w:bidi="ar-SA"/>
        </w:rPr>
      </w:pPr>
      <w:r>
        <w:rPr>
          <w:lang w:bidi="ar-SA"/>
        </w:rPr>
        <w:t>Males in</w:t>
      </w:r>
      <w:r w:rsidR="00BF005D">
        <w:rPr>
          <w:lang w:bidi="ar-SA"/>
        </w:rPr>
        <w:t xml:space="preserve"> the</w:t>
      </w:r>
      <w:r>
        <w:rPr>
          <w:lang w:bidi="ar-SA"/>
        </w:rPr>
        <w:t xml:space="preserve"> 30 mg/kg bw/day group in the </w:t>
      </w:r>
      <w:r w:rsidR="00A66323">
        <w:rPr>
          <w:lang w:bidi="ar-SA"/>
        </w:rPr>
        <w:t>F0</w:t>
      </w:r>
      <w:r>
        <w:rPr>
          <w:lang w:bidi="ar-SA"/>
        </w:rPr>
        <w:t xml:space="preserve"> generation exhibited slight increases in clinical signs of dehydration and lack of grooming. There were no treatment-related clinical observations in the </w:t>
      </w:r>
      <w:r w:rsidR="0069539B">
        <w:rPr>
          <w:lang w:bidi="ar-SA"/>
        </w:rPr>
        <w:t>F0</w:t>
      </w:r>
      <w:r>
        <w:rPr>
          <w:lang w:bidi="ar-SA"/>
        </w:rPr>
        <w:t xml:space="preserve"> generation females.</w:t>
      </w:r>
    </w:p>
    <w:p w14:paraId="11E9734B" w14:textId="77777777" w:rsidR="008365BB" w:rsidRDefault="008365BB" w:rsidP="00A111E9">
      <w:pPr>
        <w:rPr>
          <w:lang w:bidi="ar-SA"/>
        </w:rPr>
      </w:pPr>
    </w:p>
    <w:p w14:paraId="43F8CCED" w14:textId="007C4627" w:rsidR="008365BB" w:rsidRDefault="008365BB" w:rsidP="00A111E9">
      <w:pPr>
        <w:rPr>
          <w:lang w:bidi="ar-SA"/>
        </w:rPr>
      </w:pPr>
      <w:r>
        <w:rPr>
          <w:lang w:bidi="ar-SA"/>
        </w:rPr>
        <w:t xml:space="preserve">Dosing with ≥ 3 mg/kg bw/day AFPO had a dose-related negative effect on </w:t>
      </w:r>
      <w:r w:rsidR="00E83E80">
        <w:rPr>
          <w:lang w:bidi="ar-SA"/>
        </w:rPr>
        <w:t>body weight</w:t>
      </w:r>
      <w:r>
        <w:rPr>
          <w:lang w:bidi="ar-SA"/>
        </w:rPr>
        <w:t xml:space="preserve"> gain in </w:t>
      </w:r>
      <w:r w:rsidR="00A66323">
        <w:rPr>
          <w:lang w:bidi="ar-SA"/>
        </w:rPr>
        <w:t>F0</w:t>
      </w:r>
      <w:r>
        <w:rPr>
          <w:lang w:bidi="ar-SA"/>
        </w:rPr>
        <w:t xml:space="preserve"> generation male rats. This effect reached statistical significance at the </w:t>
      </w:r>
      <w:r w:rsidR="00185513">
        <w:rPr>
          <w:lang w:bidi="ar-SA"/>
        </w:rPr>
        <w:t>d</w:t>
      </w:r>
      <w:r>
        <w:rPr>
          <w:lang w:bidi="ar-SA"/>
        </w:rPr>
        <w:t>ay 8 time</w:t>
      </w:r>
      <w:r w:rsidR="00032CF6">
        <w:rPr>
          <w:lang w:bidi="ar-SA"/>
        </w:rPr>
        <w:t>point</w:t>
      </w:r>
      <w:r>
        <w:rPr>
          <w:lang w:bidi="ar-SA"/>
        </w:rPr>
        <w:t xml:space="preserve"> in 30 mg/kg bw/day males, the </w:t>
      </w:r>
      <w:r w:rsidR="00185513">
        <w:rPr>
          <w:lang w:bidi="ar-SA"/>
        </w:rPr>
        <w:t>d</w:t>
      </w:r>
      <w:r>
        <w:rPr>
          <w:lang w:bidi="ar-SA"/>
        </w:rPr>
        <w:t>ay 15 time</w:t>
      </w:r>
      <w:r w:rsidR="00032CF6">
        <w:rPr>
          <w:lang w:bidi="ar-SA"/>
        </w:rPr>
        <w:t>point</w:t>
      </w:r>
      <w:r>
        <w:rPr>
          <w:lang w:bidi="ar-SA"/>
        </w:rPr>
        <w:t xml:space="preserve"> for 10 mg/kg bw/day males, and the </w:t>
      </w:r>
      <w:r w:rsidR="00185513">
        <w:rPr>
          <w:lang w:bidi="ar-SA"/>
        </w:rPr>
        <w:t>d</w:t>
      </w:r>
      <w:r>
        <w:rPr>
          <w:lang w:bidi="ar-SA"/>
        </w:rPr>
        <w:t>ay 50 time</w:t>
      </w:r>
      <w:r w:rsidR="00032CF6">
        <w:rPr>
          <w:lang w:bidi="ar-SA"/>
        </w:rPr>
        <w:t>point</w:t>
      </w:r>
      <w:r>
        <w:rPr>
          <w:lang w:bidi="ar-SA"/>
        </w:rPr>
        <w:t xml:space="preserve"> for 3 mg/kg bw/day males. Although group mean absolute feed consumption was significantly decreased in 30 mg/kg bw/day males in the </w:t>
      </w:r>
      <w:r w:rsidR="00A66323">
        <w:rPr>
          <w:lang w:bidi="ar-SA"/>
        </w:rPr>
        <w:t>F0</w:t>
      </w:r>
      <w:r>
        <w:rPr>
          <w:lang w:bidi="ar-SA"/>
        </w:rPr>
        <w:t xml:space="preserve"> generation, group mean feed consumption relative to body weight was increased in males in all treated groups in the </w:t>
      </w:r>
      <w:r w:rsidR="00A66323">
        <w:rPr>
          <w:lang w:bidi="ar-SA"/>
        </w:rPr>
        <w:t>F0</w:t>
      </w:r>
      <w:r>
        <w:rPr>
          <w:lang w:bidi="ar-SA"/>
        </w:rPr>
        <w:t xml:space="preserve"> generation, and this effect was statistically significant at ≥ 3 mg/kg bw/day. No treatment-related effects on </w:t>
      </w:r>
      <w:r w:rsidR="00E83E80">
        <w:rPr>
          <w:lang w:bidi="ar-SA"/>
        </w:rPr>
        <w:t>body weight</w:t>
      </w:r>
      <w:r>
        <w:rPr>
          <w:lang w:bidi="ar-SA"/>
        </w:rPr>
        <w:t xml:space="preserve"> gain or feed consumption were observed in the </w:t>
      </w:r>
      <w:r w:rsidR="00A66323">
        <w:rPr>
          <w:lang w:bidi="ar-SA"/>
        </w:rPr>
        <w:t>F0</w:t>
      </w:r>
      <w:r w:rsidR="00BF005D">
        <w:rPr>
          <w:lang w:bidi="ar-SA"/>
        </w:rPr>
        <w:t xml:space="preserve"> </w:t>
      </w:r>
      <w:r>
        <w:rPr>
          <w:lang w:bidi="ar-SA"/>
        </w:rPr>
        <w:t>generation females.</w:t>
      </w:r>
    </w:p>
    <w:p w14:paraId="3ADA8148" w14:textId="77777777" w:rsidR="008365BB" w:rsidRDefault="008365BB" w:rsidP="00A111E9">
      <w:pPr>
        <w:rPr>
          <w:lang w:bidi="ar-SA"/>
        </w:rPr>
      </w:pPr>
    </w:p>
    <w:p w14:paraId="6B9E712F" w14:textId="3A9C003D" w:rsidR="008365BB" w:rsidRDefault="008365BB" w:rsidP="00A111E9">
      <w:pPr>
        <w:rPr>
          <w:lang w:bidi="ar-SA"/>
        </w:rPr>
      </w:pPr>
      <w:r>
        <w:rPr>
          <w:lang w:bidi="ar-SA"/>
        </w:rPr>
        <w:t xml:space="preserve">There were no treatment-related gross findings in treated rats of either sex in the </w:t>
      </w:r>
      <w:r w:rsidR="00A66323">
        <w:rPr>
          <w:lang w:bidi="ar-SA"/>
        </w:rPr>
        <w:t>F0</w:t>
      </w:r>
      <w:r w:rsidR="00BF005D">
        <w:rPr>
          <w:lang w:bidi="ar-SA"/>
        </w:rPr>
        <w:t xml:space="preserve"> </w:t>
      </w:r>
      <w:r>
        <w:rPr>
          <w:lang w:bidi="ar-SA"/>
        </w:rPr>
        <w:t xml:space="preserve">generation. Two of ten males in the 10 mg/kg bw/day group, and seven of </w:t>
      </w:r>
      <w:r w:rsidR="001B6877">
        <w:rPr>
          <w:lang w:bidi="ar-SA"/>
        </w:rPr>
        <w:t>10</w:t>
      </w:r>
      <w:r>
        <w:rPr>
          <w:lang w:bidi="ar-SA"/>
        </w:rPr>
        <w:t xml:space="preserve"> males in the 30 mg/kg bw/day group, had hypertrophy and/or vacuolation of the adrenal zona glomerulosa. There were no treatment-related microscopic findings in the </w:t>
      </w:r>
      <w:r w:rsidR="0069539B">
        <w:rPr>
          <w:lang w:bidi="ar-SA"/>
        </w:rPr>
        <w:t>F0</w:t>
      </w:r>
      <w:r>
        <w:rPr>
          <w:lang w:bidi="ar-SA"/>
        </w:rPr>
        <w:t xml:space="preserve"> generation females.</w:t>
      </w:r>
    </w:p>
    <w:p w14:paraId="38690399" w14:textId="77777777" w:rsidR="008365BB" w:rsidRDefault="008365BB" w:rsidP="00A111E9">
      <w:pPr>
        <w:rPr>
          <w:lang w:bidi="ar-SA"/>
        </w:rPr>
      </w:pPr>
    </w:p>
    <w:p w14:paraId="2FBBD13C" w14:textId="61C0ADA7" w:rsidR="008365BB" w:rsidRDefault="008365BB" w:rsidP="00A111E9">
      <w:pPr>
        <w:rPr>
          <w:lang w:bidi="ar-SA"/>
        </w:rPr>
      </w:pPr>
      <w:r>
        <w:rPr>
          <w:lang w:bidi="ar-SA"/>
        </w:rPr>
        <w:t xml:space="preserve">All groups of </w:t>
      </w:r>
      <w:r w:rsidR="00A66323">
        <w:rPr>
          <w:lang w:bidi="ar-SA"/>
        </w:rPr>
        <w:t>F0</w:t>
      </w:r>
      <w:r>
        <w:rPr>
          <w:lang w:bidi="ar-SA"/>
        </w:rPr>
        <w:t xml:space="preserve"> generation males exhibited a dose-related increase in absolute and relative liver weight, but there was no corresponding effect in females. Other significant differences in group mean organ weights either exhibited no dose-response relationship, or were considered most likely to be a result of the decreased body weights.</w:t>
      </w:r>
    </w:p>
    <w:p w14:paraId="5356BDAB" w14:textId="77777777" w:rsidR="008365BB" w:rsidRDefault="008365BB" w:rsidP="00A111E9">
      <w:pPr>
        <w:rPr>
          <w:lang w:bidi="ar-SA"/>
        </w:rPr>
      </w:pPr>
    </w:p>
    <w:p w14:paraId="41B71EEA" w14:textId="15155053" w:rsidR="008365BB" w:rsidRDefault="008365BB" w:rsidP="00A111E9">
      <w:pPr>
        <w:rPr>
          <w:lang w:bidi="ar-SA"/>
        </w:rPr>
      </w:pPr>
      <w:r>
        <w:rPr>
          <w:lang w:bidi="ar-SA"/>
        </w:rPr>
        <w:t xml:space="preserve">There were no treatment-related effects on reproductive performance in the </w:t>
      </w:r>
      <w:r w:rsidR="00A66323">
        <w:rPr>
          <w:lang w:bidi="ar-SA"/>
        </w:rPr>
        <w:t>F0</w:t>
      </w:r>
      <w:r>
        <w:rPr>
          <w:lang w:bidi="ar-SA"/>
        </w:rPr>
        <w:t xml:space="preserve"> generation rats. Male fertility and sperm parameters were normal. There were no effects on oestrus cycles, conception rate, pregnancy, parturition, number of F</w:t>
      </w:r>
      <w:r w:rsidR="00404FF0">
        <w:rPr>
          <w:lang w:bidi="ar-SA"/>
        </w:rPr>
        <w:t>1</w:t>
      </w:r>
      <w:r>
        <w:rPr>
          <w:lang w:bidi="ar-SA"/>
        </w:rPr>
        <w:t xml:space="preserve"> pups born or whether they were alive or stillborn. Pups of the F</w:t>
      </w:r>
      <w:r w:rsidR="00A66323">
        <w:rPr>
          <w:lang w:bidi="ar-SA"/>
        </w:rPr>
        <w:t>1</w:t>
      </w:r>
      <w:r>
        <w:rPr>
          <w:lang w:bidi="ar-SA"/>
        </w:rPr>
        <w:t xml:space="preserve"> generation in the 30 mg/kg bw/day group had moderately lower </w:t>
      </w:r>
      <w:r w:rsidR="00E83E80">
        <w:rPr>
          <w:lang w:bidi="ar-SA"/>
        </w:rPr>
        <w:t>body weight</w:t>
      </w:r>
      <w:r>
        <w:rPr>
          <w:lang w:bidi="ar-SA"/>
        </w:rPr>
        <w:t xml:space="preserve">s throughout lactation </w:t>
      </w:r>
      <w:r w:rsidRPr="00BA384C">
        <w:rPr>
          <w:lang w:bidi="ar-SA"/>
        </w:rPr>
        <w:t xml:space="preserve">(6-9% lower </w:t>
      </w:r>
      <w:r>
        <w:rPr>
          <w:lang w:bidi="ar-SA"/>
        </w:rPr>
        <w:t xml:space="preserve">than those of controls, </w:t>
      </w:r>
      <w:r w:rsidRPr="00BA384C">
        <w:rPr>
          <w:lang w:bidi="ar-SA"/>
        </w:rPr>
        <w:t>not statistically significant</w:t>
      </w:r>
      <w:r>
        <w:rPr>
          <w:lang w:bidi="ar-SA"/>
        </w:rPr>
        <w:t xml:space="preserve">), and a slightly higher mortality rate </w:t>
      </w:r>
      <w:r w:rsidRPr="00BA384C">
        <w:rPr>
          <w:lang w:bidi="ar-SA"/>
        </w:rPr>
        <w:t xml:space="preserve">in the first few days following weaning. This was seen almost exclusively in pups that were small at weaning and was attributed to a failure to thrive and adapt to being weaned. </w:t>
      </w:r>
      <w:r>
        <w:rPr>
          <w:lang w:bidi="ar-SA"/>
        </w:rPr>
        <w:t>There were no treatment-related effects on sex ratio of pups, and no evidence of structural malformations or variations.</w:t>
      </w:r>
    </w:p>
    <w:p w14:paraId="2929D006" w14:textId="77777777" w:rsidR="008365BB" w:rsidRDefault="008365BB" w:rsidP="00A111E9">
      <w:pPr>
        <w:rPr>
          <w:lang w:bidi="ar-SA"/>
        </w:rPr>
      </w:pPr>
    </w:p>
    <w:p w14:paraId="441E47ED" w14:textId="3844C7A8" w:rsidR="008365BB" w:rsidRPr="00BA384C" w:rsidRDefault="008365BB" w:rsidP="00684A16">
      <w:pPr>
        <w:pStyle w:val="Heading5"/>
      </w:pPr>
      <w:r w:rsidRPr="00BA384C">
        <w:t>F</w:t>
      </w:r>
      <w:r w:rsidR="00A66323">
        <w:t>1</w:t>
      </w:r>
      <w:r w:rsidRPr="00BA384C">
        <w:rPr>
          <w:vertAlign w:val="subscript"/>
        </w:rPr>
        <w:t xml:space="preserve"> </w:t>
      </w:r>
      <w:r w:rsidRPr="00BA384C">
        <w:t>generation</w:t>
      </w:r>
    </w:p>
    <w:p w14:paraId="58BA2F74" w14:textId="77777777" w:rsidR="008365BB" w:rsidRPr="00BA384C" w:rsidRDefault="008365BB" w:rsidP="00A111E9">
      <w:pPr>
        <w:rPr>
          <w:lang w:bidi="ar-SA"/>
        </w:rPr>
      </w:pPr>
    </w:p>
    <w:p w14:paraId="79BB659B" w14:textId="6DB73666" w:rsidR="008365BB" w:rsidRDefault="008365BB" w:rsidP="00A111E9">
      <w:pPr>
        <w:rPr>
          <w:lang w:bidi="ar-SA"/>
        </w:rPr>
      </w:pPr>
      <w:r>
        <w:rPr>
          <w:lang w:bidi="ar-SA"/>
        </w:rPr>
        <w:t xml:space="preserve">There was a statistically significant delay in sexual maturation in both male and female pups </w:t>
      </w:r>
      <w:r w:rsidRPr="00BC6F2C">
        <w:rPr>
          <w:lang w:bidi="ar-SA"/>
        </w:rPr>
        <w:t>in the F</w:t>
      </w:r>
      <w:r w:rsidR="00A66323">
        <w:rPr>
          <w:lang w:bidi="ar-SA"/>
        </w:rPr>
        <w:t>1</w:t>
      </w:r>
      <w:r w:rsidRPr="00BC6F2C">
        <w:rPr>
          <w:lang w:bidi="ar-SA"/>
        </w:rPr>
        <w:t xml:space="preserve"> generation </w:t>
      </w:r>
      <w:r>
        <w:rPr>
          <w:lang w:bidi="ar-SA"/>
        </w:rPr>
        <w:t xml:space="preserve">in the 30 mg/kg bw/day group. Preputial separation was delayed 3.7 days on average, and vaginal patency was delayed an average of 1.7 days. These delays were considered to be treatment-related. However, </w:t>
      </w:r>
      <w:r w:rsidRPr="007C4C47">
        <w:rPr>
          <w:lang w:bidi="ar-SA"/>
        </w:rPr>
        <w:t xml:space="preserve">when these effects were co-varied with </w:t>
      </w:r>
      <w:r w:rsidRPr="007C4C47">
        <w:rPr>
          <w:lang w:bidi="ar-SA"/>
        </w:rPr>
        <w:lastRenderedPageBreak/>
        <w:t xml:space="preserve">body weight weaning, there was no statistically significant difference in days to milestone, which suggests that the delays were secondary to reduced </w:t>
      </w:r>
      <w:r w:rsidR="00E83E80">
        <w:rPr>
          <w:lang w:bidi="ar-SA"/>
        </w:rPr>
        <w:t>body weight</w:t>
      </w:r>
      <w:r w:rsidRPr="007C4C47">
        <w:rPr>
          <w:lang w:bidi="ar-SA"/>
        </w:rPr>
        <w:t xml:space="preserve"> and </w:t>
      </w:r>
      <w:r w:rsidR="00E83E80">
        <w:rPr>
          <w:lang w:bidi="ar-SA"/>
        </w:rPr>
        <w:t>body weight</w:t>
      </w:r>
      <w:r w:rsidRPr="007C4C47">
        <w:rPr>
          <w:lang w:bidi="ar-SA"/>
        </w:rPr>
        <w:t xml:space="preserve"> gain. Decreased </w:t>
      </w:r>
      <w:r w:rsidR="00E83E80">
        <w:rPr>
          <w:lang w:bidi="ar-SA"/>
        </w:rPr>
        <w:t>body weight</w:t>
      </w:r>
      <w:r w:rsidRPr="007C4C47">
        <w:rPr>
          <w:lang w:bidi="ar-SA"/>
        </w:rPr>
        <w:t xml:space="preserve"> is a well-documented cause of delayed puberty in Sprague Dawley rats</w:t>
      </w:r>
      <w:r>
        <w:rPr>
          <w:lang w:bidi="ar-SA"/>
        </w:rPr>
        <w:t xml:space="preserve">. </w:t>
      </w:r>
      <w:r w:rsidRPr="007C4C47">
        <w:rPr>
          <w:lang w:bidi="ar-SA"/>
        </w:rPr>
        <w:t>The delays were a transient effect because fertility and reproduction of the affected pups were not affected when they were mature.</w:t>
      </w:r>
    </w:p>
    <w:p w14:paraId="2535DDCD" w14:textId="77777777" w:rsidR="008365BB" w:rsidRDefault="008365BB" w:rsidP="00A111E9">
      <w:pPr>
        <w:rPr>
          <w:lang w:bidi="ar-SA"/>
        </w:rPr>
      </w:pPr>
    </w:p>
    <w:p w14:paraId="1E8AC9EE" w14:textId="56164150" w:rsidR="008365BB" w:rsidRPr="00BA384C" w:rsidRDefault="008365BB" w:rsidP="00A111E9">
      <w:pPr>
        <w:rPr>
          <w:lang w:bidi="ar-SA"/>
        </w:rPr>
      </w:pPr>
      <w:r>
        <w:rPr>
          <w:lang w:bidi="ar-SA"/>
        </w:rPr>
        <w:t>F</w:t>
      </w:r>
      <w:r w:rsidR="00A66323">
        <w:rPr>
          <w:lang w:bidi="ar-SA"/>
        </w:rPr>
        <w:t>1</w:t>
      </w:r>
      <w:r>
        <w:rPr>
          <w:lang w:bidi="ar-SA"/>
        </w:rPr>
        <w:t xml:space="preserve"> male rats treated with </w:t>
      </w:r>
      <w:r>
        <w:rPr>
          <w:rFonts w:cs="Arial"/>
          <w:lang w:bidi="ar-SA"/>
        </w:rPr>
        <w:t>≥</w:t>
      </w:r>
      <w:r>
        <w:rPr>
          <w:lang w:bidi="ar-SA"/>
        </w:rPr>
        <w:t xml:space="preserve"> 10 mg/kg bw/day AFPO had increased incidence of emaciation, urine-stained abdominal fur, and decreased motor activity, and F</w:t>
      </w:r>
      <w:r w:rsidR="00A66323">
        <w:rPr>
          <w:lang w:bidi="ar-SA"/>
        </w:rPr>
        <w:t>1</w:t>
      </w:r>
      <w:r>
        <w:rPr>
          <w:lang w:bidi="ar-SA"/>
        </w:rPr>
        <w:t xml:space="preserve"> male rats in the 30 mg/kg bw/day group had increased incidence of abdominal distension. However</w:t>
      </w:r>
      <w:r w:rsidR="007F02A2">
        <w:rPr>
          <w:lang w:bidi="ar-SA"/>
        </w:rPr>
        <w:t>,</w:t>
      </w:r>
      <w:r>
        <w:rPr>
          <w:lang w:bidi="ar-SA"/>
        </w:rPr>
        <w:t xml:space="preserve"> there were no treatment-related clinical observations in the F</w:t>
      </w:r>
      <w:r w:rsidR="00A66323">
        <w:rPr>
          <w:lang w:bidi="ar-SA"/>
        </w:rPr>
        <w:t>1</w:t>
      </w:r>
      <w:r>
        <w:rPr>
          <w:lang w:bidi="ar-SA"/>
        </w:rPr>
        <w:t xml:space="preserve"> females at any APFO dose level.</w:t>
      </w:r>
    </w:p>
    <w:p w14:paraId="4D717BBD" w14:textId="77777777" w:rsidR="008365BB" w:rsidRDefault="008365BB" w:rsidP="00A111E9">
      <w:pPr>
        <w:rPr>
          <w:lang w:bidi="ar-SA"/>
        </w:rPr>
      </w:pPr>
    </w:p>
    <w:p w14:paraId="15A4D80E" w14:textId="6C62F8CB" w:rsidR="008365BB" w:rsidRDefault="008365BB" w:rsidP="00A111E9">
      <w:pPr>
        <w:rPr>
          <w:lang w:bidi="ar-SA"/>
        </w:rPr>
      </w:pPr>
      <w:r>
        <w:rPr>
          <w:lang w:bidi="ar-SA"/>
        </w:rPr>
        <w:t xml:space="preserve">Statistically significant decreases in </w:t>
      </w:r>
      <w:r w:rsidR="00E83E80">
        <w:rPr>
          <w:lang w:bidi="ar-SA"/>
        </w:rPr>
        <w:t>body weight</w:t>
      </w:r>
      <w:r>
        <w:rPr>
          <w:lang w:bidi="ar-SA"/>
        </w:rPr>
        <w:t xml:space="preserve"> and </w:t>
      </w:r>
      <w:r w:rsidR="00E83E80">
        <w:rPr>
          <w:lang w:bidi="ar-SA"/>
        </w:rPr>
        <w:t>body weight</w:t>
      </w:r>
      <w:r>
        <w:rPr>
          <w:lang w:bidi="ar-SA"/>
        </w:rPr>
        <w:t xml:space="preserve"> gain occurred in F</w:t>
      </w:r>
      <w:r w:rsidR="00A66323">
        <w:rPr>
          <w:lang w:bidi="ar-SA"/>
        </w:rPr>
        <w:t>1</w:t>
      </w:r>
      <w:r>
        <w:rPr>
          <w:lang w:bidi="ar-SA"/>
        </w:rPr>
        <w:t xml:space="preserve"> males in the 30 mg/kg bw/day group during both the juvenile (weaning to 35 days) and peripubertal (55-60 days of age), and a corresponding decrease in </w:t>
      </w:r>
      <w:r w:rsidR="00E83E80">
        <w:rPr>
          <w:lang w:bidi="ar-SA"/>
        </w:rPr>
        <w:t>body weight</w:t>
      </w:r>
      <w:r>
        <w:rPr>
          <w:lang w:bidi="ar-SA"/>
        </w:rPr>
        <w:t xml:space="preserve"> gain in the 10 mg/kg bw/day males developed at the end of the peripubertal period. In the adult F</w:t>
      </w:r>
      <w:r w:rsidR="00A66323">
        <w:rPr>
          <w:lang w:bidi="ar-SA"/>
        </w:rPr>
        <w:t>1</w:t>
      </w:r>
      <w:r>
        <w:rPr>
          <w:lang w:bidi="ar-SA"/>
        </w:rPr>
        <w:t xml:space="preserve"> males, all </w:t>
      </w:r>
      <w:r w:rsidRPr="000A10B2">
        <w:rPr>
          <w:lang w:bidi="ar-SA"/>
        </w:rPr>
        <w:t xml:space="preserve">treated groups exhibited </w:t>
      </w:r>
      <w:r>
        <w:rPr>
          <w:lang w:bidi="ar-SA"/>
        </w:rPr>
        <w:t xml:space="preserve">significantly </w:t>
      </w:r>
      <w:r w:rsidRPr="000A10B2">
        <w:rPr>
          <w:lang w:bidi="ar-SA"/>
        </w:rPr>
        <w:t xml:space="preserve">decreased mean body weight by termination, although the decreases were &lt; 10% in the </w:t>
      </w:r>
      <w:r w:rsidRPr="000A10B2">
        <w:rPr>
          <w:rFonts w:cs="Arial"/>
          <w:lang w:bidi="ar-SA"/>
        </w:rPr>
        <w:t>≤</w:t>
      </w:r>
      <w:r w:rsidRPr="000A10B2">
        <w:rPr>
          <w:lang w:bidi="ar-SA"/>
        </w:rPr>
        <w:t xml:space="preserve"> 3 </w:t>
      </w:r>
      <w:r>
        <w:rPr>
          <w:lang w:bidi="ar-SA"/>
        </w:rPr>
        <w:t>mg/kg bw/day</w:t>
      </w:r>
      <w:r w:rsidRPr="000A10B2">
        <w:rPr>
          <w:lang w:bidi="ar-SA"/>
        </w:rPr>
        <w:t xml:space="preserve"> groups.</w:t>
      </w:r>
      <w:r>
        <w:rPr>
          <w:lang w:bidi="ar-SA"/>
        </w:rPr>
        <w:t xml:space="preserve"> In female F</w:t>
      </w:r>
      <w:r w:rsidR="00A66323">
        <w:rPr>
          <w:lang w:bidi="ar-SA"/>
        </w:rPr>
        <w:t>1</w:t>
      </w:r>
      <w:r>
        <w:rPr>
          <w:lang w:bidi="ar-SA"/>
        </w:rPr>
        <w:t xml:space="preserve"> rats, a dose-related lower group mean </w:t>
      </w:r>
      <w:r w:rsidR="00E83E80">
        <w:rPr>
          <w:lang w:bidi="ar-SA"/>
        </w:rPr>
        <w:t>body weight</w:t>
      </w:r>
      <w:r>
        <w:rPr>
          <w:lang w:bidi="ar-SA"/>
        </w:rPr>
        <w:t>, relative to that of controls, was evident only in the 30 mg/kg bw/day group, in which it was first noted at the peripubertal time</w:t>
      </w:r>
      <w:r w:rsidR="00032CF6">
        <w:rPr>
          <w:lang w:bidi="ar-SA"/>
        </w:rPr>
        <w:t>point</w:t>
      </w:r>
      <w:r>
        <w:rPr>
          <w:lang w:bidi="ar-SA"/>
        </w:rPr>
        <w:t xml:space="preserve"> (15 days post</w:t>
      </w:r>
      <w:r w:rsidR="000203C4">
        <w:rPr>
          <w:lang w:bidi="ar-SA"/>
        </w:rPr>
        <w:t>weaning</w:t>
      </w:r>
      <w:r>
        <w:rPr>
          <w:lang w:bidi="ar-SA"/>
        </w:rPr>
        <w:t xml:space="preserve">; approximate age 35 days), and group mean </w:t>
      </w:r>
      <w:r w:rsidR="00E83E80">
        <w:rPr>
          <w:lang w:bidi="ar-SA"/>
        </w:rPr>
        <w:t>body weight</w:t>
      </w:r>
      <w:r>
        <w:rPr>
          <w:lang w:bidi="ar-SA"/>
        </w:rPr>
        <w:t xml:space="preserve"> of this group remained significantly lower than that of controls throughout most of gestation and lactation, through to terminal </w:t>
      </w:r>
      <w:r w:rsidR="00E83E80">
        <w:rPr>
          <w:lang w:bidi="ar-SA"/>
        </w:rPr>
        <w:t>body weight</w:t>
      </w:r>
      <w:r>
        <w:rPr>
          <w:lang w:bidi="ar-SA"/>
        </w:rPr>
        <w:t xml:space="preserve"> at weaning.</w:t>
      </w:r>
    </w:p>
    <w:p w14:paraId="7001551E" w14:textId="77777777" w:rsidR="008365BB" w:rsidRDefault="008365BB" w:rsidP="00A111E9">
      <w:pPr>
        <w:rPr>
          <w:lang w:bidi="ar-SA"/>
        </w:rPr>
      </w:pPr>
    </w:p>
    <w:p w14:paraId="7E2B5D66" w14:textId="47765E2D" w:rsidR="008365BB" w:rsidRDefault="008365BB" w:rsidP="00A111E9">
      <w:pPr>
        <w:rPr>
          <w:lang w:bidi="ar-SA"/>
        </w:rPr>
      </w:pPr>
      <w:r>
        <w:rPr>
          <w:lang w:bidi="ar-SA"/>
        </w:rPr>
        <w:t xml:space="preserve">There were no treatment-related gross findings in the F1 females at necropsy, but the males in the </w:t>
      </w:r>
      <w:r>
        <w:rPr>
          <w:rFonts w:cs="Arial"/>
          <w:lang w:bidi="ar-SA"/>
        </w:rPr>
        <w:t>≥</w:t>
      </w:r>
      <w:r>
        <w:rPr>
          <w:lang w:bidi="ar-SA"/>
        </w:rPr>
        <w:t xml:space="preserve"> 3 mg/kg bw/day APFO groups had hepatic discolouration that correlated with hepatocellular hypertrophy and focal to multifocal hepatocellular necrosis. The incidence of these findings increased between 3 and 10 mg/kg bw/day (6/60 </w:t>
      </w:r>
      <w:r w:rsidR="001B6877">
        <w:rPr>
          <w:lang w:bidi="ar-SA"/>
        </w:rPr>
        <w:t>vs</w:t>
      </w:r>
      <w:r>
        <w:rPr>
          <w:lang w:bidi="ar-SA"/>
        </w:rPr>
        <w:t xml:space="preserve"> 10/60), but not between 10 and 30 mg/kg bw/day (10/60 </w:t>
      </w:r>
      <w:r w:rsidR="001B6877">
        <w:rPr>
          <w:lang w:bidi="ar-SA"/>
        </w:rPr>
        <w:t>vs</w:t>
      </w:r>
      <w:r>
        <w:rPr>
          <w:lang w:bidi="ar-SA"/>
        </w:rPr>
        <w:t xml:space="preserve"> 9/60). Grade of severity was not reported. There was a dose-related increased in absolute and relative liver weight at all dose levels in F</w:t>
      </w:r>
      <w:r w:rsidR="00A66323">
        <w:rPr>
          <w:lang w:bidi="ar-SA"/>
        </w:rPr>
        <w:t>1</w:t>
      </w:r>
      <w:r>
        <w:rPr>
          <w:vertAlign w:val="subscript"/>
          <w:lang w:bidi="ar-SA"/>
        </w:rPr>
        <w:t xml:space="preserve"> </w:t>
      </w:r>
      <w:r>
        <w:rPr>
          <w:lang w:bidi="ar-SA"/>
        </w:rPr>
        <w:t xml:space="preserve">males in all treated groups, similar in magnitude to the same finding in </w:t>
      </w:r>
      <w:r w:rsidR="00A66323">
        <w:rPr>
          <w:lang w:bidi="ar-SA"/>
        </w:rPr>
        <w:t xml:space="preserve">F0 </w:t>
      </w:r>
      <w:r>
        <w:rPr>
          <w:lang w:bidi="ar-SA"/>
        </w:rPr>
        <w:t>generation males, but no corresponding effect was found in F</w:t>
      </w:r>
      <w:r w:rsidR="00A66323">
        <w:rPr>
          <w:lang w:bidi="ar-SA"/>
        </w:rPr>
        <w:t>1</w:t>
      </w:r>
      <w:r>
        <w:rPr>
          <w:lang w:bidi="ar-SA"/>
        </w:rPr>
        <w:t xml:space="preserve"> females. Other apparent changes in organ weights in the males were attributable to lower </w:t>
      </w:r>
      <w:r w:rsidR="00E83E80">
        <w:rPr>
          <w:lang w:bidi="ar-SA"/>
        </w:rPr>
        <w:t>body weight</w:t>
      </w:r>
      <w:r>
        <w:rPr>
          <w:lang w:bidi="ar-SA"/>
        </w:rPr>
        <w:t>. Hypertrophy and vacuolation of the adrenal zona glomerulosa was present in most (7/10) F</w:t>
      </w:r>
      <w:r w:rsidR="00A66323">
        <w:rPr>
          <w:lang w:bidi="ar-SA"/>
        </w:rPr>
        <w:t>1</w:t>
      </w:r>
      <w:r>
        <w:rPr>
          <w:lang w:bidi="ar-SA"/>
        </w:rPr>
        <w:t xml:space="preserve"> males in the 30 mg/kg bw/day group, but no similar lesions were observed in the 10 mg/kg bw/day group, which was in contrast to the </w:t>
      </w:r>
      <w:r w:rsidR="00A66323">
        <w:rPr>
          <w:lang w:bidi="ar-SA"/>
        </w:rPr>
        <w:t>F0</w:t>
      </w:r>
      <w:r>
        <w:rPr>
          <w:lang w:bidi="ar-SA"/>
        </w:rPr>
        <w:t xml:space="preserve"> generation. F</w:t>
      </w:r>
      <w:r w:rsidR="00A66323">
        <w:rPr>
          <w:lang w:bidi="ar-SA"/>
        </w:rPr>
        <w:t>1</w:t>
      </w:r>
      <w:r>
        <w:rPr>
          <w:lang w:bidi="ar-SA"/>
        </w:rPr>
        <w:t xml:space="preserve"> females treated with </w:t>
      </w:r>
      <w:r>
        <w:rPr>
          <w:rFonts w:cs="Arial"/>
          <w:lang w:bidi="ar-SA"/>
        </w:rPr>
        <w:t>≥</w:t>
      </w:r>
      <w:r>
        <w:rPr>
          <w:lang w:bidi="ar-SA"/>
        </w:rPr>
        <w:t xml:space="preserve"> 3 mg/kg bw/day AFPO had group mean pituitary weights that were statistically lower than those of controls, but this was not considered to be a treatment-related effect because differences were slight, individual values remained within normal range, there were no histological correlates, and there was no evidence of similar effects in males of any generation or in </w:t>
      </w:r>
      <w:r w:rsidR="00A66323">
        <w:rPr>
          <w:lang w:bidi="ar-SA"/>
        </w:rPr>
        <w:t>F0</w:t>
      </w:r>
      <w:r>
        <w:rPr>
          <w:lang w:bidi="ar-SA"/>
        </w:rPr>
        <w:t xml:space="preserve"> generation females.</w:t>
      </w:r>
    </w:p>
    <w:p w14:paraId="60AB1BD9" w14:textId="77777777" w:rsidR="008365BB" w:rsidRDefault="008365BB" w:rsidP="00A111E9">
      <w:pPr>
        <w:rPr>
          <w:lang w:bidi="ar-SA"/>
        </w:rPr>
      </w:pPr>
    </w:p>
    <w:p w14:paraId="1F582F2C" w14:textId="7920FFBD" w:rsidR="008365BB" w:rsidRDefault="008365BB" w:rsidP="00A111E9">
      <w:pPr>
        <w:rPr>
          <w:lang w:bidi="ar-SA"/>
        </w:rPr>
      </w:pPr>
      <w:r>
        <w:rPr>
          <w:lang w:bidi="ar-SA"/>
        </w:rPr>
        <w:t xml:space="preserve">As in the </w:t>
      </w:r>
      <w:r w:rsidR="00697F43">
        <w:rPr>
          <w:lang w:bidi="ar-SA"/>
        </w:rPr>
        <w:t>F0</w:t>
      </w:r>
      <w:r>
        <w:rPr>
          <w:lang w:bidi="ar-SA"/>
        </w:rPr>
        <w:t xml:space="preserve"> generation, there were no treatment-related effects on reproductive performance of either sex in the F</w:t>
      </w:r>
      <w:r w:rsidR="00697F43">
        <w:rPr>
          <w:lang w:bidi="ar-SA"/>
        </w:rPr>
        <w:t>1</w:t>
      </w:r>
      <w:r>
        <w:rPr>
          <w:lang w:bidi="ar-SA"/>
        </w:rPr>
        <w:t xml:space="preserve"> generation rats. </w:t>
      </w:r>
      <w:r w:rsidRPr="00BE40AA">
        <w:rPr>
          <w:lang w:bidi="ar-SA"/>
        </w:rPr>
        <w:t xml:space="preserve">Female rats in the 30 </w:t>
      </w:r>
      <w:r>
        <w:rPr>
          <w:lang w:bidi="ar-SA"/>
        </w:rPr>
        <w:t>mg/kg bw/day</w:t>
      </w:r>
      <w:r w:rsidRPr="00BE40AA">
        <w:rPr>
          <w:lang w:bidi="ar-SA"/>
        </w:rPr>
        <w:t xml:space="preserve"> group had a slight but statistically significant increase in the mean number of complete oestrus cycles per 21 days, but there was a lack of correlating evidence to suggest that this was other than incidental.</w:t>
      </w:r>
      <w:r>
        <w:rPr>
          <w:lang w:bidi="ar-SA"/>
        </w:rPr>
        <w:t xml:space="preserve"> As for the previous generation, pups in the 30 mg/kg bw/day group tended to have slightly to lower (6 to 9%) </w:t>
      </w:r>
      <w:r w:rsidR="00E83E80">
        <w:rPr>
          <w:lang w:bidi="ar-SA"/>
        </w:rPr>
        <w:t>body weight</w:t>
      </w:r>
      <w:r>
        <w:rPr>
          <w:lang w:bidi="ar-SA"/>
        </w:rPr>
        <w:t>s than controls, but the differences were not statistically significant, and there was no increase in mortality during or after the lactation period in F</w:t>
      </w:r>
      <w:r w:rsidR="00404FF0">
        <w:rPr>
          <w:lang w:bidi="ar-SA"/>
        </w:rPr>
        <w:t>2</w:t>
      </w:r>
      <w:r>
        <w:rPr>
          <w:lang w:bidi="ar-SA"/>
        </w:rPr>
        <w:t xml:space="preserve"> pups.</w:t>
      </w:r>
    </w:p>
    <w:p w14:paraId="15166E93" w14:textId="77777777" w:rsidR="008365BB" w:rsidRDefault="008365BB" w:rsidP="00A111E9">
      <w:pPr>
        <w:rPr>
          <w:lang w:bidi="ar-SA"/>
        </w:rPr>
      </w:pPr>
    </w:p>
    <w:p w14:paraId="189CAABD" w14:textId="4CCDDC51" w:rsidR="008365BB" w:rsidRDefault="008365BB" w:rsidP="00A111E9">
      <w:pPr>
        <w:rPr>
          <w:lang w:bidi="ar-SA"/>
        </w:rPr>
      </w:pPr>
      <w:r>
        <w:rPr>
          <w:lang w:bidi="ar-SA"/>
        </w:rPr>
        <w:t xml:space="preserve">In discussing the results, the authors noted that the sexually mature male rats were more sensitive to negative effects of AFPO on </w:t>
      </w:r>
      <w:r w:rsidR="00E83E80">
        <w:rPr>
          <w:lang w:bidi="ar-SA"/>
        </w:rPr>
        <w:t>body weight</w:t>
      </w:r>
      <w:r>
        <w:rPr>
          <w:lang w:bidi="ar-SA"/>
        </w:rPr>
        <w:t xml:space="preserve"> than the sexually immature males in the same dose group, and that this is consistent with a testosterone-mediated reduction in renal clearance rate of AFPO that has been demonstrated in other studies. Other studies were cited that show that castration of male rats greatly increases the rate of urinary excretion of PFOA, and that PFOA clearance is decreased in castrated male rats, and in </w:t>
      </w:r>
      <w:r>
        <w:rPr>
          <w:lang w:bidi="ar-SA"/>
        </w:rPr>
        <w:lastRenderedPageBreak/>
        <w:t>female rats, by treatment with testosterone. The current study supports the conclusion that sexually immature male rats have AFPO elimination kinetics closer to those of females than those of intact males. The authors further cited studies that have demonstrated that intact, sexually mature male rats have a much lower level of expression</w:t>
      </w:r>
      <w:r w:rsidR="00BF005D">
        <w:rPr>
          <w:lang w:bidi="ar-SA"/>
        </w:rPr>
        <w:t xml:space="preserve"> of</w:t>
      </w:r>
      <w:r>
        <w:rPr>
          <w:lang w:bidi="ar-SA"/>
        </w:rPr>
        <w:t xml:space="preserve"> the organic anion transporter protein OAT 2 than female rats.</w:t>
      </w:r>
    </w:p>
    <w:p w14:paraId="4D4EC404" w14:textId="77777777" w:rsidR="008365BB" w:rsidRDefault="008365BB" w:rsidP="00A111E9">
      <w:pPr>
        <w:rPr>
          <w:lang w:bidi="ar-SA"/>
        </w:rPr>
      </w:pPr>
    </w:p>
    <w:p w14:paraId="61C29F7F" w14:textId="68CD07A3" w:rsidR="008365BB" w:rsidRDefault="008365BB" w:rsidP="00A111E9">
      <w:pPr>
        <w:rPr>
          <w:lang w:bidi="ar-SA"/>
        </w:rPr>
      </w:pPr>
      <w:r>
        <w:rPr>
          <w:lang w:bidi="ar-SA"/>
        </w:rPr>
        <w:t xml:space="preserve">The cellular hypertrophy and vacuolation noted in the zona glomerulosa of adrenal glands in male rats in the 30 mg/kg bw/day group and, in the </w:t>
      </w:r>
      <w:r w:rsidR="0069539B">
        <w:rPr>
          <w:lang w:bidi="ar-SA"/>
        </w:rPr>
        <w:t>F0</w:t>
      </w:r>
      <w:r>
        <w:rPr>
          <w:lang w:bidi="ar-SA"/>
        </w:rPr>
        <w:t xml:space="preserve"> generation, the 10 mg/kg bw/day group, was a novel finding not previously reported in rats treated with AFPO. The pathogenesis of this lesion is unknown. The authors noted that the same lesions have been observed in rats treated with the hypolipidaemic drug nafenopin, which is also a peroxisome proliferator.</w:t>
      </w:r>
    </w:p>
    <w:p w14:paraId="026DC75F" w14:textId="77777777" w:rsidR="008365BB" w:rsidRDefault="008365BB" w:rsidP="00A111E9">
      <w:pPr>
        <w:rPr>
          <w:lang w:bidi="ar-SA"/>
        </w:rPr>
      </w:pPr>
    </w:p>
    <w:p w14:paraId="48864122" w14:textId="77777777" w:rsidR="008365BB" w:rsidRDefault="008365BB" w:rsidP="00A111E9">
      <w:pPr>
        <w:rPr>
          <w:lang w:bidi="ar-SA"/>
        </w:rPr>
      </w:pPr>
      <w:r>
        <w:rPr>
          <w:lang w:bidi="ar-SA"/>
        </w:rPr>
        <w:t xml:space="preserve">A NOAEL for parental toxicity was not observed </w:t>
      </w:r>
      <w:r w:rsidRPr="00E24FB6">
        <w:rPr>
          <w:lang w:bidi="ar-SA"/>
        </w:rPr>
        <w:t>because all dose levels were associated with significantly dec</w:t>
      </w:r>
      <w:r>
        <w:rPr>
          <w:lang w:bidi="ar-SA"/>
        </w:rPr>
        <w:t xml:space="preserve">reased body weight in F1 males. The reproductive NOAEL was &gt;30 mg/kg bw/day. The offspring NOAEL was </w:t>
      </w:r>
      <w:r w:rsidRPr="00E24FB6">
        <w:rPr>
          <w:lang w:bidi="ar-SA"/>
        </w:rPr>
        <w:t xml:space="preserve">10 mg/kg bw/day </w:t>
      </w:r>
      <w:r>
        <w:rPr>
          <w:lang w:bidi="ar-SA"/>
        </w:rPr>
        <w:t>based on pup mortality and decreased body weight and delayed sexual maturation at higher doses.</w:t>
      </w:r>
    </w:p>
    <w:p w14:paraId="617D82FA" w14:textId="77777777" w:rsidR="008365BB" w:rsidRDefault="008365BB" w:rsidP="00A111E9">
      <w:pPr>
        <w:rPr>
          <w:lang w:bidi="ar-SA"/>
        </w:rPr>
      </w:pPr>
    </w:p>
    <w:p w14:paraId="2716A88F" w14:textId="746543C8" w:rsidR="008365BB" w:rsidRDefault="008365BB" w:rsidP="00A111E9">
      <w:pPr>
        <w:rPr>
          <w:lang w:bidi="ar-SA"/>
        </w:rPr>
      </w:pPr>
      <w:r>
        <w:rPr>
          <w:lang w:bidi="ar-SA"/>
        </w:rPr>
        <w:t xml:space="preserve">Group mean serum PFOA concentrations are presented in </w:t>
      </w:r>
      <w:r w:rsidR="00125A88">
        <w:rPr>
          <w:lang w:bidi="ar-SA"/>
        </w:rPr>
        <w:t xml:space="preserve">Table </w:t>
      </w:r>
      <w:r w:rsidR="008521AC">
        <w:rPr>
          <w:lang w:bidi="ar-SA"/>
        </w:rPr>
        <w:t>30</w:t>
      </w:r>
      <w:r w:rsidR="00125A88">
        <w:rPr>
          <w:lang w:bidi="ar-SA"/>
        </w:rPr>
        <w:t>.</w:t>
      </w:r>
    </w:p>
    <w:p w14:paraId="7FF720F3" w14:textId="77777777" w:rsidR="00527321" w:rsidRDefault="00527321" w:rsidP="00A111E9">
      <w:pPr>
        <w:rPr>
          <w:lang w:bidi="ar-SA"/>
        </w:rPr>
      </w:pPr>
    </w:p>
    <w:p w14:paraId="2B4D3378" w14:textId="0DC1F53D" w:rsidR="008365BB" w:rsidRDefault="00527321" w:rsidP="00A111E9">
      <w:pPr>
        <w:pStyle w:val="FSTableTitle"/>
        <w:rPr>
          <w:lang w:bidi="ar-SA"/>
        </w:rPr>
      </w:pPr>
      <w:r>
        <w:rPr>
          <w:lang w:bidi="ar-SA"/>
        </w:rPr>
        <w:t xml:space="preserve">Table </w:t>
      </w:r>
      <w:r w:rsidR="00A319B5">
        <w:rPr>
          <w:lang w:bidi="ar-SA"/>
        </w:rPr>
        <w:t>30</w:t>
      </w:r>
      <w:r>
        <w:rPr>
          <w:lang w:bidi="ar-SA"/>
        </w:rPr>
        <w:t xml:space="preserve">: </w:t>
      </w:r>
      <w:r w:rsidRPr="00527321">
        <w:rPr>
          <w:lang w:bidi="ar-SA"/>
        </w:rPr>
        <w:t xml:space="preserve">Group </w:t>
      </w:r>
      <w:r w:rsidR="00DB0B1B">
        <w:rPr>
          <w:lang w:bidi="ar-SA"/>
        </w:rPr>
        <w:t>m</w:t>
      </w:r>
      <w:r w:rsidR="00DB0B1B" w:rsidRPr="00527321">
        <w:rPr>
          <w:lang w:bidi="ar-SA"/>
        </w:rPr>
        <w:t xml:space="preserve">ean </w:t>
      </w:r>
      <w:r w:rsidRPr="00527321">
        <w:rPr>
          <w:lang w:bidi="ar-SA"/>
        </w:rPr>
        <w:t xml:space="preserve">PFOA concentrations of </w:t>
      </w:r>
      <w:r w:rsidR="0069539B">
        <w:rPr>
          <w:lang w:bidi="ar-SA"/>
        </w:rPr>
        <w:t>F0</w:t>
      </w:r>
      <w:r w:rsidRPr="00527321">
        <w:rPr>
          <w:lang w:bidi="ar-SA"/>
        </w:rPr>
        <w:t xml:space="preserve"> and F1 generation rats at termination, 24 h after last dose</w:t>
      </w:r>
    </w:p>
    <w:tbl>
      <w:tblPr>
        <w:tblStyle w:val="TableGrid"/>
        <w:tblW w:w="0" w:type="auto"/>
        <w:tblLook w:val="04A0" w:firstRow="1" w:lastRow="0" w:firstColumn="1" w:lastColumn="0" w:noHBand="0" w:noVBand="1"/>
        <w:tblCaption w:val="Table 30: Group mean PFOA concentrations of F0 and F1 generation rats at termination, 24 h after last dose"/>
        <w:tblDescription w:val="This table contains data relating to group mean PFOA concentrations of F0 and F1 generation rats at termination, 24 h after last dose."/>
      </w:tblPr>
      <w:tblGrid>
        <w:gridCol w:w="2493"/>
        <w:gridCol w:w="2068"/>
        <w:gridCol w:w="2068"/>
      </w:tblGrid>
      <w:tr w:rsidR="008365BB" w14:paraId="66851875" w14:textId="77777777" w:rsidTr="000830C5">
        <w:trPr>
          <w:tblHeader/>
        </w:trPr>
        <w:tc>
          <w:tcPr>
            <w:tcW w:w="2493" w:type="dxa"/>
            <w:shd w:val="clear" w:color="auto" w:fill="F2F2F2" w:themeFill="background1" w:themeFillShade="F2"/>
            <w:vAlign w:val="center"/>
          </w:tcPr>
          <w:p w14:paraId="71D52DE6" w14:textId="77777777" w:rsidR="008365BB" w:rsidRPr="000B3C14" w:rsidRDefault="008365BB" w:rsidP="000830C5">
            <w:pPr>
              <w:spacing w:before="20" w:after="20"/>
              <w:jc w:val="right"/>
              <w:rPr>
                <w:rFonts w:ascii="Arial" w:hAnsi="Arial"/>
                <w:b/>
                <w:sz w:val="18"/>
              </w:rPr>
            </w:pPr>
            <w:r w:rsidRPr="00D711DD">
              <w:rPr>
                <w:b/>
                <w:sz w:val="18"/>
              </w:rPr>
              <w:t>Dose level (mg/kg bw/day)</w:t>
            </w:r>
          </w:p>
        </w:tc>
        <w:tc>
          <w:tcPr>
            <w:tcW w:w="2068" w:type="dxa"/>
            <w:shd w:val="clear" w:color="auto" w:fill="F2F2F2" w:themeFill="background1" w:themeFillShade="F2"/>
            <w:vAlign w:val="center"/>
          </w:tcPr>
          <w:p w14:paraId="1A4EB722" w14:textId="77777777" w:rsidR="008365BB" w:rsidRPr="00F6284E" w:rsidRDefault="008365BB" w:rsidP="000830C5">
            <w:pPr>
              <w:spacing w:before="20" w:after="20"/>
              <w:jc w:val="right"/>
              <w:rPr>
                <w:rFonts w:ascii="Arial" w:hAnsi="Arial"/>
                <w:b/>
                <w:sz w:val="18"/>
              </w:rPr>
            </w:pPr>
            <w:r w:rsidRPr="000B3C14">
              <w:rPr>
                <w:b/>
                <w:sz w:val="18"/>
              </w:rPr>
              <w:t>Males</w:t>
            </w:r>
          </w:p>
        </w:tc>
        <w:tc>
          <w:tcPr>
            <w:tcW w:w="2068" w:type="dxa"/>
            <w:shd w:val="clear" w:color="auto" w:fill="F2F2F2" w:themeFill="background1" w:themeFillShade="F2"/>
            <w:vAlign w:val="center"/>
          </w:tcPr>
          <w:p w14:paraId="58D46074" w14:textId="77777777" w:rsidR="008365BB" w:rsidRPr="00F6284E" w:rsidRDefault="008365BB" w:rsidP="000830C5">
            <w:pPr>
              <w:spacing w:before="20" w:after="20"/>
              <w:jc w:val="right"/>
              <w:rPr>
                <w:rFonts w:ascii="Arial" w:hAnsi="Arial"/>
                <w:b/>
                <w:sz w:val="18"/>
              </w:rPr>
            </w:pPr>
            <w:r w:rsidRPr="00F6284E">
              <w:rPr>
                <w:b/>
                <w:sz w:val="18"/>
              </w:rPr>
              <w:t>Females</w:t>
            </w:r>
          </w:p>
        </w:tc>
      </w:tr>
      <w:tr w:rsidR="008365BB" w14:paraId="2E9A9946" w14:textId="77777777" w:rsidTr="000830C5">
        <w:trPr>
          <w:trHeight w:val="227"/>
        </w:trPr>
        <w:tc>
          <w:tcPr>
            <w:tcW w:w="2493" w:type="dxa"/>
            <w:vAlign w:val="center"/>
          </w:tcPr>
          <w:p w14:paraId="1B0823F0" w14:textId="77777777" w:rsidR="008365BB" w:rsidRPr="000B3C14" w:rsidRDefault="008365BB" w:rsidP="000830C5">
            <w:pPr>
              <w:jc w:val="right"/>
              <w:rPr>
                <w:rFonts w:ascii="Arial" w:hAnsi="Arial"/>
                <w:sz w:val="18"/>
              </w:rPr>
            </w:pPr>
            <w:r w:rsidRPr="00D711DD">
              <w:rPr>
                <w:sz w:val="18"/>
              </w:rPr>
              <w:t>0</w:t>
            </w:r>
          </w:p>
        </w:tc>
        <w:tc>
          <w:tcPr>
            <w:tcW w:w="2068" w:type="dxa"/>
            <w:vAlign w:val="center"/>
          </w:tcPr>
          <w:p w14:paraId="22576317" w14:textId="77777777" w:rsidR="008365BB" w:rsidRPr="00F6284E" w:rsidRDefault="008365BB" w:rsidP="000830C5">
            <w:pPr>
              <w:jc w:val="right"/>
              <w:rPr>
                <w:rFonts w:ascii="Arial" w:hAnsi="Arial"/>
                <w:sz w:val="18"/>
              </w:rPr>
            </w:pPr>
            <w:r w:rsidRPr="000B3C14">
              <w:rPr>
                <w:sz w:val="18"/>
              </w:rPr>
              <w:t>0.034 ± 0.015 mg/mL</w:t>
            </w:r>
          </w:p>
        </w:tc>
        <w:tc>
          <w:tcPr>
            <w:tcW w:w="2068" w:type="dxa"/>
            <w:vAlign w:val="center"/>
          </w:tcPr>
          <w:p w14:paraId="0D8125FA" w14:textId="77777777" w:rsidR="008365BB" w:rsidRPr="00F6284E" w:rsidRDefault="008365BB" w:rsidP="000830C5">
            <w:pPr>
              <w:jc w:val="right"/>
              <w:rPr>
                <w:rFonts w:ascii="Arial" w:hAnsi="Arial"/>
                <w:sz w:val="18"/>
              </w:rPr>
            </w:pPr>
            <w:r w:rsidRPr="00F6284E">
              <w:rPr>
                <w:sz w:val="18"/>
              </w:rPr>
              <w:t>&lt; 0.005 ppm</w:t>
            </w:r>
          </w:p>
        </w:tc>
      </w:tr>
      <w:tr w:rsidR="008365BB" w14:paraId="5D91F4C8" w14:textId="77777777" w:rsidTr="000830C5">
        <w:trPr>
          <w:trHeight w:val="227"/>
        </w:trPr>
        <w:tc>
          <w:tcPr>
            <w:tcW w:w="2493" w:type="dxa"/>
            <w:vAlign w:val="center"/>
          </w:tcPr>
          <w:p w14:paraId="7BF6E7C5" w14:textId="77777777" w:rsidR="008365BB" w:rsidRPr="000B3C14" w:rsidRDefault="008365BB" w:rsidP="000830C5">
            <w:pPr>
              <w:jc w:val="right"/>
              <w:rPr>
                <w:rFonts w:ascii="Arial" w:hAnsi="Arial"/>
                <w:sz w:val="18"/>
              </w:rPr>
            </w:pPr>
            <w:r w:rsidRPr="00D711DD">
              <w:rPr>
                <w:sz w:val="18"/>
              </w:rPr>
              <w:t>10</w:t>
            </w:r>
          </w:p>
        </w:tc>
        <w:tc>
          <w:tcPr>
            <w:tcW w:w="2068" w:type="dxa"/>
            <w:vAlign w:val="center"/>
          </w:tcPr>
          <w:p w14:paraId="4A266C7F" w14:textId="77777777" w:rsidR="008365BB" w:rsidRPr="00F6284E" w:rsidRDefault="008365BB" w:rsidP="000830C5">
            <w:pPr>
              <w:jc w:val="right"/>
              <w:rPr>
                <w:rFonts w:ascii="Arial" w:hAnsi="Arial"/>
                <w:sz w:val="18"/>
              </w:rPr>
            </w:pPr>
            <w:r w:rsidRPr="000B3C14">
              <w:rPr>
                <w:sz w:val="18"/>
              </w:rPr>
              <w:t>51.5 ± 9.3 mg/mL</w:t>
            </w:r>
          </w:p>
        </w:tc>
        <w:tc>
          <w:tcPr>
            <w:tcW w:w="2068" w:type="dxa"/>
            <w:vAlign w:val="center"/>
          </w:tcPr>
          <w:p w14:paraId="3F1D2E9C" w14:textId="77777777" w:rsidR="008365BB" w:rsidRPr="00F6284E" w:rsidRDefault="008365BB" w:rsidP="000830C5">
            <w:pPr>
              <w:jc w:val="right"/>
              <w:rPr>
                <w:rFonts w:ascii="Arial" w:hAnsi="Arial"/>
                <w:sz w:val="18"/>
              </w:rPr>
            </w:pPr>
            <w:r w:rsidRPr="00F6284E">
              <w:rPr>
                <w:sz w:val="18"/>
              </w:rPr>
              <w:t>0.37 ± 0.08 ppm</w:t>
            </w:r>
          </w:p>
        </w:tc>
      </w:tr>
      <w:tr w:rsidR="008365BB" w14:paraId="4FEE52AE" w14:textId="77777777" w:rsidTr="000830C5">
        <w:trPr>
          <w:trHeight w:val="227"/>
        </w:trPr>
        <w:tc>
          <w:tcPr>
            <w:tcW w:w="2493" w:type="dxa"/>
            <w:vAlign w:val="center"/>
          </w:tcPr>
          <w:p w14:paraId="43687BE4" w14:textId="77777777" w:rsidR="008365BB" w:rsidRPr="000B3C14" w:rsidRDefault="008365BB" w:rsidP="000830C5">
            <w:pPr>
              <w:jc w:val="right"/>
              <w:rPr>
                <w:rFonts w:ascii="Arial" w:hAnsi="Arial"/>
                <w:sz w:val="18"/>
              </w:rPr>
            </w:pPr>
            <w:r w:rsidRPr="00D711DD">
              <w:rPr>
                <w:sz w:val="18"/>
              </w:rPr>
              <w:t>3</w:t>
            </w:r>
            <w:r w:rsidRPr="000B3C14">
              <w:rPr>
                <w:sz w:val="18"/>
              </w:rPr>
              <w:t>0</w:t>
            </w:r>
          </w:p>
        </w:tc>
        <w:tc>
          <w:tcPr>
            <w:tcW w:w="2068" w:type="dxa"/>
            <w:vAlign w:val="center"/>
          </w:tcPr>
          <w:p w14:paraId="1A65AE80" w14:textId="77777777" w:rsidR="008365BB" w:rsidRPr="00F6284E" w:rsidRDefault="008365BB" w:rsidP="000830C5">
            <w:pPr>
              <w:jc w:val="right"/>
              <w:rPr>
                <w:rFonts w:ascii="Arial" w:hAnsi="Arial"/>
                <w:sz w:val="18"/>
              </w:rPr>
            </w:pPr>
            <w:r w:rsidRPr="00F6284E">
              <w:rPr>
                <w:sz w:val="18"/>
              </w:rPr>
              <w:t>45.3 ± 12.6 mg/mL</w:t>
            </w:r>
          </w:p>
        </w:tc>
        <w:tc>
          <w:tcPr>
            <w:tcW w:w="2068" w:type="dxa"/>
            <w:vAlign w:val="center"/>
          </w:tcPr>
          <w:p w14:paraId="49E421B7" w14:textId="77777777" w:rsidR="008365BB" w:rsidRPr="00F6284E" w:rsidRDefault="008365BB" w:rsidP="000830C5">
            <w:pPr>
              <w:jc w:val="right"/>
              <w:rPr>
                <w:rFonts w:ascii="Arial" w:hAnsi="Arial"/>
                <w:sz w:val="18"/>
              </w:rPr>
            </w:pPr>
            <w:r w:rsidRPr="00F6284E">
              <w:rPr>
                <w:sz w:val="18"/>
              </w:rPr>
              <w:t>1.02 ± 0.43 ppm</w:t>
            </w:r>
          </w:p>
        </w:tc>
      </w:tr>
    </w:tbl>
    <w:p w14:paraId="04E6B7F4" w14:textId="2D3E6A0E" w:rsidR="008365BB" w:rsidRDefault="008365BB" w:rsidP="00A111E9">
      <w:pPr>
        <w:rPr>
          <w:lang w:bidi="ar-SA"/>
        </w:rPr>
      </w:pPr>
    </w:p>
    <w:p w14:paraId="222BBDD8" w14:textId="77777777" w:rsidR="008365BB" w:rsidRDefault="008365BB" w:rsidP="00A111E9">
      <w:pPr>
        <w:rPr>
          <w:lang w:bidi="ar-SA"/>
        </w:rPr>
      </w:pPr>
    </w:p>
    <w:p w14:paraId="031ED5C6" w14:textId="77777777" w:rsidR="008365BB" w:rsidRDefault="008365BB" w:rsidP="00684A16">
      <w:pPr>
        <w:pStyle w:val="Heading5"/>
      </w:pPr>
      <w:r>
        <w:t>Special toxicity studies</w:t>
      </w:r>
    </w:p>
    <w:p w14:paraId="640013BD" w14:textId="77777777" w:rsidR="008365BB" w:rsidRDefault="008365BB" w:rsidP="00684A16">
      <w:pPr>
        <w:pStyle w:val="Heading5"/>
      </w:pPr>
      <w:r w:rsidRPr="006F41FB">
        <w:t>Immunotoxicity</w:t>
      </w:r>
    </w:p>
    <w:p w14:paraId="5941F2AA" w14:textId="1A002D8D" w:rsidR="008365BB" w:rsidRDefault="008365BB" w:rsidP="00A111E9">
      <w:pPr>
        <w:rPr>
          <w:lang w:bidi="ar-SA"/>
        </w:rPr>
      </w:pPr>
      <w:r>
        <w:rPr>
          <w:b/>
          <w:lang w:bidi="ar-SA"/>
        </w:rPr>
        <w:t xml:space="preserve">DeWitt </w:t>
      </w:r>
      <w:r w:rsidR="00180A32" w:rsidRPr="00180A32">
        <w:rPr>
          <w:b/>
          <w:i/>
        </w:rPr>
        <w:t xml:space="preserve">et al. </w:t>
      </w:r>
      <w:r w:rsidR="00CC50B8">
        <w:rPr>
          <w:b/>
        </w:rPr>
        <w:t xml:space="preserve"> </w:t>
      </w:r>
      <w:r>
        <w:rPr>
          <w:b/>
          <w:lang w:bidi="ar-SA"/>
        </w:rPr>
        <w:t xml:space="preserve">2008 immunotoxicity study in female mice </w:t>
      </w:r>
    </w:p>
    <w:p w14:paraId="52074BFB" w14:textId="77777777" w:rsidR="008365BB" w:rsidRDefault="008365BB" w:rsidP="00A111E9">
      <w:pPr>
        <w:rPr>
          <w:lang w:bidi="ar-SA"/>
        </w:rPr>
      </w:pPr>
    </w:p>
    <w:p w14:paraId="7CFACF6B" w14:textId="77777777" w:rsidR="008365BB" w:rsidRDefault="008365BB" w:rsidP="00A111E9">
      <w:pPr>
        <w:rPr>
          <w:lang w:bidi="ar-SA"/>
        </w:rPr>
      </w:pPr>
      <w:r>
        <w:rPr>
          <w:lang w:bidi="ar-SA"/>
        </w:rPr>
        <w:t>The studies reported in this paper were conducted on young adult female mice that were group-housed, 8/cage, under standard laboratory husbandry conditions.</w:t>
      </w:r>
      <w:r w:rsidRPr="00295343">
        <w:t xml:space="preserve"> </w:t>
      </w:r>
      <w:r w:rsidRPr="00295343">
        <w:rPr>
          <w:lang w:bidi="ar-SA"/>
        </w:rPr>
        <w:t>The authors state that there were 40 mice ‘per endpoint’ although it is not clear from the paper what is meant by endpoints.</w:t>
      </w:r>
    </w:p>
    <w:p w14:paraId="3CF44A03" w14:textId="77777777" w:rsidR="008365BB" w:rsidRDefault="008365BB" w:rsidP="00A111E9">
      <w:pPr>
        <w:rPr>
          <w:lang w:bidi="ar-SA"/>
        </w:rPr>
      </w:pPr>
    </w:p>
    <w:p w14:paraId="02C81E99" w14:textId="4B44D550" w:rsidR="008365BB" w:rsidRDefault="008365BB" w:rsidP="00A111E9">
      <w:pPr>
        <w:rPr>
          <w:lang w:bidi="ar-SA"/>
        </w:rPr>
      </w:pPr>
      <w:r>
        <w:rPr>
          <w:lang w:bidi="ar-SA"/>
        </w:rPr>
        <w:t>The ‘recovery study’ was conducted using C57BL/6J mice and included three groups of mice. The control group was dosed daily by oral gavage for 15 days with the vehicle control, which was water. One treatment group was dosed with 30 mg/kg</w:t>
      </w:r>
      <w:r w:rsidR="00BF005D">
        <w:rPr>
          <w:lang w:bidi="ar-SA"/>
        </w:rPr>
        <w:t xml:space="preserve"> bw/day</w:t>
      </w:r>
      <w:r>
        <w:rPr>
          <w:lang w:bidi="ar-SA"/>
        </w:rPr>
        <w:t xml:space="preserve"> PFOA </w:t>
      </w:r>
      <w:r w:rsidRPr="00625120">
        <w:rPr>
          <w:lang w:bidi="ar-SA"/>
        </w:rPr>
        <w:t>by oral gavage</w:t>
      </w:r>
      <w:r>
        <w:rPr>
          <w:lang w:bidi="ar-SA"/>
        </w:rPr>
        <w:t xml:space="preserve"> for 15 days, while the other treatment group was dosed with 30 mg/kg</w:t>
      </w:r>
      <w:r w:rsidR="00BF005D">
        <w:rPr>
          <w:lang w:bidi="ar-SA"/>
        </w:rPr>
        <w:t xml:space="preserve"> bw/day</w:t>
      </w:r>
      <w:r>
        <w:rPr>
          <w:lang w:bidi="ar-SA"/>
        </w:rPr>
        <w:t xml:space="preserve"> PFOA by oral gavage for 10 days and then dosed with water for five days. On </w:t>
      </w:r>
      <w:r w:rsidR="0094513D">
        <w:rPr>
          <w:lang w:bidi="ar-SA"/>
        </w:rPr>
        <w:t>d</w:t>
      </w:r>
      <w:r>
        <w:rPr>
          <w:lang w:bidi="ar-SA"/>
        </w:rPr>
        <w:t>ay 11 of dosing, 16 mice/ group were immuni</w:t>
      </w:r>
      <w:r w:rsidR="001B6877">
        <w:rPr>
          <w:lang w:bidi="ar-SA"/>
        </w:rPr>
        <w:t>s</w:t>
      </w:r>
      <w:r>
        <w:rPr>
          <w:lang w:bidi="ar-SA"/>
        </w:rPr>
        <w:t>ed by</w:t>
      </w:r>
      <w:r w:rsidR="00980643">
        <w:rPr>
          <w:lang w:bidi="ar-SA"/>
        </w:rPr>
        <w:t xml:space="preserve"> intravenous (iv)</w:t>
      </w:r>
      <w:r>
        <w:rPr>
          <w:lang w:bidi="ar-SA"/>
        </w:rPr>
        <w:t xml:space="preserve"> injection of 4.0 x 10</w:t>
      </w:r>
      <w:r>
        <w:rPr>
          <w:vertAlign w:val="superscript"/>
          <w:lang w:bidi="ar-SA"/>
        </w:rPr>
        <w:t>7</w:t>
      </w:r>
      <w:r>
        <w:rPr>
          <w:lang w:bidi="ar-SA"/>
        </w:rPr>
        <w:t xml:space="preserve"> </w:t>
      </w:r>
      <w:r w:rsidR="000C6F4B">
        <w:rPr>
          <w:lang w:bidi="ar-SA"/>
        </w:rPr>
        <w:t>SRBC</w:t>
      </w:r>
      <w:r>
        <w:rPr>
          <w:lang w:bidi="ar-SA"/>
        </w:rPr>
        <w:t>. Five days later, eight of the immuni</w:t>
      </w:r>
      <w:r w:rsidR="001B6877">
        <w:rPr>
          <w:lang w:bidi="ar-SA"/>
        </w:rPr>
        <w:t>s</w:t>
      </w:r>
      <w:r>
        <w:rPr>
          <w:lang w:bidi="ar-SA"/>
        </w:rPr>
        <w:t>ed mice were exsanguinated with collection of blood for measurement of SRBC-specific IgM and serum PFOA concentration. Two weeks after immuni</w:t>
      </w:r>
      <w:r w:rsidR="001B6877">
        <w:rPr>
          <w:lang w:bidi="ar-SA"/>
        </w:rPr>
        <w:t>s</w:t>
      </w:r>
      <w:r>
        <w:rPr>
          <w:lang w:bidi="ar-SA"/>
        </w:rPr>
        <w:t>ation the remaining 8 mice/dose were given a booster immuni</w:t>
      </w:r>
      <w:r w:rsidR="001B6877">
        <w:rPr>
          <w:lang w:bidi="ar-SA"/>
        </w:rPr>
        <w:t>s</w:t>
      </w:r>
      <w:r>
        <w:rPr>
          <w:lang w:bidi="ar-SA"/>
        </w:rPr>
        <w:t xml:space="preserve">ation of SRBC, and terminated 5 days later with blood collection for measurement of SRBC-specific </w:t>
      </w:r>
      <w:r w:rsidR="008046A2">
        <w:rPr>
          <w:lang w:bidi="ar-SA"/>
        </w:rPr>
        <w:t>immunoglobulin G (</w:t>
      </w:r>
      <w:r>
        <w:rPr>
          <w:lang w:bidi="ar-SA"/>
        </w:rPr>
        <w:t>IgG</w:t>
      </w:r>
      <w:r w:rsidR="008046A2">
        <w:rPr>
          <w:lang w:bidi="ar-SA"/>
        </w:rPr>
        <w:t>)</w:t>
      </w:r>
      <w:r w:rsidRPr="00717DD8">
        <w:t xml:space="preserve"> </w:t>
      </w:r>
      <w:r w:rsidRPr="00717DD8">
        <w:rPr>
          <w:lang w:bidi="ar-SA"/>
        </w:rPr>
        <w:t>and serum PFOA concentration</w:t>
      </w:r>
      <w:r>
        <w:rPr>
          <w:lang w:bidi="ar-SA"/>
        </w:rPr>
        <w:t xml:space="preserve">. Relative serum titres of SRBC-specific IgM and IgG antibodies were measured by ELISA. After termination of mice for collection of blood for measurement of IgM or IgG, spleen and thymus were removed from each mouse and weighed. A further 8 mice/ group were sensitised on </w:t>
      </w:r>
      <w:r w:rsidR="0094513D">
        <w:rPr>
          <w:lang w:bidi="ar-SA"/>
        </w:rPr>
        <w:t>d</w:t>
      </w:r>
      <w:r>
        <w:rPr>
          <w:lang w:bidi="ar-SA"/>
        </w:rPr>
        <w:t xml:space="preserve">ay 11 of dosing by subcutaneous injection of bovine serum albumin (BSA) in Freund’s complete adjuvant, in order to measure delayed-type </w:t>
      </w:r>
      <w:r>
        <w:rPr>
          <w:lang w:bidi="ar-SA"/>
        </w:rPr>
        <w:lastRenderedPageBreak/>
        <w:t>hypersensitivity (DTH) response. After a further 7 days mice were an</w:t>
      </w:r>
      <w:r w:rsidR="001B6877">
        <w:rPr>
          <w:lang w:bidi="ar-SA"/>
        </w:rPr>
        <w:t>aesthetised</w:t>
      </w:r>
      <w:r>
        <w:rPr>
          <w:lang w:bidi="ar-SA"/>
        </w:rPr>
        <w:t xml:space="preserve"> and challenged by injection of heat-aggregated BSA into the right rear footpad, while the left rear footpad was injected with the same volume of saline to serve as control. Footpad thickness was measured 24 hours later.</w:t>
      </w:r>
    </w:p>
    <w:p w14:paraId="524A8E53" w14:textId="77777777" w:rsidR="008365BB" w:rsidRDefault="008365BB" w:rsidP="00A111E9">
      <w:pPr>
        <w:rPr>
          <w:lang w:bidi="ar-SA"/>
        </w:rPr>
      </w:pPr>
    </w:p>
    <w:p w14:paraId="1142EF95" w14:textId="35DEFC4E" w:rsidR="008365BB" w:rsidRDefault="008365BB" w:rsidP="00A111E9">
      <w:pPr>
        <w:rPr>
          <w:lang w:bidi="ar-SA"/>
        </w:rPr>
      </w:pPr>
      <w:r>
        <w:rPr>
          <w:lang w:bidi="ar-SA"/>
        </w:rPr>
        <w:t>The dose-response studies were conducted using C57BL/6N mice, and both dose-response studies were performed in duplicate. For the first dose-response study, mice were provided drinking water for 15 days containing 0, 25, 50, 100 or 200 mg PFOA/L, to provide doses of 0, 3.75, 7.5, 15 or 30 mg/kg bw/day, based on anticipated water consumption. Stability of the PFOA in drinking water was confirmed. Water consumption/week, based on changes in the weights of bottles, was determined on a per cage basis. The same interventions for determination of IgM response, I</w:t>
      </w:r>
      <w:r w:rsidRPr="00936689">
        <w:t>g</w:t>
      </w:r>
      <w:r>
        <w:rPr>
          <w:lang w:bidi="ar-SA"/>
        </w:rPr>
        <w:t>G response, DTH response and changes in lymphoid tissue weights were conducted in this study as in the recovery study. The second dose-response study was the same as the first in all respects except the concentrations of the dosing solutions, which were 0, 6.25, 12.5, 25 and 50 mg/L drinking water, to provide an intended intake of 0, 0.94, 1.88, 3.75 or 7.5 mg/kg bw/day.</w:t>
      </w:r>
    </w:p>
    <w:p w14:paraId="4FEDE10C" w14:textId="77777777" w:rsidR="008365BB" w:rsidRDefault="008365BB" w:rsidP="00A111E9">
      <w:pPr>
        <w:rPr>
          <w:lang w:bidi="ar-SA"/>
        </w:rPr>
      </w:pPr>
    </w:p>
    <w:p w14:paraId="73DF72DB" w14:textId="7933FFDA" w:rsidR="008365BB" w:rsidRDefault="008365BB" w:rsidP="00A111E9">
      <w:pPr>
        <w:rPr>
          <w:lang w:bidi="ar-SA"/>
        </w:rPr>
      </w:pPr>
      <w:r>
        <w:rPr>
          <w:lang w:bidi="ar-SA"/>
        </w:rPr>
        <w:t xml:space="preserve">From </w:t>
      </w:r>
      <w:r w:rsidR="00185513">
        <w:rPr>
          <w:lang w:bidi="ar-SA"/>
        </w:rPr>
        <w:t>d</w:t>
      </w:r>
      <w:r>
        <w:rPr>
          <w:lang w:bidi="ar-SA"/>
        </w:rPr>
        <w:t xml:space="preserve">ay 8 to </w:t>
      </w:r>
      <w:r w:rsidR="00185513">
        <w:rPr>
          <w:lang w:bidi="ar-SA"/>
        </w:rPr>
        <w:t>d</w:t>
      </w:r>
      <w:r>
        <w:rPr>
          <w:lang w:bidi="ar-SA"/>
        </w:rPr>
        <w:t>ay 11 of gavage dosing, mice gavaged with 30 mg</w:t>
      </w:r>
      <w:r w:rsidR="00DB0B1B" w:rsidDel="00DB0B1B">
        <w:rPr>
          <w:lang w:bidi="ar-SA"/>
        </w:rPr>
        <w:t xml:space="preserve"> </w:t>
      </w:r>
      <w:r>
        <w:rPr>
          <w:lang w:bidi="ar-SA"/>
        </w:rPr>
        <w:t xml:space="preserve">/kg </w:t>
      </w:r>
      <w:r w:rsidR="00DB0B1B">
        <w:rPr>
          <w:lang w:bidi="ar-SA"/>
        </w:rPr>
        <w:t xml:space="preserve">bw/day </w:t>
      </w:r>
      <w:r>
        <w:rPr>
          <w:lang w:bidi="ar-SA"/>
        </w:rPr>
        <w:t xml:space="preserve">had </w:t>
      </w:r>
      <w:r w:rsidR="00E83E80">
        <w:rPr>
          <w:lang w:bidi="ar-SA"/>
        </w:rPr>
        <w:t>body weight</w:t>
      </w:r>
      <w:r>
        <w:rPr>
          <w:lang w:bidi="ar-SA"/>
        </w:rPr>
        <w:t xml:space="preserve">s that were on average 8% lower than those of controls, but mice in the recovery cohort (dosed with PFOA for 10 days followed by water for 5 days) had </w:t>
      </w:r>
      <w:r w:rsidR="00E83E80">
        <w:rPr>
          <w:lang w:bidi="ar-SA"/>
        </w:rPr>
        <w:t>body weight</w:t>
      </w:r>
      <w:r>
        <w:rPr>
          <w:lang w:bidi="ar-SA"/>
        </w:rPr>
        <w:t xml:space="preserve">s comparable to those of control mice two days after PFOA dosing ended. In contrast, mice dosed with 30 mg/kg PFOA for 15 days (the ‘constant group’) had a mean </w:t>
      </w:r>
      <w:r w:rsidR="00E83E80">
        <w:rPr>
          <w:lang w:bidi="ar-SA"/>
        </w:rPr>
        <w:t>body weight</w:t>
      </w:r>
      <w:r>
        <w:rPr>
          <w:lang w:bidi="ar-SA"/>
        </w:rPr>
        <w:t xml:space="preserve"> 10.5% lower than that of controls on the last day of dosing. This difference disappeared 15 days after the end of dosing. Relative liver weights of mice gavaged with PFOA showed a mean increase of 64% over those of controls one day after exposure ended, and a 54% increase 15 days after dosing ended. Group mean spleen and thymus weights of the mice in the constant group were 48% and 79% lower, respectively, than those of controls, while those of mice in the recovery group were 24% and 36% lower, respectively. SRBC-specific IgM titres were significantly reduced by nearly 20% in both the constant and recovery groups, compared to controls, but in contrast, SRBC-specific IgG titres were not significantly different to those of controls.</w:t>
      </w:r>
    </w:p>
    <w:p w14:paraId="5E46322B" w14:textId="77777777" w:rsidR="008365BB" w:rsidRDefault="008365BB" w:rsidP="00A111E9">
      <w:pPr>
        <w:rPr>
          <w:lang w:bidi="ar-SA"/>
        </w:rPr>
      </w:pPr>
    </w:p>
    <w:p w14:paraId="45FF8A24" w14:textId="1095CBF2" w:rsidR="008365BB" w:rsidRDefault="008365BB" w:rsidP="00A111E9">
      <w:pPr>
        <w:rPr>
          <w:lang w:bidi="ar-SA"/>
        </w:rPr>
      </w:pPr>
      <w:r>
        <w:rPr>
          <w:lang w:bidi="ar-SA"/>
        </w:rPr>
        <w:t xml:space="preserve">The addition of PFOA to drinking water did not affect water consumption on a per cage basis in either of the dose-response studies. Group mean </w:t>
      </w:r>
      <w:r w:rsidR="00E83E80">
        <w:rPr>
          <w:lang w:bidi="ar-SA"/>
        </w:rPr>
        <w:t>body weight</w:t>
      </w:r>
      <w:r>
        <w:rPr>
          <w:lang w:bidi="ar-SA"/>
        </w:rPr>
        <w:t xml:space="preserve"> was decreased in groups drinking </w:t>
      </w:r>
      <w:r>
        <w:rPr>
          <w:rFonts w:cs="Arial"/>
          <w:lang w:bidi="ar-SA"/>
        </w:rPr>
        <w:t>≥ 15 mg</w:t>
      </w:r>
      <w:r w:rsidR="00DB0B1B" w:rsidDel="00DB0B1B">
        <w:rPr>
          <w:rFonts w:cs="Arial"/>
          <w:lang w:bidi="ar-SA"/>
        </w:rPr>
        <w:t xml:space="preserve"> </w:t>
      </w:r>
      <w:r>
        <w:rPr>
          <w:rFonts w:cs="Arial"/>
          <w:lang w:bidi="ar-SA"/>
        </w:rPr>
        <w:t>/kg</w:t>
      </w:r>
      <w:r w:rsidR="00DB0B1B">
        <w:rPr>
          <w:rFonts w:cs="Arial"/>
          <w:lang w:bidi="ar-SA"/>
        </w:rPr>
        <w:t xml:space="preserve"> bw</w:t>
      </w:r>
      <w:r>
        <w:rPr>
          <w:rFonts w:cs="Arial"/>
          <w:lang w:bidi="ar-SA"/>
        </w:rPr>
        <w:t>/d</w:t>
      </w:r>
      <w:r w:rsidR="00DB0B1B">
        <w:rPr>
          <w:rFonts w:cs="Arial"/>
          <w:lang w:bidi="ar-SA"/>
        </w:rPr>
        <w:t>ay</w:t>
      </w:r>
      <w:r>
        <w:rPr>
          <w:rFonts w:cs="Arial"/>
          <w:lang w:bidi="ar-SA"/>
        </w:rPr>
        <w:t xml:space="preserve"> although recovery of this effect was rapid (&lt;8 days) even at 30 mg/kg bw/day PFOA. Relative liver weights were elevated in all treated groups (≥ 3.75 mg/kg bw/day) in the first dose-response study and this difference was still present 15 days after the end of dosing. Absolute and relative spleen weights were significantly decreased in mice consuming </w:t>
      </w:r>
      <w:r w:rsidRPr="00891CCB">
        <w:rPr>
          <w:rFonts w:cs="Arial"/>
          <w:lang w:bidi="ar-SA"/>
        </w:rPr>
        <w:t>≥ 15 mg</w:t>
      </w:r>
      <w:r w:rsidR="00DB0B1B" w:rsidRPr="00891CCB" w:rsidDel="00DB0B1B">
        <w:rPr>
          <w:rFonts w:cs="Arial"/>
          <w:lang w:bidi="ar-SA"/>
        </w:rPr>
        <w:t xml:space="preserve"> </w:t>
      </w:r>
      <w:r w:rsidRPr="00891CCB">
        <w:rPr>
          <w:rFonts w:cs="Arial"/>
          <w:lang w:bidi="ar-SA"/>
        </w:rPr>
        <w:t>/kg</w:t>
      </w:r>
      <w:r w:rsidR="00DB0B1B">
        <w:rPr>
          <w:rFonts w:cs="Arial"/>
          <w:lang w:bidi="ar-SA"/>
        </w:rPr>
        <w:t xml:space="preserve"> bw</w:t>
      </w:r>
      <w:r w:rsidRPr="00891CCB">
        <w:rPr>
          <w:rFonts w:cs="Arial"/>
          <w:lang w:bidi="ar-SA"/>
        </w:rPr>
        <w:t>/d</w:t>
      </w:r>
      <w:r w:rsidR="00DB0B1B">
        <w:rPr>
          <w:rFonts w:cs="Arial"/>
          <w:lang w:bidi="ar-SA"/>
        </w:rPr>
        <w:t>ay</w:t>
      </w:r>
      <w:r>
        <w:rPr>
          <w:rFonts w:cs="Arial"/>
          <w:lang w:bidi="ar-SA"/>
        </w:rPr>
        <w:t>, but these effects were reversible within 15 days</w:t>
      </w:r>
      <w:r w:rsidR="00185513">
        <w:rPr>
          <w:rFonts w:cs="Arial"/>
          <w:lang w:bidi="ar-SA"/>
        </w:rPr>
        <w:t>.</w:t>
      </w:r>
      <w:r>
        <w:rPr>
          <w:lang w:bidi="ar-SA"/>
        </w:rPr>
        <w:t xml:space="preserve"> Absolute thymus weight 15 days after dosing ended was higher in the 15 mg/kg bw/day group than in controls. All doses in the first dose-response study </w:t>
      </w:r>
      <w:r w:rsidRPr="00891CCB">
        <w:rPr>
          <w:lang w:bidi="ar-SA"/>
        </w:rPr>
        <w:t xml:space="preserve">(≥ 3.75 </w:t>
      </w:r>
      <w:r>
        <w:rPr>
          <w:lang w:bidi="ar-SA"/>
        </w:rPr>
        <w:t>mg/kg bw/day</w:t>
      </w:r>
      <w:r w:rsidRPr="00891CCB">
        <w:rPr>
          <w:lang w:bidi="ar-SA"/>
        </w:rPr>
        <w:t>)</w:t>
      </w:r>
      <w:r>
        <w:rPr>
          <w:lang w:bidi="ar-SA"/>
        </w:rPr>
        <w:t xml:space="preserve"> reduced SRBC-specific IgM titres, but none of the doses was associated with a decrease in SRBC-specific IgG titre. On the contrary, mice in the 3.75 and 7.5 mg/kg bw/day groups had moderately (13%) higher IgG titres than controls. No effect on DTH response was observed in the first dose-response study.</w:t>
      </w:r>
    </w:p>
    <w:p w14:paraId="77635DD8" w14:textId="77777777" w:rsidR="008365BB" w:rsidRDefault="008365BB" w:rsidP="00A111E9">
      <w:pPr>
        <w:rPr>
          <w:lang w:bidi="ar-SA"/>
        </w:rPr>
      </w:pPr>
    </w:p>
    <w:p w14:paraId="3A140E59" w14:textId="54D6C5A4" w:rsidR="008365BB" w:rsidRDefault="008365BB" w:rsidP="00A111E9">
      <w:pPr>
        <w:rPr>
          <w:lang w:bidi="ar-SA"/>
        </w:rPr>
      </w:pPr>
      <w:r>
        <w:rPr>
          <w:lang w:bidi="ar-SA"/>
        </w:rPr>
        <w:t xml:space="preserve">In the second dose-response study, in which lower doses (0.94 to 7.5 mg/kg bw/day) were used, there were no treatment-related effects on water consumption, </w:t>
      </w:r>
      <w:r w:rsidR="00E83E80">
        <w:rPr>
          <w:lang w:bidi="ar-SA"/>
        </w:rPr>
        <w:t>body weight</w:t>
      </w:r>
      <w:r>
        <w:rPr>
          <w:lang w:bidi="ar-SA"/>
        </w:rPr>
        <w:t xml:space="preserve">, SRBC-specific IgG response or DTH response. Group mean absolute and relative spleen weights were decreased at a PFOA dose </w:t>
      </w:r>
      <w:r>
        <w:rPr>
          <w:rFonts w:cs="Arial"/>
          <w:lang w:bidi="ar-SA"/>
        </w:rPr>
        <w:t>≥</w:t>
      </w:r>
      <w:r>
        <w:rPr>
          <w:lang w:bidi="ar-SA"/>
        </w:rPr>
        <w:t xml:space="preserve"> 3.75 mg/kg bw/day, although this effect was reversed within 15 days of the end of dosing. Exposure to </w:t>
      </w:r>
      <w:r w:rsidRPr="003E6144">
        <w:rPr>
          <w:lang w:bidi="ar-SA"/>
        </w:rPr>
        <w:t xml:space="preserve">≥ 3.75 </w:t>
      </w:r>
      <w:r>
        <w:rPr>
          <w:lang w:bidi="ar-SA"/>
        </w:rPr>
        <w:t>mg/kg bw/day was also associated with reduced SRBC-specific IgM titres. Thus, the NOAEL for decreased spleen weight and decreased IgM response was 1.88 mg/kg bw/day.</w:t>
      </w:r>
    </w:p>
    <w:p w14:paraId="2E772EF2" w14:textId="77777777" w:rsidR="008365BB" w:rsidRDefault="008365BB" w:rsidP="00A111E9">
      <w:pPr>
        <w:rPr>
          <w:lang w:bidi="ar-SA"/>
        </w:rPr>
      </w:pPr>
    </w:p>
    <w:p w14:paraId="0DD8E752" w14:textId="5DBDB6EA" w:rsidR="008365BB" w:rsidRDefault="001C3937" w:rsidP="00A111E9">
      <w:pPr>
        <w:rPr>
          <w:lang w:bidi="ar-SA"/>
        </w:rPr>
      </w:pPr>
      <w:r w:rsidRPr="00257701">
        <w:rPr>
          <w:lang w:bidi="ar-SA"/>
        </w:rPr>
        <w:t xml:space="preserve">Drew and Hagen (2016), in a review of PFAS-induced immunotoxicity commissioned by </w:t>
      </w:r>
      <w:r w:rsidRPr="00257701">
        <w:rPr>
          <w:lang w:bidi="ar-SA"/>
        </w:rPr>
        <w:lastRenderedPageBreak/>
        <w:t>FSANZ, concluded that it is inappropriate to use the NOAEL of 1.88 mg/kg/day identified in the DeWitt (2008) study for quantitative risk assessment as insufficient information is available to determine the serum concentrations in animals associated with this dose, and if they are at steady</w:t>
      </w:r>
      <w:r w:rsidR="00032CF6">
        <w:rPr>
          <w:lang w:bidi="ar-SA"/>
        </w:rPr>
        <w:t>-</w:t>
      </w:r>
      <w:r w:rsidRPr="00257701">
        <w:rPr>
          <w:lang w:bidi="ar-SA"/>
        </w:rPr>
        <w:t>state.</w:t>
      </w:r>
      <w:r>
        <w:rPr>
          <w:lang w:bidi="ar-SA"/>
        </w:rPr>
        <w:t xml:space="preserve"> Another limitation of the study is that the decrease in IgM response recorded at the LOAEL, 3.75 mg/kg bw/day, was only 7% lower than that of controls, and the same as that observed at double that dose, 7.5 mg/kg bw/day. Thus there was no dose-response relationship evident at </w:t>
      </w:r>
      <w:r>
        <w:rPr>
          <w:rFonts w:cs="Arial"/>
          <w:lang w:bidi="ar-SA"/>
        </w:rPr>
        <w:t>≤</w:t>
      </w:r>
      <w:r>
        <w:rPr>
          <w:lang w:bidi="ar-SA"/>
        </w:rPr>
        <w:t xml:space="preserve"> 7.5 mg/kg bw/day and it is possible that the apparent 7% decrease in IgM response at 3.75 and 7.5 mg/kg bw/day was not treatment-related but reflected normal biological variation.</w:t>
      </w:r>
    </w:p>
    <w:p w14:paraId="552EDB9A" w14:textId="7F40EAF5" w:rsidR="008365BB" w:rsidRDefault="00773FD1" w:rsidP="00684A16">
      <w:pPr>
        <w:pStyle w:val="Heading4"/>
      </w:pPr>
      <w:bookmarkStart w:id="283" w:name="_Toc468372010"/>
      <w:bookmarkStart w:id="284" w:name="_Toc468699230"/>
      <w:bookmarkStart w:id="285" w:name="_Toc468712759"/>
      <w:bookmarkStart w:id="286" w:name="_Toc468716461"/>
      <w:bookmarkStart w:id="287" w:name="_Toc468709448"/>
      <w:bookmarkStart w:id="288" w:name="_Toc468717747"/>
      <w:bookmarkStart w:id="289" w:name="_Toc468718391"/>
      <w:bookmarkStart w:id="290" w:name="_Toc468719381"/>
      <w:bookmarkStart w:id="291" w:name="_Toc468722186"/>
      <w:bookmarkStart w:id="292" w:name="_Toc468799256"/>
      <w:bookmarkStart w:id="293" w:name="_Toc468806579"/>
      <w:bookmarkStart w:id="294" w:name="_Toc468980993"/>
      <w:r>
        <w:t>3.3</w:t>
      </w:r>
      <w:r w:rsidR="008365BB">
        <w:t>.4</w:t>
      </w:r>
      <w:r w:rsidR="00684A16">
        <w:tab/>
      </w:r>
      <w:r w:rsidR="008365BB">
        <w:tab/>
        <w:t>Human data</w:t>
      </w:r>
      <w:bookmarkEnd w:id="283"/>
      <w:bookmarkEnd w:id="284"/>
      <w:bookmarkEnd w:id="285"/>
      <w:bookmarkEnd w:id="286"/>
      <w:bookmarkEnd w:id="287"/>
      <w:bookmarkEnd w:id="288"/>
      <w:bookmarkEnd w:id="289"/>
      <w:bookmarkEnd w:id="290"/>
      <w:bookmarkEnd w:id="291"/>
      <w:bookmarkEnd w:id="292"/>
      <w:bookmarkEnd w:id="293"/>
      <w:bookmarkEnd w:id="294"/>
    </w:p>
    <w:p w14:paraId="01AB803C" w14:textId="79683917" w:rsidR="008365BB" w:rsidRDefault="008365BB" w:rsidP="00A111E9">
      <w:pPr>
        <w:rPr>
          <w:lang w:eastAsia="en-AU" w:bidi="ar-SA"/>
        </w:rPr>
      </w:pPr>
      <w:r>
        <w:rPr>
          <w:lang w:eastAsia="en-AU" w:bidi="ar-SA"/>
        </w:rPr>
        <w:t xml:space="preserve">Although </w:t>
      </w:r>
      <w:r w:rsidR="00125A88">
        <w:rPr>
          <w:lang w:eastAsia="en-AU" w:bidi="ar-SA"/>
        </w:rPr>
        <w:t xml:space="preserve">there are </w:t>
      </w:r>
      <w:r>
        <w:rPr>
          <w:lang w:eastAsia="en-AU" w:bidi="ar-SA"/>
        </w:rPr>
        <w:t xml:space="preserve">a number of epidemiological studies of human populations exposed to PFOA, evidence of significant risk is scant and frequently contradictory. Study populations have included occupationally exposed workers at 3M or DuPont, the major manufacturers of PFASs, communities with high exposure due to proximity to PFAS production plants, populations exposed to PFASs through contamination of drinking water by leakages from production plants, and general populations, </w:t>
      </w:r>
      <w:r w:rsidR="007F02A2">
        <w:rPr>
          <w:lang w:eastAsia="en-AU" w:bidi="ar-SA"/>
        </w:rPr>
        <w:t>for example</w:t>
      </w:r>
      <w:r>
        <w:rPr>
          <w:lang w:eastAsia="en-AU" w:bidi="ar-SA"/>
        </w:rPr>
        <w:t xml:space="preserve"> through the </w:t>
      </w:r>
      <w:r w:rsidR="00125A88" w:rsidRPr="00125A88">
        <w:rPr>
          <w:lang w:eastAsia="en-AU" w:bidi="ar-SA"/>
        </w:rPr>
        <w:t xml:space="preserve">US National Health and Nutrition Examination Survey </w:t>
      </w:r>
      <w:r w:rsidR="00125A88">
        <w:rPr>
          <w:lang w:eastAsia="en-AU" w:bidi="ar-SA"/>
        </w:rPr>
        <w:t>(</w:t>
      </w:r>
      <w:r>
        <w:rPr>
          <w:lang w:eastAsia="en-AU" w:bidi="ar-SA"/>
        </w:rPr>
        <w:t>NHANES</w:t>
      </w:r>
      <w:r w:rsidR="00125A88">
        <w:rPr>
          <w:lang w:eastAsia="en-AU" w:bidi="ar-SA"/>
        </w:rPr>
        <w:t>)</w:t>
      </w:r>
      <w:r>
        <w:rPr>
          <w:lang w:eastAsia="en-AU" w:bidi="ar-SA"/>
        </w:rPr>
        <w:t xml:space="preserve"> database. Human epidemiological studies are frequently complicated by exposure to more than one PFAS.</w:t>
      </w:r>
    </w:p>
    <w:p w14:paraId="2B6336BE" w14:textId="77777777" w:rsidR="008365BB" w:rsidRDefault="008365BB" w:rsidP="00A111E9">
      <w:pPr>
        <w:rPr>
          <w:lang w:eastAsia="en-AU" w:bidi="ar-SA"/>
        </w:rPr>
      </w:pPr>
    </w:p>
    <w:p w14:paraId="1837F2AA" w14:textId="7CE21CF8" w:rsidR="008365BB" w:rsidRDefault="008365BB" w:rsidP="00A111E9">
      <w:pPr>
        <w:rPr>
          <w:lang w:eastAsia="en-AU" w:bidi="ar-SA"/>
        </w:rPr>
      </w:pPr>
      <w:r>
        <w:rPr>
          <w:lang w:eastAsia="en-AU" w:bidi="ar-SA"/>
        </w:rPr>
        <w:t>Blood levels of PFAS of occupationally exposed workers are 2 to 3 orders of magnitude (100 – 1</w:t>
      </w:r>
      <w:r w:rsidR="00CC26CA">
        <w:rPr>
          <w:lang w:eastAsia="en-AU" w:bidi="ar-SA"/>
        </w:rPr>
        <w:t xml:space="preserve">000 </w:t>
      </w:r>
      <w:r w:rsidR="00741457">
        <w:rPr>
          <w:lang w:eastAsia="en-AU" w:bidi="ar-SA"/>
        </w:rPr>
        <w:t>fold</w:t>
      </w:r>
      <w:r>
        <w:rPr>
          <w:lang w:eastAsia="en-AU" w:bidi="ar-SA"/>
        </w:rPr>
        <w:t xml:space="preserve">) higher than those of the general population, with levels in highly exposed subpopulations intermediate between the two. Serum levels of PFOA in occupationally exposed workers are generally in the range of 1 to 2 </w:t>
      </w:r>
      <w:r>
        <w:rPr>
          <w:rFonts w:cs="Arial"/>
          <w:lang w:eastAsia="en-AU" w:bidi="ar-SA"/>
        </w:rPr>
        <w:t>µ</w:t>
      </w:r>
      <w:r>
        <w:rPr>
          <w:lang w:eastAsia="en-AU" w:bidi="ar-SA"/>
        </w:rPr>
        <w:t>g/mL. Serum levels of PFOA in people consuming contaminated drinking water near a production plant in the USA in 2004-2005 average</w:t>
      </w:r>
      <w:r w:rsidR="00DB0B1B">
        <w:rPr>
          <w:lang w:eastAsia="en-AU" w:bidi="ar-SA"/>
        </w:rPr>
        <w:t>d</w:t>
      </w:r>
      <w:r>
        <w:rPr>
          <w:lang w:eastAsia="en-AU" w:bidi="ar-SA"/>
        </w:rPr>
        <w:t xml:space="preserve"> 0.423 </w:t>
      </w:r>
      <w:r>
        <w:rPr>
          <w:rFonts w:cs="Arial"/>
          <w:lang w:eastAsia="en-AU" w:bidi="ar-SA"/>
        </w:rPr>
        <w:t>µ</w:t>
      </w:r>
      <w:r>
        <w:rPr>
          <w:lang w:eastAsia="en-AU" w:bidi="ar-SA"/>
        </w:rPr>
        <w:t xml:space="preserve">g/mL. In contrast, in the same years the mean serum level in the US population was 0.00392 </w:t>
      </w:r>
      <w:r>
        <w:rPr>
          <w:rFonts w:cs="Arial"/>
          <w:lang w:eastAsia="en-AU" w:bidi="ar-SA"/>
        </w:rPr>
        <w:t>µ</w:t>
      </w:r>
      <w:r>
        <w:rPr>
          <w:lang w:eastAsia="en-AU" w:bidi="ar-SA"/>
        </w:rPr>
        <w:t>g/mL.</w:t>
      </w:r>
    </w:p>
    <w:p w14:paraId="356533DB" w14:textId="77777777" w:rsidR="008365BB" w:rsidRDefault="008365BB" w:rsidP="00A111E9">
      <w:pPr>
        <w:rPr>
          <w:lang w:eastAsia="en-AU" w:bidi="ar-SA"/>
        </w:rPr>
      </w:pPr>
    </w:p>
    <w:p w14:paraId="06833912" w14:textId="4B22A717" w:rsidR="008365BB" w:rsidRDefault="008365BB" w:rsidP="00A111E9">
      <w:pPr>
        <w:rPr>
          <w:lang w:eastAsia="en-AU" w:bidi="ar-SA"/>
        </w:rPr>
      </w:pPr>
      <w:r>
        <w:rPr>
          <w:lang w:eastAsia="en-AU" w:bidi="ar-SA"/>
        </w:rPr>
        <w:t>Because of uncertainties around levels and durations of exposure, no international regulatory agency or body has found human toxicity data useful for the determination of a HBGV. A summary of the major findings and interpretation of human studies previously reviewed by ATSDR, EFSA and the US EPA is provided below. A detailed consideration of individual epidemiological studies is beyond the scope of this review.</w:t>
      </w:r>
    </w:p>
    <w:p w14:paraId="3DA13D3B" w14:textId="49897DB1" w:rsidR="008365BB" w:rsidRPr="00310BE4" w:rsidRDefault="008365BB" w:rsidP="00684A16">
      <w:pPr>
        <w:pStyle w:val="Heading5"/>
        <w:rPr>
          <w:lang w:eastAsia="en-AU"/>
        </w:rPr>
      </w:pPr>
      <w:r w:rsidRPr="00310BE4">
        <w:rPr>
          <w:lang w:eastAsia="en-AU"/>
        </w:rPr>
        <w:t>E</w:t>
      </w:r>
      <w:r w:rsidR="00684A16">
        <w:rPr>
          <w:lang w:eastAsia="en-AU"/>
        </w:rPr>
        <w:t>n</w:t>
      </w:r>
      <w:r w:rsidRPr="00310BE4">
        <w:rPr>
          <w:lang w:eastAsia="en-AU"/>
        </w:rPr>
        <w:t>docrine effects</w:t>
      </w:r>
    </w:p>
    <w:p w14:paraId="18625DD1" w14:textId="430D986A" w:rsidR="008365BB" w:rsidRDefault="008365BB" w:rsidP="00A111E9">
      <w:pPr>
        <w:rPr>
          <w:lang w:eastAsia="en-AU" w:bidi="ar-SA"/>
        </w:rPr>
      </w:pPr>
      <w:r w:rsidRPr="00C27905">
        <w:rPr>
          <w:lang w:eastAsia="en-AU" w:bidi="ar-SA"/>
        </w:rPr>
        <w:t>Some studies have suggested a positive association between serum PFOA and elevated thyroxine levels, but others have found no association</w:t>
      </w:r>
      <w:r>
        <w:rPr>
          <w:lang w:eastAsia="en-AU" w:bidi="ar-SA"/>
        </w:rPr>
        <w:t xml:space="preserve"> </w:t>
      </w:r>
      <w:r w:rsidR="006522A0" w:rsidRPr="006522A0">
        <w:rPr>
          <w:lang w:eastAsia="en-AU" w:bidi="ar-SA"/>
        </w:rPr>
        <w:t xml:space="preserve">(based on Knox </w:t>
      </w:r>
      <w:r w:rsidR="00180A32" w:rsidRPr="00180A32">
        <w:rPr>
          <w:i/>
          <w:lang w:eastAsia="en-AU" w:bidi="ar-SA"/>
        </w:rPr>
        <w:t xml:space="preserve">et al. </w:t>
      </w:r>
      <w:r w:rsidR="006522A0" w:rsidRPr="006522A0">
        <w:rPr>
          <w:lang w:eastAsia="en-AU" w:bidi="ar-SA"/>
        </w:rPr>
        <w:t xml:space="preserve"> 2011a</w:t>
      </w:r>
      <w:r w:rsidR="007D2BE5">
        <w:rPr>
          <w:lang w:eastAsia="en-AU" w:bidi="ar-SA"/>
        </w:rPr>
        <w:t xml:space="preserve">, </w:t>
      </w:r>
      <w:r w:rsidR="006522A0" w:rsidRPr="006522A0">
        <w:rPr>
          <w:lang w:eastAsia="en-AU" w:bidi="ar-SA"/>
        </w:rPr>
        <w:t xml:space="preserve">presented in </w:t>
      </w:r>
      <w:r w:rsidR="006522A0">
        <w:rPr>
          <w:lang w:eastAsia="en-AU" w:bidi="ar-SA"/>
        </w:rPr>
        <w:t>Bu</w:t>
      </w:r>
      <w:r>
        <w:rPr>
          <w:lang w:eastAsia="en-AU" w:bidi="ar-SA"/>
        </w:rPr>
        <w:t xml:space="preserve">ll </w:t>
      </w:r>
      <w:r w:rsidR="00180A32" w:rsidRPr="00180A32">
        <w:rPr>
          <w:i/>
          <w:lang w:eastAsia="en-AU"/>
        </w:rPr>
        <w:t xml:space="preserve">et al. </w:t>
      </w:r>
      <w:r w:rsidR="00CC50B8">
        <w:rPr>
          <w:lang w:eastAsia="en-AU"/>
        </w:rPr>
        <w:t xml:space="preserve"> </w:t>
      </w:r>
      <w:r w:rsidRPr="00C27905">
        <w:rPr>
          <w:lang w:eastAsia="en-AU" w:bidi="ar-SA"/>
        </w:rPr>
        <w:t>2014)</w:t>
      </w:r>
      <w:r>
        <w:rPr>
          <w:lang w:eastAsia="en-AU" w:bidi="ar-SA"/>
        </w:rPr>
        <w:t>. Results of three large studies support an association between PFOA exposure and risk of thyroid disease in women or children, but not in men. Associations between PFOA and TSH have been reported in pregnant women with anti-TPO antibodies. However, no association has been found between PFOA and TSH in people without diagnosed thyroid disease (reviewed by US EPA 2016).</w:t>
      </w:r>
    </w:p>
    <w:p w14:paraId="10B5C81C" w14:textId="77777777" w:rsidR="008365BB" w:rsidRDefault="008365BB" w:rsidP="00A111E9">
      <w:pPr>
        <w:rPr>
          <w:lang w:eastAsia="en-AU" w:bidi="ar-SA"/>
        </w:rPr>
      </w:pPr>
    </w:p>
    <w:p w14:paraId="28CAA1F4" w14:textId="7E3FB716" w:rsidR="008365BB" w:rsidRPr="00456CDA" w:rsidRDefault="008365BB" w:rsidP="00A111E9">
      <w:pPr>
        <w:rPr>
          <w:lang w:eastAsia="en-AU" w:bidi="ar-SA"/>
        </w:rPr>
      </w:pPr>
      <w:r w:rsidRPr="00456CDA">
        <w:rPr>
          <w:lang w:eastAsia="en-AU" w:bidi="ar-SA"/>
        </w:rPr>
        <w:t xml:space="preserve">Evidence for increased risk of diabetes mellitus </w:t>
      </w:r>
      <w:r w:rsidR="00125A88">
        <w:rPr>
          <w:lang w:eastAsia="en-AU" w:bidi="ar-SA"/>
        </w:rPr>
        <w:t xml:space="preserve">as a result of exposure to PFOA </w:t>
      </w:r>
      <w:r w:rsidRPr="00456CDA">
        <w:rPr>
          <w:lang w:eastAsia="en-AU" w:bidi="ar-SA"/>
        </w:rPr>
        <w:t>is equivocal (</w:t>
      </w:r>
      <w:r w:rsidR="006522A0">
        <w:rPr>
          <w:lang w:eastAsia="en-AU" w:bidi="ar-SA"/>
        </w:rPr>
        <w:t xml:space="preserve">based on data from Lin </w:t>
      </w:r>
      <w:r w:rsidR="00180A32" w:rsidRPr="00180A32">
        <w:rPr>
          <w:i/>
          <w:lang w:eastAsia="en-AU" w:bidi="ar-SA"/>
        </w:rPr>
        <w:t xml:space="preserve">et al. </w:t>
      </w:r>
      <w:r w:rsidR="006522A0">
        <w:rPr>
          <w:lang w:eastAsia="en-AU" w:bidi="ar-SA"/>
        </w:rPr>
        <w:t xml:space="preserve"> 2009 and MacNeil </w:t>
      </w:r>
      <w:r w:rsidR="00180A32" w:rsidRPr="00180A32">
        <w:rPr>
          <w:i/>
          <w:lang w:eastAsia="en-AU" w:bidi="ar-SA"/>
        </w:rPr>
        <w:t xml:space="preserve">et al. </w:t>
      </w:r>
      <w:r w:rsidR="006522A0">
        <w:rPr>
          <w:lang w:eastAsia="en-AU" w:bidi="ar-SA"/>
        </w:rPr>
        <w:t xml:space="preserve"> 2009, presented in </w:t>
      </w:r>
      <w:r>
        <w:rPr>
          <w:lang w:eastAsia="en-AU" w:bidi="ar-SA"/>
        </w:rPr>
        <w:t xml:space="preserve">Bull </w:t>
      </w:r>
      <w:r w:rsidR="00180A32" w:rsidRPr="00180A32">
        <w:rPr>
          <w:i/>
          <w:lang w:eastAsia="en-AU"/>
        </w:rPr>
        <w:t xml:space="preserve">et al. </w:t>
      </w:r>
      <w:r w:rsidR="00CC50B8">
        <w:rPr>
          <w:lang w:eastAsia="en-AU"/>
        </w:rPr>
        <w:t xml:space="preserve"> </w:t>
      </w:r>
      <w:r w:rsidRPr="00C27905">
        <w:rPr>
          <w:lang w:eastAsia="en-AU" w:bidi="ar-SA"/>
        </w:rPr>
        <w:t>2014</w:t>
      </w:r>
      <w:r w:rsidRPr="00456CDA">
        <w:rPr>
          <w:lang w:eastAsia="en-AU" w:bidi="ar-SA"/>
        </w:rPr>
        <w:t>).</w:t>
      </w:r>
    </w:p>
    <w:p w14:paraId="00B3E7EF" w14:textId="77777777" w:rsidR="008365BB" w:rsidRDefault="008365BB" w:rsidP="00A111E9">
      <w:pPr>
        <w:rPr>
          <w:lang w:eastAsia="en-AU" w:bidi="ar-SA"/>
        </w:rPr>
      </w:pPr>
    </w:p>
    <w:p w14:paraId="10D56A95" w14:textId="097E55ED" w:rsidR="008365BB" w:rsidRDefault="008365BB" w:rsidP="00A111E9">
      <w:pPr>
        <w:rPr>
          <w:lang w:eastAsia="en-AU" w:bidi="ar-SA"/>
        </w:rPr>
      </w:pPr>
      <w:r>
        <w:rPr>
          <w:lang w:eastAsia="en-AU" w:bidi="ar-SA"/>
        </w:rPr>
        <w:t xml:space="preserve">There is some evidence of a dose-related increase in </w:t>
      </w:r>
      <w:r w:rsidR="00BE205C">
        <w:rPr>
          <w:lang w:eastAsia="en-AU" w:bidi="ar-SA"/>
        </w:rPr>
        <w:t>estradiol</w:t>
      </w:r>
      <w:r>
        <w:rPr>
          <w:lang w:eastAsia="en-AU" w:bidi="ar-SA"/>
        </w:rPr>
        <w:t>, but this is confounded by body mass index. Analysis of NHANES data suggested that PFOA exposure may</w:t>
      </w:r>
      <w:r w:rsidR="00125A88">
        <w:rPr>
          <w:lang w:eastAsia="en-AU" w:bidi="ar-SA"/>
        </w:rPr>
        <w:t xml:space="preserve"> be associated with an</w:t>
      </w:r>
      <w:r>
        <w:rPr>
          <w:lang w:eastAsia="en-AU" w:bidi="ar-SA"/>
        </w:rPr>
        <w:t xml:space="preserve"> increase</w:t>
      </w:r>
      <w:r w:rsidR="00125A88">
        <w:rPr>
          <w:lang w:eastAsia="en-AU" w:bidi="ar-SA"/>
        </w:rPr>
        <w:t>d</w:t>
      </w:r>
      <w:r>
        <w:rPr>
          <w:lang w:eastAsia="en-AU" w:bidi="ar-SA"/>
        </w:rPr>
        <w:t xml:space="preserve"> risk of hysterectomy, and advance the onset of menopause </w:t>
      </w:r>
      <w:r w:rsidRPr="00FE03D3">
        <w:rPr>
          <w:lang w:eastAsia="en-AU" w:bidi="ar-SA"/>
        </w:rPr>
        <w:t>(</w:t>
      </w:r>
      <w:r w:rsidR="00BF716F" w:rsidRPr="00BF716F">
        <w:rPr>
          <w:lang w:eastAsia="en-AU" w:bidi="ar-SA"/>
        </w:rPr>
        <w:t xml:space="preserve">based on data from Taylor </w:t>
      </w:r>
      <w:r w:rsidR="00180A32" w:rsidRPr="00180A32">
        <w:rPr>
          <w:i/>
          <w:lang w:eastAsia="en-AU" w:bidi="ar-SA"/>
        </w:rPr>
        <w:t xml:space="preserve">et al. </w:t>
      </w:r>
      <w:r w:rsidR="00BF716F" w:rsidRPr="00BF716F">
        <w:rPr>
          <w:lang w:eastAsia="en-AU" w:bidi="ar-SA"/>
        </w:rPr>
        <w:t xml:space="preserve"> 2013 and Knox </w:t>
      </w:r>
      <w:r w:rsidR="00180A32" w:rsidRPr="00180A32">
        <w:rPr>
          <w:i/>
          <w:lang w:eastAsia="en-AU" w:bidi="ar-SA"/>
        </w:rPr>
        <w:t xml:space="preserve">et al. </w:t>
      </w:r>
      <w:r w:rsidR="00BF716F" w:rsidRPr="00BF716F">
        <w:rPr>
          <w:lang w:eastAsia="en-AU" w:bidi="ar-SA"/>
        </w:rPr>
        <w:t xml:space="preserve"> 2011b presented </w:t>
      </w:r>
      <w:r w:rsidR="00BF716F">
        <w:rPr>
          <w:lang w:eastAsia="en-AU" w:bidi="ar-SA"/>
        </w:rPr>
        <w:t>in</w:t>
      </w:r>
      <w:r w:rsidRPr="00FE03D3">
        <w:rPr>
          <w:lang w:eastAsia="en-AU" w:bidi="ar-SA"/>
        </w:rPr>
        <w:t xml:space="preserve"> </w:t>
      </w:r>
      <w:r>
        <w:rPr>
          <w:lang w:eastAsia="en-AU" w:bidi="ar-SA"/>
        </w:rPr>
        <w:t xml:space="preserve">Bull </w:t>
      </w:r>
      <w:r w:rsidR="00180A32" w:rsidRPr="00180A32">
        <w:rPr>
          <w:i/>
          <w:lang w:eastAsia="en-AU"/>
        </w:rPr>
        <w:t xml:space="preserve">et al. </w:t>
      </w:r>
      <w:r w:rsidR="00CC50B8">
        <w:rPr>
          <w:lang w:eastAsia="en-AU"/>
        </w:rPr>
        <w:t xml:space="preserve"> </w:t>
      </w:r>
      <w:r w:rsidRPr="00C27905">
        <w:rPr>
          <w:lang w:eastAsia="en-AU" w:bidi="ar-SA"/>
        </w:rPr>
        <w:t>2014</w:t>
      </w:r>
      <w:r w:rsidRPr="00FE03D3">
        <w:rPr>
          <w:lang w:eastAsia="en-AU" w:bidi="ar-SA"/>
        </w:rPr>
        <w:t>)</w:t>
      </w:r>
      <w:r w:rsidR="00DB0B1B">
        <w:rPr>
          <w:lang w:eastAsia="en-AU" w:bidi="ar-SA"/>
        </w:rPr>
        <w:t>.</w:t>
      </w:r>
    </w:p>
    <w:p w14:paraId="08B3C5B9" w14:textId="77777777" w:rsidR="008365BB" w:rsidRPr="00310BE4" w:rsidRDefault="008365BB" w:rsidP="00684A16">
      <w:pPr>
        <w:pStyle w:val="Heading5"/>
        <w:rPr>
          <w:lang w:eastAsia="en-AU"/>
        </w:rPr>
      </w:pPr>
      <w:r w:rsidRPr="00310BE4">
        <w:rPr>
          <w:lang w:eastAsia="en-AU"/>
        </w:rPr>
        <w:lastRenderedPageBreak/>
        <w:t>Serum lipids</w:t>
      </w:r>
    </w:p>
    <w:p w14:paraId="04211578" w14:textId="51F89A0D" w:rsidR="008365BB" w:rsidRDefault="008365BB" w:rsidP="00A111E9">
      <w:pPr>
        <w:rPr>
          <w:lang w:eastAsia="en-AU" w:bidi="ar-SA"/>
        </w:rPr>
      </w:pPr>
      <w:r>
        <w:rPr>
          <w:lang w:eastAsia="en-AU" w:bidi="ar-SA"/>
        </w:rPr>
        <w:t>A positive association between PFOA and serum levels of cholesterol and triglycerides has been found in some studies but not in others (reviewed by EFSA 2008). The ATSDR (2015) concluded that the association between serum PFOA and increased serum lipid levels is a consistent finding. The US EPA (2016) concluded that evidence for a positive association between serum PFOA and serum total cholesterol and LDL, but not HDL, are relatively consistent and robust, and they note that similar results have been found for PFOS.</w:t>
      </w:r>
    </w:p>
    <w:p w14:paraId="497014D2" w14:textId="415B51D7" w:rsidR="00650BC3" w:rsidRDefault="00650BC3" w:rsidP="00A111E9">
      <w:pPr>
        <w:rPr>
          <w:lang w:eastAsia="en-AU" w:bidi="ar-SA"/>
        </w:rPr>
      </w:pPr>
    </w:p>
    <w:p w14:paraId="6E25F600" w14:textId="2A25C24F" w:rsidR="00650BC3" w:rsidRPr="00CE26A8" w:rsidRDefault="00650BC3" w:rsidP="00A111E9">
      <w:pPr>
        <w:rPr>
          <w:lang w:eastAsia="en-AU" w:bidi="ar-SA"/>
        </w:rPr>
      </w:pPr>
      <w:r w:rsidRPr="00F81989">
        <w:rPr>
          <w:lang w:eastAsia="en-AU" w:bidi="ar-SA"/>
        </w:rPr>
        <w:t>FSANZ considered that studies in both adults and children suggest a positive association between total and LDL</w:t>
      </w:r>
      <w:r w:rsidR="00DB0B1B">
        <w:rPr>
          <w:lang w:eastAsia="en-AU" w:bidi="ar-SA"/>
        </w:rPr>
        <w:t xml:space="preserve"> cholesterol</w:t>
      </w:r>
      <w:r w:rsidRPr="00F81989">
        <w:rPr>
          <w:lang w:eastAsia="en-AU" w:bidi="ar-SA"/>
        </w:rPr>
        <w:t xml:space="preserve"> and PFOA concentration at very low concentrations of PFOA but not at higher concentrations (Appendix 2). At around 25 ng/mL, total cholesterol is about 0.2-0.3 mmol/ higher than the lowest groups in the studies and then the association plateaus. The quantitative results from pregnant women are more inconsistent, but this may be related to haemostatic changes during pregnancy. There appears to be little or no association with HDL</w:t>
      </w:r>
      <w:r w:rsidR="00DB0B1B">
        <w:rPr>
          <w:lang w:eastAsia="en-AU" w:bidi="ar-SA"/>
        </w:rPr>
        <w:t xml:space="preserve"> cholesterol</w:t>
      </w:r>
      <w:r w:rsidRPr="00F81989">
        <w:rPr>
          <w:lang w:eastAsia="en-AU" w:bidi="ar-SA"/>
        </w:rPr>
        <w:t>, and not all studies have adverse findings. The few longitudinal data that are available do not contradict the findings in the cross-sectional studies. However, the results in humans do contradict the findings in animals because increased PFAS concentrations in animals decrease total</w:t>
      </w:r>
      <w:r w:rsidR="00DB0B1B">
        <w:rPr>
          <w:lang w:eastAsia="en-AU" w:bidi="ar-SA"/>
        </w:rPr>
        <w:t xml:space="preserve"> cholesterol</w:t>
      </w:r>
      <w:r w:rsidRPr="00F81989">
        <w:rPr>
          <w:lang w:eastAsia="en-AU" w:bidi="ar-SA"/>
        </w:rPr>
        <w:t>.</w:t>
      </w:r>
    </w:p>
    <w:p w14:paraId="5B167846" w14:textId="77777777" w:rsidR="008365BB" w:rsidRPr="00310BE4" w:rsidRDefault="008365BB" w:rsidP="00684A16">
      <w:pPr>
        <w:pStyle w:val="Heading5"/>
        <w:rPr>
          <w:lang w:eastAsia="en-AU"/>
        </w:rPr>
      </w:pPr>
      <w:r w:rsidRPr="00310BE4">
        <w:rPr>
          <w:lang w:eastAsia="en-AU"/>
        </w:rPr>
        <w:t>Fertility, pregnancy and lactation</w:t>
      </w:r>
    </w:p>
    <w:p w14:paraId="113B87C1" w14:textId="27A12F0E" w:rsidR="008365BB" w:rsidRDefault="008365BB" w:rsidP="00A111E9">
      <w:pPr>
        <w:rPr>
          <w:lang w:eastAsia="en-AU" w:bidi="ar-SA"/>
        </w:rPr>
      </w:pPr>
      <w:r>
        <w:rPr>
          <w:lang w:eastAsia="en-AU" w:bidi="ar-SA"/>
        </w:rPr>
        <w:t xml:space="preserve">There is no consistent evidence of </w:t>
      </w:r>
      <w:r w:rsidRPr="0024433D">
        <w:rPr>
          <w:lang w:eastAsia="en-AU" w:bidi="ar-SA"/>
        </w:rPr>
        <w:t xml:space="preserve">negative effects of PFOA on sperm quality, sperm DNA integrity or </w:t>
      </w:r>
      <w:r>
        <w:rPr>
          <w:lang w:eastAsia="en-AU" w:bidi="ar-SA"/>
        </w:rPr>
        <w:t>other factors of male fertility</w:t>
      </w:r>
      <w:r w:rsidRPr="0024433D">
        <w:rPr>
          <w:lang w:eastAsia="en-AU" w:bidi="ar-SA"/>
        </w:rPr>
        <w:t>.</w:t>
      </w:r>
      <w:r>
        <w:rPr>
          <w:lang w:eastAsia="en-AU" w:bidi="ar-SA"/>
        </w:rPr>
        <w:t xml:space="preserve"> Some studies have reported an association between maternal PFOA exposure and increased time to pregnancy, but other studies have not found this association, and one study found that primipara were not affected whereas multipara were affected </w:t>
      </w:r>
      <w:r w:rsidRPr="0024433D">
        <w:rPr>
          <w:lang w:eastAsia="en-AU" w:bidi="ar-SA"/>
        </w:rPr>
        <w:t>(</w:t>
      </w:r>
      <w:r w:rsidR="00617D87">
        <w:rPr>
          <w:lang w:eastAsia="en-AU" w:bidi="ar-SA"/>
        </w:rPr>
        <w:t xml:space="preserve">based on human data on reproductive outcomes presented in </w:t>
      </w:r>
      <w:r>
        <w:rPr>
          <w:lang w:eastAsia="en-AU" w:bidi="ar-SA"/>
        </w:rPr>
        <w:t xml:space="preserve">Bull </w:t>
      </w:r>
      <w:r w:rsidR="00180A32" w:rsidRPr="00180A32">
        <w:rPr>
          <w:i/>
          <w:lang w:eastAsia="en-AU"/>
        </w:rPr>
        <w:t xml:space="preserve">et al. </w:t>
      </w:r>
      <w:r w:rsidR="00CC50B8">
        <w:rPr>
          <w:lang w:eastAsia="en-AU"/>
        </w:rPr>
        <w:t xml:space="preserve"> </w:t>
      </w:r>
      <w:r w:rsidRPr="00C27905">
        <w:rPr>
          <w:lang w:eastAsia="en-AU" w:bidi="ar-SA"/>
        </w:rPr>
        <w:t>2014</w:t>
      </w:r>
      <w:r w:rsidRPr="0024433D">
        <w:rPr>
          <w:lang w:eastAsia="en-AU" w:bidi="ar-SA"/>
        </w:rPr>
        <w:t>)</w:t>
      </w:r>
      <w:r>
        <w:rPr>
          <w:lang w:eastAsia="en-AU" w:bidi="ar-SA"/>
        </w:rPr>
        <w:t>.</w:t>
      </w:r>
    </w:p>
    <w:p w14:paraId="33D3A319" w14:textId="77777777" w:rsidR="008365BB" w:rsidRDefault="008365BB" w:rsidP="00A111E9">
      <w:pPr>
        <w:rPr>
          <w:lang w:eastAsia="en-AU" w:bidi="ar-SA"/>
        </w:rPr>
      </w:pPr>
    </w:p>
    <w:p w14:paraId="5924C175" w14:textId="77777777" w:rsidR="008365BB" w:rsidRDefault="008365BB" w:rsidP="00A111E9">
      <w:pPr>
        <w:rPr>
          <w:lang w:eastAsia="en-AU" w:bidi="ar-SA"/>
        </w:rPr>
      </w:pPr>
      <w:r>
        <w:rPr>
          <w:lang w:eastAsia="en-AU" w:bidi="ar-SA"/>
        </w:rPr>
        <w:t>A</w:t>
      </w:r>
      <w:r w:rsidRPr="00861459">
        <w:rPr>
          <w:lang w:eastAsia="en-AU" w:bidi="ar-SA"/>
        </w:rPr>
        <w:t xml:space="preserve"> positive association with gestational diabetes was found in one study (reviewed by US EPA 2016).</w:t>
      </w:r>
    </w:p>
    <w:p w14:paraId="721E9B5D" w14:textId="77777777" w:rsidR="008365BB" w:rsidRDefault="008365BB" w:rsidP="00A111E9">
      <w:pPr>
        <w:rPr>
          <w:lang w:eastAsia="en-AU" w:bidi="ar-SA"/>
        </w:rPr>
      </w:pPr>
    </w:p>
    <w:p w14:paraId="1B3B3446" w14:textId="14D8F32F" w:rsidR="008365BB" w:rsidRDefault="008365BB" w:rsidP="00A111E9">
      <w:pPr>
        <w:rPr>
          <w:lang w:eastAsia="en-AU" w:bidi="ar-SA"/>
        </w:rPr>
      </w:pPr>
      <w:r>
        <w:rPr>
          <w:lang w:eastAsia="en-AU" w:bidi="ar-SA"/>
        </w:rPr>
        <w:t>A positive association with gestational hypertension/pre</w:t>
      </w:r>
      <w:r w:rsidR="00032CF6">
        <w:rPr>
          <w:lang w:eastAsia="en-AU" w:bidi="ar-SA"/>
        </w:rPr>
        <w:t>-eclampsia</w:t>
      </w:r>
      <w:r>
        <w:rPr>
          <w:lang w:eastAsia="en-AU" w:bidi="ar-SA"/>
        </w:rPr>
        <w:t xml:space="preserve"> has been found in some studies </w:t>
      </w:r>
      <w:r w:rsidRPr="0003581F">
        <w:rPr>
          <w:lang w:eastAsia="en-AU" w:bidi="ar-SA"/>
        </w:rPr>
        <w:t>(</w:t>
      </w:r>
      <w:r w:rsidR="00221E87">
        <w:rPr>
          <w:lang w:eastAsia="en-AU" w:bidi="ar-SA"/>
        </w:rPr>
        <w:t xml:space="preserve">data from Darrow </w:t>
      </w:r>
      <w:r w:rsidR="00180A32" w:rsidRPr="00180A32">
        <w:rPr>
          <w:i/>
          <w:lang w:eastAsia="en-AU" w:bidi="ar-SA"/>
        </w:rPr>
        <w:t xml:space="preserve">et al. </w:t>
      </w:r>
      <w:r w:rsidR="00221E87">
        <w:rPr>
          <w:lang w:eastAsia="en-AU" w:bidi="ar-SA"/>
        </w:rPr>
        <w:t xml:space="preserve"> 2013 presented in </w:t>
      </w:r>
      <w:r>
        <w:rPr>
          <w:lang w:eastAsia="en-AU" w:bidi="ar-SA"/>
        </w:rPr>
        <w:t xml:space="preserve">Bull </w:t>
      </w:r>
      <w:r w:rsidR="00180A32" w:rsidRPr="00180A32">
        <w:rPr>
          <w:i/>
          <w:lang w:eastAsia="en-AU"/>
        </w:rPr>
        <w:t xml:space="preserve">et al. </w:t>
      </w:r>
      <w:r w:rsidR="00CC50B8">
        <w:rPr>
          <w:lang w:eastAsia="en-AU"/>
        </w:rPr>
        <w:t xml:space="preserve"> </w:t>
      </w:r>
      <w:r w:rsidRPr="00C27905">
        <w:rPr>
          <w:lang w:eastAsia="en-AU" w:bidi="ar-SA"/>
        </w:rPr>
        <w:t>2014</w:t>
      </w:r>
      <w:r>
        <w:rPr>
          <w:lang w:eastAsia="en-AU" w:bidi="ar-SA"/>
        </w:rPr>
        <w:t xml:space="preserve">, </w:t>
      </w:r>
      <w:r w:rsidR="00221E87">
        <w:rPr>
          <w:lang w:eastAsia="en-AU" w:bidi="ar-SA"/>
        </w:rPr>
        <w:t>review</w:t>
      </w:r>
      <w:r w:rsidR="00DB0B1B">
        <w:rPr>
          <w:lang w:eastAsia="en-AU" w:bidi="ar-SA"/>
        </w:rPr>
        <w:t>ed</w:t>
      </w:r>
      <w:r w:rsidR="00221E87">
        <w:rPr>
          <w:lang w:eastAsia="en-AU" w:bidi="ar-SA"/>
        </w:rPr>
        <w:t xml:space="preserve"> by </w:t>
      </w:r>
      <w:r>
        <w:rPr>
          <w:lang w:eastAsia="en-AU" w:bidi="ar-SA"/>
        </w:rPr>
        <w:t>US EPA 2016</w:t>
      </w:r>
      <w:r w:rsidRPr="0003581F">
        <w:rPr>
          <w:lang w:eastAsia="en-AU" w:bidi="ar-SA"/>
        </w:rPr>
        <w:t>)</w:t>
      </w:r>
      <w:r>
        <w:rPr>
          <w:lang w:eastAsia="en-AU" w:bidi="ar-SA"/>
        </w:rPr>
        <w:t xml:space="preserve"> and a number of studies have found an association between PFOA exposure and low birth weight, while others did not find a statistically significant effect. The apparent effect may be confounded by low </w:t>
      </w:r>
      <w:r w:rsidR="0069539B">
        <w:rPr>
          <w:lang w:eastAsia="en-AU" w:bidi="ar-SA"/>
        </w:rPr>
        <w:t>GFR</w:t>
      </w:r>
      <w:r>
        <w:rPr>
          <w:lang w:eastAsia="en-AU" w:bidi="ar-SA"/>
        </w:rPr>
        <w:t xml:space="preserve"> which is known to adversely affect birth weight and which would also lead to increased serum PFOA level</w:t>
      </w:r>
      <w:r w:rsidR="00741457">
        <w:rPr>
          <w:lang w:eastAsia="en-AU" w:bidi="ar-SA"/>
        </w:rPr>
        <w:t>s</w:t>
      </w:r>
      <w:r>
        <w:rPr>
          <w:lang w:eastAsia="en-AU" w:bidi="ar-SA"/>
        </w:rPr>
        <w:t xml:space="preserve"> </w:t>
      </w:r>
      <w:r w:rsidRPr="00A2777E">
        <w:rPr>
          <w:lang w:eastAsia="en-AU" w:bidi="ar-SA"/>
        </w:rPr>
        <w:t>(reviewed by US EPA 2016)</w:t>
      </w:r>
      <w:r>
        <w:rPr>
          <w:lang w:eastAsia="en-AU" w:bidi="ar-SA"/>
        </w:rPr>
        <w:t xml:space="preserve">. This could also be the basis for the apparent association with </w:t>
      </w:r>
      <w:r w:rsidRPr="00A2777E">
        <w:rPr>
          <w:lang w:eastAsia="en-AU" w:bidi="ar-SA"/>
        </w:rPr>
        <w:t>gestational hypertension/pre</w:t>
      </w:r>
      <w:r w:rsidR="00032CF6">
        <w:rPr>
          <w:lang w:eastAsia="en-AU" w:bidi="ar-SA"/>
        </w:rPr>
        <w:t>-eclampsia</w:t>
      </w:r>
      <w:r>
        <w:rPr>
          <w:lang w:eastAsia="en-AU" w:bidi="ar-SA"/>
        </w:rPr>
        <w:t>, in which GFR is reduced. The US EPA (2016) concluded that a direct effect of PFOA on birth weight for the general population could not be ruled out.</w:t>
      </w:r>
    </w:p>
    <w:p w14:paraId="49513413" w14:textId="77777777" w:rsidR="008365BB" w:rsidRDefault="008365BB" w:rsidP="00A111E9">
      <w:pPr>
        <w:rPr>
          <w:lang w:eastAsia="en-AU" w:bidi="ar-SA"/>
        </w:rPr>
      </w:pPr>
    </w:p>
    <w:p w14:paraId="4B47A427" w14:textId="7E4A63E3" w:rsidR="008365BB" w:rsidRDefault="008365BB" w:rsidP="00A111E9">
      <w:pPr>
        <w:rPr>
          <w:lang w:eastAsia="en-AU" w:bidi="ar-SA"/>
        </w:rPr>
      </w:pPr>
      <w:r>
        <w:rPr>
          <w:lang w:eastAsia="en-AU" w:bidi="ar-SA"/>
        </w:rPr>
        <w:t>No association between PFOA exposure and risk of congenital abnormalities or with complications of labour has been found (</w:t>
      </w:r>
      <w:r w:rsidR="00221E87" w:rsidRPr="00221E87">
        <w:rPr>
          <w:lang w:eastAsia="en-AU" w:bidi="ar-SA"/>
        </w:rPr>
        <w:t xml:space="preserve">data from by Nolan </w:t>
      </w:r>
      <w:r w:rsidR="00180A32" w:rsidRPr="00180A32">
        <w:rPr>
          <w:i/>
          <w:lang w:eastAsia="en-AU" w:bidi="ar-SA"/>
        </w:rPr>
        <w:t xml:space="preserve">et al. </w:t>
      </w:r>
      <w:r w:rsidR="00221E87" w:rsidRPr="00221E87">
        <w:rPr>
          <w:lang w:eastAsia="en-AU" w:bidi="ar-SA"/>
        </w:rPr>
        <w:t xml:space="preserve"> 2010 reported </w:t>
      </w:r>
      <w:r>
        <w:rPr>
          <w:lang w:eastAsia="en-AU" w:bidi="ar-SA"/>
        </w:rPr>
        <w:t xml:space="preserve">Bull </w:t>
      </w:r>
      <w:r w:rsidR="00180A32" w:rsidRPr="00180A32">
        <w:rPr>
          <w:i/>
          <w:lang w:eastAsia="en-AU"/>
        </w:rPr>
        <w:t xml:space="preserve">et al. </w:t>
      </w:r>
      <w:r w:rsidR="00CC50B8">
        <w:rPr>
          <w:lang w:eastAsia="en-AU"/>
        </w:rPr>
        <w:t xml:space="preserve"> </w:t>
      </w:r>
      <w:r w:rsidRPr="00C27905">
        <w:rPr>
          <w:lang w:eastAsia="en-AU" w:bidi="ar-SA"/>
        </w:rPr>
        <w:t>2014</w:t>
      </w:r>
      <w:r>
        <w:rPr>
          <w:lang w:eastAsia="en-AU" w:bidi="ar-SA"/>
        </w:rPr>
        <w:t>).</w:t>
      </w:r>
    </w:p>
    <w:p w14:paraId="1671518C" w14:textId="77777777" w:rsidR="008365BB" w:rsidRDefault="008365BB" w:rsidP="00A111E9">
      <w:pPr>
        <w:rPr>
          <w:lang w:eastAsia="en-AU" w:bidi="ar-SA"/>
        </w:rPr>
      </w:pPr>
    </w:p>
    <w:p w14:paraId="1452387C" w14:textId="334DDEDF" w:rsidR="008365BB" w:rsidRDefault="008365BB" w:rsidP="00A111E9">
      <w:pPr>
        <w:rPr>
          <w:lang w:eastAsia="en-AU" w:bidi="ar-SA"/>
        </w:rPr>
      </w:pPr>
      <w:r>
        <w:rPr>
          <w:lang w:eastAsia="en-AU" w:bidi="ar-SA"/>
        </w:rPr>
        <w:t>An association between PFOA exposure and significant reduction in the duration of breastfeeding was reported in one study (</w:t>
      </w:r>
      <w:r w:rsidR="00414E5F" w:rsidRPr="00414E5F">
        <w:rPr>
          <w:lang w:eastAsia="en-AU" w:bidi="ar-SA"/>
        </w:rPr>
        <w:t xml:space="preserve">Fei </w:t>
      </w:r>
      <w:r w:rsidR="00180A32" w:rsidRPr="00180A32">
        <w:rPr>
          <w:i/>
          <w:lang w:eastAsia="en-AU" w:bidi="ar-SA"/>
        </w:rPr>
        <w:t xml:space="preserve">et al. </w:t>
      </w:r>
      <w:r w:rsidR="00414E5F" w:rsidRPr="00414E5F">
        <w:rPr>
          <w:lang w:eastAsia="en-AU" w:bidi="ar-SA"/>
        </w:rPr>
        <w:t xml:space="preserve"> 2010b study </w:t>
      </w:r>
      <w:r w:rsidR="00414E5F">
        <w:rPr>
          <w:lang w:eastAsia="en-AU" w:bidi="ar-SA"/>
        </w:rPr>
        <w:t xml:space="preserve">reported in </w:t>
      </w:r>
      <w:r>
        <w:rPr>
          <w:lang w:eastAsia="en-AU" w:bidi="ar-SA"/>
        </w:rPr>
        <w:t xml:space="preserve">Bull </w:t>
      </w:r>
      <w:r w:rsidR="00180A32" w:rsidRPr="00180A32">
        <w:rPr>
          <w:i/>
          <w:lang w:eastAsia="en-AU"/>
        </w:rPr>
        <w:t xml:space="preserve">et al. </w:t>
      </w:r>
      <w:r w:rsidR="00CC50B8">
        <w:rPr>
          <w:lang w:eastAsia="en-AU"/>
        </w:rPr>
        <w:t xml:space="preserve"> </w:t>
      </w:r>
      <w:r w:rsidRPr="00C27905">
        <w:rPr>
          <w:lang w:eastAsia="en-AU" w:bidi="ar-SA"/>
        </w:rPr>
        <w:t>2014</w:t>
      </w:r>
      <w:r>
        <w:rPr>
          <w:lang w:eastAsia="en-AU" w:bidi="ar-SA"/>
        </w:rPr>
        <w:t>).</w:t>
      </w:r>
    </w:p>
    <w:p w14:paraId="314DB19C" w14:textId="77777777" w:rsidR="008365BB" w:rsidRDefault="008365BB" w:rsidP="00A111E9">
      <w:pPr>
        <w:rPr>
          <w:lang w:eastAsia="en-AU" w:bidi="ar-SA"/>
        </w:rPr>
      </w:pPr>
    </w:p>
    <w:p w14:paraId="133345C6" w14:textId="52BF37C2" w:rsidR="00041977" w:rsidRPr="00F81989" w:rsidRDefault="009C1BE4" w:rsidP="00A111E9">
      <w:pPr>
        <w:rPr>
          <w:lang w:bidi="ar-SA"/>
        </w:rPr>
      </w:pPr>
      <w:r w:rsidRPr="00F81989">
        <w:rPr>
          <w:lang w:bidi="ar-SA"/>
        </w:rPr>
        <w:t>FSANZ has reviewed the evidence for an association between PFO</w:t>
      </w:r>
      <w:r w:rsidR="00B073F7" w:rsidRPr="00F81989">
        <w:rPr>
          <w:lang w:bidi="ar-SA"/>
        </w:rPr>
        <w:t>A or PFOS and birthweight. There were</w:t>
      </w:r>
      <w:r w:rsidRPr="00F81989">
        <w:rPr>
          <w:lang w:bidi="ar-SA"/>
        </w:rPr>
        <w:t xml:space="preserve"> two systematic reviews </w:t>
      </w:r>
      <w:r w:rsidR="00B073F7" w:rsidRPr="00F81989">
        <w:rPr>
          <w:lang w:bidi="ar-SA"/>
        </w:rPr>
        <w:t xml:space="preserve">of PFOA </w:t>
      </w:r>
      <w:r w:rsidRPr="00F81989">
        <w:rPr>
          <w:lang w:bidi="ar-SA"/>
        </w:rPr>
        <w:t>and</w:t>
      </w:r>
      <w:r w:rsidR="00B073F7" w:rsidRPr="00F81989">
        <w:rPr>
          <w:lang w:bidi="ar-SA"/>
        </w:rPr>
        <w:t xml:space="preserve"> FSANZ</w:t>
      </w:r>
      <w:r w:rsidRPr="00F81989">
        <w:rPr>
          <w:lang w:bidi="ar-SA"/>
        </w:rPr>
        <w:t xml:space="preserve"> </w:t>
      </w:r>
      <w:r w:rsidR="00041977" w:rsidRPr="00F81989">
        <w:rPr>
          <w:lang w:bidi="ar-SA"/>
        </w:rPr>
        <w:t>has updated these reviews by replicating one of the search strategies in PubMed</w:t>
      </w:r>
      <w:r w:rsidR="004111A4" w:rsidRPr="00F81989">
        <w:rPr>
          <w:lang w:bidi="ar-SA"/>
        </w:rPr>
        <w:t xml:space="preserve"> to find more recently published studies</w:t>
      </w:r>
      <w:r w:rsidR="00B073F7" w:rsidRPr="00F81989">
        <w:rPr>
          <w:lang w:bidi="ar-SA"/>
        </w:rPr>
        <w:t xml:space="preserve"> </w:t>
      </w:r>
      <w:r w:rsidRPr="00F81989">
        <w:rPr>
          <w:lang w:bidi="ar-SA"/>
        </w:rPr>
        <w:t>(Appendix 1).</w:t>
      </w:r>
      <w:r w:rsidR="00B073F7" w:rsidRPr="00F81989">
        <w:rPr>
          <w:lang w:bidi="ar-SA"/>
        </w:rPr>
        <w:t xml:space="preserve"> </w:t>
      </w:r>
      <w:r w:rsidRPr="00F81989">
        <w:rPr>
          <w:lang w:bidi="ar-SA"/>
        </w:rPr>
        <w:t xml:space="preserve">A number of </w:t>
      </w:r>
      <w:r w:rsidR="00041977" w:rsidRPr="00F81989">
        <w:rPr>
          <w:lang w:bidi="ar-SA"/>
        </w:rPr>
        <w:t xml:space="preserve">inconsistencies </w:t>
      </w:r>
      <w:r w:rsidRPr="00F81989">
        <w:rPr>
          <w:lang w:bidi="ar-SA"/>
        </w:rPr>
        <w:t xml:space="preserve">in the analysis and presentation of data were identified, for example, data were typically log transformed, </w:t>
      </w:r>
      <w:r w:rsidR="00041977" w:rsidRPr="00F81989">
        <w:rPr>
          <w:lang w:bidi="ar-SA"/>
        </w:rPr>
        <w:t xml:space="preserve">using </w:t>
      </w:r>
      <w:r w:rsidRPr="00F81989">
        <w:rPr>
          <w:lang w:bidi="ar-SA"/>
        </w:rPr>
        <w:t xml:space="preserve">either base 10 or </w:t>
      </w:r>
      <w:r w:rsidR="00041977" w:rsidRPr="00F81989">
        <w:rPr>
          <w:lang w:bidi="ar-SA"/>
        </w:rPr>
        <w:t xml:space="preserve">natural logarithms, </w:t>
      </w:r>
      <w:r w:rsidRPr="00F81989">
        <w:rPr>
          <w:lang w:bidi="ar-SA"/>
        </w:rPr>
        <w:t xml:space="preserve">suggesting that the association was not linear, but most authors did not </w:t>
      </w:r>
      <w:r w:rsidRPr="00F81989">
        <w:rPr>
          <w:lang w:bidi="ar-SA"/>
        </w:rPr>
        <w:lastRenderedPageBreak/>
        <w:t>describe examining regression diagnostics to determine if the transformation was appropriate. Some authors also presented results for linear or categorical analyses, but generally did not comment on which was the best fit for the data. It was noted that some papers stated that there was no association but did not provide us</w:t>
      </w:r>
      <w:r w:rsidR="00B073F7" w:rsidRPr="00F81989">
        <w:rPr>
          <w:lang w:bidi="ar-SA"/>
        </w:rPr>
        <w:t>able</w:t>
      </w:r>
      <w:r w:rsidRPr="00F81989">
        <w:rPr>
          <w:lang w:bidi="ar-SA"/>
        </w:rPr>
        <w:t xml:space="preserve"> data describing this. One systematic review conducted a quantitative meta-analysis that assumed that the relationship between PFOA and birthweight was linear, although this assumption was not justified or explained by the authors. FSANZ has identified and added additional studies</w:t>
      </w:r>
      <w:r w:rsidR="00125A88" w:rsidRPr="00F81989">
        <w:rPr>
          <w:lang w:bidi="ar-SA"/>
        </w:rPr>
        <w:t xml:space="preserve"> to the above</w:t>
      </w:r>
      <w:r w:rsidR="001012A5" w:rsidRPr="00F81989">
        <w:rPr>
          <w:lang w:bidi="ar-SA"/>
        </w:rPr>
        <w:t>-</w:t>
      </w:r>
      <w:r w:rsidR="00125A88" w:rsidRPr="00F81989">
        <w:rPr>
          <w:lang w:bidi="ar-SA"/>
        </w:rPr>
        <w:t>mentioned</w:t>
      </w:r>
      <w:r w:rsidRPr="00F81989">
        <w:rPr>
          <w:lang w:bidi="ar-SA"/>
        </w:rPr>
        <w:t xml:space="preserve"> meta</w:t>
      </w:r>
      <w:r w:rsidR="00125A88" w:rsidRPr="00F81989">
        <w:rPr>
          <w:lang w:bidi="ar-SA"/>
        </w:rPr>
        <w:t>-analysi</w:t>
      </w:r>
      <w:r w:rsidRPr="00F81989">
        <w:rPr>
          <w:lang w:bidi="ar-SA"/>
        </w:rPr>
        <w:t xml:space="preserve">s. </w:t>
      </w:r>
      <w:r w:rsidR="00E252D0" w:rsidRPr="00F81989">
        <w:rPr>
          <w:lang w:bidi="ar-SA"/>
        </w:rPr>
        <w:t>As a result of including these studies</w:t>
      </w:r>
      <w:r w:rsidRPr="00F81989">
        <w:rPr>
          <w:lang w:bidi="ar-SA"/>
        </w:rPr>
        <w:t>, the effect of PF</w:t>
      </w:r>
      <w:r w:rsidR="00041977" w:rsidRPr="00F81989">
        <w:rPr>
          <w:lang w:bidi="ar-SA"/>
        </w:rPr>
        <w:t>OA</w:t>
      </w:r>
      <w:r w:rsidRPr="00F81989">
        <w:rPr>
          <w:lang w:bidi="ar-SA"/>
        </w:rPr>
        <w:t xml:space="preserve"> on bir</w:t>
      </w:r>
      <w:r w:rsidR="00E252D0" w:rsidRPr="00F81989">
        <w:rPr>
          <w:lang w:bidi="ar-SA"/>
        </w:rPr>
        <w:t>thweight was reduced</w:t>
      </w:r>
      <w:r w:rsidRPr="00F81989">
        <w:rPr>
          <w:lang w:bidi="ar-SA"/>
        </w:rPr>
        <w:t xml:space="preserve">. </w:t>
      </w:r>
      <w:r w:rsidR="00041977" w:rsidRPr="00F81989">
        <w:rPr>
          <w:lang w:bidi="ar-SA"/>
        </w:rPr>
        <w:t>Most of the studies included in the meta-analysis examined populations with PFOA concentrations &lt;20 ng/mL. The other systematic review did not conduct a meta-analysis.</w:t>
      </w:r>
    </w:p>
    <w:p w14:paraId="2DBE6115" w14:textId="77777777" w:rsidR="00041977" w:rsidRPr="00F81989" w:rsidRDefault="00041977" w:rsidP="00A111E9">
      <w:pPr>
        <w:rPr>
          <w:lang w:bidi="ar-SA"/>
        </w:rPr>
      </w:pPr>
    </w:p>
    <w:p w14:paraId="2CEFFB67" w14:textId="61FB9EDC" w:rsidR="009C1BE4" w:rsidRPr="00F81989" w:rsidRDefault="009C1BE4" w:rsidP="00A111E9">
      <w:pPr>
        <w:rPr>
          <w:lang w:bidi="ar-SA"/>
        </w:rPr>
      </w:pPr>
      <w:r w:rsidRPr="00F81989">
        <w:rPr>
          <w:lang w:bidi="ar-SA"/>
        </w:rPr>
        <w:t xml:space="preserve">Neither of the systematic reviews considered how the results of studies </w:t>
      </w:r>
      <w:r w:rsidR="00E252D0" w:rsidRPr="00F81989">
        <w:rPr>
          <w:lang w:bidi="ar-SA"/>
        </w:rPr>
        <w:t xml:space="preserve">that they </w:t>
      </w:r>
      <w:r w:rsidRPr="00F81989">
        <w:rPr>
          <w:lang w:bidi="ar-SA"/>
        </w:rPr>
        <w:t>exclude</w:t>
      </w:r>
      <w:r w:rsidR="00E252D0" w:rsidRPr="00F81989">
        <w:rPr>
          <w:lang w:bidi="ar-SA"/>
        </w:rPr>
        <w:t>d</w:t>
      </w:r>
      <w:r w:rsidRPr="00F81989">
        <w:rPr>
          <w:lang w:bidi="ar-SA"/>
        </w:rPr>
        <w:t xml:space="preserve"> owing to data format problems</w:t>
      </w:r>
      <w:r w:rsidR="00E252D0" w:rsidRPr="00F81989">
        <w:rPr>
          <w:lang w:bidi="ar-SA"/>
        </w:rPr>
        <w:t>,</w:t>
      </w:r>
      <w:r w:rsidRPr="00F81989">
        <w:rPr>
          <w:lang w:bidi="ar-SA"/>
        </w:rPr>
        <w:t xml:space="preserve"> would have affected their conclusion. </w:t>
      </w:r>
      <w:r w:rsidR="00B073F7" w:rsidRPr="00F81989">
        <w:rPr>
          <w:lang w:bidi="ar-SA"/>
        </w:rPr>
        <w:t>However, i</w:t>
      </w:r>
      <w:r w:rsidRPr="00F81989">
        <w:rPr>
          <w:lang w:bidi="ar-SA"/>
        </w:rPr>
        <w:t>n the case of PFOA, FSANZ is of the opinion that these excluded studies reflect the range of resul</w:t>
      </w:r>
      <w:r w:rsidR="00E252D0" w:rsidRPr="00F81989">
        <w:rPr>
          <w:lang w:bidi="ar-SA"/>
        </w:rPr>
        <w:t>ts shown in the meta-analysis</w:t>
      </w:r>
      <w:r w:rsidRPr="00F81989">
        <w:rPr>
          <w:lang w:bidi="ar-SA"/>
        </w:rPr>
        <w:t>.</w:t>
      </w:r>
      <w:r w:rsidR="00B073F7" w:rsidRPr="00F81989">
        <w:rPr>
          <w:lang w:bidi="ar-SA"/>
        </w:rPr>
        <w:t xml:space="preserve"> </w:t>
      </w:r>
      <w:r w:rsidRPr="00F81989">
        <w:rPr>
          <w:lang w:bidi="ar-SA"/>
        </w:rPr>
        <w:t>Most studies examined associations for PFOA and PFOS separately and did not conduct a mutually-adjusted analysis despite often noting a substantial correlation between PFOA and PFOS.</w:t>
      </w:r>
      <w:r w:rsidR="00F647F9" w:rsidRPr="00F81989">
        <w:rPr>
          <w:lang w:bidi="ar-SA"/>
        </w:rPr>
        <w:t xml:space="preserve"> </w:t>
      </w:r>
      <w:r w:rsidRPr="00F81989">
        <w:rPr>
          <w:lang w:bidi="ar-SA"/>
        </w:rPr>
        <w:t>Overall the results show a steep decline in birthweight at low blood concentrations of PFAS, which levelled off to a plateau or near-plateau at higher concentrations. The mechanism by which PFASs could lead to such a dose-response curve is not clear.</w:t>
      </w:r>
    </w:p>
    <w:p w14:paraId="0D8C6813" w14:textId="77777777" w:rsidR="009C1BE4" w:rsidRPr="00F81989" w:rsidRDefault="009C1BE4" w:rsidP="00A111E9">
      <w:pPr>
        <w:rPr>
          <w:lang w:bidi="ar-SA"/>
        </w:rPr>
      </w:pPr>
    </w:p>
    <w:p w14:paraId="5E816995" w14:textId="059C0993" w:rsidR="009C1BE4" w:rsidRPr="00F81989" w:rsidRDefault="009C1BE4" w:rsidP="00A111E9">
      <w:pPr>
        <w:rPr>
          <w:lang w:bidi="ar-SA"/>
        </w:rPr>
      </w:pPr>
      <w:r w:rsidRPr="00F81989">
        <w:rPr>
          <w:lang w:bidi="ar-SA"/>
        </w:rPr>
        <w:t xml:space="preserve">FSANZ notes that the concentration in blood in the human studies described above is approximately 1,000-fold lower than that found in animal studies showing an effect on birthweight. It is not certain whether the association observed reflects a causal relationship between PFAS and birthweight or is the result of a third factor. For example, Verner </w:t>
      </w:r>
      <w:r w:rsidR="00180A32" w:rsidRPr="00180A32">
        <w:rPr>
          <w:i/>
        </w:rPr>
        <w:t xml:space="preserve">et al. </w:t>
      </w:r>
      <w:r w:rsidR="00CC50B8">
        <w:t xml:space="preserve"> </w:t>
      </w:r>
      <w:r w:rsidRPr="00F81989">
        <w:rPr>
          <w:lang w:bidi="ar-SA"/>
        </w:rPr>
        <w:t xml:space="preserve">(2015) suggest that both would be affected by the changes in </w:t>
      </w:r>
      <w:r w:rsidR="001302F5">
        <w:rPr>
          <w:lang w:bidi="ar-SA"/>
        </w:rPr>
        <w:t>GFR</w:t>
      </w:r>
      <w:r w:rsidRPr="00F81989">
        <w:rPr>
          <w:lang w:bidi="ar-SA"/>
        </w:rPr>
        <w:t xml:space="preserve"> that occur during pregnancy.</w:t>
      </w:r>
    </w:p>
    <w:p w14:paraId="25BC5A50" w14:textId="77777777" w:rsidR="009C1BE4" w:rsidRPr="00F81989" w:rsidRDefault="009C1BE4" w:rsidP="00A111E9">
      <w:pPr>
        <w:rPr>
          <w:lang w:bidi="ar-SA"/>
        </w:rPr>
      </w:pPr>
    </w:p>
    <w:p w14:paraId="45E17917" w14:textId="3AA7C53F" w:rsidR="009C1BE4" w:rsidRPr="00D938BA" w:rsidRDefault="009C1BE4" w:rsidP="00A111E9">
      <w:pPr>
        <w:rPr>
          <w:lang w:bidi="ar-SA"/>
        </w:rPr>
      </w:pPr>
      <w:r w:rsidRPr="00F81989">
        <w:rPr>
          <w:lang w:bidi="ar-SA"/>
        </w:rPr>
        <w:t>In summary, FSANZ has found that overall the studies with numerical data report an association</w:t>
      </w:r>
      <w:r w:rsidR="00E252D0" w:rsidRPr="00F81989">
        <w:rPr>
          <w:lang w:bidi="ar-SA"/>
        </w:rPr>
        <w:t xml:space="preserve"> between blood PFAS concentration and decreased birth weight</w:t>
      </w:r>
      <w:r w:rsidRPr="00F81989">
        <w:rPr>
          <w:lang w:bidi="ar-SA"/>
        </w:rPr>
        <w:t>. Missing quantitative data from studies reporting no effect raises the possibility of selective reporting or publication bias affecting the body of evidence. The shape of the association is not clear. It is not possible to determine whether the association reflects a causal relationship or is the result of a third factor that alters both PFAS concentration and birthweight, or may have been verstated owing to selective reporting or publication.</w:t>
      </w:r>
    </w:p>
    <w:p w14:paraId="2B8D8769" w14:textId="77777777" w:rsidR="009C1BE4" w:rsidRDefault="009C1BE4" w:rsidP="00A111E9">
      <w:pPr>
        <w:rPr>
          <w:lang w:eastAsia="en-AU" w:bidi="ar-SA"/>
        </w:rPr>
      </w:pPr>
    </w:p>
    <w:p w14:paraId="0CA368DE" w14:textId="0033BF4B" w:rsidR="008365BB" w:rsidRPr="00310BE4" w:rsidRDefault="008365BB" w:rsidP="00684A16">
      <w:pPr>
        <w:pStyle w:val="Heading5"/>
        <w:rPr>
          <w:lang w:eastAsia="en-AU"/>
        </w:rPr>
      </w:pPr>
      <w:r w:rsidRPr="00310BE4">
        <w:rPr>
          <w:lang w:eastAsia="en-AU"/>
        </w:rPr>
        <w:t>Effects on offspring of PFOA-exposed parents</w:t>
      </w:r>
    </w:p>
    <w:p w14:paraId="20438FCE" w14:textId="4C4B8D67" w:rsidR="008365BB" w:rsidRDefault="008365BB" w:rsidP="00A111E9">
      <w:pPr>
        <w:rPr>
          <w:lang w:eastAsia="en-AU" w:bidi="ar-SA"/>
        </w:rPr>
      </w:pPr>
      <w:r>
        <w:rPr>
          <w:lang w:eastAsia="en-AU" w:bidi="ar-SA"/>
        </w:rPr>
        <w:t xml:space="preserve">Two studies reported that </w:t>
      </w:r>
      <w:r w:rsidR="000C6F4B">
        <w:rPr>
          <w:lang w:eastAsia="en-AU" w:bidi="ar-SA"/>
        </w:rPr>
        <w:t>attention deficit hyperactivity disorder (</w:t>
      </w:r>
      <w:r>
        <w:rPr>
          <w:lang w:eastAsia="en-AU" w:bidi="ar-SA"/>
        </w:rPr>
        <w:t>ADHD</w:t>
      </w:r>
      <w:r w:rsidR="000C6F4B">
        <w:rPr>
          <w:lang w:eastAsia="en-AU" w:bidi="ar-SA"/>
        </w:rPr>
        <w:t>)</w:t>
      </w:r>
      <w:r>
        <w:rPr>
          <w:lang w:eastAsia="en-AU" w:bidi="ar-SA"/>
        </w:rPr>
        <w:t xml:space="preserve"> as reported by parent</w:t>
      </w:r>
      <w:r w:rsidR="00DB0B1B">
        <w:rPr>
          <w:lang w:eastAsia="en-AU" w:bidi="ar-SA"/>
        </w:rPr>
        <w:t>s</w:t>
      </w:r>
      <w:r w:rsidR="00B217C6">
        <w:rPr>
          <w:lang w:eastAsia="en-AU" w:bidi="ar-SA"/>
        </w:rPr>
        <w:t xml:space="preserve">, </w:t>
      </w:r>
      <w:r>
        <w:rPr>
          <w:lang w:eastAsia="en-AU" w:bidi="ar-SA"/>
        </w:rPr>
        <w:t xml:space="preserve">was positively associated with prenatal exposure to PFOA (reviewed by US EPA 2016), but two other studies did not identify such an association </w:t>
      </w:r>
      <w:r w:rsidRPr="00EB57F2">
        <w:rPr>
          <w:lang w:eastAsia="en-AU" w:bidi="ar-SA"/>
        </w:rPr>
        <w:t>(reviewed by EFSA 2008)</w:t>
      </w:r>
      <w:r>
        <w:rPr>
          <w:lang w:eastAsia="en-AU" w:bidi="ar-SA"/>
        </w:rPr>
        <w:t>.</w:t>
      </w:r>
    </w:p>
    <w:p w14:paraId="5AF0986B" w14:textId="77777777" w:rsidR="008365BB" w:rsidRDefault="008365BB" w:rsidP="00A111E9">
      <w:pPr>
        <w:rPr>
          <w:lang w:eastAsia="en-AU" w:bidi="ar-SA"/>
        </w:rPr>
      </w:pPr>
    </w:p>
    <w:p w14:paraId="5B141EC1" w14:textId="22DB4CF0" w:rsidR="008365BB" w:rsidRDefault="008365BB" w:rsidP="00A111E9">
      <w:pPr>
        <w:rPr>
          <w:lang w:eastAsia="en-AU" w:bidi="ar-SA"/>
        </w:rPr>
      </w:pPr>
      <w:r>
        <w:rPr>
          <w:lang w:eastAsia="en-AU" w:bidi="ar-SA"/>
        </w:rPr>
        <w:t xml:space="preserve">Assessment of anthropometry of offspring at 20 years revealed a positive association between </w:t>
      </w:r>
      <w:r w:rsidRPr="00A050BE">
        <w:rPr>
          <w:lang w:eastAsia="en-AU"/>
        </w:rPr>
        <w:t>in utero</w:t>
      </w:r>
      <w:r>
        <w:rPr>
          <w:lang w:eastAsia="en-AU" w:bidi="ar-SA"/>
        </w:rPr>
        <w:t xml:space="preserve"> PFOA exposure and higher </w:t>
      </w:r>
      <w:r w:rsidR="000C6F4B">
        <w:rPr>
          <w:lang w:eastAsia="en-AU" w:bidi="ar-SA"/>
        </w:rPr>
        <w:t>body mass index (</w:t>
      </w:r>
      <w:r>
        <w:rPr>
          <w:lang w:eastAsia="en-AU" w:bidi="ar-SA"/>
        </w:rPr>
        <w:t>BMI</w:t>
      </w:r>
      <w:r w:rsidR="000C6F4B">
        <w:rPr>
          <w:lang w:eastAsia="en-AU" w:bidi="ar-SA"/>
        </w:rPr>
        <w:t>)</w:t>
      </w:r>
      <w:r>
        <w:rPr>
          <w:lang w:eastAsia="en-AU" w:bidi="ar-SA"/>
        </w:rPr>
        <w:t xml:space="preserve"> and waist circumference in women but not in men. The women also had significant elevations in insulin, leptin and adiponectin (</w:t>
      </w:r>
      <w:r w:rsidR="00414E5F">
        <w:rPr>
          <w:lang w:eastAsia="en-AU" w:bidi="ar-SA"/>
        </w:rPr>
        <w:t xml:space="preserve">data from Halldorsson </w:t>
      </w:r>
      <w:r w:rsidR="00180A32" w:rsidRPr="00180A32">
        <w:rPr>
          <w:i/>
          <w:lang w:eastAsia="en-AU" w:bidi="ar-SA"/>
        </w:rPr>
        <w:t xml:space="preserve">et al. </w:t>
      </w:r>
      <w:r w:rsidR="00414E5F">
        <w:rPr>
          <w:lang w:eastAsia="en-AU" w:bidi="ar-SA"/>
        </w:rPr>
        <w:t xml:space="preserve"> 2012 reported in</w:t>
      </w:r>
      <w:r>
        <w:rPr>
          <w:lang w:eastAsia="en-AU" w:bidi="ar-SA"/>
        </w:rPr>
        <w:t xml:space="preserve"> Bull </w:t>
      </w:r>
      <w:r w:rsidR="00180A32" w:rsidRPr="00180A32">
        <w:rPr>
          <w:i/>
          <w:lang w:eastAsia="en-AU"/>
        </w:rPr>
        <w:t xml:space="preserve">et al. </w:t>
      </w:r>
      <w:r w:rsidR="00CC50B8">
        <w:rPr>
          <w:lang w:eastAsia="en-AU"/>
        </w:rPr>
        <w:t xml:space="preserve"> </w:t>
      </w:r>
      <w:r w:rsidRPr="00C27905">
        <w:rPr>
          <w:lang w:eastAsia="en-AU" w:bidi="ar-SA"/>
        </w:rPr>
        <w:t>2014</w:t>
      </w:r>
      <w:r>
        <w:rPr>
          <w:lang w:eastAsia="en-AU" w:bidi="ar-SA"/>
        </w:rPr>
        <w:t>).</w:t>
      </w:r>
    </w:p>
    <w:p w14:paraId="2DECC2CF" w14:textId="77777777" w:rsidR="008365BB" w:rsidRDefault="008365BB" w:rsidP="00A111E9">
      <w:pPr>
        <w:rPr>
          <w:lang w:eastAsia="en-AU" w:bidi="ar-SA"/>
        </w:rPr>
      </w:pPr>
    </w:p>
    <w:p w14:paraId="6EFA39DE" w14:textId="5A0782E7" w:rsidR="008365BB" w:rsidRDefault="008365BB" w:rsidP="00A111E9">
      <w:pPr>
        <w:rPr>
          <w:lang w:eastAsia="en-AU" w:bidi="ar-SA"/>
        </w:rPr>
      </w:pPr>
      <w:r>
        <w:rPr>
          <w:lang w:eastAsia="en-AU" w:bidi="ar-SA"/>
        </w:rPr>
        <w:t>Evidence that prenatal PFOA exposure affects age at menarche is equivocal (</w:t>
      </w:r>
      <w:r w:rsidR="005F4FD6" w:rsidRPr="005F4FD6">
        <w:rPr>
          <w:lang w:eastAsia="en-AU" w:bidi="ar-SA"/>
        </w:rPr>
        <w:t xml:space="preserve">data from Christensen </w:t>
      </w:r>
      <w:r w:rsidR="00180A32" w:rsidRPr="00180A32">
        <w:rPr>
          <w:i/>
          <w:lang w:eastAsia="en-AU" w:bidi="ar-SA"/>
        </w:rPr>
        <w:t xml:space="preserve">et al. </w:t>
      </w:r>
      <w:r w:rsidR="005F4FD6" w:rsidRPr="005F4FD6">
        <w:rPr>
          <w:lang w:eastAsia="en-AU" w:bidi="ar-SA"/>
        </w:rPr>
        <w:t xml:space="preserve"> (2011) and Lopez-Espinosa </w:t>
      </w:r>
      <w:r w:rsidR="00180A32" w:rsidRPr="00180A32">
        <w:rPr>
          <w:i/>
          <w:lang w:eastAsia="en-AU" w:bidi="ar-SA"/>
        </w:rPr>
        <w:t xml:space="preserve">et al. </w:t>
      </w:r>
      <w:r w:rsidR="005F4FD6" w:rsidRPr="005F4FD6">
        <w:rPr>
          <w:lang w:eastAsia="en-AU" w:bidi="ar-SA"/>
        </w:rPr>
        <w:t xml:space="preserve"> 2011, reported </w:t>
      </w:r>
      <w:r w:rsidR="005F4FD6">
        <w:rPr>
          <w:lang w:eastAsia="en-AU" w:bidi="ar-SA"/>
        </w:rPr>
        <w:t xml:space="preserve">in </w:t>
      </w:r>
      <w:r>
        <w:rPr>
          <w:lang w:eastAsia="en-AU" w:bidi="ar-SA"/>
        </w:rPr>
        <w:t xml:space="preserve">Bull </w:t>
      </w:r>
      <w:r w:rsidR="00180A32" w:rsidRPr="00180A32">
        <w:rPr>
          <w:i/>
          <w:lang w:eastAsia="en-AU"/>
        </w:rPr>
        <w:t xml:space="preserve">et al. </w:t>
      </w:r>
      <w:r w:rsidR="00CC50B8">
        <w:rPr>
          <w:lang w:eastAsia="en-AU"/>
        </w:rPr>
        <w:t xml:space="preserve"> </w:t>
      </w:r>
      <w:r w:rsidRPr="00C27905">
        <w:rPr>
          <w:lang w:eastAsia="en-AU" w:bidi="ar-SA"/>
        </w:rPr>
        <w:t>2014</w:t>
      </w:r>
      <w:r>
        <w:rPr>
          <w:lang w:eastAsia="en-AU" w:bidi="ar-SA"/>
        </w:rPr>
        <w:t xml:space="preserve">, </w:t>
      </w:r>
      <w:r w:rsidR="005F4FD6">
        <w:rPr>
          <w:lang w:eastAsia="en-AU" w:bidi="ar-SA"/>
        </w:rPr>
        <w:t>review</w:t>
      </w:r>
      <w:r w:rsidR="00DB0B1B">
        <w:rPr>
          <w:lang w:eastAsia="en-AU" w:bidi="ar-SA"/>
        </w:rPr>
        <w:t>ed</w:t>
      </w:r>
      <w:r w:rsidR="005F4FD6">
        <w:rPr>
          <w:lang w:eastAsia="en-AU" w:bidi="ar-SA"/>
        </w:rPr>
        <w:t xml:space="preserve"> by </w:t>
      </w:r>
      <w:r>
        <w:rPr>
          <w:lang w:eastAsia="en-AU" w:bidi="ar-SA"/>
        </w:rPr>
        <w:t>US EPA 2016).</w:t>
      </w:r>
    </w:p>
    <w:p w14:paraId="108ADC1C" w14:textId="77777777" w:rsidR="008365BB" w:rsidRDefault="008365BB" w:rsidP="00A111E9">
      <w:pPr>
        <w:rPr>
          <w:lang w:eastAsia="en-AU" w:bidi="ar-SA"/>
        </w:rPr>
      </w:pPr>
    </w:p>
    <w:p w14:paraId="3A2AC536" w14:textId="3A73960D" w:rsidR="008365BB" w:rsidRPr="00CE26A8" w:rsidRDefault="008365BB" w:rsidP="00A111E9">
      <w:pPr>
        <w:rPr>
          <w:lang w:eastAsia="en-AU" w:bidi="ar-SA"/>
        </w:rPr>
      </w:pPr>
      <w:r w:rsidRPr="0024433D">
        <w:rPr>
          <w:lang w:eastAsia="en-AU" w:bidi="ar-SA"/>
        </w:rPr>
        <w:t xml:space="preserve">One study reported that </w:t>
      </w:r>
      <w:r w:rsidRPr="003D738D">
        <w:rPr>
          <w:lang w:eastAsia="en-AU" w:bidi="ar-SA"/>
        </w:rPr>
        <w:t>prenatal</w:t>
      </w:r>
      <w:r w:rsidRPr="0024433D">
        <w:rPr>
          <w:lang w:eastAsia="en-AU" w:bidi="ar-SA"/>
        </w:rPr>
        <w:t xml:space="preserve"> PFOA exposure was associated with decreased semen </w:t>
      </w:r>
      <w:r w:rsidRPr="0024433D">
        <w:rPr>
          <w:lang w:eastAsia="en-AU" w:bidi="ar-SA"/>
        </w:rPr>
        <w:lastRenderedPageBreak/>
        <w:t>quality, sperm count, and sperm morphology, as well as increases in LH and FSH, in male offspring</w:t>
      </w:r>
      <w:r>
        <w:rPr>
          <w:lang w:eastAsia="en-AU" w:bidi="ar-SA"/>
        </w:rPr>
        <w:t xml:space="preserve"> (</w:t>
      </w:r>
      <w:r w:rsidR="005F4FD6" w:rsidRPr="005F4FD6">
        <w:rPr>
          <w:lang w:eastAsia="en-AU" w:bidi="ar-SA"/>
        </w:rPr>
        <w:t xml:space="preserve">Data from Vested </w:t>
      </w:r>
      <w:r w:rsidR="00180A32" w:rsidRPr="00180A32">
        <w:rPr>
          <w:i/>
          <w:lang w:eastAsia="en-AU" w:bidi="ar-SA"/>
        </w:rPr>
        <w:t xml:space="preserve">et al. </w:t>
      </w:r>
      <w:r w:rsidR="005F4FD6" w:rsidRPr="005F4FD6">
        <w:rPr>
          <w:lang w:eastAsia="en-AU" w:bidi="ar-SA"/>
        </w:rPr>
        <w:t xml:space="preserve"> 2013, reported</w:t>
      </w:r>
      <w:r w:rsidR="005F4FD6">
        <w:rPr>
          <w:lang w:eastAsia="en-AU" w:bidi="ar-SA"/>
        </w:rPr>
        <w:t xml:space="preserve"> in</w:t>
      </w:r>
      <w:r w:rsidR="005F4FD6" w:rsidRPr="005F4FD6">
        <w:rPr>
          <w:lang w:eastAsia="en-AU" w:bidi="ar-SA"/>
        </w:rPr>
        <w:t xml:space="preserve"> </w:t>
      </w:r>
      <w:r>
        <w:rPr>
          <w:lang w:eastAsia="en-AU" w:bidi="ar-SA"/>
        </w:rPr>
        <w:t xml:space="preserve">Bull </w:t>
      </w:r>
      <w:r w:rsidR="00180A32" w:rsidRPr="00180A32">
        <w:rPr>
          <w:i/>
          <w:lang w:eastAsia="en-AU"/>
        </w:rPr>
        <w:t xml:space="preserve">et al. </w:t>
      </w:r>
      <w:r w:rsidR="00CC50B8">
        <w:rPr>
          <w:lang w:eastAsia="en-AU"/>
        </w:rPr>
        <w:t xml:space="preserve"> </w:t>
      </w:r>
      <w:r w:rsidRPr="00C27905">
        <w:rPr>
          <w:lang w:eastAsia="en-AU" w:bidi="ar-SA"/>
        </w:rPr>
        <w:t>2014</w:t>
      </w:r>
      <w:r>
        <w:rPr>
          <w:lang w:eastAsia="en-AU" w:bidi="ar-SA"/>
        </w:rPr>
        <w:t>)</w:t>
      </w:r>
      <w:r w:rsidRPr="0024433D">
        <w:rPr>
          <w:lang w:eastAsia="en-AU" w:bidi="ar-SA"/>
        </w:rPr>
        <w:t>.</w:t>
      </w:r>
    </w:p>
    <w:p w14:paraId="15DC7473" w14:textId="77777777" w:rsidR="008365BB" w:rsidRDefault="008365BB" w:rsidP="00A111E9">
      <w:pPr>
        <w:rPr>
          <w:lang w:eastAsia="en-AU" w:bidi="ar-SA"/>
        </w:rPr>
      </w:pPr>
    </w:p>
    <w:p w14:paraId="44FC5D80" w14:textId="77777777" w:rsidR="000830C5" w:rsidRDefault="000830C5">
      <w:pPr>
        <w:widowControl/>
        <w:rPr>
          <w:b/>
          <w:i/>
          <w:lang w:eastAsia="en-AU" w:bidi="ar-SA"/>
        </w:rPr>
      </w:pPr>
      <w:r>
        <w:rPr>
          <w:b/>
          <w:i/>
          <w:lang w:eastAsia="en-AU" w:bidi="ar-SA"/>
        </w:rPr>
        <w:br w:type="page"/>
      </w:r>
    </w:p>
    <w:p w14:paraId="456C0C5C" w14:textId="43162E55" w:rsidR="008365BB" w:rsidRPr="00310BE4" w:rsidRDefault="008365BB" w:rsidP="00684A16">
      <w:pPr>
        <w:pStyle w:val="Heading5"/>
        <w:rPr>
          <w:lang w:eastAsia="en-AU"/>
        </w:rPr>
      </w:pPr>
      <w:r w:rsidRPr="00310BE4">
        <w:rPr>
          <w:lang w:eastAsia="en-AU"/>
        </w:rPr>
        <w:lastRenderedPageBreak/>
        <w:t>Immune function</w:t>
      </w:r>
    </w:p>
    <w:p w14:paraId="231799F8" w14:textId="59BC0B11" w:rsidR="008365BB" w:rsidRDefault="008365BB" w:rsidP="00A111E9">
      <w:pPr>
        <w:rPr>
          <w:lang w:eastAsia="en-AU" w:bidi="ar-SA"/>
        </w:rPr>
      </w:pPr>
      <w:r>
        <w:rPr>
          <w:lang w:eastAsia="en-AU" w:bidi="ar-SA"/>
        </w:rPr>
        <w:t>There is some evidence of an association between serum PFOA levels and f</w:t>
      </w:r>
      <w:r w:rsidRPr="00C27905">
        <w:rPr>
          <w:lang w:eastAsia="en-AU" w:bidi="ar-SA"/>
        </w:rPr>
        <w:t>ailure of adequate antibody response in children to vaccinations against diphtheria and against tetanus (</w:t>
      </w:r>
      <w:r w:rsidR="007917B8" w:rsidRPr="007917B8">
        <w:rPr>
          <w:lang w:eastAsia="en-AU" w:bidi="ar-SA"/>
        </w:rPr>
        <w:t xml:space="preserve">Grandjean </w:t>
      </w:r>
      <w:r w:rsidR="00180A32" w:rsidRPr="00180A32">
        <w:rPr>
          <w:i/>
          <w:lang w:eastAsia="en-AU" w:bidi="ar-SA"/>
        </w:rPr>
        <w:t xml:space="preserve">et al. </w:t>
      </w:r>
      <w:r w:rsidR="007917B8" w:rsidRPr="007917B8">
        <w:rPr>
          <w:lang w:eastAsia="en-AU" w:bidi="ar-SA"/>
        </w:rPr>
        <w:t xml:space="preserve"> 2012 as </w:t>
      </w:r>
      <w:r w:rsidR="007917B8">
        <w:rPr>
          <w:lang w:eastAsia="en-AU" w:bidi="ar-SA"/>
        </w:rPr>
        <w:t xml:space="preserve">reported in </w:t>
      </w:r>
      <w:r>
        <w:rPr>
          <w:lang w:eastAsia="en-AU" w:bidi="ar-SA"/>
        </w:rPr>
        <w:t xml:space="preserve">Bull </w:t>
      </w:r>
      <w:r w:rsidR="00180A32" w:rsidRPr="00180A32">
        <w:rPr>
          <w:i/>
          <w:lang w:eastAsia="en-AU"/>
        </w:rPr>
        <w:t xml:space="preserve">et al. </w:t>
      </w:r>
      <w:r w:rsidR="00CC50B8">
        <w:rPr>
          <w:lang w:eastAsia="en-AU"/>
        </w:rPr>
        <w:t xml:space="preserve"> </w:t>
      </w:r>
      <w:r w:rsidRPr="00C27905">
        <w:rPr>
          <w:lang w:eastAsia="en-AU" w:bidi="ar-SA"/>
        </w:rPr>
        <w:t>2014</w:t>
      </w:r>
      <w:r>
        <w:rPr>
          <w:lang w:eastAsia="en-AU" w:bidi="ar-SA"/>
        </w:rPr>
        <w:t xml:space="preserve">, </w:t>
      </w:r>
      <w:r w:rsidR="007917B8">
        <w:rPr>
          <w:lang w:eastAsia="en-AU" w:bidi="ar-SA"/>
        </w:rPr>
        <w:t xml:space="preserve">reviewed by </w:t>
      </w:r>
      <w:r>
        <w:rPr>
          <w:lang w:eastAsia="en-AU" w:bidi="ar-SA"/>
        </w:rPr>
        <w:t>US EPA 2016</w:t>
      </w:r>
      <w:r w:rsidRPr="00C27905">
        <w:rPr>
          <w:lang w:eastAsia="en-AU" w:bidi="ar-SA"/>
        </w:rPr>
        <w:t>).</w:t>
      </w:r>
      <w:r>
        <w:rPr>
          <w:lang w:eastAsia="en-AU" w:bidi="ar-SA"/>
        </w:rPr>
        <w:t xml:space="preserve"> However</w:t>
      </w:r>
      <w:r w:rsidR="007F02A2">
        <w:rPr>
          <w:lang w:eastAsia="en-AU" w:bidi="ar-SA"/>
        </w:rPr>
        <w:t>,</w:t>
      </w:r>
      <w:r>
        <w:rPr>
          <w:lang w:eastAsia="en-AU" w:bidi="ar-SA"/>
        </w:rPr>
        <w:t xml:space="preserve"> the data are not sufficient to establish a causal relationship between PFOA exposure and clinical relevant impairment of vaccine response (Drew and Hagen 2016).</w:t>
      </w:r>
    </w:p>
    <w:p w14:paraId="0821C7D2" w14:textId="229F8BD4" w:rsidR="008365BB" w:rsidRPr="00310BE4" w:rsidRDefault="00684A16" w:rsidP="00684A16">
      <w:pPr>
        <w:pStyle w:val="Heading5"/>
        <w:rPr>
          <w:lang w:eastAsia="en-AU"/>
        </w:rPr>
      </w:pPr>
      <w:r>
        <w:rPr>
          <w:lang w:eastAsia="en-AU"/>
        </w:rPr>
        <w:t>C</w:t>
      </w:r>
      <w:r w:rsidR="008365BB" w:rsidRPr="00310BE4">
        <w:rPr>
          <w:lang w:eastAsia="en-AU"/>
        </w:rPr>
        <w:t>a</w:t>
      </w:r>
      <w:r w:rsidR="008365BB" w:rsidRPr="00684A16">
        <w:rPr>
          <w:rStyle w:val="Heading5Char"/>
        </w:rPr>
        <w:t>r</w:t>
      </w:r>
      <w:r w:rsidR="008365BB" w:rsidRPr="00310BE4">
        <w:rPr>
          <w:lang w:eastAsia="en-AU"/>
        </w:rPr>
        <w:t>diovascular disease</w:t>
      </w:r>
    </w:p>
    <w:p w14:paraId="5455AB62" w14:textId="77777777" w:rsidR="008365BB" w:rsidRPr="00CE26A8" w:rsidRDefault="008365BB" w:rsidP="00A111E9">
      <w:pPr>
        <w:rPr>
          <w:lang w:eastAsia="en-AU" w:bidi="ar-SA"/>
        </w:rPr>
      </w:pPr>
      <w:r>
        <w:rPr>
          <w:lang w:eastAsia="en-AU" w:bidi="ar-SA"/>
        </w:rPr>
        <w:t xml:space="preserve">There is a lack of consistent evidence that PFOA is associated with increased risk of cardiovascular disease </w:t>
      </w:r>
      <w:r w:rsidRPr="008F5345">
        <w:rPr>
          <w:lang w:eastAsia="en-AU" w:bidi="ar-SA"/>
        </w:rPr>
        <w:t>(reviewed by EFSA 2008)</w:t>
      </w:r>
    </w:p>
    <w:p w14:paraId="167822E8" w14:textId="77777777" w:rsidR="008365BB" w:rsidRPr="00310BE4" w:rsidRDefault="008365BB" w:rsidP="00684A16">
      <w:pPr>
        <w:pStyle w:val="Heading5"/>
        <w:rPr>
          <w:lang w:eastAsia="en-AU"/>
        </w:rPr>
      </w:pPr>
      <w:r w:rsidRPr="00310BE4">
        <w:rPr>
          <w:lang w:eastAsia="en-AU"/>
        </w:rPr>
        <w:t>Cancer</w:t>
      </w:r>
    </w:p>
    <w:p w14:paraId="4A306F1E" w14:textId="4A321BED" w:rsidR="002C238E" w:rsidRDefault="002C238E" w:rsidP="00A111E9">
      <w:pPr>
        <w:rPr>
          <w:lang w:eastAsia="en-AU" w:bidi="ar-SA"/>
        </w:rPr>
      </w:pPr>
      <w:r>
        <w:rPr>
          <w:lang w:eastAsia="en-AU" w:bidi="ar-SA"/>
        </w:rPr>
        <w:t xml:space="preserve">EFSA (2008) </w:t>
      </w:r>
      <w:r w:rsidR="008365BB">
        <w:rPr>
          <w:lang w:eastAsia="en-AU" w:bidi="ar-SA"/>
        </w:rPr>
        <w:t xml:space="preserve">concluded that epidemiological studies </w:t>
      </w:r>
      <w:r w:rsidR="00A41C2D">
        <w:rPr>
          <w:lang w:eastAsia="en-AU" w:bidi="ar-SA"/>
        </w:rPr>
        <w:t>in PFOA expos</w:t>
      </w:r>
      <w:r>
        <w:rPr>
          <w:lang w:eastAsia="en-AU" w:bidi="ar-SA"/>
        </w:rPr>
        <w:t xml:space="preserve">ed workers </w:t>
      </w:r>
      <w:r w:rsidR="008365BB">
        <w:rPr>
          <w:lang w:eastAsia="en-AU" w:bidi="ar-SA"/>
        </w:rPr>
        <w:t xml:space="preserve">do not indicate an increased cancer risk. </w:t>
      </w:r>
    </w:p>
    <w:p w14:paraId="71CA381C" w14:textId="77777777" w:rsidR="009E679A" w:rsidRDefault="009E679A" w:rsidP="00A111E9">
      <w:pPr>
        <w:rPr>
          <w:lang w:eastAsia="en-AU" w:bidi="ar-SA"/>
        </w:rPr>
      </w:pPr>
    </w:p>
    <w:p w14:paraId="19A42F56" w14:textId="75D76EA6" w:rsidR="009E679A" w:rsidRDefault="009E679A" w:rsidP="00A111E9">
      <w:pPr>
        <w:rPr>
          <w:lang w:eastAsia="en-AU" w:bidi="ar-SA"/>
        </w:rPr>
      </w:pPr>
      <w:r>
        <w:rPr>
          <w:lang w:eastAsia="en-AU" w:bidi="ar-SA"/>
        </w:rPr>
        <w:t>A weak association between PFOA exposure and prostate cancer was reported in one retrospective cohort mortality study of occupationally exposed workers, but was not found in an update to the study. However, the exposure categories were changed between the original study and the update, making it difficult to compare the two. A study in Denmark found no association between PFOA exposure and prostate cancer (reviewed by EFSA 2008).</w:t>
      </w:r>
    </w:p>
    <w:p w14:paraId="4AB8AAD7" w14:textId="77777777" w:rsidR="009E679A" w:rsidRDefault="009E679A" w:rsidP="00A111E9">
      <w:pPr>
        <w:rPr>
          <w:lang w:eastAsia="en-AU" w:bidi="ar-SA"/>
        </w:rPr>
      </w:pPr>
    </w:p>
    <w:p w14:paraId="297EE794" w14:textId="2397B785" w:rsidR="009E679A" w:rsidRDefault="009E679A" w:rsidP="00A111E9">
      <w:pPr>
        <w:rPr>
          <w:lang w:eastAsia="en-AU" w:bidi="ar-SA"/>
        </w:rPr>
      </w:pPr>
      <w:r>
        <w:rPr>
          <w:lang w:eastAsia="en-AU" w:bidi="ar-SA"/>
        </w:rPr>
        <w:t xml:space="preserve">A study of residents living near a Teflon manufacturing plant reported a positive association between PFOA exposure and increased risk of kidney cancer and non-Hodgkin lymphoma (data from Vierira </w:t>
      </w:r>
      <w:r w:rsidR="00180A32" w:rsidRPr="00180A32">
        <w:rPr>
          <w:i/>
          <w:lang w:eastAsia="en-AU" w:bidi="ar-SA"/>
        </w:rPr>
        <w:t xml:space="preserve">et al. </w:t>
      </w:r>
      <w:r>
        <w:rPr>
          <w:lang w:eastAsia="en-AU" w:bidi="ar-SA"/>
        </w:rPr>
        <w:t xml:space="preserve"> 2013 presented in Bull </w:t>
      </w:r>
      <w:r w:rsidR="00180A32" w:rsidRPr="00180A32">
        <w:rPr>
          <w:i/>
          <w:lang w:eastAsia="en-AU" w:bidi="ar-SA"/>
        </w:rPr>
        <w:t xml:space="preserve">et al. </w:t>
      </w:r>
      <w:r>
        <w:rPr>
          <w:lang w:eastAsia="en-AU" w:bidi="ar-SA"/>
        </w:rPr>
        <w:t xml:space="preserve"> 2014).</w:t>
      </w:r>
    </w:p>
    <w:p w14:paraId="0486DAB5" w14:textId="77777777" w:rsidR="009E679A" w:rsidRDefault="009E679A" w:rsidP="00A111E9">
      <w:pPr>
        <w:rPr>
          <w:lang w:eastAsia="en-AU" w:bidi="ar-SA"/>
        </w:rPr>
      </w:pPr>
    </w:p>
    <w:p w14:paraId="4480FF3C" w14:textId="3916E6A6" w:rsidR="009E679A" w:rsidRDefault="009E679A" w:rsidP="00A111E9">
      <w:pPr>
        <w:rPr>
          <w:lang w:eastAsia="en-AU" w:bidi="ar-SA"/>
        </w:rPr>
      </w:pPr>
      <w:r>
        <w:rPr>
          <w:lang w:eastAsia="en-AU" w:bidi="ar-SA"/>
        </w:rPr>
        <w:t>A Danish study found no association between PFOA exposure and pancreatic cancer (reviewed by EFSA 2008).</w:t>
      </w:r>
    </w:p>
    <w:p w14:paraId="23CC8474" w14:textId="77777777" w:rsidR="009E679A" w:rsidRDefault="009E679A" w:rsidP="00A111E9">
      <w:pPr>
        <w:rPr>
          <w:lang w:eastAsia="en-AU" w:bidi="ar-SA"/>
        </w:rPr>
      </w:pPr>
    </w:p>
    <w:p w14:paraId="6BD0AEEF" w14:textId="4D251266" w:rsidR="002C238E" w:rsidRDefault="009E679A" w:rsidP="00A111E9">
      <w:pPr>
        <w:rPr>
          <w:lang w:eastAsia="en-AU" w:bidi="ar-SA"/>
        </w:rPr>
      </w:pPr>
      <w:r>
        <w:rPr>
          <w:lang w:eastAsia="en-AU" w:bidi="ar-SA"/>
        </w:rPr>
        <w:t xml:space="preserve">An apparent association with risk of mesothelioma in one study of occupationally exposed workers probably reflected exposure to asbestos (data from Steenland and Woskie 2012 presented in Bull </w:t>
      </w:r>
      <w:r w:rsidR="00180A32" w:rsidRPr="00180A32">
        <w:rPr>
          <w:i/>
          <w:lang w:eastAsia="en-AU" w:bidi="ar-SA"/>
        </w:rPr>
        <w:t xml:space="preserve">et al. </w:t>
      </w:r>
      <w:r>
        <w:rPr>
          <w:lang w:eastAsia="en-AU" w:bidi="ar-SA"/>
        </w:rPr>
        <w:t xml:space="preserve"> 2014).</w:t>
      </w:r>
    </w:p>
    <w:p w14:paraId="3E9B4E37" w14:textId="77777777" w:rsidR="009E679A" w:rsidRDefault="009E679A" w:rsidP="00A111E9">
      <w:pPr>
        <w:rPr>
          <w:lang w:eastAsia="en-AU" w:bidi="ar-SA"/>
        </w:rPr>
      </w:pPr>
    </w:p>
    <w:p w14:paraId="17773FC5" w14:textId="550822BB" w:rsidR="002C238E" w:rsidRDefault="008365BB" w:rsidP="00A111E9">
      <w:pPr>
        <w:rPr>
          <w:lang w:eastAsia="en-AU" w:bidi="ar-SA"/>
        </w:rPr>
      </w:pPr>
      <w:r>
        <w:rPr>
          <w:lang w:eastAsia="en-AU" w:bidi="ar-SA"/>
        </w:rPr>
        <w:t xml:space="preserve">ATSDR </w:t>
      </w:r>
      <w:r w:rsidR="00E4496F">
        <w:rPr>
          <w:lang w:eastAsia="en-AU" w:bidi="ar-SA"/>
        </w:rPr>
        <w:t xml:space="preserve">(2015) </w:t>
      </w:r>
      <w:r>
        <w:rPr>
          <w:lang w:eastAsia="en-AU" w:bidi="ar-SA"/>
        </w:rPr>
        <w:t xml:space="preserve">considered that results of </w:t>
      </w:r>
      <w:r w:rsidR="002C238E">
        <w:rPr>
          <w:lang w:eastAsia="en-AU" w:bidi="ar-SA"/>
        </w:rPr>
        <w:t xml:space="preserve">a number of </w:t>
      </w:r>
      <w:r>
        <w:rPr>
          <w:lang w:eastAsia="en-AU" w:bidi="ar-SA"/>
        </w:rPr>
        <w:t>studies reporting increases in cancer risk should be interpreted cautiously, because most studies did not control for confounding variab</w:t>
      </w:r>
      <w:r w:rsidR="002C238E">
        <w:rPr>
          <w:lang w:eastAsia="en-AU" w:bidi="ar-SA"/>
        </w:rPr>
        <w:t xml:space="preserve">les such as smoking. </w:t>
      </w:r>
      <w:r w:rsidR="002C238E" w:rsidRPr="002C238E">
        <w:rPr>
          <w:lang w:eastAsia="en-AU" w:bidi="ar-SA"/>
        </w:rPr>
        <w:t>The ATSDR also noted the lack of consistency of results between epidemiological studies</w:t>
      </w:r>
      <w:r w:rsidR="002C238E">
        <w:rPr>
          <w:lang w:eastAsia="en-AU" w:bidi="ar-SA"/>
        </w:rPr>
        <w:t xml:space="preserve"> and considered that</w:t>
      </w:r>
      <w:r>
        <w:rPr>
          <w:lang w:eastAsia="en-AU" w:bidi="ar-SA"/>
        </w:rPr>
        <w:t xml:space="preserve"> the actual number of cancer cases was low, and a causative relationship cannot be establis</w:t>
      </w:r>
      <w:r w:rsidR="002C238E">
        <w:rPr>
          <w:lang w:eastAsia="en-AU" w:bidi="ar-SA"/>
        </w:rPr>
        <w:t>hed</w:t>
      </w:r>
      <w:r>
        <w:rPr>
          <w:lang w:eastAsia="en-AU" w:bidi="ar-SA"/>
        </w:rPr>
        <w:t xml:space="preserve">. </w:t>
      </w:r>
    </w:p>
    <w:p w14:paraId="33F34FB2" w14:textId="77777777" w:rsidR="002C238E" w:rsidRDefault="002C238E" w:rsidP="00A111E9">
      <w:pPr>
        <w:rPr>
          <w:lang w:eastAsia="en-AU" w:bidi="ar-SA"/>
        </w:rPr>
      </w:pPr>
    </w:p>
    <w:p w14:paraId="3B64C6CE" w14:textId="38F812AC" w:rsidR="008365BB" w:rsidRDefault="008365BB" w:rsidP="00A111E9">
      <w:pPr>
        <w:rPr>
          <w:lang w:eastAsia="en-AU" w:bidi="ar-SA"/>
        </w:rPr>
      </w:pPr>
      <w:r>
        <w:rPr>
          <w:lang w:eastAsia="en-AU" w:bidi="ar-SA"/>
        </w:rPr>
        <w:t xml:space="preserve">The US EPA </w:t>
      </w:r>
      <w:r w:rsidR="009E679A">
        <w:rPr>
          <w:lang w:eastAsia="en-AU" w:bidi="ar-SA"/>
        </w:rPr>
        <w:t xml:space="preserve">(2016) </w:t>
      </w:r>
      <w:r>
        <w:rPr>
          <w:lang w:eastAsia="en-AU" w:bidi="ar-SA"/>
        </w:rPr>
        <w:t>concluded that there is ‘suggestive evidence of carcinogenic potential’ of PFOA.</w:t>
      </w:r>
      <w:r w:rsidR="002C238E">
        <w:rPr>
          <w:lang w:eastAsia="en-AU" w:bidi="ar-SA"/>
        </w:rPr>
        <w:t xml:space="preserve"> This was based on </w:t>
      </w:r>
      <w:r w:rsidR="006B6FAF">
        <w:rPr>
          <w:lang w:eastAsia="en-AU" w:bidi="ar-SA"/>
        </w:rPr>
        <w:t xml:space="preserve">an association of serum PFOA with kidney and testicular tumours among highly exposed members of the general population. </w:t>
      </w:r>
      <w:r w:rsidR="009E679A">
        <w:rPr>
          <w:lang w:eastAsia="en-AU" w:bidi="ar-SA"/>
        </w:rPr>
        <w:t>However,</w:t>
      </w:r>
      <w:r w:rsidR="009E679A" w:rsidRPr="009E679A">
        <w:rPr>
          <w:lang w:eastAsia="en-AU" w:bidi="ar-SA"/>
        </w:rPr>
        <w:t xml:space="preserve"> two occupational cohorts in Minnesota and West Virginia d</w:t>
      </w:r>
      <w:r w:rsidR="009E679A">
        <w:rPr>
          <w:lang w:eastAsia="en-AU" w:bidi="ar-SA"/>
        </w:rPr>
        <w:t>id</w:t>
      </w:r>
      <w:r w:rsidR="009E679A" w:rsidRPr="009E679A">
        <w:rPr>
          <w:lang w:eastAsia="en-AU" w:bidi="ar-SA"/>
        </w:rPr>
        <w:t xml:space="preserve"> not support an increased risk of kidney or testicular cancer</w:t>
      </w:r>
      <w:r w:rsidR="009E679A">
        <w:rPr>
          <w:lang w:eastAsia="en-AU" w:bidi="ar-SA"/>
        </w:rPr>
        <w:t xml:space="preserve">. </w:t>
      </w:r>
      <w:r w:rsidR="009E679A" w:rsidRPr="009E679A">
        <w:rPr>
          <w:lang w:eastAsia="en-AU" w:bidi="ar-SA"/>
        </w:rPr>
        <w:t>A number of studies of the general population have found no association between PFOA exposure and risk of colorectal, breast, prostate, bladder or liver cancer (reviewed by US EPA 2016).</w:t>
      </w:r>
    </w:p>
    <w:p w14:paraId="242B8F73" w14:textId="77777777" w:rsidR="008365BB" w:rsidRDefault="008365BB" w:rsidP="00A111E9">
      <w:pPr>
        <w:rPr>
          <w:lang w:eastAsia="en-AU" w:bidi="ar-SA"/>
        </w:rPr>
      </w:pPr>
    </w:p>
    <w:p w14:paraId="06127177" w14:textId="7EB48593" w:rsidR="000E1E81" w:rsidRDefault="008365BB" w:rsidP="00A111E9">
      <w:pPr>
        <w:rPr>
          <w:lang w:eastAsia="en-AU" w:bidi="ar-SA"/>
        </w:rPr>
      </w:pPr>
      <w:r>
        <w:rPr>
          <w:lang w:eastAsia="en-AU" w:bidi="ar-SA"/>
        </w:rPr>
        <w:t xml:space="preserve">IARC (2016) concluded that there is </w:t>
      </w:r>
      <w:r w:rsidRPr="009C1789">
        <w:rPr>
          <w:i/>
          <w:lang w:eastAsia="en-AU" w:bidi="ar-SA"/>
        </w:rPr>
        <w:t>limited evidence</w:t>
      </w:r>
      <w:r>
        <w:rPr>
          <w:lang w:eastAsia="en-AU" w:bidi="ar-SA"/>
        </w:rPr>
        <w:t xml:space="preserve"> in humans for the carcinogenicity of PFOA, based on positive associations observed for kidney and testicular cancers</w:t>
      </w:r>
      <w:r w:rsidR="000E1E81">
        <w:rPr>
          <w:lang w:eastAsia="en-AU" w:bidi="ar-SA"/>
        </w:rPr>
        <w:t xml:space="preserve"> in a high-exposure community setting</w:t>
      </w:r>
      <w:r>
        <w:rPr>
          <w:lang w:eastAsia="en-AU" w:bidi="ar-SA"/>
        </w:rPr>
        <w:t xml:space="preserve">. </w:t>
      </w:r>
      <w:r w:rsidR="000E1E81">
        <w:rPr>
          <w:lang w:eastAsia="en-AU" w:bidi="ar-SA"/>
        </w:rPr>
        <w:t>It was noted that for testicular cancers the evidence was based on small numbers</w:t>
      </w:r>
      <w:r w:rsidR="00A41C2D">
        <w:rPr>
          <w:lang w:eastAsia="en-AU" w:bidi="ar-SA"/>
        </w:rPr>
        <w:t>,</w:t>
      </w:r>
      <w:r w:rsidR="009C1789">
        <w:rPr>
          <w:lang w:eastAsia="en-AU" w:bidi="ar-SA"/>
        </w:rPr>
        <w:t xml:space="preserve"> and for cancer of the kidney, chance, bias and confounding could not be ruled out with reasonable confidence. </w:t>
      </w:r>
    </w:p>
    <w:p w14:paraId="215AD05F" w14:textId="77777777" w:rsidR="008365BB" w:rsidRPr="00310BE4" w:rsidRDefault="008365BB" w:rsidP="00684A16">
      <w:pPr>
        <w:pStyle w:val="Heading5"/>
        <w:rPr>
          <w:lang w:eastAsia="en-AU"/>
        </w:rPr>
      </w:pPr>
      <w:r w:rsidRPr="00310BE4">
        <w:rPr>
          <w:lang w:eastAsia="en-AU"/>
        </w:rPr>
        <w:lastRenderedPageBreak/>
        <w:t>Other effects</w:t>
      </w:r>
    </w:p>
    <w:p w14:paraId="64074865" w14:textId="5CEF0A8F" w:rsidR="008365BB" w:rsidRDefault="008365BB" w:rsidP="00A111E9">
      <w:pPr>
        <w:rPr>
          <w:lang w:eastAsia="en-AU" w:bidi="ar-SA"/>
        </w:rPr>
      </w:pPr>
      <w:r>
        <w:rPr>
          <w:lang w:eastAsia="en-AU" w:bidi="ar-SA"/>
        </w:rPr>
        <w:t xml:space="preserve">No consistent associations have been reported between serum PFOA levels and abnormal haematology findings, indicators of metabolic syndrome, memory loss or senility. Various epidemiological studies have found an association between PFOA and increased risk of hyperuricaemia, incidence of ulcerative colitis, risk of osteoarthritis, risk of childhood asthma, and risk of moderate/severe endometriosis. Findings on kidney disease are conflicting </w:t>
      </w:r>
      <w:r w:rsidRPr="005C60AD">
        <w:rPr>
          <w:lang w:eastAsia="en-AU" w:bidi="ar-SA"/>
        </w:rPr>
        <w:t>(</w:t>
      </w:r>
      <w:r w:rsidR="00D4488C" w:rsidRPr="00D4488C">
        <w:rPr>
          <w:lang w:eastAsia="en-AU" w:bidi="ar-SA"/>
        </w:rPr>
        <w:t xml:space="preserve">based on data presented on human epidemiology data detailed in </w:t>
      </w:r>
      <w:r>
        <w:rPr>
          <w:lang w:eastAsia="en-AU" w:bidi="ar-SA"/>
        </w:rPr>
        <w:t xml:space="preserve">Bull </w:t>
      </w:r>
      <w:r w:rsidR="00180A32" w:rsidRPr="00180A32">
        <w:rPr>
          <w:i/>
          <w:lang w:eastAsia="en-AU"/>
        </w:rPr>
        <w:t xml:space="preserve">et al. </w:t>
      </w:r>
      <w:r w:rsidR="00CC50B8">
        <w:rPr>
          <w:lang w:eastAsia="en-AU"/>
        </w:rPr>
        <w:t xml:space="preserve"> </w:t>
      </w:r>
      <w:r w:rsidRPr="00C27905">
        <w:rPr>
          <w:lang w:eastAsia="en-AU" w:bidi="ar-SA"/>
        </w:rPr>
        <w:t>2014</w:t>
      </w:r>
      <w:r w:rsidRPr="005C60AD">
        <w:rPr>
          <w:lang w:eastAsia="en-AU" w:bidi="ar-SA"/>
        </w:rPr>
        <w:t>)</w:t>
      </w:r>
      <w:r w:rsidR="00F14E49">
        <w:rPr>
          <w:lang w:eastAsia="en-AU" w:bidi="ar-SA"/>
        </w:rPr>
        <w:t xml:space="preserve"> and might reflect reverse causation (i</w:t>
      </w:r>
      <w:r w:rsidR="003861B4">
        <w:rPr>
          <w:lang w:eastAsia="en-AU" w:bidi="ar-SA"/>
        </w:rPr>
        <w:t>.e.</w:t>
      </w:r>
      <w:r w:rsidR="00F14E49">
        <w:rPr>
          <w:lang w:eastAsia="en-AU" w:bidi="ar-SA"/>
        </w:rPr>
        <w:t xml:space="preserve"> declining kidney function may </w:t>
      </w:r>
      <w:r w:rsidR="008A2050">
        <w:rPr>
          <w:lang w:eastAsia="en-AU" w:bidi="ar-SA"/>
        </w:rPr>
        <w:t xml:space="preserve">result </w:t>
      </w:r>
      <w:r w:rsidR="00F14E49">
        <w:rPr>
          <w:lang w:eastAsia="en-AU" w:bidi="ar-SA"/>
        </w:rPr>
        <w:t>in increased PFOA levels)</w:t>
      </w:r>
      <w:r>
        <w:rPr>
          <w:lang w:eastAsia="en-AU" w:bidi="ar-SA"/>
        </w:rPr>
        <w:t>.</w:t>
      </w:r>
    </w:p>
    <w:p w14:paraId="067123B6" w14:textId="77777777" w:rsidR="008365BB" w:rsidRDefault="008365BB" w:rsidP="00A111E9">
      <w:pPr>
        <w:rPr>
          <w:lang w:eastAsia="en-AU" w:bidi="ar-SA"/>
        </w:rPr>
      </w:pPr>
    </w:p>
    <w:p w14:paraId="3D73A880" w14:textId="1CF8365D" w:rsidR="008365BB" w:rsidRPr="00A050BE" w:rsidRDefault="008365BB" w:rsidP="00A111E9">
      <w:pPr>
        <w:rPr>
          <w:lang w:eastAsia="en-AU"/>
        </w:rPr>
      </w:pPr>
      <w:r>
        <w:rPr>
          <w:lang w:eastAsia="en-AU" w:bidi="ar-SA"/>
        </w:rPr>
        <w:t xml:space="preserve">Bull </w:t>
      </w:r>
      <w:r w:rsidR="00180A32" w:rsidRPr="00180A32">
        <w:rPr>
          <w:i/>
          <w:lang w:eastAsia="en-AU"/>
        </w:rPr>
        <w:t xml:space="preserve">et al. </w:t>
      </w:r>
      <w:r w:rsidR="00CC50B8">
        <w:rPr>
          <w:lang w:eastAsia="en-AU"/>
        </w:rPr>
        <w:t xml:space="preserve"> </w:t>
      </w:r>
      <w:r>
        <w:rPr>
          <w:lang w:eastAsia="en-AU" w:bidi="ar-SA"/>
        </w:rPr>
        <w:t>(2014) concluded that there was no consistent association between serum PFOA levels and impairment of liver function, but the US EPA (2016) concluded that PFOA has the potential t</w:t>
      </w:r>
      <w:r w:rsidR="00E252D0">
        <w:rPr>
          <w:lang w:eastAsia="en-AU" w:bidi="ar-SA"/>
        </w:rPr>
        <w:t xml:space="preserve">o affect human liver function. </w:t>
      </w:r>
      <w:r>
        <w:rPr>
          <w:lang w:eastAsia="en-AU" w:bidi="ar-SA"/>
        </w:rPr>
        <w:t>The ATSDR (2015) concluded that there were consistent findings of an association between serum PFOA and alterations in biomarkers of liver damage. The ATSDR reached the same conclusion concerning increases in uric acid levels.</w:t>
      </w:r>
    </w:p>
    <w:p w14:paraId="191416DC" w14:textId="77777777" w:rsidR="008365BB" w:rsidRPr="00A050BE" w:rsidRDefault="008365BB" w:rsidP="00A111E9">
      <w:pPr>
        <w:rPr>
          <w:color w:val="4F81BD" w:themeColor="accent1"/>
        </w:rPr>
      </w:pPr>
    </w:p>
    <w:p w14:paraId="32BDC007" w14:textId="5CF457E1" w:rsidR="008365BB" w:rsidRDefault="00E252D0" w:rsidP="00A111E9">
      <w:pPr>
        <w:rPr>
          <w:lang w:bidi="ar-SA"/>
        </w:rPr>
      </w:pPr>
      <w:r>
        <w:rPr>
          <w:lang w:bidi="ar-SA"/>
        </w:rPr>
        <w:t xml:space="preserve">The </w:t>
      </w:r>
      <w:r w:rsidR="008365BB" w:rsidRPr="003D738D">
        <w:rPr>
          <w:lang w:bidi="ar-SA"/>
        </w:rPr>
        <w:t xml:space="preserve">US EPA (2016) noted that the C8 Science Panel concluded in 2012 that links between PFOA exposure and ulcerative colitis, high cholesterol, gestational hypertension and thyroid disease were ‘probable’ but that there was no probable link between PFOA exposure and birth defects, autoimmune diseases, </w:t>
      </w:r>
      <w:r w:rsidR="0007229B">
        <w:rPr>
          <w:lang w:bidi="ar-SA"/>
        </w:rPr>
        <w:t>type II</w:t>
      </w:r>
      <w:r w:rsidR="008365BB" w:rsidRPr="003D738D">
        <w:rPr>
          <w:lang w:bidi="ar-SA"/>
        </w:rPr>
        <w:t xml:space="preserve"> diabetes, hypertension, coronary artery disease, infectious disease, liver disease, Parkinson’s disease, osteoarthritis, ADHD or other neurodevelopmental disorders in children, miscarriage, stillbirth, kidney disease, stroke, asthma, </w:t>
      </w:r>
      <w:r w:rsidRPr="00E252D0">
        <w:rPr>
          <w:lang w:bidi="ar-SA"/>
        </w:rPr>
        <w:t xml:space="preserve">chronic obstructive pulmonary disease </w:t>
      </w:r>
      <w:r>
        <w:rPr>
          <w:lang w:bidi="ar-SA"/>
        </w:rPr>
        <w:t>(</w:t>
      </w:r>
      <w:r w:rsidR="008365BB" w:rsidRPr="003D738D">
        <w:rPr>
          <w:lang w:bidi="ar-SA"/>
        </w:rPr>
        <w:t>COPD</w:t>
      </w:r>
      <w:r>
        <w:rPr>
          <w:lang w:bidi="ar-SA"/>
        </w:rPr>
        <w:t>)</w:t>
      </w:r>
      <w:r w:rsidR="008365BB" w:rsidRPr="003D738D">
        <w:rPr>
          <w:lang w:bidi="ar-SA"/>
        </w:rPr>
        <w:t>, preterm birth or low birth weight.</w:t>
      </w:r>
    </w:p>
    <w:p w14:paraId="62D35D6C" w14:textId="5F5EBEC0" w:rsidR="008365BB" w:rsidRDefault="00527321" w:rsidP="00684A16">
      <w:pPr>
        <w:pStyle w:val="Heading3"/>
      </w:pPr>
      <w:bookmarkStart w:id="295" w:name="_Toc468372011"/>
      <w:bookmarkStart w:id="296" w:name="_Toc468699231"/>
      <w:bookmarkStart w:id="297" w:name="_Toc468712760"/>
      <w:bookmarkStart w:id="298" w:name="_Toc468716462"/>
      <w:bookmarkStart w:id="299" w:name="_Toc468709449"/>
      <w:bookmarkStart w:id="300" w:name="_Toc468717748"/>
      <w:bookmarkStart w:id="301" w:name="_Toc468718392"/>
      <w:bookmarkStart w:id="302" w:name="_Toc468719382"/>
      <w:bookmarkStart w:id="303" w:name="_Toc468722187"/>
      <w:bookmarkStart w:id="304" w:name="_Toc468799257"/>
      <w:bookmarkStart w:id="305" w:name="_Toc468806580"/>
      <w:bookmarkStart w:id="306" w:name="_Toc468980994"/>
      <w:bookmarkStart w:id="307" w:name="_Toc482805105"/>
      <w:r>
        <w:t>3</w:t>
      </w:r>
      <w:r w:rsidR="008365BB">
        <w:t>.</w:t>
      </w:r>
      <w:r w:rsidR="00927A30">
        <w:t>4</w:t>
      </w:r>
      <w:r w:rsidR="008365BB">
        <w:tab/>
        <w:t>Discussion and conclusions</w:t>
      </w:r>
      <w:bookmarkEnd w:id="295"/>
      <w:r>
        <w:t xml:space="preserve"> PFOA</w:t>
      </w:r>
      <w:bookmarkEnd w:id="296"/>
      <w:bookmarkEnd w:id="297"/>
      <w:bookmarkEnd w:id="298"/>
      <w:bookmarkEnd w:id="299"/>
      <w:bookmarkEnd w:id="300"/>
      <w:bookmarkEnd w:id="301"/>
      <w:bookmarkEnd w:id="302"/>
      <w:bookmarkEnd w:id="303"/>
      <w:bookmarkEnd w:id="304"/>
      <w:bookmarkEnd w:id="305"/>
      <w:bookmarkEnd w:id="306"/>
      <w:bookmarkEnd w:id="307"/>
    </w:p>
    <w:p w14:paraId="4F23BFCF" w14:textId="24DC2BD4" w:rsidR="008365BB" w:rsidRDefault="008365BB" w:rsidP="00A111E9">
      <w:pPr>
        <w:rPr>
          <w:lang w:bidi="ar-SA"/>
        </w:rPr>
      </w:pPr>
      <w:r w:rsidRPr="00D8797C">
        <w:rPr>
          <w:lang w:bidi="ar-SA"/>
        </w:rPr>
        <w:t>PFOA is highly persistent in</w:t>
      </w:r>
      <w:r>
        <w:rPr>
          <w:lang w:bidi="ar-SA"/>
        </w:rPr>
        <w:t xml:space="preserve"> human beings, with an elimination half-life measured in years. This persistence gives rise to </w:t>
      </w:r>
      <w:r w:rsidR="00D4685E">
        <w:rPr>
          <w:lang w:bidi="ar-SA"/>
        </w:rPr>
        <w:t xml:space="preserve">some </w:t>
      </w:r>
      <w:r>
        <w:rPr>
          <w:lang w:bidi="ar-SA"/>
        </w:rPr>
        <w:t>concern, although PFOA appears to have few adverse effects. Toxic mechanism(s) in humans are unclear, but epidemiological evidence suggests that PFOA may be positively associated with serum levels of cholesterol, LDL, and serum triglycerides. PFOA may also be positively associated with risk of gestational hypertension, and with</w:t>
      </w:r>
      <w:r w:rsidR="00E252D0">
        <w:rPr>
          <w:lang w:bidi="ar-SA"/>
        </w:rPr>
        <w:t xml:space="preserve"> a</w:t>
      </w:r>
      <w:r>
        <w:rPr>
          <w:lang w:bidi="ar-SA"/>
        </w:rPr>
        <w:t xml:space="preserve"> risk of decreased birth weight. Evidence of other effects, including associations with cancers, is inconsistent and equivocal. FSANZ has identified a number of deficiencies in the available epidemiological studies and meta</w:t>
      </w:r>
      <w:r w:rsidR="00E252D0">
        <w:rPr>
          <w:lang w:bidi="ar-SA"/>
        </w:rPr>
        <w:t>-analysis. It is noted</w:t>
      </w:r>
      <w:r>
        <w:rPr>
          <w:lang w:bidi="ar-SA"/>
        </w:rPr>
        <w:t xml:space="preserve"> that gestational hypertension is a known risk factor for decreased birth weight, and also decreases GFR, which would lead to decreased renal excretion of PFOA.</w:t>
      </w:r>
    </w:p>
    <w:p w14:paraId="2982482F" w14:textId="77777777" w:rsidR="008365BB" w:rsidRDefault="008365BB" w:rsidP="00A111E9">
      <w:pPr>
        <w:rPr>
          <w:lang w:bidi="ar-SA"/>
        </w:rPr>
      </w:pPr>
    </w:p>
    <w:p w14:paraId="061800B4" w14:textId="057DCFAA" w:rsidR="008365BB" w:rsidRDefault="008365BB" w:rsidP="00A111E9">
      <w:pPr>
        <w:rPr>
          <w:lang w:bidi="ar-SA"/>
        </w:rPr>
      </w:pPr>
      <w:r>
        <w:rPr>
          <w:lang w:bidi="ar-SA"/>
        </w:rPr>
        <w:t xml:space="preserve">The positive association of PFOA with elevated levels of cholesterol and triglycerides in the circulation </w:t>
      </w:r>
      <w:r w:rsidR="00B3570C">
        <w:rPr>
          <w:lang w:bidi="ar-SA"/>
        </w:rPr>
        <w:t>in human beings are inconsistent with findings in experimental animals, and are also</w:t>
      </w:r>
      <w:r>
        <w:rPr>
          <w:lang w:bidi="ar-SA"/>
        </w:rPr>
        <w:t xml:space="preserve"> the reverse of those that would generally be expected of a PPAR</w:t>
      </w:r>
      <w:r>
        <w:rPr>
          <w:rFonts w:cs="Arial"/>
          <w:lang w:bidi="ar-SA"/>
        </w:rPr>
        <w:t>α</w:t>
      </w:r>
      <w:r>
        <w:rPr>
          <w:lang w:bidi="ar-SA"/>
        </w:rPr>
        <w:t xml:space="preserve"> agonist. Fibrates including gemfibrozil, bezafibrate and fenofibrate are PPAR</w:t>
      </w:r>
      <w:r>
        <w:rPr>
          <w:rFonts w:cs="Arial"/>
          <w:lang w:bidi="ar-SA"/>
        </w:rPr>
        <w:t>α</w:t>
      </w:r>
      <w:r>
        <w:rPr>
          <w:lang w:bidi="ar-SA"/>
        </w:rPr>
        <w:t xml:space="preserve"> agonists that are prescribed to lower cholesterol and decrease plasma triglycerides, and experimental evidence links these therapeutic effects with their PPAR</w:t>
      </w:r>
      <w:r>
        <w:rPr>
          <w:rFonts w:cs="Arial"/>
          <w:lang w:bidi="ar-SA"/>
        </w:rPr>
        <w:t>α</w:t>
      </w:r>
      <w:r>
        <w:rPr>
          <w:lang w:bidi="ar-SA"/>
        </w:rPr>
        <w:t xml:space="preserve"> agonism (Yu </w:t>
      </w:r>
      <w:r w:rsidR="00180A32" w:rsidRPr="00180A32">
        <w:rPr>
          <w:i/>
        </w:rPr>
        <w:t xml:space="preserve">et al. </w:t>
      </w:r>
      <w:r w:rsidR="00CC50B8">
        <w:t xml:space="preserve"> </w:t>
      </w:r>
      <w:r>
        <w:rPr>
          <w:lang w:bidi="ar-SA"/>
        </w:rPr>
        <w:t>2015). It is noteworthy that there is an inverse correlation between serum LDL</w:t>
      </w:r>
      <w:r w:rsidR="001012A5">
        <w:rPr>
          <w:lang w:bidi="ar-SA"/>
        </w:rPr>
        <w:t xml:space="preserve"> </w:t>
      </w:r>
      <w:r>
        <w:rPr>
          <w:lang w:bidi="ar-SA"/>
        </w:rPr>
        <w:t>cholesterol and GFR, and that it has been suggested that LDL</w:t>
      </w:r>
      <w:r w:rsidR="001012A5">
        <w:rPr>
          <w:lang w:bidi="ar-SA"/>
        </w:rPr>
        <w:t xml:space="preserve"> </w:t>
      </w:r>
      <w:r>
        <w:rPr>
          <w:lang w:bidi="ar-SA"/>
        </w:rPr>
        <w:t xml:space="preserve">cholesterol reduces GFR by impairing the function of renal arterioles and capillaries (Morita </w:t>
      </w:r>
      <w:r w:rsidR="00180A32" w:rsidRPr="00180A32">
        <w:rPr>
          <w:i/>
          <w:lang w:bidi="ar-SA"/>
        </w:rPr>
        <w:t xml:space="preserve">et al. </w:t>
      </w:r>
      <w:r w:rsidR="002A12A9">
        <w:rPr>
          <w:lang w:bidi="ar-SA"/>
        </w:rPr>
        <w:t xml:space="preserve"> </w:t>
      </w:r>
      <w:r>
        <w:rPr>
          <w:lang w:bidi="ar-SA"/>
        </w:rPr>
        <w:t>2010).</w:t>
      </w:r>
    </w:p>
    <w:p w14:paraId="61DFB3C2" w14:textId="77777777" w:rsidR="008365BB" w:rsidRDefault="008365BB" w:rsidP="00A111E9">
      <w:pPr>
        <w:rPr>
          <w:lang w:bidi="ar-SA"/>
        </w:rPr>
      </w:pPr>
    </w:p>
    <w:p w14:paraId="5E00066C" w14:textId="11AD6943" w:rsidR="008365BB" w:rsidRDefault="008365BB" w:rsidP="00A111E9">
      <w:pPr>
        <w:rPr>
          <w:lang w:eastAsia="en-AU" w:bidi="ar-SA"/>
        </w:rPr>
      </w:pPr>
      <w:r>
        <w:rPr>
          <w:lang w:eastAsia="en-AU" w:bidi="ar-SA"/>
        </w:rPr>
        <w:t>Modelling of the toxicity of PFOA in animal species is complicated by two major factors. The first of these is the inter</w:t>
      </w:r>
      <w:r w:rsidR="000203C4">
        <w:rPr>
          <w:lang w:eastAsia="en-AU" w:bidi="ar-SA"/>
        </w:rPr>
        <w:t>species</w:t>
      </w:r>
      <w:r>
        <w:rPr>
          <w:lang w:eastAsia="en-AU" w:bidi="ar-SA"/>
        </w:rPr>
        <w:t xml:space="preserve"> variation in toxicokinetics. The elimination half-</w:t>
      </w:r>
      <w:r w:rsidR="00EC1F02">
        <w:rPr>
          <w:lang w:eastAsia="en-AU" w:bidi="ar-SA"/>
        </w:rPr>
        <w:t xml:space="preserve">life of PFOA is </w:t>
      </w:r>
      <w:r w:rsidR="00CE51AC">
        <w:rPr>
          <w:lang w:eastAsia="en-AU" w:bidi="ar-SA"/>
        </w:rPr>
        <w:t>estimated to be a matter of</w:t>
      </w:r>
      <w:r>
        <w:rPr>
          <w:lang w:eastAsia="en-AU" w:bidi="ar-SA"/>
        </w:rPr>
        <w:t xml:space="preserve"> hours in female rats, and days i</w:t>
      </w:r>
      <w:r w:rsidR="00E252D0">
        <w:rPr>
          <w:lang w:eastAsia="en-AU" w:bidi="ar-SA"/>
        </w:rPr>
        <w:t>n male rats and in monkeys, but</w:t>
      </w:r>
      <w:r>
        <w:rPr>
          <w:lang w:eastAsia="en-AU" w:bidi="ar-SA"/>
        </w:rPr>
        <w:t xml:space="preserve"> years in human beings. The inter</w:t>
      </w:r>
      <w:r w:rsidR="000203C4">
        <w:rPr>
          <w:lang w:eastAsia="en-AU" w:bidi="ar-SA"/>
        </w:rPr>
        <w:t>species</w:t>
      </w:r>
      <w:r>
        <w:rPr>
          <w:lang w:eastAsia="en-AU" w:bidi="ar-SA"/>
        </w:rPr>
        <w:t xml:space="preserve"> differences may be a result of differences in expression of renal organic anion transporters. There is also evidence that biliary excretion, with extensive enterohepatic cycling which would prolong the persistence of PFOA in the </w:t>
      </w:r>
      <w:r>
        <w:rPr>
          <w:lang w:eastAsia="en-AU" w:bidi="ar-SA"/>
        </w:rPr>
        <w:lastRenderedPageBreak/>
        <w:t>body, may be an important route in primates but not in rodents.</w:t>
      </w:r>
    </w:p>
    <w:p w14:paraId="42033B1F" w14:textId="77777777" w:rsidR="008365BB" w:rsidRDefault="008365BB" w:rsidP="00A111E9">
      <w:pPr>
        <w:rPr>
          <w:lang w:eastAsia="en-AU" w:bidi="ar-SA"/>
        </w:rPr>
      </w:pPr>
    </w:p>
    <w:p w14:paraId="10FFDE98" w14:textId="5974FE2B" w:rsidR="008365BB" w:rsidRDefault="008365BB" w:rsidP="00A111E9">
      <w:pPr>
        <w:rPr>
          <w:lang w:eastAsia="en-AU" w:bidi="ar-SA"/>
        </w:rPr>
      </w:pPr>
      <w:r>
        <w:rPr>
          <w:lang w:eastAsia="en-AU" w:bidi="ar-SA"/>
        </w:rPr>
        <w:t>The second complicating factor is that PFOA is a PPAR</w:t>
      </w:r>
      <w:r>
        <w:rPr>
          <w:rFonts w:cs="Arial"/>
          <w:lang w:eastAsia="en-AU" w:bidi="ar-SA"/>
        </w:rPr>
        <w:t>α</w:t>
      </w:r>
      <w:r>
        <w:rPr>
          <w:lang w:eastAsia="en-AU" w:bidi="ar-SA"/>
        </w:rPr>
        <w:t xml:space="preserve"> agonist; that is, it induces peroxisome proliferation. PPAR</w:t>
      </w:r>
      <w:r>
        <w:rPr>
          <w:rFonts w:cs="Arial"/>
          <w:lang w:eastAsia="en-AU" w:bidi="ar-SA"/>
        </w:rPr>
        <w:t>α</w:t>
      </w:r>
      <w:r>
        <w:rPr>
          <w:lang w:eastAsia="en-AU" w:bidi="ar-SA"/>
        </w:rPr>
        <w:t xml:space="preserve"> agonists typically cause hepatocellular hypertrophy and markedly increased liver weight in rodents, although primates are refractory to this response. Increase</w:t>
      </w:r>
      <w:r w:rsidR="008A2050">
        <w:rPr>
          <w:lang w:eastAsia="en-AU" w:bidi="ar-SA"/>
        </w:rPr>
        <w:t>d</w:t>
      </w:r>
      <w:r>
        <w:rPr>
          <w:lang w:eastAsia="en-AU" w:bidi="ar-SA"/>
        </w:rPr>
        <w:t xml:space="preserve"> liver weight in rodents in response to a PPAR</w:t>
      </w:r>
      <w:r>
        <w:rPr>
          <w:rFonts w:cs="Arial"/>
          <w:lang w:eastAsia="en-AU" w:bidi="ar-SA"/>
        </w:rPr>
        <w:t>α</w:t>
      </w:r>
      <w:r>
        <w:rPr>
          <w:lang w:eastAsia="en-AU" w:bidi="ar-SA"/>
        </w:rPr>
        <w:t xml:space="preserve"> agonist, in the absence of hepatocellular degeneration or necrosis, is usually regarded as an adaptive response and not predictive of human toxicity (Hall </w:t>
      </w:r>
      <w:r w:rsidR="00180A32" w:rsidRPr="00180A32">
        <w:rPr>
          <w:i/>
          <w:lang w:eastAsia="en-AU"/>
        </w:rPr>
        <w:t xml:space="preserve">et al. </w:t>
      </w:r>
      <w:r w:rsidR="00CC50B8">
        <w:rPr>
          <w:lang w:eastAsia="en-AU"/>
        </w:rPr>
        <w:t xml:space="preserve"> </w:t>
      </w:r>
      <w:r>
        <w:rPr>
          <w:lang w:eastAsia="en-AU" w:bidi="ar-SA"/>
        </w:rPr>
        <w:t>2012). FSANZ has not interpreted increase in absolute and/or relative liver weight in rodents, in the absence of hepatocellular degeneration or necrosis, as an adverse effect for the purpose of identifying a NOAEL or LOAEL.</w:t>
      </w:r>
    </w:p>
    <w:p w14:paraId="430B27E3" w14:textId="77777777" w:rsidR="008365BB" w:rsidRDefault="008365BB" w:rsidP="00A111E9">
      <w:pPr>
        <w:rPr>
          <w:lang w:eastAsia="en-AU" w:bidi="ar-SA"/>
        </w:rPr>
      </w:pPr>
    </w:p>
    <w:p w14:paraId="1E0611EC" w14:textId="5CD80E94" w:rsidR="008365BB" w:rsidRDefault="00BE5254" w:rsidP="00A111E9">
      <w:pPr>
        <w:rPr>
          <w:lang w:eastAsia="en-AU" w:bidi="ar-SA"/>
        </w:rPr>
      </w:pPr>
      <w:r>
        <w:rPr>
          <w:lang w:eastAsia="en-AU" w:bidi="ar-SA"/>
        </w:rPr>
        <w:t xml:space="preserve">Similarly, </w:t>
      </w:r>
      <w:r w:rsidR="008365BB">
        <w:rPr>
          <w:lang w:eastAsia="en-AU" w:bidi="ar-SA"/>
        </w:rPr>
        <w:t xml:space="preserve">FSANZ has not interpreted increased absolute liver weight in a small number of monkeys (Butenhoff </w:t>
      </w:r>
      <w:r w:rsidR="00180A32" w:rsidRPr="00180A32">
        <w:rPr>
          <w:i/>
          <w:lang w:eastAsia="en-AU"/>
        </w:rPr>
        <w:t xml:space="preserve">et al. </w:t>
      </w:r>
      <w:r w:rsidR="00CC50B8">
        <w:rPr>
          <w:lang w:eastAsia="en-AU"/>
        </w:rPr>
        <w:t xml:space="preserve"> </w:t>
      </w:r>
      <w:r w:rsidR="008365BB">
        <w:rPr>
          <w:lang w:eastAsia="en-AU" w:bidi="ar-SA"/>
        </w:rPr>
        <w:t>2002) as an adverse effect because there was no significant effect on relative liver weight, and no histological evidence of hepatocellular hypertrophy or liver lesions. Consequently the NOAELs and LOAELs identified by FSANZ for some studies differ from those of regulatory agencies that identify increased liver weight as an adverse effect.</w:t>
      </w:r>
    </w:p>
    <w:p w14:paraId="69EA5822" w14:textId="77777777" w:rsidR="008365BB" w:rsidRDefault="008365BB" w:rsidP="00A111E9">
      <w:pPr>
        <w:rPr>
          <w:lang w:eastAsia="en-AU" w:bidi="ar-SA"/>
        </w:rPr>
      </w:pPr>
    </w:p>
    <w:p w14:paraId="6124C2D7" w14:textId="1B2F08B2" w:rsidR="00CE51AC" w:rsidRDefault="00CE51AC" w:rsidP="00A111E9">
      <w:pPr>
        <w:rPr>
          <w:lang w:eastAsia="en-AU" w:bidi="ar-SA"/>
        </w:rPr>
      </w:pPr>
      <w:r>
        <w:rPr>
          <w:lang w:eastAsia="en-AU" w:bidi="ar-SA"/>
        </w:rPr>
        <w:t xml:space="preserve">Developmental and reproductive </w:t>
      </w:r>
      <w:r w:rsidR="0099331B">
        <w:rPr>
          <w:lang w:eastAsia="en-AU" w:bidi="ar-SA"/>
        </w:rPr>
        <w:t xml:space="preserve">toxicology </w:t>
      </w:r>
      <w:r>
        <w:rPr>
          <w:lang w:eastAsia="en-AU" w:bidi="ar-SA"/>
        </w:rPr>
        <w:t xml:space="preserve">studies of PFOA in rats and mice are available. </w:t>
      </w:r>
      <w:r w:rsidR="0099331B">
        <w:rPr>
          <w:lang w:eastAsia="en-AU" w:bidi="ar-SA"/>
        </w:rPr>
        <w:t xml:space="preserve">Overall, the studies support the conclusion that PFOA may exert adverse effects on prenatally exposed pups at dose levels that do not cause maternal toxicity. </w:t>
      </w:r>
      <w:r>
        <w:rPr>
          <w:lang w:eastAsia="en-AU" w:bidi="ar-SA"/>
        </w:rPr>
        <w:t xml:space="preserve">The two-generation study in rats of Butenhoff </w:t>
      </w:r>
      <w:r w:rsidR="00180A32" w:rsidRPr="00180A32">
        <w:rPr>
          <w:i/>
          <w:lang w:eastAsia="en-AU"/>
        </w:rPr>
        <w:t xml:space="preserve">et al. </w:t>
      </w:r>
      <w:r w:rsidR="00CC50B8">
        <w:rPr>
          <w:lang w:eastAsia="en-AU"/>
        </w:rPr>
        <w:t xml:space="preserve"> </w:t>
      </w:r>
      <w:r>
        <w:rPr>
          <w:lang w:eastAsia="en-AU" w:bidi="ar-SA"/>
        </w:rPr>
        <w:t xml:space="preserve">(2004) </w:t>
      </w:r>
      <w:r w:rsidR="00DF75A0">
        <w:rPr>
          <w:lang w:eastAsia="en-AU" w:bidi="ar-SA"/>
        </w:rPr>
        <w:t>did not identify reproductive or developmental effects distinct from the effects observed in general toxicity studies</w:t>
      </w:r>
      <w:r w:rsidR="0099331B">
        <w:rPr>
          <w:lang w:eastAsia="en-AU" w:bidi="ar-SA"/>
        </w:rPr>
        <w:t xml:space="preserve">, </w:t>
      </w:r>
      <w:r w:rsidR="007F02A2">
        <w:rPr>
          <w:lang w:eastAsia="en-AU" w:bidi="ar-SA"/>
        </w:rPr>
        <w:t>that is</w:t>
      </w:r>
      <w:r w:rsidR="0099331B">
        <w:rPr>
          <w:lang w:eastAsia="en-AU" w:bidi="ar-SA"/>
        </w:rPr>
        <w:t xml:space="preserve"> </w:t>
      </w:r>
      <w:r w:rsidR="00DF75A0">
        <w:rPr>
          <w:lang w:eastAsia="en-AU" w:bidi="ar-SA"/>
        </w:rPr>
        <w:t xml:space="preserve">effects on </w:t>
      </w:r>
      <w:r w:rsidR="00E83E80">
        <w:rPr>
          <w:lang w:eastAsia="en-AU" w:bidi="ar-SA"/>
        </w:rPr>
        <w:t>body weight</w:t>
      </w:r>
      <w:r w:rsidR="00DF75A0">
        <w:rPr>
          <w:lang w:eastAsia="en-AU" w:bidi="ar-SA"/>
        </w:rPr>
        <w:t xml:space="preserve"> and the liver</w:t>
      </w:r>
      <w:r w:rsidR="0099331B">
        <w:rPr>
          <w:lang w:eastAsia="en-AU" w:bidi="ar-SA"/>
        </w:rPr>
        <w:t xml:space="preserve">, </w:t>
      </w:r>
      <w:r w:rsidR="00905C9D">
        <w:rPr>
          <w:lang w:eastAsia="en-AU" w:bidi="ar-SA"/>
        </w:rPr>
        <w:t>but prenatally exposed pups exhibited these effects at dose levels that did not affect their dams.</w:t>
      </w:r>
      <w:r w:rsidR="00DF75A0">
        <w:rPr>
          <w:lang w:eastAsia="en-AU" w:bidi="ar-SA"/>
        </w:rPr>
        <w:t xml:space="preserve"> The mouse studies of White </w:t>
      </w:r>
      <w:r w:rsidR="00180A32" w:rsidRPr="00180A32">
        <w:rPr>
          <w:i/>
          <w:lang w:eastAsia="en-AU"/>
        </w:rPr>
        <w:t xml:space="preserve">et al. </w:t>
      </w:r>
      <w:r w:rsidR="00CC50B8">
        <w:rPr>
          <w:lang w:eastAsia="en-AU"/>
        </w:rPr>
        <w:t xml:space="preserve"> </w:t>
      </w:r>
      <w:r w:rsidR="006907E0">
        <w:rPr>
          <w:lang w:eastAsia="en-AU" w:bidi="ar-SA"/>
        </w:rPr>
        <w:t>(</w:t>
      </w:r>
      <w:r w:rsidR="00DF75A0">
        <w:rPr>
          <w:lang w:eastAsia="en-AU" w:bidi="ar-SA"/>
        </w:rPr>
        <w:t xml:space="preserve">2007, 2011) and Macon </w:t>
      </w:r>
      <w:r w:rsidR="00180A32" w:rsidRPr="00180A32">
        <w:rPr>
          <w:i/>
          <w:lang w:eastAsia="en-AU"/>
        </w:rPr>
        <w:t xml:space="preserve">et al. </w:t>
      </w:r>
      <w:r w:rsidR="00CC50B8">
        <w:rPr>
          <w:lang w:eastAsia="en-AU"/>
        </w:rPr>
        <w:t xml:space="preserve"> </w:t>
      </w:r>
      <w:r w:rsidR="00DF75A0">
        <w:rPr>
          <w:lang w:eastAsia="en-AU" w:bidi="ar-SA"/>
        </w:rPr>
        <w:t xml:space="preserve">(2011) shared a number of co-authors, and identified treatment-related effects </w:t>
      </w:r>
      <w:r w:rsidR="00CC4424">
        <w:rPr>
          <w:lang w:eastAsia="en-AU" w:bidi="ar-SA"/>
        </w:rPr>
        <w:t>on whole</w:t>
      </w:r>
      <w:r w:rsidR="00032CF6">
        <w:rPr>
          <w:lang w:eastAsia="en-AU" w:bidi="ar-SA"/>
        </w:rPr>
        <w:t xml:space="preserve"> </w:t>
      </w:r>
      <w:r w:rsidR="00CC4424">
        <w:rPr>
          <w:lang w:eastAsia="en-AU" w:bidi="ar-SA"/>
        </w:rPr>
        <w:t xml:space="preserve">litter loss, pup </w:t>
      </w:r>
      <w:r w:rsidR="00E83E80">
        <w:rPr>
          <w:lang w:eastAsia="en-AU" w:bidi="ar-SA"/>
        </w:rPr>
        <w:t>body weight</w:t>
      </w:r>
      <w:r w:rsidR="00CC4424">
        <w:rPr>
          <w:lang w:eastAsia="en-AU" w:bidi="ar-SA"/>
        </w:rPr>
        <w:t xml:space="preserve">s and fecundity of prenatally exposed females, at dose levels that did not cause maternal toxicity. The most sensitive endpoints identified in these studies were </w:t>
      </w:r>
      <w:r w:rsidR="00CC4424" w:rsidRPr="00CC4424">
        <w:rPr>
          <w:lang w:eastAsia="en-AU" w:bidi="ar-SA"/>
        </w:rPr>
        <w:t>changes in mammary gland maturation</w:t>
      </w:r>
      <w:r w:rsidR="00CC4424">
        <w:rPr>
          <w:lang w:eastAsia="en-AU" w:bidi="ar-SA"/>
        </w:rPr>
        <w:t>. However</w:t>
      </w:r>
      <w:r w:rsidR="007F02A2">
        <w:rPr>
          <w:lang w:eastAsia="en-AU" w:bidi="ar-SA"/>
        </w:rPr>
        <w:t>,</w:t>
      </w:r>
      <w:r w:rsidR="00CC4424">
        <w:rPr>
          <w:lang w:eastAsia="en-AU" w:bidi="ar-SA"/>
        </w:rPr>
        <w:t xml:space="preserve"> the relevance of these findings, </w:t>
      </w:r>
      <w:r w:rsidR="00CC4424" w:rsidRPr="00CC4424">
        <w:rPr>
          <w:lang w:eastAsia="en-AU" w:bidi="ar-SA"/>
        </w:rPr>
        <w:t>in the absence of any post</w:t>
      </w:r>
      <w:r w:rsidR="000203C4">
        <w:rPr>
          <w:lang w:eastAsia="en-AU" w:bidi="ar-SA"/>
        </w:rPr>
        <w:t>lactational</w:t>
      </w:r>
      <w:r w:rsidR="00CC4424" w:rsidRPr="00CC4424">
        <w:rPr>
          <w:lang w:eastAsia="en-AU" w:bidi="ar-SA"/>
        </w:rPr>
        <w:t xml:space="preserve"> PFOA exposure or any apparent impairment of lactation, is uncertain, especially as it relates to humans. Mammary gland maturation is not a conventional endpoint in toxicology studies, and historical control data are therefore not available. For these reasons </w:t>
      </w:r>
      <w:r w:rsidR="008365BB">
        <w:rPr>
          <w:lang w:eastAsia="en-AU" w:bidi="ar-SA"/>
        </w:rPr>
        <w:t xml:space="preserve">FSANZ has </w:t>
      </w:r>
      <w:r w:rsidR="00CC4424" w:rsidRPr="00CC4424">
        <w:rPr>
          <w:lang w:eastAsia="en-AU" w:bidi="ar-SA"/>
        </w:rPr>
        <w:t>not considered this endpoint for the purpose of establishing a HBGV.</w:t>
      </w:r>
    </w:p>
    <w:p w14:paraId="6004ECB0" w14:textId="77777777" w:rsidR="00CC4424" w:rsidRDefault="00CC4424" w:rsidP="00A111E9">
      <w:pPr>
        <w:rPr>
          <w:lang w:eastAsia="en-AU" w:bidi="ar-SA"/>
        </w:rPr>
      </w:pPr>
    </w:p>
    <w:p w14:paraId="5E44028A" w14:textId="7355875C" w:rsidR="008365BB" w:rsidRDefault="00603B18" w:rsidP="00A111E9">
      <w:pPr>
        <w:rPr>
          <w:lang w:eastAsia="en-AU" w:bidi="ar-SA"/>
        </w:rPr>
      </w:pPr>
      <w:r>
        <w:rPr>
          <w:lang w:eastAsia="en-AU" w:bidi="ar-SA"/>
        </w:rPr>
        <w:t xml:space="preserve">Most adverse effects on mouse pups in the Lau </w:t>
      </w:r>
      <w:r w:rsidR="00180A32" w:rsidRPr="00180A32">
        <w:rPr>
          <w:i/>
          <w:lang w:eastAsia="en-AU"/>
        </w:rPr>
        <w:t xml:space="preserve">et al. </w:t>
      </w:r>
      <w:r w:rsidR="00CC50B8">
        <w:rPr>
          <w:lang w:eastAsia="en-AU"/>
        </w:rPr>
        <w:t xml:space="preserve"> </w:t>
      </w:r>
      <w:r>
        <w:rPr>
          <w:lang w:eastAsia="en-AU" w:bidi="ar-SA"/>
        </w:rPr>
        <w:t xml:space="preserve">(2006) </w:t>
      </w:r>
      <w:r w:rsidR="00FA59AE">
        <w:rPr>
          <w:lang w:eastAsia="en-AU" w:bidi="ar-SA"/>
        </w:rPr>
        <w:t>study</w:t>
      </w:r>
      <w:r>
        <w:rPr>
          <w:lang w:eastAsia="en-AU" w:bidi="ar-SA"/>
        </w:rPr>
        <w:t xml:space="preserve"> occurred at dose levels greater than the maternal NOAEL; that is, in the presence of maternal toxicity. </w:t>
      </w:r>
      <w:r w:rsidR="0099331B">
        <w:rPr>
          <w:lang w:eastAsia="en-AU" w:bidi="ar-SA"/>
        </w:rPr>
        <w:t>However</w:t>
      </w:r>
      <w:r w:rsidR="007F02A2">
        <w:rPr>
          <w:lang w:eastAsia="en-AU" w:bidi="ar-SA"/>
        </w:rPr>
        <w:t>,</w:t>
      </w:r>
      <w:r w:rsidR="0099331B">
        <w:rPr>
          <w:lang w:eastAsia="en-AU" w:bidi="ar-SA"/>
        </w:rPr>
        <w:t xml:space="preserve"> an adverse effect on growth rate of pups prior to weaning occurred at doses lower than the maternal NOAEL, and some developmental effects on ossification and cardiac development occurred at the maternal NOAEL. </w:t>
      </w:r>
      <w:r w:rsidR="008365BB">
        <w:rPr>
          <w:lang w:eastAsia="en-AU" w:bidi="ar-SA"/>
        </w:rPr>
        <w:t xml:space="preserve">FSANZ reached a different conclusion regarding the developmental NOAEL in mice than the authors of the Lau </w:t>
      </w:r>
      <w:r w:rsidR="00180A32" w:rsidRPr="00180A32">
        <w:rPr>
          <w:i/>
          <w:lang w:eastAsia="en-AU"/>
        </w:rPr>
        <w:t xml:space="preserve">et al. </w:t>
      </w:r>
      <w:r w:rsidR="00CC50B8">
        <w:rPr>
          <w:lang w:eastAsia="en-AU"/>
        </w:rPr>
        <w:t xml:space="preserve"> </w:t>
      </w:r>
      <w:r w:rsidR="008365BB">
        <w:rPr>
          <w:lang w:eastAsia="en-AU" w:bidi="ar-SA"/>
        </w:rPr>
        <w:t xml:space="preserve">(2006) study, due to the lack of a dose-response relationship in the </w:t>
      </w:r>
      <w:r w:rsidR="00FA59AE">
        <w:rPr>
          <w:lang w:eastAsia="en-AU" w:bidi="ar-SA"/>
        </w:rPr>
        <w:t xml:space="preserve">purported </w:t>
      </w:r>
      <w:r w:rsidR="008365BB">
        <w:rPr>
          <w:lang w:eastAsia="en-AU" w:bidi="ar-SA"/>
        </w:rPr>
        <w:t>accelerated preputial separation. FSANZ notes that preputial separation is not an endpoint usually determined in mice.</w:t>
      </w:r>
    </w:p>
    <w:p w14:paraId="3EBBE875" w14:textId="77777777" w:rsidR="008365BB" w:rsidRDefault="008365BB" w:rsidP="00A111E9">
      <w:pPr>
        <w:rPr>
          <w:lang w:eastAsia="en-AU" w:bidi="ar-SA"/>
        </w:rPr>
      </w:pPr>
    </w:p>
    <w:p w14:paraId="49D1A2A0" w14:textId="0D8DF6F2" w:rsidR="008365BB" w:rsidRDefault="008365BB" w:rsidP="00A111E9">
      <w:pPr>
        <w:rPr>
          <w:lang w:eastAsia="en-AU" w:bidi="ar-SA"/>
        </w:rPr>
      </w:pPr>
      <w:r w:rsidRPr="00046C71">
        <w:rPr>
          <w:lang w:eastAsia="en-AU" w:bidi="ar-SA"/>
        </w:rPr>
        <w:t>The NTP (2016) has concluded that PFOA and PFOS are presumed to be immune hazards in humans. Mouse studies indicate that PFOA may cause atrophy and changed cellularity in immune system organs of mice, and at lower doses may suppress humoral responses to antigens</w:t>
      </w:r>
      <w:r w:rsidR="00FA59AE">
        <w:rPr>
          <w:lang w:eastAsia="en-AU" w:bidi="ar-SA"/>
        </w:rPr>
        <w:t xml:space="preserve">. Data from </w:t>
      </w:r>
      <w:r w:rsidR="00FA59AE" w:rsidRPr="00FA59AE">
        <w:rPr>
          <w:lang w:eastAsia="en-AU" w:bidi="ar-SA"/>
        </w:rPr>
        <w:t xml:space="preserve">animal studies </w:t>
      </w:r>
      <w:r w:rsidR="00FA59AE">
        <w:rPr>
          <w:lang w:eastAsia="en-AU" w:bidi="ar-SA"/>
        </w:rPr>
        <w:t>are not sufficiently robust for use</w:t>
      </w:r>
      <w:r w:rsidR="00FA59AE" w:rsidRPr="00FA59AE">
        <w:rPr>
          <w:lang w:eastAsia="en-AU" w:bidi="ar-SA"/>
        </w:rPr>
        <w:t xml:space="preserve"> in quantitative human risk assessment. </w:t>
      </w:r>
      <w:r w:rsidR="00FA59AE">
        <w:rPr>
          <w:lang w:eastAsia="en-AU" w:bidi="ar-SA"/>
        </w:rPr>
        <w:t>Furthermore</w:t>
      </w:r>
      <w:r w:rsidR="000A4FC9">
        <w:rPr>
          <w:lang w:eastAsia="en-AU" w:bidi="ar-SA"/>
        </w:rPr>
        <w:t>,</w:t>
      </w:r>
      <w:r>
        <w:rPr>
          <w:lang w:eastAsia="en-AU" w:bidi="ar-SA"/>
        </w:rPr>
        <w:t xml:space="preserve"> c</w:t>
      </w:r>
      <w:r w:rsidRPr="00046C71">
        <w:rPr>
          <w:lang w:eastAsia="en-AU" w:bidi="ar-SA"/>
        </w:rPr>
        <w:t>urrently available epidemiology data are insufficient to establish a cause and effect relationship between PFOA exposure and clinically relevant immunomodulatory effects in humans (Drew and Hagen 2016).</w:t>
      </w:r>
    </w:p>
    <w:p w14:paraId="0A58B0F7" w14:textId="77777777" w:rsidR="008365BB" w:rsidRDefault="008365BB" w:rsidP="00A111E9">
      <w:pPr>
        <w:rPr>
          <w:lang w:eastAsia="en-AU" w:bidi="ar-SA"/>
        </w:rPr>
      </w:pPr>
    </w:p>
    <w:p w14:paraId="2A2533FB" w14:textId="537653F7" w:rsidR="00A93A67" w:rsidRDefault="008365BB" w:rsidP="00A111E9">
      <w:pPr>
        <w:rPr>
          <w:lang w:eastAsia="en-AU" w:bidi="ar-SA"/>
        </w:rPr>
      </w:pPr>
      <w:r>
        <w:rPr>
          <w:lang w:eastAsia="en-AU" w:bidi="ar-SA"/>
        </w:rPr>
        <w:t xml:space="preserve">Various regulatory agencies have calculated HBGVs </w:t>
      </w:r>
      <w:r w:rsidR="006907E0">
        <w:rPr>
          <w:lang w:eastAsia="en-AU" w:bidi="ar-SA"/>
        </w:rPr>
        <w:t xml:space="preserve">for PFOA </w:t>
      </w:r>
      <w:r>
        <w:rPr>
          <w:lang w:eastAsia="en-AU" w:bidi="ar-SA"/>
        </w:rPr>
        <w:t>using different approaches. Consequently, although the same animal studies were used by different agencies, the HBGVs vary by orders of magnitude. Because of the considerable inter</w:t>
      </w:r>
      <w:r w:rsidR="000203C4">
        <w:rPr>
          <w:lang w:eastAsia="en-AU" w:bidi="ar-SA"/>
        </w:rPr>
        <w:t>species</w:t>
      </w:r>
      <w:r>
        <w:rPr>
          <w:lang w:eastAsia="en-AU" w:bidi="ar-SA"/>
        </w:rPr>
        <w:t xml:space="preserve"> differences in </w:t>
      </w:r>
      <w:r>
        <w:rPr>
          <w:lang w:eastAsia="en-AU" w:bidi="ar-SA"/>
        </w:rPr>
        <w:lastRenderedPageBreak/>
        <w:t xml:space="preserve">pharmacokinetics, FSANZ considers it appropriate to correct for these </w:t>
      </w:r>
      <w:r w:rsidRPr="00F25CDC">
        <w:rPr>
          <w:lang w:eastAsia="en-AU" w:bidi="ar-SA"/>
        </w:rPr>
        <w:t xml:space="preserve">using </w:t>
      </w:r>
      <w:r w:rsidR="0054732D">
        <w:rPr>
          <w:lang w:eastAsia="en-AU" w:bidi="ar-SA"/>
        </w:rPr>
        <w:t>PB</w:t>
      </w:r>
      <w:r w:rsidRPr="00F25CDC">
        <w:rPr>
          <w:lang w:eastAsia="en-AU" w:bidi="ar-SA"/>
        </w:rPr>
        <w:t>PK modelling and basing a HBGV on serum concentration as an index of internal dose.</w:t>
      </w:r>
      <w:r>
        <w:rPr>
          <w:lang w:eastAsia="en-AU" w:bidi="ar-SA"/>
        </w:rPr>
        <w:t xml:space="preserve"> </w:t>
      </w:r>
      <w:r w:rsidR="001C3937">
        <w:rPr>
          <w:lang w:eastAsia="en-AU" w:bidi="ar-SA"/>
        </w:rPr>
        <w:t xml:space="preserve">The </w:t>
      </w:r>
      <w:r w:rsidR="0054732D">
        <w:rPr>
          <w:lang w:eastAsia="en-AU" w:bidi="ar-SA"/>
        </w:rPr>
        <w:t>PB</w:t>
      </w:r>
      <w:r w:rsidR="001C3937">
        <w:rPr>
          <w:lang w:eastAsia="en-AU" w:bidi="ar-SA"/>
        </w:rPr>
        <w:t xml:space="preserve">PK modelling approach for PFOA is the same as that employed for PFOS; see Section </w:t>
      </w:r>
      <w:r w:rsidR="006A0FCC">
        <w:rPr>
          <w:lang w:eastAsia="en-AU" w:bidi="ar-SA"/>
        </w:rPr>
        <w:t>2.5</w:t>
      </w:r>
      <w:bookmarkStart w:id="308" w:name="_Toc468699232"/>
      <w:r w:rsidR="006907E0">
        <w:rPr>
          <w:lang w:eastAsia="en-AU" w:bidi="ar-SA"/>
        </w:rPr>
        <w:t>.</w:t>
      </w:r>
    </w:p>
    <w:p w14:paraId="066D46B1" w14:textId="50C8B2C7" w:rsidR="00527321" w:rsidRDefault="00527321" w:rsidP="00684A16">
      <w:pPr>
        <w:pStyle w:val="Heading3"/>
      </w:pPr>
      <w:bookmarkStart w:id="309" w:name="_Toc468712761"/>
      <w:bookmarkStart w:id="310" w:name="_Toc468716463"/>
      <w:bookmarkStart w:id="311" w:name="_Toc468709450"/>
      <w:bookmarkStart w:id="312" w:name="_Toc468717749"/>
      <w:bookmarkStart w:id="313" w:name="_Toc468718393"/>
      <w:bookmarkStart w:id="314" w:name="_Toc468719383"/>
      <w:bookmarkStart w:id="315" w:name="_Toc468722188"/>
      <w:bookmarkStart w:id="316" w:name="_Toc468799258"/>
      <w:bookmarkStart w:id="317" w:name="_Toc468806581"/>
      <w:bookmarkStart w:id="318" w:name="_Toc468980995"/>
      <w:bookmarkStart w:id="319" w:name="_Toc482805106"/>
      <w:r>
        <w:t>3.</w:t>
      </w:r>
      <w:r w:rsidR="00927A30">
        <w:t xml:space="preserve">5 </w:t>
      </w:r>
      <w:r>
        <w:tab/>
        <w:t>Derivation of the TDI for PFOA</w:t>
      </w:r>
      <w:bookmarkEnd w:id="308"/>
      <w:bookmarkEnd w:id="309"/>
      <w:bookmarkEnd w:id="310"/>
      <w:bookmarkEnd w:id="311"/>
      <w:bookmarkEnd w:id="312"/>
      <w:bookmarkEnd w:id="313"/>
      <w:bookmarkEnd w:id="314"/>
      <w:bookmarkEnd w:id="315"/>
      <w:bookmarkEnd w:id="316"/>
      <w:bookmarkEnd w:id="317"/>
      <w:bookmarkEnd w:id="318"/>
      <w:bookmarkEnd w:id="319"/>
    </w:p>
    <w:p w14:paraId="53AAE39C" w14:textId="16AED3C7" w:rsidR="008365BB" w:rsidRDefault="008365BB" w:rsidP="00A111E9">
      <w:pPr>
        <w:rPr>
          <w:lang w:bidi="ar-SA"/>
        </w:rPr>
      </w:pPr>
      <w:r>
        <w:rPr>
          <w:lang w:bidi="ar-SA"/>
        </w:rPr>
        <w:t xml:space="preserve">Studies identified as suitable for derivation of a HBGV were the </w:t>
      </w:r>
      <w:r w:rsidR="008A2050">
        <w:rPr>
          <w:lang w:bidi="ar-SA"/>
        </w:rPr>
        <w:t xml:space="preserve">cynomolgus </w:t>
      </w:r>
      <w:r>
        <w:rPr>
          <w:lang w:bidi="ar-SA"/>
        </w:rPr>
        <w:t xml:space="preserve">monkey study of Butenhoff </w:t>
      </w:r>
      <w:r w:rsidR="00180A32" w:rsidRPr="00180A32">
        <w:rPr>
          <w:i/>
        </w:rPr>
        <w:t xml:space="preserve">et al. </w:t>
      </w:r>
      <w:r w:rsidR="00CC50B8">
        <w:t xml:space="preserve"> </w:t>
      </w:r>
      <w:r w:rsidR="008A2050">
        <w:t>(</w:t>
      </w:r>
      <w:r>
        <w:rPr>
          <w:lang w:bidi="ar-SA"/>
        </w:rPr>
        <w:t>2002</w:t>
      </w:r>
      <w:r w:rsidR="008A2050">
        <w:rPr>
          <w:lang w:bidi="ar-SA"/>
        </w:rPr>
        <w:t>)</w:t>
      </w:r>
      <w:r>
        <w:rPr>
          <w:lang w:bidi="ar-SA"/>
        </w:rPr>
        <w:t xml:space="preserve">, the rat study of Perkins </w:t>
      </w:r>
      <w:r w:rsidR="00180A32" w:rsidRPr="00180A32">
        <w:rPr>
          <w:i/>
        </w:rPr>
        <w:t xml:space="preserve">et al. </w:t>
      </w:r>
      <w:r w:rsidR="00CC50B8">
        <w:t xml:space="preserve"> </w:t>
      </w:r>
      <w:r w:rsidR="008A2050">
        <w:t>(</w:t>
      </w:r>
      <w:r>
        <w:rPr>
          <w:lang w:bidi="ar-SA"/>
        </w:rPr>
        <w:t>2004</w:t>
      </w:r>
      <w:r w:rsidR="008A2050">
        <w:rPr>
          <w:lang w:bidi="ar-SA"/>
        </w:rPr>
        <w:t>)</w:t>
      </w:r>
      <w:r>
        <w:rPr>
          <w:lang w:bidi="ar-SA"/>
        </w:rPr>
        <w:t xml:space="preserve">, </w:t>
      </w:r>
      <w:r w:rsidR="003A00C5">
        <w:rPr>
          <w:lang w:bidi="ar-SA"/>
        </w:rPr>
        <w:t xml:space="preserve">and </w:t>
      </w:r>
      <w:r>
        <w:rPr>
          <w:lang w:bidi="ar-SA"/>
        </w:rPr>
        <w:t xml:space="preserve">the mouse developmental study of Lau </w:t>
      </w:r>
      <w:r w:rsidR="00180A32" w:rsidRPr="00180A32">
        <w:rPr>
          <w:i/>
        </w:rPr>
        <w:t xml:space="preserve">et al. </w:t>
      </w:r>
      <w:r w:rsidR="00CC50B8">
        <w:t xml:space="preserve"> </w:t>
      </w:r>
      <w:r w:rsidR="008A2050">
        <w:t>(</w:t>
      </w:r>
      <w:r w:rsidR="003A00C5">
        <w:rPr>
          <w:lang w:bidi="ar-SA"/>
        </w:rPr>
        <w:t>2006</w:t>
      </w:r>
      <w:r w:rsidR="008A2050">
        <w:rPr>
          <w:lang w:bidi="ar-SA"/>
        </w:rPr>
        <w:t>)</w:t>
      </w:r>
      <w:r w:rsidR="003A00C5">
        <w:rPr>
          <w:lang w:bidi="ar-SA"/>
        </w:rPr>
        <w:t>.</w:t>
      </w:r>
      <w:r>
        <w:rPr>
          <w:lang w:bidi="ar-SA"/>
        </w:rPr>
        <w:t xml:space="preserve"> All of these studies included serum PFOA data, so that pharmacokinetic modelling could be conducted to derive HEDs. The NOAEL for each study was identified by examination of the available data, disregarding effects considered to be adaptive (liver hypertrophy in the absence of hepatocellular degeneration or necrosis), and those for which there was no dose-response effect evident (preputial opening in pups in the Lau </w:t>
      </w:r>
      <w:r w:rsidR="00180A32" w:rsidRPr="00180A32">
        <w:rPr>
          <w:i/>
        </w:rPr>
        <w:t xml:space="preserve">et al. </w:t>
      </w:r>
      <w:r w:rsidR="00CC50B8">
        <w:t xml:space="preserve"> </w:t>
      </w:r>
      <w:r>
        <w:rPr>
          <w:lang w:bidi="ar-SA"/>
        </w:rPr>
        <w:t>2006 study).</w:t>
      </w:r>
    </w:p>
    <w:p w14:paraId="5DEAA78B" w14:textId="77777777" w:rsidR="008365BB" w:rsidRDefault="008365BB" w:rsidP="00A111E9">
      <w:pPr>
        <w:rPr>
          <w:lang w:bidi="ar-SA"/>
        </w:rPr>
      </w:pPr>
    </w:p>
    <w:p w14:paraId="0E2A7177" w14:textId="6ADFC512" w:rsidR="008365BB" w:rsidRDefault="008365BB" w:rsidP="00A111E9">
      <w:pPr>
        <w:rPr>
          <w:lang w:bidi="ar-SA"/>
        </w:rPr>
      </w:pPr>
      <w:r>
        <w:rPr>
          <w:lang w:bidi="ar-SA"/>
        </w:rPr>
        <w:t xml:space="preserve">HEDs were derived from the serum values </w:t>
      </w:r>
      <w:r w:rsidR="00274EC8">
        <w:rPr>
          <w:lang w:bidi="ar-SA"/>
        </w:rPr>
        <w:t xml:space="preserve">(Table </w:t>
      </w:r>
      <w:r w:rsidR="00A319B5">
        <w:rPr>
          <w:lang w:bidi="ar-SA"/>
        </w:rPr>
        <w:t>31</w:t>
      </w:r>
      <w:r>
        <w:rPr>
          <w:lang w:bidi="ar-SA"/>
        </w:rPr>
        <w:t>)</w:t>
      </w:r>
      <w:r w:rsidR="001C3937">
        <w:rPr>
          <w:lang w:bidi="ar-SA"/>
        </w:rPr>
        <w:t>, according to the</w:t>
      </w:r>
      <w:r>
        <w:t xml:space="preserve"> approach </w:t>
      </w:r>
      <w:r w:rsidR="001C3937">
        <w:rPr>
          <w:lang w:bidi="ar-SA"/>
        </w:rPr>
        <w:t xml:space="preserve">previously described for PFOS (see Section </w:t>
      </w:r>
      <w:r w:rsidR="006A0FCC">
        <w:rPr>
          <w:lang w:bidi="ar-SA"/>
        </w:rPr>
        <w:t>2.5</w:t>
      </w:r>
      <w:r w:rsidR="001C3937">
        <w:rPr>
          <w:lang w:bidi="ar-SA"/>
        </w:rPr>
        <w:t>)</w:t>
      </w:r>
      <w:r w:rsidR="00F379EB">
        <w:rPr>
          <w:lang w:bidi="ar-SA"/>
        </w:rPr>
        <w:t xml:space="preserve">. </w:t>
      </w:r>
      <w:r w:rsidR="00F379EB" w:rsidRPr="00F379EB">
        <w:rPr>
          <w:lang w:bidi="ar-SA"/>
        </w:rPr>
        <w:t xml:space="preserve">The lowest candidate TDI, derived from the NOAEL for fetal toxicity of the Lau </w:t>
      </w:r>
      <w:r w:rsidR="00180A32" w:rsidRPr="00180A32">
        <w:rPr>
          <w:i/>
          <w:lang w:bidi="ar-SA"/>
        </w:rPr>
        <w:t xml:space="preserve">et al. </w:t>
      </w:r>
      <w:r w:rsidR="00CC50B8">
        <w:rPr>
          <w:lang w:bidi="ar-SA"/>
        </w:rPr>
        <w:t xml:space="preserve"> </w:t>
      </w:r>
      <w:r w:rsidR="00F379EB" w:rsidRPr="00F379EB">
        <w:rPr>
          <w:lang w:bidi="ar-SA"/>
        </w:rPr>
        <w:t>(2006) mouse developmental and reproductive study, is 160 ng/kg bw/day.</w:t>
      </w:r>
    </w:p>
    <w:p w14:paraId="0D4FA046" w14:textId="7128FCDA" w:rsidR="008365BB" w:rsidRDefault="008365BB" w:rsidP="00A111E9">
      <w:pPr>
        <w:rPr>
          <w:lang w:bidi="ar-SA"/>
        </w:rPr>
      </w:pPr>
    </w:p>
    <w:p w14:paraId="02AB0B93" w14:textId="5DB5B187" w:rsidR="008365BB" w:rsidRPr="00180A32" w:rsidRDefault="008365BB" w:rsidP="00180A32">
      <w:pPr>
        <w:pStyle w:val="FSTableTitle"/>
      </w:pPr>
      <w:r w:rsidRPr="00180A32">
        <w:t xml:space="preserve">Table </w:t>
      </w:r>
      <w:r w:rsidR="00A319B5" w:rsidRPr="00180A32">
        <w:t>31</w:t>
      </w:r>
      <w:r w:rsidR="00274EC8" w:rsidRPr="00180A32">
        <w:t>:</w:t>
      </w:r>
      <w:r w:rsidRPr="00180A32">
        <w:t xml:space="preserve"> </w:t>
      </w:r>
      <w:r w:rsidR="00180A32" w:rsidRPr="00180A32">
        <w:rPr>
          <w:rFonts w:eastAsiaTheme="minorHAnsi"/>
        </w:rPr>
        <w:t>HEDs derived from the modelled animal average PFOA serum concentrations</w:t>
      </w:r>
    </w:p>
    <w:tbl>
      <w:tblPr>
        <w:tblStyle w:val="TableGrid"/>
        <w:tblW w:w="9286" w:type="dxa"/>
        <w:jc w:val="center"/>
        <w:tblLayout w:type="fixed"/>
        <w:tblLook w:val="04A0" w:firstRow="1" w:lastRow="0" w:firstColumn="1" w:lastColumn="0" w:noHBand="0" w:noVBand="1"/>
        <w:tblCaption w:val="Table 31: HEDs derived from the modelled animal average PFOA serum concentrations"/>
        <w:tblDescription w:val="This table contains data relating to human equivalent doses derived from the modelled animal average PFOA serum concentrations. "/>
      </w:tblPr>
      <w:tblGrid>
        <w:gridCol w:w="2088"/>
        <w:gridCol w:w="1888"/>
        <w:gridCol w:w="1710"/>
        <w:gridCol w:w="1890"/>
        <w:gridCol w:w="1710"/>
      </w:tblGrid>
      <w:tr w:rsidR="00A1468C" w14:paraId="01E46957" w14:textId="77777777" w:rsidTr="000830C5">
        <w:trPr>
          <w:trHeight w:val="510"/>
          <w:tblHeader/>
          <w:jc w:val="center"/>
        </w:trPr>
        <w:tc>
          <w:tcPr>
            <w:tcW w:w="2088" w:type="dxa"/>
            <w:shd w:val="clear" w:color="auto" w:fill="F2F2F2" w:themeFill="background1" w:themeFillShade="F2"/>
            <w:vAlign w:val="center"/>
          </w:tcPr>
          <w:p w14:paraId="697C5D2B" w14:textId="77777777" w:rsidR="00A1468C" w:rsidRPr="00D711DD" w:rsidRDefault="00A1468C" w:rsidP="00A111E9">
            <w:pPr>
              <w:spacing w:before="20" w:after="20"/>
              <w:rPr>
                <w:rFonts w:ascii="Arial" w:hAnsi="Arial"/>
                <w:b/>
              </w:rPr>
            </w:pPr>
            <w:r w:rsidRPr="00512F95">
              <w:rPr>
                <w:b/>
              </w:rPr>
              <w:t>Study</w:t>
            </w:r>
          </w:p>
        </w:tc>
        <w:tc>
          <w:tcPr>
            <w:tcW w:w="1888" w:type="dxa"/>
            <w:shd w:val="clear" w:color="auto" w:fill="F2F2F2" w:themeFill="background1" w:themeFillShade="F2"/>
            <w:vAlign w:val="center"/>
          </w:tcPr>
          <w:p w14:paraId="630F204C" w14:textId="77777777" w:rsidR="00A1468C" w:rsidRPr="00D711DD" w:rsidRDefault="00A1468C" w:rsidP="000830C5">
            <w:pPr>
              <w:spacing w:before="20" w:after="20"/>
              <w:jc w:val="right"/>
              <w:rPr>
                <w:rFonts w:ascii="Arial" w:hAnsi="Arial"/>
                <w:b/>
              </w:rPr>
            </w:pPr>
            <w:r w:rsidRPr="00512F95">
              <w:rPr>
                <w:b/>
              </w:rPr>
              <w:t>Dosing duration (days)</w:t>
            </w:r>
          </w:p>
        </w:tc>
        <w:tc>
          <w:tcPr>
            <w:tcW w:w="1710" w:type="dxa"/>
            <w:shd w:val="clear" w:color="auto" w:fill="F2F2F2" w:themeFill="background1" w:themeFillShade="F2"/>
            <w:vAlign w:val="center"/>
          </w:tcPr>
          <w:p w14:paraId="5656F01B" w14:textId="15EE9CB5" w:rsidR="00A1468C" w:rsidRPr="00D711DD" w:rsidRDefault="00A1468C" w:rsidP="000830C5">
            <w:pPr>
              <w:spacing w:before="20" w:after="20"/>
              <w:jc w:val="right"/>
              <w:rPr>
                <w:rFonts w:ascii="Arial" w:hAnsi="Arial"/>
                <w:b/>
              </w:rPr>
            </w:pPr>
            <w:r w:rsidRPr="00512F95">
              <w:rPr>
                <w:b/>
              </w:rPr>
              <w:t xml:space="preserve">NOAEL </w:t>
            </w:r>
            <w:r w:rsidRPr="00D10449">
              <w:rPr>
                <w:b/>
              </w:rPr>
              <w:t>(mg/kg bw/d</w:t>
            </w:r>
            <w:r w:rsidR="00FD1FAB" w:rsidRPr="00D10449">
              <w:rPr>
                <w:b/>
              </w:rPr>
              <w:t>ay</w:t>
            </w:r>
            <w:r w:rsidRPr="00D10449">
              <w:rPr>
                <w:b/>
              </w:rPr>
              <w:t>)</w:t>
            </w:r>
          </w:p>
        </w:tc>
        <w:tc>
          <w:tcPr>
            <w:tcW w:w="1890" w:type="dxa"/>
            <w:shd w:val="clear" w:color="auto" w:fill="F2F2F2" w:themeFill="background1" w:themeFillShade="F2"/>
            <w:vAlign w:val="center"/>
          </w:tcPr>
          <w:p w14:paraId="6046163F" w14:textId="40EF7B6D" w:rsidR="00A1468C" w:rsidRPr="00180A32" w:rsidRDefault="00180A32" w:rsidP="00180A32">
            <w:pPr>
              <w:jc w:val="right"/>
              <w:rPr>
                <w:rFonts w:ascii="Arial" w:hAnsi="Arial"/>
                <w:b/>
              </w:rPr>
            </w:pPr>
            <w:r w:rsidRPr="00180A32">
              <w:rPr>
                <w:rFonts w:eastAsiaTheme="minorHAnsi"/>
                <w:b/>
                <w:lang w:val="en-US" w:bidi="ar-SA"/>
              </w:rPr>
              <w:t>NOAEL (Average serum concentration [μg/mL])</w:t>
            </w:r>
          </w:p>
        </w:tc>
        <w:tc>
          <w:tcPr>
            <w:tcW w:w="1710" w:type="dxa"/>
            <w:shd w:val="clear" w:color="auto" w:fill="F2F2F2" w:themeFill="background1" w:themeFillShade="F2"/>
            <w:vAlign w:val="center"/>
          </w:tcPr>
          <w:p w14:paraId="7BD051F0" w14:textId="7DFE8D8A" w:rsidR="00A1468C" w:rsidRPr="00D711DD" w:rsidRDefault="00A1468C" w:rsidP="000830C5">
            <w:pPr>
              <w:spacing w:before="20" w:after="20"/>
              <w:jc w:val="right"/>
              <w:rPr>
                <w:rFonts w:ascii="Arial" w:hAnsi="Arial"/>
                <w:b/>
              </w:rPr>
            </w:pPr>
            <w:r w:rsidRPr="00512F95">
              <w:rPr>
                <w:b/>
              </w:rPr>
              <w:t>HED</w:t>
            </w:r>
            <w:r w:rsidRPr="00D10449">
              <w:rPr>
                <w:b/>
              </w:rPr>
              <w:t xml:space="preserve"> (mg/kg bw/d</w:t>
            </w:r>
            <w:r w:rsidR="00FD1FAB" w:rsidRPr="00D10449">
              <w:rPr>
                <w:b/>
              </w:rPr>
              <w:t>ay</w:t>
            </w:r>
            <w:r w:rsidRPr="00D10449">
              <w:rPr>
                <w:b/>
              </w:rPr>
              <w:t xml:space="preserve">) </w:t>
            </w:r>
          </w:p>
        </w:tc>
      </w:tr>
      <w:tr w:rsidR="00A1468C" w14:paraId="3CEA115D" w14:textId="77777777" w:rsidTr="00F6284E">
        <w:trPr>
          <w:trHeight w:val="444"/>
          <w:jc w:val="center"/>
        </w:trPr>
        <w:tc>
          <w:tcPr>
            <w:tcW w:w="2088" w:type="dxa"/>
            <w:vAlign w:val="center"/>
          </w:tcPr>
          <w:p w14:paraId="28CB3B63" w14:textId="5D8B406C" w:rsidR="00A1468C" w:rsidRPr="00F6284E" w:rsidRDefault="00A1468C" w:rsidP="00A111E9">
            <w:pPr>
              <w:rPr>
                <w:rFonts w:ascii="Arial" w:hAnsi="Arial"/>
                <w:sz w:val="18"/>
              </w:rPr>
            </w:pPr>
            <w:r w:rsidRPr="00D711DD">
              <w:rPr>
                <w:sz w:val="18"/>
              </w:rPr>
              <w:t xml:space="preserve">Butenhoff </w:t>
            </w:r>
            <w:r w:rsidR="00180A32" w:rsidRPr="00180A32">
              <w:rPr>
                <w:i/>
                <w:sz w:val="18"/>
              </w:rPr>
              <w:t xml:space="preserve">et al. </w:t>
            </w:r>
            <w:r w:rsidR="00CC50B8">
              <w:rPr>
                <w:sz w:val="18"/>
              </w:rPr>
              <w:t xml:space="preserve"> </w:t>
            </w:r>
            <w:r w:rsidRPr="000B3C14">
              <w:rPr>
                <w:sz w:val="18"/>
              </w:rPr>
              <w:t>2002</w:t>
            </w:r>
            <w:r w:rsidR="00EB4CD3">
              <w:rPr>
                <w:sz w:val="18"/>
              </w:rPr>
              <w:t>;</w:t>
            </w:r>
          </w:p>
          <w:p w14:paraId="32A9D98A" w14:textId="442E15CD" w:rsidR="00A1468C" w:rsidRPr="00F6284E" w:rsidRDefault="007B6521" w:rsidP="00A111E9">
            <w:pPr>
              <w:rPr>
                <w:rFonts w:ascii="Arial" w:hAnsi="Arial"/>
                <w:sz w:val="18"/>
              </w:rPr>
            </w:pPr>
            <w:r w:rsidRPr="00F6284E">
              <w:rPr>
                <w:sz w:val="18"/>
              </w:rPr>
              <w:t>Monkey</w:t>
            </w:r>
          </w:p>
        </w:tc>
        <w:tc>
          <w:tcPr>
            <w:tcW w:w="1888" w:type="dxa"/>
            <w:vAlign w:val="center"/>
          </w:tcPr>
          <w:p w14:paraId="390B600C" w14:textId="77777777" w:rsidR="00A1468C" w:rsidRPr="00F6284E" w:rsidRDefault="00A1468C" w:rsidP="000830C5">
            <w:pPr>
              <w:jc w:val="right"/>
              <w:rPr>
                <w:rFonts w:ascii="Arial" w:hAnsi="Arial"/>
                <w:sz w:val="18"/>
              </w:rPr>
            </w:pPr>
            <w:r w:rsidRPr="00F6284E">
              <w:rPr>
                <w:sz w:val="18"/>
              </w:rPr>
              <w:t>182</w:t>
            </w:r>
          </w:p>
        </w:tc>
        <w:tc>
          <w:tcPr>
            <w:tcW w:w="1710" w:type="dxa"/>
            <w:vAlign w:val="center"/>
          </w:tcPr>
          <w:p w14:paraId="04707FD5" w14:textId="77777777" w:rsidR="00A1468C" w:rsidRPr="00F6284E" w:rsidRDefault="00A1468C" w:rsidP="000830C5">
            <w:pPr>
              <w:jc w:val="right"/>
              <w:rPr>
                <w:rFonts w:ascii="Arial" w:hAnsi="Arial"/>
                <w:sz w:val="18"/>
              </w:rPr>
            </w:pPr>
            <w:r w:rsidRPr="00F6284E">
              <w:rPr>
                <w:sz w:val="18"/>
              </w:rPr>
              <w:t>10</w:t>
            </w:r>
          </w:p>
        </w:tc>
        <w:tc>
          <w:tcPr>
            <w:tcW w:w="1890" w:type="dxa"/>
            <w:vAlign w:val="center"/>
          </w:tcPr>
          <w:p w14:paraId="6AE4CF31" w14:textId="77777777" w:rsidR="00A1468C" w:rsidRPr="00F6284E" w:rsidRDefault="00A1468C" w:rsidP="000830C5">
            <w:pPr>
              <w:jc w:val="right"/>
              <w:rPr>
                <w:rFonts w:ascii="Arial" w:hAnsi="Arial"/>
                <w:sz w:val="18"/>
              </w:rPr>
            </w:pPr>
            <w:r w:rsidRPr="00F6284E">
              <w:rPr>
                <w:sz w:val="18"/>
              </w:rPr>
              <w:t>101</w:t>
            </w:r>
          </w:p>
        </w:tc>
        <w:tc>
          <w:tcPr>
            <w:tcW w:w="1710" w:type="dxa"/>
            <w:vAlign w:val="center"/>
          </w:tcPr>
          <w:p w14:paraId="66ED6935" w14:textId="77777777" w:rsidR="00A1468C" w:rsidRPr="00F6284E" w:rsidRDefault="00A1468C" w:rsidP="000830C5">
            <w:pPr>
              <w:jc w:val="right"/>
              <w:rPr>
                <w:rFonts w:ascii="Arial" w:hAnsi="Arial"/>
                <w:sz w:val="18"/>
              </w:rPr>
            </w:pPr>
            <w:r w:rsidRPr="00F6284E">
              <w:rPr>
                <w:sz w:val="18"/>
              </w:rPr>
              <w:t>0.014</w:t>
            </w:r>
          </w:p>
        </w:tc>
      </w:tr>
      <w:tr w:rsidR="00A1468C" w14:paraId="09808F60" w14:textId="77777777" w:rsidTr="00F6284E">
        <w:trPr>
          <w:trHeight w:val="435"/>
          <w:jc w:val="center"/>
        </w:trPr>
        <w:tc>
          <w:tcPr>
            <w:tcW w:w="2088" w:type="dxa"/>
            <w:vAlign w:val="center"/>
          </w:tcPr>
          <w:p w14:paraId="37073D94" w14:textId="45814453" w:rsidR="00A1468C" w:rsidRPr="00F6284E" w:rsidRDefault="00A1468C" w:rsidP="00A111E9">
            <w:pPr>
              <w:rPr>
                <w:rFonts w:ascii="Arial" w:hAnsi="Arial"/>
                <w:sz w:val="18"/>
              </w:rPr>
            </w:pPr>
            <w:r w:rsidRPr="00D711DD">
              <w:rPr>
                <w:sz w:val="18"/>
              </w:rPr>
              <w:t xml:space="preserve">Perkins </w:t>
            </w:r>
            <w:r w:rsidR="00180A32" w:rsidRPr="00180A32">
              <w:rPr>
                <w:i/>
                <w:sz w:val="18"/>
              </w:rPr>
              <w:t xml:space="preserve">et al. </w:t>
            </w:r>
            <w:r w:rsidR="00CC50B8">
              <w:rPr>
                <w:sz w:val="18"/>
              </w:rPr>
              <w:t xml:space="preserve"> </w:t>
            </w:r>
            <w:r w:rsidRPr="000B3C14">
              <w:rPr>
                <w:sz w:val="18"/>
              </w:rPr>
              <w:t>2004</w:t>
            </w:r>
            <w:r w:rsidR="00EB4CD3">
              <w:rPr>
                <w:sz w:val="18"/>
              </w:rPr>
              <w:t>;</w:t>
            </w:r>
          </w:p>
          <w:p w14:paraId="7AA8E0F7" w14:textId="07CF0441" w:rsidR="00A1468C" w:rsidRPr="00F6284E" w:rsidRDefault="007B6521" w:rsidP="00A111E9">
            <w:pPr>
              <w:rPr>
                <w:rFonts w:ascii="Arial" w:hAnsi="Arial"/>
                <w:sz w:val="18"/>
              </w:rPr>
            </w:pPr>
            <w:r w:rsidRPr="00F6284E">
              <w:rPr>
                <w:sz w:val="18"/>
              </w:rPr>
              <w:t>Rat</w:t>
            </w:r>
          </w:p>
        </w:tc>
        <w:tc>
          <w:tcPr>
            <w:tcW w:w="1888" w:type="dxa"/>
            <w:vAlign w:val="center"/>
          </w:tcPr>
          <w:p w14:paraId="3BCB6F2C" w14:textId="77777777" w:rsidR="00A1468C" w:rsidRPr="00F6284E" w:rsidRDefault="00A1468C" w:rsidP="000830C5">
            <w:pPr>
              <w:jc w:val="right"/>
              <w:rPr>
                <w:rFonts w:ascii="Arial" w:hAnsi="Arial"/>
                <w:sz w:val="18"/>
              </w:rPr>
            </w:pPr>
            <w:r w:rsidRPr="00F6284E">
              <w:rPr>
                <w:sz w:val="18"/>
              </w:rPr>
              <w:t>91</w:t>
            </w:r>
          </w:p>
        </w:tc>
        <w:tc>
          <w:tcPr>
            <w:tcW w:w="1710" w:type="dxa"/>
            <w:vAlign w:val="center"/>
          </w:tcPr>
          <w:p w14:paraId="0674C62D" w14:textId="77777777" w:rsidR="00A1468C" w:rsidRPr="00F6284E" w:rsidRDefault="00A1468C" w:rsidP="000830C5">
            <w:pPr>
              <w:jc w:val="right"/>
              <w:rPr>
                <w:rFonts w:ascii="Arial" w:hAnsi="Arial"/>
                <w:sz w:val="18"/>
              </w:rPr>
            </w:pPr>
            <w:r w:rsidRPr="00F6284E">
              <w:rPr>
                <w:sz w:val="18"/>
              </w:rPr>
              <w:t>1.94</w:t>
            </w:r>
          </w:p>
        </w:tc>
        <w:tc>
          <w:tcPr>
            <w:tcW w:w="1890" w:type="dxa"/>
            <w:vAlign w:val="center"/>
          </w:tcPr>
          <w:p w14:paraId="48E361FF" w14:textId="77777777" w:rsidR="00A1468C" w:rsidRPr="00F6284E" w:rsidRDefault="00A1468C" w:rsidP="000830C5">
            <w:pPr>
              <w:jc w:val="right"/>
              <w:rPr>
                <w:rFonts w:ascii="Arial" w:hAnsi="Arial"/>
                <w:sz w:val="18"/>
              </w:rPr>
            </w:pPr>
            <w:r w:rsidRPr="00F6284E">
              <w:rPr>
                <w:sz w:val="18"/>
              </w:rPr>
              <w:t>93.9</w:t>
            </w:r>
          </w:p>
        </w:tc>
        <w:tc>
          <w:tcPr>
            <w:tcW w:w="1710" w:type="dxa"/>
            <w:vAlign w:val="center"/>
          </w:tcPr>
          <w:p w14:paraId="56334F93" w14:textId="77777777" w:rsidR="00A1468C" w:rsidRPr="00F6284E" w:rsidRDefault="00A1468C" w:rsidP="000830C5">
            <w:pPr>
              <w:jc w:val="right"/>
              <w:rPr>
                <w:rFonts w:ascii="Arial" w:hAnsi="Arial"/>
                <w:sz w:val="18"/>
              </w:rPr>
            </w:pPr>
            <w:r w:rsidRPr="00F6284E">
              <w:rPr>
                <w:sz w:val="18"/>
              </w:rPr>
              <w:t>0.013</w:t>
            </w:r>
          </w:p>
        </w:tc>
      </w:tr>
      <w:tr w:rsidR="00A1468C" w14:paraId="3DC51843" w14:textId="77777777" w:rsidTr="00F6284E">
        <w:trPr>
          <w:trHeight w:val="480"/>
          <w:jc w:val="center"/>
        </w:trPr>
        <w:tc>
          <w:tcPr>
            <w:tcW w:w="2088" w:type="dxa"/>
            <w:vAlign w:val="center"/>
          </w:tcPr>
          <w:p w14:paraId="758424C7" w14:textId="6FDCC29C" w:rsidR="00580985" w:rsidRPr="00F6284E" w:rsidRDefault="00A1468C" w:rsidP="00A111E9">
            <w:pPr>
              <w:rPr>
                <w:rFonts w:ascii="Arial" w:hAnsi="Arial"/>
                <w:sz w:val="18"/>
              </w:rPr>
            </w:pPr>
            <w:r w:rsidRPr="00D711DD">
              <w:rPr>
                <w:sz w:val="18"/>
              </w:rPr>
              <w:t xml:space="preserve">Lau </w:t>
            </w:r>
            <w:r w:rsidR="00180A32" w:rsidRPr="00180A32">
              <w:rPr>
                <w:i/>
                <w:sz w:val="18"/>
              </w:rPr>
              <w:t xml:space="preserve">et al. </w:t>
            </w:r>
            <w:r w:rsidR="00CC50B8">
              <w:rPr>
                <w:sz w:val="18"/>
              </w:rPr>
              <w:t xml:space="preserve"> </w:t>
            </w:r>
            <w:r w:rsidRPr="000B3C14">
              <w:rPr>
                <w:sz w:val="18"/>
              </w:rPr>
              <w:t>2006</w:t>
            </w:r>
          </w:p>
          <w:p w14:paraId="2BE2E038" w14:textId="2A85033A" w:rsidR="00A1468C" w:rsidRPr="00F6284E" w:rsidRDefault="00A1468C" w:rsidP="00A111E9">
            <w:pPr>
              <w:rPr>
                <w:rFonts w:ascii="Arial" w:hAnsi="Arial"/>
                <w:sz w:val="18"/>
              </w:rPr>
            </w:pPr>
            <w:r w:rsidRPr="00F6284E">
              <w:rPr>
                <w:sz w:val="18"/>
              </w:rPr>
              <w:t>(fetal toxicity)</w:t>
            </w:r>
            <w:r w:rsidR="00EB4CD3">
              <w:rPr>
                <w:sz w:val="18"/>
              </w:rPr>
              <w:t>;</w:t>
            </w:r>
          </w:p>
          <w:p w14:paraId="2409089A" w14:textId="4BFF26ED" w:rsidR="00A1468C" w:rsidRPr="00F6284E" w:rsidRDefault="006D0A0D" w:rsidP="00A111E9">
            <w:pPr>
              <w:rPr>
                <w:rFonts w:ascii="Arial" w:hAnsi="Arial"/>
                <w:sz w:val="18"/>
              </w:rPr>
            </w:pPr>
            <w:r>
              <w:rPr>
                <w:sz w:val="18"/>
              </w:rPr>
              <w:t>Mouse</w:t>
            </w:r>
          </w:p>
        </w:tc>
        <w:tc>
          <w:tcPr>
            <w:tcW w:w="1888" w:type="dxa"/>
            <w:vAlign w:val="center"/>
          </w:tcPr>
          <w:p w14:paraId="099BD4AA" w14:textId="77777777" w:rsidR="00A1468C" w:rsidRPr="00F6284E" w:rsidRDefault="00A1468C" w:rsidP="000830C5">
            <w:pPr>
              <w:jc w:val="right"/>
              <w:rPr>
                <w:rFonts w:ascii="Arial" w:hAnsi="Arial"/>
                <w:sz w:val="18"/>
              </w:rPr>
            </w:pPr>
            <w:r w:rsidRPr="00F6284E">
              <w:rPr>
                <w:sz w:val="18"/>
              </w:rPr>
              <w:t>17</w:t>
            </w:r>
          </w:p>
        </w:tc>
        <w:tc>
          <w:tcPr>
            <w:tcW w:w="1710" w:type="dxa"/>
            <w:vAlign w:val="center"/>
          </w:tcPr>
          <w:p w14:paraId="3A3A33A2" w14:textId="77777777" w:rsidR="00A1468C" w:rsidRPr="00F6284E" w:rsidRDefault="00A1468C" w:rsidP="000830C5">
            <w:pPr>
              <w:jc w:val="right"/>
              <w:rPr>
                <w:rFonts w:ascii="Arial" w:hAnsi="Arial"/>
                <w:sz w:val="18"/>
              </w:rPr>
            </w:pPr>
            <w:r w:rsidRPr="00F6284E">
              <w:rPr>
                <w:sz w:val="18"/>
              </w:rPr>
              <w:t>1</w:t>
            </w:r>
          </w:p>
        </w:tc>
        <w:tc>
          <w:tcPr>
            <w:tcW w:w="1890" w:type="dxa"/>
            <w:vAlign w:val="center"/>
          </w:tcPr>
          <w:p w14:paraId="65DB9854" w14:textId="77777777" w:rsidR="00A1468C" w:rsidRPr="00F6284E" w:rsidRDefault="00A1468C" w:rsidP="000830C5">
            <w:pPr>
              <w:jc w:val="right"/>
              <w:rPr>
                <w:rFonts w:ascii="Arial" w:hAnsi="Arial"/>
                <w:sz w:val="18"/>
              </w:rPr>
            </w:pPr>
            <w:r w:rsidRPr="00F6284E">
              <w:rPr>
                <w:sz w:val="18"/>
              </w:rPr>
              <w:t>35.1</w:t>
            </w:r>
          </w:p>
        </w:tc>
        <w:tc>
          <w:tcPr>
            <w:tcW w:w="1710" w:type="dxa"/>
            <w:vAlign w:val="center"/>
          </w:tcPr>
          <w:p w14:paraId="346FBD7C" w14:textId="77777777" w:rsidR="00A1468C" w:rsidRPr="00F6284E" w:rsidRDefault="00A1468C" w:rsidP="000830C5">
            <w:pPr>
              <w:jc w:val="right"/>
              <w:rPr>
                <w:rFonts w:ascii="Arial" w:hAnsi="Arial"/>
                <w:sz w:val="18"/>
              </w:rPr>
            </w:pPr>
            <w:r w:rsidRPr="00F6284E">
              <w:rPr>
                <w:sz w:val="18"/>
              </w:rPr>
              <w:t>0.0049</w:t>
            </w:r>
          </w:p>
        </w:tc>
      </w:tr>
      <w:tr w:rsidR="00A1468C" w14:paraId="0BD18E30" w14:textId="77777777" w:rsidTr="00F6284E">
        <w:trPr>
          <w:trHeight w:val="251"/>
          <w:jc w:val="center"/>
        </w:trPr>
        <w:tc>
          <w:tcPr>
            <w:tcW w:w="2088" w:type="dxa"/>
            <w:vAlign w:val="center"/>
          </w:tcPr>
          <w:p w14:paraId="4951F261" w14:textId="692B4C9A" w:rsidR="00A1468C" w:rsidRPr="00F6284E" w:rsidRDefault="00A1468C" w:rsidP="00A111E9">
            <w:pPr>
              <w:rPr>
                <w:rFonts w:ascii="Arial" w:hAnsi="Arial"/>
                <w:sz w:val="18"/>
              </w:rPr>
            </w:pPr>
            <w:r w:rsidRPr="00D711DD">
              <w:rPr>
                <w:sz w:val="18"/>
              </w:rPr>
              <w:t xml:space="preserve">Lau </w:t>
            </w:r>
            <w:r w:rsidR="00180A32" w:rsidRPr="00180A32">
              <w:rPr>
                <w:i/>
                <w:sz w:val="18"/>
              </w:rPr>
              <w:t xml:space="preserve">et al. </w:t>
            </w:r>
            <w:r w:rsidR="00CC50B8">
              <w:rPr>
                <w:sz w:val="18"/>
              </w:rPr>
              <w:t xml:space="preserve"> </w:t>
            </w:r>
            <w:r w:rsidRPr="000B3C14">
              <w:rPr>
                <w:sz w:val="18"/>
              </w:rPr>
              <w:t>2006 (maternal toxicity)</w:t>
            </w:r>
            <w:r w:rsidR="00EB4CD3">
              <w:rPr>
                <w:sz w:val="18"/>
              </w:rPr>
              <w:t>;</w:t>
            </w:r>
          </w:p>
          <w:p w14:paraId="4D40907D" w14:textId="16851D54" w:rsidR="00A1468C" w:rsidRPr="00F6284E" w:rsidRDefault="006D0A0D" w:rsidP="00A111E9">
            <w:pPr>
              <w:rPr>
                <w:rFonts w:ascii="Arial" w:hAnsi="Arial"/>
                <w:sz w:val="18"/>
              </w:rPr>
            </w:pPr>
            <w:r>
              <w:rPr>
                <w:sz w:val="18"/>
              </w:rPr>
              <w:t>Mouse</w:t>
            </w:r>
          </w:p>
        </w:tc>
        <w:tc>
          <w:tcPr>
            <w:tcW w:w="1888" w:type="dxa"/>
            <w:vAlign w:val="center"/>
          </w:tcPr>
          <w:p w14:paraId="40F3F68F" w14:textId="77777777" w:rsidR="00A1468C" w:rsidRPr="00F6284E" w:rsidRDefault="00A1468C" w:rsidP="000830C5">
            <w:pPr>
              <w:jc w:val="right"/>
              <w:rPr>
                <w:rFonts w:ascii="Arial" w:hAnsi="Arial"/>
                <w:sz w:val="18"/>
              </w:rPr>
            </w:pPr>
            <w:r w:rsidRPr="00F6284E">
              <w:rPr>
                <w:sz w:val="18"/>
              </w:rPr>
              <w:t>17</w:t>
            </w:r>
          </w:p>
        </w:tc>
        <w:tc>
          <w:tcPr>
            <w:tcW w:w="1710" w:type="dxa"/>
            <w:vAlign w:val="center"/>
          </w:tcPr>
          <w:p w14:paraId="6A469C0C" w14:textId="77777777" w:rsidR="00A1468C" w:rsidRPr="00F6284E" w:rsidRDefault="00A1468C" w:rsidP="000830C5">
            <w:pPr>
              <w:jc w:val="right"/>
              <w:rPr>
                <w:rFonts w:ascii="Arial" w:hAnsi="Arial"/>
                <w:sz w:val="18"/>
              </w:rPr>
            </w:pPr>
            <w:r w:rsidRPr="00F6284E">
              <w:rPr>
                <w:sz w:val="18"/>
              </w:rPr>
              <w:t>10</w:t>
            </w:r>
          </w:p>
        </w:tc>
        <w:tc>
          <w:tcPr>
            <w:tcW w:w="1890" w:type="dxa"/>
            <w:vAlign w:val="center"/>
          </w:tcPr>
          <w:p w14:paraId="31DD58DE" w14:textId="77777777" w:rsidR="00A1468C" w:rsidRPr="00F6284E" w:rsidRDefault="00A1468C" w:rsidP="000830C5">
            <w:pPr>
              <w:jc w:val="right"/>
              <w:rPr>
                <w:rFonts w:ascii="Arial" w:hAnsi="Arial"/>
                <w:sz w:val="18"/>
              </w:rPr>
            </w:pPr>
            <w:r w:rsidRPr="00F6284E">
              <w:rPr>
                <w:sz w:val="18"/>
              </w:rPr>
              <w:t>197</w:t>
            </w:r>
          </w:p>
        </w:tc>
        <w:tc>
          <w:tcPr>
            <w:tcW w:w="1710" w:type="dxa"/>
            <w:vAlign w:val="center"/>
          </w:tcPr>
          <w:p w14:paraId="13A714B1" w14:textId="77777777" w:rsidR="00A1468C" w:rsidRPr="00F6284E" w:rsidRDefault="00A1468C" w:rsidP="000830C5">
            <w:pPr>
              <w:jc w:val="right"/>
              <w:rPr>
                <w:rFonts w:ascii="Arial" w:hAnsi="Arial"/>
                <w:sz w:val="18"/>
              </w:rPr>
            </w:pPr>
            <w:r w:rsidRPr="00F6284E">
              <w:rPr>
                <w:sz w:val="18"/>
              </w:rPr>
              <w:t>0.0276</w:t>
            </w:r>
          </w:p>
        </w:tc>
      </w:tr>
    </w:tbl>
    <w:p w14:paraId="3FB313C2" w14:textId="77777777" w:rsidR="00A1468C" w:rsidRDefault="00A1468C" w:rsidP="00A111E9">
      <w:pPr>
        <w:rPr>
          <w:lang w:bidi="ar-SA"/>
        </w:rPr>
      </w:pPr>
    </w:p>
    <w:p w14:paraId="5409CFA5" w14:textId="4CDFD2ED" w:rsidR="00A1468C" w:rsidRDefault="003A00C5" w:rsidP="00A111E9">
      <w:pPr>
        <w:rPr>
          <w:lang w:bidi="ar-SA"/>
        </w:rPr>
      </w:pPr>
      <w:r>
        <w:rPr>
          <w:lang w:bidi="ar-SA"/>
        </w:rPr>
        <w:t>The derived candidate TDI values</w:t>
      </w:r>
      <w:r w:rsidR="00A1468C">
        <w:rPr>
          <w:lang w:bidi="ar-SA"/>
        </w:rPr>
        <w:t xml:space="preserve"> are shown in Table </w:t>
      </w:r>
      <w:r w:rsidR="00A319B5">
        <w:rPr>
          <w:lang w:bidi="ar-SA"/>
        </w:rPr>
        <w:t>32</w:t>
      </w:r>
      <w:r w:rsidR="00A1468C">
        <w:rPr>
          <w:lang w:bidi="ar-SA"/>
        </w:rPr>
        <w:t>.</w:t>
      </w:r>
    </w:p>
    <w:p w14:paraId="176FC270" w14:textId="77777777" w:rsidR="00A1468C" w:rsidRDefault="00A1468C" w:rsidP="00A111E9">
      <w:pPr>
        <w:rPr>
          <w:lang w:bidi="ar-SA"/>
        </w:rPr>
      </w:pPr>
    </w:p>
    <w:p w14:paraId="481C0DE1" w14:textId="4151903A" w:rsidR="00274EC8" w:rsidRPr="007615C9" w:rsidRDefault="00A1468C" w:rsidP="00A111E9">
      <w:pPr>
        <w:pStyle w:val="FSTableTitle"/>
      </w:pPr>
      <w:r w:rsidRPr="009B57C7">
        <w:t xml:space="preserve">Table </w:t>
      </w:r>
      <w:r w:rsidR="00A319B5">
        <w:t>32</w:t>
      </w:r>
      <w:r w:rsidR="00274EC8">
        <w:t>:</w:t>
      </w:r>
      <w:r w:rsidRPr="009B57C7">
        <w:t xml:space="preserve"> </w:t>
      </w:r>
      <w:r w:rsidR="00180A32" w:rsidRPr="00180A32">
        <w:rPr>
          <w:rFonts w:eastAsiaTheme="minorHAnsi"/>
        </w:rPr>
        <w:t>Candidate HBGVs for PFOA</w:t>
      </w:r>
    </w:p>
    <w:tbl>
      <w:tblPr>
        <w:tblStyle w:val="TableGrid"/>
        <w:tblW w:w="0" w:type="auto"/>
        <w:jc w:val="center"/>
        <w:tblLook w:val="04A0" w:firstRow="1" w:lastRow="0" w:firstColumn="1" w:lastColumn="0" w:noHBand="0" w:noVBand="1"/>
        <w:tblCaption w:val="Table 32: Candidate HBGVs for PFOA"/>
        <w:tblDescription w:val="This table contains data relating to candidate health-based guidance values for PFOA."/>
      </w:tblPr>
      <w:tblGrid>
        <w:gridCol w:w="1760"/>
        <w:gridCol w:w="1262"/>
        <w:gridCol w:w="776"/>
        <w:gridCol w:w="720"/>
        <w:gridCol w:w="900"/>
        <w:gridCol w:w="2070"/>
      </w:tblGrid>
      <w:tr w:rsidR="00EB4CD3" w14:paraId="30498083" w14:textId="77777777" w:rsidTr="000830C5">
        <w:trPr>
          <w:tblHeader/>
          <w:jc w:val="center"/>
        </w:trPr>
        <w:tc>
          <w:tcPr>
            <w:tcW w:w="1760" w:type="dxa"/>
            <w:shd w:val="clear" w:color="auto" w:fill="F2F2F2" w:themeFill="background1" w:themeFillShade="F2"/>
            <w:vAlign w:val="center"/>
          </w:tcPr>
          <w:p w14:paraId="7D9D4A3E" w14:textId="7EF2E841" w:rsidR="00EB4CD3" w:rsidRPr="00D711DD" w:rsidRDefault="00EB4CD3" w:rsidP="00A111E9">
            <w:pPr>
              <w:spacing w:before="40" w:after="40"/>
              <w:rPr>
                <w:rFonts w:ascii="Arial" w:hAnsi="Arial"/>
                <w:b/>
              </w:rPr>
            </w:pPr>
            <w:r w:rsidRPr="00512F95">
              <w:rPr>
                <w:b/>
              </w:rPr>
              <w:t>P</w:t>
            </w:r>
            <w:r w:rsidR="00180A32">
              <w:rPr>
                <w:b/>
              </w:rPr>
              <w:t>oint of departure</w:t>
            </w:r>
          </w:p>
        </w:tc>
        <w:tc>
          <w:tcPr>
            <w:tcW w:w="1262" w:type="dxa"/>
            <w:shd w:val="clear" w:color="auto" w:fill="F2F2F2" w:themeFill="background1" w:themeFillShade="F2"/>
            <w:vAlign w:val="center"/>
          </w:tcPr>
          <w:p w14:paraId="163631C0" w14:textId="77777777" w:rsidR="00EB4CD3" w:rsidRPr="00D711DD" w:rsidRDefault="00EB4CD3" w:rsidP="000830C5">
            <w:pPr>
              <w:spacing w:before="40" w:after="40"/>
              <w:jc w:val="right"/>
              <w:rPr>
                <w:rFonts w:ascii="Arial" w:hAnsi="Arial"/>
                <w:b/>
              </w:rPr>
            </w:pPr>
            <w:r w:rsidRPr="00512F95">
              <w:rPr>
                <w:b/>
              </w:rPr>
              <w:t>Value (mg/kg/day)</w:t>
            </w:r>
          </w:p>
        </w:tc>
        <w:tc>
          <w:tcPr>
            <w:tcW w:w="776" w:type="dxa"/>
            <w:shd w:val="clear" w:color="auto" w:fill="F2F2F2" w:themeFill="background1" w:themeFillShade="F2"/>
            <w:vAlign w:val="center"/>
          </w:tcPr>
          <w:p w14:paraId="381F4494" w14:textId="77777777" w:rsidR="00EB4CD3" w:rsidRPr="00D711DD" w:rsidRDefault="00EB4CD3" w:rsidP="000830C5">
            <w:pPr>
              <w:spacing w:before="40" w:after="40"/>
              <w:jc w:val="right"/>
              <w:rPr>
                <w:rFonts w:ascii="Arial" w:hAnsi="Arial"/>
                <w:b/>
              </w:rPr>
            </w:pPr>
            <w:r w:rsidRPr="00512F95">
              <w:rPr>
                <w:b/>
              </w:rPr>
              <w:t>UF</w:t>
            </w:r>
            <w:r w:rsidRPr="00D10449">
              <w:rPr>
                <w:b/>
                <w:vertAlign w:val="subscript"/>
              </w:rPr>
              <w:t>H</w:t>
            </w:r>
          </w:p>
        </w:tc>
        <w:tc>
          <w:tcPr>
            <w:tcW w:w="720" w:type="dxa"/>
            <w:shd w:val="clear" w:color="auto" w:fill="F2F2F2" w:themeFill="background1" w:themeFillShade="F2"/>
            <w:vAlign w:val="center"/>
          </w:tcPr>
          <w:p w14:paraId="2296B397" w14:textId="77777777" w:rsidR="00EB4CD3" w:rsidRPr="00D711DD" w:rsidRDefault="00EB4CD3" w:rsidP="000830C5">
            <w:pPr>
              <w:spacing w:before="40" w:after="40"/>
              <w:jc w:val="right"/>
              <w:rPr>
                <w:rFonts w:ascii="Arial" w:hAnsi="Arial"/>
                <w:b/>
              </w:rPr>
            </w:pPr>
            <w:r w:rsidRPr="00512F95">
              <w:rPr>
                <w:b/>
              </w:rPr>
              <w:t>UF</w:t>
            </w:r>
            <w:r w:rsidRPr="00D10449">
              <w:rPr>
                <w:b/>
                <w:vertAlign w:val="subscript"/>
              </w:rPr>
              <w:t>A</w:t>
            </w:r>
          </w:p>
        </w:tc>
        <w:tc>
          <w:tcPr>
            <w:tcW w:w="900" w:type="dxa"/>
            <w:shd w:val="clear" w:color="auto" w:fill="F2F2F2" w:themeFill="background1" w:themeFillShade="F2"/>
            <w:vAlign w:val="center"/>
          </w:tcPr>
          <w:p w14:paraId="498B77EE" w14:textId="77777777" w:rsidR="00EB4CD3" w:rsidRPr="00D711DD" w:rsidRDefault="00EB4CD3" w:rsidP="000830C5">
            <w:pPr>
              <w:spacing w:before="40" w:after="40"/>
              <w:jc w:val="right"/>
              <w:rPr>
                <w:rFonts w:ascii="Arial" w:hAnsi="Arial"/>
                <w:b/>
              </w:rPr>
            </w:pPr>
            <w:r w:rsidRPr="00512F95">
              <w:rPr>
                <w:b/>
              </w:rPr>
              <w:t>UF</w:t>
            </w:r>
            <w:r w:rsidRPr="00D10449">
              <w:rPr>
                <w:b/>
                <w:vertAlign w:val="subscript"/>
              </w:rPr>
              <w:t>total</w:t>
            </w:r>
          </w:p>
        </w:tc>
        <w:tc>
          <w:tcPr>
            <w:tcW w:w="2070" w:type="dxa"/>
            <w:shd w:val="clear" w:color="auto" w:fill="F2F2F2" w:themeFill="background1" w:themeFillShade="F2"/>
            <w:vAlign w:val="center"/>
          </w:tcPr>
          <w:p w14:paraId="0684D0C3" w14:textId="7EA11EE3" w:rsidR="00EB4CD3" w:rsidRPr="00D711DD" w:rsidRDefault="00EB4CD3" w:rsidP="000830C5">
            <w:pPr>
              <w:spacing w:before="40" w:after="40"/>
              <w:jc w:val="right"/>
              <w:rPr>
                <w:rFonts w:ascii="Arial" w:hAnsi="Arial"/>
                <w:b/>
              </w:rPr>
            </w:pPr>
            <w:r w:rsidRPr="00512F95">
              <w:rPr>
                <w:b/>
              </w:rPr>
              <w:t xml:space="preserve">Candidate </w:t>
            </w:r>
            <w:r w:rsidRPr="00D10449">
              <w:rPr>
                <w:b/>
              </w:rPr>
              <w:t>TDI (mg/kg/day)</w:t>
            </w:r>
          </w:p>
        </w:tc>
      </w:tr>
      <w:tr w:rsidR="00EB4CD3" w14:paraId="3967F39B" w14:textId="77777777" w:rsidTr="00F6284E">
        <w:trPr>
          <w:trHeight w:val="454"/>
          <w:jc w:val="center"/>
        </w:trPr>
        <w:tc>
          <w:tcPr>
            <w:tcW w:w="1760" w:type="dxa"/>
            <w:vAlign w:val="center"/>
          </w:tcPr>
          <w:p w14:paraId="0ED3F9DC" w14:textId="41ABAB15" w:rsidR="00EB4CD3" w:rsidRPr="00F6284E" w:rsidRDefault="00EB4CD3" w:rsidP="00A111E9">
            <w:pPr>
              <w:rPr>
                <w:rFonts w:ascii="Arial" w:hAnsi="Arial"/>
                <w:sz w:val="18"/>
              </w:rPr>
            </w:pPr>
            <w:r w:rsidRPr="00D711DD">
              <w:rPr>
                <w:sz w:val="18"/>
              </w:rPr>
              <w:t>HED</w:t>
            </w:r>
            <w:r w:rsidRPr="000B3C14">
              <w:rPr>
                <w:sz w:val="18"/>
                <w:vertAlign w:val="subscript"/>
              </w:rPr>
              <w:t>NOAEL</w:t>
            </w:r>
            <w:r w:rsidRPr="000B3C14">
              <w:rPr>
                <w:sz w:val="18"/>
              </w:rPr>
              <w:t xml:space="preserve"> </w:t>
            </w:r>
            <w:r w:rsidRPr="00F6284E">
              <w:rPr>
                <w:sz w:val="18"/>
                <w:vertAlign w:val="subscript"/>
              </w:rPr>
              <w:t>Butenhoff</w:t>
            </w:r>
          </w:p>
          <w:p w14:paraId="75251F58" w14:textId="0BC2E115" w:rsidR="00EB4CD3" w:rsidRPr="00F6284E" w:rsidRDefault="006D0A0D" w:rsidP="00A111E9">
            <w:pPr>
              <w:rPr>
                <w:rFonts w:ascii="Arial" w:hAnsi="Arial"/>
                <w:b/>
                <w:sz w:val="18"/>
              </w:rPr>
            </w:pPr>
            <w:r>
              <w:rPr>
                <w:sz w:val="18"/>
              </w:rPr>
              <w:t>m</w:t>
            </w:r>
            <w:r w:rsidRPr="00F6284E">
              <w:rPr>
                <w:sz w:val="18"/>
              </w:rPr>
              <w:t>onkey</w:t>
            </w:r>
          </w:p>
        </w:tc>
        <w:tc>
          <w:tcPr>
            <w:tcW w:w="1262" w:type="dxa"/>
            <w:vAlign w:val="center"/>
          </w:tcPr>
          <w:p w14:paraId="2C307C8A" w14:textId="77777777" w:rsidR="00EB4CD3" w:rsidRPr="00F6284E" w:rsidRDefault="00EB4CD3" w:rsidP="000830C5">
            <w:pPr>
              <w:jc w:val="right"/>
              <w:rPr>
                <w:rFonts w:ascii="Arial" w:hAnsi="Arial"/>
                <w:sz w:val="18"/>
              </w:rPr>
            </w:pPr>
            <w:r w:rsidRPr="00F6284E">
              <w:rPr>
                <w:sz w:val="18"/>
              </w:rPr>
              <w:t>0.014</w:t>
            </w:r>
          </w:p>
        </w:tc>
        <w:tc>
          <w:tcPr>
            <w:tcW w:w="776" w:type="dxa"/>
            <w:vAlign w:val="center"/>
          </w:tcPr>
          <w:p w14:paraId="5B26807D" w14:textId="77777777" w:rsidR="00EB4CD3" w:rsidRPr="00F6284E" w:rsidRDefault="00EB4CD3" w:rsidP="000830C5">
            <w:pPr>
              <w:jc w:val="right"/>
              <w:rPr>
                <w:rFonts w:ascii="Arial" w:hAnsi="Arial"/>
                <w:sz w:val="18"/>
              </w:rPr>
            </w:pPr>
            <w:r w:rsidRPr="00F6284E">
              <w:rPr>
                <w:sz w:val="18"/>
              </w:rPr>
              <w:t>10</w:t>
            </w:r>
          </w:p>
        </w:tc>
        <w:tc>
          <w:tcPr>
            <w:tcW w:w="720" w:type="dxa"/>
            <w:vAlign w:val="center"/>
          </w:tcPr>
          <w:p w14:paraId="6F1C2AC0" w14:textId="77777777" w:rsidR="00EB4CD3" w:rsidRPr="00F6284E" w:rsidRDefault="00EB4CD3" w:rsidP="000830C5">
            <w:pPr>
              <w:jc w:val="right"/>
              <w:rPr>
                <w:rFonts w:ascii="Arial" w:hAnsi="Arial"/>
                <w:sz w:val="18"/>
              </w:rPr>
            </w:pPr>
            <w:r w:rsidRPr="00F6284E">
              <w:rPr>
                <w:sz w:val="18"/>
              </w:rPr>
              <w:t>3</w:t>
            </w:r>
          </w:p>
        </w:tc>
        <w:tc>
          <w:tcPr>
            <w:tcW w:w="900" w:type="dxa"/>
            <w:vAlign w:val="center"/>
          </w:tcPr>
          <w:p w14:paraId="28A46FEB" w14:textId="77777777" w:rsidR="00EB4CD3" w:rsidRPr="00F6284E" w:rsidRDefault="00EB4CD3" w:rsidP="000830C5">
            <w:pPr>
              <w:jc w:val="right"/>
              <w:rPr>
                <w:rFonts w:ascii="Arial" w:hAnsi="Arial"/>
                <w:sz w:val="18"/>
              </w:rPr>
            </w:pPr>
            <w:r w:rsidRPr="00F6284E">
              <w:rPr>
                <w:sz w:val="18"/>
              </w:rPr>
              <w:t>30</w:t>
            </w:r>
          </w:p>
        </w:tc>
        <w:tc>
          <w:tcPr>
            <w:tcW w:w="2070" w:type="dxa"/>
            <w:vAlign w:val="center"/>
          </w:tcPr>
          <w:p w14:paraId="476644BD" w14:textId="77777777" w:rsidR="00EB4CD3" w:rsidRPr="00F6284E" w:rsidRDefault="00EB4CD3" w:rsidP="000830C5">
            <w:pPr>
              <w:jc w:val="right"/>
              <w:rPr>
                <w:rFonts w:ascii="Arial" w:hAnsi="Arial"/>
                <w:sz w:val="18"/>
              </w:rPr>
            </w:pPr>
            <w:r w:rsidRPr="00F6284E">
              <w:rPr>
                <w:sz w:val="18"/>
              </w:rPr>
              <w:t>0.00047</w:t>
            </w:r>
          </w:p>
        </w:tc>
      </w:tr>
      <w:tr w:rsidR="00EB4CD3" w14:paraId="52C7F5F8" w14:textId="77777777" w:rsidTr="00F6284E">
        <w:trPr>
          <w:trHeight w:val="454"/>
          <w:jc w:val="center"/>
        </w:trPr>
        <w:tc>
          <w:tcPr>
            <w:tcW w:w="1760" w:type="dxa"/>
            <w:vAlign w:val="center"/>
          </w:tcPr>
          <w:p w14:paraId="63F95F31" w14:textId="77777777" w:rsidR="00EB4CD3" w:rsidRPr="00F6284E" w:rsidRDefault="00EB4CD3" w:rsidP="00A111E9">
            <w:pPr>
              <w:rPr>
                <w:rFonts w:ascii="Arial" w:hAnsi="Arial"/>
                <w:sz w:val="18"/>
              </w:rPr>
            </w:pPr>
            <w:r w:rsidRPr="00D711DD">
              <w:rPr>
                <w:sz w:val="18"/>
              </w:rPr>
              <w:t>HED</w:t>
            </w:r>
            <w:r w:rsidRPr="000B3C14">
              <w:rPr>
                <w:sz w:val="18"/>
                <w:vertAlign w:val="subscript"/>
              </w:rPr>
              <w:t>NOAEL</w:t>
            </w:r>
            <w:r w:rsidRPr="000B3C14">
              <w:rPr>
                <w:sz w:val="18"/>
              </w:rPr>
              <w:t xml:space="preserve"> </w:t>
            </w:r>
            <w:r w:rsidRPr="00F6284E">
              <w:rPr>
                <w:sz w:val="18"/>
                <w:vertAlign w:val="subscript"/>
              </w:rPr>
              <w:t>Perkins</w:t>
            </w:r>
          </w:p>
          <w:p w14:paraId="70C5CB7E" w14:textId="77777777" w:rsidR="00EB4CD3" w:rsidRPr="00F6284E" w:rsidRDefault="00EB4CD3" w:rsidP="00A111E9">
            <w:pPr>
              <w:rPr>
                <w:rFonts w:ascii="Arial" w:hAnsi="Arial"/>
                <w:b/>
                <w:sz w:val="18"/>
              </w:rPr>
            </w:pPr>
            <w:r w:rsidRPr="00F6284E">
              <w:rPr>
                <w:sz w:val="18"/>
              </w:rPr>
              <w:t>rat</w:t>
            </w:r>
          </w:p>
        </w:tc>
        <w:tc>
          <w:tcPr>
            <w:tcW w:w="1262" w:type="dxa"/>
            <w:vAlign w:val="center"/>
          </w:tcPr>
          <w:p w14:paraId="6F1C81CE" w14:textId="77777777" w:rsidR="00EB4CD3" w:rsidRPr="00F6284E" w:rsidRDefault="00EB4CD3" w:rsidP="000830C5">
            <w:pPr>
              <w:jc w:val="right"/>
              <w:rPr>
                <w:rFonts w:ascii="Arial" w:hAnsi="Arial"/>
                <w:sz w:val="18"/>
              </w:rPr>
            </w:pPr>
            <w:r w:rsidRPr="00F6284E">
              <w:rPr>
                <w:sz w:val="18"/>
              </w:rPr>
              <w:t>0.013</w:t>
            </w:r>
          </w:p>
        </w:tc>
        <w:tc>
          <w:tcPr>
            <w:tcW w:w="776" w:type="dxa"/>
            <w:vAlign w:val="center"/>
          </w:tcPr>
          <w:p w14:paraId="33AC9E5E" w14:textId="77777777" w:rsidR="00EB4CD3" w:rsidRPr="00F6284E" w:rsidRDefault="00EB4CD3" w:rsidP="000830C5">
            <w:pPr>
              <w:jc w:val="right"/>
              <w:rPr>
                <w:rFonts w:ascii="Arial" w:hAnsi="Arial"/>
                <w:sz w:val="18"/>
              </w:rPr>
            </w:pPr>
            <w:r w:rsidRPr="00F6284E">
              <w:rPr>
                <w:sz w:val="18"/>
              </w:rPr>
              <w:t>10</w:t>
            </w:r>
          </w:p>
        </w:tc>
        <w:tc>
          <w:tcPr>
            <w:tcW w:w="720" w:type="dxa"/>
            <w:vAlign w:val="center"/>
          </w:tcPr>
          <w:p w14:paraId="00445099" w14:textId="77777777" w:rsidR="00EB4CD3" w:rsidRPr="00F6284E" w:rsidRDefault="00EB4CD3" w:rsidP="000830C5">
            <w:pPr>
              <w:jc w:val="right"/>
              <w:rPr>
                <w:rFonts w:ascii="Arial" w:hAnsi="Arial"/>
                <w:sz w:val="18"/>
              </w:rPr>
            </w:pPr>
            <w:r w:rsidRPr="00F6284E">
              <w:rPr>
                <w:sz w:val="18"/>
              </w:rPr>
              <w:t>3</w:t>
            </w:r>
          </w:p>
        </w:tc>
        <w:tc>
          <w:tcPr>
            <w:tcW w:w="900" w:type="dxa"/>
            <w:vAlign w:val="center"/>
          </w:tcPr>
          <w:p w14:paraId="08C11155" w14:textId="77777777" w:rsidR="00EB4CD3" w:rsidRPr="00F6284E" w:rsidRDefault="00EB4CD3" w:rsidP="000830C5">
            <w:pPr>
              <w:jc w:val="right"/>
              <w:rPr>
                <w:rFonts w:ascii="Arial" w:hAnsi="Arial"/>
                <w:sz w:val="18"/>
              </w:rPr>
            </w:pPr>
            <w:r w:rsidRPr="00F6284E">
              <w:rPr>
                <w:sz w:val="18"/>
              </w:rPr>
              <w:t>30</w:t>
            </w:r>
          </w:p>
        </w:tc>
        <w:tc>
          <w:tcPr>
            <w:tcW w:w="2070" w:type="dxa"/>
            <w:vAlign w:val="center"/>
          </w:tcPr>
          <w:p w14:paraId="71C2A1D9" w14:textId="77777777" w:rsidR="00EB4CD3" w:rsidRPr="00F6284E" w:rsidRDefault="00EB4CD3" w:rsidP="000830C5">
            <w:pPr>
              <w:jc w:val="right"/>
              <w:rPr>
                <w:rFonts w:ascii="Arial" w:hAnsi="Arial"/>
                <w:sz w:val="18"/>
              </w:rPr>
            </w:pPr>
            <w:r w:rsidRPr="00F6284E">
              <w:rPr>
                <w:sz w:val="18"/>
              </w:rPr>
              <w:t>0.00043</w:t>
            </w:r>
          </w:p>
        </w:tc>
      </w:tr>
      <w:tr w:rsidR="00EB4CD3" w14:paraId="3FB69E6B" w14:textId="77777777" w:rsidTr="00F6284E">
        <w:trPr>
          <w:trHeight w:val="454"/>
          <w:jc w:val="center"/>
        </w:trPr>
        <w:tc>
          <w:tcPr>
            <w:tcW w:w="1760" w:type="dxa"/>
            <w:vAlign w:val="center"/>
          </w:tcPr>
          <w:p w14:paraId="6752D592" w14:textId="77777777" w:rsidR="00EB4CD3" w:rsidRPr="00F6284E" w:rsidRDefault="00EB4CD3" w:rsidP="00A111E9">
            <w:pPr>
              <w:rPr>
                <w:rFonts w:ascii="Arial" w:hAnsi="Arial"/>
                <w:sz w:val="18"/>
                <w:vertAlign w:val="subscript"/>
              </w:rPr>
            </w:pPr>
            <w:r w:rsidRPr="00D711DD">
              <w:rPr>
                <w:sz w:val="18"/>
              </w:rPr>
              <w:t>HED</w:t>
            </w:r>
            <w:r w:rsidRPr="000B3C14">
              <w:rPr>
                <w:sz w:val="18"/>
                <w:vertAlign w:val="subscript"/>
              </w:rPr>
              <w:t>NOAEL</w:t>
            </w:r>
            <w:r w:rsidRPr="000B3C14">
              <w:rPr>
                <w:sz w:val="18"/>
              </w:rPr>
              <w:t xml:space="preserve"> </w:t>
            </w:r>
            <w:r w:rsidRPr="00F6284E">
              <w:rPr>
                <w:sz w:val="18"/>
                <w:vertAlign w:val="subscript"/>
              </w:rPr>
              <w:t>Lau</w:t>
            </w:r>
          </w:p>
          <w:p w14:paraId="6FD82517" w14:textId="4E4193A2" w:rsidR="00EB4CD3" w:rsidRPr="00F6284E" w:rsidRDefault="006D0A0D" w:rsidP="00A111E9">
            <w:pPr>
              <w:rPr>
                <w:rFonts w:ascii="Arial" w:hAnsi="Arial"/>
                <w:b/>
                <w:sz w:val="18"/>
              </w:rPr>
            </w:pPr>
            <w:r>
              <w:rPr>
                <w:sz w:val="18"/>
              </w:rPr>
              <w:t>mouse</w:t>
            </w:r>
            <w:r w:rsidR="00EB4CD3" w:rsidRPr="00F6284E">
              <w:rPr>
                <w:sz w:val="18"/>
              </w:rPr>
              <w:t>, fetoxicity</w:t>
            </w:r>
          </w:p>
        </w:tc>
        <w:tc>
          <w:tcPr>
            <w:tcW w:w="1262" w:type="dxa"/>
            <w:vAlign w:val="center"/>
          </w:tcPr>
          <w:p w14:paraId="5213E881" w14:textId="77777777" w:rsidR="00EB4CD3" w:rsidRPr="00F6284E" w:rsidRDefault="00EB4CD3" w:rsidP="000830C5">
            <w:pPr>
              <w:jc w:val="right"/>
              <w:rPr>
                <w:rFonts w:ascii="Arial" w:hAnsi="Arial"/>
                <w:sz w:val="18"/>
              </w:rPr>
            </w:pPr>
            <w:r w:rsidRPr="00F6284E">
              <w:rPr>
                <w:sz w:val="18"/>
              </w:rPr>
              <w:t>0.0049</w:t>
            </w:r>
          </w:p>
        </w:tc>
        <w:tc>
          <w:tcPr>
            <w:tcW w:w="776" w:type="dxa"/>
            <w:vAlign w:val="center"/>
          </w:tcPr>
          <w:p w14:paraId="60CB6E29" w14:textId="77777777" w:rsidR="00EB4CD3" w:rsidRPr="00F6284E" w:rsidRDefault="00EB4CD3" w:rsidP="000830C5">
            <w:pPr>
              <w:jc w:val="right"/>
              <w:rPr>
                <w:rFonts w:ascii="Arial" w:hAnsi="Arial"/>
                <w:sz w:val="18"/>
              </w:rPr>
            </w:pPr>
            <w:r w:rsidRPr="00F6284E">
              <w:rPr>
                <w:sz w:val="18"/>
              </w:rPr>
              <w:t>10</w:t>
            </w:r>
          </w:p>
        </w:tc>
        <w:tc>
          <w:tcPr>
            <w:tcW w:w="720" w:type="dxa"/>
            <w:vAlign w:val="center"/>
          </w:tcPr>
          <w:p w14:paraId="774DF7CD" w14:textId="77777777" w:rsidR="00EB4CD3" w:rsidRPr="00F6284E" w:rsidRDefault="00EB4CD3" w:rsidP="000830C5">
            <w:pPr>
              <w:jc w:val="right"/>
              <w:rPr>
                <w:rFonts w:ascii="Arial" w:hAnsi="Arial"/>
                <w:sz w:val="18"/>
              </w:rPr>
            </w:pPr>
            <w:r w:rsidRPr="00F6284E">
              <w:rPr>
                <w:sz w:val="18"/>
              </w:rPr>
              <w:t>3</w:t>
            </w:r>
          </w:p>
        </w:tc>
        <w:tc>
          <w:tcPr>
            <w:tcW w:w="900" w:type="dxa"/>
            <w:vAlign w:val="center"/>
          </w:tcPr>
          <w:p w14:paraId="20159B75" w14:textId="77777777" w:rsidR="00EB4CD3" w:rsidRPr="00F6284E" w:rsidRDefault="00EB4CD3" w:rsidP="000830C5">
            <w:pPr>
              <w:jc w:val="right"/>
              <w:rPr>
                <w:rFonts w:ascii="Arial" w:hAnsi="Arial"/>
                <w:sz w:val="18"/>
              </w:rPr>
            </w:pPr>
            <w:r w:rsidRPr="00F6284E">
              <w:rPr>
                <w:sz w:val="18"/>
              </w:rPr>
              <w:t>30</w:t>
            </w:r>
          </w:p>
        </w:tc>
        <w:tc>
          <w:tcPr>
            <w:tcW w:w="2070" w:type="dxa"/>
            <w:vAlign w:val="center"/>
          </w:tcPr>
          <w:p w14:paraId="77F9A833" w14:textId="77777777" w:rsidR="00EB4CD3" w:rsidRPr="00F6284E" w:rsidRDefault="00EB4CD3" w:rsidP="000830C5">
            <w:pPr>
              <w:jc w:val="right"/>
              <w:rPr>
                <w:rFonts w:ascii="Arial" w:hAnsi="Arial"/>
                <w:sz w:val="18"/>
              </w:rPr>
            </w:pPr>
            <w:r w:rsidRPr="00F6284E">
              <w:rPr>
                <w:sz w:val="18"/>
              </w:rPr>
              <w:t>0.00016</w:t>
            </w:r>
          </w:p>
        </w:tc>
      </w:tr>
      <w:tr w:rsidR="00EB4CD3" w14:paraId="24B93F6D" w14:textId="77777777" w:rsidTr="00F6284E">
        <w:trPr>
          <w:trHeight w:val="454"/>
          <w:jc w:val="center"/>
        </w:trPr>
        <w:tc>
          <w:tcPr>
            <w:tcW w:w="1760" w:type="dxa"/>
            <w:tcBorders>
              <w:bottom w:val="single" w:sz="4" w:space="0" w:color="000000"/>
            </w:tcBorders>
            <w:vAlign w:val="center"/>
          </w:tcPr>
          <w:p w14:paraId="5BE84C4E" w14:textId="77777777" w:rsidR="00EB4CD3" w:rsidRPr="00F6284E" w:rsidRDefault="00EB4CD3" w:rsidP="00A111E9">
            <w:pPr>
              <w:rPr>
                <w:rFonts w:ascii="Arial" w:hAnsi="Arial"/>
                <w:sz w:val="18"/>
                <w:vertAlign w:val="subscript"/>
              </w:rPr>
            </w:pPr>
            <w:r w:rsidRPr="00D711DD">
              <w:rPr>
                <w:sz w:val="18"/>
              </w:rPr>
              <w:t>HED</w:t>
            </w:r>
            <w:r w:rsidRPr="000B3C14">
              <w:rPr>
                <w:sz w:val="18"/>
                <w:vertAlign w:val="subscript"/>
              </w:rPr>
              <w:t>NOAEL</w:t>
            </w:r>
            <w:r w:rsidRPr="000B3C14">
              <w:rPr>
                <w:sz w:val="18"/>
              </w:rPr>
              <w:t xml:space="preserve"> </w:t>
            </w:r>
            <w:r w:rsidRPr="00F6284E">
              <w:rPr>
                <w:sz w:val="18"/>
                <w:vertAlign w:val="subscript"/>
              </w:rPr>
              <w:t>Lau</w:t>
            </w:r>
          </w:p>
          <w:p w14:paraId="79C43994" w14:textId="44C97FC0" w:rsidR="00EB4CD3" w:rsidRPr="00F6284E" w:rsidRDefault="006D0A0D" w:rsidP="00A111E9">
            <w:pPr>
              <w:rPr>
                <w:rFonts w:ascii="Arial" w:hAnsi="Arial"/>
                <w:b/>
                <w:sz w:val="18"/>
              </w:rPr>
            </w:pPr>
            <w:r>
              <w:rPr>
                <w:sz w:val="18"/>
              </w:rPr>
              <w:t>mouse</w:t>
            </w:r>
            <w:r w:rsidR="00EB4CD3" w:rsidRPr="00F6284E">
              <w:rPr>
                <w:sz w:val="18"/>
              </w:rPr>
              <w:t>, maternal</w:t>
            </w:r>
          </w:p>
        </w:tc>
        <w:tc>
          <w:tcPr>
            <w:tcW w:w="1262" w:type="dxa"/>
            <w:tcBorders>
              <w:bottom w:val="single" w:sz="4" w:space="0" w:color="000000"/>
            </w:tcBorders>
            <w:vAlign w:val="center"/>
          </w:tcPr>
          <w:p w14:paraId="77E1DC85" w14:textId="77777777" w:rsidR="00EB4CD3" w:rsidRPr="00F6284E" w:rsidRDefault="00EB4CD3" w:rsidP="000830C5">
            <w:pPr>
              <w:jc w:val="right"/>
              <w:rPr>
                <w:rFonts w:ascii="Arial" w:hAnsi="Arial"/>
                <w:sz w:val="18"/>
              </w:rPr>
            </w:pPr>
            <w:r w:rsidRPr="00F6284E">
              <w:rPr>
                <w:sz w:val="18"/>
              </w:rPr>
              <w:t>0.0276</w:t>
            </w:r>
          </w:p>
        </w:tc>
        <w:tc>
          <w:tcPr>
            <w:tcW w:w="776" w:type="dxa"/>
            <w:tcBorders>
              <w:bottom w:val="single" w:sz="4" w:space="0" w:color="000000"/>
            </w:tcBorders>
            <w:vAlign w:val="center"/>
          </w:tcPr>
          <w:p w14:paraId="2ED5E0F7" w14:textId="77777777" w:rsidR="00EB4CD3" w:rsidRPr="00F6284E" w:rsidRDefault="00EB4CD3" w:rsidP="000830C5">
            <w:pPr>
              <w:jc w:val="right"/>
              <w:rPr>
                <w:rFonts w:ascii="Arial" w:hAnsi="Arial"/>
                <w:sz w:val="18"/>
              </w:rPr>
            </w:pPr>
            <w:r w:rsidRPr="00F6284E">
              <w:rPr>
                <w:sz w:val="18"/>
              </w:rPr>
              <w:t>10</w:t>
            </w:r>
          </w:p>
        </w:tc>
        <w:tc>
          <w:tcPr>
            <w:tcW w:w="720" w:type="dxa"/>
            <w:tcBorders>
              <w:bottom w:val="single" w:sz="4" w:space="0" w:color="000000"/>
            </w:tcBorders>
            <w:vAlign w:val="center"/>
          </w:tcPr>
          <w:p w14:paraId="5E2426F1" w14:textId="77777777" w:rsidR="00EB4CD3" w:rsidRPr="00F6284E" w:rsidRDefault="00EB4CD3" w:rsidP="000830C5">
            <w:pPr>
              <w:jc w:val="right"/>
              <w:rPr>
                <w:rFonts w:ascii="Arial" w:hAnsi="Arial"/>
                <w:sz w:val="18"/>
              </w:rPr>
            </w:pPr>
            <w:r w:rsidRPr="00F6284E">
              <w:rPr>
                <w:sz w:val="18"/>
              </w:rPr>
              <w:t>3</w:t>
            </w:r>
          </w:p>
        </w:tc>
        <w:tc>
          <w:tcPr>
            <w:tcW w:w="900" w:type="dxa"/>
            <w:tcBorders>
              <w:bottom w:val="single" w:sz="4" w:space="0" w:color="000000"/>
            </w:tcBorders>
            <w:vAlign w:val="center"/>
          </w:tcPr>
          <w:p w14:paraId="304BE238" w14:textId="77777777" w:rsidR="00EB4CD3" w:rsidRPr="00F6284E" w:rsidRDefault="00EB4CD3" w:rsidP="000830C5">
            <w:pPr>
              <w:jc w:val="right"/>
              <w:rPr>
                <w:rFonts w:ascii="Arial" w:hAnsi="Arial"/>
                <w:sz w:val="18"/>
              </w:rPr>
            </w:pPr>
            <w:r w:rsidRPr="00F6284E">
              <w:rPr>
                <w:sz w:val="18"/>
              </w:rPr>
              <w:t>30</w:t>
            </w:r>
          </w:p>
        </w:tc>
        <w:tc>
          <w:tcPr>
            <w:tcW w:w="2070" w:type="dxa"/>
            <w:tcBorders>
              <w:bottom w:val="single" w:sz="4" w:space="0" w:color="000000"/>
            </w:tcBorders>
            <w:vAlign w:val="center"/>
          </w:tcPr>
          <w:p w14:paraId="6A323F74" w14:textId="77777777" w:rsidR="00EB4CD3" w:rsidRPr="00F6284E" w:rsidRDefault="00EB4CD3" w:rsidP="000830C5">
            <w:pPr>
              <w:jc w:val="right"/>
              <w:rPr>
                <w:rFonts w:ascii="Arial" w:hAnsi="Arial"/>
                <w:sz w:val="18"/>
              </w:rPr>
            </w:pPr>
            <w:r w:rsidRPr="00F6284E">
              <w:rPr>
                <w:sz w:val="18"/>
              </w:rPr>
              <w:t>0.00092</w:t>
            </w:r>
          </w:p>
        </w:tc>
      </w:tr>
    </w:tbl>
    <w:p w14:paraId="53402AA3" w14:textId="77777777" w:rsidR="000830C5" w:rsidRPr="002D3644" w:rsidRDefault="000830C5" w:rsidP="000830C5">
      <w:pPr>
        <w:spacing w:before="120"/>
        <w:rPr>
          <w:rFonts w:cs="Arial"/>
          <w:sz w:val="16"/>
          <w:szCs w:val="16"/>
        </w:rPr>
      </w:pPr>
      <w:r w:rsidRPr="002D3644">
        <w:rPr>
          <w:rFonts w:cs="Arial"/>
          <w:sz w:val="16"/>
          <w:szCs w:val="16"/>
        </w:rPr>
        <w:t>UF</w:t>
      </w:r>
      <w:r w:rsidRPr="002D3644">
        <w:rPr>
          <w:rFonts w:cs="Arial"/>
          <w:sz w:val="16"/>
          <w:szCs w:val="16"/>
          <w:vertAlign w:val="subscript"/>
        </w:rPr>
        <w:t>H</w:t>
      </w:r>
      <w:r w:rsidRPr="002D3644">
        <w:rPr>
          <w:rFonts w:cs="Arial"/>
          <w:sz w:val="16"/>
          <w:szCs w:val="16"/>
        </w:rPr>
        <w:t>=uncertainty factor for intra</w:t>
      </w:r>
      <w:r>
        <w:rPr>
          <w:rFonts w:cs="Arial"/>
          <w:sz w:val="16"/>
          <w:szCs w:val="16"/>
        </w:rPr>
        <w:t>species</w:t>
      </w:r>
      <w:r w:rsidRPr="002D3644">
        <w:rPr>
          <w:rFonts w:cs="Arial"/>
          <w:sz w:val="16"/>
          <w:szCs w:val="16"/>
        </w:rPr>
        <w:t xml:space="preserve"> variability</w:t>
      </w:r>
    </w:p>
    <w:p w14:paraId="5FB0956A" w14:textId="77777777" w:rsidR="000830C5" w:rsidRPr="002D3644" w:rsidRDefault="000830C5" w:rsidP="000830C5">
      <w:pPr>
        <w:rPr>
          <w:rFonts w:cs="Arial"/>
          <w:sz w:val="16"/>
          <w:szCs w:val="16"/>
        </w:rPr>
      </w:pPr>
      <w:r w:rsidRPr="002D3644">
        <w:rPr>
          <w:rFonts w:cs="Arial"/>
          <w:sz w:val="16"/>
          <w:szCs w:val="16"/>
        </w:rPr>
        <w:t>UF</w:t>
      </w:r>
      <w:r w:rsidRPr="002D3644">
        <w:rPr>
          <w:rFonts w:cs="Arial"/>
          <w:sz w:val="16"/>
          <w:szCs w:val="16"/>
          <w:vertAlign w:val="subscript"/>
        </w:rPr>
        <w:t>A</w:t>
      </w:r>
      <w:r w:rsidRPr="002D3644">
        <w:rPr>
          <w:rFonts w:cs="Arial"/>
          <w:sz w:val="16"/>
          <w:szCs w:val="16"/>
        </w:rPr>
        <w:t>= uncertainty factor for inter</w:t>
      </w:r>
      <w:r>
        <w:rPr>
          <w:rFonts w:cs="Arial"/>
          <w:sz w:val="16"/>
          <w:szCs w:val="16"/>
        </w:rPr>
        <w:t>species</w:t>
      </w:r>
      <w:r w:rsidRPr="002D3644">
        <w:rPr>
          <w:rFonts w:cs="Arial"/>
          <w:sz w:val="16"/>
          <w:szCs w:val="16"/>
        </w:rPr>
        <w:t xml:space="preserve"> variability</w:t>
      </w:r>
    </w:p>
    <w:p w14:paraId="196FA7F5" w14:textId="77777777" w:rsidR="00A1468C" w:rsidRDefault="00A1468C" w:rsidP="00A111E9">
      <w:pPr>
        <w:rPr>
          <w:lang w:bidi="ar-SA"/>
        </w:rPr>
      </w:pPr>
    </w:p>
    <w:p w14:paraId="0413EA62" w14:textId="77777777" w:rsidR="00931B97" w:rsidRDefault="00931B97" w:rsidP="00A111E9">
      <w:pPr>
        <w:sectPr w:rsidR="00931B97" w:rsidSect="00F14DD2">
          <w:pgSz w:w="11906" w:h="16838"/>
          <w:pgMar w:top="1418" w:right="1418" w:bottom="1418" w:left="1418" w:header="709" w:footer="709" w:gutter="0"/>
          <w:cols w:space="708"/>
          <w:docGrid w:linePitch="360"/>
        </w:sectPr>
      </w:pPr>
    </w:p>
    <w:p w14:paraId="0DBCCA0F" w14:textId="66D7B8BB" w:rsidR="002D3644" w:rsidRDefault="002D3644" w:rsidP="00A111E9">
      <w:pPr>
        <w:pStyle w:val="Heading2"/>
      </w:pPr>
      <w:bookmarkStart w:id="320" w:name="_Toc468699233"/>
      <w:bookmarkStart w:id="321" w:name="_Toc468712762"/>
      <w:bookmarkStart w:id="322" w:name="_Toc468716464"/>
      <w:bookmarkStart w:id="323" w:name="_Toc468709451"/>
      <w:bookmarkStart w:id="324" w:name="_Toc468717750"/>
      <w:bookmarkStart w:id="325" w:name="_Toc468718394"/>
      <w:bookmarkStart w:id="326" w:name="_Toc468719384"/>
      <w:bookmarkStart w:id="327" w:name="_Toc468722189"/>
      <w:bookmarkStart w:id="328" w:name="_Toc468799259"/>
      <w:bookmarkStart w:id="329" w:name="_Toc468806582"/>
      <w:bookmarkStart w:id="330" w:name="_Toc468980996"/>
      <w:bookmarkStart w:id="331" w:name="_Toc482805107"/>
      <w:r>
        <w:lastRenderedPageBreak/>
        <w:t>4</w:t>
      </w:r>
      <w:r>
        <w:tab/>
        <w:t>Hazard assessment PFHxS</w:t>
      </w:r>
      <w:bookmarkEnd w:id="320"/>
      <w:bookmarkEnd w:id="321"/>
      <w:bookmarkEnd w:id="322"/>
      <w:bookmarkEnd w:id="323"/>
      <w:bookmarkEnd w:id="324"/>
      <w:bookmarkEnd w:id="325"/>
      <w:bookmarkEnd w:id="326"/>
      <w:bookmarkEnd w:id="327"/>
      <w:bookmarkEnd w:id="328"/>
      <w:bookmarkEnd w:id="329"/>
      <w:bookmarkEnd w:id="330"/>
      <w:bookmarkEnd w:id="331"/>
    </w:p>
    <w:p w14:paraId="1EA04F15" w14:textId="423455D4" w:rsidR="002D3644" w:rsidRDefault="002D3644" w:rsidP="00684A16">
      <w:pPr>
        <w:pStyle w:val="Heading3"/>
      </w:pPr>
      <w:bookmarkStart w:id="332" w:name="_Toc468699234"/>
      <w:bookmarkStart w:id="333" w:name="_Toc468712763"/>
      <w:bookmarkStart w:id="334" w:name="_Toc468716465"/>
      <w:bookmarkStart w:id="335" w:name="_Toc468709452"/>
      <w:bookmarkStart w:id="336" w:name="_Toc468717751"/>
      <w:bookmarkStart w:id="337" w:name="_Toc468718395"/>
      <w:bookmarkStart w:id="338" w:name="_Toc468719385"/>
      <w:bookmarkStart w:id="339" w:name="_Toc468722190"/>
      <w:bookmarkStart w:id="340" w:name="_Toc468799260"/>
      <w:bookmarkStart w:id="341" w:name="_Toc468806583"/>
      <w:bookmarkStart w:id="342" w:name="_Toc468980997"/>
      <w:bookmarkStart w:id="343" w:name="_Toc482805108"/>
      <w:r>
        <w:t>4.1</w:t>
      </w:r>
      <w:r>
        <w:tab/>
      </w:r>
      <w:r w:rsidRPr="00AD236D">
        <w:t>Introduction</w:t>
      </w:r>
      <w:bookmarkEnd w:id="332"/>
      <w:bookmarkEnd w:id="333"/>
      <w:bookmarkEnd w:id="334"/>
      <w:bookmarkEnd w:id="335"/>
      <w:bookmarkEnd w:id="336"/>
      <w:bookmarkEnd w:id="337"/>
      <w:bookmarkEnd w:id="338"/>
      <w:bookmarkEnd w:id="339"/>
      <w:bookmarkEnd w:id="340"/>
      <w:bookmarkEnd w:id="341"/>
      <w:bookmarkEnd w:id="342"/>
      <w:bookmarkEnd w:id="343"/>
    </w:p>
    <w:p w14:paraId="0706A3DC" w14:textId="5DC3FEC2" w:rsidR="002D3644" w:rsidRPr="002D3644" w:rsidRDefault="002D3644" w:rsidP="00684A16">
      <w:pPr>
        <w:pStyle w:val="Heading4"/>
      </w:pPr>
      <w:bookmarkStart w:id="344" w:name="_Toc468699235"/>
      <w:bookmarkStart w:id="345" w:name="_Toc468712764"/>
      <w:bookmarkStart w:id="346" w:name="_Toc468716466"/>
      <w:bookmarkStart w:id="347" w:name="_Toc468709453"/>
      <w:bookmarkStart w:id="348" w:name="_Toc468717752"/>
      <w:bookmarkStart w:id="349" w:name="_Toc468718396"/>
      <w:bookmarkStart w:id="350" w:name="_Toc468719386"/>
      <w:bookmarkStart w:id="351" w:name="_Toc468722191"/>
      <w:bookmarkStart w:id="352" w:name="_Toc468799261"/>
      <w:bookmarkStart w:id="353" w:name="_Toc468806584"/>
      <w:bookmarkStart w:id="354" w:name="_Toc468980998"/>
      <w:r w:rsidRPr="002D3644">
        <w:t xml:space="preserve">4.1.1 </w:t>
      </w:r>
      <w:r w:rsidRPr="002D3644">
        <w:tab/>
      </w:r>
      <w:r w:rsidR="00684A16">
        <w:tab/>
      </w:r>
      <w:r w:rsidRPr="002D3644">
        <w:t>Overview Perfluorohexane sulfonate</w:t>
      </w:r>
      <w:bookmarkEnd w:id="344"/>
      <w:bookmarkEnd w:id="345"/>
      <w:bookmarkEnd w:id="346"/>
      <w:bookmarkEnd w:id="347"/>
      <w:bookmarkEnd w:id="348"/>
      <w:bookmarkEnd w:id="349"/>
      <w:bookmarkEnd w:id="350"/>
      <w:bookmarkEnd w:id="351"/>
      <w:bookmarkEnd w:id="352"/>
      <w:bookmarkEnd w:id="353"/>
      <w:bookmarkEnd w:id="354"/>
    </w:p>
    <w:p w14:paraId="39884D45" w14:textId="51980E03" w:rsidR="002D3644" w:rsidRPr="002D3644" w:rsidRDefault="002D3644" w:rsidP="00A111E9">
      <w:pPr>
        <w:rPr>
          <w:lang w:bidi="ar-SA"/>
        </w:rPr>
      </w:pPr>
      <w:r w:rsidRPr="002D3644">
        <w:rPr>
          <w:lang w:bidi="ar-SA"/>
        </w:rPr>
        <w:t>Perfluorohexane sulfonate, CAS number 355-46-4, is a completely fluorinated organic acid. PFHxS and its salts have the ability to repel both oil and water which has led to its use for a variety of purposes including as a component in aqueous fire</w:t>
      </w:r>
      <w:r w:rsidR="00032CF6">
        <w:rPr>
          <w:lang w:bidi="ar-SA"/>
        </w:rPr>
        <w:t>fighting</w:t>
      </w:r>
      <w:r w:rsidRPr="002D3644">
        <w:rPr>
          <w:lang w:bidi="ar-SA"/>
        </w:rPr>
        <w:t xml:space="preserve"> foam and surface coatings for paper, cardboard and cookware (ATDSR, 2015). PFHxS may occur in food as a result of contamination of plants and animals and/or transfer from food</w:t>
      </w:r>
      <w:r w:rsidR="001012A5">
        <w:rPr>
          <w:lang w:bidi="ar-SA"/>
        </w:rPr>
        <w:t>-</w:t>
      </w:r>
      <w:r w:rsidRPr="002D3644">
        <w:rPr>
          <w:lang w:bidi="ar-SA"/>
        </w:rPr>
        <w:t>packaging materials or cookware.</w:t>
      </w:r>
    </w:p>
    <w:p w14:paraId="3D092ACE" w14:textId="77777777" w:rsidR="002D3644" w:rsidRPr="002D3644" w:rsidRDefault="002D3644" w:rsidP="00A111E9">
      <w:pPr>
        <w:rPr>
          <w:lang w:bidi="ar-SA"/>
        </w:rPr>
      </w:pPr>
    </w:p>
    <w:p w14:paraId="23BBF967" w14:textId="515E792F" w:rsidR="002D3644" w:rsidRPr="002D3644" w:rsidRDefault="002D3644" w:rsidP="00A111E9">
      <w:r w:rsidRPr="002D3644">
        <w:t xml:space="preserve">The IUPAC name for PFHxS is 1,1,2,2,3,3,4,4,5,5,6,6,-tridecadecafluorosulphonic acid. Synonyms for PFOS include </w:t>
      </w:r>
      <w:r w:rsidRPr="002D3644">
        <w:rPr>
          <w:lang w:bidi="ar-SA"/>
        </w:rPr>
        <w:t>C6 sulfonate, Perfluorohexane-1-sulphonic acid,</w:t>
      </w:r>
      <w:r w:rsidRPr="002D3644">
        <w:t xml:space="preserve"> 1,1,2,2,3,3,4,4,5,5,6,6,-tridecadecafluorohexane-1-sulphonic acid. A number of toxicological studies on PFHxS have been conducted in experimental animals using the potassium salt, potassium perfluorohexane sulfonate or K</w:t>
      </w:r>
      <w:r w:rsidRPr="002D3644">
        <w:rPr>
          <w:vertAlign w:val="superscript"/>
        </w:rPr>
        <w:t>+</w:t>
      </w:r>
      <w:r w:rsidRPr="002D3644">
        <w:t>PFHxS. The CAS number of K</w:t>
      </w:r>
      <w:r w:rsidRPr="002D3644">
        <w:rPr>
          <w:vertAlign w:val="superscript"/>
        </w:rPr>
        <w:t>+</w:t>
      </w:r>
      <w:r w:rsidRPr="002D3644">
        <w:t>PFHxS is 3871-99-6.</w:t>
      </w:r>
    </w:p>
    <w:p w14:paraId="7D5BB2B7" w14:textId="1448D64B" w:rsidR="002D3644" w:rsidRPr="002D3644" w:rsidRDefault="00F06D86" w:rsidP="00684A16">
      <w:pPr>
        <w:pStyle w:val="Heading5"/>
        <w:ind w:left="567"/>
      </w:pPr>
      <w:bookmarkStart w:id="355" w:name="_Toc465928313"/>
      <w:bookmarkStart w:id="356" w:name="_Toc468636383"/>
      <w:bookmarkStart w:id="357" w:name="_Toc468699236"/>
      <w:bookmarkStart w:id="358" w:name="_Toc468712765"/>
      <w:r>
        <w:t>4.1.1.1</w:t>
      </w:r>
      <w:r>
        <w:tab/>
      </w:r>
      <w:r w:rsidR="002D3644" w:rsidRPr="002D3644">
        <w:t>Chemical structure</w:t>
      </w:r>
      <w:bookmarkEnd w:id="355"/>
      <w:bookmarkEnd w:id="356"/>
      <w:bookmarkEnd w:id="357"/>
      <w:bookmarkEnd w:id="358"/>
    </w:p>
    <w:p w14:paraId="41E40F91" w14:textId="305BCFB9" w:rsidR="002D3644" w:rsidRPr="002D3644" w:rsidRDefault="002D3644" w:rsidP="00A111E9">
      <w:r w:rsidRPr="002D3644">
        <w:t>PFHxS has the empirical formula C</w:t>
      </w:r>
      <w:r w:rsidRPr="002D3644">
        <w:rPr>
          <w:vertAlign w:val="subscript"/>
        </w:rPr>
        <w:t>6</w:t>
      </w:r>
      <w:r w:rsidRPr="002D3644">
        <w:t>HF</w:t>
      </w:r>
      <w:r w:rsidRPr="002D3644">
        <w:rPr>
          <w:vertAlign w:val="subscript"/>
        </w:rPr>
        <w:t>13</w:t>
      </w:r>
      <w:r w:rsidRPr="002D3644">
        <w:t>O</w:t>
      </w:r>
      <w:r w:rsidRPr="002D3644">
        <w:rPr>
          <w:vertAlign w:val="subscript"/>
        </w:rPr>
        <w:t>3</w:t>
      </w:r>
      <w:r w:rsidRPr="002D3644">
        <w:t>S, and a molecular mass of 400.12 g/mol. Its structure is illustrated as:</w:t>
      </w:r>
    </w:p>
    <w:p w14:paraId="2652965A" w14:textId="77777777" w:rsidR="00863A5A" w:rsidRDefault="00863A5A" w:rsidP="00863A5A">
      <w:pPr>
        <w:tabs>
          <w:tab w:val="left" w:pos="5059"/>
        </w:tabs>
      </w:pPr>
    </w:p>
    <w:p w14:paraId="7E45A1C0" w14:textId="7019BC1D" w:rsidR="002D3644" w:rsidRPr="002D3644" w:rsidRDefault="00863A5A" w:rsidP="00863A5A">
      <w:pPr>
        <w:tabs>
          <w:tab w:val="left" w:pos="5059"/>
        </w:tabs>
      </w:pPr>
      <w:r>
        <w:rPr>
          <w:noProof/>
          <w:lang w:eastAsia="en-GB" w:bidi="ar-SA"/>
        </w:rPr>
        <w:drawing>
          <wp:inline distT="0" distB="0" distL="0" distR="0" wp14:anchorId="2F0C9253" wp14:editId="43AADB3D">
            <wp:extent cx="1899920" cy="854710"/>
            <wp:effectExtent l="0" t="0" r="5080" b="2540"/>
            <wp:docPr id="35" name="Picture 35" descr="4.1.1.1 Chemical structure&#10;" title="4.1.1.1 Chem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9920" cy="854710"/>
                    </a:xfrm>
                    <a:prstGeom prst="rect">
                      <a:avLst/>
                    </a:prstGeom>
                    <a:noFill/>
                    <a:ln>
                      <a:noFill/>
                    </a:ln>
                  </pic:spPr>
                </pic:pic>
              </a:graphicData>
            </a:graphic>
          </wp:inline>
        </w:drawing>
      </w:r>
      <w:r w:rsidR="002D3644" w:rsidRPr="002D3644">
        <w:tab/>
      </w:r>
    </w:p>
    <w:p w14:paraId="505B5083" w14:textId="2AA82568" w:rsidR="002D3644" w:rsidRPr="002D3644" w:rsidRDefault="00FE7FAA" w:rsidP="00684A16">
      <w:pPr>
        <w:pStyle w:val="Heading5"/>
        <w:ind w:left="567"/>
      </w:pPr>
      <w:bookmarkStart w:id="359" w:name="_Toc465928314"/>
      <w:bookmarkStart w:id="360" w:name="_Toc468636384"/>
      <w:bookmarkStart w:id="361" w:name="_Toc468699237"/>
      <w:bookmarkStart w:id="362" w:name="_Toc468712766"/>
      <w:r>
        <w:t xml:space="preserve">4.1.1.2 </w:t>
      </w:r>
      <w:r>
        <w:tab/>
      </w:r>
      <w:r w:rsidR="002D3644" w:rsidRPr="002D3644">
        <w:t>Chemistry and physicochemical properties</w:t>
      </w:r>
      <w:bookmarkEnd w:id="359"/>
      <w:bookmarkEnd w:id="360"/>
      <w:bookmarkEnd w:id="361"/>
      <w:bookmarkEnd w:id="362"/>
    </w:p>
    <w:p w14:paraId="5A2CA4E7" w14:textId="4D3CC944" w:rsidR="002D3644" w:rsidRPr="002D3644" w:rsidRDefault="002D3644" w:rsidP="00A111E9">
      <w:pPr>
        <w:rPr>
          <w:lang w:eastAsia="en-AU" w:bidi="ar-SA"/>
        </w:rPr>
      </w:pPr>
      <w:r w:rsidRPr="002D3644">
        <w:rPr>
          <w:lang w:eastAsia="en-AU" w:bidi="ar-SA"/>
        </w:rPr>
        <w:t>Appearance:</w:t>
      </w:r>
      <w:r w:rsidRPr="002D3644">
        <w:rPr>
          <w:lang w:eastAsia="en-AU" w:bidi="ar-SA"/>
        </w:rPr>
        <w:tab/>
      </w:r>
      <w:r w:rsidRPr="002D3644">
        <w:rPr>
          <w:lang w:eastAsia="en-AU" w:bidi="ar-SA"/>
        </w:rPr>
        <w:tab/>
      </w:r>
      <w:r w:rsidRPr="002D3644">
        <w:rPr>
          <w:lang w:eastAsia="en-AU" w:bidi="ar-SA"/>
        </w:rPr>
        <w:tab/>
        <w:t>White crystalline powder</w:t>
      </w:r>
    </w:p>
    <w:p w14:paraId="7DBF20A9" w14:textId="77777777" w:rsidR="002D3644" w:rsidRPr="002D3644" w:rsidRDefault="002D3644" w:rsidP="00A111E9">
      <w:pPr>
        <w:rPr>
          <w:lang w:eastAsia="en-AU" w:bidi="ar-SA"/>
        </w:rPr>
      </w:pPr>
      <w:r w:rsidRPr="002D3644">
        <w:rPr>
          <w:lang w:eastAsia="en-AU" w:bidi="ar-SA"/>
        </w:rPr>
        <w:t>Melting point:</w:t>
      </w:r>
      <w:r w:rsidRPr="002D3644">
        <w:rPr>
          <w:lang w:eastAsia="en-AU" w:bidi="ar-SA"/>
        </w:rPr>
        <w:tab/>
      </w:r>
      <w:r w:rsidRPr="002D3644">
        <w:rPr>
          <w:lang w:eastAsia="en-AU" w:bidi="ar-SA"/>
        </w:rPr>
        <w:tab/>
      </w:r>
      <w:r w:rsidRPr="002D3644">
        <w:rPr>
          <w:lang w:eastAsia="en-AU" w:bidi="ar-SA"/>
        </w:rPr>
        <w:tab/>
        <w:t>No data</w:t>
      </w:r>
    </w:p>
    <w:p w14:paraId="2854DF11" w14:textId="11F7681A" w:rsidR="002D3644" w:rsidRPr="002D3644" w:rsidRDefault="002D3644" w:rsidP="00A111E9">
      <w:pPr>
        <w:rPr>
          <w:lang w:eastAsia="en-AU" w:bidi="ar-SA"/>
        </w:rPr>
      </w:pPr>
      <w:r w:rsidRPr="002D3644">
        <w:rPr>
          <w:lang w:eastAsia="en-AU" w:bidi="ar-SA"/>
        </w:rPr>
        <w:t>Boiling point:</w:t>
      </w:r>
      <w:r w:rsidRPr="002D3644">
        <w:rPr>
          <w:lang w:eastAsia="en-AU" w:bidi="ar-SA"/>
        </w:rPr>
        <w:tab/>
      </w:r>
      <w:r w:rsidRPr="002D3644">
        <w:rPr>
          <w:lang w:eastAsia="en-AU" w:bidi="ar-SA"/>
        </w:rPr>
        <w:tab/>
      </w:r>
      <w:r w:rsidRPr="002D3644">
        <w:rPr>
          <w:lang w:eastAsia="en-AU" w:bidi="ar-SA"/>
        </w:rPr>
        <w:tab/>
        <w:t>114.7</w:t>
      </w:r>
      <w:r w:rsidRPr="002D3644">
        <w:rPr>
          <w:vertAlign w:val="superscript"/>
          <w:lang w:eastAsia="en-AU" w:bidi="ar-SA"/>
        </w:rPr>
        <w:t>0</w:t>
      </w:r>
      <w:r w:rsidRPr="002D3644">
        <w:rPr>
          <w:lang w:eastAsia="en-AU" w:bidi="ar-SA"/>
        </w:rPr>
        <w:t>C</w:t>
      </w:r>
    </w:p>
    <w:p w14:paraId="5AFE69C3" w14:textId="702CB027" w:rsidR="002D3644" w:rsidRPr="002D3644" w:rsidRDefault="002D3644" w:rsidP="00A111E9">
      <w:pPr>
        <w:rPr>
          <w:lang w:eastAsia="en-AU" w:bidi="ar-SA"/>
        </w:rPr>
      </w:pPr>
      <w:r w:rsidRPr="002D3644">
        <w:rPr>
          <w:lang w:eastAsia="en-AU" w:bidi="ar-SA"/>
        </w:rPr>
        <w:t>Density:</w:t>
      </w:r>
      <w:r w:rsidR="00064C40" w:rsidRPr="002D3644">
        <w:rPr>
          <w:lang w:eastAsia="en-AU" w:bidi="ar-SA"/>
        </w:rPr>
        <w:t xml:space="preserve"> </w:t>
      </w:r>
      <w:r w:rsidRPr="002D3644">
        <w:rPr>
          <w:lang w:eastAsia="en-AU" w:bidi="ar-SA"/>
        </w:rPr>
        <w:t>1.84 g/mL</w:t>
      </w:r>
    </w:p>
    <w:p w14:paraId="6D2C4ED4" w14:textId="438ABB7D" w:rsidR="002D3644" w:rsidRPr="002D3644" w:rsidRDefault="002D3644" w:rsidP="00A111E9">
      <w:pPr>
        <w:rPr>
          <w:lang w:eastAsia="en-AU" w:bidi="ar-SA"/>
        </w:rPr>
      </w:pPr>
      <w:r w:rsidRPr="002D3644">
        <w:rPr>
          <w:lang w:eastAsia="en-AU" w:bidi="ar-SA"/>
        </w:rPr>
        <w:t>Water solubility:</w:t>
      </w:r>
      <w:r w:rsidRPr="002D3644">
        <w:rPr>
          <w:lang w:eastAsia="en-AU" w:bidi="ar-SA"/>
        </w:rPr>
        <w:tab/>
      </w:r>
      <w:r w:rsidRPr="002D3644">
        <w:rPr>
          <w:lang w:eastAsia="en-AU" w:bidi="ar-SA"/>
        </w:rPr>
        <w:tab/>
      </w:r>
      <w:r w:rsidRPr="002D3644">
        <w:rPr>
          <w:lang w:eastAsia="en-AU" w:bidi="ar-SA"/>
        </w:rPr>
        <w:tab/>
        <w:t>“slightly soluble”</w:t>
      </w:r>
    </w:p>
    <w:p w14:paraId="57D917EC" w14:textId="2138BF70" w:rsidR="002D3644" w:rsidRPr="002D3644" w:rsidRDefault="002D3644" w:rsidP="00A111E9">
      <w:pPr>
        <w:rPr>
          <w:lang w:eastAsia="en-AU" w:bidi="ar-SA"/>
        </w:rPr>
      </w:pPr>
      <w:r w:rsidRPr="002D3644">
        <w:rPr>
          <w:lang w:eastAsia="en-AU" w:bidi="ar-SA"/>
        </w:rPr>
        <w:t>Organic solvent solubility:</w:t>
      </w:r>
      <w:r w:rsidRPr="002D3644">
        <w:rPr>
          <w:lang w:eastAsia="en-AU" w:bidi="ar-SA"/>
        </w:rPr>
        <w:tab/>
        <w:t>No data</w:t>
      </w:r>
    </w:p>
    <w:p w14:paraId="3E778AC8" w14:textId="1BA571BC" w:rsidR="002D3644" w:rsidRPr="002D3644" w:rsidRDefault="002D3644" w:rsidP="00A111E9">
      <w:pPr>
        <w:rPr>
          <w:lang w:eastAsia="en-AU" w:bidi="ar-SA"/>
        </w:rPr>
      </w:pPr>
      <w:r w:rsidRPr="002D3644">
        <w:rPr>
          <w:lang w:eastAsia="en-AU" w:bidi="ar-SA"/>
        </w:rPr>
        <w:t>Log K</w:t>
      </w:r>
      <w:r w:rsidRPr="002D3644">
        <w:rPr>
          <w:vertAlign w:val="subscript"/>
          <w:lang w:eastAsia="en-AU" w:bidi="ar-SA"/>
        </w:rPr>
        <w:t>ow</w:t>
      </w:r>
      <w:r w:rsidRPr="002D3644">
        <w:rPr>
          <w:lang w:eastAsia="en-AU" w:bidi="ar-SA"/>
        </w:rPr>
        <w:t>:</w:t>
      </w:r>
      <w:r w:rsidR="00064C40">
        <w:rPr>
          <w:lang w:eastAsia="en-AU" w:bidi="ar-SA"/>
        </w:rPr>
        <w:t xml:space="preserve"> </w:t>
      </w:r>
      <w:r w:rsidR="00C91867">
        <w:rPr>
          <w:lang w:eastAsia="en-AU" w:bidi="ar-SA"/>
        </w:rPr>
        <w:t>Not measurable</w:t>
      </w:r>
    </w:p>
    <w:p w14:paraId="0B13F087" w14:textId="31B28223" w:rsidR="002D3644" w:rsidRPr="002D3644" w:rsidRDefault="002D3644" w:rsidP="00A111E9">
      <w:pPr>
        <w:rPr>
          <w:lang w:eastAsia="en-AU" w:bidi="ar-SA"/>
        </w:rPr>
      </w:pPr>
      <w:r w:rsidRPr="002D3644">
        <w:rPr>
          <w:lang w:eastAsia="en-AU" w:bidi="ar-SA"/>
        </w:rPr>
        <w:t>pK</w:t>
      </w:r>
      <w:r w:rsidRPr="002D3644">
        <w:rPr>
          <w:vertAlign w:val="subscript"/>
          <w:lang w:eastAsia="en-AU" w:bidi="ar-SA"/>
        </w:rPr>
        <w:t>a:</w:t>
      </w:r>
      <w:r w:rsidR="00064C40" w:rsidRPr="002D3644">
        <w:rPr>
          <w:lang w:eastAsia="en-AU" w:bidi="ar-SA"/>
        </w:rPr>
        <w:t xml:space="preserve"> </w:t>
      </w:r>
      <w:r w:rsidRPr="002D3644">
        <w:rPr>
          <w:lang w:eastAsia="en-AU" w:bidi="ar-SA"/>
        </w:rPr>
        <w:t>0.14</w:t>
      </w:r>
    </w:p>
    <w:p w14:paraId="328E82F8" w14:textId="5D8AB198" w:rsidR="002D3644" w:rsidRPr="000D2B63" w:rsidRDefault="002D3644" w:rsidP="00684A16">
      <w:pPr>
        <w:pStyle w:val="Heading3"/>
      </w:pPr>
      <w:bookmarkStart w:id="363" w:name="_Toc468699238"/>
      <w:bookmarkStart w:id="364" w:name="_Toc468712767"/>
      <w:bookmarkStart w:id="365" w:name="_Toc468716467"/>
      <w:bookmarkStart w:id="366" w:name="_Toc468709454"/>
      <w:bookmarkStart w:id="367" w:name="_Toc468717753"/>
      <w:bookmarkStart w:id="368" w:name="_Toc468718397"/>
      <w:bookmarkStart w:id="369" w:name="_Toc468719387"/>
      <w:bookmarkStart w:id="370" w:name="_Toc468722192"/>
      <w:bookmarkStart w:id="371" w:name="_Toc468799262"/>
      <w:bookmarkStart w:id="372" w:name="_Toc468806585"/>
      <w:bookmarkStart w:id="373" w:name="_Toc468980999"/>
      <w:bookmarkStart w:id="374" w:name="_Toc482805109"/>
      <w:r w:rsidRPr="000D2B63">
        <w:t>4.2</w:t>
      </w:r>
      <w:r w:rsidRPr="000D2B63">
        <w:rPr>
          <w:rStyle w:val="Heading2Char"/>
          <w:b/>
          <w:bCs w:val="0"/>
        </w:rPr>
        <w:tab/>
        <w:t>Summary of International hazard reviews of PFHxS</w:t>
      </w:r>
      <w:bookmarkEnd w:id="363"/>
      <w:bookmarkEnd w:id="364"/>
      <w:bookmarkEnd w:id="365"/>
      <w:bookmarkEnd w:id="366"/>
      <w:bookmarkEnd w:id="367"/>
      <w:bookmarkEnd w:id="368"/>
      <w:bookmarkEnd w:id="369"/>
      <w:bookmarkEnd w:id="370"/>
      <w:bookmarkEnd w:id="371"/>
      <w:bookmarkEnd w:id="372"/>
      <w:bookmarkEnd w:id="373"/>
      <w:bookmarkEnd w:id="374"/>
    </w:p>
    <w:p w14:paraId="3259D136" w14:textId="0CD3F593" w:rsidR="00502EA1" w:rsidRDefault="00186C86" w:rsidP="00A111E9">
      <w:pPr>
        <w:rPr>
          <w:lang w:bidi="ar-SA"/>
        </w:rPr>
      </w:pPr>
      <w:r w:rsidRPr="00186C86">
        <w:rPr>
          <w:lang w:bidi="ar-SA"/>
        </w:rPr>
        <w:t xml:space="preserve">In contrast to PFOA and PFOS, </w:t>
      </w:r>
      <w:r w:rsidR="00F379EB">
        <w:rPr>
          <w:lang w:bidi="ar-SA"/>
        </w:rPr>
        <w:t>HBGVs</w:t>
      </w:r>
      <w:r w:rsidRPr="00186C86">
        <w:rPr>
          <w:lang w:bidi="ar-SA"/>
        </w:rPr>
        <w:t xml:space="preserve"> for PFHxS have not generally been established by international regulatory agencies. This is likely to be due to a lack of sufficient toxicological information to conduct an assessment. Nevertheless, PFHxS has</w:t>
      </w:r>
      <w:r w:rsidR="004E0E17">
        <w:rPr>
          <w:lang w:bidi="ar-SA"/>
        </w:rPr>
        <w:t>,</w:t>
      </w:r>
      <w:r w:rsidRPr="00186C86">
        <w:rPr>
          <w:lang w:bidi="ar-SA"/>
        </w:rPr>
        <w:t xml:space="preserve"> on occasion</w:t>
      </w:r>
      <w:r w:rsidR="004E0E17">
        <w:rPr>
          <w:lang w:bidi="ar-SA"/>
        </w:rPr>
        <w:t>,</w:t>
      </w:r>
      <w:r w:rsidRPr="00186C86">
        <w:rPr>
          <w:lang w:bidi="ar-SA"/>
        </w:rPr>
        <w:t xml:space="preserve"> been considered as a part of consideration of other PFASs. A summary of those considerations is provided below</w:t>
      </w:r>
      <w:r w:rsidR="00FE7FAA">
        <w:rPr>
          <w:lang w:bidi="ar-SA"/>
        </w:rPr>
        <w:t>.</w:t>
      </w:r>
    </w:p>
    <w:p w14:paraId="51AD8FA6" w14:textId="77777777" w:rsidR="00502EA1" w:rsidRDefault="00502EA1" w:rsidP="00A111E9">
      <w:pPr>
        <w:widowControl/>
        <w:rPr>
          <w:lang w:bidi="ar-SA"/>
        </w:rPr>
      </w:pPr>
      <w:r>
        <w:rPr>
          <w:lang w:bidi="ar-SA"/>
        </w:rPr>
        <w:br w:type="page"/>
      </w:r>
    </w:p>
    <w:p w14:paraId="39CFA483" w14:textId="2CCBF28E" w:rsidR="00186C86" w:rsidRPr="00502EA1" w:rsidRDefault="00186C86" w:rsidP="00684A16">
      <w:pPr>
        <w:pStyle w:val="Heading4"/>
      </w:pPr>
      <w:r w:rsidRPr="00502EA1">
        <w:lastRenderedPageBreak/>
        <w:t>Swedish</w:t>
      </w:r>
      <w:r w:rsidRPr="00186C86">
        <w:t xml:space="preserve"> EPA, 2012</w:t>
      </w:r>
    </w:p>
    <w:p w14:paraId="6DE71100" w14:textId="7B6F9769" w:rsidR="00186C86" w:rsidRPr="00186C86" w:rsidRDefault="00186C86" w:rsidP="00A111E9">
      <w:pPr>
        <w:rPr>
          <w:lang w:bidi="ar-SA"/>
        </w:rPr>
      </w:pPr>
      <w:r w:rsidRPr="00186C86">
        <w:rPr>
          <w:lang w:bidi="ar-SA"/>
        </w:rPr>
        <w:t xml:space="preserve">The Swedish EPA assessed the human and environmental risks of a number of PFASs. For PFHxS, this assessment principally relied on information contained within the 2009 </w:t>
      </w:r>
      <w:r w:rsidR="00A039A5">
        <w:rPr>
          <w:lang w:bidi="ar-SA"/>
        </w:rPr>
        <w:t>ATSDR</w:t>
      </w:r>
      <w:r w:rsidR="00A039A5" w:rsidRPr="00186C86">
        <w:rPr>
          <w:lang w:bidi="ar-SA"/>
        </w:rPr>
        <w:t xml:space="preserve"> </w:t>
      </w:r>
      <w:r w:rsidRPr="00186C86">
        <w:rPr>
          <w:lang w:bidi="ar-SA"/>
        </w:rPr>
        <w:t>draft toxicological profile, although some additional information was also considered.</w:t>
      </w:r>
    </w:p>
    <w:p w14:paraId="54841DEA" w14:textId="77777777" w:rsidR="00186C86" w:rsidRPr="00186C86" w:rsidRDefault="00186C86" w:rsidP="00A111E9">
      <w:pPr>
        <w:rPr>
          <w:lang w:bidi="ar-SA"/>
        </w:rPr>
      </w:pPr>
    </w:p>
    <w:p w14:paraId="6B7C9004" w14:textId="0F12B810" w:rsidR="00186C86" w:rsidRPr="00186C86" w:rsidRDefault="00186C86" w:rsidP="00A111E9">
      <w:pPr>
        <w:rPr>
          <w:lang w:bidi="ar-SA"/>
        </w:rPr>
      </w:pPr>
      <w:r w:rsidRPr="00186C86">
        <w:rPr>
          <w:lang w:bidi="ar-SA"/>
        </w:rPr>
        <w:t xml:space="preserve">The PODs selected by the Swedish EPA for PFHxS were selected from a single reproductive/developmental toxicity study in male and female rats (Hoberman and York 2003 and Butenhoff </w:t>
      </w:r>
      <w:r w:rsidR="00180A32" w:rsidRPr="00180A32">
        <w:rPr>
          <w:i/>
          <w:lang w:bidi="ar-SA"/>
        </w:rPr>
        <w:t xml:space="preserve">et al. </w:t>
      </w:r>
      <w:r w:rsidR="00CC50B8">
        <w:rPr>
          <w:lang w:bidi="ar-SA"/>
        </w:rPr>
        <w:t xml:space="preserve"> </w:t>
      </w:r>
      <w:r w:rsidRPr="00186C86">
        <w:rPr>
          <w:lang w:bidi="ar-SA"/>
        </w:rPr>
        <w:t>2009):</w:t>
      </w:r>
    </w:p>
    <w:p w14:paraId="24ADECE1" w14:textId="77777777" w:rsidR="00186C86" w:rsidRPr="00186C86" w:rsidRDefault="00186C86" w:rsidP="00A111E9">
      <w:pPr>
        <w:rPr>
          <w:lang w:bidi="ar-SA"/>
        </w:rPr>
      </w:pPr>
    </w:p>
    <w:p w14:paraId="3F653E24" w14:textId="7EAC2C15" w:rsidR="00186C86" w:rsidRPr="00186C86" w:rsidRDefault="00986779" w:rsidP="00A111E9">
      <w:pPr>
        <w:numPr>
          <w:ilvl w:val="0"/>
          <w:numId w:val="29"/>
        </w:numPr>
        <w:contextualSpacing/>
        <w:rPr>
          <w:lang w:bidi="ar-SA"/>
        </w:rPr>
      </w:pPr>
      <w:r>
        <w:rPr>
          <w:lang w:bidi="ar-SA"/>
        </w:rPr>
        <w:t>h</w:t>
      </w:r>
      <w:r w:rsidR="00186C86" w:rsidRPr="00186C86">
        <w:rPr>
          <w:lang w:bidi="ar-SA"/>
        </w:rPr>
        <w:t xml:space="preserve">epatotoxicity (rat, subacute exposure, NOAEL, hepatocellular hypertrophy/increased liver weight): 1 mg/kg bw/day, 89 </w:t>
      </w:r>
      <w:r w:rsidR="00186C86" w:rsidRPr="00186C86">
        <w:rPr>
          <w:rFonts w:cs="Arial"/>
          <w:lang w:bidi="ar-SA"/>
        </w:rPr>
        <w:t>µ</w:t>
      </w:r>
      <w:r w:rsidR="00186C86" w:rsidRPr="00186C86">
        <w:rPr>
          <w:lang w:bidi="ar-SA"/>
        </w:rPr>
        <w:t xml:space="preserve">g/mL serum, 150 </w:t>
      </w:r>
      <w:r w:rsidR="00186C86" w:rsidRPr="00186C86">
        <w:rPr>
          <w:rFonts w:cs="Arial"/>
          <w:lang w:bidi="ar-SA"/>
        </w:rPr>
        <w:t>µ</w:t>
      </w:r>
      <w:r w:rsidR="00186C86" w:rsidRPr="00186C86">
        <w:rPr>
          <w:lang w:bidi="ar-SA"/>
        </w:rPr>
        <w:t>g/g liver</w:t>
      </w:r>
    </w:p>
    <w:p w14:paraId="2A0DD315" w14:textId="7B539CC3" w:rsidR="00186C86" w:rsidRPr="00186C86" w:rsidRDefault="00986779" w:rsidP="00A111E9">
      <w:pPr>
        <w:numPr>
          <w:ilvl w:val="0"/>
          <w:numId w:val="29"/>
        </w:numPr>
        <w:contextualSpacing/>
        <w:rPr>
          <w:lang w:bidi="ar-SA"/>
        </w:rPr>
      </w:pPr>
      <w:r>
        <w:rPr>
          <w:lang w:bidi="ar-SA"/>
        </w:rPr>
        <w:t>r</w:t>
      </w:r>
      <w:r w:rsidR="00186C86" w:rsidRPr="00186C86">
        <w:rPr>
          <w:lang w:bidi="ar-SA"/>
        </w:rPr>
        <w:t xml:space="preserve">eproductive toxicity (rat, no effects): &gt;10 mg/kg/bw/day, &gt; 60 </w:t>
      </w:r>
      <w:r w:rsidR="00186C86" w:rsidRPr="00186C86">
        <w:rPr>
          <w:rFonts w:cs="Arial"/>
          <w:lang w:bidi="ar-SA"/>
        </w:rPr>
        <w:t>µ</w:t>
      </w:r>
      <w:r w:rsidR="00186C86" w:rsidRPr="00186C86">
        <w:rPr>
          <w:lang w:bidi="ar-SA"/>
        </w:rPr>
        <w:t>g/mL serum, 17</w:t>
      </w:r>
      <w:r w:rsidR="00186C86" w:rsidRPr="00186C86">
        <w:rPr>
          <w:rFonts w:cs="Arial"/>
          <w:lang w:bidi="ar-SA"/>
        </w:rPr>
        <w:t>µ</w:t>
      </w:r>
      <w:r w:rsidR="00186C86" w:rsidRPr="00186C86">
        <w:rPr>
          <w:lang w:bidi="ar-SA"/>
        </w:rPr>
        <w:t>g/g liver</w:t>
      </w:r>
    </w:p>
    <w:p w14:paraId="6F678499" w14:textId="37F6E714" w:rsidR="00186C86" w:rsidRPr="00186C86" w:rsidRDefault="00986779" w:rsidP="00A111E9">
      <w:pPr>
        <w:numPr>
          <w:ilvl w:val="0"/>
          <w:numId w:val="29"/>
        </w:numPr>
        <w:contextualSpacing/>
        <w:rPr>
          <w:lang w:bidi="ar-SA"/>
        </w:rPr>
      </w:pPr>
      <w:r>
        <w:rPr>
          <w:lang w:bidi="ar-SA"/>
        </w:rPr>
        <w:t>o</w:t>
      </w:r>
      <w:r w:rsidR="00186C86" w:rsidRPr="00186C86">
        <w:rPr>
          <w:lang w:bidi="ar-SA"/>
        </w:rPr>
        <w:t>ther endpoints (rat, subacute exposure, LOAEL</w:t>
      </w:r>
      <w:r w:rsidR="00A039A5">
        <w:rPr>
          <w:lang w:bidi="ar-SA"/>
        </w:rPr>
        <w:t>,</w:t>
      </w:r>
      <w:r w:rsidR="00A039A5" w:rsidRPr="00186C86">
        <w:rPr>
          <w:lang w:bidi="ar-SA"/>
        </w:rPr>
        <w:t xml:space="preserve"> </w:t>
      </w:r>
      <w:r w:rsidR="00A039A5">
        <w:rPr>
          <w:lang w:bidi="ar-SA"/>
        </w:rPr>
        <w:t>h</w:t>
      </w:r>
      <w:r w:rsidR="00A039A5" w:rsidRPr="00186C86">
        <w:rPr>
          <w:lang w:bidi="ar-SA"/>
        </w:rPr>
        <w:t xml:space="preserve">aematological </w:t>
      </w:r>
      <w:r w:rsidR="00186C86" w:rsidRPr="00186C86">
        <w:rPr>
          <w:lang w:bidi="ar-SA"/>
        </w:rPr>
        <w:t>effects</w:t>
      </w:r>
      <w:r w:rsidR="00A039A5">
        <w:rPr>
          <w:lang w:bidi="ar-SA"/>
        </w:rPr>
        <w:t>):</w:t>
      </w:r>
      <w:r w:rsidR="00186C86" w:rsidRPr="00186C86">
        <w:rPr>
          <w:lang w:bidi="ar-SA"/>
        </w:rPr>
        <w:t xml:space="preserve"> 0.3 mg/kg bw/day, 44 </w:t>
      </w:r>
      <w:r w:rsidR="00186C86" w:rsidRPr="00186C86">
        <w:rPr>
          <w:rFonts w:cs="Arial"/>
          <w:lang w:bidi="ar-SA"/>
        </w:rPr>
        <w:t>µ</w:t>
      </w:r>
      <w:r w:rsidR="00186C86" w:rsidRPr="00186C86">
        <w:rPr>
          <w:lang w:bidi="ar-SA"/>
        </w:rPr>
        <w:t xml:space="preserve">g/mL serum, 44 </w:t>
      </w:r>
      <w:r w:rsidR="00186C86" w:rsidRPr="00186C86">
        <w:rPr>
          <w:rFonts w:cs="Arial"/>
          <w:lang w:bidi="ar-SA"/>
        </w:rPr>
        <w:t>µ</w:t>
      </w:r>
      <w:r w:rsidR="00186C86" w:rsidRPr="00186C86">
        <w:rPr>
          <w:lang w:bidi="ar-SA"/>
        </w:rPr>
        <w:t>g/g liver</w:t>
      </w:r>
    </w:p>
    <w:p w14:paraId="7156D5B8" w14:textId="77777777" w:rsidR="00186C86" w:rsidRPr="00186C86" w:rsidRDefault="00186C86" w:rsidP="00A111E9">
      <w:pPr>
        <w:ind w:left="720"/>
        <w:contextualSpacing/>
        <w:rPr>
          <w:lang w:bidi="ar-SA"/>
        </w:rPr>
      </w:pPr>
    </w:p>
    <w:p w14:paraId="2B51E284" w14:textId="62DEC9BD" w:rsidR="00186C86" w:rsidRPr="00186C86" w:rsidRDefault="00186C86" w:rsidP="00A111E9">
      <w:pPr>
        <w:rPr>
          <w:lang w:bidi="ar-SA"/>
        </w:rPr>
      </w:pPr>
      <w:r w:rsidRPr="00186C86">
        <w:rPr>
          <w:lang w:bidi="ar-SA"/>
        </w:rPr>
        <w:t>The Swedish EPA used the PODs to establish D</w:t>
      </w:r>
      <w:r w:rsidR="00AB35CC">
        <w:rPr>
          <w:lang w:bidi="ar-SA"/>
        </w:rPr>
        <w:t>NELs</w:t>
      </w:r>
      <w:r w:rsidRPr="00186C86">
        <w:rPr>
          <w:lang w:bidi="ar-SA"/>
        </w:rPr>
        <w:t xml:space="preserve"> according to REACH guidelines, by dividing the PODs with the following </w:t>
      </w:r>
      <w:r w:rsidR="00060C53">
        <w:rPr>
          <w:lang w:bidi="ar-SA"/>
        </w:rPr>
        <w:t>AFs</w:t>
      </w:r>
      <w:r w:rsidRPr="00186C86">
        <w:rPr>
          <w:lang w:bidi="ar-SA"/>
        </w:rPr>
        <w:t>, as applicable:</w:t>
      </w:r>
      <w:r w:rsidRPr="00186C86">
        <w:rPr>
          <w:lang w:bidi="ar-SA"/>
        </w:rPr>
        <w:br/>
      </w:r>
    </w:p>
    <w:p w14:paraId="7F6BA05D" w14:textId="39FF7592" w:rsidR="00186C86" w:rsidRPr="00186C86" w:rsidRDefault="00186C86" w:rsidP="00A111E9">
      <w:pPr>
        <w:numPr>
          <w:ilvl w:val="0"/>
          <w:numId w:val="30"/>
        </w:numPr>
        <w:contextualSpacing/>
        <w:rPr>
          <w:lang w:bidi="ar-SA"/>
        </w:rPr>
      </w:pPr>
      <w:r w:rsidRPr="00186C86">
        <w:rPr>
          <w:lang w:bidi="ar-SA"/>
        </w:rPr>
        <w:t>Extrapolation for exposure duration. The default factor for subchronic to chronic exposure is 2</w:t>
      </w:r>
      <w:r w:rsidR="00A039A5">
        <w:rPr>
          <w:lang w:bidi="ar-SA"/>
        </w:rPr>
        <w:t>, and the default factor for subacute to chronic exposure is 6</w:t>
      </w:r>
      <w:r w:rsidRPr="00186C86">
        <w:rPr>
          <w:lang w:bidi="ar-SA"/>
        </w:rPr>
        <w:t>.</w:t>
      </w:r>
    </w:p>
    <w:p w14:paraId="5EF41BC0" w14:textId="3A70F515" w:rsidR="00186C86" w:rsidRPr="00186C86" w:rsidRDefault="00186C86" w:rsidP="00A111E9">
      <w:pPr>
        <w:numPr>
          <w:ilvl w:val="0"/>
          <w:numId w:val="29"/>
        </w:numPr>
        <w:contextualSpacing/>
        <w:rPr>
          <w:lang w:bidi="ar-SA"/>
        </w:rPr>
      </w:pPr>
      <w:r w:rsidRPr="00186C86">
        <w:rPr>
          <w:lang w:bidi="ar-SA"/>
        </w:rPr>
        <w:t>Extrapolation from LOAEL to NOAEL in studies in which a NOAEL was not identified. A factor of 3 was used.</w:t>
      </w:r>
    </w:p>
    <w:p w14:paraId="55D97A47" w14:textId="6425B892" w:rsidR="00186C86" w:rsidRPr="00186C86" w:rsidRDefault="00186C86" w:rsidP="00A111E9">
      <w:pPr>
        <w:numPr>
          <w:ilvl w:val="0"/>
          <w:numId w:val="29"/>
        </w:numPr>
        <w:contextualSpacing/>
        <w:rPr>
          <w:lang w:bidi="ar-SA"/>
        </w:rPr>
      </w:pPr>
      <w:r w:rsidRPr="00186C86">
        <w:rPr>
          <w:lang w:bidi="ar-SA"/>
        </w:rPr>
        <w:t xml:space="preserve">Species differences. Because internal (serum) doses are compared between animals and humans, no </w:t>
      </w:r>
      <w:r w:rsidR="00AB35CC">
        <w:rPr>
          <w:lang w:bidi="ar-SA"/>
        </w:rPr>
        <w:t>AF</w:t>
      </w:r>
      <w:r w:rsidRPr="00186C86">
        <w:rPr>
          <w:lang w:bidi="ar-SA"/>
        </w:rPr>
        <w:t xml:space="preserve"> was used for differences in toxicokinetics, but an assessment factor of 2.5 was applied for differences in toxicodynamics.</w:t>
      </w:r>
    </w:p>
    <w:p w14:paraId="1334D45B" w14:textId="1626B19A" w:rsidR="00186C86" w:rsidRPr="00186C86" w:rsidRDefault="00186C86" w:rsidP="00A111E9">
      <w:pPr>
        <w:numPr>
          <w:ilvl w:val="0"/>
          <w:numId w:val="29"/>
        </w:numPr>
        <w:contextualSpacing/>
        <w:rPr>
          <w:lang w:bidi="ar-SA"/>
        </w:rPr>
      </w:pPr>
      <w:r w:rsidRPr="00186C86">
        <w:rPr>
          <w:lang w:bidi="ar-SA"/>
        </w:rPr>
        <w:t xml:space="preserve">Intraspecies differences within human populations, </w:t>
      </w:r>
      <w:r w:rsidR="007F02A2">
        <w:rPr>
          <w:lang w:bidi="ar-SA"/>
        </w:rPr>
        <w:t>that is</w:t>
      </w:r>
      <w:r w:rsidRPr="00186C86">
        <w:rPr>
          <w:lang w:bidi="ar-SA"/>
        </w:rPr>
        <w:t xml:space="preserve"> sensitive subpopulations. An assessment factor of 10 was used for the general population.</w:t>
      </w:r>
    </w:p>
    <w:p w14:paraId="6CC36360" w14:textId="77777777" w:rsidR="00186C86" w:rsidRPr="00186C86" w:rsidRDefault="00186C86" w:rsidP="00A111E9">
      <w:pPr>
        <w:rPr>
          <w:lang w:bidi="ar-SA"/>
        </w:rPr>
      </w:pPr>
    </w:p>
    <w:p w14:paraId="1EC83C2F" w14:textId="77777777" w:rsidR="00186C86" w:rsidRPr="00186C86" w:rsidRDefault="00186C86" w:rsidP="00A111E9">
      <w:pPr>
        <w:rPr>
          <w:lang w:bidi="ar-SA"/>
        </w:rPr>
      </w:pPr>
      <w:r w:rsidRPr="00186C86">
        <w:rPr>
          <w:lang w:bidi="ar-SA"/>
        </w:rPr>
        <w:t>The resulting DNEL for hepatotoxicity of PFHxS to the general population was as follows:</w:t>
      </w:r>
    </w:p>
    <w:p w14:paraId="02B9968B" w14:textId="77777777" w:rsidR="00186C86" w:rsidRPr="00186C86" w:rsidRDefault="00186C86" w:rsidP="00A111E9">
      <w:pPr>
        <w:rPr>
          <w:lang w:bidi="ar-SA"/>
        </w:rPr>
      </w:pPr>
    </w:p>
    <w:p w14:paraId="24D10034" w14:textId="3D23ACAE" w:rsidR="00186C86" w:rsidRPr="00186C86" w:rsidRDefault="00186C86" w:rsidP="00A111E9">
      <w:pPr>
        <w:rPr>
          <w:lang w:bidi="ar-SA"/>
        </w:rPr>
      </w:pPr>
      <w:r w:rsidRPr="00186C86">
        <w:rPr>
          <w:lang w:bidi="ar-SA"/>
        </w:rPr>
        <w:t>DNEL</w:t>
      </w:r>
      <w:r w:rsidRPr="00186C86">
        <w:rPr>
          <w:lang w:bidi="ar-SA"/>
        </w:rPr>
        <w:tab/>
        <w:t>= POD / (exposure duration AF x inter</w:t>
      </w:r>
      <w:r w:rsidR="000203C4">
        <w:rPr>
          <w:lang w:bidi="ar-SA"/>
        </w:rPr>
        <w:t>species</w:t>
      </w:r>
      <w:r w:rsidRPr="00186C86">
        <w:rPr>
          <w:lang w:bidi="ar-SA"/>
        </w:rPr>
        <w:t xml:space="preserve"> AF x intra</w:t>
      </w:r>
      <w:r w:rsidR="00032CF6">
        <w:rPr>
          <w:lang w:bidi="ar-SA"/>
        </w:rPr>
        <w:t>species</w:t>
      </w:r>
      <w:r w:rsidRPr="00186C86">
        <w:rPr>
          <w:lang w:bidi="ar-SA"/>
        </w:rPr>
        <w:t xml:space="preserve"> AF)</w:t>
      </w:r>
    </w:p>
    <w:p w14:paraId="01019D18" w14:textId="5C88F051" w:rsidR="00186C86" w:rsidRPr="00186C86" w:rsidRDefault="00186C86" w:rsidP="00A111E9">
      <w:pPr>
        <w:rPr>
          <w:lang w:bidi="ar-SA"/>
        </w:rPr>
      </w:pPr>
      <w:r w:rsidRPr="00186C86">
        <w:rPr>
          <w:lang w:bidi="ar-SA"/>
        </w:rPr>
        <w:tab/>
      </w:r>
      <w:r w:rsidRPr="00186C86">
        <w:rPr>
          <w:lang w:bidi="ar-SA"/>
        </w:rPr>
        <w:tab/>
        <w:t xml:space="preserve">= </w:t>
      </w:r>
      <w:r w:rsidR="00A039A5" w:rsidRPr="00186C86">
        <w:rPr>
          <w:lang w:bidi="ar-SA"/>
        </w:rPr>
        <w:t>89</w:t>
      </w:r>
      <w:r w:rsidR="00A039A5">
        <w:rPr>
          <w:lang w:bidi="ar-SA"/>
        </w:rPr>
        <w:t>,</w:t>
      </w:r>
      <w:r w:rsidR="00CC26CA">
        <w:rPr>
          <w:lang w:bidi="ar-SA"/>
        </w:rPr>
        <w:t>000</w:t>
      </w:r>
      <w:r w:rsidRPr="00186C86">
        <w:rPr>
          <w:lang w:bidi="ar-SA"/>
        </w:rPr>
        <w:t xml:space="preserve"> ng per mL serum / (2 x 2.5 x 10)</w:t>
      </w:r>
    </w:p>
    <w:p w14:paraId="35F44FCD" w14:textId="798CF9F3" w:rsidR="00186C86" w:rsidRPr="00186C86" w:rsidRDefault="00186C86" w:rsidP="00A111E9">
      <w:pPr>
        <w:rPr>
          <w:lang w:bidi="ar-SA"/>
        </w:rPr>
      </w:pPr>
      <w:r w:rsidRPr="00186C86">
        <w:rPr>
          <w:lang w:bidi="ar-SA"/>
        </w:rPr>
        <w:tab/>
      </w:r>
      <w:r w:rsidRPr="00186C86">
        <w:rPr>
          <w:lang w:bidi="ar-SA"/>
        </w:rPr>
        <w:tab/>
        <w:t xml:space="preserve">= </w:t>
      </w:r>
      <w:r w:rsidR="00A039A5" w:rsidRPr="00186C86">
        <w:rPr>
          <w:lang w:bidi="ar-SA"/>
        </w:rPr>
        <w:t>89</w:t>
      </w:r>
      <w:r w:rsidR="00A039A5">
        <w:rPr>
          <w:lang w:bidi="ar-SA"/>
        </w:rPr>
        <w:t>,</w:t>
      </w:r>
      <w:r w:rsidR="00CC26CA">
        <w:rPr>
          <w:lang w:bidi="ar-SA"/>
        </w:rPr>
        <w:t>000</w:t>
      </w:r>
      <w:r w:rsidRPr="00186C86">
        <w:rPr>
          <w:lang w:bidi="ar-SA"/>
        </w:rPr>
        <w:t xml:space="preserve"> ng per mL / 50</w:t>
      </w:r>
    </w:p>
    <w:p w14:paraId="78A63A25" w14:textId="77777777" w:rsidR="00186C86" w:rsidRPr="00186C86" w:rsidRDefault="00186C86" w:rsidP="00A111E9">
      <w:pPr>
        <w:rPr>
          <w:lang w:bidi="ar-SA"/>
        </w:rPr>
      </w:pPr>
      <w:r w:rsidRPr="00186C86">
        <w:rPr>
          <w:lang w:bidi="ar-SA"/>
        </w:rPr>
        <w:tab/>
      </w:r>
      <w:r w:rsidRPr="00186C86">
        <w:rPr>
          <w:lang w:bidi="ar-SA"/>
        </w:rPr>
        <w:tab/>
        <w:t>= 1780 ng/mL serum</w:t>
      </w:r>
    </w:p>
    <w:p w14:paraId="1C119E78" w14:textId="77777777" w:rsidR="00186C86" w:rsidRPr="00186C86" w:rsidRDefault="00186C86" w:rsidP="00A111E9">
      <w:pPr>
        <w:rPr>
          <w:lang w:bidi="ar-SA"/>
        </w:rPr>
      </w:pPr>
    </w:p>
    <w:p w14:paraId="6AF93330" w14:textId="64B5A8A3" w:rsidR="00186C86" w:rsidRPr="00186C86" w:rsidRDefault="00186C86" w:rsidP="00A111E9">
      <w:pPr>
        <w:rPr>
          <w:lang w:bidi="ar-SA"/>
        </w:rPr>
      </w:pPr>
      <w:r w:rsidRPr="00186C86">
        <w:rPr>
          <w:lang w:bidi="ar-SA"/>
        </w:rPr>
        <w:t>The DNEL for reproductive toxicity of PFHxS to the general population was:</w:t>
      </w:r>
      <w:r w:rsidRPr="00186C86">
        <w:rPr>
          <w:lang w:bidi="ar-SA"/>
        </w:rPr>
        <w:br/>
      </w:r>
      <w:r w:rsidRPr="00186C86">
        <w:rPr>
          <w:lang w:bidi="ar-SA"/>
        </w:rPr>
        <w:br/>
        <w:t>DNEL</w:t>
      </w:r>
      <w:r w:rsidRPr="00186C86">
        <w:rPr>
          <w:lang w:bidi="ar-SA"/>
        </w:rPr>
        <w:tab/>
        <w:t>= POD / (inter</w:t>
      </w:r>
      <w:r w:rsidR="000203C4">
        <w:rPr>
          <w:lang w:bidi="ar-SA"/>
        </w:rPr>
        <w:t>species</w:t>
      </w:r>
      <w:r w:rsidRPr="00186C86">
        <w:rPr>
          <w:lang w:bidi="ar-SA"/>
        </w:rPr>
        <w:t xml:space="preserve"> AF x intra</w:t>
      </w:r>
      <w:r w:rsidR="00032CF6">
        <w:rPr>
          <w:lang w:bidi="ar-SA"/>
        </w:rPr>
        <w:t>species</w:t>
      </w:r>
      <w:r w:rsidRPr="00186C86">
        <w:rPr>
          <w:lang w:bidi="ar-SA"/>
        </w:rPr>
        <w:t xml:space="preserve"> AF)</w:t>
      </w:r>
    </w:p>
    <w:p w14:paraId="752DB138" w14:textId="1B36B029" w:rsidR="00186C86" w:rsidRPr="00186C86" w:rsidRDefault="00186C86" w:rsidP="00A111E9">
      <w:pPr>
        <w:rPr>
          <w:lang w:bidi="ar-SA"/>
        </w:rPr>
      </w:pPr>
      <w:r w:rsidRPr="00186C86">
        <w:rPr>
          <w:lang w:bidi="ar-SA"/>
        </w:rPr>
        <w:tab/>
      </w:r>
      <w:r w:rsidRPr="00186C86">
        <w:rPr>
          <w:lang w:bidi="ar-SA"/>
        </w:rPr>
        <w:tab/>
        <w:t>= &gt;</w:t>
      </w:r>
      <w:r w:rsidR="00A039A5" w:rsidRPr="00186C86">
        <w:rPr>
          <w:lang w:bidi="ar-SA"/>
        </w:rPr>
        <w:t>60</w:t>
      </w:r>
      <w:r w:rsidR="00A039A5">
        <w:rPr>
          <w:lang w:bidi="ar-SA"/>
        </w:rPr>
        <w:t>,</w:t>
      </w:r>
      <w:r w:rsidR="00CC26CA">
        <w:rPr>
          <w:lang w:bidi="ar-SA"/>
        </w:rPr>
        <w:t>000</w:t>
      </w:r>
      <w:r w:rsidRPr="00186C86">
        <w:rPr>
          <w:lang w:bidi="ar-SA"/>
        </w:rPr>
        <w:t xml:space="preserve"> ng per mL serum / 2.5 x 10)</w:t>
      </w:r>
    </w:p>
    <w:p w14:paraId="74F4AA0D" w14:textId="4E78ACEE" w:rsidR="00186C86" w:rsidRPr="00186C86" w:rsidRDefault="00186C86" w:rsidP="00A111E9">
      <w:pPr>
        <w:rPr>
          <w:lang w:bidi="ar-SA"/>
        </w:rPr>
      </w:pPr>
      <w:r w:rsidRPr="00186C86">
        <w:rPr>
          <w:lang w:bidi="ar-SA"/>
        </w:rPr>
        <w:tab/>
      </w:r>
      <w:r w:rsidRPr="00186C86">
        <w:rPr>
          <w:lang w:bidi="ar-SA"/>
        </w:rPr>
        <w:tab/>
        <w:t>= &gt;</w:t>
      </w:r>
      <w:r w:rsidR="00A039A5" w:rsidRPr="00186C86">
        <w:rPr>
          <w:lang w:bidi="ar-SA"/>
        </w:rPr>
        <w:t>60</w:t>
      </w:r>
      <w:r w:rsidR="00A039A5">
        <w:rPr>
          <w:lang w:bidi="ar-SA"/>
        </w:rPr>
        <w:t>,</w:t>
      </w:r>
      <w:r w:rsidR="00CC26CA">
        <w:rPr>
          <w:lang w:bidi="ar-SA"/>
        </w:rPr>
        <w:t>000</w:t>
      </w:r>
      <w:r w:rsidRPr="00186C86">
        <w:rPr>
          <w:lang w:bidi="ar-SA"/>
        </w:rPr>
        <w:t xml:space="preserve"> ng per mL serum / 25</w:t>
      </w:r>
    </w:p>
    <w:p w14:paraId="692CA689" w14:textId="77777777" w:rsidR="00186C86" w:rsidRPr="00186C86" w:rsidRDefault="00186C86" w:rsidP="00A111E9">
      <w:pPr>
        <w:rPr>
          <w:lang w:bidi="ar-SA"/>
        </w:rPr>
      </w:pPr>
      <w:r w:rsidRPr="00186C86">
        <w:rPr>
          <w:lang w:bidi="ar-SA"/>
        </w:rPr>
        <w:tab/>
      </w:r>
      <w:r w:rsidRPr="00186C86">
        <w:rPr>
          <w:lang w:bidi="ar-SA"/>
        </w:rPr>
        <w:tab/>
        <w:t>= &gt;2400 ng/mL serum</w:t>
      </w:r>
    </w:p>
    <w:p w14:paraId="70FDD2AC" w14:textId="77777777" w:rsidR="00186C86" w:rsidRPr="00186C86" w:rsidRDefault="00186C86" w:rsidP="00A111E9">
      <w:pPr>
        <w:rPr>
          <w:lang w:bidi="ar-SA"/>
        </w:rPr>
      </w:pPr>
    </w:p>
    <w:p w14:paraId="548808D1" w14:textId="6EC72101" w:rsidR="00186C86" w:rsidRPr="00186C86" w:rsidRDefault="00186C86" w:rsidP="00A111E9">
      <w:pPr>
        <w:rPr>
          <w:lang w:bidi="ar-SA"/>
        </w:rPr>
      </w:pPr>
      <w:r w:rsidRPr="00186C86">
        <w:rPr>
          <w:lang w:bidi="ar-SA"/>
        </w:rPr>
        <w:t>The DNEL for other effects, specifically on haematological effects of PFHxS to the general population was:</w:t>
      </w:r>
      <w:r w:rsidRPr="00186C86">
        <w:rPr>
          <w:lang w:bidi="ar-SA"/>
        </w:rPr>
        <w:br/>
      </w:r>
      <w:r w:rsidRPr="00186C86">
        <w:rPr>
          <w:lang w:bidi="ar-SA"/>
        </w:rPr>
        <w:br/>
        <w:t>DNEL</w:t>
      </w:r>
      <w:r w:rsidRPr="00186C86">
        <w:rPr>
          <w:lang w:bidi="ar-SA"/>
        </w:rPr>
        <w:tab/>
        <w:t xml:space="preserve">= POD / </w:t>
      </w:r>
      <w:r w:rsidR="00C433BE">
        <w:rPr>
          <w:lang w:bidi="ar-SA"/>
        </w:rPr>
        <w:t>(</w:t>
      </w:r>
      <w:r w:rsidR="00A039A5">
        <w:rPr>
          <w:lang w:bidi="ar-SA"/>
        </w:rPr>
        <w:t xml:space="preserve">exposure duration AF x </w:t>
      </w:r>
      <w:r w:rsidRPr="00186C86">
        <w:rPr>
          <w:lang w:bidi="ar-SA"/>
        </w:rPr>
        <w:t>LOAEL to NOAEL AF x Interspecies AF x intra</w:t>
      </w:r>
      <w:r w:rsidR="00032CF6">
        <w:rPr>
          <w:lang w:bidi="ar-SA"/>
        </w:rPr>
        <w:t>species</w:t>
      </w:r>
      <w:r w:rsidRPr="00186C86">
        <w:rPr>
          <w:lang w:bidi="ar-SA"/>
        </w:rPr>
        <w:t xml:space="preserve"> AF)</w:t>
      </w:r>
    </w:p>
    <w:p w14:paraId="01C72F31" w14:textId="312632AD" w:rsidR="00186C86" w:rsidRPr="00186C86" w:rsidRDefault="00186C86" w:rsidP="00A111E9">
      <w:pPr>
        <w:rPr>
          <w:lang w:bidi="ar-SA"/>
        </w:rPr>
      </w:pPr>
      <w:r w:rsidRPr="00186C86">
        <w:rPr>
          <w:lang w:bidi="ar-SA"/>
        </w:rPr>
        <w:tab/>
      </w:r>
      <w:r w:rsidRPr="00186C86">
        <w:rPr>
          <w:lang w:bidi="ar-SA"/>
        </w:rPr>
        <w:tab/>
        <w:t>= 44 000 ng per mL serum / (</w:t>
      </w:r>
      <w:r w:rsidR="00A039A5">
        <w:rPr>
          <w:lang w:bidi="ar-SA"/>
        </w:rPr>
        <w:t xml:space="preserve">6 x </w:t>
      </w:r>
      <w:r w:rsidRPr="00186C86">
        <w:rPr>
          <w:lang w:bidi="ar-SA"/>
        </w:rPr>
        <w:t>3 x 2.5 x 10)</w:t>
      </w:r>
    </w:p>
    <w:p w14:paraId="516A288A" w14:textId="068EF597" w:rsidR="00186C86" w:rsidRPr="00186C86" w:rsidRDefault="00186C86" w:rsidP="00A111E9">
      <w:pPr>
        <w:rPr>
          <w:lang w:bidi="ar-SA"/>
        </w:rPr>
      </w:pPr>
      <w:r w:rsidRPr="00186C86">
        <w:rPr>
          <w:lang w:bidi="ar-SA"/>
        </w:rPr>
        <w:tab/>
      </w:r>
      <w:r w:rsidRPr="00186C86">
        <w:rPr>
          <w:lang w:bidi="ar-SA"/>
        </w:rPr>
        <w:tab/>
        <w:t xml:space="preserve">= 44 000 ng per mL serum / </w:t>
      </w:r>
      <w:r w:rsidR="00A039A5">
        <w:rPr>
          <w:lang w:bidi="ar-SA"/>
        </w:rPr>
        <w:t>450</w:t>
      </w:r>
    </w:p>
    <w:p w14:paraId="10F5BE5A" w14:textId="2837558E" w:rsidR="007F79CD" w:rsidRDefault="00186C86" w:rsidP="00A111E9">
      <w:pPr>
        <w:rPr>
          <w:b/>
          <w:lang w:bidi="ar-SA"/>
        </w:rPr>
      </w:pPr>
      <w:r w:rsidRPr="00186C86">
        <w:rPr>
          <w:lang w:bidi="ar-SA"/>
        </w:rPr>
        <w:tab/>
      </w:r>
      <w:r w:rsidRPr="00186C86">
        <w:rPr>
          <w:lang w:bidi="ar-SA"/>
        </w:rPr>
        <w:tab/>
        <w:t xml:space="preserve">= </w:t>
      </w:r>
      <w:r w:rsidRPr="00186C86">
        <w:rPr>
          <w:b/>
          <w:lang w:bidi="ar-SA"/>
        </w:rPr>
        <w:t>98 ng/mL serum</w:t>
      </w:r>
    </w:p>
    <w:p w14:paraId="64B5AF23" w14:textId="77777777" w:rsidR="00186C86" w:rsidRPr="00186C86" w:rsidRDefault="00186C86" w:rsidP="00A111E9">
      <w:pPr>
        <w:rPr>
          <w:b/>
          <w:lang w:bidi="ar-SA"/>
        </w:rPr>
      </w:pPr>
      <w:r w:rsidRPr="00186C86">
        <w:rPr>
          <w:b/>
          <w:lang w:bidi="ar-SA"/>
        </w:rPr>
        <w:t>Sweden, National Food Agency (Livsmedelsverket), 2014</w:t>
      </w:r>
    </w:p>
    <w:p w14:paraId="290CB585" w14:textId="77777777" w:rsidR="00186C86" w:rsidRPr="00186C86" w:rsidRDefault="00186C86" w:rsidP="00A111E9">
      <w:pPr>
        <w:rPr>
          <w:b/>
          <w:lang w:bidi="ar-SA"/>
        </w:rPr>
      </w:pPr>
    </w:p>
    <w:p w14:paraId="679C870E" w14:textId="30727BF8" w:rsidR="00186C86" w:rsidRPr="00186C86" w:rsidRDefault="00186C86" w:rsidP="00A111E9">
      <w:pPr>
        <w:rPr>
          <w:lang w:bidi="ar-SA"/>
        </w:rPr>
      </w:pPr>
      <w:r w:rsidRPr="00186C86">
        <w:rPr>
          <w:lang w:bidi="ar-SA"/>
        </w:rPr>
        <w:lastRenderedPageBreak/>
        <w:t xml:space="preserve">Based on a precautionary approach, the limit value derived by Livsmedelsverket for PFOS in drinking water (0.09 </w:t>
      </w:r>
      <w:r w:rsidRPr="00186C86">
        <w:rPr>
          <w:rFonts w:cs="Arial"/>
          <w:lang w:bidi="ar-SA"/>
        </w:rPr>
        <w:t>µ</w:t>
      </w:r>
      <w:r w:rsidRPr="00186C86">
        <w:rPr>
          <w:lang w:bidi="ar-SA"/>
        </w:rPr>
        <w:t>g/L) applies to the sum of seven PFAS substances including PFOS, one of which was PFHxS. In addition, Livsmedelsverket advise</w:t>
      </w:r>
      <w:r w:rsidR="006D0A0D">
        <w:rPr>
          <w:lang w:bidi="ar-SA"/>
        </w:rPr>
        <w:t>d</w:t>
      </w:r>
      <w:r w:rsidRPr="00186C86">
        <w:rPr>
          <w:lang w:bidi="ar-SA"/>
        </w:rPr>
        <w:t xml:space="preserve"> that if the PFAS content exceeds the limit value, action should be taken to reduce levels below it, but water could still be consumed if the levels did not exceed 0.9 </w:t>
      </w:r>
      <w:r w:rsidRPr="00186C86">
        <w:rPr>
          <w:rFonts w:cs="Arial"/>
          <w:lang w:bidi="ar-SA"/>
        </w:rPr>
        <w:t>µ</w:t>
      </w:r>
      <w:r w:rsidRPr="00186C86">
        <w:rPr>
          <w:lang w:bidi="ar-SA"/>
        </w:rPr>
        <w:t xml:space="preserve">g/L (i.e. 10 fold higher than the established limit). </w:t>
      </w:r>
      <w:r w:rsidR="006D0A0D">
        <w:rPr>
          <w:lang w:bidi="ar-SA"/>
        </w:rPr>
        <w:t>If</w:t>
      </w:r>
      <w:r w:rsidRPr="00186C86">
        <w:rPr>
          <w:lang w:bidi="ar-SA"/>
        </w:rPr>
        <w:t xml:space="preserve"> levels exceed 0.9 </w:t>
      </w:r>
      <w:r w:rsidRPr="00186C86">
        <w:rPr>
          <w:rFonts w:cs="Arial"/>
          <w:lang w:bidi="ar-SA"/>
        </w:rPr>
        <w:t>µ</w:t>
      </w:r>
      <w:r w:rsidRPr="00186C86">
        <w:rPr>
          <w:lang w:bidi="ar-SA"/>
        </w:rPr>
        <w:t>g/L they advise that pregnant women, women trying to get pregnant and infants should not consume the water.</w:t>
      </w:r>
    </w:p>
    <w:p w14:paraId="7AF618D2" w14:textId="77777777" w:rsidR="00186C86" w:rsidRPr="00186C86" w:rsidRDefault="00186C86" w:rsidP="00A111E9">
      <w:pPr>
        <w:rPr>
          <w:b/>
          <w:lang w:bidi="ar-SA"/>
        </w:rPr>
      </w:pPr>
    </w:p>
    <w:p w14:paraId="4E233057" w14:textId="77777777" w:rsidR="00186C86" w:rsidRPr="00186C86" w:rsidRDefault="00186C86" w:rsidP="00684A16">
      <w:pPr>
        <w:pStyle w:val="Heading4"/>
      </w:pPr>
      <w:r w:rsidRPr="00186C86">
        <w:t>Danish EPA, 2015</w:t>
      </w:r>
    </w:p>
    <w:p w14:paraId="370263C8" w14:textId="77777777" w:rsidR="00186C86" w:rsidRPr="00186C86" w:rsidRDefault="00186C86" w:rsidP="00A111E9">
      <w:pPr>
        <w:rPr>
          <w:lang w:bidi="ar-SA"/>
        </w:rPr>
      </w:pPr>
    </w:p>
    <w:p w14:paraId="71BAB1E4" w14:textId="138B7591" w:rsidR="00186C86" w:rsidRPr="00186C86" w:rsidRDefault="00186C86" w:rsidP="00A111E9">
      <w:pPr>
        <w:rPr>
          <w:lang w:bidi="ar-SA"/>
        </w:rPr>
      </w:pPr>
      <w:r w:rsidRPr="00186C86">
        <w:rPr>
          <w:lang w:bidi="ar-SA"/>
        </w:rPr>
        <w:t>As part of the Danish EPA evaluation of the health hazards of PFOA, PFOS and PFOSA, a preliminary screening of toxicity data for five other PFASs including PFHxS was undertaken. The objective of this screen was to assess the possibilities for further derivation of specific quality criteria for the particular substance.</w:t>
      </w:r>
    </w:p>
    <w:p w14:paraId="2247678C" w14:textId="77777777" w:rsidR="00186C86" w:rsidRPr="00186C86" w:rsidRDefault="00186C86" w:rsidP="00A111E9">
      <w:pPr>
        <w:rPr>
          <w:lang w:bidi="ar-SA"/>
        </w:rPr>
      </w:pPr>
    </w:p>
    <w:p w14:paraId="285C391B" w14:textId="77777777" w:rsidR="00186C86" w:rsidRPr="00186C86" w:rsidRDefault="00186C86" w:rsidP="00A111E9">
      <w:pPr>
        <w:rPr>
          <w:lang w:bidi="ar-SA"/>
        </w:rPr>
      </w:pPr>
      <w:r w:rsidRPr="00186C86">
        <w:rPr>
          <w:lang w:bidi="ar-SA"/>
        </w:rPr>
        <w:t>The Danish report concluded that based on the Swedish EPA findings (2012) and Livsmedelsverket (2013)</w:t>
      </w:r>
      <w:r w:rsidRPr="00186C86">
        <w:rPr>
          <w:vertAlign w:val="superscript"/>
          <w:lang w:bidi="ar-SA"/>
        </w:rPr>
        <w:footnoteReference w:id="12"/>
      </w:r>
      <w:r w:rsidRPr="00186C86">
        <w:rPr>
          <w:lang w:bidi="ar-SA"/>
        </w:rPr>
        <w:t xml:space="preserve"> there is sufficient information to warrant consideration of deriving a specific quality criteria for PFHxS.</w:t>
      </w:r>
    </w:p>
    <w:p w14:paraId="75079314" w14:textId="77777777" w:rsidR="00186C86" w:rsidRPr="00186C86" w:rsidRDefault="00186C86" w:rsidP="00A111E9">
      <w:pPr>
        <w:rPr>
          <w:lang w:bidi="ar-SA"/>
        </w:rPr>
      </w:pPr>
    </w:p>
    <w:p w14:paraId="3EA2510A" w14:textId="1767B0BB" w:rsidR="00186C86" w:rsidRPr="00186C86" w:rsidRDefault="00186C86" w:rsidP="00684A16">
      <w:pPr>
        <w:pStyle w:val="Heading4"/>
        <w:rPr>
          <w:color w:val="4F81BD" w:themeColor="accent1"/>
        </w:rPr>
      </w:pPr>
      <w:r w:rsidRPr="00186C86">
        <w:t>ATSDR</w:t>
      </w:r>
      <w:r w:rsidR="00F379EB">
        <w:t>,</w:t>
      </w:r>
      <w:r w:rsidRPr="00186C86">
        <w:t xml:space="preserve"> 2015</w:t>
      </w:r>
    </w:p>
    <w:p w14:paraId="740BC053" w14:textId="77777777" w:rsidR="00186C86" w:rsidRPr="00186C86" w:rsidRDefault="00186C86" w:rsidP="00A111E9">
      <w:pPr>
        <w:rPr>
          <w:lang w:bidi="ar-SA"/>
        </w:rPr>
      </w:pPr>
    </w:p>
    <w:p w14:paraId="01DE2C3D" w14:textId="6829F033" w:rsidR="00186C86" w:rsidRPr="00186C86" w:rsidRDefault="00186C86" w:rsidP="00A111E9">
      <w:pPr>
        <w:rPr>
          <w:lang w:bidi="ar-SA"/>
        </w:rPr>
      </w:pPr>
      <w:r w:rsidRPr="00186C86">
        <w:rPr>
          <w:lang w:bidi="ar-SA"/>
        </w:rPr>
        <w:t>The ATSDR published a draft toxicological profile for perfluoroalkylated compounds in 2015.</w:t>
      </w:r>
    </w:p>
    <w:p w14:paraId="4353CBD8" w14:textId="77777777" w:rsidR="00186C86" w:rsidRPr="00186C86" w:rsidRDefault="00186C86" w:rsidP="00A111E9">
      <w:pPr>
        <w:rPr>
          <w:lang w:bidi="ar-SA"/>
        </w:rPr>
      </w:pPr>
    </w:p>
    <w:p w14:paraId="00BFF358" w14:textId="4D43E7F7" w:rsidR="00186C86" w:rsidRPr="00186C86" w:rsidRDefault="00186C86" w:rsidP="00A111E9">
      <w:pPr>
        <w:rPr>
          <w:lang w:bidi="ar-SA"/>
        </w:rPr>
      </w:pPr>
      <w:r w:rsidRPr="00186C86">
        <w:rPr>
          <w:lang w:bidi="ar-SA"/>
        </w:rPr>
        <w:t>Assessment of available data on PFHxS was included in this profile but due to insufficient toxicological inform</w:t>
      </w:r>
      <w:r w:rsidR="00F379EB">
        <w:rPr>
          <w:lang w:bidi="ar-SA"/>
        </w:rPr>
        <w:t xml:space="preserve">ation and/or uncertainty, </w:t>
      </w:r>
      <w:r w:rsidRPr="00186C86">
        <w:rPr>
          <w:lang w:bidi="ar-SA"/>
        </w:rPr>
        <w:t>no MRL was established.</w:t>
      </w:r>
    </w:p>
    <w:p w14:paraId="5EE7213A" w14:textId="77777777" w:rsidR="00186C86" w:rsidRPr="00186C86" w:rsidRDefault="00186C86" w:rsidP="00A111E9">
      <w:pPr>
        <w:rPr>
          <w:lang w:bidi="ar-SA"/>
        </w:rPr>
      </w:pPr>
    </w:p>
    <w:p w14:paraId="63F298FE" w14:textId="77777777" w:rsidR="00186C86" w:rsidRPr="00186C86" w:rsidRDefault="00186C86" w:rsidP="00684A16">
      <w:pPr>
        <w:pStyle w:val="Heading4"/>
      </w:pPr>
      <w:r w:rsidRPr="00186C86">
        <w:t>US EPA 2016</w:t>
      </w:r>
    </w:p>
    <w:p w14:paraId="6CE4354B" w14:textId="77777777" w:rsidR="00186C86" w:rsidRPr="00186C86" w:rsidRDefault="00186C86" w:rsidP="00A111E9">
      <w:pPr>
        <w:rPr>
          <w:b/>
          <w:lang w:bidi="ar-SA"/>
        </w:rPr>
      </w:pPr>
    </w:p>
    <w:p w14:paraId="0D2FA2A8" w14:textId="4126C233" w:rsidR="00186C86" w:rsidRPr="00186C86" w:rsidRDefault="00186C86" w:rsidP="00A111E9">
      <w:pPr>
        <w:rPr>
          <w:lang w:bidi="ar-SA"/>
        </w:rPr>
      </w:pPr>
      <w:r w:rsidRPr="00186C86">
        <w:rPr>
          <w:lang w:bidi="ar-SA"/>
        </w:rPr>
        <w:t>The US EPA published a Health Effects Support Document for PFOA which included some information on PFHxS (human s</w:t>
      </w:r>
      <w:r w:rsidR="00104C8E">
        <w:rPr>
          <w:lang w:bidi="ar-SA"/>
        </w:rPr>
        <w:t>erum levels and protein binding</w:t>
      </w:r>
      <w:r w:rsidRPr="00186C86">
        <w:rPr>
          <w:lang w:bidi="ar-SA"/>
        </w:rPr>
        <w:t xml:space="preserve"> affinities) however</w:t>
      </w:r>
      <w:r w:rsidR="007F02A2">
        <w:rPr>
          <w:lang w:bidi="ar-SA"/>
        </w:rPr>
        <w:t>,</w:t>
      </w:r>
      <w:r w:rsidRPr="00186C86">
        <w:rPr>
          <w:lang w:bidi="ar-SA"/>
        </w:rPr>
        <w:t xml:space="preserve"> no data relevant to deriving HBGVs for PFHxS were </w:t>
      </w:r>
      <w:r w:rsidR="00104C8E">
        <w:rPr>
          <w:lang w:bidi="ar-SA"/>
        </w:rPr>
        <w:t>described</w:t>
      </w:r>
      <w:r w:rsidR="00F379EB">
        <w:rPr>
          <w:lang w:bidi="ar-SA"/>
        </w:rPr>
        <w:t>.</w:t>
      </w:r>
    </w:p>
    <w:p w14:paraId="777FC212" w14:textId="7978279E" w:rsidR="00186C86" w:rsidRPr="00AF351B" w:rsidRDefault="00F61D9C" w:rsidP="00684A16">
      <w:pPr>
        <w:pStyle w:val="Heading3"/>
      </w:pPr>
      <w:bookmarkStart w:id="375" w:name="_Toc465928318"/>
      <w:bookmarkStart w:id="376" w:name="_Toc468636388"/>
      <w:bookmarkStart w:id="377" w:name="_Toc468699241"/>
      <w:bookmarkStart w:id="378" w:name="_Toc468712770"/>
      <w:bookmarkStart w:id="379" w:name="_Toc468716468"/>
      <w:bookmarkStart w:id="380" w:name="_Toc468709455"/>
      <w:bookmarkStart w:id="381" w:name="_Toc468717754"/>
      <w:bookmarkStart w:id="382" w:name="_Toc468718398"/>
      <w:bookmarkStart w:id="383" w:name="_Toc468719388"/>
      <w:bookmarkStart w:id="384" w:name="_Toc468722193"/>
      <w:bookmarkStart w:id="385" w:name="_Toc468799263"/>
      <w:bookmarkStart w:id="386" w:name="_Toc468806586"/>
      <w:bookmarkStart w:id="387" w:name="_Toc468981000"/>
      <w:bookmarkStart w:id="388" w:name="_Toc482805110"/>
      <w:r>
        <w:t>4.3</w:t>
      </w:r>
      <w:r w:rsidR="00186C86" w:rsidRPr="00186C86">
        <w:tab/>
      </w:r>
      <w:r w:rsidR="00186C86" w:rsidRPr="00AF351B">
        <w:t>Summary of the toxicity of PF</w:t>
      </w:r>
      <w:bookmarkEnd w:id="375"/>
      <w:r w:rsidR="00186C86" w:rsidRPr="00AF351B">
        <w:t>HxS</w:t>
      </w:r>
      <w:bookmarkEnd w:id="376"/>
      <w:bookmarkEnd w:id="377"/>
      <w:bookmarkEnd w:id="378"/>
      <w:bookmarkEnd w:id="379"/>
      <w:bookmarkEnd w:id="380"/>
      <w:bookmarkEnd w:id="381"/>
      <w:bookmarkEnd w:id="382"/>
      <w:bookmarkEnd w:id="383"/>
      <w:bookmarkEnd w:id="384"/>
      <w:bookmarkEnd w:id="385"/>
      <w:bookmarkEnd w:id="386"/>
      <w:bookmarkEnd w:id="387"/>
      <w:bookmarkEnd w:id="388"/>
    </w:p>
    <w:p w14:paraId="7B4531D5" w14:textId="431141E7" w:rsidR="00186C86" w:rsidRPr="00186C86" w:rsidRDefault="00F61D9C" w:rsidP="00684A16">
      <w:pPr>
        <w:pStyle w:val="Heading4"/>
      </w:pPr>
      <w:bookmarkStart w:id="389" w:name="_Toc465928319"/>
      <w:bookmarkStart w:id="390" w:name="_Toc468636389"/>
      <w:bookmarkStart w:id="391" w:name="_Toc468699242"/>
      <w:bookmarkStart w:id="392" w:name="_Toc468712771"/>
      <w:bookmarkStart w:id="393" w:name="_Toc468716469"/>
      <w:bookmarkStart w:id="394" w:name="_Toc468709456"/>
      <w:bookmarkStart w:id="395" w:name="_Toc468717755"/>
      <w:bookmarkStart w:id="396" w:name="_Toc468718399"/>
      <w:bookmarkStart w:id="397" w:name="_Toc468719389"/>
      <w:bookmarkStart w:id="398" w:name="_Toc468722194"/>
      <w:bookmarkStart w:id="399" w:name="_Toc468799264"/>
      <w:bookmarkStart w:id="400" w:name="_Toc468806587"/>
      <w:bookmarkStart w:id="401" w:name="_Toc468981001"/>
      <w:r>
        <w:t>4.3</w:t>
      </w:r>
      <w:r w:rsidR="00186C86" w:rsidRPr="00186C86">
        <w:t>.1</w:t>
      </w:r>
      <w:r w:rsidR="00684A16">
        <w:tab/>
      </w:r>
      <w:r w:rsidR="00186C86" w:rsidRPr="00186C86">
        <w:tab/>
        <w:t>Mechanisms of toxicity</w:t>
      </w:r>
      <w:bookmarkEnd w:id="389"/>
      <w:bookmarkEnd w:id="390"/>
      <w:bookmarkEnd w:id="391"/>
      <w:bookmarkEnd w:id="392"/>
      <w:bookmarkEnd w:id="393"/>
      <w:bookmarkEnd w:id="394"/>
      <w:bookmarkEnd w:id="395"/>
      <w:bookmarkEnd w:id="396"/>
      <w:bookmarkEnd w:id="397"/>
      <w:bookmarkEnd w:id="398"/>
      <w:bookmarkEnd w:id="399"/>
      <w:bookmarkEnd w:id="400"/>
      <w:bookmarkEnd w:id="401"/>
    </w:p>
    <w:p w14:paraId="2895BDFA" w14:textId="387A3ACC" w:rsidR="00186C86" w:rsidRPr="00186C86" w:rsidRDefault="00186C86" w:rsidP="00A111E9">
      <w:pPr>
        <w:rPr>
          <w:lang w:bidi="ar-SA"/>
        </w:rPr>
      </w:pPr>
      <w:r w:rsidRPr="00186C86">
        <w:rPr>
          <w:lang w:bidi="ar-SA"/>
        </w:rPr>
        <w:t xml:space="preserve">Available information on the mechanism of action of PFAS has been described previously </w:t>
      </w:r>
      <w:r w:rsidR="009D71F9" w:rsidRPr="009D71F9">
        <w:rPr>
          <w:lang w:bidi="ar-SA"/>
        </w:rPr>
        <w:t>in Sections 2.3.1 and 3.3.1</w:t>
      </w:r>
      <w:r w:rsidRPr="009D71F9">
        <w:rPr>
          <w:lang w:bidi="ar-SA"/>
        </w:rPr>
        <w:t>,</w:t>
      </w:r>
      <w:r w:rsidRPr="00186C86">
        <w:rPr>
          <w:lang w:bidi="ar-SA"/>
        </w:rPr>
        <w:t xml:space="preserve"> relating to PFOS and PFOA</w:t>
      </w:r>
      <w:r w:rsidR="00A039A5">
        <w:rPr>
          <w:lang w:bidi="ar-SA"/>
        </w:rPr>
        <w:t>, respectively</w:t>
      </w:r>
      <w:r w:rsidRPr="00186C86">
        <w:rPr>
          <w:lang w:bidi="ar-SA"/>
        </w:rPr>
        <w:t>. Additional information relevant to PFHxS is summarised briefly below.</w:t>
      </w:r>
    </w:p>
    <w:p w14:paraId="13A5F491" w14:textId="77777777" w:rsidR="00186C86" w:rsidRPr="00186C86" w:rsidRDefault="00186C86" w:rsidP="00A111E9">
      <w:pPr>
        <w:rPr>
          <w:lang w:bidi="ar-SA"/>
        </w:rPr>
      </w:pPr>
    </w:p>
    <w:p w14:paraId="60A422DC" w14:textId="1D02737D" w:rsidR="00186C86" w:rsidRPr="00186C86" w:rsidRDefault="00186C86" w:rsidP="00A111E9">
      <w:pPr>
        <w:rPr>
          <w:lang w:bidi="ar-SA"/>
        </w:rPr>
      </w:pPr>
      <w:r w:rsidRPr="00186C86">
        <w:rPr>
          <w:lang w:bidi="ar-SA"/>
        </w:rPr>
        <w:t xml:space="preserve">PFHxS was shown to be a moderately potent </w:t>
      </w:r>
      <w:r w:rsidRPr="00186C86" w:rsidDel="00C17D53">
        <w:rPr>
          <w:lang w:bidi="ar-SA"/>
        </w:rPr>
        <w:t xml:space="preserve">activator </w:t>
      </w:r>
      <w:r w:rsidRPr="00186C86">
        <w:rPr>
          <w:lang w:bidi="ar-SA"/>
        </w:rPr>
        <w:t xml:space="preserve">of PPARα receptor in COS-1 cells transfected with mouse or human PPARα receptor-luciferase reporter plasmids (Wolf </w:t>
      </w:r>
      <w:r w:rsidR="00180A32" w:rsidRPr="00180A32">
        <w:rPr>
          <w:i/>
          <w:lang w:bidi="ar-SA"/>
        </w:rPr>
        <w:t xml:space="preserve">et al. </w:t>
      </w:r>
      <w:r w:rsidR="00CC50B8">
        <w:rPr>
          <w:lang w:bidi="ar-SA"/>
        </w:rPr>
        <w:t xml:space="preserve"> </w:t>
      </w:r>
      <w:r w:rsidRPr="00186C86">
        <w:rPr>
          <w:lang w:bidi="ar-SA"/>
        </w:rPr>
        <w:t>2008). The potency</w:t>
      </w:r>
      <w:r w:rsidRPr="00186C86">
        <w:rPr>
          <w:vertAlign w:val="superscript"/>
          <w:lang w:bidi="ar-SA"/>
        </w:rPr>
        <w:footnoteReference w:id="13"/>
      </w:r>
      <w:r w:rsidRPr="00186C86">
        <w:rPr>
          <w:lang w:bidi="ar-SA"/>
        </w:rPr>
        <w:t xml:space="preserve"> of the mouse PPARα activation response to PFHxS was similar to that </w:t>
      </w:r>
      <w:r w:rsidRPr="00186C86">
        <w:rPr>
          <w:lang w:bidi="ar-SA"/>
        </w:rPr>
        <w:lastRenderedPageBreak/>
        <w:t xml:space="preserve">of the human PPARα response. The relative response of PFHxS was similar to PFOS in the mouse PPARα transfected cells (76 versus 94 </w:t>
      </w:r>
      <w:r w:rsidRPr="00186C86">
        <w:rPr>
          <w:rFonts w:cs="Arial"/>
          <w:lang w:bidi="ar-SA"/>
        </w:rPr>
        <w:t>µ</w:t>
      </w:r>
      <w:r w:rsidRPr="00186C86">
        <w:rPr>
          <w:lang w:bidi="ar-SA"/>
        </w:rPr>
        <w:t xml:space="preserve">M) and lower than human PPARα transfected cells (81 versus 262 </w:t>
      </w:r>
      <w:r w:rsidRPr="00186C86">
        <w:rPr>
          <w:rFonts w:cs="Arial"/>
          <w:lang w:bidi="ar-SA"/>
        </w:rPr>
        <w:t>µ</w:t>
      </w:r>
      <w:r w:rsidRPr="00186C86">
        <w:rPr>
          <w:lang w:bidi="ar-SA"/>
        </w:rPr>
        <w:t>M).</w:t>
      </w:r>
    </w:p>
    <w:p w14:paraId="13DA3701" w14:textId="77777777" w:rsidR="00186C86" w:rsidRPr="00186C86" w:rsidRDefault="00186C86" w:rsidP="00A111E9">
      <w:pPr>
        <w:rPr>
          <w:rFonts w:cs="Arial"/>
          <w:lang w:bidi="ar-SA"/>
        </w:rPr>
      </w:pPr>
    </w:p>
    <w:p w14:paraId="357CD61D" w14:textId="442E68AB" w:rsidR="00186C86" w:rsidRPr="00186C86" w:rsidRDefault="00186C86" w:rsidP="00A111E9">
      <w:pPr>
        <w:rPr>
          <w:rFonts w:cs="Arial"/>
          <w:lang w:bidi="ar-SA"/>
        </w:rPr>
      </w:pPr>
      <w:r w:rsidRPr="00186C86">
        <w:rPr>
          <w:rFonts w:cs="Arial"/>
          <w:lang w:bidi="ar-SA"/>
        </w:rPr>
        <w:t xml:space="preserve">PFHxS reduced plasma triglyceride and </w:t>
      </w:r>
      <w:r w:rsidR="00185513">
        <w:rPr>
          <w:rFonts w:cs="Arial"/>
          <w:lang w:bidi="ar-SA"/>
        </w:rPr>
        <w:t>HDL</w:t>
      </w:r>
      <w:r w:rsidRPr="00186C86">
        <w:rPr>
          <w:rFonts w:cs="Arial"/>
          <w:lang w:bidi="ar-SA"/>
        </w:rPr>
        <w:t xml:space="preserve"> levels, and increased liver weights and hepatic triglyceride content in APOE*3-Leiden CETP mice (transgenic mice which have human-like plasma lipoprotein profile and plasma lipid levels) (Bijland </w:t>
      </w:r>
      <w:r w:rsidR="00180A32" w:rsidRPr="00180A32">
        <w:rPr>
          <w:rFonts w:cs="Arial"/>
          <w:i/>
          <w:lang w:bidi="ar-SA"/>
        </w:rPr>
        <w:t xml:space="preserve">et al. </w:t>
      </w:r>
      <w:r w:rsidR="00CC50B8">
        <w:rPr>
          <w:rFonts w:cs="Arial"/>
          <w:lang w:bidi="ar-SA"/>
        </w:rPr>
        <w:t xml:space="preserve"> </w:t>
      </w:r>
      <w:r w:rsidRPr="00186C86">
        <w:rPr>
          <w:rFonts w:cs="Arial"/>
          <w:lang w:bidi="ar-SA"/>
        </w:rPr>
        <w:t>2011). Using hepatic gene expression profiling data</w:t>
      </w:r>
      <w:r w:rsidR="00F379EB">
        <w:rPr>
          <w:rFonts w:cs="Arial"/>
          <w:lang w:bidi="ar-SA"/>
        </w:rPr>
        <w:t>,</w:t>
      </w:r>
      <w:r w:rsidRPr="00186C86">
        <w:rPr>
          <w:rFonts w:cs="Arial"/>
          <w:lang w:bidi="ar-SA"/>
        </w:rPr>
        <w:t xml:space="preserve"> the authors concluded that the liver effects were a combined result of PPARα and </w:t>
      </w:r>
      <w:r w:rsidR="004A4554">
        <w:rPr>
          <w:rFonts w:cs="Arial"/>
          <w:lang w:bidi="ar-SA"/>
        </w:rPr>
        <w:t>PXR</w:t>
      </w:r>
      <w:r w:rsidRPr="00186C86">
        <w:rPr>
          <w:rFonts w:cs="Arial"/>
          <w:lang w:bidi="ar-SA"/>
        </w:rPr>
        <w:t xml:space="preserve"> activation.</w:t>
      </w:r>
    </w:p>
    <w:p w14:paraId="112EEB95" w14:textId="081A0434" w:rsidR="00186C86" w:rsidRPr="00186C86" w:rsidRDefault="00F61D9C" w:rsidP="00684A16">
      <w:pPr>
        <w:pStyle w:val="Heading4"/>
      </w:pPr>
      <w:bookmarkStart w:id="402" w:name="_Toc468636390"/>
      <w:bookmarkStart w:id="403" w:name="_Toc468699243"/>
      <w:bookmarkStart w:id="404" w:name="_Toc468712772"/>
      <w:bookmarkStart w:id="405" w:name="_Toc468716470"/>
      <w:bookmarkStart w:id="406" w:name="_Toc468709457"/>
      <w:bookmarkStart w:id="407" w:name="_Toc468717756"/>
      <w:bookmarkStart w:id="408" w:name="_Toc468718400"/>
      <w:bookmarkStart w:id="409" w:name="_Toc468719390"/>
      <w:bookmarkStart w:id="410" w:name="_Toc468722195"/>
      <w:bookmarkStart w:id="411" w:name="_Toc468799265"/>
      <w:bookmarkStart w:id="412" w:name="_Toc468806588"/>
      <w:bookmarkStart w:id="413" w:name="_Toc468981002"/>
      <w:r>
        <w:t>4.3.2</w:t>
      </w:r>
      <w:r w:rsidR="00186C86" w:rsidRPr="00186C86">
        <w:tab/>
      </w:r>
      <w:r w:rsidR="00684A16">
        <w:tab/>
      </w:r>
      <w:r w:rsidR="00186C86" w:rsidRPr="00186C86">
        <w:t>Toxicokinetics</w:t>
      </w:r>
      <w:bookmarkEnd w:id="402"/>
      <w:bookmarkEnd w:id="403"/>
      <w:bookmarkEnd w:id="404"/>
      <w:bookmarkEnd w:id="405"/>
      <w:bookmarkEnd w:id="406"/>
      <w:bookmarkEnd w:id="407"/>
      <w:bookmarkEnd w:id="408"/>
      <w:bookmarkEnd w:id="409"/>
      <w:bookmarkEnd w:id="410"/>
      <w:bookmarkEnd w:id="411"/>
      <w:bookmarkEnd w:id="412"/>
      <w:bookmarkEnd w:id="413"/>
    </w:p>
    <w:p w14:paraId="50106CD3" w14:textId="59A2B87E" w:rsidR="00186C86" w:rsidRPr="00186C86" w:rsidRDefault="00186C86" w:rsidP="00A111E9">
      <w:pPr>
        <w:rPr>
          <w:lang w:eastAsia="en-AU" w:bidi="ar-SA"/>
        </w:rPr>
      </w:pPr>
      <w:r w:rsidRPr="00186C86">
        <w:rPr>
          <w:lang w:eastAsia="en-AU" w:bidi="ar-SA"/>
        </w:rPr>
        <w:t xml:space="preserve">Limited toxicokinetic studies have been conducted in laboratory animals with PFHxS administered either via the oral gavage or iv routes (Sundström </w:t>
      </w:r>
      <w:r w:rsidR="00180A32" w:rsidRPr="00180A32">
        <w:rPr>
          <w:i/>
          <w:lang w:eastAsia="en-AU" w:bidi="ar-SA"/>
        </w:rPr>
        <w:t xml:space="preserve">et al. </w:t>
      </w:r>
      <w:r w:rsidR="00CC50B8">
        <w:rPr>
          <w:lang w:eastAsia="en-AU" w:bidi="ar-SA"/>
        </w:rPr>
        <w:t xml:space="preserve"> </w:t>
      </w:r>
      <w:r w:rsidRPr="00186C86">
        <w:rPr>
          <w:lang w:eastAsia="en-AU" w:bidi="ar-SA"/>
        </w:rPr>
        <w:t xml:space="preserve">2012, Kim </w:t>
      </w:r>
      <w:r w:rsidR="00180A32" w:rsidRPr="00180A32">
        <w:rPr>
          <w:i/>
          <w:lang w:eastAsia="en-AU" w:bidi="ar-SA"/>
        </w:rPr>
        <w:t xml:space="preserve">et al. </w:t>
      </w:r>
      <w:r w:rsidR="00CC50B8">
        <w:rPr>
          <w:lang w:eastAsia="en-AU" w:bidi="ar-SA"/>
        </w:rPr>
        <w:t xml:space="preserve"> </w:t>
      </w:r>
      <w:r w:rsidRPr="00186C86">
        <w:rPr>
          <w:lang w:eastAsia="en-AU" w:bidi="ar-SA"/>
        </w:rPr>
        <w:t xml:space="preserve">2016; summarised in </w:t>
      </w:r>
      <w:r w:rsidRPr="00FC6558">
        <w:rPr>
          <w:lang w:eastAsia="en-AU"/>
        </w:rPr>
        <w:t xml:space="preserve">Appendix </w:t>
      </w:r>
      <w:r w:rsidR="00650BC3">
        <w:rPr>
          <w:lang w:eastAsia="en-AU" w:bidi="ar-SA"/>
        </w:rPr>
        <w:t>3</w:t>
      </w:r>
      <w:r w:rsidRPr="00186C86">
        <w:rPr>
          <w:lang w:eastAsia="en-AU" w:bidi="ar-SA"/>
        </w:rPr>
        <w:t>). These studies suggest that PFHxS is readily absorbed by the oral route. For the purposes of risk assessment it should be considered that bioavailability is close to 100% within 24 hours following oral administration to rats by gavage. C</w:t>
      </w:r>
      <w:r w:rsidRPr="00186C86">
        <w:rPr>
          <w:vertAlign w:val="subscript"/>
          <w:lang w:eastAsia="en-AU" w:bidi="ar-SA"/>
        </w:rPr>
        <w:t>max</w:t>
      </w:r>
      <w:r w:rsidRPr="00186C86">
        <w:rPr>
          <w:lang w:eastAsia="en-AU" w:bidi="ar-SA"/>
        </w:rPr>
        <w:t xml:space="preserve"> in rats occurred within approximately 3 days for males and 1.5 hours for females.</w:t>
      </w:r>
    </w:p>
    <w:p w14:paraId="212BAF40" w14:textId="77777777" w:rsidR="00186C86" w:rsidRPr="00186C86" w:rsidRDefault="00186C86" w:rsidP="00A111E9">
      <w:pPr>
        <w:rPr>
          <w:lang w:eastAsia="en-AU" w:bidi="ar-SA"/>
        </w:rPr>
      </w:pPr>
    </w:p>
    <w:p w14:paraId="23EEE080" w14:textId="437249AE" w:rsidR="00186C86" w:rsidRPr="00186C86" w:rsidRDefault="00186C86" w:rsidP="00A111E9">
      <w:pPr>
        <w:rPr>
          <w:lang w:eastAsia="en-AU" w:bidi="ar-SA"/>
        </w:rPr>
      </w:pPr>
      <w:r w:rsidRPr="00186C86">
        <w:rPr>
          <w:lang w:eastAsia="en-AU" w:bidi="ar-SA"/>
        </w:rPr>
        <w:t>Kerstner-Wood (2003) observed that over the range</w:t>
      </w:r>
      <w:r w:rsidR="00F379EB">
        <w:rPr>
          <w:lang w:eastAsia="en-AU" w:bidi="ar-SA"/>
        </w:rPr>
        <w:t xml:space="preserve"> of</w:t>
      </w:r>
      <w:r w:rsidRPr="00186C86">
        <w:rPr>
          <w:lang w:eastAsia="en-AU" w:bidi="ar-SA"/>
        </w:rPr>
        <w:t xml:space="preserve"> 1-500 mg/L in plasma from monkeys and humans PFHxS was bound between 99.4-100%, whil</w:t>
      </w:r>
      <w:r w:rsidR="003861B4">
        <w:rPr>
          <w:lang w:eastAsia="en-AU" w:bidi="ar-SA"/>
        </w:rPr>
        <w:t>e</w:t>
      </w:r>
      <w:r w:rsidRPr="00186C86">
        <w:rPr>
          <w:lang w:eastAsia="en-AU" w:bidi="ar-SA"/>
        </w:rPr>
        <w:t xml:space="preserve"> in rats the binding was 98.2-100%. There was also binding to ß-lipoproteins, α- and ɣ-globulins. Ren </w:t>
      </w:r>
      <w:r w:rsidR="00180A32" w:rsidRPr="00180A32">
        <w:rPr>
          <w:i/>
          <w:lang w:eastAsia="en-AU" w:bidi="ar-SA"/>
        </w:rPr>
        <w:t xml:space="preserve">et al. </w:t>
      </w:r>
      <w:r w:rsidR="00CC50B8">
        <w:rPr>
          <w:lang w:eastAsia="en-AU" w:bidi="ar-SA"/>
        </w:rPr>
        <w:t xml:space="preserve"> </w:t>
      </w:r>
      <w:r w:rsidRPr="00186C86">
        <w:rPr>
          <w:lang w:eastAsia="en-AU" w:bidi="ar-SA"/>
        </w:rPr>
        <w:t>(2016) repor</w:t>
      </w:r>
      <w:r w:rsidR="00060C53">
        <w:rPr>
          <w:lang w:eastAsia="en-AU" w:bidi="ar-SA"/>
        </w:rPr>
        <w:t xml:space="preserve">ted evidence of binding to </w:t>
      </w:r>
      <w:r w:rsidR="004A4554">
        <w:rPr>
          <w:lang w:eastAsia="en-AU" w:bidi="ar-SA"/>
        </w:rPr>
        <w:t>thyroxine</w:t>
      </w:r>
      <w:r w:rsidR="00060C53">
        <w:rPr>
          <w:lang w:eastAsia="en-AU" w:bidi="ar-SA"/>
        </w:rPr>
        <w:t>-binding globulin</w:t>
      </w:r>
      <w:r w:rsidRPr="00186C86">
        <w:rPr>
          <w:lang w:eastAsia="en-AU" w:bidi="ar-SA"/>
        </w:rPr>
        <w:t xml:space="preserve">. PFHxS displayed a weak binding affinity for human liver fatty acid binding protein at a 1:1 molar ratio (Sheng </w:t>
      </w:r>
      <w:r w:rsidR="00180A32" w:rsidRPr="00180A32">
        <w:rPr>
          <w:i/>
          <w:lang w:eastAsia="en-AU" w:bidi="ar-SA"/>
        </w:rPr>
        <w:t xml:space="preserve">et al. </w:t>
      </w:r>
      <w:r w:rsidR="00CC50B8">
        <w:rPr>
          <w:lang w:eastAsia="en-AU" w:bidi="ar-SA"/>
        </w:rPr>
        <w:t xml:space="preserve"> </w:t>
      </w:r>
      <w:r w:rsidRPr="00186C86">
        <w:rPr>
          <w:lang w:eastAsia="en-AU" w:bidi="ar-SA"/>
        </w:rPr>
        <w:t>2016). The affinity was lower than for PFOA, while PFOS was not assessed.</w:t>
      </w:r>
    </w:p>
    <w:p w14:paraId="1E275576" w14:textId="77777777" w:rsidR="00186C86" w:rsidRPr="00186C86" w:rsidRDefault="00186C86" w:rsidP="00A111E9">
      <w:pPr>
        <w:rPr>
          <w:lang w:eastAsia="en-AU" w:bidi="ar-SA"/>
        </w:rPr>
      </w:pPr>
    </w:p>
    <w:p w14:paraId="660643DE" w14:textId="2466FA4B" w:rsidR="00186C86" w:rsidRPr="00186C86" w:rsidRDefault="00186C86" w:rsidP="00A111E9">
      <w:pPr>
        <w:rPr>
          <w:lang w:eastAsia="en-AU" w:bidi="ar-SA"/>
        </w:rPr>
      </w:pPr>
      <w:r w:rsidRPr="00186C86">
        <w:rPr>
          <w:lang w:eastAsia="en-AU" w:bidi="ar-SA"/>
        </w:rPr>
        <w:t>Tissue distribution has not been well investigated, however</w:t>
      </w:r>
      <w:r w:rsidR="007F02A2">
        <w:rPr>
          <w:lang w:eastAsia="en-AU" w:bidi="ar-SA"/>
        </w:rPr>
        <w:t>,</w:t>
      </w:r>
      <w:r w:rsidRPr="00186C86">
        <w:rPr>
          <w:lang w:eastAsia="en-AU" w:bidi="ar-SA"/>
        </w:rPr>
        <w:t xml:space="preserve"> the highest concentrations of PFHxS have generally been reported in the liver and kidney. Serum elimination half-life in female rats is less than 24 hours, and in the male rat and mice of both sexes is around 30 days. Elimination half-life is in the ran</w:t>
      </w:r>
      <w:r w:rsidR="00104C8E">
        <w:rPr>
          <w:lang w:eastAsia="en-AU" w:bidi="ar-SA"/>
        </w:rPr>
        <w:t xml:space="preserve">ge 87-141 days in </w:t>
      </w:r>
      <w:r w:rsidR="00A039A5">
        <w:rPr>
          <w:lang w:eastAsia="en-AU" w:bidi="ar-SA"/>
        </w:rPr>
        <w:t>cynomol</w:t>
      </w:r>
      <w:r w:rsidR="00A039A5" w:rsidRPr="00186C86">
        <w:rPr>
          <w:lang w:eastAsia="en-AU" w:bidi="ar-SA"/>
        </w:rPr>
        <w:t xml:space="preserve">gus </w:t>
      </w:r>
      <w:r w:rsidRPr="00186C86">
        <w:rPr>
          <w:lang w:eastAsia="en-AU" w:bidi="ar-SA"/>
        </w:rPr>
        <w:t>monkeys. Excretion of PFHxS in laboratory animals occurred primarily in the urine with relatively small amounts eliminated in the faeces.</w:t>
      </w:r>
    </w:p>
    <w:p w14:paraId="196677BD" w14:textId="77777777" w:rsidR="00186C86" w:rsidRPr="00186C86" w:rsidRDefault="00186C86" w:rsidP="00A111E9">
      <w:pPr>
        <w:rPr>
          <w:lang w:eastAsia="en-AU" w:bidi="ar-SA"/>
        </w:rPr>
      </w:pPr>
    </w:p>
    <w:p w14:paraId="0B0C4A35" w14:textId="085151D3" w:rsidR="00186C86" w:rsidRPr="00186C86" w:rsidRDefault="00186C86" w:rsidP="00A111E9">
      <w:pPr>
        <w:rPr>
          <w:lang w:eastAsia="en-AU" w:bidi="ar-SA"/>
        </w:rPr>
      </w:pPr>
      <w:r w:rsidRPr="00186C86">
        <w:rPr>
          <w:lang w:eastAsia="en-AU" w:bidi="ar-SA"/>
        </w:rPr>
        <w:t>The half-life of PFHxS in humans was estimated from serial blood samples collected over five years from 26 retired fluorochemical production workers. Elimination appears to be linear on a semi</w:t>
      </w:r>
      <w:r w:rsidR="00CC26CA">
        <w:rPr>
          <w:lang w:eastAsia="en-AU" w:bidi="ar-SA"/>
        </w:rPr>
        <w:t>logarithmic</w:t>
      </w:r>
      <w:r w:rsidRPr="00186C86">
        <w:rPr>
          <w:lang w:eastAsia="en-AU" w:bidi="ar-SA"/>
        </w:rPr>
        <w:t xml:space="preserve"> plot of concentration versus time, so a first</w:t>
      </w:r>
      <w:r w:rsidR="001012A5">
        <w:rPr>
          <w:lang w:eastAsia="en-AU" w:bidi="ar-SA"/>
        </w:rPr>
        <w:t xml:space="preserve"> </w:t>
      </w:r>
      <w:r w:rsidRPr="00186C86">
        <w:rPr>
          <w:lang w:eastAsia="en-AU" w:bidi="ar-SA"/>
        </w:rPr>
        <w:t xml:space="preserve">order model of kinetics was used. The arithmetic and geometric half-life of serum elimination, respectively, were 8.5 years (95% confidence interval, 6.4 – 10.6) and 7.3 years (95% confidence interval, 5.8 – 9.2) (Olsen </w:t>
      </w:r>
      <w:r w:rsidR="00180A32" w:rsidRPr="00180A32">
        <w:rPr>
          <w:i/>
          <w:lang w:eastAsia="en-AU" w:bidi="ar-SA"/>
        </w:rPr>
        <w:t xml:space="preserve">et al. </w:t>
      </w:r>
      <w:r w:rsidR="00CC50B8">
        <w:rPr>
          <w:lang w:eastAsia="en-AU" w:bidi="ar-SA"/>
        </w:rPr>
        <w:t xml:space="preserve"> </w:t>
      </w:r>
      <w:r w:rsidRPr="00186C86">
        <w:rPr>
          <w:lang w:eastAsia="en-AU" w:bidi="ar-SA"/>
        </w:rPr>
        <w:t>2007). The fluorochemical production workers also had body burdens of PFOS and PFOA. PFHxS has been shown to be present in breast milk at a concentration of less than 10% of th</w:t>
      </w:r>
      <w:r w:rsidR="00D61F93">
        <w:rPr>
          <w:lang w:eastAsia="en-AU" w:bidi="ar-SA"/>
        </w:rPr>
        <w:t xml:space="preserve">at in maternal serum (Kim </w:t>
      </w:r>
      <w:r w:rsidR="00180A32" w:rsidRPr="00180A32">
        <w:rPr>
          <w:i/>
          <w:lang w:eastAsia="en-AU" w:bidi="ar-SA"/>
        </w:rPr>
        <w:t xml:space="preserve">et al. </w:t>
      </w:r>
      <w:r w:rsidR="00CC50B8">
        <w:rPr>
          <w:lang w:eastAsia="en-AU" w:bidi="ar-SA"/>
        </w:rPr>
        <w:t xml:space="preserve"> </w:t>
      </w:r>
      <w:r w:rsidRPr="00186C86">
        <w:rPr>
          <w:lang w:eastAsia="en-AU" w:bidi="ar-SA"/>
        </w:rPr>
        <w:t>2011). There is evidence that PFHxS can cross the placenta and enter the fetal circulation (ATSDR 2015).</w:t>
      </w:r>
    </w:p>
    <w:p w14:paraId="04036175" w14:textId="691FE4BA" w:rsidR="00135214" w:rsidRPr="00135214" w:rsidRDefault="00985018" w:rsidP="00684A16">
      <w:pPr>
        <w:pStyle w:val="Heading4"/>
      </w:pPr>
      <w:bookmarkStart w:id="414" w:name="_Toc468636391"/>
      <w:bookmarkStart w:id="415" w:name="_Toc468699244"/>
      <w:bookmarkStart w:id="416" w:name="_Toc468712773"/>
      <w:bookmarkStart w:id="417" w:name="_Toc468716471"/>
      <w:bookmarkStart w:id="418" w:name="_Toc468709458"/>
      <w:bookmarkStart w:id="419" w:name="_Toc468717757"/>
      <w:bookmarkStart w:id="420" w:name="_Toc468718401"/>
      <w:bookmarkStart w:id="421" w:name="_Toc468719391"/>
      <w:bookmarkStart w:id="422" w:name="_Toc468722196"/>
      <w:bookmarkStart w:id="423" w:name="_Toc468799266"/>
      <w:bookmarkStart w:id="424" w:name="_Toc468806589"/>
      <w:bookmarkStart w:id="425" w:name="_Toc468981003"/>
      <w:r>
        <w:t>4.3.3</w:t>
      </w:r>
      <w:r w:rsidR="00135214" w:rsidRPr="00135214">
        <w:tab/>
      </w:r>
      <w:r w:rsidR="00684A16">
        <w:tab/>
      </w:r>
      <w:r w:rsidR="00135214" w:rsidRPr="00135214">
        <w:t>Animal toxicity studies</w:t>
      </w:r>
      <w:bookmarkEnd w:id="414"/>
      <w:bookmarkEnd w:id="415"/>
      <w:bookmarkEnd w:id="416"/>
      <w:bookmarkEnd w:id="417"/>
      <w:bookmarkEnd w:id="418"/>
      <w:bookmarkEnd w:id="419"/>
      <w:bookmarkEnd w:id="420"/>
      <w:bookmarkEnd w:id="421"/>
      <w:bookmarkEnd w:id="422"/>
      <w:bookmarkEnd w:id="423"/>
      <w:bookmarkEnd w:id="424"/>
      <w:bookmarkEnd w:id="425"/>
    </w:p>
    <w:p w14:paraId="10BE7948" w14:textId="34E0BE24" w:rsidR="00135214" w:rsidRPr="00135214" w:rsidRDefault="00135214" w:rsidP="00A111E9">
      <w:pPr>
        <w:rPr>
          <w:lang w:eastAsia="en-AU" w:bidi="ar-SA"/>
        </w:rPr>
      </w:pPr>
      <w:r w:rsidRPr="00135214">
        <w:rPr>
          <w:lang w:eastAsia="en-AU" w:bidi="ar-SA"/>
        </w:rPr>
        <w:t>A literature search identified only one toxicity study conducted with PFHxS that was considered useful for regulatory purposes. The study evaluated reproductive and developmental toxicity in rats.</w:t>
      </w:r>
    </w:p>
    <w:p w14:paraId="763F8656" w14:textId="77777777" w:rsidR="00135214" w:rsidRPr="00135214" w:rsidRDefault="00135214" w:rsidP="00A111E9">
      <w:pPr>
        <w:rPr>
          <w:lang w:eastAsia="en-AU" w:bidi="ar-SA"/>
        </w:rPr>
      </w:pPr>
    </w:p>
    <w:p w14:paraId="7E118082" w14:textId="0EEBBBEE" w:rsidR="00135214" w:rsidRPr="00135214" w:rsidRDefault="00135214" w:rsidP="00A111E9">
      <w:pPr>
        <w:rPr>
          <w:b/>
          <w:lang w:eastAsia="en-AU" w:bidi="ar-SA"/>
        </w:rPr>
      </w:pPr>
      <w:r w:rsidRPr="00135214">
        <w:rPr>
          <w:b/>
          <w:lang w:eastAsia="en-AU" w:bidi="ar-SA"/>
        </w:rPr>
        <w:t xml:space="preserve">Butenhoff </w:t>
      </w:r>
      <w:r w:rsidR="00180A32" w:rsidRPr="00180A32">
        <w:rPr>
          <w:b/>
          <w:i/>
          <w:lang w:eastAsia="en-AU" w:bidi="ar-SA"/>
        </w:rPr>
        <w:t xml:space="preserve">et al. </w:t>
      </w:r>
      <w:r w:rsidR="00CC50B8">
        <w:rPr>
          <w:b/>
          <w:lang w:eastAsia="en-AU" w:bidi="ar-SA"/>
        </w:rPr>
        <w:t xml:space="preserve"> </w:t>
      </w:r>
      <w:r w:rsidRPr="00135214">
        <w:rPr>
          <w:b/>
          <w:lang w:eastAsia="en-AU" w:bidi="ar-SA"/>
        </w:rPr>
        <w:t>2009, Evaluation of potential reproductive and development toxicity of potassium perfluorohexanesulfonate in Sprague Dawley rats</w:t>
      </w:r>
    </w:p>
    <w:p w14:paraId="007BF165" w14:textId="77777777" w:rsidR="00135214" w:rsidRPr="00135214" w:rsidRDefault="00135214" w:rsidP="00A111E9">
      <w:pPr>
        <w:rPr>
          <w:b/>
          <w:lang w:eastAsia="en-AU" w:bidi="ar-SA"/>
        </w:rPr>
      </w:pPr>
    </w:p>
    <w:p w14:paraId="2DE84E0A" w14:textId="03A2079F" w:rsidR="00135214" w:rsidRPr="00135214" w:rsidRDefault="00135214" w:rsidP="00A111E9">
      <w:r w:rsidRPr="00135214">
        <w:rPr>
          <w:lang w:eastAsia="en-AU" w:bidi="ar-SA"/>
        </w:rPr>
        <w:lastRenderedPageBreak/>
        <w:t>In a modified OECD 422 guideline-based design, male and female rats (15/sex/group) were administered</w:t>
      </w:r>
      <w:r w:rsidRPr="00135214">
        <w:t xml:space="preserve"> </w:t>
      </w:r>
      <w:r w:rsidRPr="00135214">
        <w:rPr>
          <w:lang w:eastAsia="en-AU" w:bidi="ar-SA"/>
        </w:rPr>
        <w:t>PFHxS (K(+)) at doses of 0 (control), 0.3, 1, 3, and 10 mg/kg bw/day by oral gavage. All animals were dosed for 14 days prior to co</w:t>
      </w:r>
      <w:r w:rsidR="00032CF6">
        <w:rPr>
          <w:lang w:eastAsia="en-AU" w:bidi="ar-SA"/>
        </w:rPr>
        <w:t>habitation</w:t>
      </w:r>
      <w:r w:rsidRPr="00135214">
        <w:rPr>
          <w:lang w:eastAsia="en-AU" w:bidi="ar-SA"/>
        </w:rPr>
        <w:t>, during co</w:t>
      </w:r>
      <w:r w:rsidR="00032CF6">
        <w:rPr>
          <w:lang w:eastAsia="en-AU" w:bidi="ar-SA"/>
        </w:rPr>
        <w:t>habitation</w:t>
      </w:r>
      <w:r w:rsidRPr="00135214">
        <w:rPr>
          <w:lang w:eastAsia="en-AU" w:bidi="ar-SA"/>
        </w:rPr>
        <w:t xml:space="preserve"> and until the day before sacrifice. The treatment period for males was a minimum of 42 days. </w:t>
      </w:r>
      <w:r w:rsidR="00F379EB">
        <w:rPr>
          <w:lang w:eastAsia="en-AU" w:bidi="ar-SA"/>
        </w:rPr>
        <w:t>Females that</w:t>
      </w:r>
      <w:r w:rsidRPr="00135214">
        <w:rPr>
          <w:lang w:eastAsia="en-AU" w:bidi="ar-SA"/>
        </w:rPr>
        <w:t xml:space="preserve"> littered were terminated on </w:t>
      </w:r>
      <w:r w:rsidR="00185513">
        <w:rPr>
          <w:lang w:eastAsia="en-AU" w:bidi="ar-SA"/>
        </w:rPr>
        <w:t>d</w:t>
      </w:r>
      <w:r w:rsidRPr="00135214">
        <w:rPr>
          <w:lang w:eastAsia="en-AU" w:bidi="ar-SA"/>
        </w:rPr>
        <w:t xml:space="preserve">ay 21 of lactation (approximately 62 days of treatment), while non littering females (2 animals from groups receiving 1.0 or 3.0 mg/kg/day) were killed on presumed </w:t>
      </w:r>
      <w:r w:rsidR="00185513">
        <w:rPr>
          <w:lang w:eastAsia="en-AU" w:bidi="ar-SA"/>
        </w:rPr>
        <w:t>d</w:t>
      </w:r>
      <w:r w:rsidRPr="00135214">
        <w:rPr>
          <w:lang w:eastAsia="en-AU" w:bidi="ar-SA"/>
        </w:rPr>
        <w:t>ay 25 of gestation (approximately 40 days of treatment).</w:t>
      </w:r>
    </w:p>
    <w:p w14:paraId="44069EC4" w14:textId="77777777" w:rsidR="00135214" w:rsidRPr="00135214" w:rsidRDefault="00135214" w:rsidP="00A111E9"/>
    <w:p w14:paraId="4D058EF8" w14:textId="3A20E864" w:rsidR="00135214" w:rsidRPr="00135214" w:rsidRDefault="00135214" w:rsidP="00A111E9">
      <w:pPr>
        <w:rPr>
          <w:lang w:eastAsia="en-AU" w:bidi="ar-SA"/>
        </w:rPr>
      </w:pPr>
      <w:r w:rsidRPr="00135214">
        <w:rPr>
          <w:lang w:eastAsia="en-AU" w:bidi="ar-SA"/>
        </w:rPr>
        <w:t>The following parameters were assessed in both F0 and F1</w:t>
      </w:r>
      <w:r w:rsidR="004A4554">
        <w:rPr>
          <w:lang w:eastAsia="en-AU" w:bidi="ar-SA"/>
        </w:rPr>
        <w:t xml:space="preserve"> animals</w:t>
      </w:r>
      <w:r w:rsidRPr="00135214">
        <w:rPr>
          <w:lang w:eastAsia="en-AU" w:bidi="ar-SA"/>
        </w:rPr>
        <w:t xml:space="preserve"> unless noted otherwise: survival; reproductive success (F0 only); </w:t>
      </w:r>
      <w:r w:rsidR="00F379EB">
        <w:rPr>
          <w:lang w:eastAsia="en-AU" w:bidi="ar-SA"/>
        </w:rPr>
        <w:t xml:space="preserve">clinical signs; </w:t>
      </w:r>
      <w:r w:rsidR="00E83E80">
        <w:rPr>
          <w:lang w:eastAsia="en-AU" w:bidi="ar-SA"/>
        </w:rPr>
        <w:t>body weight</w:t>
      </w:r>
      <w:r w:rsidR="00F379EB">
        <w:rPr>
          <w:lang w:eastAsia="en-AU" w:bidi="ar-SA"/>
        </w:rPr>
        <w:t xml:space="preserve"> gain;</w:t>
      </w:r>
      <w:r w:rsidR="00E72B58">
        <w:rPr>
          <w:lang w:eastAsia="en-AU" w:bidi="ar-SA"/>
        </w:rPr>
        <w:t xml:space="preserve"> food consumption (F0 only);</w:t>
      </w:r>
      <w:r w:rsidRPr="00135214">
        <w:rPr>
          <w:lang w:eastAsia="en-AU" w:bidi="ar-SA"/>
        </w:rPr>
        <w:t xml:space="preserve"> o</w:t>
      </w:r>
      <w:r w:rsidR="00E72B58">
        <w:rPr>
          <w:lang w:eastAsia="en-AU" w:bidi="ar-SA"/>
        </w:rPr>
        <w:t>estrus cycling (female F0 only);</w:t>
      </w:r>
      <w:r w:rsidRPr="00135214">
        <w:rPr>
          <w:lang w:eastAsia="en-AU" w:bidi="ar-SA"/>
        </w:rPr>
        <w:t xml:space="preserve"> neu</w:t>
      </w:r>
      <w:r w:rsidR="00E72B58">
        <w:rPr>
          <w:lang w:eastAsia="en-AU" w:bidi="ar-SA"/>
        </w:rPr>
        <w:t>robehavioural effects (F0 only);</w:t>
      </w:r>
      <w:r w:rsidRPr="00135214">
        <w:rPr>
          <w:lang w:eastAsia="en-AU" w:bidi="ar-SA"/>
        </w:rPr>
        <w:t xml:space="preserve"> haematology a</w:t>
      </w:r>
      <w:r w:rsidR="00E72B58">
        <w:rPr>
          <w:lang w:eastAsia="en-AU" w:bidi="ar-SA"/>
        </w:rPr>
        <w:t>nd clinical chemistry (F0 only);</w:t>
      </w:r>
      <w:r w:rsidRPr="00135214">
        <w:rPr>
          <w:lang w:eastAsia="en-AU" w:bidi="ar-SA"/>
        </w:rPr>
        <w:t xml:space="preserve"> gross and microscopic examination of selected organs; and sperm quality and quantity (male F0 only). Blood samples were taken on </w:t>
      </w:r>
      <w:r w:rsidR="00185513">
        <w:rPr>
          <w:lang w:eastAsia="en-AU" w:bidi="ar-SA"/>
        </w:rPr>
        <w:t>d</w:t>
      </w:r>
      <w:r w:rsidRPr="00135214">
        <w:rPr>
          <w:lang w:eastAsia="en-AU" w:bidi="ar-SA"/>
        </w:rPr>
        <w:t xml:space="preserve">ay 14, </w:t>
      </w:r>
      <w:r w:rsidR="00185513">
        <w:rPr>
          <w:lang w:eastAsia="en-AU" w:bidi="ar-SA"/>
        </w:rPr>
        <w:t>d</w:t>
      </w:r>
      <w:r w:rsidRPr="00135214">
        <w:rPr>
          <w:lang w:eastAsia="en-AU" w:bidi="ar-SA"/>
        </w:rPr>
        <w:t>ay 42 and GD</w:t>
      </w:r>
      <w:r w:rsidR="004A4554">
        <w:rPr>
          <w:lang w:eastAsia="en-AU" w:bidi="ar-SA"/>
        </w:rPr>
        <w:t xml:space="preserve"> </w:t>
      </w:r>
      <w:r w:rsidRPr="00135214">
        <w:rPr>
          <w:lang w:eastAsia="en-AU" w:bidi="ar-SA"/>
        </w:rPr>
        <w:t>21. On GD</w:t>
      </w:r>
      <w:r w:rsidR="004A4554">
        <w:rPr>
          <w:lang w:eastAsia="en-AU" w:bidi="ar-SA"/>
        </w:rPr>
        <w:t xml:space="preserve"> </w:t>
      </w:r>
      <w:r w:rsidRPr="00135214">
        <w:rPr>
          <w:lang w:eastAsia="en-AU" w:bidi="ar-SA"/>
        </w:rPr>
        <w:t>21, fetal blood and liver samples (pooled for each litter), were taken. At termination on PND 22 blood and liver samples were taken from 5 pups/sex/litter/treatment groups for analysis of PFHxS. Serum samples were pooled for each litter.</w:t>
      </w:r>
    </w:p>
    <w:p w14:paraId="694AA672" w14:textId="77777777" w:rsidR="00135214" w:rsidRPr="00135214" w:rsidRDefault="00135214" w:rsidP="00A111E9">
      <w:pPr>
        <w:rPr>
          <w:lang w:eastAsia="en-AU" w:bidi="ar-SA"/>
        </w:rPr>
      </w:pPr>
    </w:p>
    <w:p w14:paraId="67AA4721" w14:textId="7C3F9333" w:rsidR="00135214" w:rsidRPr="00135214" w:rsidRDefault="00135214" w:rsidP="00A111E9">
      <w:pPr>
        <w:rPr>
          <w:lang w:eastAsia="en-AU" w:bidi="ar-SA"/>
        </w:rPr>
      </w:pPr>
      <w:r w:rsidRPr="00135214">
        <w:rPr>
          <w:lang w:eastAsia="en-AU" w:bidi="ar-SA"/>
        </w:rPr>
        <w:t xml:space="preserve">No deaths or treatment-related clinical signs occurred in F0 animals. Body weight gain was statistically significantly lower in males at 10 mg/kg bw/day compared with controls </w:t>
      </w:r>
      <w:r w:rsidR="000B64F9" w:rsidRPr="006C5EAA">
        <w:rPr>
          <w:lang w:eastAsia="en-AU"/>
        </w:rPr>
        <w:t xml:space="preserve">(Table </w:t>
      </w:r>
      <w:r w:rsidR="00A319B5">
        <w:rPr>
          <w:lang w:eastAsia="en-AU" w:bidi="ar-SA"/>
        </w:rPr>
        <w:t>33</w:t>
      </w:r>
      <w:r w:rsidRPr="00135214">
        <w:rPr>
          <w:lang w:eastAsia="en-AU" w:bidi="ar-SA"/>
        </w:rPr>
        <w:t>). No treatment-related differences in body weight or body weight gain were observed in F0 females during the cohabitation and gestation phases of the study. Significantly lower mean body weights were observed in females administered 0.3, 3 and 10 mg/kg bw/day compared with controls on PND 8, but this finding was not seen at the 1.0 mg/kg bw/day level at this time</w:t>
      </w:r>
      <w:r w:rsidR="00032CF6">
        <w:rPr>
          <w:lang w:eastAsia="en-AU" w:bidi="ar-SA"/>
        </w:rPr>
        <w:t>point</w:t>
      </w:r>
      <w:r w:rsidRPr="00135214">
        <w:rPr>
          <w:lang w:eastAsia="en-AU" w:bidi="ar-SA"/>
        </w:rPr>
        <w:t xml:space="preserve"> or other time points. No effects on feed consumption were observed.</w:t>
      </w:r>
    </w:p>
    <w:p w14:paraId="0A77A272" w14:textId="77777777" w:rsidR="00135214" w:rsidRPr="00135214" w:rsidRDefault="00135214" w:rsidP="00A111E9">
      <w:pPr>
        <w:rPr>
          <w:lang w:eastAsia="en-AU" w:bidi="ar-SA"/>
        </w:rPr>
      </w:pPr>
    </w:p>
    <w:p w14:paraId="2A9FA0A5" w14:textId="46744550" w:rsidR="00135214" w:rsidRPr="00135214" w:rsidRDefault="00135214" w:rsidP="00A111E9">
      <w:pPr>
        <w:rPr>
          <w:lang w:eastAsia="en-AU" w:bidi="ar-SA"/>
        </w:rPr>
      </w:pPr>
      <w:r w:rsidRPr="00135214">
        <w:rPr>
          <w:lang w:eastAsia="en-AU" w:bidi="ar-SA"/>
        </w:rPr>
        <w:t xml:space="preserve">A significant increase in absolute and relative liver weights was observed in males administered PFHxS at 3 and 10 mg/kg bw/day, but not in females. No absolute liver weight group numerical data were presented in the report, and liver weights relative to </w:t>
      </w:r>
      <w:r w:rsidR="00E83E80">
        <w:rPr>
          <w:lang w:eastAsia="en-AU" w:bidi="ar-SA"/>
        </w:rPr>
        <w:t>body weight</w:t>
      </w:r>
      <w:r w:rsidRPr="00135214">
        <w:rPr>
          <w:lang w:eastAsia="en-AU" w:bidi="ar-SA"/>
        </w:rPr>
        <w:t xml:space="preserve"> were only presented in graphical form. </w:t>
      </w:r>
    </w:p>
    <w:p w14:paraId="48E29A61" w14:textId="77777777" w:rsidR="00135214" w:rsidRPr="00135214" w:rsidRDefault="00135214" w:rsidP="00A111E9">
      <w:pPr>
        <w:rPr>
          <w:lang w:eastAsia="en-AU" w:bidi="ar-SA"/>
        </w:rPr>
      </w:pPr>
    </w:p>
    <w:p w14:paraId="38495D2C" w14:textId="22D260E5" w:rsidR="00135214" w:rsidRPr="00135214" w:rsidRDefault="00135214" w:rsidP="00A111E9">
      <w:pPr>
        <w:rPr>
          <w:lang w:eastAsia="en-AU" w:bidi="ar-SA"/>
        </w:rPr>
      </w:pPr>
      <w:r w:rsidRPr="00135214">
        <w:rPr>
          <w:lang w:eastAsia="en-AU" w:bidi="ar-SA"/>
        </w:rPr>
        <w:t xml:space="preserve">No treatment-related macroscopic changes were observed at necropsy at any dose level. Treatment-related histopathological changes were restricted to findings in the liver and thyroid gland of males at 3 and 10 mg/kg bw/day. </w:t>
      </w:r>
      <w:r w:rsidRPr="00135214">
        <w:rPr>
          <w:rFonts w:eastAsiaTheme="minorHAnsi" w:cstheme="minorBidi"/>
          <w:szCs w:val="22"/>
          <w:lang w:val="en-NZ" w:bidi="ar-SA"/>
        </w:rPr>
        <w:t>In the liver centrilobular hypertrophy was seen with accompanying increased amounts of dense eo</w:t>
      </w:r>
      <w:r w:rsidR="00FD1FAB">
        <w:rPr>
          <w:rFonts w:eastAsiaTheme="minorHAnsi" w:cstheme="minorBidi"/>
          <w:szCs w:val="22"/>
          <w:lang w:val="en-NZ" w:bidi="ar-SA"/>
        </w:rPr>
        <w:t xml:space="preserve">sinophilic granular cytoplasm. </w:t>
      </w:r>
      <w:r w:rsidRPr="00135214">
        <w:rPr>
          <w:rFonts w:eastAsiaTheme="minorHAnsi" w:cstheme="minorBidi"/>
          <w:szCs w:val="22"/>
          <w:lang w:val="en-NZ" w:bidi="ar-SA"/>
        </w:rPr>
        <w:t>The thyroid findings were confined to hypertrophy and hyperplasia of the follicular cells.</w:t>
      </w:r>
    </w:p>
    <w:p w14:paraId="718823F8" w14:textId="77777777" w:rsidR="00135214" w:rsidRPr="00135214" w:rsidRDefault="00135214" w:rsidP="00A111E9">
      <w:pPr>
        <w:rPr>
          <w:lang w:eastAsia="en-AU" w:bidi="ar-SA"/>
        </w:rPr>
      </w:pPr>
    </w:p>
    <w:p w14:paraId="0ED8C9C6" w14:textId="7593DEC2" w:rsidR="00135214" w:rsidRPr="00135214" w:rsidRDefault="00135214" w:rsidP="00A111E9">
      <w:pPr>
        <w:widowControl/>
        <w:rPr>
          <w:rFonts w:eastAsiaTheme="minorHAnsi" w:cstheme="minorBidi"/>
          <w:szCs w:val="22"/>
          <w:lang w:val="en-NZ" w:bidi="ar-SA"/>
        </w:rPr>
      </w:pPr>
      <w:r w:rsidRPr="00135214">
        <w:rPr>
          <w:lang w:eastAsia="en-AU" w:bidi="ar-SA"/>
        </w:rPr>
        <w:t>Significant differences from controls were seen in some haematological and clinical chemistry parameters in male rats (</w:t>
      </w:r>
      <w:r w:rsidR="000B64F9" w:rsidRPr="006C5EAA">
        <w:rPr>
          <w:lang w:eastAsia="en-AU"/>
        </w:rPr>
        <w:t xml:space="preserve">Table </w:t>
      </w:r>
      <w:r w:rsidR="00A319B5">
        <w:rPr>
          <w:lang w:eastAsia="en-AU" w:bidi="ar-SA"/>
        </w:rPr>
        <w:t>33</w:t>
      </w:r>
      <w:r w:rsidRPr="00135214">
        <w:rPr>
          <w:lang w:eastAsia="en-AU" w:bidi="ar-SA"/>
        </w:rPr>
        <w:t xml:space="preserve">). </w:t>
      </w:r>
      <w:r w:rsidRPr="00135214">
        <w:rPr>
          <w:rFonts w:eastAsiaTheme="minorHAnsi" w:cstheme="minorBidi"/>
          <w:szCs w:val="22"/>
          <w:lang w:val="en-NZ" w:bidi="ar-SA"/>
        </w:rPr>
        <w:t xml:space="preserve">Lower haematocrit and red blood cell counts were reported at 3 or 10 mg/kg bw/day and lower haemoglobin levels at 1, 3 or 10 mg/kg bw/day. These differences were slight and not considered to be of toxicological significance. Higher prothrombin time was found at 0.3, 3 or 10 mg/kg bw/day (but not at 1 mg/kg bw/day) but the differences were slight and did not show a dose-response trend. </w:t>
      </w:r>
      <w:r w:rsidR="00E72B58">
        <w:rPr>
          <w:rFonts w:eastAsiaTheme="minorHAnsi" w:cstheme="minorBidi"/>
          <w:szCs w:val="22"/>
          <w:lang w:val="en-NZ" w:bidi="ar-SA"/>
        </w:rPr>
        <w:t>S</w:t>
      </w:r>
      <w:r w:rsidRPr="00135214">
        <w:rPr>
          <w:rFonts w:eastAsiaTheme="minorHAnsi" w:cstheme="minorBidi"/>
          <w:szCs w:val="22"/>
          <w:lang w:val="en-NZ" w:bidi="ar-SA"/>
        </w:rPr>
        <w:t xml:space="preserve">ignificantly increased albumin, albumin/globulin ratios, </w:t>
      </w:r>
      <w:r w:rsidR="00283936">
        <w:rPr>
          <w:rFonts w:eastAsiaTheme="minorHAnsi" w:cstheme="minorBidi"/>
          <w:szCs w:val="22"/>
          <w:lang w:val="en-NZ" w:bidi="ar-SA"/>
        </w:rPr>
        <w:t>BUN</w:t>
      </w:r>
      <w:r w:rsidRPr="00135214">
        <w:rPr>
          <w:rFonts w:eastAsiaTheme="minorHAnsi" w:cstheme="minorBidi"/>
          <w:szCs w:val="22"/>
          <w:lang w:val="en-NZ" w:bidi="ar-SA"/>
        </w:rPr>
        <w:t xml:space="preserve">, alkaline phosphatase and calcium mean values </w:t>
      </w:r>
      <w:r w:rsidR="00E72B58">
        <w:rPr>
          <w:rFonts w:eastAsiaTheme="minorHAnsi" w:cstheme="minorBidi"/>
          <w:szCs w:val="22"/>
          <w:lang w:val="en-NZ" w:bidi="ar-SA"/>
        </w:rPr>
        <w:t xml:space="preserve">were observed </w:t>
      </w:r>
      <w:r w:rsidRPr="00135214">
        <w:rPr>
          <w:rFonts w:eastAsiaTheme="minorHAnsi" w:cstheme="minorBidi"/>
          <w:szCs w:val="22"/>
          <w:lang w:val="en-NZ" w:bidi="ar-SA"/>
        </w:rPr>
        <w:t>at 10 mg/kg bw/day, with lower cholesterol in all treated male groups and lower mean triglycerides at 10 mg/kg bw/day only.</w:t>
      </w:r>
    </w:p>
    <w:p w14:paraId="2DC15AF7" w14:textId="77777777" w:rsidR="00135214" w:rsidRPr="00135214" w:rsidRDefault="00135214" w:rsidP="00A111E9">
      <w:pPr>
        <w:rPr>
          <w:highlight w:val="yellow"/>
          <w:lang w:eastAsia="en-AU" w:bidi="ar-SA"/>
        </w:rPr>
      </w:pPr>
    </w:p>
    <w:p w14:paraId="44F2ED66" w14:textId="77777777" w:rsidR="00EC2F64" w:rsidRDefault="00EC2F64" w:rsidP="00A111E9">
      <w:pPr>
        <w:widowControl/>
        <w:rPr>
          <w:rFonts w:cs="Arial"/>
          <w:b/>
          <w:lang w:eastAsia="en-AU" w:bidi="ar-SA"/>
        </w:rPr>
      </w:pPr>
      <w:r>
        <w:rPr>
          <w:rFonts w:cs="Arial"/>
          <w:b/>
          <w:lang w:eastAsia="en-AU" w:bidi="ar-SA"/>
        </w:rPr>
        <w:br w:type="page"/>
      </w:r>
    </w:p>
    <w:p w14:paraId="34BD0C4F" w14:textId="77D0825D" w:rsidR="00135214" w:rsidRPr="00135214" w:rsidRDefault="00135214" w:rsidP="00A111E9">
      <w:pPr>
        <w:pStyle w:val="FSTableTitle"/>
        <w:rPr>
          <w:lang w:eastAsia="en-AU" w:bidi="ar-SA"/>
        </w:rPr>
      </w:pPr>
      <w:r w:rsidRPr="00135214">
        <w:rPr>
          <w:lang w:eastAsia="en-AU"/>
        </w:rPr>
        <w:lastRenderedPageBreak/>
        <w:t xml:space="preserve">Table </w:t>
      </w:r>
      <w:r w:rsidR="00A319B5">
        <w:t>33</w:t>
      </w:r>
      <w:r w:rsidR="00E72B58">
        <w:t xml:space="preserve">: Mean </w:t>
      </w:r>
      <w:r w:rsidR="00E83E80">
        <w:t>body weight</w:t>
      </w:r>
      <w:r w:rsidR="00E72B58">
        <w:t>, blood chemistry and h</w:t>
      </w:r>
      <w:r w:rsidRPr="00D10449">
        <w:t>aematology values for males treated for at least 42 Days</w:t>
      </w:r>
    </w:p>
    <w:tbl>
      <w:tblPr>
        <w:tblStyle w:val="TableGrid"/>
        <w:tblW w:w="0" w:type="auto"/>
        <w:tblLook w:val="04A0" w:firstRow="1" w:lastRow="0" w:firstColumn="1" w:lastColumn="0" w:noHBand="0" w:noVBand="1"/>
        <w:tblCaption w:val="Table 33: mean body weight, blood chemistry and haematology values for males treated for at least 42 Days."/>
        <w:tblDescription w:val="This table contains data relating to the mean body weight, blood chemistry and haematology values for males treated for at least 42 Days."/>
      </w:tblPr>
      <w:tblGrid>
        <w:gridCol w:w="2518"/>
        <w:gridCol w:w="1134"/>
        <w:gridCol w:w="1418"/>
        <w:gridCol w:w="1417"/>
        <w:gridCol w:w="1418"/>
        <w:gridCol w:w="1381"/>
      </w:tblGrid>
      <w:tr w:rsidR="00CA2815" w14:paraId="4B46E737" w14:textId="77777777" w:rsidTr="0028673F">
        <w:trPr>
          <w:tblHeader/>
        </w:trPr>
        <w:tc>
          <w:tcPr>
            <w:tcW w:w="9286" w:type="dxa"/>
            <w:gridSpan w:val="6"/>
            <w:shd w:val="clear" w:color="auto" w:fill="F2F2F2" w:themeFill="background1" w:themeFillShade="F2"/>
          </w:tcPr>
          <w:p w14:paraId="0FE124A1" w14:textId="1E010FBF" w:rsidR="00CA2815" w:rsidRPr="0028673F" w:rsidRDefault="00CA2815" w:rsidP="00CA2815">
            <w:pPr>
              <w:spacing w:before="20" w:after="20"/>
              <w:rPr>
                <w:rFonts w:ascii="Arial" w:hAnsi="Arial" w:cs="Arial"/>
                <w:sz w:val="16"/>
                <w:lang w:eastAsia="en-AU"/>
              </w:rPr>
            </w:pPr>
            <w:r w:rsidRPr="0028673F">
              <w:rPr>
                <w:rFonts w:ascii="Arial" w:eastAsiaTheme="minorHAnsi" w:hAnsi="Arial" w:cs="Arial"/>
                <w:b/>
                <w:lang w:val="en-NZ"/>
              </w:rPr>
              <w:t>Dosage (mg/kg bw/day)</w:t>
            </w:r>
          </w:p>
        </w:tc>
      </w:tr>
      <w:tr w:rsidR="00CA2815" w14:paraId="0ADD63AE" w14:textId="77777777" w:rsidTr="0028673F">
        <w:tc>
          <w:tcPr>
            <w:tcW w:w="2518" w:type="dxa"/>
            <w:shd w:val="clear" w:color="auto" w:fill="F2F2F2" w:themeFill="background1" w:themeFillShade="F2"/>
          </w:tcPr>
          <w:p w14:paraId="7A2101B1" w14:textId="5C032255" w:rsidR="00CA2815" w:rsidRPr="0028673F" w:rsidRDefault="00CA2815" w:rsidP="00A111E9">
            <w:pPr>
              <w:spacing w:before="120"/>
              <w:rPr>
                <w:rFonts w:ascii="Arial" w:hAnsi="Arial" w:cs="Arial"/>
                <w:sz w:val="16"/>
                <w:lang w:eastAsia="en-AU"/>
              </w:rPr>
            </w:pPr>
            <w:r w:rsidRPr="0028673F">
              <w:rPr>
                <w:rFonts w:ascii="Arial" w:eastAsiaTheme="minorHAnsi" w:hAnsi="Arial" w:cs="Arial"/>
                <w:b/>
                <w:sz w:val="18"/>
                <w:lang w:val="en-NZ"/>
              </w:rPr>
              <w:t>Parameter</w:t>
            </w:r>
          </w:p>
        </w:tc>
        <w:tc>
          <w:tcPr>
            <w:tcW w:w="1134" w:type="dxa"/>
            <w:shd w:val="clear" w:color="auto" w:fill="F2F2F2" w:themeFill="background1" w:themeFillShade="F2"/>
            <w:vAlign w:val="center"/>
          </w:tcPr>
          <w:p w14:paraId="5F4AE5E6" w14:textId="7F49058C" w:rsidR="00CA2815" w:rsidRPr="0028673F" w:rsidRDefault="00CA2815" w:rsidP="00A111E9">
            <w:pPr>
              <w:spacing w:before="120"/>
              <w:rPr>
                <w:rFonts w:ascii="Arial" w:hAnsi="Arial" w:cs="Arial"/>
                <w:sz w:val="16"/>
                <w:lang w:eastAsia="en-AU"/>
              </w:rPr>
            </w:pPr>
            <w:r w:rsidRPr="0028673F">
              <w:rPr>
                <w:rFonts w:ascii="Arial" w:eastAsiaTheme="minorHAnsi" w:hAnsi="Arial" w:cs="Arial"/>
                <w:b/>
                <w:sz w:val="18"/>
                <w:lang w:val="en-NZ"/>
              </w:rPr>
              <w:t>Control</w:t>
            </w:r>
          </w:p>
        </w:tc>
        <w:tc>
          <w:tcPr>
            <w:tcW w:w="1418" w:type="dxa"/>
            <w:shd w:val="clear" w:color="auto" w:fill="F2F2F2" w:themeFill="background1" w:themeFillShade="F2"/>
            <w:vAlign w:val="center"/>
          </w:tcPr>
          <w:p w14:paraId="57629978" w14:textId="2F66BC07" w:rsidR="00CA2815" w:rsidRPr="0028673F" w:rsidRDefault="00CA2815" w:rsidP="00A111E9">
            <w:pPr>
              <w:spacing w:before="120"/>
              <w:rPr>
                <w:rFonts w:ascii="Arial" w:hAnsi="Arial" w:cs="Arial"/>
                <w:sz w:val="16"/>
                <w:lang w:eastAsia="en-AU"/>
              </w:rPr>
            </w:pPr>
            <w:r w:rsidRPr="0028673F">
              <w:rPr>
                <w:rFonts w:ascii="Arial" w:eastAsiaTheme="minorHAnsi" w:hAnsi="Arial" w:cs="Arial"/>
                <w:b/>
                <w:sz w:val="18"/>
                <w:lang w:val="en-NZ"/>
              </w:rPr>
              <w:t>0.3</w:t>
            </w:r>
          </w:p>
        </w:tc>
        <w:tc>
          <w:tcPr>
            <w:tcW w:w="1417" w:type="dxa"/>
            <w:shd w:val="clear" w:color="auto" w:fill="F2F2F2" w:themeFill="background1" w:themeFillShade="F2"/>
            <w:vAlign w:val="center"/>
          </w:tcPr>
          <w:p w14:paraId="7CA68687" w14:textId="13482F3D" w:rsidR="00CA2815" w:rsidRPr="0028673F" w:rsidRDefault="00CA2815" w:rsidP="00A111E9">
            <w:pPr>
              <w:spacing w:before="120"/>
              <w:rPr>
                <w:rFonts w:ascii="Arial" w:hAnsi="Arial" w:cs="Arial"/>
                <w:sz w:val="16"/>
                <w:lang w:eastAsia="en-AU"/>
              </w:rPr>
            </w:pPr>
            <w:r w:rsidRPr="0028673F">
              <w:rPr>
                <w:rFonts w:ascii="Arial" w:eastAsiaTheme="minorHAnsi" w:hAnsi="Arial" w:cs="Arial"/>
                <w:b/>
                <w:sz w:val="18"/>
                <w:lang w:val="en-NZ"/>
              </w:rPr>
              <w:t>1</w:t>
            </w:r>
          </w:p>
        </w:tc>
        <w:tc>
          <w:tcPr>
            <w:tcW w:w="1418" w:type="dxa"/>
            <w:shd w:val="clear" w:color="auto" w:fill="F2F2F2" w:themeFill="background1" w:themeFillShade="F2"/>
            <w:vAlign w:val="center"/>
          </w:tcPr>
          <w:p w14:paraId="1B83E580" w14:textId="5348F0B4" w:rsidR="00CA2815" w:rsidRPr="0028673F" w:rsidRDefault="00CA2815" w:rsidP="00A111E9">
            <w:pPr>
              <w:spacing w:before="120"/>
              <w:rPr>
                <w:rFonts w:ascii="Arial" w:hAnsi="Arial" w:cs="Arial"/>
                <w:sz w:val="16"/>
                <w:lang w:eastAsia="en-AU"/>
              </w:rPr>
            </w:pPr>
            <w:r w:rsidRPr="0028673F">
              <w:rPr>
                <w:rFonts w:ascii="Arial" w:eastAsiaTheme="minorHAnsi" w:hAnsi="Arial" w:cs="Arial"/>
                <w:b/>
                <w:sz w:val="18"/>
                <w:lang w:val="en-NZ"/>
              </w:rPr>
              <w:t>3</w:t>
            </w:r>
          </w:p>
        </w:tc>
        <w:tc>
          <w:tcPr>
            <w:tcW w:w="1381" w:type="dxa"/>
            <w:shd w:val="clear" w:color="auto" w:fill="F2F2F2" w:themeFill="background1" w:themeFillShade="F2"/>
            <w:vAlign w:val="center"/>
          </w:tcPr>
          <w:p w14:paraId="2E082E1A" w14:textId="3047166A" w:rsidR="00CA2815" w:rsidRPr="0028673F" w:rsidRDefault="00CA2815" w:rsidP="00A111E9">
            <w:pPr>
              <w:spacing w:before="120"/>
              <w:rPr>
                <w:rFonts w:ascii="Arial" w:hAnsi="Arial" w:cs="Arial"/>
                <w:sz w:val="16"/>
                <w:lang w:eastAsia="en-AU"/>
              </w:rPr>
            </w:pPr>
            <w:r w:rsidRPr="0028673F">
              <w:rPr>
                <w:rFonts w:ascii="Arial" w:eastAsiaTheme="minorHAnsi" w:hAnsi="Arial" w:cs="Arial"/>
                <w:b/>
                <w:sz w:val="18"/>
                <w:lang w:val="en-NZ"/>
              </w:rPr>
              <w:t>10</w:t>
            </w:r>
          </w:p>
        </w:tc>
      </w:tr>
      <w:tr w:rsidR="00CA2815" w14:paraId="03689678" w14:textId="77777777" w:rsidTr="00863A5A">
        <w:tc>
          <w:tcPr>
            <w:tcW w:w="2518" w:type="dxa"/>
            <w:vAlign w:val="center"/>
          </w:tcPr>
          <w:p w14:paraId="6A45C195" w14:textId="35B95224" w:rsidR="00CA2815" w:rsidRPr="0028673F" w:rsidRDefault="00CA2815" w:rsidP="00A111E9">
            <w:pPr>
              <w:spacing w:before="120"/>
              <w:rPr>
                <w:rFonts w:ascii="Arial" w:hAnsi="Arial" w:cs="Arial"/>
                <w:sz w:val="16"/>
                <w:lang w:eastAsia="en-AU"/>
              </w:rPr>
            </w:pPr>
            <w:r w:rsidRPr="0028673F">
              <w:rPr>
                <w:rFonts w:ascii="Arial" w:eastAsiaTheme="minorHAnsi" w:hAnsi="Arial" w:cs="Arial"/>
                <w:sz w:val="18"/>
                <w:lang w:val="en-NZ"/>
              </w:rPr>
              <w:t>Mean Body weight gain (g) Day 1-44</w:t>
            </w:r>
          </w:p>
        </w:tc>
        <w:tc>
          <w:tcPr>
            <w:tcW w:w="1134" w:type="dxa"/>
            <w:vAlign w:val="center"/>
          </w:tcPr>
          <w:p w14:paraId="112053E3" w14:textId="2191083F" w:rsidR="00CA2815" w:rsidRPr="0028673F" w:rsidRDefault="00CA2815" w:rsidP="00A111E9">
            <w:pPr>
              <w:spacing w:before="120"/>
              <w:rPr>
                <w:rFonts w:ascii="Arial" w:hAnsi="Arial" w:cs="Arial"/>
                <w:sz w:val="16"/>
                <w:lang w:eastAsia="en-AU"/>
              </w:rPr>
            </w:pPr>
            <w:r w:rsidRPr="0028673F">
              <w:rPr>
                <w:rFonts w:ascii="Arial" w:eastAsiaTheme="minorHAnsi" w:hAnsi="Arial" w:cs="Arial"/>
                <w:sz w:val="18"/>
                <w:lang w:val="en-NZ"/>
              </w:rPr>
              <w:t xml:space="preserve">129.8±25.5 </w:t>
            </w:r>
          </w:p>
        </w:tc>
        <w:tc>
          <w:tcPr>
            <w:tcW w:w="1418" w:type="dxa"/>
            <w:vAlign w:val="center"/>
          </w:tcPr>
          <w:p w14:paraId="203EEE61" w14:textId="53F61235" w:rsidR="00CA2815" w:rsidRPr="0028673F" w:rsidRDefault="00CA2815" w:rsidP="00A111E9">
            <w:pPr>
              <w:spacing w:before="120"/>
              <w:rPr>
                <w:rFonts w:ascii="Arial" w:hAnsi="Arial" w:cs="Arial"/>
                <w:sz w:val="16"/>
                <w:lang w:eastAsia="en-AU"/>
              </w:rPr>
            </w:pPr>
            <w:r w:rsidRPr="0028673F">
              <w:rPr>
                <w:rFonts w:ascii="Arial" w:eastAsiaTheme="minorHAnsi" w:hAnsi="Arial" w:cs="Arial"/>
                <w:sz w:val="18"/>
                <w:lang w:val="en-NZ"/>
              </w:rPr>
              <w:t>114.8±27.5</w:t>
            </w:r>
          </w:p>
        </w:tc>
        <w:tc>
          <w:tcPr>
            <w:tcW w:w="1417" w:type="dxa"/>
            <w:vAlign w:val="center"/>
          </w:tcPr>
          <w:p w14:paraId="294BBA95" w14:textId="2225535F" w:rsidR="00CA2815" w:rsidRPr="0028673F" w:rsidRDefault="00CA2815" w:rsidP="00A111E9">
            <w:pPr>
              <w:spacing w:before="120"/>
              <w:rPr>
                <w:rFonts w:ascii="Arial" w:hAnsi="Arial" w:cs="Arial"/>
                <w:sz w:val="16"/>
                <w:lang w:eastAsia="en-AU"/>
              </w:rPr>
            </w:pPr>
            <w:r w:rsidRPr="0028673F">
              <w:rPr>
                <w:rFonts w:ascii="Arial" w:eastAsiaTheme="minorHAnsi" w:hAnsi="Arial" w:cs="Arial"/>
                <w:sz w:val="18"/>
                <w:lang w:val="en-NZ"/>
              </w:rPr>
              <w:t>121.2±37.7</w:t>
            </w:r>
          </w:p>
        </w:tc>
        <w:tc>
          <w:tcPr>
            <w:tcW w:w="1418" w:type="dxa"/>
            <w:vAlign w:val="center"/>
          </w:tcPr>
          <w:p w14:paraId="5941BA92" w14:textId="0CFC2E5E" w:rsidR="00CA2815" w:rsidRPr="0028673F" w:rsidRDefault="00CA2815" w:rsidP="00A111E9">
            <w:pPr>
              <w:spacing w:before="120"/>
              <w:rPr>
                <w:rFonts w:ascii="Arial" w:hAnsi="Arial" w:cs="Arial"/>
                <w:sz w:val="16"/>
                <w:lang w:eastAsia="en-AU"/>
              </w:rPr>
            </w:pPr>
            <w:r w:rsidRPr="0028673F">
              <w:rPr>
                <w:rFonts w:ascii="Arial" w:eastAsiaTheme="minorHAnsi" w:hAnsi="Arial" w:cs="Arial"/>
                <w:sz w:val="18"/>
                <w:lang w:val="en-NZ"/>
              </w:rPr>
              <w:t>122.7±30.0</w:t>
            </w:r>
          </w:p>
        </w:tc>
        <w:tc>
          <w:tcPr>
            <w:tcW w:w="1381" w:type="dxa"/>
            <w:vAlign w:val="center"/>
          </w:tcPr>
          <w:p w14:paraId="499F6814" w14:textId="418B913C" w:rsidR="00CA2815" w:rsidRPr="0028673F" w:rsidRDefault="00CA2815" w:rsidP="00A111E9">
            <w:pPr>
              <w:spacing w:before="120"/>
              <w:rPr>
                <w:rFonts w:ascii="Arial" w:hAnsi="Arial" w:cs="Arial"/>
                <w:sz w:val="16"/>
                <w:lang w:eastAsia="en-AU"/>
              </w:rPr>
            </w:pPr>
            <w:r w:rsidRPr="0028673F">
              <w:rPr>
                <w:rFonts w:ascii="Arial" w:eastAsiaTheme="minorHAnsi" w:hAnsi="Arial" w:cs="Arial"/>
                <w:sz w:val="18"/>
                <w:lang w:val="en-NZ"/>
              </w:rPr>
              <w:t>98.2±13.9*</w:t>
            </w:r>
          </w:p>
        </w:tc>
      </w:tr>
      <w:tr w:rsidR="0028673F" w14:paraId="290ACE8B" w14:textId="77777777" w:rsidTr="0028673F">
        <w:tc>
          <w:tcPr>
            <w:tcW w:w="9286" w:type="dxa"/>
            <w:gridSpan w:val="6"/>
            <w:shd w:val="clear" w:color="auto" w:fill="F2F2F2" w:themeFill="background1" w:themeFillShade="F2"/>
          </w:tcPr>
          <w:p w14:paraId="75751DF2" w14:textId="555CD562" w:rsidR="0028673F" w:rsidRPr="0028673F" w:rsidRDefault="0028673F" w:rsidP="00A111E9">
            <w:pPr>
              <w:spacing w:before="120"/>
              <w:rPr>
                <w:rFonts w:ascii="Arial" w:hAnsi="Arial" w:cs="Arial"/>
                <w:sz w:val="16"/>
                <w:lang w:eastAsia="en-AU"/>
              </w:rPr>
            </w:pPr>
            <w:r w:rsidRPr="0028673F">
              <w:rPr>
                <w:rFonts w:ascii="Arial" w:hAnsi="Arial" w:cs="Arial"/>
                <w:b/>
                <w:sz w:val="18"/>
                <w:lang w:val="en-NZ"/>
              </w:rPr>
              <w:t>Blood chemistry</w:t>
            </w:r>
          </w:p>
        </w:tc>
      </w:tr>
      <w:tr w:rsidR="00CA2815" w14:paraId="7C4BF846" w14:textId="77777777" w:rsidTr="00863A5A">
        <w:tc>
          <w:tcPr>
            <w:tcW w:w="2518" w:type="dxa"/>
            <w:vAlign w:val="center"/>
          </w:tcPr>
          <w:p w14:paraId="1EA2671E" w14:textId="77A7F851"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Albumin (g/dL)</w:t>
            </w:r>
          </w:p>
        </w:tc>
        <w:tc>
          <w:tcPr>
            <w:tcW w:w="1134" w:type="dxa"/>
            <w:vAlign w:val="center"/>
          </w:tcPr>
          <w:p w14:paraId="575A9B5A" w14:textId="01EE260E"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4.3±0.2</w:t>
            </w:r>
          </w:p>
        </w:tc>
        <w:tc>
          <w:tcPr>
            <w:tcW w:w="1418" w:type="dxa"/>
            <w:vAlign w:val="center"/>
          </w:tcPr>
          <w:p w14:paraId="4A06A10A" w14:textId="2836867C"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4.1±0.2</w:t>
            </w:r>
          </w:p>
        </w:tc>
        <w:tc>
          <w:tcPr>
            <w:tcW w:w="1417" w:type="dxa"/>
            <w:vAlign w:val="center"/>
          </w:tcPr>
          <w:p w14:paraId="7B5CD233" w14:textId="4ED1FAA5"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4.3±0.2</w:t>
            </w:r>
          </w:p>
        </w:tc>
        <w:tc>
          <w:tcPr>
            <w:tcW w:w="1418" w:type="dxa"/>
            <w:vAlign w:val="center"/>
          </w:tcPr>
          <w:p w14:paraId="32F8D900" w14:textId="6889743D"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4.2±0.2</w:t>
            </w:r>
          </w:p>
        </w:tc>
        <w:tc>
          <w:tcPr>
            <w:tcW w:w="1381" w:type="dxa"/>
            <w:vAlign w:val="center"/>
          </w:tcPr>
          <w:p w14:paraId="0FA9B330" w14:textId="7C3D425D"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4.5±0.2**</w:t>
            </w:r>
          </w:p>
        </w:tc>
      </w:tr>
      <w:tr w:rsidR="00CA2815" w14:paraId="127874D3" w14:textId="77777777" w:rsidTr="00863A5A">
        <w:tc>
          <w:tcPr>
            <w:tcW w:w="2518" w:type="dxa"/>
            <w:vAlign w:val="center"/>
          </w:tcPr>
          <w:p w14:paraId="09808C58" w14:textId="0F92DA6C"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 xml:space="preserve">Albumin/globulin </w:t>
            </w:r>
          </w:p>
        </w:tc>
        <w:tc>
          <w:tcPr>
            <w:tcW w:w="1134" w:type="dxa"/>
            <w:vAlign w:val="center"/>
          </w:tcPr>
          <w:p w14:paraId="2394C9A3" w14:textId="0FD21D41"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2.1±0.2</w:t>
            </w:r>
          </w:p>
        </w:tc>
        <w:tc>
          <w:tcPr>
            <w:tcW w:w="1418" w:type="dxa"/>
            <w:vAlign w:val="center"/>
          </w:tcPr>
          <w:p w14:paraId="1E083880" w14:textId="0AB90D0D"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2.1±0.2</w:t>
            </w:r>
          </w:p>
        </w:tc>
        <w:tc>
          <w:tcPr>
            <w:tcW w:w="1417" w:type="dxa"/>
            <w:vAlign w:val="center"/>
          </w:tcPr>
          <w:p w14:paraId="3C6C4883" w14:textId="7836554E"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2.2±0.3</w:t>
            </w:r>
          </w:p>
        </w:tc>
        <w:tc>
          <w:tcPr>
            <w:tcW w:w="1418" w:type="dxa"/>
            <w:vAlign w:val="center"/>
          </w:tcPr>
          <w:p w14:paraId="2126A468" w14:textId="57738A45"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2.2±0.2</w:t>
            </w:r>
          </w:p>
        </w:tc>
        <w:tc>
          <w:tcPr>
            <w:tcW w:w="1381" w:type="dxa"/>
            <w:vAlign w:val="center"/>
          </w:tcPr>
          <w:p w14:paraId="627DE2F3" w14:textId="068C595A"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2.5±0.2**</w:t>
            </w:r>
          </w:p>
        </w:tc>
      </w:tr>
      <w:tr w:rsidR="00CA2815" w14:paraId="3768D391" w14:textId="77777777" w:rsidTr="00863A5A">
        <w:tc>
          <w:tcPr>
            <w:tcW w:w="2518" w:type="dxa"/>
            <w:vAlign w:val="center"/>
          </w:tcPr>
          <w:p w14:paraId="32266F63" w14:textId="514C94D5"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BUN (mg/dL)</w:t>
            </w:r>
          </w:p>
        </w:tc>
        <w:tc>
          <w:tcPr>
            <w:tcW w:w="1134" w:type="dxa"/>
            <w:vAlign w:val="center"/>
          </w:tcPr>
          <w:p w14:paraId="078BED4E" w14:textId="01F67FA2"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16.0±1.5</w:t>
            </w:r>
          </w:p>
        </w:tc>
        <w:tc>
          <w:tcPr>
            <w:tcW w:w="1418" w:type="dxa"/>
            <w:vAlign w:val="center"/>
          </w:tcPr>
          <w:p w14:paraId="1E1B6FA0" w14:textId="688B0B91"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16.0±0.8</w:t>
            </w:r>
          </w:p>
        </w:tc>
        <w:tc>
          <w:tcPr>
            <w:tcW w:w="1417" w:type="dxa"/>
            <w:vAlign w:val="center"/>
          </w:tcPr>
          <w:p w14:paraId="1D962000" w14:textId="3947AFD7"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16.0±1.8</w:t>
            </w:r>
          </w:p>
        </w:tc>
        <w:tc>
          <w:tcPr>
            <w:tcW w:w="1418" w:type="dxa"/>
            <w:vAlign w:val="center"/>
          </w:tcPr>
          <w:p w14:paraId="23564F6F" w14:textId="0E31A6BF"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17.0±1.6</w:t>
            </w:r>
          </w:p>
        </w:tc>
        <w:tc>
          <w:tcPr>
            <w:tcW w:w="1381" w:type="dxa"/>
            <w:vAlign w:val="center"/>
          </w:tcPr>
          <w:p w14:paraId="413207FA" w14:textId="21D6A67C"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21.0±2.4**</w:t>
            </w:r>
          </w:p>
        </w:tc>
      </w:tr>
      <w:tr w:rsidR="00CA2815" w14:paraId="4A1889DB" w14:textId="77777777" w:rsidTr="00863A5A">
        <w:tc>
          <w:tcPr>
            <w:tcW w:w="2518" w:type="dxa"/>
            <w:vAlign w:val="center"/>
          </w:tcPr>
          <w:p w14:paraId="41271BEB" w14:textId="42BDA642"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Cholesterol (mg/dL)</w:t>
            </w:r>
          </w:p>
        </w:tc>
        <w:tc>
          <w:tcPr>
            <w:tcW w:w="1134" w:type="dxa"/>
            <w:vAlign w:val="center"/>
          </w:tcPr>
          <w:p w14:paraId="1466CD1B" w14:textId="00A00933"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57±8</w:t>
            </w:r>
          </w:p>
        </w:tc>
        <w:tc>
          <w:tcPr>
            <w:tcW w:w="1418" w:type="dxa"/>
            <w:vAlign w:val="center"/>
          </w:tcPr>
          <w:p w14:paraId="46D74A44" w14:textId="168D8720"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41±</w:t>
            </w:r>
            <w:r w:rsidRPr="0028673F">
              <w:rPr>
                <w:rFonts w:ascii="Arial" w:eastAsiaTheme="minorEastAsia" w:hAnsi="Arial" w:cs="Arial"/>
                <w:sz w:val="18"/>
                <w:lang w:val="en-NZ"/>
              </w:rPr>
              <w:t>11**</w:t>
            </w:r>
          </w:p>
        </w:tc>
        <w:tc>
          <w:tcPr>
            <w:tcW w:w="1417" w:type="dxa"/>
            <w:vAlign w:val="center"/>
          </w:tcPr>
          <w:p w14:paraId="4C48FB27" w14:textId="4E85A6CD"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46±12**</w:t>
            </w:r>
          </w:p>
        </w:tc>
        <w:tc>
          <w:tcPr>
            <w:tcW w:w="1418" w:type="dxa"/>
            <w:vAlign w:val="center"/>
          </w:tcPr>
          <w:p w14:paraId="26D7E8F4" w14:textId="785CD315"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43±13**</w:t>
            </w:r>
          </w:p>
        </w:tc>
        <w:tc>
          <w:tcPr>
            <w:tcW w:w="1381" w:type="dxa"/>
            <w:vAlign w:val="center"/>
          </w:tcPr>
          <w:p w14:paraId="44108DB1" w14:textId="1C1AD59A" w:rsidR="00CA2815" w:rsidRPr="0028673F" w:rsidRDefault="00CA2815" w:rsidP="00A111E9">
            <w:pPr>
              <w:spacing w:before="120"/>
              <w:rPr>
                <w:rFonts w:ascii="Arial" w:hAnsi="Arial" w:cs="Arial"/>
                <w:sz w:val="16"/>
                <w:lang w:eastAsia="en-AU"/>
              </w:rPr>
            </w:pPr>
            <w:r w:rsidRPr="0028673F">
              <w:rPr>
                <w:rFonts w:ascii="Arial" w:eastAsiaTheme="minorHAnsi" w:hAnsi="Arial" w:cs="Arial"/>
                <w:sz w:val="18"/>
                <w:lang w:val="en-NZ"/>
              </w:rPr>
              <w:t>33±7**</w:t>
            </w:r>
          </w:p>
        </w:tc>
      </w:tr>
      <w:tr w:rsidR="00CA2815" w14:paraId="5C961143" w14:textId="77777777" w:rsidTr="00863A5A">
        <w:tc>
          <w:tcPr>
            <w:tcW w:w="2518" w:type="dxa"/>
            <w:vAlign w:val="center"/>
          </w:tcPr>
          <w:p w14:paraId="40A8EE07" w14:textId="4C8129EB"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Triglyceride (mg/dL)</w:t>
            </w:r>
          </w:p>
        </w:tc>
        <w:tc>
          <w:tcPr>
            <w:tcW w:w="1134" w:type="dxa"/>
            <w:vAlign w:val="center"/>
          </w:tcPr>
          <w:p w14:paraId="2BC04FF2" w14:textId="12320653"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52±21</w:t>
            </w:r>
          </w:p>
        </w:tc>
        <w:tc>
          <w:tcPr>
            <w:tcW w:w="1418" w:type="dxa"/>
            <w:vAlign w:val="center"/>
          </w:tcPr>
          <w:p w14:paraId="0BC7C2BF" w14:textId="24294B7C"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47±17</w:t>
            </w:r>
          </w:p>
        </w:tc>
        <w:tc>
          <w:tcPr>
            <w:tcW w:w="1417" w:type="dxa"/>
            <w:vAlign w:val="center"/>
          </w:tcPr>
          <w:p w14:paraId="0986C5F9" w14:textId="5F41A9C3"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36±14</w:t>
            </w:r>
          </w:p>
        </w:tc>
        <w:tc>
          <w:tcPr>
            <w:tcW w:w="1418" w:type="dxa"/>
            <w:vAlign w:val="center"/>
          </w:tcPr>
          <w:p w14:paraId="126597DC" w14:textId="751A963F"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36±28</w:t>
            </w:r>
          </w:p>
        </w:tc>
        <w:tc>
          <w:tcPr>
            <w:tcW w:w="1381" w:type="dxa"/>
            <w:vAlign w:val="center"/>
          </w:tcPr>
          <w:p w14:paraId="5E7F8173" w14:textId="1802EB1F"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17±8**</w:t>
            </w:r>
          </w:p>
        </w:tc>
      </w:tr>
      <w:tr w:rsidR="00CA2815" w14:paraId="3146F1BC" w14:textId="77777777" w:rsidTr="00863A5A">
        <w:tc>
          <w:tcPr>
            <w:tcW w:w="2518" w:type="dxa"/>
            <w:vAlign w:val="center"/>
          </w:tcPr>
          <w:p w14:paraId="7C547B1F" w14:textId="4302BDE2"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Alkaline phosphatase (U/L)</w:t>
            </w:r>
          </w:p>
        </w:tc>
        <w:tc>
          <w:tcPr>
            <w:tcW w:w="1134" w:type="dxa"/>
            <w:vAlign w:val="center"/>
          </w:tcPr>
          <w:p w14:paraId="50043E96" w14:textId="5B3B54BA"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105±14</w:t>
            </w:r>
          </w:p>
        </w:tc>
        <w:tc>
          <w:tcPr>
            <w:tcW w:w="1418" w:type="dxa"/>
            <w:vAlign w:val="center"/>
          </w:tcPr>
          <w:p w14:paraId="4DE1D0BD" w14:textId="0E2E444E"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111±37</w:t>
            </w:r>
          </w:p>
        </w:tc>
        <w:tc>
          <w:tcPr>
            <w:tcW w:w="1417" w:type="dxa"/>
            <w:vAlign w:val="center"/>
          </w:tcPr>
          <w:p w14:paraId="6B11D11A" w14:textId="1FFF2AEC"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100±12</w:t>
            </w:r>
          </w:p>
        </w:tc>
        <w:tc>
          <w:tcPr>
            <w:tcW w:w="1418" w:type="dxa"/>
            <w:vAlign w:val="center"/>
          </w:tcPr>
          <w:p w14:paraId="258FC89C" w14:textId="1B1E5742"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115±25</w:t>
            </w:r>
          </w:p>
        </w:tc>
        <w:tc>
          <w:tcPr>
            <w:tcW w:w="1381" w:type="dxa"/>
            <w:vAlign w:val="center"/>
          </w:tcPr>
          <w:p w14:paraId="180FCD62" w14:textId="7606494D"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144±38**</w:t>
            </w:r>
          </w:p>
        </w:tc>
      </w:tr>
      <w:tr w:rsidR="0028673F" w14:paraId="35BF9A0C" w14:textId="77777777" w:rsidTr="0028673F">
        <w:tc>
          <w:tcPr>
            <w:tcW w:w="9286" w:type="dxa"/>
            <w:gridSpan w:val="6"/>
            <w:shd w:val="clear" w:color="auto" w:fill="F2F2F2" w:themeFill="background1" w:themeFillShade="F2"/>
          </w:tcPr>
          <w:p w14:paraId="3CC03BB6" w14:textId="416C3DA3" w:rsidR="0028673F" w:rsidRPr="0028673F" w:rsidRDefault="0028673F" w:rsidP="00A111E9">
            <w:pPr>
              <w:spacing w:before="120"/>
              <w:rPr>
                <w:rFonts w:ascii="Arial" w:hAnsi="Arial" w:cs="Arial"/>
                <w:sz w:val="16"/>
                <w:lang w:eastAsia="en-AU"/>
              </w:rPr>
            </w:pPr>
            <w:r w:rsidRPr="0028673F">
              <w:rPr>
                <w:rFonts w:ascii="Arial" w:hAnsi="Arial" w:cs="Arial"/>
                <w:b/>
                <w:sz w:val="18"/>
                <w:lang w:val="en-NZ"/>
              </w:rPr>
              <w:t>Haematology</w:t>
            </w:r>
          </w:p>
        </w:tc>
      </w:tr>
      <w:tr w:rsidR="00CA2815" w14:paraId="45654ED2" w14:textId="77777777" w:rsidTr="00863A5A">
        <w:tc>
          <w:tcPr>
            <w:tcW w:w="2518" w:type="dxa"/>
            <w:vAlign w:val="center"/>
          </w:tcPr>
          <w:p w14:paraId="1192F6F5" w14:textId="2C41FEDA"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Prothrombin time (s)</w:t>
            </w:r>
          </w:p>
        </w:tc>
        <w:tc>
          <w:tcPr>
            <w:tcW w:w="1134" w:type="dxa"/>
            <w:vAlign w:val="center"/>
          </w:tcPr>
          <w:p w14:paraId="4E18BFB6" w14:textId="7ADAC7A9"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13.4±0.2</w:t>
            </w:r>
          </w:p>
        </w:tc>
        <w:tc>
          <w:tcPr>
            <w:tcW w:w="1418" w:type="dxa"/>
            <w:vAlign w:val="center"/>
          </w:tcPr>
          <w:p w14:paraId="267F977D" w14:textId="362A8FC3"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14.2 ±0.3**</w:t>
            </w:r>
          </w:p>
        </w:tc>
        <w:tc>
          <w:tcPr>
            <w:tcW w:w="1417" w:type="dxa"/>
            <w:vAlign w:val="center"/>
          </w:tcPr>
          <w:p w14:paraId="07E35F3F" w14:textId="19D9FEF0"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13.6±0.2</w:t>
            </w:r>
          </w:p>
        </w:tc>
        <w:tc>
          <w:tcPr>
            <w:tcW w:w="1418" w:type="dxa"/>
            <w:vAlign w:val="center"/>
          </w:tcPr>
          <w:p w14:paraId="38C99648" w14:textId="5B160185"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13.8±0.4*</w:t>
            </w:r>
          </w:p>
        </w:tc>
        <w:tc>
          <w:tcPr>
            <w:tcW w:w="1381" w:type="dxa"/>
            <w:vAlign w:val="center"/>
          </w:tcPr>
          <w:p w14:paraId="289709F2" w14:textId="76453E54"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14.0 ±0.5**</w:t>
            </w:r>
          </w:p>
        </w:tc>
      </w:tr>
      <w:tr w:rsidR="00CA2815" w14:paraId="63E2C2E8" w14:textId="77777777" w:rsidTr="00863A5A">
        <w:tc>
          <w:tcPr>
            <w:tcW w:w="2518" w:type="dxa"/>
            <w:vAlign w:val="center"/>
          </w:tcPr>
          <w:p w14:paraId="6144508A" w14:textId="69F42CD7"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Haemoglobin (g/dL)</w:t>
            </w:r>
          </w:p>
        </w:tc>
        <w:tc>
          <w:tcPr>
            <w:tcW w:w="1134" w:type="dxa"/>
            <w:vAlign w:val="center"/>
          </w:tcPr>
          <w:p w14:paraId="14D2AE01" w14:textId="576911C4"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16.5±1.2</w:t>
            </w:r>
          </w:p>
        </w:tc>
        <w:tc>
          <w:tcPr>
            <w:tcW w:w="1418" w:type="dxa"/>
            <w:vAlign w:val="center"/>
          </w:tcPr>
          <w:p w14:paraId="716A171B" w14:textId="74DB67FD"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15.9±0.4</w:t>
            </w:r>
          </w:p>
        </w:tc>
        <w:tc>
          <w:tcPr>
            <w:tcW w:w="1417" w:type="dxa"/>
            <w:vAlign w:val="center"/>
          </w:tcPr>
          <w:p w14:paraId="0E05503C" w14:textId="2031424F"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15.7±0.6*</w:t>
            </w:r>
          </w:p>
        </w:tc>
        <w:tc>
          <w:tcPr>
            <w:tcW w:w="1418" w:type="dxa"/>
            <w:vAlign w:val="center"/>
          </w:tcPr>
          <w:p w14:paraId="7CE3D726" w14:textId="1CC98BAC"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15.4±0.7**</w:t>
            </w:r>
          </w:p>
        </w:tc>
        <w:tc>
          <w:tcPr>
            <w:tcW w:w="1381" w:type="dxa"/>
            <w:vAlign w:val="center"/>
          </w:tcPr>
          <w:p w14:paraId="4BC1C657" w14:textId="7AFFF715"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15.6±0.8*</w:t>
            </w:r>
          </w:p>
        </w:tc>
      </w:tr>
      <w:tr w:rsidR="00CA2815" w14:paraId="3D10AA8D" w14:textId="77777777" w:rsidTr="00863A5A">
        <w:tc>
          <w:tcPr>
            <w:tcW w:w="2518" w:type="dxa"/>
            <w:vAlign w:val="center"/>
          </w:tcPr>
          <w:p w14:paraId="13C4AC21" w14:textId="10FF4EBC"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Red Blood Cells (10</w:t>
            </w:r>
            <w:r w:rsidRPr="0028673F">
              <w:rPr>
                <w:rFonts w:ascii="Arial" w:hAnsi="Arial" w:cs="Arial"/>
                <w:sz w:val="18"/>
                <w:vertAlign w:val="superscript"/>
                <w:lang w:val="en-NZ"/>
              </w:rPr>
              <w:t>6</w:t>
            </w:r>
            <w:r w:rsidRPr="0028673F">
              <w:rPr>
                <w:rFonts w:ascii="Arial" w:hAnsi="Arial" w:cs="Arial"/>
                <w:sz w:val="18"/>
                <w:lang w:val="en-NZ"/>
              </w:rPr>
              <w:t>/mm</w:t>
            </w:r>
            <w:r w:rsidRPr="0028673F">
              <w:rPr>
                <w:rFonts w:ascii="Arial" w:hAnsi="Arial" w:cs="Arial"/>
                <w:sz w:val="18"/>
                <w:vertAlign w:val="superscript"/>
                <w:lang w:val="en-NZ"/>
              </w:rPr>
              <w:t xml:space="preserve">3 </w:t>
            </w:r>
            <w:r w:rsidRPr="0028673F">
              <w:rPr>
                <w:rFonts w:ascii="Arial" w:hAnsi="Arial" w:cs="Arial"/>
                <w:sz w:val="18"/>
                <w:lang w:val="en-NZ"/>
              </w:rPr>
              <w:t>)</w:t>
            </w:r>
          </w:p>
        </w:tc>
        <w:tc>
          <w:tcPr>
            <w:tcW w:w="1134" w:type="dxa"/>
            <w:vAlign w:val="center"/>
          </w:tcPr>
          <w:p w14:paraId="7B0C3AC9" w14:textId="2D7C41FD"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7.51±0.40</w:t>
            </w:r>
          </w:p>
        </w:tc>
        <w:tc>
          <w:tcPr>
            <w:tcW w:w="1418" w:type="dxa"/>
            <w:vAlign w:val="center"/>
          </w:tcPr>
          <w:p w14:paraId="1F383831" w14:textId="12FC4986"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7.33±0.4</w:t>
            </w:r>
          </w:p>
        </w:tc>
        <w:tc>
          <w:tcPr>
            <w:tcW w:w="1417" w:type="dxa"/>
            <w:vAlign w:val="center"/>
          </w:tcPr>
          <w:p w14:paraId="4AD07D5A" w14:textId="739D5F83"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7.32±0.4</w:t>
            </w:r>
          </w:p>
        </w:tc>
        <w:tc>
          <w:tcPr>
            <w:tcW w:w="1418" w:type="dxa"/>
            <w:vAlign w:val="center"/>
          </w:tcPr>
          <w:p w14:paraId="3B65BF76" w14:textId="77660984"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6.93±3.05*</w:t>
            </w:r>
          </w:p>
        </w:tc>
        <w:tc>
          <w:tcPr>
            <w:tcW w:w="1381" w:type="dxa"/>
            <w:vAlign w:val="center"/>
          </w:tcPr>
          <w:p w14:paraId="496EDC92" w14:textId="20880092" w:rsidR="00CA2815" w:rsidRPr="0028673F" w:rsidRDefault="00CA2815" w:rsidP="00A111E9">
            <w:pPr>
              <w:spacing w:before="120"/>
              <w:rPr>
                <w:rFonts w:ascii="Arial" w:hAnsi="Arial" w:cs="Arial"/>
                <w:sz w:val="16"/>
                <w:lang w:eastAsia="en-AU"/>
              </w:rPr>
            </w:pPr>
            <w:r w:rsidRPr="0028673F">
              <w:rPr>
                <w:rFonts w:ascii="Arial" w:hAnsi="Arial" w:cs="Arial"/>
                <w:sz w:val="18"/>
                <w:lang w:val="en-NZ"/>
              </w:rPr>
              <w:t>6.99 ±0.44*</w:t>
            </w:r>
          </w:p>
        </w:tc>
      </w:tr>
      <w:tr w:rsidR="00CA2815" w14:paraId="3BAC836B" w14:textId="77777777" w:rsidTr="00863A5A">
        <w:tc>
          <w:tcPr>
            <w:tcW w:w="2518" w:type="dxa"/>
            <w:vAlign w:val="center"/>
          </w:tcPr>
          <w:p w14:paraId="4EA84275" w14:textId="7206E45C" w:rsidR="00CA2815" w:rsidRPr="0028673F" w:rsidRDefault="00CA2815" w:rsidP="00A111E9">
            <w:pPr>
              <w:spacing w:before="120"/>
              <w:rPr>
                <w:rFonts w:ascii="Arial" w:hAnsi="Arial" w:cs="Arial"/>
                <w:sz w:val="16"/>
                <w:lang w:eastAsia="en-AU"/>
              </w:rPr>
            </w:pPr>
            <w:r w:rsidRPr="0028673F">
              <w:rPr>
                <w:rFonts w:ascii="Arial" w:eastAsiaTheme="minorHAnsi" w:hAnsi="Arial" w:cs="Arial"/>
                <w:sz w:val="18"/>
                <w:lang w:val="en-NZ"/>
              </w:rPr>
              <w:t>Haematocrit (%)</w:t>
            </w:r>
          </w:p>
        </w:tc>
        <w:tc>
          <w:tcPr>
            <w:tcW w:w="1134" w:type="dxa"/>
            <w:vAlign w:val="center"/>
          </w:tcPr>
          <w:p w14:paraId="280A6ACE" w14:textId="0D73814E" w:rsidR="00CA2815" w:rsidRPr="0028673F" w:rsidRDefault="00CA2815" w:rsidP="00A111E9">
            <w:pPr>
              <w:spacing w:before="120"/>
              <w:rPr>
                <w:rFonts w:ascii="Arial" w:hAnsi="Arial" w:cs="Arial"/>
                <w:sz w:val="16"/>
                <w:lang w:eastAsia="en-AU"/>
              </w:rPr>
            </w:pPr>
            <w:r w:rsidRPr="0028673F">
              <w:rPr>
                <w:rFonts w:ascii="Arial" w:eastAsiaTheme="minorHAnsi" w:hAnsi="Arial" w:cs="Arial"/>
                <w:sz w:val="18"/>
                <w:lang w:val="en-NZ"/>
              </w:rPr>
              <w:t>43.5±3.5</w:t>
            </w:r>
          </w:p>
        </w:tc>
        <w:tc>
          <w:tcPr>
            <w:tcW w:w="1418" w:type="dxa"/>
            <w:vAlign w:val="center"/>
          </w:tcPr>
          <w:p w14:paraId="32B034AF" w14:textId="233445C2" w:rsidR="00CA2815" w:rsidRPr="0028673F" w:rsidRDefault="00CA2815" w:rsidP="00A111E9">
            <w:pPr>
              <w:spacing w:before="120"/>
              <w:rPr>
                <w:rFonts w:ascii="Arial" w:hAnsi="Arial" w:cs="Arial"/>
                <w:sz w:val="16"/>
                <w:lang w:eastAsia="en-AU"/>
              </w:rPr>
            </w:pPr>
            <w:r w:rsidRPr="0028673F">
              <w:rPr>
                <w:rFonts w:ascii="Arial" w:eastAsiaTheme="minorHAnsi" w:hAnsi="Arial" w:cs="Arial"/>
                <w:sz w:val="18"/>
                <w:lang w:val="en-NZ"/>
              </w:rPr>
              <w:t>42.2±1.6</w:t>
            </w:r>
          </w:p>
        </w:tc>
        <w:tc>
          <w:tcPr>
            <w:tcW w:w="1417" w:type="dxa"/>
            <w:vAlign w:val="center"/>
          </w:tcPr>
          <w:p w14:paraId="2CE1DADE" w14:textId="2764F4B3" w:rsidR="00CA2815" w:rsidRPr="0028673F" w:rsidRDefault="00CA2815" w:rsidP="00A111E9">
            <w:pPr>
              <w:spacing w:before="120"/>
              <w:rPr>
                <w:rFonts w:ascii="Arial" w:hAnsi="Arial" w:cs="Arial"/>
                <w:sz w:val="16"/>
                <w:lang w:eastAsia="en-AU"/>
              </w:rPr>
            </w:pPr>
            <w:r w:rsidRPr="0028673F">
              <w:rPr>
                <w:rFonts w:ascii="Arial" w:eastAsiaTheme="minorHAnsi" w:hAnsi="Arial" w:cs="Arial"/>
                <w:sz w:val="18"/>
                <w:lang w:val="en-NZ"/>
              </w:rPr>
              <w:t>42.0±2.2</w:t>
            </w:r>
          </w:p>
        </w:tc>
        <w:tc>
          <w:tcPr>
            <w:tcW w:w="1418" w:type="dxa"/>
            <w:vAlign w:val="center"/>
          </w:tcPr>
          <w:p w14:paraId="6F964073" w14:textId="670C4CF8" w:rsidR="00CA2815" w:rsidRPr="0028673F" w:rsidRDefault="00CA2815" w:rsidP="00A111E9">
            <w:pPr>
              <w:spacing w:before="120"/>
              <w:rPr>
                <w:rFonts w:ascii="Arial" w:hAnsi="Arial" w:cs="Arial"/>
                <w:sz w:val="16"/>
                <w:lang w:eastAsia="en-AU"/>
              </w:rPr>
            </w:pPr>
            <w:r w:rsidRPr="0028673F">
              <w:rPr>
                <w:rFonts w:ascii="Arial" w:eastAsiaTheme="minorHAnsi" w:hAnsi="Arial" w:cs="Arial"/>
                <w:sz w:val="18"/>
                <w:lang w:val="en-NZ"/>
              </w:rPr>
              <w:t>40.2±2.3**</w:t>
            </w:r>
          </w:p>
        </w:tc>
        <w:tc>
          <w:tcPr>
            <w:tcW w:w="1381" w:type="dxa"/>
            <w:vAlign w:val="center"/>
          </w:tcPr>
          <w:p w14:paraId="723378C1" w14:textId="5DF1AD0B" w:rsidR="00CA2815" w:rsidRPr="0028673F" w:rsidRDefault="00CA2815" w:rsidP="00A111E9">
            <w:pPr>
              <w:spacing w:before="120"/>
              <w:rPr>
                <w:rFonts w:ascii="Arial" w:hAnsi="Arial" w:cs="Arial"/>
                <w:sz w:val="16"/>
                <w:lang w:eastAsia="en-AU"/>
              </w:rPr>
            </w:pPr>
            <w:r w:rsidRPr="0028673F">
              <w:rPr>
                <w:rFonts w:ascii="Arial" w:eastAsiaTheme="minorHAnsi" w:hAnsi="Arial" w:cs="Arial"/>
                <w:sz w:val="18"/>
                <w:lang w:val="en-NZ"/>
              </w:rPr>
              <w:t>40.7±1.8*</w:t>
            </w:r>
          </w:p>
        </w:tc>
      </w:tr>
    </w:tbl>
    <w:p w14:paraId="7D88ABCA" w14:textId="6F1FC012" w:rsidR="00135214" w:rsidRPr="000B3C14" w:rsidRDefault="00135214" w:rsidP="00A111E9">
      <w:pPr>
        <w:spacing w:before="120"/>
        <w:rPr>
          <w:sz w:val="16"/>
          <w:lang w:eastAsia="en-AU"/>
        </w:rPr>
      </w:pPr>
      <w:r w:rsidRPr="00D711DD">
        <w:rPr>
          <w:sz w:val="16"/>
          <w:lang w:eastAsia="en-AU"/>
        </w:rPr>
        <w:t xml:space="preserve">Values presented are mean ± standard deviation and taken from Butenhoff </w:t>
      </w:r>
      <w:r w:rsidR="00180A32" w:rsidRPr="00180A32">
        <w:rPr>
          <w:i/>
          <w:sz w:val="16"/>
          <w:lang w:eastAsia="en-AU"/>
        </w:rPr>
        <w:t xml:space="preserve">et al. </w:t>
      </w:r>
      <w:r w:rsidR="00CC50B8">
        <w:rPr>
          <w:sz w:val="16"/>
          <w:lang w:eastAsia="en-AU"/>
        </w:rPr>
        <w:t xml:space="preserve"> </w:t>
      </w:r>
      <w:r w:rsidRPr="000B3C14">
        <w:rPr>
          <w:sz w:val="16"/>
          <w:lang w:eastAsia="en-AU"/>
        </w:rPr>
        <w:t>2009</w:t>
      </w:r>
      <w:r w:rsidR="00E73705">
        <w:rPr>
          <w:sz w:val="16"/>
          <w:lang w:eastAsia="en-AU"/>
        </w:rPr>
        <w:br/>
      </w:r>
      <w:r w:rsidR="00AB35CC">
        <w:rPr>
          <w:sz w:val="16"/>
          <w:lang w:eastAsia="en-AU"/>
        </w:rPr>
        <w:t>BUN</w:t>
      </w:r>
    </w:p>
    <w:p w14:paraId="7F3356CB" w14:textId="77777777" w:rsidR="00135214" w:rsidRPr="00F6284E" w:rsidRDefault="00135214" w:rsidP="00A111E9">
      <w:pPr>
        <w:rPr>
          <w:sz w:val="16"/>
          <w:lang w:eastAsia="en-AU"/>
        </w:rPr>
      </w:pPr>
      <w:r w:rsidRPr="00F6284E">
        <w:rPr>
          <w:sz w:val="16"/>
          <w:lang w:eastAsia="en-AU"/>
        </w:rPr>
        <w:t>* Significantly different from the control group value (p≤0.05)</w:t>
      </w:r>
    </w:p>
    <w:p w14:paraId="6F95B808" w14:textId="20C5B445" w:rsidR="00135214" w:rsidRPr="00F6284E" w:rsidRDefault="00135214" w:rsidP="00A111E9">
      <w:pPr>
        <w:rPr>
          <w:sz w:val="16"/>
          <w:lang w:eastAsia="en-AU"/>
        </w:rPr>
      </w:pPr>
      <w:r w:rsidRPr="00F6284E">
        <w:rPr>
          <w:sz w:val="16"/>
          <w:lang w:eastAsia="en-AU"/>
        </w:rPr>
        <w:t>** Significantly different from the control group value (p≤0.01)</w:t>
      </w:r>
    </w:p>
    <w:p w14:paraId="5DC208B6" w14:textId="77777777" w:rsidR="00135214" w:rsidRPr="00135214" w:rsidRDefault="00135214" w:rsidP="00A111E9">
      <w:pPr>
        <w:rPr>
          <w:lang w:eastAsia="en-AU" w:bidi="ar-SA"/>
        </w:rPr>
      </w:pPr>
    </w:p>
    <w:p w14:paraId="77D5070E" w14:textId="5BA17E47" w:rsidR="00135214" w:rsidRPr="00135214" w:rsidRDefault="00135214" w:rsidP="00A111E9">
      <w:pPr>
        <w:widowControl/>
        <w:rPr>
          <w:rFonts w:eastAsiaTheme="minorHAnsi" w:cstheme="minorBidi"/>
          <w:szCs w:val="22"/>
          <w:lang w:val="en-NZ" w:bidi="ar-SA"/>
        </w:rPr>
      </w:pPr>
      <w:r w:rsidRPr="00135214">
        <w:rPr>
          <w:rFonts w:eastAsiaTheme="minorHAnsi" w:cstheme="minorBidi"/>
          <w:szCs w:val="22"/>
          <w:lang w:val="en-NZ" w:bidi="ar-SA"/>
        </w:rPr>
        <w:t xml:space="preserve">There were no effects of PFHxS treatment on mating or fertility parameters (estrus cycling, cohabitation length, mating and fertility indices). Similarly there were no effects on pregnancy status, gestation length or pregnancy outcomes. </w:t>
      </w:r>
      <w:r w:rsidRPr="00135214">
        <w:rPr>
          <w:lang w:eastAsia="en-AU" w:bidi="ar-SA"/>
        </w:rPr>
        <w:t>Histopathological examination of the reproductive organs revealed no effect of treatment on sperm motility, count, density and morphology values for F</w:t>
      </w:r>
      <w:r w:rsidR="009E6E48">
        <w:rPr>
          <w:lang w:eastAsia="en-AU" w:bidi="ar-SA"/>
        </w:rPr>
        <w:t>0</w:t>
      </w:r>
      <w:r w:rsidRPr="00135214">
        <w:rPr>
          <w:vertAlign w:val="subscript"/>
          <w:lang w:eastAsia="en-AU" w:bidi="ar-SA"/>
        </w:rPr>
        <w:t xml:space="preserve"> </w:t>
      </w:r>
      <w:r w:rsidRPr="00135214">
        <w:rPr>
          <w:lang w:eastAsia="en-AU" w:bidi="ar-SA"/>
        </w:rPr>
        <w:t>male rats, or on primordial follicle counts for F</w:t>
      </w:r>
      <w:r w:rsidR="009E6E48">
        <w:rPr>
          <w:lang w:eastAsia="en-AU" w:bidi="ar-SA"/>
        </w:rPr>
        <w:t>0</w:t>
      </w:r>
      <w:r w:rsidRPr="00135214">
        <w:rPr>
          <w:vertAlign w:val="subscript"/>
          <w:lang w:eastAsia="en-AU" w:bidi="ar-SA"/>
        </w:rPr>
        <w:t xml:space="preserve"> </w:t>
      </w:r>
      <w:r w:rsidRPr="00135214">
        <w:rPr>
          <w:lang w:eastAsia="en-AU" w:bidi="ar-SA"/>
        </w:rPr>
        <w:t>females. There were no effects of treatment on any FOB parameters (autonomic functions, sensorimotor functions, excitability, gait and sensorimotor coordination, forelimb and hindlimb grip strength) and motor activity.</w:t>
      </w:r>
      <w:r w:rsidRPr="00135214">
        <w:rPr>
          <w:rFonts w:eastAsiaTheme="minorHAnsi" w:cstheme="minorBidi"/>
          <w:szCs w:val="22"/>
          <w:lang w:val="en-NZ" w:bidi="ar-SA"/>
        </w:rPr>
        <w:t xml:space="preserve"> </w:t>
      </w:r>
      <w:r w:rsidRPr="00135214">
        <w:rPr>
          <w:lang w:eastAsia="en-AU" w:bidi="ar-SA"/>
        </w:rPr>
        <w:t>No treatment-related effects on litter outcomes were observed.</w:t>
      </w:r>
    </w:p>
    <w:p w14:paraId="427C953A" w14:textId="77777777" w:rsidR="00135214" w:rsidRPr="00135214" w:rsidRDefault="00135214" w:rsidP="00A111E9">
      <w:pPr>
        <w:rPr>
          <w:lang w:eastAsia="en-AU" w:bidi="ar-SA"/>
        </w:rPr>
      </w:pPr>
    </w:p>
    <w:p w14:paraId="4075B68D" w14:textId="3D71061E" w:rsidR="00135214" w:rsidRPr="00135214" w:rsidRDefault="00135214" w:rsidP="00A111E9">
      <w:pPr>
        <w:rPr>
          <w:rFonts w:eastAsiaTheme="minorHAnsi" w:cstheme="minorBidi"/>
          <w:szCs w:val="22"/>
          <w:lang w:val="en-NZ" w:bidi="ar-SA"/>
        </w:rPr>
      </w:pPr>
      <w:r w:rsidRPr="00135214">
        <w:rPr>
          <w:rFonts w:eastAsiaTheme="minorHAnsi" w:cstheme="minorBidi"/>
          <w:szCs w:val="22"/>
          <w:lang w:val="en-NZ" w:bidi="ar-SA"/>
        </w:rPr>
        <w:t>The NOAEL for reproductive toxicity was 10 mg/kg bw/day</w:t>
      </w:r>
      <w:r w:rsidR="00E72B58">
        <w:rPr>
          <w:rFonts w:eastAsiaTheme="minorHAnsi" w:cstheme="minorBidi"/>
          <w:szCs w:val="22"/>
          <w:lang w:val="en-NZ" w:bidi="ar-SA"/>
        </w:rPr>
        <w:t>,</w:t>
      </w:r>
      <w:r w:rsidRPr="00135214">
        <w:rPr>
          <w:rFonts w:eastAsiaTheme="minorHAnsi" w:cstheme="minorBidi"/>
          <w:szCs w:val="22"/>
          <w:lang w:val="en-NZ" w:bidi="ar-SA"/>
        </w:rPr>
        <w:t xml:space="preserve"> the highest dose tested. Th</w:t>
      </w:r>
      <w:r w:rsidR="00E72B58">
        <w:rPr>
          <w:rFonts w:eastAsiaTheme="minorHAnsi" w:cstheme="minorBidi"/>
          <w:szCs w:val="22"/>
          <w:lang w:val="en-NZ" w:bidi="ar-SA"/>
        </w:rPr>
        <w:t>e NOAEL for paternal toxicity was</w:t>
      </w:r>
      <w:r w:rsidRPr="00135214">
        <w:rPr>
          <w:rFonts w:eastAsiaTheme="minorHAnsi" w:cstheme="minorBidi"/>
          <w:szCs w:val="22"/>
          <w:lang w:val="en-NZ" w:bidi="ar-SA"/>
        </w:rPr>
        <w:t xml:space="preserve"> 3 mg/kg bw/day (males only) and the NOAEL for offspring toxicity was 10 mg/kg bw/day.</w:t>
      </w:r>
    </w:p>
    <w:p w14:paraId="7EE908F3" w14:textId="77777777" w:rsidR="00135214" w:rsidRPr="00135214" w:rsidRDefault="00135214" w:rsidP="00A111E9">
      <w:pPr>
        <w:widowControl/>
        <w:rPr>
          <w:rFonts w:eastAsiaTheme="minorHAnsi" w:cstheme="minorBidi"/>
          <w:szCs w:val="22"/>
          <w:lang w:val="en-NZ" w:bidi="ar-SA"/>
        </w:rPr>
      </w:pPr>
    </w:p>
    <w:p w14:paraId="4D09484A" w14:textId="5D764102" w:rsidR="00135214" w:rsidRPr="00135214" w:rsidRDefault="00135214" w:rsidP="00A111E9">
      <w:pPr>
        <w:widowControl/>
        <w:rPr>
          <w:rFonts w:eastAsiaTheme="minorHAnsi" w:cstheme="minorBidi"/>
          <w:szCs w:val="22"/>
          <w:lang w:val="en-NZ" w:bidi="ar-SA"/>
        </w:rPr>
      </w:pPr>
      <w:r w:rsidRPr="00135214">
        <w:rPr>
          <w:rFonts w:eastAsiaTheme="minorHAnsi" w:cstheme="minorBidi"/>
          <w:szCs w:val="22"/>
          <w:lang w:val="en-NZ" w:bidi="ar-SA"/>
        </w:rPr>
        <w:t xml:space="preserve">Serum and liver PFHxS concentrations measured in the study are summarised in </w:t>
      </w:r>
      <w:r w:rsidR="000B64F9" w:rsidRPr="00D711DD">
        <w:rPr>
          <w:rFonts w:eastAsiaTheme="minorHAnsi"/>
          <w:lang w:val="en-NZ"/>
        </w:rPr>
        <w:t xml:space="preserve">Table </w:t>
      </w:r>
      <w:r w:rsidR="00A319B5">
        <w:rPr>
          <w:rFonts w:eastAsiaTheme="minorHAnsi" w:cstheme="minorBidi"/>
          <w:szCs w:val="22"/>
          <w:lang w:val="en-NZ" w:bidi="ar-SA"/>
        </w:rPr>
        <w:t>34</w:t>
      </w:r>
      <w:r w:rsidRPr="00135214">
        <w:rPr>
          <w:rFonts w:eastAsiaTheme="minorHAnsi" w:cstheme="minorBidi"/>
          <w:szCs w:val="22"/>
          <w:lang w:val="en-NZ" w:bidi="ar-SA"/>
        </w:rPr>
        <w:t>.</w:t>
      </w:r>
    </w:p>
    <w:p w14:paraId="78271C04" w14:textId="77777777" w:rsidR="00135214" w:rsidRPr="00135214" w:rsidRDefault="00135214" w:rsidP="00A111E9">
      <w:pPr>
        <w:widowControl/>
        <w:rPr>
          <w:rFonts w:eastAsiaTheme="minorHAnsi" w:cstheme="minorBidi"/>
          <w:szCs w:val="22"/>
          <w:lang w:val="en-NZ" w:bidi="ar-SA"/>
        </w:rPr>
      </w:pPr>
    </w:p>
    <w:p w14:paraId="54B97F34" w14:textId="77777777" w:rsidR="00AD1128" w:rsidRDefault="00AD1128" w:rsidP="00A111E9">
      <w:pPr>
        <w:widowControl/>
        <w:rPr>
          <w:rFonts w:eastAsiaTheme="minorHAnsi" w:cs="Arial"/>
          <w:b/>
          <w:lang w:val="en-NZ"/>
        </w:rPr>
      </w:pPr>
      <w:r>
        <w:rPr>
          <w:rFonts w:eastAsiaTheme="minorHAnsi"/>
          <w:lang w:val="en-NZ"/>
        </w:rPr>
        <w:br w:type="page"/>
      </w:r>
    </w:p>
    <w:p w14:paraId="0CE8BE52" w14:textId="101BF046" w:rsidR="00135214" w:rsidRPr="00135214" w:rsidRDefault="000B64F9" w:rsidP="00A111E9">
      <w:pPr>
        <w:pStyle w:val="FSTableTitle"/>
        <w:rPr>
          <w:rFonts w:eastAsiaTheme="minorHAnsi"/>
          <w:lang w:val="en-NZ" w:bidi="ar-SA"/>
        </w:rPr>
      </w:pPr>
      <w:r w:rsidRPr="00A319B5">
        <w:rPr>
          <w:rFonts w:eastAsiaTheme="minorHAnsi"/>
        </w:rPr>
        <w:lastRenderedPageBreak/>
        <w:t xml:space="preserve">Table </w:t>
      </w:r>
      <w:r w:rsidR="00A319B5" w:rsidRPr="00A319B5">
        <w:rPr>
          <w:rFonts w:eastAsiaTheme="minorHAnsi"/>
        </w:rPr>
        <w:t>34</w:t>
      </w:r>
      <w:r w:rsidRPr="00D10449">
        <w:rPr>
          <w:rFonts w:eastAsiaTheme="minorHAnsi"/>
          <w:b w:val="0"/>
        </w:rPr>
        <w:t>:</w:t>
      </w:r>
      <w:r w:rsidR="00135214" w:rsidRPr="00D10449">
        <w:rPr>
          <w:rFonts w:eastAsiaTheme="minorHAnsi"/>
        </w:rPr>
        <w:t xml:space="preserve"> Mean </w:t>
      </w:r>
      <w:r w:rsidR="007C3D18">
        <w:rPr>
          <w:rFonts w:eastAsiaTheme="minorHAnsi"/>
        </w:rPr>
        <w:t>s</w:t>
      </w:r>
      <w:r w:rsidR="007C3D18" w:rsidRPr="00D10449">
        <w:rPr>
          <w:rFonts w:eastAsiaTheme="minorHAnsi"/>
        </w:rPr>
        <w:t>erum</w:t>
      </w:r>
      <w:r w:rsidR="00135214" w:rsidRPr="00D10449">
        <w:rPr>
          <w:rFonts w:eastAsiaTheme="minorHAnsi"/>
        </w:rPr>
        <w:t>/</w:t>
      </w:r>
      <w:r w:rsidR="007C3D18">
        <w:rPr>
          <w:rFonts w:eastAsiaTheme="minorHAnsi"/>
        </w:rPr>
        <w:t>p</w:t>
      </w:r>
      <w:r w:rsidR="007C3D18" w:rsidRPr="00D10449">
        <w:rPr>
          <w:rFonts w:eastAsiaTheme="minorHAnsi"/>
        </w:rPr>
        <w:t xml:space="preserve">lasma </w:t>
      </w:r>
      <w:r w:rsidR="00135214" w:rsidRPr="00D10449">
        <w:rPr>
          <w:rFonts w:eastAsiaTheme="minorHAnsi"/>
        </w:rPr>
        <w:t xml:space="preserve">and </w:t>
      </w:r>
      <w:r w:rsidR="007C3D18">
        <w:rPr>
          <w:rFonts w:eastAsiaTheme="minorHAnsi"/>
        </w:rPr>
        <w:t>l</w:t>
      </w:r>
      <w:r w:rsidR="007C3D18" w:rsidRPr="00D10449">
        <w:rPr>
          <w:rFonts w:eastAsiaTheme="minorHAnsi"/>
        </w:rPr>
        <w:t xml:space="preserve">iver </w:t>
      </w:r>
      <w:r w:rsidR="00135214" w:rsidRPr="00D10449">
        <w:rPr>
          <w:rFonts w:eastAsiaTheme="minorHAnsi"/>
        </w:rPr>
        <w:t xml:space="preserve">PFHxS </w:t>
      </w:r>
      <w:r w:rsidR="007C3D18">
        <w:rPr>
          <w:rFonts w:eastAsiaTheme="minorHAnsi"/>
        </w:rPr>
        <w:t>c</w:t>
      </w:r>
      <w:r w:rsidR="007C3D18" w:rsidRPr="00D10449">
        <w:rPr>
          <w:rFonts w:eastAsiaTheme="minorHAnsi"/>
        </w:rPr>
        <w:t>oncentration</w:t>
      </w:r>
    </w:p>
    <w:tbl>
      <w:tblPr>
        <w:tblStyle w:val="TableGrid"/>
        <w:tblW w:w="0" w:type="auto"/>
        <w:tblLook w:val="04A0" w:firstRow="1" w:lastRow="0" w:firstColumn="1" w:lastColumn="0" w:noHBand="0" w:noVBand="1"/>
        <w:tblCaption w:val="Table 34: Mean serum/plasma and liver PFHxS concentration"/>
        <w:tblDescription w:val="This table contains data relating to mean serum/plasma and liver perfluorohexanesulfonic acid concentration."/>
      </w:tblPr>
      <w:tblGrid>
        <w:gridCol w:w="1286"/>
        <w:gridCol w:w="1286"/>
        <w:gridCol w:w="1305"/>
        <w:gridCol w:w="1320"/>
        <w:gridCol w:w="1329"/>
        <w:gridCol w:w="1431"/>
        <w:gridCol w:w="1329"/>
      </w:tblGrid>
      <w:tr w:rsidR="00135214" w:rsidRPr="00135214" w14:paraId="29F80433" w14:textId="77777777" w:rsidTr="000830C5">
        <w:trPr>
          <w:tblHeader/>
        </w:trPr>
        <w:tc>
          <w:tcPr>
            <w:tcW w:w="9286" w:type="dxa"/>
            <w:gridSpan w:val="7"/>
            <w:shd w:val="clear" w:color="auto" w:fill="F2F2F2" w:themeFill="background1" w:themeFillShade="F2"/>
          </w:tcPr>
          <w:p w14:paraId="1768C91C" w14:textId="78B210F1" w:rsidR="00135214" w:rsidRPr="00F6284E" w:rsidRDefault="00135214" w:rsidP="00A111E9">
            <w:pPr>
              <w:widowControl/>
              <w:spacing w:before="20" w:after="20"/>
              <w:rPr>
                <w:rFonts w:ascii="Arial" w:eastAsiaTheme="minorHAnsi" w:hAnsi="Arial"/>
                <w:b/>
                <w:sz w:val="18"/>
                <w:lang w:val="en-NZ"/>
              </w:rPr>
            </w:pPr>
            <w:r w:rsidRPr="00D711DD">
              <w:rPr>
                <w:rFonts w:eastAsiaTheme="minorHAnsi"/>
                <w:b/>
                <w:sz w:val="18"/>
                <w:lang w:val="en-NZ"/>
              </w:rPr>
              <w:t>K</w:t>
            </w:r>
            <w:r w:rsidRPr="000B3C14">
              <w:rPr>
                <w:rFonts w:eastAsiaTheme="minorHAnsi"/>
                <w:b/>
                <w:sz w:val="18"/>
                <w:vertAlign w:val="superscript"/>
                <w:lang w:val="en-NZ"/>
              </w:rPr>
              <w:t>+</w:t>
            </w:r>
            <w:r w:rsidRPr="000B3C14">
              <w:rPr>
                <w:rFonts w:eastAsiaTheme="minorHAnsi"/>
                <w:b/>
                <w:sz w:val="18"/>
                <w:lang w:val="en-NZ"/>
              </w:rPr>
              <w:t xml:space="preserve">PFHxS </w:t>
            </w:r>
            <w:r w:rsidR="0094513D">
              <w:rPr>
                <w:rFonts w:eastAsiaTheme="minorHAnsi"/>
                <w:b/>
                <w:sz w:val="18"/>
                <w:lang w:val="en-NZ"/>
              </w:rPr>
              <w:t>d</w:t>
            </w:r>
            <w:r w:rsidRPr="000B3C14">
              <w:rPr>
                <w:rFonts w:eastAsiaTheme="minorHAnsi"/>
                <w:b/>
                <w:sz w:val="18"/>
                <w:lang w:val="en-NZ"/>
              </w:rPr>
              <w:t>ose (</w:t>
            </w:r>
            <w:r w:rsidR="00986779">
              <w:rPr>
                <w:rFonts w:eastAsiaTheme="minorHAnsi"/>
                <w:b/>
                <w:sz w:val="18"/>
                <w:lang w:val="en-NZ"/>
              </w:rPr>
              <w:t>M</w:t>
            </w:r>
            <w:r w:rsidRPr="000B3C14">
              <w:rPr>
                <w:rFonts w:eastAsiaTheme="minorHAnsi"/>
                <w:b/>
                <w:sz w:val="18"/>
                <w:lang w:val="en-NZ"/>
              </w:rPr>
              <w:t>g/</w:t>
            </w:r>
            <w:r w:rsidR="0094513D">
              <w:rPr>
                <w:rFonts w:eastAsiaTheme="minorHAnsi"/>
                <w:b/>
                <w:sz w:val="18"/>
                <w:lang w:val="en-NZ"/>
              </w:rPr>
              <w:t>k</w:t>
            </w:r>
            <w:r w:rsidRPr="000B3C14">
              <w:rPr>
                <w:rFonts w:eastAsiaTheme="minorHAnsi"/>
                <w:b/>
                <w:sz w:val="18"/>
                <w:lang w:val="en-NZ"/>
              </w:rPr>
              <w:t xml:space="preserve">g </w:t>
            </w:r>
            <w:r w:rsidR="00986779">
              <w:rPr>
                <w:rFonts w:eastAsiaTheme="minorHAnsi"/>
                <w:b/>
                <w:sz w:val="18"/>
                <w:lang w:val="en-NZ"/>
              </w:rPr>
              <w:t>B</w:t>
            </w:r>
            <w:r w:rsidRPr="000B3C14">
              <w:rPr>
                <w:rFonts w:eastAsiaTheme="minorHAnsi"/>
                <w:b/>
                <w:sz w:val="18"/>
                <w:lang w:val="en-NZ"/>
              </w:rPr>
              <w:t>w</w:t>
            </w:r>
            <w:r w:rsidRPr="00F6284E">
              <w:rPr>
                <w:rFonts w:eastAsiaTheme="minorHAnsi"/>
                <w:b/>
                <w:sz w:val="18"/>
                <w:lang w:val="en-NZ"/>
              </w:rPr>
              <w:t>/day)</w:t>
            </w:r>
          </w:p>
        </w:tc>
      </w:tr>
      <w:tr w:rsidR="00135214" w:rsidRPr="00135214" w14:paraId="22657FE2" w14:textId="77777777" w:rsidTr="000830C5">
        <w:trPr>
          <w:tblHeader/>
        </w:trPr>
        <w:tc>
          <w:tcPr>
            <w:tcW w:w="1286" w:type="dxa"/>
            <w:tcBorders>
              <w:bottom w:val="single" w:sz="4" w:space="0" w:color="000000"/>
            </w:tcBorders>
            <w:shd w:val="clear" w:color="auto" w:fill="F2F2F2" w:themeFill="background1" w:themeFillShade="F2"/>
          </w:tcPr>
          <w:p w14:paraId="2AC5E7E1" w14:textId="77777777" w:rsidR="00135214" w:rsidRPr="000B3C14" w:rsidRDefault="00135214" w:rsidP="00A111E9">
            <w:pPr>
              <w:widowControl/>
              <w:spacing w:before="20" w:after="20"/>
              <w:rPr>
                <w:rFonts w:ascii="Arial" w:eastAsiaTheme="minorHAnsi" w:hAnsi="Arial"/>
                <w:b/>
                <w:sz w:val="18"/>
                <w:lang w:val="en-NZ"/>
              </w:rPr>
            </w:pPr>
            <w:r w:rsidRPr="00D711DD">
              <w:rPr>
                <w:rFonts w:eastAsiaTheme="minorHAnsi"/>
                <w:b/>
                <w:sz w:val="18"/>
                <w:lang w:val="en-NZ"/>
              </w:rPr>
              <w:t>Day</w:t>
            </w:r>
          </w:p>
        </w:tc>
        <w:tc>
          <w:tcPr>
            <w:tcW w:w="1286" w:type="dxa"/>
            <w:tcBorders>
              <w:bottom w:val="single" w:sz="4" w:space="0" w:color="000000"/>
            </w:tcBorders>
            <w:shd w:val="clear" w:color="auto" w:fill="F2F2F2" w:themeFill="background1" w:themeFillShade="F2"/>
          </w:tcPr>
          <w:p w14:paraId="055D63EE" w14:textId="77777777" w:rsidR="00135214" w:rsidRPr="00F6284E" w:rsidRDefault="00135214" w:rsidP="00A111E9">
            <w:pPr>
              <w:widowControl/>
              <w:spacing w:before="20" w:after="20"/>
              <w:rPr>
                <w:rFonts w:ascii="Arial" w:eastAsiaTheme="minorHAnsi" w:hAnsi="Arial"/>
                <w:b/>
                <w:sz w:val="18"/>
                <w:lang w:val="en-NZ"/>
              </w:rPr>
            </w:pPr>
            <w:r w:rsidRPr="000B3C14">
              <w:rPr>
                <w:rFonts w:eastAsiaTheme="minorHAnsi"/>
                <w:b/>
                <w:sz w:val="18"/>
                <w:lang w:val="en-NZ"/>
              </w:rPr>
              <w:t>Cohort</w:t>
            </w:r>
          </w:p>
        </w:tc>
        <w:tc>
          <w:tcPr>
            <w:tcW w:w="1305" w:type="dxa"/>
            <w:tcBorders>
              <w:bottom w:val="single" w:sz="4" w:space="0" w:color="000000"/>
            </w:tcBorders>
            <w:shd w:val="clear" w:color="auto" w:fill="F2F2F2" w:themeFill="background1" w:themeFillShade="F2"/>
          </w:tcPr>
          <w:p w14:paraId="6ACF55FC" w14:textId="77777777" w:rsidR="00135214" w:rsidRPr="00F6284E" w:rsidRDefault="00135214" w:rsidP="00647943">
            <w:pPr>
              <w:widowControl/>
              <w:spacing w:before="20" w:after="20"/>
              <w:jc w:val="right"/>
              <w:rPr>
                <w:rFonts w:ascii="Arial" w:eastAsiaTheme="minorHAnsi" w:hAnsi="Arial"/>
                <w:b/>
                <w:sz w:val="18"/>
                <w:lang w:val="en-NZ"/>
              </w:rPr>
            </w:pPr>
            <w:r w:rsidRPr="00F6284E">
              <w:rPr>
                <w:rFonts w:eastAsiaTheme="minorHAnsi"/>
                <w:b/>
                <w:sz w:val="18"/>
                <w:lang w:val="en-NZ"/>
              </w:rPr>
              <w:t>0</w:t>
            </w:r>
          </w:p>
        </w:tc>
        <w:tc>
          <w:tcPr>
            <w:tcW w:w="1320" w:type="dxa"/>
            <w:tcBorders>
              <w:bottom w:val="single" w:sz="4" w:space="0" w:color="000000"/>
            </w:tcBorders>
            <w:shd w:val="clear" w:color="auto" w:fill="F2F2F2" w:themeFill="background1" w:themeFillShade="F2"/>
          </w:tcPr>
          <w:p w14:paraId="2F228B0D" w14:textId="77777777" w:rsidR="00135214" w:rsidRPr="00F6284E" w:rsidRDefault="00135214" w:rsidP="00647943">
            <w:pPr>
              <w:widowControl/>
              <w:spacing w:before="20" w:after="20"/>
              <w:jc w:val="right"/>
              <w:rPr>
                <w:rFonts w:ascii="Arial" w:eastAsiaTheme="minorHAnsi" w:hAnsi="Arial"/>
                <w:b/>
                <w:sz w:val="18"/>
                <w:lang w:val="en-NZ"/>
              </w:rPr>
            </w:pPr>
            <w:r w:rsidRPr="00F6284E">
              <w:rPr>
                <w:rFonts w:eastAsiaTheme="minorHAnsi"/>
                <w:b/>
                <w:sz w:val="18"/>
                <w:lang w:val="en-NZ"/>
              </w:rPr>
              <w:t>0.3</w:t>
            </w:r>
          </w:p>
        </w:tc>
        <w:tc>
          <w:tcPr>
            <w:tcW w:w="1329" w:type="dxa"/>
            <w:tcBorders>
              <w:bottom w:val="single" w:sz="4" w:space="0" w:color="000000"/>
            </w:tcBorders>
            <w:shd w:val="clear" w:color="auto" w:fill="F2F2F2" w:themeFill="background1" w:themeFillShade="F2"/>
          </w:tcPr>
          <w:p w14:paraId="5B3D37C7" w14:textId="77777777" w:rsidR="00135214" w:rsidRPr="00F6284E" w:rsidRDefault="00135214" w:rsidP="00647943">
            <w:pPr>
              <w:widowControl/>
              <w:spacing w:before="20" w:after="20"/>
              <w:jc w:val="right"/>
              <w:rPr>
                <w:rFonts w:ascii="Arial" w:eastAsiaTheme="minorHAnsi" w:hAnsi="Arial"/>
                <w:b/>
                <w:sz w:val="18"/>
                <w:lang w:val="en-NZ"/>
              </w:rPr>
            </w:pPr>
            <w:r w:rsidRPr="00F6284E">
              <w:rPr>
                <w:rFonts w:eastAsiaTheme="minorHAnsi"/>
                <w:b/>
                <w:sz w:val="18"/>
                <w:lang w:val="en-NZ"/>
              </w:rPr>
              <w:t>1.0</w:t>
            </w:r>
          </w:p>
        </w:tc>
        <w:tc>
          <w:tcPr>
            <w:tcW w:w="1431" w:type="dxa"/>
            <w:tcBorders>
              <w:bottom w:val="single" w:sz="4" w:space="0" w:color="000000"/>
            </w:tcBorders>
            <w:shd w:val="clear" w:color="auto" w:fill="F2F2F2" w:themeFill="background1" w:themeFillShade="F2"/>
          </w:tcPr>
          <w:p w14:paraId="5691C720" w14:textId="77777777" w:rsidR="00135214" w:rsidRPr="00F6284E" w:rsidRDefault="00135214" w:rsidP="00647943">
            <w:pPr>
              <w:widowControl/>
              <w:spacing w:before="20" w:after="20"/>
              <w:jc w:val="right"/>
              <w:rPr>
                <w:rFonts w:ascii="Arial" w:eastAsiaTheme="minorHAnsi" w:hAnsi="Arial"/>
                <w:b/>
                <w:sz w:val="18"/>
                <w:lang w:val="en-NZ"/>
              </w:rPr>
            </w:pPr>
            <w:r w:rsidRPr="00F6284E">
              <w:rPr>
                <w:rFonts w:eastAsiaTheme="minorHAnsi"/>
                <w:b/>
                <w:sz w:val="18"/>
                <w:lang w:val="en-NZ"/>
              </w:rPr>
              <w:t>3.0</w:t>
            </w:r>
          </w:p>
        </w:tc>
        <w:tc>
          <w:tcPr>
            <w:tcW w:w="1329" w:type="dxa"/>
            <w:tcBorders>
              <w:bottom w:val="single" w:sz="4" w:space="0" w:color="000000"/>
            </w:tcBorders>
            <w:shd w:val="clear" w:color="auto" w:fill="F2F2F2" w:themeFill="background1" w:themeFillShade="F2"/>
          </w:tcPr>
          <w:p w14:paraId="3190FDCD" w14:textId="77777777" w:rsidR="00135214" w:rsidRPr="00F6284E" w:rsidRDefault="00135214" w:rsidP="00647943">
            <w:pPr>
              <w:widowControl/>
              <w:spacing w:before="20" w:after="20"/>
              <w:jc w:val="right"/>
              <w:rPr>
                <w:rFonts w:ascii="Arial" w:eastAsiaTheme="minorHAnsi" w:hAnsi="Arial"/>
                <w:b/>
                <w:sz w:val="18"/>
                <w:lang w:val="en-NZ"/>
              </w:rPr>
            </w:pPr>
            <w:r w:rsidRPr="00F6284E">
              <w:rPr>
                <w:rFonts w:eastAsiaTheme="minorHAnsi"/>
                <w:b/>
                <w:sz w:val="18"/>
                <w:lang w:val="en-NZ"/>
              </w:rPr>
              <w:t>10.0</w:t>
            </w:r>
          </w:p>
        </w:tc>
      </w:tr>
      <w:tr w:rsidR="00135214" w:rsidRPr="00135214" w14:paraId="1B03AA05" w14:textId="77777777" w:rsidTr="00F6284E">
        <w:trPr>
          <w:trHeight w:val="255"/>
        </w:trPr>
        <w:tc>
          <w:tcPr>
            <w:tcW w:w="9286" w:type="dxa"/>
            <w:gridSpan w:val="7"/>
            <w:shd w:val="clear" w:color="auto" w:fill="F2F2F2" w:themeFill="background1" w:themeFillShade="F2"/>
            <w:vAlign w:val="center"/>
          </w:tcPr>
          <w:p w14:paraId="2AE7D5D9" w14:textId="77777777" w:rsidR="00135214" w:rsidRPr="000B3C14" w:rsidRDefault="00135214" w:rsidP="00647943">
            <w:pPr>
              <w:widowControl/>
              <w:rPr>
                <w:rFonts w:ascii="Arial" w:eastAsiaTheme="minorHAnsi" w:hAnsi="Arial"/>
                <w:b/>
                <w:sz w:val="18"/>
                <w:lang w:val="en-NZ"/>
              </w:rPr>
            </w:pPr>
            <w:r w:rsidRPr="00D711DD">
              <w:rPr>
                <w:rFonts w:eastAsiaTheme="minorHAnsi"/>
                <w:b/>
                <w:sz w:val="18"/>
                <w:lang w:val="en-NZ"/>
              </w:rPr>
              <w:t>Serum PFHxS (µg/mL)</w:t>
            </w:r>
          </w:p>
        </w:tc>
      </w:tr>
      <w:tr w:rsidR="00135214" w:rsidRPr="00135214" w14:paraId="0B0C0407" w14:textId="77777777" w:rsidTr="00F6284E">
        <w:trPr>
          <w:trHeight w:val="255"/>
        </w:trPr>
        <w:tc>
          <w:tcPr>
            <w:tcW w:w="1286" w:type="dxa"/>
            <w:vAlign w:val="center"/>
          </w:tcPr>
          <w:p w14:paraId="769E4087" w14:textId="77777777" w:rsidR="00135214" w:rsidRPr="000B3C14" w:rsidRDefault="00135214" w:rsidP="00A111E9">
            <w:pPr>
              <w:widowControl/>
              <w:rPr>
                <w:rFonts w:ascii="Arial" w:eastAsiaTheme="minorHAnsi" w:hAnsi="Arial"/>
                <w:sz w:val="18"/>
                <w:lang w:val="en-NZ"/>
              </w:rPr>
            </w:pPr>
            <w:r w:rsidRPr="00D711DD">
              <w:rPr>
                <w:rFonts w:eastAsiaTheme="minorHAnsi"/>
                <w:sz w:val="18"/>
                <w:lang w:val="en-NZ"/>
              </w:rPr>
              <w:t>14</w:t>
            </w:r>
          </w:p>
        </w:tc>
        <w:tc>
          <w:tcPr>
            <w:tcW w:w="1286" w:type="dxa"/>
            <w:vAlign w:val="center"/>
          </w:tcPr>
          <w:p w14:paraId="301E7C85" w14:textId="2BEC473B" w:rsidR="00135214" w:rsidRPr="00F6284E" w:rsidRDefault="00135214" w:rsidP="00A111E9">
            <w:pPr>
              <w:widowControl/>
              <w:rPr>
                <w:rFonts w:ascii="Arial" w:eastAsiaTheme="minorHAnsi" w:hAnsi="Arial"/>
                <w:sz w:val="18"/>
                <w:lang w:val="en-NZ"/>
              </w:rPr>
            </w:pPr>
            <w:r w:rsidRPr="000B3C14">
              <w:rPr>
                <w:rFonts w:eastAsiaTheme="minorHAnsi"/>
                <w:sz w:val="18"/>
                <w:lang w:val="en-NZ"/>
              </w:rPr>
              <w:t>F</w:t>
            </w:r>
            <w:r w:rsidR="009E6E48">
              <w:rPr>
                <w:rFonts w:eastAsiaTheme="minorHAnsi"/>
                <w:sz w:val="18"/>
                <w:lang w:val="en-NZ"/>
              </w:rPr>
              <w:t>0</w:t>
            </w:r>
            <w:r w:rsidRPr="00F6284E">
              <w:rPr>
                <w:rFonts w:eastAsiaTheme="minorHAnsi"/>
                <w:sz w:val="18"/>
                <w:lang w:val="en-NZ"/>
              </w:rPr>
              <w:t xml:space="preserve"> male</w:t>
            </w:r>
          </w:p>
        </w:tc>
        <w:tc>
          <w:tcPr>
            <w:tcW w:w="1305" w:type="dxa"/>
            <w:vAlign w:val="center"/>
          </w:tcPr>
          <w:p w14:paraId="1C9BCF5D" w14:textId="77777777" w:rsidR="00135214" w:rsidRPr="00F6284E" w:rsidRDefault="00135214" w:rsidP="00647943">
            <w:pPr>
              <w:widowControl/>
              <w:jc w:val="right"/>
              <w:rPr>
                <w:rFonts w:ascii="Arial" w:eastAsiaTheme="minorHAnsi" w:hAnsi="Arial"/>
                <w:sz w:val="18"/>
                <w:lang w:val="en-NZ"/>
              </w:rPr>
            </w:pPr>
            <w:r w:rsidRPr="00F6284E">
              <w:rPr>
                <w:rFonts w:eastAsiaTheme="minorHAnsi"/>
                <w:sz w:val="18"/>
                <w:lang w:val="en-NZ"/>
              </w:rPr>
              <w:t>0.14±0.05</w:t>
            </w:r>
          </w:p>
        </w:tc>
        <w:tc>
          <w:tcPr>
            <w:tcW w:w="1320" w:type="dxa"/>
            <w:vAlign w:val="center"/>
          </w:tcPr>
          <w:p w14:paraId="206EDC7B" w14:textId="77777777" w:rsidR="00135214" w:rsidRPr="00F6284E" w:rsidRDefault="00135214" w:rsidP="00647943">
            <w:pPr>
              <w:widowControl/>
              <w:jc w:val="right"/>
              <w:rPr>
                <w:rFonts w:ascii="Arial" w:eastAsiaTheme="minorHAnsi" w:hAnsi="Arial"/>
                <w:sz w:val="18"/>
                <w:lang w:val="en-NZ"/>
              </w:rPr>
            </w:pPr>
            <w:r w:rsidRPr="00F6284E">
              <w:rPr>
                <w:rFonts w:eastAsiaTheme="minorHAnsi"/>
                <w:sz w:val="18"/>
                <w:lang w:val="en-NZ"/>
              </w:rPr>
              <w:t>18.18±2.42</w:t>
            </w:r>
          </w:p>
        </w:tc>
        <w:tc>
          <w:tcPr>
            <w:tcW w:w="1329" w:type="dxa"/>
            <w:vAlign w:val="center"/>
          </w:tcPr>
          <w:p w14:paraId="580D2F47" w14:textId="77777777" w:rsidR="00135214" w:rsidRPr="00F6284E" w:rsidRDefault="00135214" w:rsidP="00647943">
            <w:pPr>
              <w:widowControl/>
              <w:jc w:val="right"/>
              <w:rPr>
                <w:rFonts w:ascii="Arial" w:eastAsiaTheme="minorHAnsi" w:hAnsi="Arial"/>
                <w:sz w:val="18"/>
                <w:lang w:val="en-NZ"/>
              </w:rPr>
            </w:pPr>
            <w:r w:rsidRPr="00F6284E">
              <w:rPr>
                <w:sz w:val="18"/>
              </w:rPr>
              <w:t>80.97±30.83</w:t>
            </w:r>
          </w:p>
        </w:tc>
        <w:tc>
          <w:tcPr>
            <w:tcW w:w="1431" w:type="dxa"/>
            <w:vAlign w:val="center"/>
          </w:tcPr>
          <w:p w14:paraId="0CDB9368" w14:textId="77777777" w:rsidR="00135214" w:rsidRPr="00F6284E" w:rsidRDefault="00135214" w:rsidP="00647943">
            <w:pPr>
              <w:widowControl/>
              <w:jc w:val="right"/>
              <w:rPr>
                <w:rFonts w:ascii="Arial" w:eastAsiaTheme="minorHAnsi" w:hAnsi="Arial"/>
                <w:sz w:val="18"/>
                <w:lang w:val="en-NZ"/>
              </w:rPr>
            </w:pPr>
            <w:r w:rsidRPr="00F6284E">
              <w:rPr>
                <w:sz w:val="18"/>
              </w:rPr>
              <w:t>143.05±82.09</w:t>
            </w:r>
          </w:p>
        </w:tc>
        <w:tc>
          <w:tcPr>
            <w:tcW w:w="1329" w:type="dxa"/>
            <w:vAlign w:val="center"/>
          </w:tcPr>
          <w:p w14:paraId="5EB2C3BD" w14:textId="77777777" w:rsidR="00135214" w:rsidRPr="00F6284E" w:rsidRDefault="00135214" w:rsidP="00647943">
            <w:pPr>
              <w:widowControl/>
              <w:jc w:val="right"/>
              <w:rPr>
                <w:rFonts w:ascii="Arial" w:eastAsiaTheme="minorHAnsi" w:hAnsi="Arial"/>
                <w:sz w:val="18"/>
                <w:lang w:val="en-NZ"/>
              </w:rPr>
            </w:pPr>
            <w:r w:rsidRPr="00F6284E">
              <w:rPr>
                <w:sz w:val="18"/>
              </w:rPr>
              <w:t>182.67±8.25</w:t>
            </w:r>
          </w:p>
        </w:tc>
      </w:tr>
      <w:tr w:rsidR="00135214" w:rsidRPr="00135214" w14:paraId="5E332F88" w14:textId="77777777" w:rsidTr="00F6284E">
        <w:trPr>
          <w:trHeight w:val="255"/>
        </w:trPr>
        <w:tc>
          <w:tcPr>
            <w:tcW w:w="1286" w:type="dxa"/>
            <w:vAlign w:val="center"/>
          </w:tcPr>
          <w:p w14:paraId="67033644" w14:textId="77777777" w:rsidR="00135214" w:rsidRPr="000B3C14" w:rsidRDefault="00135214" w:rsidP="00A111E9">
            <w:pPr>
              <w:widowControl/>
              <w:rPr>
                <w:rFonts w:ascii="Arial" w:eastAsiaTheme="minorHAnsi" w:hAnsi="Arial"/>
                <w:sz w:val="18"/>
                <w:lang w:val="en-NZ"/>
              </w:rPr>
            </w:pPr>
            <w:r w:rsidRPr="00D711DD">
              <w:rPr>
                <w:rFonts w:eastAsiaTheme="minorHAnsi"/>
                <w:sz w:val="18"/>
                <w:lang w:val="en-NZ"/>
              </w:rPr>
              <w:t>14</w:t>
            </w:r>
          </w:p>
        </w:tc>
        <w:tc>
          <w:tcPr>
            <w:tcW w:w="1286" w:type="dxa"/>
            <w:vAlign w:val="center"/>
          </w:tcPr>
          <w:p w14:paraId="0145B19D" w14:textId="21D0EB34" w:rsidR="00135214" w:rsidRPr="00F6284E" w:rsidRDefault="00135214" w:rsidP="00A111E9">
            <w:pPr>
              <w:widowControl/>
              <w:rPr>
                <w:rFonts w:ascii="Arial" w:eastAsiaTheme="minorHAnsi" w:hAnsi="Arial"/>
                <w:sz w:val="18"/>
                <w:lang w:val="en-NZ"/>
              </w:rPr>
            </w:pPr>
            <w:r w:rsidRPr="000B3C14">
              <w:rPr>
                <w:rFonts w:eastAsiaTheme="minorHAnsi"/>
                <w:sz w:val="18"/>
                <w:lang w:val="en-NZ"/>
              </w:rPr>
              <w:t>F</w:t>
            </w:r>
            <w:r w:rsidR="009E6E48">
              <w:rPr>
                <w:rFonts w:eastAsiaTheme="minorHAnsi"/>
                <w:sz w:val="18"/>
                <w:lang w:val="en-NZ"/>
              </w:rPr>
              <w:t>0 f</w:t>
            </w:r>
            <w:r w:rsidRPr="00F6284E">
              <w:rPr>
                <w:rFonts w:eastAsiaTheme="minorHAnsi"/>
                <w:sz w:val="18"/>
                <w:lang w:val="en-NZ"/>
              </w:rPr>
              <w:t>emale</w:t>
            </w:r>
          </w:p>
        </w:tc>
        <w:tc>
          <w:tcPr>
            <w:tcW w:w="1305" w:type="dxa"/>
            <w:vAlign w:val="center"/>
          </w:tcPr>
          <w:p w14:paraId="69BB7E84" w14:textId="77777777" w:rsidR="00135214" w:rsidRPr="00F6284E" w:rsidRDefault="00135214" w:rsidP="00647943">
            <w:pPr>
              <w:widowControl/>
              <w:jc w:val="right"/>
              <w:rPr>
                <w:rFonts w:ascii="Arial" w:eastAsiaTheme="minorHAnsi" w:hAnsi="Arial"/>
                <w:sz w:val="18"/>
                <w:vertAlign w:val="superscript"/>
                <w:lang w:val="en-NZ"/>
              </w:rPr>
            </w:pPr>
            <w:r w:rsidRPr="00F6284E">
              <w:rPr>
                <w:sz w:val="18"/>
              </w:rPr>
              <w:t>0.39</w:t>
            </w:r>
            <w:r w:rsidRPr="00F6284E">
              <w:rPr>
                <w:sz w:val="18"/>
                <w:vertAlign w:val="superscript"/>
              </w:rPr>
              <w:t>a</w:t>
            </w:r>
          </w:p>
        </w:tc>
        <w:tc>
          <w:tcPr>
            <w:tcW w:w="1320" w:type="dxa"/>
            <w:vAlign w:val="center"/>
          </w:tcPr>
          <w:p w14:paraId="58F18DC8" w14:textId="77777777" w:rsidR="00135214" w:rsidRPr="00F6284E" w:rsidRDefault="00135214" w:rsidP="00647943">
            <w:pPr>
              <w:widowControl/>
              <w:jc w:val="right"/>
              <w:rPr>
                <w:rFonts w:ascii="Arial" w:eastAsiaTheme="minorHAnsi" w:hAnsi="Arial"/>
                <w:sz w:val="18"/>
                <w:lang w:val="en-NZ"/>
              </w:rPr>
            </w:pPr>
            <w:r w:rsidRPr="00F6284E">
              <w:rPr>
                <w:sz w:val="18"/>
              </w:rPr>
              <w:t>2.78±0.81</w:t>
            </w:r>
          </w:p>
        </w:tc>
        <w:tc>
          <w:tcPr>
            <w:tcW w:w="1329" w:type="dxa"/>
            <w:vAlign w:val="center"/>
          </w:tcPr>
          <w:p w14:paraId="45D91250" w14:textId="77777777" w:rsidR="00135214" w:rsidRPr="00F6284E" w:rsidRDefault="00135214" w:rsidP="00647943">
            <w:pPr>
              <w:widowControl/>
              <w:jc w:val="right"/>
              <w:rPr>
                <w:rFonts w:ascii="Arial" w:eastAsiaTheme="minorHAnsi" w:hAnsi="Arial"/>
                <w:sz w:val="18"/>
                <w:lang w:val="en-NZ"/>
              </w:rPr>
            </w:pPr>
            <w:r w:rsidRPr="00F6284E">
              <w:rPr>
                <w:sz w:val="18"/>
              </w:rPr>
              <w:t>9.85±3.91</w:t>
            </w:r>
          </w:p>
        </w:tc>
        <w:tc>
          <w:tcPr>
            <w:tcW w:w="1431" w:type="dxa"/>
            <w:vAlign w:val="center"/>
          </w:tcPr>
          <w:p w14:paraId="33A06D0A" w14:textId="77777777" w:rsidR="00135214" w:rsidRPr="00F6284E" w:rsidRDefault="00135214" w:rsidP="00647943">
            <w:pPr>
              <w:widowControl/>
              <w:jc w:val="right"/>
              <w:rPr>
                <w:rFonts w:ascii="Arial" w:eastAsiaTheme="minorHAnsi" w:hAnsi="Arial"/>
                <w:sz w:val="18"/>
                <w:lang w:val="en-NZ"/>
              </w:rPr>
            </w:pPr>
            <w:r w:rsidRPr="00F6284E">
              <w:rPr>
                <w:sz w:val="18"/>
              </w:rPr>
              <w:t>20.67±3.91</w:t>
            </w:r>
          </w:p>
        </w:tc>
        <w:tc>
          <w:tcPr>
            <w:tcW w:w="1329" w:type="dxa"/>
            <w:vAlign w:val="center"/>
          </w:tcPr>
          <w:p w14:paraId="2C83FAA4" w14:textId="77777777" w:rsidR="00135214" w:rsidRPr="00F6284E" w:rsidRDefault="00135214" w:rsidP="00647943">
            <w:pPr>
              <w:widowControl/>
              <w:jc w:val="right"/>
              <w:rPr>
                <w:rFonts w:ascii="Arial" w:eastAsiaTheme="minorHAnsi" w:hAnsi="Arial"/>
                <w:sz w:val="18"/>
                <w:lang w:val="en-NZ"/>
              </w:rPr>
            </w:pPr>
            <w:r w:rsidRPr="00F6284E">
              <w:rPr>
                <w:sz w:val="18"/>
              </w:rPr>
              <w:t>42.04±6.47</w:t>
            </w:r>
          </w:p>
        </w:tc>
      </w:tr>
      <w:tr w:rsidR="00135214" w:rsidRPr="00135214" w14:paraId="0672E47D" w14:textId="77777777" w:rsidTr="00F6284E">
        <w:trPr>
          <w:trHeight w:val="255"/>
        </w:trPr>
        <w:tc>
          <w:tcPr>
            <w:tcW w:w="1286" w:type="dxa"/>
            <w:vAlign w:val="center"/>
          </w:tcPr>
          <w:p w14:paraId="6CB358F5" w14:textId="77777777" w:rsidR="00135214" w:rsidRPr="000B3C14" w:rsidRDefault="00135214" w:rsidP="00A111E9">
            <w:pPr>
              <w:widowControl/>
              <w:rPr>
                <w:rFonts w:ascii="Arial" w:eastAsiaTheme="minorHAnsi" w:hAnsi="Arial"/>
                <w:sz w:val="18"/>
                <w:lang w:val="en-NZ"/>
              </w:rPr>
            </w:pPr>
            <w:r w:rsidRPr="00D711DD">
              <w:rPr>
                <w:rFonts w:eastAsiaTheme="minorHAnsi"/>
                <w:sz w:val="18"/>
                <w:lang w:val="en-NZ"/>
              </w:rPr>
              <w:t>42</w:t>
            </w:r>
          </w:p>
        </w:tc>
        <w:tc>
          <w:tcPr>
            <w:tcW w:w="1286" w:type="dxa"/>
            <w:vAlign w:val="center"/>
          </w:tcPr>
          <w:p w14:paraId="3768A611" w14:textId="5CAA2BDB" w:rsidR="00135214" w:rsidRPr="00F6284E" w:rsidRDefault="00135214" w:rsidP="00A111E9">
            <w:pPr>
              <w:widowControl/>
              <w:rPr>
                <w:rFonts w:ascii="Arial" w:eastAsiaTheme="minorHAnsi" w:hAnsi="Arial"/>
                <w:sz w:val="18"/>
                <w:lang w:val="en-NZ"/>
              </w:rPr>
            </w:pPr>
            <w:r w:rsidRPr="000B3C14">
              <w:rPr>
                <w:rFonts w:eastAsiaTheme="minorHAnsi"/>
                <w:sz w:val="18"/>
                <w:lang w:val="en-NZ"/>
              </w:rPr>
              <w:t>F</w:t>
            </w:r>
            <w:r w:rsidR="009E6E48">
              <w:rPr>
                <w:rFonts w:eastAsiaTheme="minorHAnsi"/>
                <w:sz w:val="18"/>
                <w:lang w:val="en-NZ"/>
              </w:rPr>
              <w:t>0</w:t>
            </w:r>
            <w:r w:rsidRPr="00F6284E">
              <w:rPr>
                <w:rFonts w:eastAsiaTheme="minorHAnsi"/>
                <w:sz w:val="18"/>
                <w:lang w:val="en-NZ"/>
              </w:rPr>
              <w:t xml:space="preserve"> male</w:t>
            </w:r>
          </w:p>
        </w:tc>
        <w:tc>
          <w:tcPr>
            <w:tcW w:w="1305" w:type="dxa"/>
            <w:vAlign w:val="center"/>
          </w:tcPr>
          <w:p w14:paraId="44B7A5C7" w14:textId="77777777" w:rsidR="00135214" w:rsidRPr="00F6284E" w:rsidRDefault="00135214" w:rsidP="00647943">
            <w:pPr>
              <w:widowControl/>
              <w:jc w:val="right"/>
              <w:rPr>
                <w:rFonts w:ascii="Arial" w:eastAsiaTheme="minorHAnsi" w:hAnsi="Arial"/>
                <w:sz w:val="18"/>
                <w:lang w:val="en-NZ"/>
              </w:rPr>
            </w:pPr>
            <w:r w:rsidRPr="00F6284E">
              <w:rPr>
                <w:sz w:val="18"/>
              </w:rPr>
              <w:t>0.32±0.09</w:t>
            </w:r>
          </w:p>
        </w:tc>
        <w:tc>
          <w:tcPr>
            <w:tcW w:w="1320" w:type="dxa"/>
            <w:vAlign w:val="center"/>
          </w:tcPr>
          <w:p w14:paraId="545FA7B2" w14:textId="77777777" w:rsidR="00135214" w:rsidRPr="00F6284E" w:rsidRDefault="00135214" w:rsidP="00647943">
            <w:pPr>
              <w:widowControl/>
              <w:jc w:val="right"/>
              <w:rPr>
                <w:rFonts w:ascii="Arial" w:eastAsiaTheme="minorHAnsi" w:hAnsi="Arial"/>
                <w:sz w:val="18"/>
                <w:lang w:val="en-NZ"/>
              </w:rPr>
            </w:pPr>
            <w:r w:rsidRPr="00F6284E">
              <w:rPr>
                <w:sz w:val="18"/>
              </w:rPr>
              <w:t>44.22±12.66</w:t>
            </w:r>
          </w:p>
        </w:tc>
        <w:tc>
          <w:tcPr>
            <w:tcW w:w="1329" w:type="dxa"/>
            <w:vAlign w:val="center"/>
          </w:tcPr>
          <w:p w14:paraId="74B140C9" w14:textId="77777777" w:rsidR="00135214" w:rsidRPr="00F6284E" w:rsidRDefault="00135214" w:rsidP="00647943">
            <w:pPr>
              <w:widowControl/>
              <w:jc w:val="right"/>
              <w:rPr>
                <w:rFonts w:ascii="Arial" w:eastAsiaTheme="minorHAnsi" w:hAnsi="Arial"/>
                <w:sz w:val="18"/>
                <w:lang w:val="en-NZ"/>
              </w:rPr>
            </w:pPr>
            <w:r w:rsidRPr="00F6284E">
              <w:rPr>
                <w:sz w:val="18"/>
              </w:rPr>
              <w:t>89.12±0.80</w:t>
            </w:r>
          </w:p>
        </w:tc>
        <w:tc>
          <w:tcPr>
            <w:tcW w:w="1431" w:type="dxa"/>
            <w:vAlign w:val="center"/>
          </w:tcPr>
          <w:p w14:paraId="4F0F5927" w14:textId="77777777" w:rsidR="00135214" w:rsidRPr="00F6284E" w:rsidRDefault="00135214" w:rsidP="00647943">
            <w:pPr>
              <w:widowControl/>
              <w:jc w:val="right"/>
              <w:rPr>
                <w:rFonts w:ascii="Arial" w:eastAsiaTheme="minorHAnsi" w:hAnsi="Arial"/>
                <w:sz w:val="18"/>
                <w:lang w:val="en-NZ"/>
              </w:rPr>
            </w:pPr>
            <w:r w:rsidRPr="00F6284E">
              <w:rPr>
                <w:sz w:val="18"/>
              </w:rPr>
              <w:t>128.67±10.30</w:t>
            </w:r>
          </w:p>
        </w:tc>
        <w:tc>
          <w:tcPr>
            <w:tcW w:w="1329" w:type="dxa"/>
            <w:vAlign w:val="center"/>
          </w:tcPr>
          <w:p w14:paraId="1ADC09DB" w14:textId="77777777" w:rsidR="00135214" w:rsidRPr="00F6284E" w:rsidRDefault="00135214" w:rsidP="00647943">
            <w:pPr>
              <w:widowControl/>
              <w:jc w:val="right"/>
              <w:rPr>
                <w:rFonts w:ascii="Arial" w:eastAsiaTheme="minorHAnsi" w:hAnsi="Arial"/>
                <w:sz w:val="18"/>
                <w:lang w:val="en-NZ"/>
              </w:rPr>
            </w:pPr>
            <w:r w:rsidRPr="00F6284E">
              <w:rPr>
                <w:sz w:val="18"/>
              </w:rPr>
              <w:t>201.50±20.02</w:t>
            </w:r>
          </w:p>
        </w:tc>
      </w:tr>
      <w:tr w:rsidR="00135214" w:rsidRPr="00135214" w14:paraId="7381A2CD" w14:textId="77777777" w:rsidTr="00F6284E">
        <w:trPr>
          <w:trHeight w:val="255"/>
        </w:trPr>
        <w:tc>
          <w:tcPr>
            <w:tcW w:w="1286" w:type="dxa"/>
            <w:vAlign w:val="center"/>
          </w:tcPr>
          <w:p w14:paraId="00B43F4B" w14:textId="77777777" w:rsidR="00135214" w:rsidRPr="000B3C14" w:rsidRDefault="00135214" w:rsidP="00A111E9">
            <w:pPr>
              <w:widowControl/>
              <w:rPr>
                <w:rFonts w:ascii="Arial" w:eastAsiaTheme="minorHAnsi" w:hAnsi="Arial"/>
                <w:sz w:val="18"/>
                <w:lang w:val="en-NZ"/>
              </w:rPr>
            </w:pPr>
            <w:r w:rsidRPr="00D711DD">
              <w:rPr>
                <w:rFonts w:eastAsiaTheme="minorHAnsi"/>
                <w:sz w:val="18"/>
                <w:lang w:val="en-NZ"/>
              </w:rPr>
              <w:t>GD21</w:t>
            </w:r>
          </w:p>
        </w:tc>
        <w:tc>
          <w:tcPr>
            <w:tcW w:w="1286" w:type="dxa"/>
            <w:vAlign w:val="center"/>
          </w:tcPr>
          <w:p w14:paraId="1DECD659" w14:textId="0E00A6E5" w:rsidR="00135214" w:rsidRPr="00F6284E" w:rsidRDefault="00135214" w:rsidP="00A111E9">
            <w:pPr>
              <w:widowControl/>
              <w:rPr>
                <w:rFonts w:ascii="Arial" w:eastAsiaTheme="minorHAnsi" w:hAnsi="Arial"/>
                <w:sz w:val="18"/>
                <w:lang w:val="en-NZ"/>
              </w:rPr>
            </w:pPr>
            <w:r w:rsidRPr="000B3C14">
              <w:rPr>
                <w:rFonts w:eastAsiaTheme="minorHAnsi"/>
                <w:sz w:val="18"/>
                <w:lang w:val="en-NZ"/>
              </w:rPr>
              <w:t>F</w:t>
            </w:r>
            <w:r w:rsidR="009E6E48">
              <w:rPr>
                <w:rFonts w:eastAsiaTheme="minorHAnsi"/>
                <w:sz w:val="18"/>
                <w:lang w:val="en-NZ"/>
              </w:rPr>
              <w:t>0</w:t>
            </w:r>
            <w:r w:rsidRPr="00F6284E">
              <w:rPr>
                <w:rFonts w:eastAsiaTheme="minorHAnsi"/>
                <w:sz w:val="18"/>
                <w:lang w:val="en-NZ"/>
              </w:rPr>
              <w:t xml:space="preserve"> female</w:t>
            </w:r>
          </w:p>
        </w:tc>
        <w:tc>
          <w:tcPr>
            <w:tcW w:w="1305" w:type="dxa"/>
            <w:vAlign w:val="center"/>
          </w:tcPr>
          <w:p w14:paraId="21E7CD5B" w14:textId="77777777" w:rsidR="00135214" w:rsidRPr="00F6284E" w:rsidRDefault="00135214" w:rsidP="00647943">
            <w:pPr>
              <w:widowControl/>
              <w:jc w:val="right"/>
              <w:rPr>
                <w:rFonts w:ascii="Arial" w:eastAsiaTheme="minorHAnsi" w:hAnsi="Arial"/>
                <w:sz w:val="18"/>
                <w:vertAlign w:val="superscript"/>
                <w:lang w:val="en-NZ"/>
              </w:rPr>
            </w:pPr>
            <w:r w:rsidRPr="00F6284E">
              <w:rPr>
                <w:sz w:val="18"/>
              </w:rPr>
              <w:t>&lt;LLOQ</w:t>
            </w:r>
            <w:r w:rsidRPr="00F6284E">
              <w:rPr>
                <w:sz w:val="18"/>
                <w:vertAlign w:val="superscript"/>
              </w:rPr>
              <w:t>b</w:t>
            </w:r>
          </w:p>
        </w:tc>
        <w:tc>
          <w:tcPr>
            <w:tcW w:w="1320" w:type="dxa"/>
            <w:vAlign w:val="center"/>
          </w:tcPr>
          <w:p w14:paraId="54BDE3CD" w14:textId="77777777" w:rsidR="00135214" w:rsidRPr="00F6284E" w:rsidRDefault="00135214" w:rsidP="00647943">
            <w:pPr>
              <w:widowControl/>
              <w:jc w:val="right"/>
              <w:rPr>
                <w:rFonts w:ascii="Arial" w:eastAsiaTheme="minorHAnsi" w:hAnsi="Arial"/>
                <w:sz w:val="18"/>
                <w:lang w:val="en-NZ"/>
              </w:rPr>
            </w:pPr>
            <w:r w:rsidRPr="00F6284E">
              <w:rPr>
                <w:sz w:val="18"/>
              </w:rPr>
              <w:t>3.32±0.71</w:t>
            </w:r>
          </w:p>
        </w:tc>
        <w:tc>
          <w:tcPr>
            <w:tcW w:w="1329" w:type="dxa"/>
            <w:vAlign w:val="center"/>
          </w:tcPr>
          <w:p w14:paraId="13D91976" w14:textId="77777777" w:rsidR="00135214" w:rsidRPr="00F6284E" w:rsidRDefault="00135214" w:rsidP="00647943">
            <w:pPr>
              <w:widowControl/>
              <w:jc w:val="right"/>
              <w:rPr>
                <w:rFonts w:ascii="Arial" w:eastAsiaTheme="minorHAnsi" w:hAnsi="Arial"/>
                <w:sz w:val="18"/>
                <w:lang w:val="en-NZ"/>
              </w:rPr>
            </w:pPr>
            <w:r w:rsidRPr="00F6284E">
              <w:rPr>
                <w:sz w:val="18"/>
              </w:rPr>
              <w:t>10.65±6.41</w:t>
            </w:r>
          </w:p>
        </w:tc>
        <w:tc>
          <w:tcPr>
            <w:tcW w:w="1431" w:type="dxa"/>
            <w:vAlign w:val="center"/>
          </w:tcPr>
          <w:p w14:paraId="0AB287E8" w14:textId="77777777" w:rsidR="00135214" w:rsidRPr="00F6284E" w:rsidRDefault="00135214" w:rsidP="00647943">
            <w:pPr>
              <w:widowControl/>
              <w:jc w:val="right"/>
              <w:rPr>
                <w:rFonts w:ascii="Arial" w:eastAsiaTheme="minorHAnsi" w:hAnsi="Arial"/>
                <w:sz w:val="18"/>
                <w:lang w:val="en-NZ"/>
              </w:rPr>
            </w:pPr>
            <w:r w:rsidRPr="00F6284E">
              <w:rPr>
                <w:sz w:val="18"/>
              </w:rPr>
              <w:t>32.75±7.83</w:t>
            </w:r>
          </w:p>
        </w:tc>
        <w:tc>
          <w:tcPr>
            <w:tcW w:w="1329" w:type="dxa"/>
            <w:vAlign w:val="center"/>
          </w:tcPr>
          <w:p w14:paraId="7E14800E" w14:textId="77777777" w:rsidR="00135214" w:rsidRPr="00F6284E" w:rsidRDefault="00135214" w:rsidP="00647943">
            <w:pPr>
              <w:widowControl/>
              <w:jc w:val="right"/>
              <w:rPr>
                <w:rFonts w:ascii="Arial" w:eastAsiaTheme="minorHAnsi" w:hAnsi="Arial"/>
                <w:sz w:val="18"/>
                <w:lang w:val="en-NZ"/>
              </w:rPr>
            </w:pPr>
            <w:r w:rsidRPr="00F6284E">
              <w:rPr>
                <w:sz w:val="18"/>
              </w:rPr>
              <w:t>59.80±11.54</w:t>
            </w:r>
          </w:p>
        </w:tc>
      </w:tr>
      <w:tr w:rsidR="00135214" w:rsidRPr="00135214" w14:paraId="3DC75C71" w14:textId="77777777" w:rsidTr="00F6284E">
        <w:trPr>
          <w:trHeight w:val="255"/>
        </w:trPr>
        <w:tc>
          <w:tcPr>
            <w:tcW w:w="1286" w:type="dxa"/>
            <w:vAlign w:val="center"/>
          </w:tcPr>
          <w:p w14:paraId="4F4F8D21" w14:textId="77777777" w:rsidR="00135214" w:rsidRPr="000B3C14" w:rsidRDefault="00135214" w:rsidP="00A111E9">
            <w:pPr>
              <w:widowControl/>
              <w:rPr>
                <w:rFonts w:ascii="Arial" w:eastAsiaTheme="minorHAnsi" w:hAnsi="Arial"/>
                <w:sz w:val="18"/>
                <w:lang w:val="en-NZ"/>
              </w:rPr>
            </w:pPr>
            <w:r w:rsidRPr="00D711DD">
              <w:rPr>
                <w:rFonts w:eastAsiaTheme="minorHAnsi"/>
                <w:sz w:val="18"/>
                <w:lang w:val="en-NZ"/>
              </w:rPr>
              <w:t>GD21</w:t>
            </w:r>
          </w:p>
        </w:tc>
        <w:tc>
          <w:tcPr>
            <w:tcW w:w="1286" w:type="dxa"/>
            <w:vAlign w:val="center"/>
          </w:tcPr>
          <w:p w14:paraId="39E6122A" w14:textId="12151302" w:rsidR="00135214" w:rsidRPr="00F6284E" w:rsidRDefault="00135214" w:rsidP="00A111E9">
            <w:pPr>
              <w:widowControl/>
              <w:rPr>
                <w:rFonts w:ascii="Arial" w:eastAsiaTheme="minorHAnsi" w:hAnsi="Arial"/>
                <w:sz w:val="18"/>
                <w:vertAlign w:val="superscript"/>
                <w:lang w:val="en-NZ"/>
              </w:rPr>
            </w:pPr>
            <w:r w:rsidRPr="000B3C14">
              <w:rPr>
                <w:rFonts w:eastAsiaTheme="minorHAnsi"/>
                <w:sz w:val="18"/>
                <w:lang w:val="en-NZ"/>
              </w:rPr>
              <w:t>F</w:t>
            </w:r>
            <w:r w:rsidR="009E6E48">
              <w:rPr>
                <w:rFonts w:eastAsiaTheme="minorHAnsi"/>
                <w:sz w:val="18"/>
                <w:lang w:val="en-NZ"/>
              </w:rPr>
              <w:t>1</w:t>
            </w:r>
            <w:r w:rsidRPr="00F6284E">
              <w:rPr>
                <w:rFonts w:eastAsiaTheme="minorHAnsi"/>
                <w:sz w:val="18"/>
                <w:vertAlign w:val="subscript"/>
                <w:lang w:val="en-NZ"/>
              </w:rPr>
              <w:t>,</w:t>
            </w:r>
            <w:r w:rsidRPr="00F6284E">
              <w:rPr>
                <w:rFonts w:eastAsiaTheme="minorHAnsi"/>
                <w:sz w:val="18"/>
                <w:lang w:val="en-NZ"/>
              </w:rPr>
              <w:t xml:space="preserve"> pooled</w:t>
            </w:r>
          </w:p>
        </w:tc>
        <w:tc>
          <w:tcPr>
            <w:tcW w:w="1305" w:type="dxa"/>
            <w:vAlign w:val="center"/>
          </w:tcPr>
          <w:p w14:paraId="4A53B3AB" w14:textId="77777777" w:rsidR="00135214" w:rsidRPr="00F6284E" w:rsidRDefault="00135214" w:rsidP="00647943">
            <w:pPr>
              <w:widowControl/>
              <w:jc w:val="right"/>
              <w:rPr>
                <w:rFonts w:ascii="Arial" w:hAnsi="Arial"/>
                <w:sz w:val="18"/>
              </w:rPr>
            </w:pPr>
            <w:r w:rsidRPr="00F6284E">
              <w:rPr>
                <w:sz w:val="18"/>
              </w:rPr>
              <w:t>&lt;LLOQ</w:t>
            </w:r>
          </w:p>
        </w:tc>
        <w:tc>
          <w:tcPr>
            <w:tcW w:w="1320" w:type="dxa"/>
            <w:vAlign w:val="center"/>
          </w:tcPr>
          <w:p w14:paraId="08207BDE" w14:textId="77777777" w:rsidR="00135214" w:rsidRPr="00F6284E" w:rsidRDefault="00135214" w:rsidP="00647943">
            <w:pPr>
              <w:widowControl/>
              <w:jc w:val="right"/>
              <w:rPr>
                <w:rFonts w:ascii="Arial" w:hAnsi="Arial"/>
                <w:sz w:val="18"/>
              </w:rPr>
            </w:pPr>
            <w:r w:rsidRPr="00F6284E">
              <w:rPr>
                <w:sz w:val="18"/>
              </w:rPr>
              <w:t>5.32±1.32</w:t>
            </w:r>
          </w:p>
        </w:tc>
        <w:tc>
          <w:tcPr>
            <w:tcW w:w="1329" w:type="dxa"/>
            <w:vAlign w:val="center"/>
          </w:tcPr>
          <w:p w14:paraId="613CB7D5" w14:textId="77777777" w:rsidR="00135214" w:rsidRPr="00F6284E" w:rsidRDefault="00135214" w:rsidP="00647943">
            <w:pPr>
              <w:widowControl/>
              <w:jc w:val="right"/>
              <w:rPr>
                <w:rFonts w:ascii="Arial" w:hAnsi="Arial"/>
                <w:sz w:val="18"/>
              </w:rPr>
            </w:pPr>
            <w:r w:rsidRPr="00F6284E">
              <w:rPr>
                <w:sz w:val="18"/>
              </w:rPr>
              <w:t>13.47±2.06</w:t>
            </w:r>
          </w:p>
        </w:tc>
        <w:tc>
          <w:tcPr>
            <w:tcW w:w="1431" w:type="dxa"/>
            <w:vAlign w:val="center"/>
          </w:tcPr>
          <w:p w14:paraId="71654B74" w14:textId="77777777" w:rsidR="00135214" w:rsidRPr="00F6284E" w:rsidRDefault="00135214" w:rsidP="00647943">
            <w:pPr>
              <w:widowControl/>
              <w:jc w:val="right"/>
              <w:rPr>
                <w:rFonts w:ascii="Arial" w:hAnsi="Arial"/>
                <w:sz w:val="18"/>
              </w:rPr>
            </w:pPr>
            <w:r w:rsidRPr="00F6284E">
              <w:rPr>
                <w:sz w:val="18"/>
              </w:rPr>
              <w:t>37.10±2.89</w:t>
            </w:r>
          </w:p>
        </w:tc>
        <w:tc>
          <w:tcPr>
            <w:tcW w:w="1329" w:type="dxa"/>
            <w:vAlign w:val="center"/>
          </w:tcPr>
          <w:p w14:paraId="560CA29E" w14:textId="77777777" w:rsidR="00135214" w:rsidRPr="00F6284E" w:rsidRDefault="00135214" w:rsidP="00647943">
            <w:pPr>
              <w:widowControl/>
              <w:jc w:val="right"/>
              <w:rPr>
                <w:rFonts w:ascii="Arial" w:hAnsi="Arial"/>
                <w:sz w:val="18"/>
              </w:rPr>
            </w:pPr>
            <w:r w:rsidRPr="00F6284E">
              <w:rPr>
                <w:sz w:val="18"/>
              </w:rPr>
              <w:t>44.33±6.50</w:t>
            </w:r>
          </w:p>
        </w:tc>
      </w:tr>
      <w:tr w:rsidR="00135214" w:rsidRPr="00135214" w14:paraId="1FC240EE" w14:textId="77777777" w:rsidTr="00F6284E">
        <w:trPr>
          <w:trHeight w:val="255"/>
        </w:trPr>
        <w:tc>
          <w:tcPr>
            <w:tcW w:w="1286" w:type="dxa"/>
            <w:tcBorders>
              <w:bottom w:val="single" w:sz="4" w:space="0" w:color="000000"/>
            </w:tcBorders>
            <w:vAlign w:val="center"/>
          </w:tcPr>
          <w:p w14:paraId="24323B1C" w14:textId="77777777" w:rsidR="00135214" w:rsidRPr="000B3C14" w:rsidRDefault="00135214" w:rsidP="00A111E9">
            <w:pPr>
              <w:widowControl/>
              <w:rPr>
                <w:rFonts w:ascii="Arial" w:eastAsiaTheme="minorHAnsi" w:hAnsi="Arial"/>
                <w:sz w:val="18"/>
                <w:lang w:val="en-NZ"/>
              </w:rPr>
            </w:pPr>
            <w:r w:rsidRPr="00D711DD">
              <w:rPr>
                <w:rFonts w:eastAsiaTheme="minorHAnsi"/>
                <w:sz w:val="18"/>
                <w:lang w:val="en-NZ"/>
              </w:rPr>
              <w:t>PND22</w:t>
            </w:r>
          </w:p>
        </w:tc>
        <w:tc>
          <w:tcPr>
            <w:tcW w:w="1286" w:type="dxa"/>
            <w:tcBorders>
              <w:bottom w:val="single" w:sz="4" w:space="0" w:color="000000"/>
            </w:tcBorders>
            <w:vAlign w:val="center"/>
          </w:tcPr>
          <w:p w14:paraId="361275C4" w14:textId="227E3584" w:rsidR="00135214" w:rsidRPr="00F6284E" w:rsidRDefault="00135214" w:rsidP="00A111E9">
            <w:pPr>
              <w:widowControl/>
              <w:rPr>
                <w:rFonts w:ascii="Arial" w:eastAsiaTheme="minorHAnsi" w:hAnsi="Arial"/>
                <w:sz w:val="18"/>
                <w:lang w:val="en-NZ"/>
              </w:rPr>
            </w:pPr>
            <w:r w:rsidRPr="000B3C14">
              <w:rPr>
                <w:rFonts w:eastAsiaTheme="minorHAnsi"/>
                <w:sz w:val="18"/>
                <w:lang w:val="en-NZ"/>
              </w:rPr>
              <w:t>F</w:t>
            </w:r>
            <w:r w:rsidR="009E6E48">
              <w:rPr>
                <w:rFonts w:eastAsiaTheme="minorHAnsi"/>
                <w:sz w:val="18"/>
                <w:lang w:val="en-NZ"/>
              </w:rPr>
              <w:t>1</w:t>
            </w:r>
            <w:r w:rsidRPr="00F6284E">
              <w:rPr>
                <w:rFonts w:eastAsiaTheme="minorHAnsi"/>
                <w:sz w:val="18"/>
                <w:vertAlign w:val="subscript"/>
                <w:lang w:val="en-NZ"/>
              </w:rPr>
              <w:t>,</w:t>
            </w:r>
            <w:r w:rsidRPr="00F6284E">
              <w:rPr>
                <w:rFonts w:eastAsiaTheme="minorHAnsi"/>
                <w:sz w:val="18"/>
                <w:lang w:val="en-NZ"/>
              </w:rPr>
              <w:t xml:space="preserve"> pooled</w:t>
            </w:r>
          </w:p>
        </w:tc>
        <w:tc>
          <w:tcPr>
            <w:tcW w:w="1305" w:type="dxa"/>
            <w:tcBorders>
              <w:bottom w:val="single" w:sz="4" w:space="0" w:color="000000"/>
            </w:tcBorders>
            <w:vAlign w:val="center"/>
          </w:tcPr>
          <w:p w14:paraId="7D3CBCD0" w14:textId="77777777" w:rsidR="00135214" w:rsidRPr="00F6284E" w:rsidRDefault="00135214" w:rsidP="00647943">
            <w:pPr>
              <w:widowControl/>
              <w:jc w:val="right"/>
              <w:rPr>
                <w:rFonts w:ascii="Arial" w:hAnsi="Arial"/>
                <w:sz w:val="18"/>
              </w:rPr>
            </w:pPr>
            <w:r w:rsidRPr="00F6284E">
              <w:rPr>
                <w:sz w:val="18"/>
              </w:rPr>
              <w:t>&lt;LLOQ</w:t>
            </w:r>
          </w:p>
        </w:tc>
        <w:tc>
          <w:tcPr>
            <w:tcW w:w="1320" w:type="dxa"/>
            <w:tcBorders>
              <w:bottom w:val="single" w:sz="4" w:space="0" w:color="000000"/>
            </w:tcBorders>
            <w:vAlign w:val="center"/>
          </w:tcPr>
          <w:p w14:paraId="1E2464E3" w14:textId="77777777" w:rsidR="00135214" w:rsidRPr="00F6284E" w:rsidRDefault="00135214" w:rsidP="00647943">
            <w:pPr>
              <w:widowControl/>
              <w:jc w:val="right"/>
              <w:rPr>
                <w:rFonts w:ascii="Arial" w:hAnsi="Arial"/>
                <w:sz w:val="18"/>
              </w:rPr>
            </w:pPr>
            <w:r w:rsidRPr="00F6284E">
              <w:rPr>
                <w:sz w:val="18"/>
              </w:rPr>
              <w:t>8.57±2.41</w:t>
            </w:r>
          </w:p>
        </w:tc>
        <w:tc>
          <w:tcPr>
            <w:tcW w:w="1329" w:type="dxa"/>
            <w:tcBorders>
              <w:bottom w:val="single" w:sz="4" w:space="0" w:color="000000"/>
            </w:tcBorders>
            <w:vAlign w:val="center"/>
          </w:tcPr>
          <w:p w14:paraId="753F0C89" w14:textId="77777777" w:rsidR="00135214" w:rsidRPr="00F6284E" w:rsidRDefault="00135214" w:rsidP="00647943">
            <w:pPr>
              <w:widowControl/>
              <w:jc w:val="right"/>
              <w:rPr>
                <w:rFonts w:ascii="Arial" w:hAnsi="Arial"/>
                <w:sz w:val="18"/>
              </w:rPr>
            </w:pPr>
            <w:r w:rsidRPr="00F6284E">
              <w:rPr>
                <w:sz w:val="18"/>
              </w:rPr>
              <w:t>34.34±10.86</w:t>
            </w:r>
          </w:p>
        </w:tc>
        <w:tc>
          <w:tcPr>
            <w:tcW w:w="1431" w:type="dxa"/>
            <w:tcBorders>
              <w:bottom w:val="single" w:sz="4" w:space="0" w:color="000000"/>
            </w:tcBorders>
            <w:vAlign w:val="center"/>
          </w:tcPr>
          <w:p w14:paraId="0ED0ED31" w14:textId="77777777" w:rsidR="00135214" w:rsidRPr="00F6284E" w:rsidRDefault="00135214" w:rsidP="00647943">
            <w:pPr>
              <w:widowControl/>
              <w:jc w:val="right"/>
              <w:rPr>
                <w:rFonts w:ascii="Arial" w:hAnsi="Arial"/>
                <w:sz w:val="18"/>
              </w:rPr>
            </w:pPr>
            <w:r w:rsidRPr="00F6284E">
              <w:rPr>
                <w:sz w:val="18"/>
              </w:rPr>
              <w:t>32.35±8.20</w:t>
            </w:r>
          </w:p>
        </w:tc>
        <w:tc>
          <w:tcPr>
            <w:tcW w:w="1329" w:type="dxa"/>
            <w:tcBorders>
              <w:bottom w:val="single" w:sz="4" w:space="0" w:color="000000"/>
            </w:tcBorders>
            <w:vAlign w:val="center"/>
          </w:tcPr>
          <w:p w14:paraId="0028293A" w14:textId="77777777" w:rsidR="00135214" w:rsidRPr="00F6284E" w:rsidRDefault="00135214" w:rsidP="00647943">
            <w:pPr>
              <w:widowControl/>
              <w:jc w:val="right"/>
              <w:rPr>
                <w:rFonts w:ascii="Arial" w:hAnsi="Arial"/>
                <w:sz w:val="18"/>
              </w:rPr>
            </w:pPr>
            <w:r w:rsidRPr="00F6284E">
              <w:rPr>
                <w:sz w:val="18"/>
              </w:rPr>
              <w:t>93.55±55.79</w:t>
            </w:r>
          </w:p>
        </w:tc>
      </w:tr>
      <w:tr w:rsidR="00135214" w:rsidRPr="00135214" w14:paraId="477F24C1" w14:textId="77777777" w:rsidTr="00F6284E">
        <w:trPr>
          <w:trHeight w:val="255"/>
        </w:trPr>
        <w:tc>
          <w:tcPr>
            <w:tcW w:w="9286" w:type="dxa"/>
            <w:gridSpan w:val="7"/>
            <w:shd w:val="clear" w:color="auto" w:fill="F2F2F2" w:themeFill="background1" w:themeFillShade="F2"/>
            <w:vAlign w:val="center"/>
          </w:tcPr>
          <w:p w14:paraId="7A41C067" w14:textId="77777777" w:rsidR="00135214" w:rsidRPr="000B3C14" w:rsidRDefault="00135214" w:rsidP="00647943">
            <w:pPr>
              <w:widowControl/>
              <w:rPr>
                <w:rFonts w:ascii="Arial" w:eastAsiaTheme="minorHAnsi" w:hAnsi="Arial"/>
                <w:b/>
                <w:sz w:val="18"/>
                <w:lang w:val="en-NZ"/>
              </w:rPr>
            </w:pPr>
            <w:r w:rsidRPr="00D711DD">
              <w:rPr>
                <w:rFonts w:eastAsiaTheme="minorHAnsi"/>
                <w:b/>
                <w:sz w:val="18"/>
                <w:lang w:val="en-NZ"/>
              </w:rPr>
              <w:t>Liver PFHxS (µg/g)</w:t>
            </w:r>
          </w:p>
        </w:tc>
      </w:tr>
      <w:tr w:rsidR="00135214" w:rsidRPr="00135214" w14:paraId="37DEB6BC" w14:textId="77777777" w:rsidTr="00F6284E">
        <w:trPr>
          <w:trHeight w:val="255"/>
        </w:trPr>
        <w:tc>
          <w:tcPr>
            <w:tcW w:w="1286" w:type="dxa"/>
            <w:vAlign w:val="center"/>
          </w:tcPr>
          <w:p w14:paraId="73B1EB2F" w14:textId="77777777" w:rsidR="00135214" w:rsidRPr="000B3C14" w:rsidRDefault="00135214" w:rsidP="00A111E9">
            <w:pPr>
              <w:widowControl/>
              <w:rPr>
                <w:rFonts w:ascii="Arial" w:eastAsiaTheme="minorHAnsi" w:hAnsi="Arial"/>
                <w:sz w:val="18"/>
                <w:lang w:val="en-NZ"/>
              </w:rPr>
            </w:pPr>
            <w:r w:rsidRPr="00D711DD">
              <w:rPr>
                <w:rFonts w:eastAsiaTheme="minorHAnsi"/>
                <w:sz w:val="18"/>
                <w:lang w:val="en-NZ"/>
              </w:rPr>
              <w:t>42</w:t>
            </w:r>
          </w:p>
        </w:tc>
        <w:tc>
          <w:tcPr>
            <w:tcW w:w="1286" w:type="dxa"/>
            <w:vAlign w:val="center"/>
          </w:tcPr>
          <w:p w14:paraId="0B985992" w14:textId="6FF7245D" w:rsidR="00135214" w:rsidRPr="00F6284E" w:rsidRDefault="00135214" w:rsidP="00A111E9">
            <w:pPr>
              <w:widowControl/>
              <w:rPr>
                <w:rFonts w:ascii="Arial" w:eastAsiaTheme="minorHAnsi" w:hAnsi="Arial"/>
                <w:sz w:val="18"/>
                <w:lang w:val="en-NZ"/>
              </w:rPr>
            </w:pPr>
            <w:r w:rsidRPr="000B3C14">
              <w:rPr>
                <w:rFonts w:eastAsiaTheme="minorHAnsi"/>
                <w:sz w:val="18"/>
                <w:lang w:val="en-NZ"/>
              </w:rPr>
              <w:t>F</w:t>
            </w:r>
            <w:r w:rsidR="009E6E48">
              <w:rPr>
                <w:rFonts w:eastAsiaTheme="minorHAnsi"/>
                <w:sz w:val="18"/>
                <w:lang w:val="en-NZ"/>
              </w:rPr>
              <w:t>0</w:t>
            </w:r>
            <w:r w:rsidRPr="00F6284E">
              <w:rPr>
                <w:rFonts w:eastAsiaTheme="minorHAnsi"/>
                <w:sz w:val="18"/>
                <w:lang w:val="en-NZ"/>
              </w:rPr>
              <w:t xml:space="preserve"> male</w:t>
            </w:r>
          </w:p>
        </w:tc>
        <w:tc>
          <w:tcPr>
            <w:tcW w:w="1305" w:type="dxa"/>
            <w:vAlign w:val="center"/>
          </w:tcPr>
          <w:p w14:paraId="6EB0F44D" w14:textId="77777777" w:rsidR="00135214" w:rsidRPr="00F6284E" w:rsidRDefault="00135214" w:rsidP="00647943">
            <w:pPr>
              <w:widowControl/>
              <w:jc w:val="right"/>
              <w:rPr>
                <w:rFonts w:ascii="Arial" w:eastAsiaTheme="minorHAnsi" w:hAnsi="Arial"/>
                <w:sz w:val="18"/>
                <w:lang w:val="en-NZ"/>
              </w:rPr>
            </w:pPr>
            <w:r w:rsidRPr="00F6284E">
              <w:rPr>
                <w:rFonts w:eastAsiaTheme="minorHAnsi"/>
                <w:sz w:val="18"/>
                <w:lang w:val="en-NZ"/>
              </w:rPr>
              <w:t>0.35±0.23</w:t>
            </w:r>
          </w:p>
        </w:tc>
        <w:tc>
          <w:tcPr>
            <w:tcW w:w="1320" w:type="dxa"/>
            <w:vAlign w:val="center"/>
          </w:tcPr>
          <w:p w14:paraId="15992C01" w14:textId="77777777" w:rsidR="00135214" w:rsidRPr="00F6284E" w:rsidRDefault="00135214" w:rsidP="00647943">
            <w:pPr>
              <w:widowControl/>
              <w:jc w:val="right"/>
              <w:rPr>
                <w:rFonts w:ascii="Arial" w:eastAsiaTheme="minorHAnsi" w:hAnsi="Arial"/>
                <w:sz w:val="18"/>
                <w:lang w:val="en-NZ"/>
              </w:rPr>
            </w:pPr>
            <w:r w:rsidRPr="00F6284E">
              <w:rPr>
                <w:rFonts w:eastAsiaTheme="minorHAnsi"/>
                <w:sz w:val="18"/>
                <w:lang w:val="en-NZ"/>
              </w:rPr>
              <w:t>43.80±8.07</w:t>
            </w:r>
          </w:p>
        </w:tc>
        <w:tc>
          <w:tcPr>
            <w:tcW w:w="1329" w:type="dxa"/>
            <w:vAlign w:val="center"/>
          </w:tcPr>
          <w:p w14:paraId="3039E9C5" w14:textId="77777777" w:rsidR="00135214" w:rsidRPr="00F6284E" w:rsidRDefault="00135214" w:rsidP="00647943">
            <w:pPr>
              <w:widowControl/>
              <w:jc w:val="right"/>
              <w:rPr>
                <w:rFonts w:ascii="Arial" w:eastAsiaTheme="minorHAnsi" w:hAnsi="Arial"/>
                <w:sz w:val="18"/>
                <w:lang w:val="en-NZ"/>
              </w:rPr>
            </w:pPr>
            <w:r w:rsidRPr="00F6284E">
              <w:rPr>
                <w:sz w:val="18"/>
              </w:rPr>
              <w:t>149.50±26.06</w:t>
            </w:r>
          </w:p>
        </w:tc>
        <w:tc>
          <w:tcPr>
            <w:tcW w:w="1431" w:type="dxa"/>
            <w:vAlign w:val="center"/>
          </w:tcPr>
          <w:p w14:paraId="38CA0861" w14:textId="77777777" w:rsidR="00135214" w:rsidRPr="00F6284E" w:rsidRDefault="00135214" w:rsidP="00647943">
            <w:pPr>
              <w:widowControl/>
              <w:jc w:val="right"/>
              <w:rPr>
                <w:rFonts w:ascii="Arial" w:eastAsiaTheme="minorHAnsi" w:hAnsi="Arial"/>
                <w:sz w:val="18"/>
                <w:lang w:val="en-NZ"/>
              </w:rPr>
            </w:pPr>
            <w:r w:rsidRPr="00F6284E">
              <w:rPr>
                <w:sz w:val="18"/>
              </w:rPr>
              <w:t>338.67±128.42</w:t>
            </w:r>
          </w:p>
        </w:tc>
        <w:tc>
          <w:tcPr>
            <w:tcW w:w="1329" w:type="dxa"/>
            <w:vAlign w:val="center"/>
          </w:tcPr>
          <w:p w14:paraId="39B03499" w14:textId="77777777" w:rsidR="00135214" w:rsidRPr="00F6284E" w:rsidRDefault="00135214" w:rsidP="00647943">
            <w:pPr>
              <w:widowControl/>
              <w:jc w:val="right"/>
              <w:rPr>
                <w:rFonts w:ascii="Arial" w:eastAsiaTheme="minorHAnsi" w:hAnsi="Arial"/>
                <w:sz w:val="18"/>
                <w:lang w:val="en-NZ"/>
              </w:rPr>
            </w:pPr>
            <w:r w:rsidRPr="00F6284E">
              <w:rPr>
                <w:sz w:val="18"/>
              </w:rPr>
              <w:t>593.50±81.41</w:t>
            </w:r>
          </w:p>
        </w:tc>
      </w:tr>
      <w:tr w:rsidR="00135214" w:rsidRPr="00135214" w14:paraId="7EC70B07" w14:textId="77777777" w:rsidTr="00F6284E">
        <w:trPr>
          <w:trHeight w:val="255"/>
        </w:trPr>
        <w:tc>
          <w:tcPr>
            <w:tcW w:w="1286" w:type="dxa"/>
            <w:vAlign w:val="center"/>
          </w:tcPr>
          <w:p w14:paraId="76152C60" w14:textId="77777777" w:rsidR="00135214" w:rsidRPr="000B3C14" w:rsidRDefault="00135214" w:rsidP="00A111E9">
            <w:pPr>
              <w:widowControl/>
              <w:rPr>
                <w:rFonts w:ascii="Arial" w:eastAsiaTheme="minorHAnsi" w:hAnsi="Arial"/>
                <w:sz w:val="18"/>
                <w:lang w:val="en-NZ"/>
              </w:rPr>
            </w:pPr>
            <w:r w:rsidRPr="00D711DD">
              <w:rPr>
                <w:rFonts w:eastAsiaTheme="minorHAnsi"/>
                <w:sz w:val="18"/>
                <w:lang w:val="en-NZ"/>
              </w:rPr>
              <w:t>GD21</w:t>
            </w:r>
          </w:p>
        </w:tc>
        <w:tc>
          <w:tcPr>
            <w:tcW w:w="1286" w:type="dxa"/>
            <w:vAlign w:val="center"/>
          </w:tcPr>
          <w:p w14:paraId="2554562A" w14:textId="5E9A71E4" w:rsidR="00135214" w:rsidRPr="00F6284E" w:rsidRDefault="00135214" w:rsidP="00A111E9">
            <w:pPr>
              <w:widowControl/>
              <w:rPr>
                <w:rFonts w:ascii="Arial" w:eastAsiaTheme="minorHAnsi" w:hAnsi="Arial"/>
                <w:sz w:val="18"/>
                <w:lang w:val="en-NZ"/>
              </w:rPr>
            </w:pPr>
            <w:r w:rsidRPr="000B3C14">
              <w:rPr>
                <w:rFonts w:eastAsiaTheme="minorHAnsi"/>
                <w:sz w:val="18"/>
                <w:lang w:val="en-NZ"/>
              </w:rPr>
              <w:t>F</w:t>
            </w:r>
            <w:r w:rsidR="009E6E48">
              <w:rPr>
                <w:rFonts w:eastAsiaTheme="minorHAnsi"/>
                <w:sz w:val="18"/>
                <w:lang w:val="en-NZ"/>
              </w:rPr>
              <w:t>0</w:t>
            </w:r>
            <w:r w:rsidRPr="00F6284E">
              <w:rPr>
                <w:rFonts w:eastAsiaTheme="minorHAnsi"/>
                <w:sz w:val="18"/>
                <w:lang w:val="en-NZ"/>
              </w:rPr>
              <w:t xml:space="preserve"> female</w:t>
            </w:r>
          </w:p>
        </w:tc>
        <w:tc>
          <w:tcPr>
            <w:tcW w:w="1305" w:type="dxa"/>
            <w:vAlign w:val="center"/>
          </w:tcPr>
          <w:p w14:paraId="2F7A4354" w14:textId="77777777" w:rsidR="00135214" w:rsidRPr="00F6284E" w:rsidRDefault="00135214" w:rsidP="00647943">
            <w:pPr>
              <w:widowControl/>
              <w:jc w:val="right"/>
              <w:rPr>
                <w:rFonts w:ascii="Arial" w:eastAsiaTheme="minorHAnsi" w:hAnsi="Arial"/>
                <w:sz w:val="18"/>
                <w:vertAlign w:val="superscript"/>
                <w:lang w:val="en-NZ"/>
              </w:rPr>
            </w:pPr>
            <w:r w:rsidRPr="00F6284E">
              <w:rPr>
                <w:sz w:val="18"/>
              </w:rPr>
              <w:t>&lt;LLOQ</w:t>
            </w:r>
            <w:r w:rsidRPr="00F6284E">
              <w:rPr>
                <w:sz w:val="18"/>
                <w:vertAlign w:val="superscript"/>
              </w:rPr>
              <w:t>c</w:t>
            </w:r>
          </w:p>
        </w:tc>
        <w:tc>
          <w:tcPr>
            <w:tcW w:w="1320" w:type="dxa"/>
            <w:vAlign w:val="center"/>
          </w:tcPr>
          <w:p w14:paraId="0075BE98" w14:textId="77777777" w:rsidR="00135214" w:rsidRPr="00F6284E" w:rsidRDefault="00135214" w:rsidP="00647943">
            <w:pPr>
              <w:widowControl/>
              <w:jc w:val="right"/>
              <w:rPr>
                <w:rFonts w:ascii="Arial" w:eastAsiaTheme="minorHAnsi" w:hAnsi="Arial"/>
                <w:sz w:val="18"/>
                <w:lang w:val="en-NZ"/>
              </w:rPr>
            </w:pPr>
            <w:r w:rsidRPr="00F6284E">
              <w:rPr>
                <w:sz w:val="18"/>
              </w:rPr>
              <w:t>0.79±0.19</w:t>
            </w:r>
          </w:p>
        </w:tc>
        <w:tc>
          <w:tcPr>
            <w:tcW w:w="1329" w:type="dxa"/>
            <w:vAlign w:val="center"/>
          </w:tcPr>
          <w:p w14:paraId="401D6EDD" w14:textId="77777777" w:rsidR="00135214" w:rsidRPr="00F6284E" w:rsidRDefault="00135214" w:rsidP="00647943">
            <w:pPr>
              <w:widowControl/>
              <w:jc w:val="right"/>
              <w:rPr>
                <w:rFonts w:ascii="Arial" w:eastAsiaTheme="minorHAnsi" w:hAnsi="Arial"/>
                <w:sz w:val="18"/>
                <w:lang w:val="en-NZ"/>
              </w:rPr>
            </w:pPr>
            <w:r w:rsidRPr="00F6284E">
              <w:rPr>
                <w:sz w:val="18"/>
              </w:rPr>
              <w:t>2.61±0.54</w:t>
            </w:r>
          </w:p>
        </w:tc>
        <w:tc>
          <w:tcPr>
            <w:tcW w:w="1431" w:type="dxa"/>
            <w:vAlign w:val="center"/>
          </w:tcPr>
          <w:p w14:paraId="4432DD1E" w14:textId="77777777" w:rsidR="00135214" w:rsidRPr="00F6284E" w:rsidRDefault="00135214" w:rsidP="00647943">
            <w:pPr>
              <w:widowControl/>
              <w:jc w:val="right"/>
              <w:rPr>
                <w:rFonts w:ascii="Arial" w:eastAsiaTheme="minorHAnsi" w:hAnsi="Arial"/>
                <w:sz w:val="18"/>
                <w:lang w:val="en-NZ"/>
              </w:rPr>
            </w:pPr>
            <w:r w:rsidRPr="00F6284E">
              <w:rPr>
                <w:sz w:val="18"/>
              </w:rPr>
              <w:t>7.80±1.58</w:t>
            </w:r>
          </w:p>
        </w:tc>
        <w:tc>
          <w:tcPr>
            <w:tcW w:w="1329" w:type="dxa"/>
            <w:vAlign w:val="center"/>
          </w:tcPr>
          <w:p w14:paraId="6E599C1E" w14:textId="77777777" w:rsidR="00135214" w:rsidRPr="00F6284E" w:rsidRDefault="00135214" w:rsidP="00647943">
            <w:pPr>
              <w:widowControl/>
              <w:jc w:val="right"/>
              <w:rPr>
                <w:rFonts w:ascii="Arial" w:eastAsiaTheme="minorHAnsi" w:hAnsi="Arial"/>
                <w:sz w:val="18"/>
                <w:lang w:val="en-NZ"/>
              </w:rPr>
            </w:pPr>
            <w:r w:rsidRPr="00F6284E">
              <w:rPr>
                <w:sz w:val="18"/>
              </w:rPr>
              <w:t>16.53±2.57</w:t>
            </w:r>
          </w:p>
        </w:tc>
      </w:tr>
      <w:tr w:rsidR="00135214" w:rsidRPr="00135214" w14:paraId="64B0F28D" w14:textId="77777777" w:rsidTr="00F6284E">
        <w:trPr>
          <w:trHeight w:val="255"/>
        </w:trPr>
        <w:tc>
          <w:tcPr>
            <w:tcW w:w="1286" w:type="dxa"/>
            <w:vAlign w:val="center"/>
          </w:tcPr>
          <w:p w14:paraId="34FF0D8B" w14:textId="77777777" w:rsidR="00135214" w:rsidRPr="000B3C14" w:rsidRDefault="00135214" w:rsidP="00A111E9">
            <w:pPr>
              <w:widowControl/>
              <w:rPr>
                <w:rFonts w:ascii="Arial" w:eastAsiaTheme="minorHAnsi" w:hAnsi="Arial"/>
                <w:sz w:val="18"/>
                <w:lang w:val="en-NZ"/>
              </w:rPr>
            </w:pPr>
            <w:r w:rsidRPr="00D711DD">
              <w:rPr>
                <w:rFonts w:eastAsiaTheme="minorHAnsi"/>
                <w:sz w:val="18"/>
                <w:lang w:val="en-NZ"/>
              </w:rPr>
              <w:t>GD21</w:t>
            </w:r>
          </w:p>
        </w:tc>
        <w:tc>
          <w:tcPr>
            <w:tcW w:w="1286" w:type="dxa"/>
            <w:vAlign w:val="center"/>
          </w:tcPr>
          <w:p w14:paraId="37B76D08" w14:textId="099EB6C7" w:rsidR="00135214" w:rsidRPr="00F6284E" w:rsidRDefault="00135214" w:rsidP="00A111E9">
            <w:pPr>
              <w:widowControl/>
              <w:rPr>
                <w:rFonts w:ascii="Arial" w:eastAsiaTheme="minorHAnsi" w:hAnsi="Arial"/>
                <w:sz w:val="18"/>
                <w:lang w:val="en-NZ"/>
              </w:rPr>
            </w:pPr>
            <w:r w:rsidRPr="000B3C14">
              <w:rPr>
                <w:rFonts w:eastAsiaTheme="minorHAnsi"/>
                <w:sz w:val="18"/>
                <w:lang w:val="en-NZ"/>
              </w:rPr>
              <w:t>F</w:t>
            </w:r>
            <w:r w:rsidR="009E6E48">
              <w:rPr>
                <w:rFonts w:eastAsiaTheme="minorHAnsi"/>
                <w:sz w:val="18"/>
                <w:lang w:val="en-NZ"/>
              </w:rPr>
              <w:t>1</w:t>
            </w:r>
            <w:r w:rsidRPr="00F6284E">
              <w:rPr>
                <w:rFonts w:eastAsiaTheme="minorHAnsi"/>
                <w:sz w:val="18"/>
                <w:lang w:val="en-NZ"/>
              </w:rPr>
              <w:t xml:space="preserve"> fetus</w:t>
            </w:r>
          </w:p>
        </w:tc>
        <w:tc>
          <w:tcPr>
            <w:tcW w:w="1305" w:type="dxa"/>
            <w:vAlign w:val="center"/>
          </w:tcPr>
          <w:p w14:paraId="12DE9617" w14:textId="77777777" w:rsidR="00135214" w:rsidRPr="00F6284E" w:rsidRDefault="00135214" w:rsidP="00647943">
            <w:pPr>
              <w:widowControl/>
              <w:jc w:val="right"/>
              <w:rPr>
                <w:rFonts w:ascii="Arial" w:eastAsiaTheme="minorHAnsi" w:hAnsi="Arial"/>
                <w:sz w:val="18"/>
                <w:lang w:val="en-NZ"/>
              </w:rPr>
            </w:pPr>
            <w:r w:rsidRPr="00F6284E">
              <w:rPr>
                <w:sz w:val="18"/>
              </w:rPr>
              <w:t>&lt;LLOQ</w:t>
            </w:r>
          </w:p>
        </w:tc>
        <w:tc>
          <w:tcPr>
            <w:tcW w:w="1320" w:type="dxa"/>
            <w:vAlign w:val="center"/>
          </w:tcPr>
          <w:p w14:paraId="00309D18" w14:textId="77777777" w:rsidR="00135214" w:rsidRPr="00F6284E" w:rsidRDefault="00135214" w:rsidP="00647943">
            <w:pPr>
              <w:widowControl/>
              <w:jc w:val="right"/>
              <w:rPr>
                <w:rFonts w:ascii="Arial" w:eastAsiaTheme="minorHAnsi" w:hAnsi="Arial"/>
                <w:sz w:val="18"/>
                <w:lang w:val="en-NZ"/>
              </w:rPr>
            </w:pPr>
            <w:r w:rsidRPr="00F6284E">
              <w:rPr>
                <w:sz w:val="18"/>
              </w:rPr>
              <w:t>1.37±0.53</w:t>
            </w:r>
          </w:p>
        </w:tc>
        <w:tc>
          <w:tcPr>
            <w:tcW w:w="1329" w:type="dxa"/>
            <w:vAlign w:val="center"/>
          </w:tcPr>
          <w:p w14:paraId="64073FB0" w14:textId="77777777" w:rsidR="00135214" w:rsidRPr="00F6284E" w:rsidRDefault="00135214" w:rsidP="00647943">
            <w:pPr>
              <w:widowControl/>
              <w:jc w:val="right"/>
              <w:rPr>
                <w:rFonts w:ascii="Arial" w:eastAsiaTheme="minorHAnsi" w:hAnsi="Arial"/>
                <w:sz w:val="18"/>
                <w:lang w:val="en-NZ"/>
              </w:rPr>
            </w:pPr>
            <w:r w:rsidRPr="00F6284E">
              <w:rPr>
                <w:sz w:val="18"/>
              </w:rPr>
              <w:t>3.29±1.17</w:t>
            </w:r>
          </w:p>
        </w:tc>
        <w:tc>
          <w:tcPr>
            <w:tcW w:w="1431" w:type="dxa"/>
            <w:vAlign w:val="center"/>
          </w:tcPr>
          <w:p w14:paraId="052335F5" w14:textId="77777777" w:rsidR="00135214" w:rsidRPr="00F6284E" w:rsidRDefault="00135214" w:rsidP="00647943">
            <w:pPr>
              <w:widowControl/>
              <w:jc w:val="right"/>
              <w:rPr>
                <w:rFonts w:ascii="Arial" w:eastAsiaTheme="minorHAnsi" w:hAnsi="Arial"/>
                <w:sz w:val="18"/>
                <w:lang w:val="en-NZ"/>
              </w:rPr>
            </w:pPr>
            <w:r w:rsidRPr="00F6284E">
              <w:rPr>
                <w:sz w:val="18"/>
              </w:rPr>
              <w:t>7.19±1.39</w:t>
            </w:r>
          </w:p>
        </w:tc>
        <w:tc>
          <w:tcPr>
            <w:tcW w:w="1329" w:type="dxa"/>
            <w:vAlign w:val="center"/>
          </w:tcPr>
          <w:p w14:paraId="32D9B2E6" w14:textId="77777777" w:rsidR="00135214" w:rsidRPr="00F6284E" w:rsidRDefault="00135214" w:rsidP="00647943">
            <w:pPr>
              <w:widowControl/>
              <w:jc w:val="right"/>
              <w:rPr>
                <w:rFonts w:ascii="Arial" w:eastAsiaTheme="minorHAnsi" w:hAnsi="Arial"/>
                <w:sz w:val="18"/>
                <w:lang w:val="en-NZ"/>
              </w:rPr>
            </w:pPr>
            <w:r w:rsidRPr="00F6284E">
              <w:rPr>
                <w:sz w:val="18"/>
              </w:rPr>
              <w:t>18.87±4.28</w:t>
            </w:r>
          </w:p>
        </w:tc>
      </w:tr>
      <w:tr w:rsidR="00135214" w:rsidRPr="00135214" w14:paraId="44276DB5" w14:textId="77777777" w:rsidTr="00F6284E">
        <w:trPr>
          <w:trHeight w:val="255"/>
        </w:trPr>
        <w:tc>
          <w:tcPr>
            <w:tcW w:w="1286" w:type="dxa"/>
            <w:vAlign w:val="center"/>
          </w:tcPr>
          <w:p w14:paraId="7355F29F" w14:textId="77777777" w:rsidR="00135214" w:rsidRPr="000B3C14" w:rsidRDefault="00135214" w:rsidP="00A111E9">
            <w:pPr>
              <w:widowControl/>
              <w:rPr>
                <w:rFonts w:ascii="Arial" w:eastAsiaTheme="minorHAnsi" w:hAnsi="Arial"/>
                <w:sz w:val="18"/>
                <w:lang w:val="en-NZ"/>
              </w:rPr>
            </w:pPr>
            <w:r w:rsidRPr="00D711DD">
              <w:rPr>
                <w:rFonts w:eastAsiaTheme="minorHAnsi"/>
                <w:sz w:val="18"/>
                <w:lang w:val="en-NZ"/>
              </w:rPr>
              <w:t>PND22</w:t>
            </w:r>
          </w:p>
        </w:tc>
        <w:tc>
          <w:tcPr>
            <w:tcW w:w="1286" w:type="dxa"/>
            <w:vAlign w:val="center"/>
          </w:tcPr>
          <w:p w14:paraId="4349B114" w14:textId="01360E53" w:rsidR="00135214" w:rsidRPr="00F6284E" w:rsidRDefault="00135214" w:rsidP="00A111E9">
            <w:pPr>
              <w:widowControl/>
              <w:rPr>
                <w:rFonts w:ascii="Arial" w:eastAsiaTheme="minorHAnsi" w:hAnsi="Arial"/>
                <w:sz w:val="18"/>
                <w:lang w:val="en-NZ"/>
              </w:rPr>
            </w:pPr>
            <w:r w:rsidRPr="000B3C14">
              <w:rPr>
                <w:rFonts w:eastAsiaTheme="minorHAnsi"/>
                <w:sz w:val="18"/>
                <w:lang w:val="en-NZ"/>
              </w:rPr>
              <w:t>F</w:t>
            </w:r>
            <w:r w:rsidR="009E6E48">
              <w:rPr>
                <w:rFonts w:eastAsiaTheme="minorHAnsi"/>
                <w:sz w:val="18"/>
                <w:lang w:val="en-NZ"/>
              </w:rPr>
              <w:t>1</w:t>
            </w:r>
            <w:r w:rsidRPr="00F6284E">
              <w:rPr>
                <w:rFonts w:eastAsiaTheme="minorHAnsi"/>
                <w:sz w:val="18"/>
                <w:lang w:val="en-NZ"/>
              </w:rPr>
              <w:t xml:space="preserve"> male</w:t>
            </w:r>
          </w:p>
        </w:tc>
        <w:tc>
          <w:tcPr>
            <w:tcW w:w="1305" w:type="dxa"/>
            <w:vAlign w:val="center"/>
          </w:tcPr>
          <w:p w14:paraId="7D1B14B8" w14:textId="77777777" w:rsidR="00135214" w:rsidRPr="00F6284E" w:rsidRDefault="00135214" w:rsidP="00647943">
            <w:pPr>
              <w:widowControl/>
              <w:jc w:val="right"/>
              <w:rPr>
                <w:rFonts w:ascii="Arial" w:eastAsiaTheme="minorHAnsi" w:hAnsi="Arial"/>
                <w:sz w:val="18"/>
                <w:vertAlign w:val="superscript"/>
                <w:lang w:val="en-NZ"/>
              </w:rPr>
            </w:pPr>
            <w:r w:rsidRPr="00F6284E">
              <w:rPr>
                <w:sz w:val="18"/>
              </w:rPr>
              <w:t>&lt;LLOQ</w:t>
            </w:r>
          </w:p>
        </w:tc>
        <w:tc>
          <w:tcPr>
            <w:tcW w:w="1320" w:type="dxa"/>
            <w:vAlign w:val="center"/>
          </w:tcPr>
          <w:p w14:paraId="12F6C97D" w14:textId="77777777" w:rsidR="00135214" w:rsidRPr="00F6284E" w:rsidRDefault="00135214" w:rsidP="00647943">
            <w:pPr>
              <w:widowControl/>
              <w:jc w:val="right"/>
              <w:rPr>
                <w:rFonts w:ascii="Arial" w:eastAsiaTheme="minorHAnsi" w:hAnsi="Arial"/>
                <w:sz w:val="18"/>
                <w:lang w:val="en-NZ"/>
              </w:rPr>
            </w:pPr>
            <w:r w:rsidRPr="00F6284E">
              <w:rPr>
                <w:sz w:val="18"/>
              </w:rPr>
              <w:t>1.13±0.31</w:t>
            </w:r>
          </w:p>
        </w:tc>
        <w:tc>
          <w:tcPr>
            <w:tcW w:w="1329" w:type="dxa"/>
            <w:vAlign w:val="center"/>
          </w:tcPr>
          <w:p w14:paraId="209C7071" w14:textId="77777777" w:rsidR="00135214" w:rsidRPr="00F6284E" w:rsidRDefault="00135214" w:rsidP="00647943">
            <w:pPr>
              <w:widowControl/>
              <w:jc w:val="right"/>
              <w:rPr>
                <w:rFonts w:ascii="Arial" w:eastAsiaTheme="minorHAnsi" w:hAnsi="Arial"/>
                <w:sz w:val="18"/>
                <w:lang w:val="en-NZ"/>
              </w:rPr>
            </w:pPr>
            <w:r w:rsidRPr="00F6284E">
              <w:rPr>
                <w:sz w:val="18"/>
              </w:rPr>
              <w:t>3.86±0.94</w:t>
            </w:r>
          </w:p>
        </w:tc>
        <w:tc>
          <w:tcPr>
            <w:tcW w:w="1431" w:type="dxa"/>
            <w:vAlign w:val="center"/>
          </w:tcPr>
          <w:p w14:paraId="2C926316" w14:textId="77777777" w:rsidR="00135214" w:rsidRPr="00F6284E" w:rsidRDefault="00135214" w:rsidP="00647943">
            <w:pPr>
              <w:widowControl/>
              <w:jc w:val="right"/>
              <w:rPr>
                <w:rFonts w:ascii="Arial" w:eastAsiaTheme="minorHAnsi" w:hAnsi="Arial"/>
                <w:sz w:val="18"/>
                <w:lang w:val="en-NZ"/>
              </w:rPr>
            </w:pPr>
            <w:r w:rsidRPr="00F6284E">
              <w:rPr>
                <w:sz w:val="18"/>
              </w:rPr>
              <w:t>8.73±1.65</w:t>
            </w:r>
          </w:p>
        </w:tc>
        <w:tc>
          <w:tcPr>
            <w:tcW w:w="1329" w:type="dxa"/>
            <w:vAlign w:val="center"/>
          </w:tcPr>
          <w:p w14:paraId="06F01A23" w14:textId="77777777" w:rsidR="00135214" w:rsidRPr="00F6284E" w:rsidRDefault="00135214" w:rsidP="00647943">
            <w:pPr>
              <w:widowControl/>
              <w:jc w:val="right"/>
              <w:rPr>
                <w:rFonts w:ascii="Arial" w:eastAsiaTheme="minorHAnsi" w:hAnsi="Arial"/>
                <w:sz w:val="18"/>
                <w:lang w:val="en-NZ"/>
              </w:rPr>
            </w:pPr>
            <w:r w:rsidRPr="00F6284E">
              <w:rPr>
                <w:sz w:val="18"/>
              </w:rPr>
              <w:t>16.22±4.41</w:t>
            </w:r>
          </w:p>
        </w:tc>
      </w:tr>
      <w:tr w:rsidR="00135214" w:rsidRPr="00135214" w14:paraId="61791FA3" w14:textId="77777777" w:rsidTr="00F6284E">
        <w:trPr>
          <w:trHeight w:val="255"/>
        </w:trPr>
        <w:tc>
          <w:tcPr>
            <w:tcW w:w="1286" w:type="dxa"/>
            <w:vAlign w:val="center"/>
          </w:tcPr>
          <w:p w14:paraId="37A88D0D" w14:textId="77777777" w:rsidR="00135214" w:rsidRPr="000B3C14" w:rsidRDefault="00135214" w:rsidP="00A111E9">
            <w:pPr>
              <w:widowControl/>
              <w:rPr>
                <w:rFonts w:ascii="Arial" w:eastAsiaTheme="minorHAnsi" w:hAnsi="Arial"/>
                <w:sz w:val="18"/>
                <w:lang w:val="en-NZ"/>
              </w:rPr>
            </w:pPr>
            <w:r w:rsidRPr="00D711DD">
              <w:rPr>
                <w:rFonts w:eastAsiaTheme="minorHAnsi"/>
                <w:sz w:val="18"/>
                <w:lang w:val="en-NZ"/>
              </w:rPr>
              <w:t>PND22</w:t>
            </w:r>
          </w:p>
        </w:tc>
        <w:tc>
          <w:tcPr>
            <w:tcW w:w="1286" w:type="dxa"/>
            <w:vAlign w:val="center"/>
          </w:tcPr>
          <w:p w14:paraId="5837EC76" w14:textId="0908CAE5" w:rsidR="00135214" w:rsidRPr="00F6284E" w:rsidRDefault="00135214" w:rsidP="00A111E9">
            <w:pPr>
              <w:widowControl/>
              <w:rPr>
                <w:rFonts w:ascii="Arial" w:eastAsiaTheme="minorHAnsi" w:hAnsi="Arial"/>
                <w:sz w:val="18"/>
                <w:vertAlign w:val="superscript"/>
                <w:lang w:val="en-NZ"/>
              </w:rPr>
            </w:pPr>
            <w:r w:rsidRPr="000B3C14">
              <w:rPr>
                <w:rFonts w:eastAsiaTheme="minorHAnsi"/>
                <w:sz w:val="18"/>
                <w:lang w:val="en-NZ"/>
              </w:rPr>
              <w:t>F</w:t>
            </w:r>
            <w:r w:rsidR="009E6E48">
              <w:rPr>
                <w:rFonts w:eastAsiaTheme="minorHAnsi"/>
                <w:sz w:val="18"/>
                <w:lang w:val="en-NZ"/>
              </w:rPr>
              <w:t>0</w:t>
            </w:r>
            <w:r w:rsidRPr="00F6284E">
              <w:rPr>
                <w:rFonts w:eastAsiaTheme="minorHAnsi"/>
                <w:sz w:val="18"/>
                <w:lang w:val="en-NZ"/>
              </w:rPr>
              <w:t xml:space="preserve"> female</w:t>
            </w:r>
          </w:p>
        </w:tc>
        <w:tc>
          <w:tcPr>
            <w:tcW w:w="1305" w:type="dxa"/>
            <w:vAlign w:val="center"/>
          </w:tcPr>
          <w:p w14:paraId="7477424E" w14:textId="77777777" w:rsidR="00135214" w:rsidRPr="00F6284E" w:rsidRDefault="00135214" w:rsidP="00647943">
            <w:pPr>
              <w:widowControl/>
              <w:jc w:val="right"/>
              <w:rPr>
                <w:rFonts w:ascii="Arial" w:hAnsi="Arial"/>
                <w:sz w:val="18"/>
              </w:rPr>
            </w:pPr>
            <w:r w:rsidRPr="00F6284E">
              <w:rPr>
                <w:sz w:val="18"/>
              </w:rPr>
              <w:t>&lt;LLOQ</w:t>
            </w:r>
          </w:p>
        </w:tc>
        <w:tc>
          <w:tcPr>
            <w:tcW w:w="1320" w:type="dxa"/>
            <w:vAlign w:val="center"/>
          </w:tcPr>
          <w:p w14:paraId="1E37A991" w14:textId="77777777" w:rsidR="00135214" w:rsidRPr="00F6284E" w:rsidRDefault="00135214" w:rsidP="00647943">
            <w:pPr>
              <w:widowControl/>
              <w:jc w:val="right"/>
              <w:rPr>
                <w:rFonts w:ascii="Arial" w:hAnsi="Arial"/>
                <w:sz w:val="18"/>
              </w:rPr>
            </w:pPr>
            <w:r w:rsidRPr="00F6284E">
              <w:rPr>
                <w:sz w:val="18"/>
              </w:rPr>
              <w:t>1.04±0.24</w:t>
            </w:r>
          </w:p>
        </w:tc>
        <w:tc>
          <w:tcPr>
            <w:tcW w:w="1329" w:type="dxa"/>
            <w:vAlign w:val="center"/>
          </w:tcPr>
          <w:p w14:paraId="5870E37C" w14:textId="77777777" w:rsidR="00135214" w:rsidRPr="00F6284E" w:rsidRDefault="00135214" w:rsidP="00647943">
            <w:pPr>
              <w:widowControl/>
              <w:jc w:val="right"/>
              <w:rPr>
                <w:rFonts w:ascii="Arial" w:hAnsi="Arial"/>
                <w:sz w:val="18"/>
              </w:rPr>
            </w:pPr>
            <w:r w:rsidRPr="00F6284E">
              <w:rPr>
                <w:sz w:val="18"/>
              </w:rPr>
              <w:t>3.91±1.05</w:t>
            </w:r>
          </w:p>
        </w:tc>
        <w:tc>
          <w:tcPr>
            <w:tcW w:w="1431" w:type="dxa"/>
            <w:vAlign w:val="center"/>
          </w:tcPr>
          <w:p w14:paraId="7DD3F4A5" w14:textId="77777777" w:rsidR="00135214" w:rsidRPr="00F6284E" w:rsidRDefault="00135214" w:rsidP="00647943">
            <w:pPr>
              <w:widowControl/>
              <w:jc w:val="right"/>
              <w:rPr>
                <w:rFonts w:ascii="Arial" w:hAnsi="Arial"/>
                <w:sz w:val="18"/>
              </w:rPr>
            </w:pPr>
            <w:r w:rsidRPr="00F6284E">
              <w:rPr>
                <w:sz w:val="18"/>
              </w:rPr>
              <w:t>9.96±2.69</w:t>
            </w:r>
          </w:p>
        </w:tc>
        <w:tc>
          <w:tcPr>
            <w:tcW w:w="1329" w:type="dxa"/>
            <w:vAlign w:val="center"/>
          </w:tcPr>
          <w:p w14:paraId="475D4DA9" w14:textId="77777777" w:rsidR="00135214" w:rsidRPr="00F6284E" w:rsidRDefault="00135214" w:rsidP="00647943">
            <w:pPr>
              <w:widowControl/>
              <w:jc w:val="right"/>
              <w:rPr>
                <w:rFonts w:ascii="Arial" w:hAnsi="Arial"/>
                <w:sz w:val="18"/>
              </w:rPr>
            </w:pPr>
            <w:r w:rsidRPr="00F6284E">
              <w:rPr>
                <w:sz w:val="18"/>
              </w:rPr>
              <w:t>18.39±2.32</w:t>
            </w:r>
          </w:p>
        </w:tc>
      </w:tr>
    </w:tbl>
    <w:p w14:paraId="7EBFA8D9" w14:textId="350AD3F1" w:rsidR="00135214" w:rsidRPr="000B3C14" w:rsidRDefault="00135214" w:rsidP="00A111E9">
      <w:pPr>
        <w:spacing w:before="120"/>
        <w:rPr>
          <w:sz w:val="16"/>
          <w:lang w:eastAsia="en-AU"/>
        </w:rPr>
      </w:pPr>
      <w:r w:rsidRPr="00D711DD">
        <w:rPr>
          <w:sz w:val="16"/>
          <w:lang w:eastAsia="en-AU"/>
        </w:rPr>
        <w:t xml:space="preserve">Values presented are mean ± standard deviation and taken from Butenhoff </w:t>
      </w:r>
      <w:r w:rsidR="00180A32" w:rsidRPr="00180A32">
        <w:rPr>
          <w:i/>
          <w:sz w:val="16"/>
          <w:lang w:eastAsia="en-AU"/>
        </w:rPr>
        <w:t xml:space="preserve">et al. </w:t>
      </w:r>
      <w:r w:rsidR="00CC50B8">
        <w:rPr>
          <w:sz w:val="16"/>
          <w:lang w:eastAsia="en-AU"/>
        </w:rPr>
        <w:t xml:space="preserve"> </w:t>
      </w:r>
      <w:r w:rsidRPr="000B3C14">
        <w:rPr>
          <w:sz w:val="16"/>
          <w:lang w:eastAsia="en-AU"/>
        </w:rPr>
        <w:t>2009</w:t>
      </w:r>
    </w:p>
    <w:p w14:paraId="19BD779C" w14:textId="31FB69EC" w:rsidR="00135214" w:rsidRPr="00F6284E" w:rsidRDefault="00135214" w:rsidP="00A111E9">
      <w:pPr>
        <w:widowControl/>
        <w:rPr>
          <w:rFonts w:eastAsiaTheme="minorHAnsi"/>
          <w:sz w:val="16"/>
          <w:lang w:val="en-NZ"/>
        </w:rPr>
      </w:pPr>
      <w:r w:rsidRPr="00F6284E">
        <w:rPr>
          <w:rFonts w:eastAsiaTheme="minorHAnsi"/>
          <w:sz w:val="16"/>
          <w:lang w:val="en-NZ"/>
        </w:rPr>
        <w:t>GD – Gestation Day; PND – Post</w:t>
      </w:r>
      <w:r w:rsidR="00032CF6">
        <w:rPr>
          <w:rFonts w:eastAsiaTheme="minorHAnsi"/>
          <w:sz w:val="16"/>
          <w:lang w:val="en-NZ"/>
        </w:rPr>
        <w:t>natal</w:t>
      </w:r>
      <w:r w:rsidRPr="00F6284E">
        <w:rPr>
          <w:rFonts w:eastAsiaTheme="minorHAnsi"/>
          <w:sz w:val="16"/>
          <w:lang w:val="en-NZ"/>
        </w:rPr>
        <w:t xml:space="preserve"> day</w:t>
      </w:r>
      <w:r w:rsidR="008F5E8B">
        <w:rPr>
          <w:rFonts w:eastAsiaTheme="minorHAnsi"/>
          <w:sz w:val="16"/>
          <w:lang w:val="en-NZ"/>
        </w:rPr>
        <w:t xml:space="preserve">; LLOQ - </w:t>
      </w:r>
      <w:r w:rsidR="008F5E8B" w:rsidRPr="008F5E8B">
        <w:rPr>
          <w:rFonts w:eastAsiaTheme="minorHAnsi" w:cstheme="minorBidi"/>
          <w:sz w:val="16"/>
          <w:szCs w:val="16"/>
          <w:lang w:eastAsia="en-AU" w:bidi="ar-SA"/>
        </w:rPr>
        <w:t>lower limit of quantification</w:t>
      </w:r>
    </w:p>
    <w:p w14:paraId="14A24902" w14:textId="77777777" w:rsidR="00135214" w:rsidRPr="00F6284E" w:rsidRDefault="00135214" w:rsidP="00A111E9">
      <w:pPr>
        <w:widowControl/>
        <w:rPr>
          <w:rFonts w:eastAsiaTheme="minorHAnsi"/>
          <w:sz w:val="16"/>
          <w:lang w:val="en-NZ"/>
        </w:rPr>
      </w:pPr>
      <w:r w:rsidRPr="00F6284E">
        <w:rPr>
          <w:rFonts w:eastAsiaTheme="minorHAnsi"/>
          <w:sz w:val="16"/>
          <w:vertAlign w:val="superscript"/>
          <w:lang w:val="en-NZ"/>
        </w:rPr>
        <w:t xml:space="preserve">a </w:t>
      </w:r>
      <w:r w:rsidRPr="00F6284E">
        <w:rPr>
          <w:rFonts w:eastAsiaTheme="minorHAnsi"/>
          <w:sz w:val="16"/>
          <w:lang w:val="en-NZ"/>
        </w:rPr>
        <w:t>excludes data from 2 females which were below LLOQ of 0.1 µg/mL</w:t>
      </w:r>
    </w:p>
    <w:p w14:paraId="30D78115" w14:textId="151B437A" w:rsidR="00135214" w:rsidRPr="00F6284E" w:rsidRDefault="00135214" w:rsidP="00A111E9">
      <w:pPr>
        <w:widowControl/>
        <w:rPr>
          <w:rFonts w:eastAsiaTheme="minorHAnsi"/>
          <w:sz w:val="16"/>
          <w:lang w:val="en-NZ"/>
        </w:rPr>
      </w:pPr>
      <w:r w:rsidRPr="00F6284E">
        <w:rPr>
          <w:rFonts w:eastAsiaTheme="minorHAnsi"/>
          <w:sz w:val="16"/>
          <w:vertAlign w:val="superscript"/>
          <w:lang w:val="en-NZ"/>
        </w:rPr>
        <w:t xml:space="preserve">b </w:t>
      </w:r>
      <w:r w:rsidRPr="00F6284E">
        <w:rPr>
          <w:rFonts w:eastAsiaTheme="minorHAnsi"/>
          <w:sz w:val="16"/>
          <w:lang w:val="en-NZ"/>
        </w:rPr>
        <w:t>serum LLOQ = 0.1 µg/mL</w:t>
      </w:r>
    </w:p>
    <w:p w14:paraId="567FD4AD" w14:textId="51F85066" w:rsidR="00135214" w:rsidRPr="00F6284E" w:rsidRDefault="00135214" w:rsidP="00A111E9">
      <w:pPr>
        <w:widowControl/>
        <w:rPr>
          <w:rFonts w:eastAsiaTheme="minorHAnsi"/>
          <w:sz w:val="16"/>
          <w:lang w:val="en-NZ"/>
        </w:rPr>
      </w:pPr>
      <w:r w:rsidRPr="00F6284E">
        <w:rPr>
          <w:rFonts w:eastAsiaTheme="minorHAnsi"/>
          <w:sz w:val="16"/>
          <w:vertAlign w:val="superscript"/>
          <w:lang w:val="en-NZ"/>
        </w:rPr>
        <w:t xml:space="preserve">c </w:t>
      </w:r>
      <w:r w:rsidRPr="00F6284E">
        <w:rPr>
          <w:rFonts w:eastAsiaTheme="minorHAnsi"/>
          <w:sz w:val="16"/>
          <w:lang w:val="en-NZ"/>
        </w:rPr>
        <w:t>liver LLOQ = 0.1 µg/g</w:t>
      </w:r>
    </w:p>
    <w:p w14:paraId="010EC6B8" w14:textId="7319D7FB" w:rsidR="00135214" w:rsidRPr="00135214" w:rsidRDefault="00985018" w:rsidP="00684A16">
      <w:pPr>
        <w:pStyle w:val="Heading4"/>
      </w:pPr>
      <w:bookmarkStart w:id="426" w:name="_Toc463341938"/>
      <w:bookmarkStart w:id="427" w:name="_Toc468636392"/>
      <w:bookmarkStart w:id="428" w:name="_Toc468699245"/>
      <w:bookmarkStart w:id="429" w:name="_Toc468712774"/>
      <w:bookmarkStart w:id="430" w:name="_Toc468716472"/>
      <w:bookmarkStart w:id="431" w:name="_Toc468709459"/>
      <w:bookmarkStart w:id="432" w:name="_Toc468717758"/>
      <w:bookmarkStart w:id="433" w:name="_Toc468718402"/>
      <w:bookmarkStart w:id="434" w:name="_Toc468719392"/>
      <w:bookmarkStart w:id="435" w:name="_Toc468722197"/>
      <w:bookmarkStart w:id="436" w:name="_Toc468799267"/>
      <w:bookmarkStart w:id="437" w:name="_Toc468806590"/>
      <w:bookmarkStart w:id="438" w:name="_Toc468981004"/>
      <w:r>
        <w:t>4.3</w:t>
      </w:r>
      <w:r w:rsidR="00135214" w:rsidRPr="00135214">
        <w:t>.</w:t>
      </w:r>
      <w:r w:rsidR="00135214" w:rsidRPr="00684A16">
        <w:t>4</w:t>
      </w:r>
      <w:r w:rsidR="00684A16">
        <w:tab/>
      </w:r>
      <w:r w:rsidR="00684A16">
        <w:tab/>
      </w:r>
      <w:r w:rsidR="00135214" w:rsidRPr="00684A16">
        <w:t>Human</w:t>
      </w:r>
      <w:r w:rsidR="00135214" w:rsidRPr="00135214">
        <w:t xml:space="preserve"> data</w:t>
      </w:r>
      <w:bookmarkEnd w:id="426"/>
      <w:bookmarkEnd w:id="427"/>
      <w:bookmarkEnd w:id="428"/>
      <w:bookmarkEnd w:id="429"/>
      <w:bookmarkEnd w:id="430"/>
      <w:bookmarkEnd w:id="431"/>
      <w:bookmarkEnd w:id="432"/>
      <w:bookmarkEnd w:id="433"/>
      <w:bookmarkEnd w:id="434"/>
      <w:bookmarkEnd w:id="435"/>
      <w:bookmarkEnd w:id="436"/>
      <w:bookmarkEnd w:id="437"/>
      <w:bookmarkEnd w:id="438"/>
    </w:p>
    <w:p w14:paraId="2EEA3A77" w14:textId="0054EE8C" w:rsidR="00135214" w:rsidRPr="00135214" w:rsidRDefault="00135214" w:rsidP="00A111E9">
      <w:pPr>
        <w:rPr>
          <w:lang w:eastAsia="en-AU" w:bidi="ar-SA"/>
        </w:rPr>
      </w:pPr>
      <w:r w:rsidRPr="00135214">
        <w:rPr>
          <w:lang w:eastAsia="en-AU" w:bidi="ar-SA"/>
        </w:rPr>
        <w:t>There are a number of epidemiological studies of human populations that have explored the association between PFHxS exposure and various health endpoints but evidence of significant risk is poor and at times contradictory. Study populations have included occupationally exposed work</w:t>
      </w:r>
      <w:r w:rsidR="00E72B58">
        <w:rPr>
          <w:lang w:eastAsia="en-AU" w:bidi="ar-SA"/>
        </w:rPr>
        <w:t>ers at 3M, a major manufacturer</w:t>
      </w:r>
      <w:r w:rsidRPr="00135214">
        <w:rPr>
          <w:lang w:eastAsia="en-AU" w:bidi="ar-SA"/>
        </w:rPr>
        <w:t xml:space="preserve"> of PFASs, communities with high exposure due to proximity to PFAS production plants, and general populations, </w:t>
      </w:r>
      <w:r w:rsidR="007F02A2">
        <w:rPr>
          <w:lang w:eastAsia="en-AU" w:bidi="ar-SA"/>
        </w:rPr>
        <w:t>for example</w:t>
      </w:r>
      <w:r w:rsidRPr="00135214">
        <w:rPr>
          <w:lang w:eastAsia="en-AU" w:bidi="ar-SA"/>
        </w:rPr>
        <w:t xml:space="preserve"> through the NHANES database. These studies are frequently complicated by exposure to more than one PFAS, and are not considered useful for determining a HBGV for PFHxS.</w:t>
      </w:r>
    </w:p>
    <w:p w14:paraId="6AD1B4DB" w14:textId="77777777" w:rsidR="00135214" w:rsidRPr="00135214" w:rsidRDefault="00135214" w:rsidP="00A111E9">
      <w:pPr>
        <w:rPr>
          <w:lang w:eastAsia="en-AU" w:bidi="ar-SA"/>
        </w:rPr>
      </w:pPr>
    </w:p>
    <w:p w14:paraId="0A1421CC" w14:textId="1ADD6747" w:rsidR="00135214" w:rsidRPr="00135214" w:rsidRDefault="00135214" w:rsidP="00A111E9">
      <w:pPr>
        <w:rPr>
          <w:lang w:eastAsia="en-AU" w:bidi="ar-SA"/>
        </w:rPr>
      </w:pPr>
      <w:r w:rsidRPr="00135214">
        <w:rPr>
          <w:lang w:eastAsia="en-AU" w:bidi="ar-SA"/>
        </w:rPr>
        <w:t>Mean PFHxS serum concentrations reported in various studies of the general population in the United States are in the range 1.5–3.9 ng/mL (ppb). Levels of 0.29 to 1.85 µg/mL have been reported in occupationally exposed individuals (ATSDR 2015). There is some evidence l</w:t>
      </w:r>
      <w:r w:rsidR="00E72B58">
        <w:rPr>
          <w:lang w:eastAsia="en-AU" w:bidi="ar-SA"/>
        </w:rPr>
        <w:t xml:space="preserve">evels in children </w:t>
      </w:r>
      <w:r w:rsidR="004A4554">
        <w:rPr>
          <w:lang w:eastAsia="en-AU" w:bidi="ar-SA"/>
        </w:rPr>
        <w:t xml:space="preserve">may be higher than in adults </w:t>
      </w:r>
      <w:r w:rsidR="00E72B58">
        <w:rPr>
          <w:lang w:eastAsia="en-AU" w:bidi="ar-SA"/>
        </w:rPr>
        <w:t>and i</w:t>
      </w:r>
      <w:r w:rsidRPr="00135214">
        <w:rPr>
          <w:lang w:eastAsia="en-AU" w:bidi="ar-SA"/>
        </w:rPr>
        <w:t>t has been su</w:t>
      </w:r>
      <w:r w:rsidR="00E72B58">
        <w:rPr>
          <w:lang w:eastAsia="en-AU" w:bidi="ar-SA"/>
        </w:rPr>
        <w:t>ggested that this</w:t>
      </w:r>
      <w:r w:rsidRPr="00135214">
        <w:rPr>
          <w:lang w:eastAsia="en-AU" w:bidi="ar-SA"/>
        </w:rPr>
        <w:t xml:space="preserve"> may be due to greater exposure through other routes of exposure, such as inhalation</w:t>
      </w:r>
      <w:r w:rsidR="00A039A5">
        <w:rPr>
          <w:lang w:eastAsia="en-AU" w:bidi="ar-SA"/>
        </w:rPr>
        <w:t xml:space="preserve"> and hand to mouth transfer</w:t>
      </w:r>
      <w:r w:rsidRPr="00135214">
        <w:rPr>
          <w:lang w:eastAsia="en-AU" w:bidi="ar-SA"/>
        </w:rPr>
        <w:t xml:space="preserve"> from carpets.</w:t>
      </w:r>
    </w:p>
    <w:p w14:paraId="41613DF1" w14:textId="77777777" w:rsidR="00135214" w:rsidRPr="00135214" w:rsidRDefault="00135214" w:rsidP="00A111E9">
      <w:pPr>
        <w:rPr>
          <w:lang w:eastAsia="en-AU" w:bidi="ar-SA"/>
        </w:rPr>
      </w:pPr>
    </w:p>
    <w:p w14:paraId="4A920E2F" w14:textId="00C50F71" w:rsidR="00135214" w:rsidRPr="00135214" w:rsidRDefault="00135214" w:rsidP="00A111E9">
      <w:pPr>
        <w:rPr>
          <w:lang w:eastAsia="en-AU" w:bidi="ar-SA"/>
        </w:rPr>
      </w:pPr>
      <w:r w:rsidRPr="00135214">
        <w:rPr>
          <w:lang w:eastAsia="en-AU" w:bidi="ar-SA"/>
        </w:rPr>
        <w:t xml:space="preserve">ATSDR (2015) considered a number of epidemiological studies that have reported an association between PFHxS exposure and health effects in human populations. These </w:t>
      </w:r>
      <w:r w:rsidR="00BF62B3">
        <w:rPr>
          <w:lang w:eastAsia="en-AU" w:bidi="ar-SA"/>
        </w:rPr>
        <w:t xml:space="preserve">and </w:t>
      </w:r>
      <w:r w:rsidR="00326ECC">
        <w:rPr>
          <w:lang w:eastAsia="en-AU" w:bidi="ar-SA"/>
        </w:rPr>
        <w:t xml:space="preserve">some </w:t>
      </w:r>
      <w:r w:rsidR="00BF62B3">
        <w:rPr>
          <w:lang w:eastAsia="en-AU" w:bidi="ar-SA"/>
        </w:rPr>
        <w:t xml:space="preserve">other more recent data, </w:t>
      </w:r>
      <w:r w:rsidRPr="00135214">
        <w:rPr>
          <w:lang w:eastAsia="en-AU" w:bidi="ar-SA"/>
        </w:rPr>
        <w:t>are briefly summarised below.</w:t>
      </w:r>
    </w:p>
    <w:p w14:paraId="6036ED6D" w14:textId="77777777" w:rsidR="00135214" w:rsidRPr="00135214" w:rsidRDefault="00135214" w:rsidP="00A111E9">
      <w:pPr>
        <w:rPr>
          <w:lang w:eastAsia="en-AU" w:bidi="ar-SA"/>
        </w:rPr>
      </w:pPr>
    </w:p>
    <w:p w14:paraId="363F4BF6" w14:textId="3ACFCAF6" w:rsidR="00135214" w:rsidRPr="00135214" w:rsidRDefault="00135214" w:rsidP="00A111E9">
      <w:pPr>
        <w:numPr>
          <w:ilvl w:val="0"/>
          <w:numId w:val="37"/>
        </w:numPr>
        <w:contextualSpacing/>
        <w:rPr>
          <w:lang w:eastAsia="en-AU" w:bidi="ar-SA"/>
        </w:rPr>
      </w:pPr>
      <w:r w:rsidRPr="00135214">
        <w:rPr>
          <w:lang w:eastAsia="en-AU" w:bidi="ar-SA"/>
        </w:rPr>
        <w:t>One epidemiology study reported a significant association between serum PFHxS levels and physician-diagnosed asthma in children aged 10-15 years but another epidemiology study, based on NHANES data, did not find this association. Results of epidemiology studies are likewise contradictory with regard to effects of PFHxS on total cholesterol, LDL</w:t>
      </w:r>
      <w:r w:rsidR="001012A5">
        <w:rPr>
          <w:lang w:eastAsia="en-AU" w:bidi="ar-SA"/>
        </w:rPr>
        <w:t xml:space="preserve"> </w:t>
      </w:r>
      <w:r w:rsidRPr="00135214">
        <w:rPr>
          <w:lang w:eastAsia="en-AU" w:bidi="ar-SA"/>
        </w:rPr>
        <w:t>chol</w:t>
      </w:r>
      <w:r w:rsidR="00E72B58">
        <w:rPr>
          <w:lang w:eastAsia="en-AU" w:bidi="ar-SA"/>
        </w:rPr>
        <w:t>esterol and non-HDL</w:t>
      </w:r>
      <w:r w:rsidR="004A4554">
        <w:rPr>
          <w:lang w:eastAsia="en-AU" w:bidi="ar-SA"/>
        </w:rPr>
        <w:t xml:space="preserve"> </w:t>
      </w:r>
      <w:r w:rsidR="00E72B58">
        <w:rPr>
          <w:lang w:eastAsia="en-AU" w:bidi="ar-SA"/>
        </w:rPr>
        <w:t>cholesterol,</w:t>
      </w:r>
      <w:r w:rsidRPr="00135214">
        <w:rPr>
          <w:lang w:eastAsia="en-AU" w:bidi="ar-SA"/>
        </w:rPr>
        <w:t xml:space="preserve"> s</w:t>
      </w:r>
      <w:r w:rsidR="00E72B58">
        <w:rPr>
          <w:lang w:eastAsia="en-AU" w:bidi="ar-SA"/>
        </w:rPr>
        <w:t>perm quality and</w:t>
      </w:r>
      <w:r w:rsidRPr="00135214">
        <w:rPr>
          <w:lang w:eastAsia="en-AU" w:bidi="ar-SA"/>
        </w:rPr>
        <w:t xml:space="preserve"> effects on birth weight. Overall, ATSDR considered that the number of studies examining the relationship between serum PFHxS and cholesterol is insufficient for any conclusions to be drawn.</w:t>
      </w:r>
    </w:p>
    <w:p w14:paraId="3551DC48" w14:textId="27C4015E" w:rsidR="00135214" w:rsidRPr="00135214" w:rsidRDefault="00135214" w:rsidP="00A111E9">
      <w:pPr>
        <w:numPr>
          <w:ilvl w:val="0"/>
          <w:numId w:val="37"/>
        </w:numPr>
        <w:contextualSpacing/>
        <w:rPr>
          <w:lang w:eastAsia="en-AU" w:bidi="ar-SA"/>
        </w:rPr>
      </w:pPr>
      <w:r w:rsidRPr="00135214">
        <w:rPr>
          <w:lang w:eastAsia="en-AU" w:bidi="ar-SA"/>
        </w:rPr>
        <w:t xml:space="preserve">A reported negative association between serum PFHxS and estimated </w:t>
      </w:r>
      <w:r w:rsidR="004A4554">
        <w:rPr>
          <w:lang w:eastAsia="en-AU" w:bidi="ar-SA"/>
        </w:rPr>
        <w:t>GFR</w:t>
      </w:r>
      <w:r w:rsidRPr="00135214">
        <w:rPr>
          <w:lang w:eastAsia="en-AU" w:bidi="ar-SA"/>
        </w:rPr>
        <w:t xml:space="preserve"> may be a consequence of ‘reverse causation</w:t>
      </w:r>
      <w:r w:rsidR="00CC26CA">
        <w:rPr>
          <w:lang w:eastAsia="en-AU" w:bidi="ar-SA"/>
        </w:rPr>
        <w:t>,’</w:t>
      </w:r>
      <w:r w:rsidRPr="00135214">
        <w:rPr>
          <w:lang w:eastAsia="en-AU" w:bidi="ar-SA"/>
        </w:rPr>
        <w:t xml:space="preserve"> </w:t>
      </w:r>
      <w:r w:rsidR="007F02A2">
        <w:rPr>
          <w:lang w:eastAsia="en-AU" w:bidi="ar-SA"/>
        </w:rPr>
        <w:t>that is</w:t>
      </w:r>
      <w:r w:rsidRPr="00135214">
        <w:rPr>
          <w:lang w:eastAsia="en-AU" w:bidi="ar-SA"/>
        </w:rPr>
        <w:t xml:space="preserve"> individuals with low </w:t>
      </w:r>
      <w:r w:rsidR="004A4554">
        <w:rPr>
          <w:lang w:eastAsia="en-AU" w:bidi="ar-SA"/>
        </w:rPr>
        <w:t>GFR</w:t>
      </w:r>
      <w:r w:rsidRPr="00135214">
        <w:rPr>
          <w:lang w:eastAsia="en-AU" w:bidi="ar-SA"/>
        </w:rPr>
        <w:t xml:space="preserve"> are slower to </w:t>
      </w:r>
      <w:r w:rsidRPr="00135214">
        <w:rPr>
          <w:lang w:eastAsia="en-AU" w:bidi="ar-SA"/>
        </w:rPr>
        <w:lastRenderedPageBreak/>
        <w:t>excrete PFHxS. A small number of studies have examined possible associations between serum PFHxS level on the one hand and TSH, T3 and T4 on the other, but no associations have been found.</w:t>
      </w:r>
    </w:p>
    <w:p w14:paraId="207C8DAD" w14:textId="4FBE0983" w:rsidR="00135214" w:rsidRPr="00135214" w:rsidRDefault="00135214" w:rsidP="00A111E9">
      <w:pPr>
        <w:numPr>
          <w:ilvl w:val="0"/>
          <w:numId w:val="37"/>
        </w:numPr>
        <w:contextualSpacing/>
        <w:rPr>
          <w:lang w:eastAsia="en-AU" w:bidi="ar-SA"/>
        </w:rPr>
      </w:pPr>
      <w:r w:rsidRPr="00135214">
        <w:rPr>
          <w:lang w:eastAsia="en-AU" w:bidi="ar-SA"/>
        </w:rPr>
        <w:t>Most studies have found no association between serum PFHxS and evidence of diabetes, although one study found a negative association between PFHxS levels and insulin resistance in adolescent females.</w:t>
      </w:r>
    </w:p>
    <w:p w14:paraId="6553DF51" w14:textId="77777777" w:rsidR="00135214" w:rsidRPr="00135214" w:rsidRDefault="00135214" w:rsidP="00A111E9">
      <w:pPr>
        <w:numPr>
          <w:ilvl w:val="0"/>
          <w:numId w:val="37"/>
        </w:numPr>
        <w:contextualSpacing/>
        <w:rPr>
          <w:lang w:eastAsia="en-AU" w:bidi="ar-SA"/>
        </w:rPr>
      </w:pPr>
      <w:r w:rsidRPr="00135214">
        <w:rPr>
          <w:lang w:eastAsia="en-AU" w:bidi="ar-SA"/>
        </w:rPr>
        <w:t>Negative associations have been found between serum levels of PFASs, including PFHxS, and antibody responses to vaccinations against tetanus, diphtheria, and rubella in children. One study has found an association between serum PFHxS and ADHD and/or learning difficulties in children, as reported by parents or the children themselves.</w:t>
      </w:r>
    </w:p>
    <w:p w14:paraId="5DAB0C7A" w14:textId="25754678" w:rsidR="00135214" w:rsidRPr="00135214" w:rsidRDefault="00135214" w:rsidP="00A111E9">
      <w:pPr>
        <w:numPr>
          <w:ilvl w:val="0"/>
          <w:numId w:val="37"/>
        </w:numPr>
        <w:contextualSpacing/>
        <w:rPr>
          <w:lang w:eastAsia="en-AU" w:bidi="ar-SA"/>
        </w:rPr>
      </w:pPr>
      <w:r w:rsidRPr="00135214">
        <w:rPr>
          <w:lang w:eastAsia="en-AU" w:bidi="ar-SA"/>
        </w:rPr>
        <w:t>J</w:t>
      </w:r>
      <w:r w:rsidRPr="00135214">
        <w:rPr>
          <w:rFonts w:cs="Arial"/>
          <w:lang w:eastAsia="en-AU" w:bidi="ar-SA"/>
        </w:rPr>
        <w:t>ø</w:t>
      </w:r>
      <w:r w:rsidRPr="00135214">
        <w:rPr>
          <w:lang w:eastAsia="en-AU" w:bidi="ar-SA"/>
        </w:rPr>
        <w:t xml:space="preserve">rgensen </w:t>
      </w:r>
      <w:r w:rsidR="00180A32" w:rsidRPr="00180A32">
        <w:rPr>
          <w:i/>
          <w:lang w:eastAsia="en-AU" w:bidi="ar-SA"/>
        </w:rPr>
        <w:t xml:space="preserve">et al. </w:t>
      </w:r>
      <w:r w:rsidR="00CC50B8">
        <w:rPr>
          <w:lang w:eastAsia="en-AU" w:bidi="ar-SA"/>
        </w:rPr>
        <w:t xml:space="preserve"> </w:t>
      </w:r>
      <w:r w:rsidRPr="00135214">
        <w:rPr>
          <w:lang w:eastAsia="en-AU" w:bidi="ar-SA"/>
        </w:rPr>
        <w:t xml:space="preserve">(2014) did not find consistent evidence that PFHxS had any effect </w:t>
      </w:r>
      <w:r w:rsidR="00A039A5">
        <w:rPr>
          <w:lang w:eastAsia="en-AU" w:bidi="ar-SA"/>
        </w:rPr>
        <w:t>on</w:t>
      </w:r>
      <w:r w:rsidR="00A039A5" w:rsidRPr="00135214">
        <w:rPr>
          <w:lang w:eastAsia="en-AU" w:bidi="ar-SA"/>
        </w:rPr>
        <w:t xml:space="preserve"> </w:t>
      </w:r>
      <w:r w:rsidRPr="00135214">
        <w:rPr>
          <w:lang w:eastAsia="en-AU" w:bidi="ar-SA"/>
        </w:rPr>
        <w:t>time to conception in women, whereas V</w:t>
      </w:r>
      <w:r w:rsidRPr="00135214">
        <w:rPr>
          <w:rFonts w:cs="Arial"/>
          <w:lang w:eastAsia="en-AU" w:bidi="ar-SA"/>
        </w:rPr>
        <w:t>é</w:t>
      </w:r>
      <w:r w:rsidRPr="00135214">
        <w:rPr>
          <w:lang w:eastAsia="en-AU" w:bidi="ar-SA"/>
        </w:rPr>
        <w:t xml:space="preserve">lez </w:t>
      </w:r>
      <w:r w:rsidR="00180A32" w:rsidRPr="00180A32">
        <w:rPr>
          <w:i/>
          <w:lang w:eastAsia="en-AU" w:bidi="ar-SA"/>
        </w:rPr>
        <w:t xml:space="preserve">et al. </w:t>
      </w:r>
      <w:r w:rsidR="00CC50B8">
        <w:rPr>
          <w:lang w:eastAsia="en-AU" w:bidi="ar-SA"/>
        </w:rPr>
        <w:t xml:space="preserve"> </w:t>
      </w:r>
      <w:r w:rsidRPr="00135214">
        <w:rPr>
          <w:lang w:eastAsia="en-AU" w:bidi="ar-SA"/>
        </w:rPr>
        <w:t>(2015) concluded that PFHxS increased time to conception.</w:t>
      </w:r>
    </w:p>
    <w:p w14:paraId="060A8D4C" w14:textId="2B3DC3F7" w:rsidR="00135214" w:rsidRPr="00135214" w:rsidRDefault="00135214" w:rsidP="00A111E9">
      <w:pPr>
        <w:numPr>
          <w:ilvl w:val="0"/>
          <w:numId w:val="37"/>
        </w:numPr>
        <w:contextualSpacing/>
        <w:rPr>
          <w:lang w:eastAsia="en-AU" w:bidi="ar-SA"/>
        </w:rPr>
      </w:pPr>
      <w:r w:rsidRPr="00135214">
        <w:rPr>
          <w:lang w:eastAsia="en-AU" w:bidi="ar-SA"/>
        </w:rPr>
        <w:t xml:space="preserve">Maison </w:t>
      </w:r>
      <w:r w:rsidR="00180A32" w:rsidRPr="00180A32">
        <w:rPr>
          <w:i/>
          <w:lang w:eastAsia="en-AU" w:bidi="ar-SA"/>
        </w:rPr>
        <w:t xml:space="preserve">et al. </w:t>
      </w:r>
      <w:r w:rsidR="00CC50B8">
        <w:rPr>
          <w:lang w:eastAsia="en-AU" w:bidi="ar-SA"/>
        </w:rPr>
        <w:t xml:space="preserve"> </w:t>
      </w:r>
      <w:r w:rsidRPr="00135214">
        <w:rPr>
          <w:lang w:eastAsia="en-AU" w:bidi="ar-SA"/>
        </w:rPr>
        <w:t>(2015) found some evidence that prenatal exposure to PFHxS was associated with a slight increase in serum testosterone concentration in adolescent girls, but acknowledged that their study was small (n=72).</w:t>
      </w:r>
    </w:p>
    <w:p w14:paraId="5DDB6271" w14:textId="77777777" w:rsidR="00135214" w:rsidRPr="00135214" w:rsidRDefault="00135214" w:rsidP="00A111E9">
      <w:pPr>
        <w:ind w:left="720"/>
        <w:contextualSpacing/>
        <w:rPr>
          <w:lang w:eastAsia="en-AU" w:bidi="ar-SA"/>
        </w:rPr>
      </w:pPr>
    </w:p>
    <w:p w14:paraId="445C6DFB" w14:textId="6CD9DFF1" w:rsidR="00135214" w:rsidRPr="00135214" w:rsidRDefault="00135214" w:rsidP="00A111E9">
      <w:pPr>
        <w:rPr>
          <w:lang w:eastAsia="en-AU" w:bidi="ar-SA"/>
        </w:rPr>
      </w:pPr>
      <w:r w:rsidRPr="00135214">
        <w:rPr>
          <w:lang w:eastAsia="en-AU" w:bidi="ar-SA"/>
        </w:rPr>
        <w:t>Overall</w:t>
      </w:r>
      <w:r w:rsidR="004E0E17">
        <w:rPr>
          <w:lang w:eastAsia="en-AU" w:bidi="ar-SA"/>
        </w:rPr>
        <w:t>,</w:t>
      </w:r>
      <w:r w:rsidRPr="00135214">
        <w:rPr>
          <w:lang w:eastAsia="en-AU" w:bidi="ar-SA"/>
        </w:rPr>
        <w:t xml:space="preserve"> ATSDR did not consider </w:t>
      </w:r>
      <w:r w:rsidR="00326ECC">
        <w:rPr>
          <w:lang w:eastAsia="en-AU" w:bidi="ar-SA"/>
        </w:rPr>
        <w:t xml:space="preserve">the </w:t>
      </w:r>
      <w:r w:rsidR="00BF62B3">
        <w:rPr>
          <w:lang w:eastAsia="en-AU" w:bidi="ar-SA"/>
        </w:rPr>
        <w:t xml:space="preserve">available human data </w:t>
      </w:r>
      <w:r w:rsidRPr="00135214">
        <w:rPr>
          <w:lang w:eastAsia="en-AU" w:bidi="ar-SA"/>
        </w:rPr>
        <w:t>useful for establishing a MRL.</w:t>
      </w:r>
    </w:p>
    <w:p w14:paraId="28F4035D" w14:textId="27D70035" w:rsidR="00135214" w:rsidRPr="00135214" w:rsidRDefault="00985018" w:rsidP="00EF0F51">
      <w:pPr>
        <w:pStyle w:val="Heading3"/>
      </w:pPr>
      <w:bookmarkStart w:id="439" w:name="_Toc463341939"/>
      <w:bookmarkStart w:id="440" w:name="_Toc468636393"/>
      <w:bookmarkStart w:id="441" w:name="_Toc468699246"/>
      <w:bookmarkStart w:id="442" w:name="_Toc468712775"/>
      <w:bookmarkStart w:id="443" w:name="_Toc468716473"/>
      <w:bookmarkStart w:id="444" w:name="_Toc468709460"/>
      <w:bookmarkStart w:id="445" w:name="_Toc468717759"/>
      <w:bookmarkStart w:id="446" w:name="_Toc468718403"/>
      <w:bookmarkStart w:id="447" w:name="_Toc468719393"/>
      <w:bookmarkStart w:id="448" w:name="_Toc468722198"/>
      <w:bookmarkStart w:id="449" w:name="_Toc468799268"/>
      <w:bookmarkStart w:id="450" w:name="_Toc468806591"/>
      <w:bookmarkStart w:id="451" w:name="_Toc468981005"/>
      <w:bookmarkStart w:id="452" w:name="_Toc482805111"/>
      <w:r>
        <w:t>4.4</w:t>
      </w:r>
      <w:r w:rsidR="00135214" w:rsidRPr="00135214">
        <w:tab/>
        <w:t>Discussion and conclusions</w:t>
      </w:r>
      <w:bookmarkEnd w:id="439"/>
      <w:bookmarkEnd w:id="440"/>
      <w:r>
        <w:t xml:space="preserve"> PFHxS</w:t>
      </w:r>
      <w:bookmarkEnd w:id="441"/>
      <w:bookmarkEnd w:id="442"/>
      <w:bookmarkEnd w:id="443"/>
      <w:bookmarkEnd w:id="444"/>
      <w:bookmarkEnd w:id="445"/>
      <w:bookmarkEnd w:id="446"/>
      <w:bookmarkEnd w:id="447"/>
      <w:bookmarkEnd w:id="448"/>
      <w:bookmarkEnd w:id="449"/>
      <w:bookmarkEnd w:id="450"/>
      <w:bookmarkEnd w:id="451"/>
      <w:bookmarkEnd w:id="452"/>
    </w:p>
    <w:p w14:paraId="3431BDB5" w14:textId="7D70FF55" w:rsidR="00135214" w:rsidRPr="00135214" w:rsidRDefault="00135214" w:rsidP="00A111E9">
      <w:pPr>
        <w:widowControl/>
        <w:rPr>
          <w:lang w:bidi="ar-SA"/>
        </w:rPr>
      </w:pPr>
      <w:r w:rsidRPr="00135214">
        <w:rPr>
          <w:lang w:bidi="ar-SA"/>
        </w:rPr>
        <w:t xml:space="preserve">There are currently substantial deficiencies in the toxicological and epidemiological database that preclude establishing a TDI for PFHxS, or a group </w:t>
      </w:r>
      <w:r w:rsidR="00F14E49">
        <w:rPr>
          <w:lang w:bidi="ar-SA"/>
        </w:rPr>
        <w:t>T</w:t>
      </w:r>
      <w:r w:rsidRPr="00135214">
        <w:rPr>
          <w:lang w:bidi="ar-SA"/>
        </w:rPr>
        <w:t>DI for perfluoroalkyl compounds. Establishing a HBGV is usually a strong indicator of the confidence in the database around the toxicity of the chemical being assessed. When a HBGV is established, it is taken that the database is robust and comprehensive, such that all relevant endpoints can be covered.</w:t>
      </w:r>
    </w:p>
    <w:p w14:paraId="7347A80F" w14:textId="77777777" w:rsidR="00135214" w:rsidRPr="00135214" w:rsidRDefault="00135214" w:rsidP="00A111E9">
      <w:pPr>
        <w:widowControl/>
        <w:rPr>
          <w:lang w:bidi="ar-SA"/>
        </w:rPr>
      </w:pPr>
    </w:p>
    <w:p w14:paraId="1F074974" w14:textId="6CFBD147" w:rsidR="00135214" w:rsidRPr="00135214" w:rsidRDefault="00135214" w:rsidP="00A111E9">
      <w:pPr>
        <w:widowControl/>
        <w:rPr>
          <w:lang w:bidi="ar-SA"/>
        </w:rPr>
      </w:pPr>
      <w:r w:rsidRPr="00135214">
        <w:rPr>
          <w:lang w:bidi="ar-SA"/>
        </w:rPr>
        <w:t xml:space="preserve">In the case of PFHxS, the only toxicology study considered useful for regulatory purposes was a reproductive and developmental study in rats </w:t>
      </w:r>
      <w:r w:rsidR="00237D67">
        <w:rPr>
          <w:lang w:bidi="ar-SA"/>
        </w:rPr>
        <w:t xml:space="preserve">(Butenhoff </w:t>
      </w:r>
      <w:r w:rsidR="00180A32" w:rsidRPr="00180A32">
        <w:rPr>
          <w:i/>
          <w:lang w:bidi="ar-SA"/>
        </w:rPr>
        <w:t xml:space="preserve">et al. </w:t>
      </w:r>
      <w:r w:rsidR="00CC50B8">
        <w:rPr>
          <w:lang w:bidi="ar-SA"/>
        </w:rPr>
        <w:t xml:space="preserve"> </w:t>
      </w:r>
      <w:r w:rsidRPr="00135214">
        <w:rPr>
          <w:lang w:bidi="ar-SA"/>
        </w:rPr>
        <w:t>2009). There was no evidence of reproductive or developmental toxicity. The NOAEL for reproductive toxicity was 10 mg/kg bw/day, the highest dose tested. The NOAEL for paternal toxicity was 3 mg/kg bw/day (males only), and the NOAEL for offspring toxicity was 10 mg/kg bw/day.</w:t>
      </w:r>
    </w:p>
    <w:p w14:paraId="7599A04F" w14:textId="77777777" w:rsidR="00135214" w:rsidRPr="00135214" w:rsidRDefault="00135214" w:rsidP="00A111E9">
      <w:pPr>
        <w:widowControl/>
        <w:rPr>
          <w:lang w:bidi="ar-SA"/>
        </w:rPr>
      </w:pPr>
    </w:p>
    <w:p w14:paraId="21A7E73E" w14:textId="6F2B261E" w:rsidR="00135214" w:rsidRPr="00135214" w:rsidRDefault="00135214" w:rsidP="00A111E9">
      <w:pPr>
        <w:widowControl/>
        <w:rPr>
          <w:lang w:bidi="ar-SA"/>
        </w:rPr>
      </w:pPr>
      <w:r w:rsidRPr="00135214">
        <w:rPr>
          <w:lang w:bidi="ar-SA"/>
        </w:rPr>
        <w:t>In th</w:t>
      </w:r>
      <w:r w:rsidR="00E72B58">
        <w:rPr>
          <w:lang w:bidi="ar-SA"/>
        </w:rPr>
        <w:t>e absence of a HBGV, it may</w:t>
      </w:r>
      <w:r w:rsidRPr="00135214">
        <w:rPr>
          <w:lang w:bidi="ar-SA"/>
        </w:rPr>
        <w:t xml:space="preserve"> be it may still be possible to derive a margin of exposure (MOE) to provide risk managers with information on the level of public health and safety risk. The MOE is defined as the ratio of the NOAEL or BMDL for the critical effect to the predicted or estimated exposure. In general, the interpretation of an MOE is based on considerations similar to those used in establishing a HBGV. When based on data from experimental animals, as a default, a MOE of at least 100 would be considered as an indication for low health concern for compounds such as perfluoralkylated compounds with an apparent threshold.</w:t>
      </w:r>
    </w:p>
    <w:p w14:paraId="415F089F" w14:textId="77777777" w:rsidR="00135214" w:rsidRPr="00135214" w:rsidRDefault="00135214" w:rsidP="00A111E9">
      <w:pPr>
        <w:widowControl/>
        <w:rPr>
          <w:lang w:bidi="ar-SA"/>
        </w:rPr>
      </w:pPr>
    </w:p>
    <w:p w14:paraId="75DA8018" w14:textId="656236C5" w:rsidR="00135214" w:rsidRPr="00135214" w:rsidRDefault="00135214" w:rsidP="00A111E9">
      <w:pPr>
        <w:widowControl/>
        <w:rPr>
          <w:lang w:bidi="ar-SA"/>
        </w:rPr>
      </w:pPr>
      <w:r w:rsidRPr="00135214">
        <w:rPr>
          <w:lang w:bidi="ar-SA"/>
        </w:rPr>
        <w:t>However, this is likely to be complicated by the toxicokinetics for PFHxS, which similar to PFOS and PFOA, exhibit</w:t>
      </w:r>
      <w:r w:rsidR="00BA7488">
        <w:rPr>
          <w:lang w:bidi="ar-SA"/>
        </w:rPr>
        <w:t>s</w:t>
      </w:r>
      <w:r w:rsidRPr="00135214">
        <w:rPr>
          <w:lang w:bidi="ar-SA"/>
        </w:rPr>
        <w:t xml:space="preserve"> significant differences between laboratory animals and humans, such that the </w:t>
      </w:r>
      <w:r w:rsidR="00BA7488">
        <w:rPr>
          <w:lang w:bidi="ar-SA"/>
        </w:rPr>
        <w:t xml:space="preserve">default </w:t>
      </w:r>
      <w:r w:rsidRPr="00135214">
        <w:rPr>
          <w:lang w:bidi="ar-SA"/>
        </w:rPr>
        <w:t>100-fold uncertainty factor may not be sufficiently protective of human health. On that basis, it is r</w:t>
      </w:r>
      <w:r w:rsidR="00BE29F0">
        <w:rPr>
          <w:lang w:bidi="ar-SA"/>
        </w:rPr>
        <w:t xml:space="preserve">easonable to conclude that the </w:t>
      </w:r>
      <w:r w:rsidR="00BE29F0" w:rsidRPr="00BE29F0">
        <w:rPr>
          <w:lang w:bidi="ar-SA"/>
        </w:rPr>
        <w:t>e</w:t>
      </w:r>
      <w:r w:rsidRPr="00BE29F0">
        <w:rPr>
          <w:lang w:bidi="ar-SA"/>
        </w:rPr>
        <w:t>nHealth</w:t>
      </w:r>
      <w:r w:rsidRPr="00135214">
        <w:rPr>
          <w:lang w:bidi="ar-SA"/>
        </w:rPr>
        <w:t xml:space="preserve"> approach of using the TDI for PFOS is likely to be </w:t>
      </w:r>
      <w:r w:rsidR="00BD44DD">
        <w:rPr>
          <w:lang w:bidi="ar-SA"/>
        </w:rPr>
        <w:t>conservative</w:t>
      </w:r>
      <w:r w:rsidRPr="00135214">
        <w:rPr>
          <w:lang w:bidi="ar-SA"/>
        </w:rPr>
        <w:t xml:space="preserve"> and protective of public health as an interim measure. The approach recognises that the structure of PFHxS and PFOS are similar, and that there is some evidence of similar p</w:t>
      </w:r>
      <w:r w:rsidR="00BA7488">
        <w:rPr>
          <w:lang w:bidi="ar-SA"/>
        </w:rPr>
        <w:t xml:space="preserve">otency of PFHxS and PFOS in </w:t>
      </w:r>
      <w:r w:rsidRPr="00135214">
        <w:rPr>
          <w:lang w:bidi="ar-SA"/>
        </w:rPr>
        <w:t>activating PPARα, which at least partially, mediates the toxicity of perfluroalkylated compounds.</w:t>
      </w:r>
    </w:p>
    <w:p w14:paraId="5A710BBB" w14:textId="77777777" w:rsidR="00135214" w:rsidRPr="00BE29F0" w:rsidRDefault="00135214" w:rsidP="00A111E9">
      <w:pPr>
        <w:widowControl/>
        <w:rPr>
          <w:vertAlign w:val="superscript"/>
          <w:lang w:bidi="ar-SA"/>
        </w:rPr>
      </w:pPr>
    </w:p>
    <w:p w14:paraId="2281F659" w14:textId="03DC16BC" w:rsidR="00931B97" w:rsidRDefault="00135214" w:rsidP="00A111E9">
      <w:pPr>
        <w:widowControl/>
        <w:rPr>
          <w:lang w:bidi="ar-SA"/>
        </w:rPr>
      </w:pPr>
      <w:r w:rsidRPr="00135214">
        <w:rPr>
          <w:lang w:bidi="ar-SA"/>
        </w:rPr>
        <w:t>Effectively, this means that as a conservative approach, PFHxS and PFOS should be summed for the purposes of a dietary exposure assessment and risk characterisation.</w:t>
      </w:r>
    </w:p>
    <w:p w14:paraId="0405E675" w14:textId="4E42839C" w:rsidR="009A51A2" w:rsidRDefault="009A51A2" w:rsidP="00A111E9">
      <w:pPr>
        <w:pStyle w:val="Heading2"/>
      </w:pPr>
      <w:bookmarkStart w:id="453" w:name="_Toc468699247"/>
      <w:bookmarkStart w:id="454" w:name="_Toc468712776"/>
      <w:bookmarkStart w:id="455" w:name="_Toc468716474"/>
      <w:bookmarkStart w:id="456" w:name="_Toc468709461"/>
      <w:bookmarkStart w:id="457" w:name="_Toc468717760"/>
      <w:bookmarkStart w:id="458" w:name="_Toc468718404"/>
      <w:bookmarkStart w:id="459" w:name="_Toc468719394"/>
      <w:bookmarkStart w:id="460" w:name="_Toc468722199"/>
      <w:bookmarkStart w:id="461" w:name="_Toc468799269"/>
      <w:bookmarkStart w:id="462" w:name="_Toc468806592"/>
      <w:bookmarkStart w:id="463" w:name="_Toc468981006"/>
      <w:bookmarkStart w:id="464" w:name="_Toc482805112"/>
      <w:r>
        <w:lastRenderedPageBreak/>
        <w:t>References</w:t>
      </w:r>
      <w:bookmarkEnd w:id="453"/>
      <w:bookmarkEnd w:id="454"/>
      <w:bookmarkEnd w:id="455"/>
      <w:bookmarkEnd w:id="456"/>
      <w:bookmarkEnd w:id="457"/>
      <w:bookmarkEnd w:id="458"/>
      <w:bookmarkEnd w:id="459"/>
      <w:bookmarkEnd w:id="460"/>
      <w:bookmarkEnd w:id="461"/>
      <w:bookmarkEnd w:id="462"/>
      <w:bookmarkEnd w:id="463"/>
      <w:bookmarkEnd w:id="464"/>
    </w:p>
    <w:p w14:paraId="725C21AA" w14:textId="4C55CBD3" w:rsidR="003A6F42" w:rsidRPr="000C4C17" w:rsidRDefault="003A6F42" w:rsidP="004449B9">
      <w:pPr>
        <w:pStyle w:val="Heading3"/>
      </w:pPr>
      <w:r w:rsidRPr="000C4C17">
        <w:t>PFOS</w:t>
      </w:r>
    </w:p>
    <w:p w14:paraId="74C24E9D" w14:textId="2D60E4BE" w:rsidR="006F60D3" w:rsidRPr="000C4C17" w:rsidRDefault="00D558CA" w:rsidP="00A111E9">
      <w:pPr>
        <w:rPr>
          <w:lang w:bidi="ar-SA"/>
        </w:rPr>
      </w:pPr>
      <w:r w:rsidRPr="000C4C17">
        <w:rPr>
          <w:lang w:bidi="ar-SA"/>
        </w:rPr>
        <w:t>Agency for Toxic Substances and Disease Registry</w:t>
      </w:r>
      <w:r w:rsidR="006F60D3" w:rsidRPr="000C4C17">
        <w:rPr>
          <w:lang w:bidi="ar-SA"/>
        </w:rPr>
        <w:t xml:space="preserve"> </w:t>
      </w:r>
      <w:r w:rsidRPr="000C4C17">
        <w:rPr>
          <w:lang w:bidi="ar-SA"/>
        </w:rPr>
        <w:t>(</w:t>
      </w:r>
      <w:r w:rsidR="006F60D3" w:rsidRPr="000C4C17">
        <w:rPr>
          <w:lang w:bidi="ar-SA"/>
        </w:rPr>
        <w:t>2015</w:t>
      </w:r>
      <w:r w:rsidRPr="000C4C17">
        <w:rPr>
          <w:lang w:bidi="ar-SA"/>
        </w:rPr>
        <w:t>) Draft Toxicological Profile for Perfluoroalkyls.</w:t>
      </w:r>
    </w:p>
    <w:p w14:paraId="447AAE91" w14:textId="3E217BF0" w:rsidR="000C6265" w:rsidRPr="000C4C17" w:rsidRDefault="000C6265" w:rsidP="00A111E9">
      <w:pPr>
        <w:rPr>
          <w:lang w:bidi="ar-SA"/>
        </w:rPr>
      </w:pPr>
    </w:p>
    <w:p w14:paraId="2266002D" w14:textId="79341A92" w:rsidR="000C6265" w:rsidRPr="000C4C17" w:rsidRDefault="000C6265" w:rsidP="00A111E9">
      <w:pPr>
        <w:rPr>
          <w:lang w:bidi="ar-SA"/>
        </w:rPr>
      </w:pPr>
      <w:r w:rsidRPr="000C4C17">
        <w:rPr>
          <w:lang w:bidi="ar-SA"/>
        </w:rPr>
        <w:t>Andersen ME, Clewell HJ 3rd, Tan YM, Butenhoff JL and Olsen GW (2006) Pharmacokinetic modeling of saturable, renal resorption of perfluoroalkylacids in monkeys--probing the determinants of long plasma half-lives. Toxicology 227: 156–164.</w:t>
      </w:r>
    </w:p>
    <w:p w14:paraId="35A41DAB" w14:textId="77777777" w:rsidR="006F60D3" w:rsidRPr="000C4C17" w:rsidRDefault="006F60D3" w:rsidP="00A111E9">
      <w:pPr>
        <w:rPr>
          <w:lang w:bidi="ar-SA"/>
        </w:rPr>
      </w:pPr>
    </w:p>
    <w:p w14:paraId="69902920" w14:textId="7A96DC8B" w:rsidR="00296CD6" w:rsidRPr="000C4C17" w:rsidRDefault="00296CD6" w:rsidP="00A111E9">
      <w:pPr>
        <w:rPr>
          <w:lang w:bidi="ar-SA"/>
        </w:rPr>
      </w:pPr>
      <w:r w:rsidRPr="000C4C17">
        <w:rPr>
          <w:lang w:bidi="ar-SA"/>
        </w:rPr>
        <w:t xml:space="preserve">Beesoon S and Martin JW (2015) Isomer-specific binding affinity of perfluorooctanesulfonate (PFOS) and perfluorooctanoate (PFOA) to serum proteins. </w:t>
      </w:r>
      <w:r w:rsidR="005A482B" w:rsidRPr="000C4C17">
        <w:rPr>
          <w:lang w:bidi="ar-SA"/>
        </w:rPr>
        <w:t>Environ Sci Technol</w:t>
      </w:r>
      <w:r w:rsidRPr="000C4C17">
        <w:rPr>
          <w:lang w:bidi="ar-SA"/>
        </w:rPr>
        <w:t xml:space="preserve"> 49: 5722–5731.</w:t>
      </w:r>
    </w:p>
    <w:p w14:paraId="2FA4B1DA" w14:textId="77777777" w:rsidR="00296CD6" w:rsidRPr="000C4C17" w:rsidRDefault="00296CD6" w:rsidP="00A111E9">
      <w:pPr>
        <w:rPr>
          <w:lang w:bidi="ar-SA"/>
        </w:rPr>
      </w:pPr>
    </w:p>
    <w:p w14:paraId="15849626" w14:textId="559E7EAD" w:rsidR="006F60D3" w:rsidRPr="000C4C17" w:rsidRDefault="006F60D3" w:rsidP="00A111E9">
      <w:pPr>
        <w:rPr>
          <w:lang w:bidi="ar-SA"/>
        </w:rPr>
      </w:pPr>
      <w:r w:rsidRPr="000C4C17">
        <w:rPr>
          <w:lang w:bidi="ar-SA"/>
        </w:rPr>
        <w:t xml:space="preserve">Biegel </w:t>
      </w:r>
      <w:r w:rsidR="00D558CA" w:rsidRPr="000C4C17">
        <w:rPr>
          <w:lang w:bidi="ar-SA"/>
        </w:rPr>
        <w:t>LB, Hurtt ME, Frame SR, O’Connor JC and Cook JC</w:t>
      </w:r>
      <w:r w:rsidR="00D87A49" w:rsidRPr="000C4C17">
        <w:rPr>
          <w:lang w:bidi="ar-SA"/>
        </w:rPr>
        <w:t xml:space="preserve"> </w:t>
      </w:r>
      <w:r w:rsidR="008F7454" w:rsidRPr="000C4C17">
        <w:rPr>
          <w:lang w:bidi="ar-SA"/>
        </w:rPr>
        <w:t>(</w:t>
      </w:r>
      <w:r w:rsidRPr="000C4C17">
        <w:rPr>
          <w:lang w:bidi="ar-SA"/>
        </w:rPr>
        <w:t>2001</w:t>
      </w:r>
      <w:r w:rsidR="008F7454" w:rsidRPr="000C4C17">
        <w:rPr>
          <w:lang w:bidi="ar-SA"/>
        </w:rPr>
        <w:t xml:space="preserve">) Mechanisms of Extrahepatic Tumor Induction by Peroxisome Proliferators in Male CD Rats. </w:t>
      </w:r>
      <w:r w:rsidR="005A482B" w:rsidRPr="000C4C17">
        <w:rPr>
          <w:lang w:bidi="ar-SA"/>
        </w:rPr>
        <w:t>Toxicol Sci</w:t>
      </w:r>
      <w:r w:rsidR="008F7454" w:rsidRPr="000C4C17">
        <w:rPr>
          <w:lang w:bidi="ar-SA"/>
        </w:rPr>
        <w:t xml:space="preserve"> 60</w:t>
      </w:r>
      <w:r w:rsidR="008177F6" w:rsidRPr="000C4C17">
        <w:rPr>
          <w:lang w:bidi="ar-SA"/>
        </w:rPr>
        <w:t>:</w:t>
      </w:r>
      <w:r w:rsidR="008F7454" w:rsidRPr="000C4C17">
        <w:rPr>
          <w:lang w:bidi="ar-SA"/>
        </w:rPr>
        <w:t xml:space="preserve"> 44–55</w:t>
      </w:r>
      <w:r w:rsidR="00246720" w:rsidRPr="000C4C17">
        <w:rPr>
          <w:lang w:bidi="ar-SA"/>
        </w:rPr>
        <w:t>.</w:t>
      </w:r>
    </w:p>
    <w:p w14:paraId="018915FA" w14:textId="2B759B4A" w:rsidR="00246720" w:rsidRPr="000C4C17" w:rsidRDefault="00246720" w:rsidP="00A111E9">
      <w:pPr>
        <w:rPr>
          <w:lang w:bidi="ar-SA"/>
        </w:rPr>
      </w:pPr>
    </w:p>
    <w:p w14:paraId="6578EA08" w14:textId="26512E4F" w:rsidR="00246720" w:rsidRPr="000C4C17" w:rsidRDefault="00246720" w:rsidP="00A111E9">
      <w:pPr>
        <w:rPr>
          <w:lang w:bidi="ar-SA"/>
        </w:rPr>
      </w:pPr>
      <w:r w:rsidRPr="000C4C17">
        <w:rPr>
          <w:lang w:bidi="ar-SA"/>
        </w:rPr>
        <w:t>Biesemeier JA, and Harris DL (1974) Eye and Skin Irritation Report on Sample T-1117. Project No. 4102871. WARF Institute, Inc.</w:t>
      </w:r>
    </w:p>
    <w:p w14:paraId="392E0639" w14:textId="77777777" w:rsidR="00246720" w:rsidRPr="000C4C17" w:rsidRDefault="00246720" w:rsidP="00A111E9">
      <w:pPr>
        <w:rPr>
          <w:lang w:bidi="ar-SA"/>
        </w:rPr>
      </w:pPr>
    </w:p>
    <w:p w14:paraId="09B62351" w14:textId="30DF636A" w:rsidR="00246720" w:rsidRPr="000C4C17" w:rsidRDefault="00246720" w:rsidP="00A111E9">
      <w:pPr>
        <w:rPr>
          <w:lang w:bidi="ar-SA"/>
        </w:rPr>
      </w:pPr>
      <w:r w:rsidRPr="000C4C17">
        <w:rPr>
          <w:lang w:bidi="ar-SA"/>
        </w:rPr>
        <w:t xml:space="preserve">Bijland S, Rensen PCN, Pieterman EJ, Maas ACE, van der Hoorn JW, van Erk MJ, Havekes LM, van Dijk KW, Chang S-C, Ehresman EJ, Butenhoff JL and Princen HJMG (2011) Perfluoroalkyl sulfonates cause alkyl chain length-dependent hepatic steatosis and hypolipidemia mainly by impairing lipoprotein production in APOE*3-Leiden CETP mice. </w:t>
      </w:r>
      <w:r w:rsidR="005A482B" w:rsidRPr="00BC19E6">
        <w:rPr>
          <w:lang w:bidi="ar-SA"/>
        </w:rPr>
        <w:t>Toxicol Sci</w:t>
      </w:r>
      <w:r w:rsidRPr="000C4C17">
        <w:rPr>
          <w:lang w:bidi="ar-SA"/>
        </w:rPr>
        <w:t xml:space="preserve"> 123: 290–303.</w:t>
      </w:r>
    </w:p>
    <w:p w14:paraId="1A80F7F7" w14:textId="77777777" w:rsidR="006F60D3" w:rsidRPr="000C4C17" w:rsidRDefault="006F60D3" w:rsidP="00A111E9">
      <w:pPr>
        <w:rPr>
          <w:lang w:bidi="ar-SA"/>
        </w:rPr>
      </w:pPr>
    </w:p>
    <w:p w14:paraId="1885079F" w14:textId="3F42D54F" w:rsidR="006F60D3" w:rsidRPr="000C4C17" w:rsidRDefault="006F60D3" w:rsidP="00A111E9">
      <w:pPr>
        <w:rPr>
          <w:lang w:bidi="ar-SA"/>
        </w:rPr>
      </w:pPr>
      <w:r w:rsidRPr="000C4C17">
        <w:rPr>
          <w:lang w:bidi="ar-SA"/>
        </w:rPr>
        <w:t>Borg and H</w:t>
      </w:r>
      <w:r w:rsidRPr="000C4C17">
        <w:rPr>
          <w:rFonts w:cs="Arial"/>
          <w:lang w:bidi="ar-SA"/>
        </w:rPr>
        <w:t>å</w:t>
      </w:r>
      <w:r w:rsidRPr="000C4C17">
        <w:rPr>
          <w:lang w:bidi="ar-SA"/>
        </w:rPr>
        <w:t xml:space="preserve">kansson </w:t>
      </w:r>
      <w:r w:rsidR="008F7454" w:rsidRPr="000C4C17">
        <w:rPr>
          <w:lang w:bidi="ar-SA"/>
        </w:rPr>
        <w:t>(</w:t>
      </w:r>
      <w:r w:rsidRPr="000C4C17">
        <w:rPr>
          <w:lang w:bidi="ar-SA"/>
        </w:rPr>
        <w:t>2012</w:t>
      </w:r>
      <w:r w:rsidR="008F7454" w:rsidRPr="000C4C17">
        <w:rPr>
          <w:lang w:bidi="ar-SA"/>
        </w:rPr>
        <w:t>) Environmental and Health Risk Assessment of Perfluoroalkylated and Polyfluoroalkylated Substances (PFASs) in Sweden. The Swedish Environmental Protection Agency</w:t>
      </w:r>
    </w:p>
    <w:p w14:paraId="62078AEB" w14:textId="77777777" w:rsidR="006F60D3" w:rsidRPr="000C4C17" w:rsidRDefault="006F60D3" w:rsidP="00A111E9">
      <w:pPr>
        <w:rPr>
          <w:lang w:bidi="ar-SA"/>
        </w:rPr>
      </w:pPr>
    </w:p>
    <w:p w14:paraId="207C06A6" w14:textId="6EAF7A8D" w:rsidR="006F60D3" w:rsidRPr="000C4C17" w:rsidRDefault="006F60D3" w:rsidP="00A111E9">
      <w:pPr>
        <w:rPr>
          <w:lang w:bidi="ar-SA"/>
        </w:rPr>
      </w:pPr>
      <w:r w:rsidRPr="000C4C17">
        <w:rPr>
          <w:lang w:bidi="ar-SA"/>
        </w:rPr>
        <w:t xml:space="preserve">Bull </w:t>
      </w:r>
      <w:r w:rsidR="008F7454" w:rsidRPr="000C4C17">
        <w:rPr>
          <w:lang w:bidi="ar-SA"/>
        </w:rPr>
        <w:t>S, Burnett K, Vassaux K, Ashdown L, Brown T and Rushton L</w:t>
      </w:r>
      <w:r w:rsidR="00D87A49" w:rsidRPr="000C4C17">
        <w:rPr>
          <w:lang w:bidi="ar-SA"/>
        </w:rPr>
        <w:t xml:space="preserve"> </w:t>
      </w:r>
      <w:r w:rsidR="008F7454" w:rsidRPr="000C4C17">
        <w:rPr>
          <w:lang w:bidi="ar-SA"/>
        </w:rPr>
        <w:t>(</w:t>
      </w:r>
      <w:r w:rsidRPr="000C4C17">
        <w:rPr>
          <w:lang w:bidi="ar-SA"/>
        </w:rPr>
        <w:t>2014</w:t>
      </w:r>
      <w:r w:rsidR="008F7454" w:rsidRPr="000C4C17">
        <w:rPr>
          <w:lang w:bidi="ar-SA"/>
        </w:rPr>
        <w:t>) Extensive literature search and provision of summaries of studies related to the oral toxicity of perfluoroalkylated substances (PFASs), their precursors and potential replacements in experimental animals and humans. Area 1: Data on toxicokinetics (absorption, distribution, metabolism, excretion) in in vitro studies, experimental animals and humans. Area 2: Data on toxicity in experimental animals. Area 3: Data on observations in humans</w:t>
      </w:r>
      <w:r w:rsidR="00656C3F" w:rsidRPr="000C4C17">
        <w:rPr>
          <w:lang w:bidi="ar-SA"/>
        </w:rPr>
        <w:t>. EFSA supporting publication 2014:EN-572</w:t>
      </w:r>
    </w:p>
    <w:p w14:paraId="5404365C" w14:textId="6E8E6204" w:rsidR="003176E7" w:rsidRPr="000C4C17" w:rsidRDefault="003176E7" w:rsidP="00A111E9">
      <w:pPr>
        <w:rPr>
          <w:lang w:bidi="ar-SA"/>
        </w:rPr>
      </w:pPr>
    </w:p>
    <w:p w14:paraId="238ADA4D" w14:textId="030B254C" w:rsidR="004F38E3" w:rsidRPr="000C4C17" w:rsidRDefault="004F38E3" w:rsidP="00A111E9">
      <w:pPr>
        <w:rPr>
          <w:lang w:bidi="ar-SA"/>
        </w:rPr>
      </w:pPr>
      <w:r w:rsidRPr="000C4C17">
        <w:rPr>
          <w:lang w:bidi="ar-SA"/>
        </w:rPr>
        <w:t xml:space="preserve">Butenhoff JL, Chang S-C, </w:t>
      </w:r>
      <w:r w:rsidR="00D87A49" w:rsidRPr="000C4C17">
        <w:rPr>
          <w:lang w:bidi="ar-SA"/>
        </w:rPr>
        <w:t>Olsen GW and Thomford PJ (2012)</w:t>
      </w:r>
      <w:r w:rsidRPr="000C4C17">
        <w:rPr>
          <w:lang w:bidi="ar-SA"/>
        </w:rPr>
        <w:t xml:space="preserve"> Chronic dietary toxicity and carcinogenicity study with potassium perflurooctanesulfonate in Sprague Dawley rats. </w:t>
      </w:r>
      <w:r w:rsidRPr="000C4C17">
        <w:t>Toxicology</w:t>
      </w:r>
      <w:r w:rsidRPr="000C4C17">
        <w:rPr>
          <w:lang w:bidi="ar-SA"/>
        </w:rPr>
        <w:t xml:space="preserve"> 293: 1-15.</w:t>
      </w:r>
    </w:p>
    <w:p w14:paraId="78F000C8" w14:textId="6305BB29" w:rsidR="001C1CB6" w:rsidRPr="000C4C17" w:rsidRDefault="001C1CB6" w:rsidP="00A111E9">
      <w:pPr>
        <w:rPr>
          <w:lang w:bidi="ar-SA"/>
        </w:rPr>
      </w:pPr>
    </w:p>
    <w:p w14:paraId="2541A939" w14:textId="3DB69D83" w:rsidR="001C1CB6" w:rsidRPr="000C4C17" w:rsidRDefault="001C1CB6" w:rsidP="00A111E9">
      <w:pPr>
        <w:rPr>
          <w:szCs w:val="22"/>
          <w:lang w:bidi="ar-SA"/>
        </w:rPr>
      </w:pPr>
      <w:r w:rsidRPr="000C4C17">
        <w:rPr>
          <w:szCs w:val="22"/>
        </w:rPr>
        <w:t xml:space="preserve">Butenhoff JL, Ehresman DJ, Chang S-C, Parker GA and </w:t>
      </w:r>
      <w:r w:rsidR="00D87A49" w:rsidRPr="000C4C17">
        <w:rPr>
          <w:szCs w:val="22"/>
        </w:rPr>
        <w:t>Stump DG (2009)</w:t>
      </w:r>
      <w:r w:rsidRPr="000C4C17">
        <w:rPr>
          <w:szCs w:val="22"/>
        </w:rPr>
        <w:t xml:space="preserve"> Gestational and lactational exposure to potassium perfluorooctanesulfonate (K</w:t>
      </w:r>
      <w:r w:rsidRPr="000C4C17">
        <w:rPr>
          <w:szCs w:val="22"/>
          <w:vertAlign w:val="superscript"/>
        </w:rPr>
        <w:t>+</w:t>
      </w:r>
      <w:r w:rsidRPr="000C4C17">
        <w:rPr>
          <w:szCs w:val="22"/>
        </w:rPr>
        <w:t xml:space="preserve">PFOS) in rats: Developmental neurotoxicity. </w:t>
      </w:r>
      <w:r w:rsidR="005A482B" w:rsidRPr="000C4C17">
        <w:rPr>
          <w:iCs/>
          <w:szCs w:val="22"/>
        </w:rPr>
        <w:t>Reprod Toxicol</w:t>
      </w:r>
      <w:r w:rsidRPr="000C4C17">
        <w:rPr>
          <w:i/>
          <w:iCs/>
          <w:szCs w:val="22"/>
        </w:rPr>
        <w:t xml:space="preserve"> </w:t>
      </w:r>
      <w:r w:rsidRPr="000C4C17">
        <w:rPr>
          <w:szCs w:val="22"/>
        </w:rPr>
        <w:t>27:319–330.</w:t>
      </w:r>
    </w:p>
    <w:p w14:paraId="7DFAD91E" w14:textId="77777777" w:rsidR="004F38E3" w:rsidRPr="000C4C17" w:rsidRDefault="004F38E3" w:rsidP="00A111E9">
      <w:pPr>
        <w:rPr>
          <w:lang w:bidi="ar-SA"/>
        </w:rPr>
      </w:pPr>
    </w:p>
    <w:p w14:paraId="1189CD1C" w14:textId="2B3F637A" w:rsidR="003176E7" w:rsidRPr="0063036B" w:rsidRDefault="003176E7" w:rsidP="00A111E9">
      <w:pPr>
        <w:rPr>
          <w:szCs w:val="22"/>
          <w:lang w:bidi="ar-SA"/>
        </w:rPr>
      </w:pPr>
      <w:r w:rsidRPr="0063036B">
        <w:rPr>
          <w:szCs w:val="22"/>
          <w:lang w:bidi="ar-SA"/>
        </w:rPr>
        <w:t xml:space="preserve">Case M, York R, Christian M (2001). Rat and Rabbit Oral Development Toxicology Studies with Two Perfluorinated Compounds. </w:t>
      </w:r>
      <w:r w:rsidR="005A482B" w:rsidRPr="0063036B">
        <w:rPr>
          <w:szCs w:val="22"/>
          <w:lang w:bidi="ar-SA"/>
        </w:rPr>
        <w:t>Int J Toxicol</w:t>
      </w:r>
      <w:r w:rsidRPr="0063036B">
        <w:rPr>
          <w:szCs w:val="22"/>
          <w:lang w:bidi="ar-SA"/>
        </w:rPr>
        <w:t xml:space="preserve"> 20:101-109.</w:t>
      </w:r>
    </w:p>
    <w:p w14:paraId="19A72B10" w14:textId="30506E0B" w:rsidR="001C1CB6" w:rsidRPr="0063036B" w:rsidRDefault="001C1CB6" w:rsidP="00A111E9">
      <w:pPr>
        <w:rPr>
          <w:szCs w:val="22"/>
          <w:lang w:bidi="ar-SA"/>
        </w:rPr>
      </w:pPr>
    </w:p>
    <w:p w14:paraId="2871C99E" w14:textId="4F940780" w:rsidR="001C1CB6" w:rsidRPr="0063036B" w:rsidRDefault="001C1CB6" w:rsidP="00A111E9">
      <w:pPr>
        <w:rPr>
          <w:szCs w:val="22"/>
        </w:rPr>
      </w:pPr>
      <w:r w:rsidRPr="0063036B">
        <w:rPr>
          <w:szCs w:val="22"/>
        </w:rPr>
        <w:t>Chang SC, Ehresman DJ, Bjork JA, Wallace KB, Parker GA, S</w:t>
      </w:r>
      <w:r w:rsidR="00D87A49" w:rsidRPr="0063036B">
        <w:rPr>
          <w:szCs w:val="22"/>
        </w:rPr>
        <w:t>tump DG, and Butenhoff J (2009)</w:t>
      </w:r>
      <w:r w:rsidRPr="0063036B">
        <w:rPr>
          <w:szCs w:val="22"/>
        </w:rPr>
        <w:t xml:space="preserve"> Gestational and lactational exposure to potassium perfluorooctanesulfonate (K</w:t>
      </w:r>
      <w:r w:rsidRPr="0063036B">
        <w:rPr>
          <w:szCs w:val="22"/>
          <w:vertAlign w:val="superscript"/>
        </w:rPr>
        <w:t>+</w:t>
      </w:r>
      <w:r w:rsidRPr="0063036B">
        <w:rPr>
          <w:szCs w:val="22"/>
        </w:rPr>
        <w:t xml:space="preserve">PFOS) in rats: Toxicokinetics, thyroid hormone status and related gene expression. </w:t>
      </w:r>
      <w:r w:rsidR="005A482B" w:rsidRPr="0063036B">
        <w:rPr>
          <w:iCs/>
          <w:szCs w:val="22"/>
        </w:rPr>
        <w:t>Reprod Toxicol</w:t>
      </w:r>
      <w:r w:rsidRPr="0063036B">
        <w:rPr>
          <w:i/>
          <w:iCs/>
          <w:szCs w:val="22"/>
        </w:rPr>
        <w:t xml:space="preserve"> </w:t>
      </w:r>
      <w:r w:rsidRPr="0063036B">
        <w:rPr>
          <w:szCs w:val="22"/>
        </w:rPr>
        <w:t>27:</w:t>
      </w:r>
      <w:r w:rsidR="00300A4C" w:rsidRPr="0063036B">
        <w:rPr>
          <w:szCs w:val="22"/>
        </w:rPr>
        <w:t xml:space="preserve"> </w:t>
      </w:r>
      <w:r w:rsidRPr="0063036B">
        <w:rPr>
          <w:szCs w:val="22"/>
        </w:rPr>
        <w:t>387</w:t>
      </w:r>
      <w:r w:rsidR="00300A4C" w:rsidRPr="0063036B">
        <w:rPr>
          <w:szCs w:val="22"/>
        </w:rPr>
        <w:t>-</w:t>
      </w:r>
      <w:r w:rsidRPr="0063036B">
        <w:rPr>
          <w:szCs w:val="22"/>
        </w:rPr>
        <w:t>399.</w:t>
      </w:r>
    </w:p>
    <w:p w14:paraId="6542C5BF" w14:textId="7E0613E9" w:rsidR="00937DB1" w:rsidRPr="0063036B" w:rsidRDefault="00937DB1" w:rsidP="00A111E9">
      <w:pPr>
        <w:rPr>
          <w:szCs w:val="22"/>
          <w:lang w:bidi="ar-SA"/>
        </w:rPr>
      </w:pPr>
    </w:p>
    <w:p w14:paraId="52A0CDDA" w14:textId="08AE9095" w:rsidR="00937DB1" w:rsidRPr="0063036B" w:rsidRDefault="00937DB1" w:rsidP="00A111E9">
      <w:pPr>
        <w:rPr>
          <w:szCs w:val="22"/>
          <w:lang w:bidi="ar-SA"/>
        </w:rPr>
      </w:pPr>
      <w:r w:rsidRPr="0063036B">
        <w:rPr>
          <w:szCs w:val="22"/>
        </w:rPr>
        <w:lastRenderedPageBreak/>
        <w:t xml:space="preserve">Cui L, Zhou Q-F, Liao C-Y, Fu J-J and Jiang G-B (2009) Studies on the toxicological effects of PFOA and PFOS on rats using histological observation and chemical analysis. </w:t>
      </w:r>
      <w:r w:rsidR="0062522D" w:rsidRPr="00BC19E6">
        <w:rPr>
          <w:iCs/>
          <w:szCs w:val="22"/>
        </w:rPr>
        <w:t>Arch Environ Contam Toxicol</w:t>
      </w:r>
      <w:r w:rsidRPr="0063036B">
        <w:rPr>
          <w:i/>
          <w:iCs/>
          <w:szCs w:val="22"/>
        </w:rPr>
        <w:t xml:space="preserve"> </w:t>
      </w:r>
      <w:r w:rsidRPr="0063036B">
        <w:rPr>
          <w:szCs w:val="22"/>
        </w:rPr>
        <w:t>56: 338–349.</w:t>
      </w:r>
    </w:p>
    <w:p w14:paraId="42820AE5" w14:textId="77777777" w:rsidR="006F60D3" w:rsidRPr="0063036B" w:rsidRDefault="006F60D3" w:rsidP="00A111E9">
      <w:pPr>
        <w:rPr>
          <w:szCs w:val="22"/>
          <w:lang w:bidi="ar-SA"/>
        </w:rPr>
      </w:pPr>
    </w:p>
    <w:p w14:paraId="40EE70BD" w14:textId="0DDC400B" w:rsidR="00937DB1" w:rsidRPr="0063036B" w:rsidRDefault="00937DB1" w:rsidP="00A111E9">
      <w:pPr>
        <w:rPr>
          <w:szCs w:val="22"/>
          <w:lang w:bidi="ar-SA"/>
        </w:rPr>
      </w:pPr>
      <w:r w:rsidRPr="0063036B">
        <w:rPr>
          <w:szCs w:val="22"/>
        </w:rPr>
        <w:t xml:space="preserve">Curran I, Hierlihy SL, Liston V, Pantazopoulos P, Nunnikhoven A, Tittlemier S, Barker M, Trick K and Bondy G (2008) Altered fatty acid homeostasis and related toxicologic sequelae in rats exposed to dietary potassium perfluorooctanesulfonate (PFOS). </w:t>
      </w:r>
      <w:r w:rsidR="0062522D" w:rsidRPr="00BC19E6">
        <w:rPr>
          <w:iCs/>
          <w:szCs w:val="22"/>
        </w:rPr>
        <w:t>J Toxicol Environ Health</w:t>
      </w:r>
      <w:r w:rsidR="0062522D" w:rsidRPr="0063036B">
        <w:rPr>
          <w:i/>
          <w:iCs/>
          <w:szCs w:val="22"/>
        </w:rPr>
        <w:t xml:space="preserve"> A</w:t>
      </w:r>
      <w:r w:rsidRPr="0063036B">
        <w:rPr>
          <w:i/>
          <w:iCs/>
          <w:szCs w:val="22"/>
        </w:rPr>
        <w:t xml:space="preserve"> </w:t>
      </w:r>
      <w:r w:rsidRPr="0063036B">
        <w:rPr>
          <w:szCs w:val="22"/>
        </w:rPr>
        <w:t>71: 1526–1541.</w:t>
      </w:r>
    </w:p>
    <w:p w14:paraId="30076C2A" w14:textId="77777777" w:rsidR="00937DB1" w:rsidRPr="0063036B" w:rsidRDefault="00937DB1" w:rsidP="00A111E9">
      <w:pPr>
        <w:rPr>
          <w:szCs w:val="22"/>
          <w:lang w:bidi="ar-SA"/>
        </w:rPr>
      </w:pPr>
    </w:p>
    <w:p w14:paraId="5489FC17" w14:textId="067A64CC" w:rsidR="00EA2AB4" w:rsidRPr="0063036B" w:rsidRDefault="00EA2AB4" w:rsidP="00A111E9">
      <w:pPr>
        <w:rPr>
          <w:szCs w:val="22"/>
          <w:lang w:bidi="ar-SA"/>
        </w:rPr>
      </w:pPr>
      <w:r w:rsidRPr="0063036B">
        <w:rPr>
          <w:szCs w:val="22"/>
        </w:rPr>
        <w:t xml:space="preserve">Dean WP, Jessup DC, Thompson G, Romig G and Powell D (1978) </w:t>
      </w:r>
      <w:r w:rsidRPr="0063036B">
        <w:rPr>
          <w:iCs/>
          <w:szCs w:val="22"/>
        </w:rPr>
        <w:t>Fluorad Fluorochemical Surfactant FC-95 Acute Oral Toxicity (LD50) Study in Rats</w:t>
      </w:r>
      <w:r w:rsidRPr="0063036B">
        <w:rPr>
          <w:szCs w:val="22"/>
        </w:rPr>
        <w:t>. Study No. 137-083. International Research and Development Corporation.</w:t>
      </w:r>
    </w:p>
    <w:p w14:paraId="0E45D8F6" w14:textId="77777777" w:rsidR="00EA2AB4" w:rsidRPr="000C4C17" w:rsidRDefault="00EA2AB4" w:rsidP="00A111E9">
      <w:pPr>
        <w:rPr>
          <w:lang w:bidi="ar-SA"/>
        </w:rPr>
      </w:pPr>
    </w:p>
    <w:p w14:paraId="40C1DBA4" w14:textId="39D80468" w:rsidR="006F60D3" w:rsidRPr="000C4C17" w:rsidRDefault="00D32F32" w:rsidP="00A111E9">
      <w:pPr>
        <w:rPr>
          <w:lang w:bidi="ar-SA"/>
        </w:rPr>
      </w:pPr>
      <w:r w:rsidRPr="000C4C17">
        <w:rPr>
          <w:lang w:bidi="ar-SA"/>
        </w:rPr>
        <w:t>Danish Environmental Protection Agency (</w:t>
      </w:r>
      <w:r w:rsidR="006F60D3" w:rsidRPr="000C4C17">
        <w:rPr>
          <w:lang w:bidi="ar-SA"/>
        </w:rPr>
        <w:t>2015</w:t>
      </w:r>
      <w:r w:rsidRPr="000C4C17">
        <w:rPr>
          <w:lang w:bidi="ar-SA"/>
        </w:rPr>
        <w:t>) Perfluoroalkylated substances: PFOA, PFOS and PFOSA. Edited by PB Larsen and E Giovalle.</w:t>
      </w:r>
    </w:p>
    <w:p w14:paraId="767ACE3D" w14:textId="207E25FE" w:rsidR="00531B50" w:rsidRPr="000C4C17" w:rsidRDefault="00531B50" w:rsidP="00A111E9">
      <w:pPr>
        <w:rPr>
          <w:lang w:bidi="ar-SA"/>
        </w:rPr>
      </w:pPr>
    </w:p>
    <w:p w14:paraId="6C00CF54" w14:textId="409B5FBF" w:rsidR="0074101A" w:rsidRPr="000C4C17" w:rsidRDefault="0074101A" w:rsidP="00A111E9">
      <w:pPr>
        <w:rPr>
          <w:lang w:bidi="ar-SA"/>
        </w:rPr>
      </w:pPr>
      <w:r w:rsidRPr="000C4C17">
        <w:rPr>
          <w:lang w:bidi="ar-SA"/>
        </w:rPr>
        <w:t xml:space="preserve">Dong H, Curran I, Williams A, Bondy G, Yauk CL and Wade MG (2016) Hepatic miRNA profiles and thyroid hormone homeostasis in rats exposed to dietary potassium perfluorooctanesulfonate (PFOS). </w:t>
      </w:r>
      <w:r w:rsidR="0062522D" w:rsidRPr="000C4C17">
        <w:rPr>
          <w:lang w:bidi="ar-SA"/>
        </w:rPr>
        <w:t>Environ Toxicol Pharmacol</w:t>
      </w:r>
      <w:r w:rsidRPr="000C4C17">
        <w:rPr>
          <w:lang w:bidi="ar-SA"/>
        </w:rPr>
        <w:t xml:space="preserve"> 41: 201–210.</w:t>
      </w:r>
    </w:p>
    <w:p w14:paraId="5DB631F8" w14:textId="77777777" w:rsidR="0074101A" w:rsidRPr="000C4C17" w:rsidRDefault="0074101A" w:rsidP="00A111E9">
      <w:pPr>
        <w:rPr>
          <w:lang w:bidi="ar-SA"/>
        </w:rPr>
      </w:pPr>
    </w:p>
    <w:p w14:paraId="60D9D99C" w14:textId="6CAE178D" w:rsidR="00531B50" w:rsidRPr="000C4C17" w:rsidRDefault="00531B50" w:rsidP="00A111E9">
      <w:pPr>
        <w:rPr>
          <w:lang w:bidi="ar-SA"/>
        </w:rPr>
      </w:pPr>
      <w:r w:rsidRPr="000C4C17">
        <w:rPr>
          <w:lang w:bidi="ar-SA"/>
        </w:rPr>
        <w:t xml:space="preserve">Dong G-H, Zhang Y-H, Zheng L, Liu W, Jin Y-H, and He Q-C (2009) Chronic effects of perfluorooctanesulfonate in adult male C57BL/6 mice. </w:t>
      </w:r>
      <w:r w:rsidR="0062522D" w:rsidRPr="00BC19E6">
        <w:rPr>
          <w:lang w:bidi="ar-SA"/>
        </w:rPr>
        <w:t>Arch Toxicol</w:t>
      </w:r>
      <w:r w:rsidRPr="000C4C17">
        <w:rPr>
          <w:lang w:bidi="ar-SA"/>
        </w:rPr>
        <w:t xml:space="preserve"> 83: 805-815.</w:t>
      </w:r>
    </w:p>
    <w:p w14:paraId="2D26AB61" w14:textId="5CE8A1E6" w:rsidR="00296CD6" w:rsidRPr="000C4C17" w:rsidRDefault="00296CD6" w:rsidP="00A111E9">
      <w:pPr>
        <w:rPr>
          <w:lang w:bidi="ar-SA"/>
        </w:rPr>
      </w:pPr>
    </w:p>
    <w:p w14:paraId="4AE6C52B" w14:textId="77777777" w:rsidR="00296CD6" w:rsidRPr="000C4C17" w:rsidRDefault="00296CD6" w:rsidP="00A111E9">
      <w:pPr>
        <w:rPr>
          <w:lang w:bidi="ar-SA"/>
        </w:rPr>
      </w:pPr>
      <w:r w:rsidRPr="000C4C17">
        <w:rPr>
          <w:lang w:bidi="ar-SA"/>
        </w:rPr>
        <w:t>Drew R and Hagen T (2016) Immunomodulation by PFASs: A brief literature review. ToxConsult document ToxCR300816</w:t>
      </w:r>
    </w:p>
    <w:p w14:paraId="40A8903D" w14:textId="0BA8EAE0" w:rsidR="00427E38" w:rsidRPr="000C4C17" w:rsidRDefault="00427E38" w:rsidP="00A111E9">
      <w:pPr>
        <w:rPr>
          <w:lang w:bidi="ar-SA"/>
        </w:rPr>
      </w:pPr>
    </w:p>
    <w:p w14:paraId="35E0C9C2" w14:textId="2F2DCF64" w:rsidR="00427E38" w:rsidRPr="000C4C17" w:rsidRDefault="00427E38" w:rsidP="00A111E9">
      <w:pPr>
        <w:rPr>
          <w:lang w:bidi="ar-SA"/>
        </w:rPr>
      </w:pPr>
      <w:r w:rsidRPr="000C4C17">
        <w:rPr>
          <w:lang w:bidi="ar-SA"/>
        </w:rPr>
        <w:t>ECHA (2009) Guidance in a nutshell: Chemical safety assessment.</w:t>
      </w:r>
    </w:p>
    <w:p w14:paraId="63E3CE3A" w14:textId="77777777" w:rsidR="006F60D3" w:rsidRPr="000C4C17" w:rsidRDefault="006F60D3" w:rsidP="00A111E9">
      <w:pPr>
        <w:rPr>
          <w:lang w:bidi="ar-SA"/>
        </w:rPr>
      </w:pPr>
    </w:p>
    <w:p w14:paraId="16CB2D69" w14:textId="15622515" w:rsidR="00A12CD1" w:rsidRPr="000C4C17" w:rsidRDefault="006F60D3" w:rsidP="00A111E9">
      <w:pPr>
        <w:rPr>
          <w:lang w:bidi="ar-SA"/>
        </w:rPr>
      </w:pPr>
      <w:r w:rsidRPr="000C4C17">
        <w:rPr>
          <w:lang w:bidi="ar-SA"/>
        </w:rPr>
        <w:t xml:space="preserve">EFSA </w:t>
      </w:r>
      <w:r w:rsidR="00426C7B" w:rsidRPr="000C4C17">
        <w:rPr>
          <w:lang w:bidi="ar-SA"/>
        </w:rPr>
        <w:t>(</w:t>
      </w:r>
      <w:r w:rsidRPr="000C4C17">
        <w:rPr>
          <w:lang w:bidi="ar-SA"/>
        </w:rPr>
        <w:t>2008</w:t>
      </w:r>
      <w:r w:rsidR="00426C7B" w:rsidRPr="000C4C17">
        <w:rPr>
          <w:lang w:bidi="ar-SA"/>
        </w:rPr>
        <w:t>) Perfluorooctane sulfonate (PFOS), perfluorooctanoic acid (PFOA) and their salts. Scientific Opinion of the Panel on Contaminants in the Food chain. EFSA J 653</w:t>
      </w:r>
      <w:r w:rsidR="00300A4C" w:rsidRPr="000C4C17">
        <w:rPr>
          <w:lang w:bidi="ar-SA"/>
        </w:rPr>
        <w:t>:</w:t>
      </w:r>
      <w:r w:rsidR="00426C7B" w:rsidRPr="000C4C17">
        <w:rPr>
          <w:lang w:bidi="ar-SA"/>
        </w:rPr>
        <w:t xml:space="preserve"> 1-131</w:t>
      </w:r>
      <w:r w:rsidR="00300A4C" w:rsidRPr="000C4C17">
        <w:rPr>
          <w:lang w:bidi="ar-SA"/>
        </w:rPr>
        <w:t>.</w:t>
      </w:r>
    </w:p>
    <w:p w14:paraId="193B8C47" w14:textId="33FAA8E4" w:rsidR="00D74628" w:rsidRPr="000C4C17" w:rsidRDefault="00D74628" w:rsidP="00A111E9">
      <w:pPr>
        <w:rPr>
          <w:lang w:bidi="ar-SA"/>
        </w:rPr>
      </w:pPr>
    </w:p>
    <w:p w14:paraId="11B71D0A" w14:textId="0B79FF5B" w:rsidR="00D74628" w:rsidRPr="000C4C17" w:rsidRDefault="00D74628" w:rsidP="00A111E9">
      <w:pPr>
        <w:rPr>
          <w:lang w:bidi="ar-SA"/>
        </w:rPr>
      </w:pPr>
      <w:r w:rsidRPr="000C4C17">
        <w:rPr>
          <w:lang w:bidi="ar-SA"/>
        </w:rPr>
        <w:t>FAO/WHO (2009) Principles and methods for the risk assessment of chemicals in food.</w:t>
      </w:r>
    </w:p>
    <w:p w14:paraId="291F61E0" w14:textId="6245F93C" w:rsidR="00D74628" w:rsidRPr="000C4C17" w:rsidRDefault="00D74628" w:rsidP="00A111E9">
      <w:pPr>
        <w:rPr>
          <w:lang w:bidi="ar-SA"/>
        </w:rPr>
      </w:pPr>
      <w:r w:rsidRPr="000C4C17">
        <w:rPr>
          <w:lang w:bidi="ar-SA"/>
        </w:rPr>
        <w:t>Environmental Health Criteria 240.</w:t>
      </w:r>
    </w:p>
    <w:p w14:paraId="6E974EAD" w14:textId="3379AB89" w:rsidR="00300D5A" w:rsidRPr="000C4C17" w:rsidRDefault="00300D5A" w:rsidP="00A111E9">
      <w:pPr>
        <w:rPr>
          <w:lang w:bidi="ar-SA"/>
        </w:rPr>
      </w:pPr>
    </w:p>
    <w:p w14:paraId="205D39A8" w14:textId="020C2321" w:rsidR="00300D5A" w:rsidRPr="000C4C17" w:rsidRDefault="00300D5A" w:rsidP="00A111E9">
      <w:pPr>
        <w:rPr>
          <w:sz w:val="23"/>
          <w:szCs w:val="23"/>
        </w:rPr>
      </w:pPr>
      <w:r w:rsidRPr="000C4C17">
        <w:rPr>
          <w:sz w:val="23"/>
          <w:szCs w:val="23"/>
        </w:rPr>
        <w:t xml:space="preserve">Goldenthal EI, Jessup DC, Geil RG and Mehring JS (1979) </w:t>
      </w:r>
      <w:r w:rsidRPr="000C4C17">
        <w:rPr>
          <w:iCs/>
          <w:sz w:val="23"/>
          <w:szCs w:val="23"/>
        </w:rPr>
        <w:t>Ninety-Day Subacute Rhesus Monkey Toxicity Study</w:t>
      </w:r>
      <w:r w:rsidRPr="000C4C17">
        <w:rPr>
          <w:sz w:val="23"/>
          <w:szCs w:val="23"/>
        </w:rPr>
        <w:t>. Study No. 137-087. International Research and Development Corporation, Mattawan, MI.</w:t>
      </w:r>
    </w:p>
    <w:p w14:paraId="3ABE175F" w14:textId="1A19CC18" w:rsidR="008913B6" w:rsidRPr="000C4C17" w:rsidRDefault="008913B6" w:rsidP="00A111E9">
      <w:pPr>
        <w:rPr>
          <w:lang w:bidi="ar-SA"/>
        </w:rPr>
      </w:pPr>
    </w:p>
    <w:p w14:paraId="24B010A5" w14:textId="1504704D" w:rsidR="00661051" w:rsidRPr="000C4C17" w:rsidRDefault="008913B6" w:rsidP="00A111E9">
      <w:pPr>
        <w:rPr>
          <w:lang w:bidi="ar-SA"/>
        </w:rPr>
      </w:pPr>
      <w:r w:rsidRPr="000C4C17">
        <w:rPr>
          <w:lang w:bidi="ar-SA"/>
        </w:rPr>
        <w:t xml:space="preserve">Hall AP, Elcombe CR, Foster JR, Harada T, Kaufmann W, Knippel A, Küttler K, Malarkey DE, Maronpot RR, Nishikawa A, Nolte T, Schulte A, Strauss V and York MJ (2012) Liver hypertrophy: a review of adaptive (adverse and non-adverse) changes – conclusions from the 3rd International ESTP Expert Workshop. </w:t>
      </w:r>
      <w:r w:rsidR="0062522D" w:rsidRPr="000C4C17">
        <w:rPr>
          <w:lang w:bidi="ar-SA"/>
        </w:rPr>
        <w:t>Toxicol Pathol</w:t>
      </w:r>
      <w:r w:rsidRPr="000C4C17">
        <w:rPr>
          <w:lang w:bidi="ar-SA"/>
        </w:rPr>
        <w:t xml:space="preserve"> 40: 971–994.</w:t>
      </w:r>
    </w:p>
    <w:p w14:paraId="493E8E5D" w14:textId="03FD79E3" w:rsidR="009E228E" w:rsidRPr="000C4C17" w:rsidRDefault="009E228E" w:rsidP="00A111E9">
      <w:pPr>
        <w:rPr>
          <w:lang w:bidi="ar-SA"/>
        </w:rPr>
      </w:pPr>
    </w:p>
    <w:p w14:paraId="42B92B03" w14:textId="31774EF6" w:rsidR="008913B6" w:rsidRPr="000C4C17" w:rsidRDefault="009E228E" w:rsidP="00A111E9">
      <w:pPr>
        <w:rPr>
          <w:lang w:bidi="ar-SA"/>
        </w:rPr>
      </w:pPr>
      <w:r w:rsidRPr="000C4C17">
        <w:rPr>
          <w:lang w:bidi="ar-SA"/>
        </w:rPr>
        <w:t xml:space="preserve">Holsapple MP1, Pitot HC, Cohen SM, Boobis AR, Klaunig JE, Pastoor T, Dellarco VL and Dragan YP (2006) Mode of action in relevance of rodent liver tumors to human cancer risk. </w:t>
      </w:r>
      <w:r w:rsidR="005A482B" w:rsidRPr="000C4C17">
        <w:t>Toxicol Sci</w:t>
      </w:r>
      <w:r w:rsidRPr="000C4C17">
        <w:rPr>
          <w:lang w:bidi="ar-SA"/>
        </w:rPr>
        <w:t xml:space="preserve"> 89: 51–56.</w:t>
      </w:r>
    </w:p>
    <w:p w14:paraId="09CD5260" w14:textId="77777777" w:rsidR="009E228E" w:rsidRPr="000C4C17" w:rsidRDefault="009E228E" w:rsidP="00A111E9">
      <w:pPr>
        <w:rPr>
          <w:lang w:bidi="ar-SA"/>
        </w:rPr>
      </w:pPr>
    </w:p>
    <w:p w14:paraId="3B60198F" w14:textId="298C298E" w:rsidR="002F5830" w:rsidRPr="000C4C17" w:rsidRDefault="002F5830" w:rsidP="00A111E9">
      <w:pPr>
        <w:rPr>
          <w:szCs w:val="22"/>
        </w:rPr>
      </w:pPr>
      <w:r w:rsidRPr="000C4C17">
        <w:rPr>
          <w:szCs w:val="22"/>
        </w:rPr>
        <w:t xml:space="preserve">Lau C, Anitole K, Hodes C, Lai D, Pfahles-Hutchens A and Seed J (2007) Perfluoroalkyl acids: a review of monitoring and toxicological findings. </w:t>
      </w:r>
      <w:r w:rsidR="005A482B" w:rsidRPr="000C4C17">
        <w:t>Toxicol Sci</w:t>
      </w:r>
      <w:r w:rsidRPr="000C4C17">
        <w:rPr>
          <w:szCs w:val="22"/>
        </w:rPr>
        <w:t xml:space="preserve"> 99: 366-94.</w:t>
      </w:r>
    </w:p>
    <w:p w14:paraId="41A4CA80" w14:textId="77777777" w:rsidR="002F5830" w:rsidRPr="000C4C17" w:rsidRDefault="002F5830" w:rsidP="00A111E9">
      <w:pPr>
        <w:rPr>
          <w:szCs w:val="22"/>
        </w:rPr>
      </w:pPr>
    </w:p>
    <w:p w14:paraId="00404EB4" w14:textId="37BD3524" w:rsidR="007F0DBB" w:rsidRPr="000C4C17" w:rsidRDefault="007F0DBB" w:rsidP="00A111E9">
      <w:pPr>
        <w:rPr>
          <w:szCs w:val="22"/>
          <w:lang w:bidi="ar-SA"/>
        </w:rPr>
      </w:pPr>
      <w:r w:rsidRPr="000C4C17">
        <w:rPr>
          <w:szCs w:val="22"/>
        </w:rPr>
        <w:t xml:space="preserve">Lau C, Thibodeaux JR, Hanson RG, Rogers JM, Grey BE, Stanton ME, Butenhoff JL and Stevenson LA (2003) Exposure to perfluorooctane sulfonate during pregnancy in rat and mouse. II: Postnatal evaluation. </w:t>
      </w:r>
      <w:r w:rsidR="005A482B" w:rsidRPr="000C4C17">
        <w:t>Toxicol Sci</w:t>
      </w:r>
      <w:r w:rsidRPr="000C4C17">
        <w:rPr>
          <w:i/>
          <w:iCs/>
          <w:szCs w:val="22"/>
        </w:rPr>
        <w:t xml:space="preserve"> </w:t>
      </w:r>
      <w:r w:rsidRPr="000C4C17">
        <w:rPr>
          <w:szCs w:val="22"/>
        </w:rPr>
        <w:t>74:</w:t>
      </w:r>
      <w:r w:rsidR="00300A4C" w:rsidRPr="000C4C17">
        <w:rPr>
          <w:szCs w:val="22"/>
        </w:rPr>
        <w:t xml:space="preserve"> </w:t>
      </w:r>
      <w:r w:rsidRPr="000C4C17">
        <w:rPr>
          <w:szCs w:val="22"/>
        </w:rPr>
        <w:t>382</w:t>
      </w:r>
      <w:r w:rsidR="009E228E" w:rsidRPr="000C4C17">
        <w:rPr>
          <w:szCs w:val="22"/>
        </w:rPr>
        <w:t>–</w:t>
      </w:r>
      <w:r w:rsidRPr="000C4C17">
        <w:rPr>
          <w:szCs w:val="22"/>
        </w:rPr>
        <w:t>392.</w:t>
      </w:r>
    </w:p>
    <w:p w14:paraId="3169FB91" w14:textId="77777777" w:rsidR="007F0DBB" w:rsidRPr="000C4C17" w:rsidRDefault="007F0DBB" w:rsidP="00A111E9">
      <w:pPr>
        <w:rPr>
          <w:lang w:bidi="ar-SA"/>
        </w:rPr>
      </w:pPr>
    </w:p>
    <w:p w14:paraId="0C9775A8" w14:textId="602BD26D" w:rsidR="00661051" w:rsidRPr="000C4C17" w:rsidRDefault="00661051" w:rsidP="00A111E9">
      <w:pPr>
        <w:rPr>
          <w:lang w:bidi="ar-SA"/>
        </w:rPr>
      </w:pPr>
      <w:r w:rsidRPr="000C4C17">
        <w:rPr>
          <w:lang w:bidi="ar-SA"/>
        </w:rPr>
        <w:t xml:space="preserve">Long Y, Wang Y, Ji G, Yan L, Hu F and Gu A (2013) Neurotoxicity of perfluorooctane </w:t>
      </w:r>
      <w:r w:rsidRPr="000C4C17">
        <w:rPr>
          <w:lang w:bidi="ar-SA"/>
        </w:rPr>
        <w:lastRenderedPageBreak/>
        <w:t xml:space="preserve">sulfonate to hippocampal cells in adult mice. </w:t>
      </w:r>
      <w:r w:rsidRPr="000C4C17">
        <w:t>PLOS One</w:t>
      </w:r>
      <w:r w:rsidRPr="000C4C17">
        <w:rPr>
          <w:lang w:bidi="ar-SA"/>
        </w:rPr>
        <w:t xml:space="preserve"> 8: e54176.</w:t>
      </w:r>
    </w:p>
    <w:p w14:paraId="48F3999B" w14:textId="3F6ED342" w:rsidR="000A1A03" w:rsidRPr="000C4C17" w:rsidRDefault="000A1A03" w:rsidP="00A111E9">
      <w:pPr>
        <w:rPr>
          <w:lang w:bidi="ar-SA"/>
        </w:rPr>
      </w:pPr>
    </w:p>
    <w:p w14:paraId="441716E7" w14:textId="491CF6E1" w:rsidR="000A1A03" w:rsidRPr="000C4C17" w:rsidRDefault="000A1A03" w:rsidP="00A111E9">
      <w:pPr>
        <w:rPr>
          <w:szCs w:val="22"/>
        </w:rPr>
      </w:pPr>
      <w:r w:rsidRPr="000C4C17">
        <w:rPr>
          <w:szCs w:val="22"/>
        </w:rPr>
        <w:t>Luebker DJ, York RG, Hansen KJ, Moore JA and Butenhoff JL (2005a) Neonatal mortality from in utero exposure to perfluorooctanesulfonate (PFOS) in Sprague</w:t>
      </w:r>
      <w:r w:rsidR="00032CF6">
        <w:rPr>
          <w:szCs w:val="22"/>
        </w:rPr>
        <w:t xml:space="preserve"> </w:t>
      </w:r>
      <w:r w:rsidRPr="000C4C17">
        <w:rPr>
          <w:szCs w:val="22"/>
        </w:rPr>
        <w:t xml:space="preserve">Dawley rats: Dose-response and biochemical and pharmacokinetic parameters. </w:t>
      </w:r>
      <w:r w:rsidRPr="000C4C17">
        <w:t>Toxicology</w:t>
      </w:r>
      <w:r w:rsidRPr="000C4C17">
        <w:rPr>
          <w:i/>
          <w:iCs/>
          <w:szCs w:val="22"/>
        </w:rPr>
        <w:t xml:space="preserve"> </w:t>
      </w:r>
      <w:r w:rsidRPr="000C4C17">
        <w:rPr>
          <w:szCs w:val="22"/>
        </w:rPr>
        <w:t>215: 149–169.</w:t>
      </w:r>
    </w:p>
    <w:p w14:paraId="44D66AE4" w14:textId="77777777" w:rsidR="000A1A03" w:rsidRPr="000C4C17" w:rsidRDefault="000A1A03" w:rsidP="00A111E9">
      <w:pPr>
        <w:rPr>
          <w:szCs w:val="22"/>
        </w:rPr>
      </w:pPr>
    </w:p>
    <w:p w14:paraId="796C00FD" w14:textId="6FD03ABD" w:rsidR="000A1A03" w:rsidRPr="000C4C17" w:rsidRDefault="000A1A03" w:rsidP="00A111E9">
      <w:pPr>
        <w:rPr>
          <w:szCs w:val="22"/>
        </w:rPr>
      </w:pPr>
      <w:r w:rsidRPr="000C4C17">
        <w:rPr>
          <w:szCs w:val="22"/>
        </w:rPr>
        <w:t xml:space="preserve">Luebker DJ, Case MT, York RG, Moore JA, Hansen KJ and Butenhoff JL (2005b) Two-generation reproduction and cross-foster studies of perfluorooctanesulfonate (PFOS) in rats. </w:t>
      </w:r>
      <w:r w:rsidRPr="000C4C17">
        <w:t>Toxicology</w:t>
      </w:r>
      <w:r w:rsidRPr="000C4C17">
        <w:rPr>
          <w:szCs w:val="22"/>
        </w:rPr>
        <w:t xml:space="preserve"> 215: 126–148.</w:t>
      </w:r>
    </w:p>
    <w:p w14:paraId="6A73E189" w14:textId="77777777" w:rsidR="00BC58F5" w:rsidRPr="000C4C17" w:rsidRDefault="00BC58F5" w:rsidP="00A111E9">
      <w:pPr>
        <w:rPr>
          <w:lang w:bidi="ar-SA"/>
        </w:rPr>
      </w:pPr>
    </w:p>
    <w:p w14:paraId="65D5A8F6" w14:textId="43C47D18" w:rsidR="00CA48B7" w:rsidRPr="000C4C17" w:rsidRDefault="00CA48B7" w:rsidP="00A111E9">
      <w:pPr>
        <w:rPr>
          <w:lang w:bidi="ar-SA"/>
        </w:rPr>
      </w:pPr>
      <w:r w:rsidRPr="000C4C17">
        <w:rPr>
          <w:lang w:bidi="ar-SA"/>
        </w:rPr>
        <w:t xml:space="preserve">NTP (2016) Draft Systematic Review of Immunotoxicity Associated with Exposure to PFOA or PFOS. National Toxicology Program. National Institute of Environmental Health Sciences, National Institutes of Health. </w:t>
      </w:r>
      <w:r w:rsidRPr="00863A5A">
        <w:rPr>
          <w:lang w:bidi="ar-SA"/>
        </w:rPr>
        <w:t>http://ntp.niehs.nih.gov/ntp/about_ntp/monopeerrvw/2016/july/draftsystematicreviewimmunotoxicityassociatedpfoa_pfos_508.pdf</w:t>
      </w:r>
    </w:p>
    <w:p w14:paraId="7EA29BD7" w14:textId="77777777" w:rsidR="00CA48B7" w:rsidRPr="000C4C17" w:rsidRDefault="00CA48B7" w:rsidP="00A111E9">
      <w:pPr>
        <w:rPr>
          <w:lang w:bidi="ar-SA"/>
        </w:rPr>
      </w:pPr>
    </w:p>
    <w:p w14:paraId="1DC1EF23" w14:textId="35F7C912" w:rsidR="008154BA" w:rsidRPr="000C4C17" w:rsidRDefault="008154BA" w:rsidP="00A111E9">
      <w:pPr>
        <w:rPr>
          <w:lang w:bidi="ar-SA"/>
        </w:rPr>
      </w:pPr>
      <w:r w:rsidRPr="000C4C17">
        <w:rPr>
          <w:lang w:bidi="ar-SA"/>
        </w:rPr>
        <w:t>Parkinson A (2001) Biotransformation of Xenobiotics. In Casarett and Doull’s Toxicology, 6</w:t>
      </w:r>
      <w:r w:rsidRPr="000C4C17">
        <w:rPr>
          <w:vertAlign w:val="superscript"/>
          <w:lang w:bidi="ar-SA"/>
        </w:rPr>
        <w:t>th</w:t>
      </w:r>
      <w:r w:rsidRPr="000C4C17">
        <w:rPr>
          <w:lang w:bidi="ar-SA"/>
        </w:rPr>
        <w:t xml:space="preserve"> edition, edited by CD Klaassen. McGraw Hill</w:t>
      </w:r>
    </w:p>
    <w:p w14:paraId="7C5B65C5" w14:textId="3F280559" w:rsidR="001A1908" w:rsidRPr="000C4C17" w:rsidRDefault="001A1908" w:rsidP="00A111E9">
      <w:pPr>
        <w:rPr>
          <w:lang w:bidi="ar-SA"/>
        </w:rPr>
      </w:pPr>
    </w:p>
    <w:p w14:paraId="16FE91B2" w14:textId="2404DF66" w:rsidR="001A1908" w:rsidRPr="000C4C17" w:rsidRDefault="001A1908" w:rsidP="00A111E9">
      <w:pPr>
        <w:rPr>
          <w:szCs w:val="22"/>
        </w:rPr>
      </w:pPr>
      <w:r w:rsidRPr="000C4C17">
        <w:rPr>
          <w:szCs w:val="22"/>
        </w:rPr>
        <w:t xml:space="preserve">Peden-Adams MM, Keller JM, EuDaly JG, Berger J, Gilkeson GS and Keil DE (2008) Suppression of humoral immunity in mice following exposure to perfluorooctane sulfonate. </w:t>
      </w:r>
      <w:r w:rsidR="005A482B" w:rsidRPr="000C4C17">
        <w:t>Toxicol Sci</w:t>
      </w:r>
      <w:r w:rsidRPr="000C4C17">
        <w:rPr>
          <w:i/>
          <w:iCs/>
          <w:szCs w:val="22"/>
        </w:rPr>
        <w:t xml:space="preserve"> </w:t>
      </w:r>
      <w:r w:rsidRPr="000C4C17">
        <w:rPr>
          <w:szCs w:val="22"/>
        </w:rPr>
        <w:t>104: 144–154.</w:t>
      </w:r>
    </w:p>
    <w:p w14:paraId="43161F70" w14:textId="360C2DA7" w:rsidR="00734416" w:rsidRPr="000C4C17" w:rsidRDefault="00734416" w:rsidP="00A111E9">
      <w:pPr>
        <w:rPr>
          <w:szCs w:val="22"/>
          <w:lang w:bidi="ar-SA"/>
        </w:rPr>
      </w:pPr>
    </w:p>
    <w:p w14:paraId="1FC4FD29" w14:textId="7DE98948" w:rsidR="002601C5" w:rsidRPr="000C4C17" w:rsidRDefault="002601C5" w:rsidP="00A111E9">
      <w:pPr>
        <w:rPr>
          <w:szCs w:val="22"/>
          <w:lang w:bidi="ar-SA"/>
        </w:rPr>
      </w:pPr>
      <w:r w:rsidRPr="000C4C17">
        <w:rPr>
          <w:szCs w:val="22"/>
          <w:lang w:bidi="ar-SA"/>
        </w:rPr>
        <w:t>Ren XM, Qin WP, Cao LY, Zhang J, Yang Y, Wan B and Guo LH (2016) Binding interactions of perfluoroalkyl substances with thyroid hormone transport proteins and potential toxicological implications. Toxicology 366–367: 32–42.</w:t>
      </w:r>
    </w:p>
    <w:p w14:paraId="0B329727" w14:textId="77777777" w:rsidR="002601C5" w:rsidRPr="000C4C17" w:rsidRDefault="002601C5" w:rsidP="00A111E9">
      <w:pPr>
        <w:rPr>
          <w:szCs w:val="22"/>
          <w:lang w:bidi="ar-SA"/>
        </w:rPr>
      </w:pPr>
    </w:p>
    <w:p w14:paraId="09CDC506" w14:textId="04B61F23" w:rsidR="00734416" w:rsidRPr="000C4C17" w:rsidRDefault="00734416" w:rsidP="00A111E9">
      <w:pPr>
        <w:rPr>
          <w:szCs w:val="22"/>
          <w:lang w:bidi="ar-SA"/>
        </w:rPr>
      </w:pPr>
      <w:r w:rsidRPr="000C4C17">
        <w:rPr>
          <w:sz w:val="23"/>
          <w:szCs w:val="23"/>
        </w:rPr>
        <w:t xml:space="preserve">Rusch GM, Rinehart WE and Bozak CA (1979) </w:t>
      </w:r>
      <w:r w:rsidRPr="000C4C17">
        <w:rPr>
          <w:iCs/>
          <w:sz w:val="23"/>
          <w:szCs w:val="23"/>
        </w:rPr>
        <w:t>An Acute Inhalation Toxicity Study of T-2306 CoC in the Rat</w:t>
      </w:r>
      <w:r w:rsidRPr="000C4C17">
        <w:rPr>
          <w:sz w:val="23"/>
          <w:szCs w:val="23"/>
        </w:rPr>
        <w:t>. Project No. 78-7185. Bio/dynamics, Inc.</w:t>
      </w:r>
    </w:p>
    <w:p w14:paraId="796125C8" w14:textId="38B26E77" w:rsidR="00661051" w:rsidRPr="000C4C17" w:rsidRDefault="00661051" w:rsidP="00A111E9">
      <w:pPr>
        <w:rPr>
          <w:lang w:bidi="ar-SA"/>
        </w:rPr>
      </w:pPr>
    </w:p>
    <w:p w14:paraId="39D3A223" w14:textId="4099CC08" w:rsidR="00944232" w:rsidRPr="000C4C17" w:rsidRDefault="00944232" w:rsidP="00A111E9">
      <w:pPr>
        <w:rPr>
          <w:lang w:bidi="ar-SA"/>
        </w:rPr>
      </w:pPr>
      <w:r w:rsidRPr="000C4C17">
        <w:rPr>
          <w:lang w:bidi="ar-SA"/>
        </w:rPr>
        <w:t xml:space="preserve">Seacat AM, Thomford PJ, Hansen KJ, Olsen GW, Case MT and Butenhoff JL (2002) Subchronic toxicity studies on perfluorooctanesulfonate potassium salt in </w:t>
      </w:r>
      <w:r w:rsidR="00E5397E">
        <w:rPr>
          <w:lang w:bidi="ar-SA"/>
        </w:rPr>
        <w:t>c</w:t>
      </w:r>
      <w:r w:rsidR="00E5397E" w:rsidRPr="000C4C17">
        <w:rPr>
          <w:lang w:bidi="ar-SA"/>
        </w:rPr>
        <w:t xml:space="preserve">ynomolgus </w:t>
      </w:r>
      <w:r w:rsidRPr="000C4C17">
        <w:rPr>
          <w:lang w:bidi="ar-SA"/>
        </w:rPr>
        <w:t xml:space="preserve">monkeys. </w:t>
      </w:r>
      <w:r w:rsidR="005A482B" w:rsidRPr="000C4C17">
        <w:t>Toxicol Sci</w:t>
      </w:r>
      <w:r w:rsidRPr="000C4C17">
        <w:rPr>
          <w:lang w:bidi="ar-SA"/>
        </w:rPr>
        <w:t xml:space="preserve"> 68: 249-264.</w:t>
      </w:r>
    </w:p>
    <w:p w14:paraId="16D9BF75" w14:textId="77777777" w:rsidR="00944232" w:rsidRPr="000C4C17" w:rsidRDefault="00944232" w:rsidP="00A111E9">
      <w:pPr>
        <w:rPr>
          <w:lang w:bidi="ar-SA"/>
        </w:rPr>
      </w:pPr>
    </w:p>
    <w:p w14:paraId="7A415DA5" w14:textId="126AA4B0" w:rsidR="00661051" w:rsidRPr="000C4C17" w:rsidRDefault="00661051" w:rsidP="00A111E9">
      <w:pPr>
        <w:rPr>
          <w:lang w:bidi="ar-SA"/>
        </w:rPr>
      </w:pPr>
      <w:r w:rsidRPr="000C4C17">
        <w:rPr>
          <w:lang w:bidi="ar-SA"/>
        </w:rPr>
        <w:t xml:space="preserve">Seacat AM, Thomford PJ, Hansen KJ, Clemen LA, Eldridge SR, Elcombe CR and Butenhoff JL (2003) Sub-chronic dietary toxicity of potassium perfoluoroocanesulfonate in rats. </w:t>
      </w:r>
      <w:r w:rsidRPr="000C4C17">
        <w:t>Toxicology</w:t>
      </w:r>
      <w:r w:rsidR="004F38E3" w:rsidRPr="000C4C17">
        <w:rPr>
          <w:lang w:bidi="ar-SA"/>
        </w:rPr>
        <w:t xml:space="preserve"> 183: 117-131.</w:t>
      </w:r>
    </w:p>
    <w:p w14:paraId="793480B9" w14:textId="5BA573C0" w:rsidR="00490E9F" w:rsidRPr="000C4C17" w:rsidRDefault="00490E9F" w:rsidP="00A111E9">
      <w:pPr>
        <w:rPr>
          <w:lang w:bidi="ar-SA"/>
        </w:rPr>
      </w:pPr>
    </w:p>
    <w:p w14:paraId="248AB997" w14:textId="2D7BBBBA" w:rsidR="002C21F3" w:rsidRPr="000C4C17" w:rsidRDefault="002C21F3" w:rsidP="00A111E9">
      <w:pPr>
        <w:rPr>
          <w:szCs w:val="22"/>
          <w:lang w:bidi="ar-SA"/>
        </w:rPr>
      </w:pPr>
      <w:r w:rsidRPr="000C4C17">
        <w:rPr>
          <w:szCs w:val="22"/>
        </w:rPr>
        <w:t xml:space="preserve">Thibodeaux JR, Hanson RG, Rogers JM, Grey BE, Barbee BD, Richards JH, Butenhoff JL, Stevenson LA and Lau C (2003) Exposure to perfluorooctane sulfonate during pregnancy in rat and mouse. I: Maternal and prenatal evaluations. </w:t>
      </w:r>
      <w:r w:rsidR="005A482B" w:rsidRPr="000C4C17">
        <w:t>Toxicol Sci</w:t>
      </w:r>
      <w:r w:rsidRPr="000C4C17">
        <w:rPr>
          <w:i/>
          <w:iCs/>
          <w:szCs w:val="22"/>
        </w:rPr>
        <w:t xml:space="preserve"> </w:t>
      </w:r>
      <w:r w:rsidRPr="000C4C17">
        <w:rPr>
          <w:szCs w:val="22"/>
        </w:rPr>
        <w:t>74:</w:t>
      </w:r>
      <w:r w:rsidR="00300A4C" w:rsidRPr="000C4C17">
        <w:rPr>
          <w:szCs w:val="22"/>
        </w:rPr>
        <w:t xml:space="preserve"> </w:t>
      </w:r>
      <w:r w:rsidRPr="000C4C17">
        <w:rPr>
          <w:szCs w:val="22"/>
        </w:rPr>
        <w:t>369</w:t>
      </w:r>
      <w:r w:rsidR="00300A4C" w:rsidRPr="000C4C17">
        <w:rPr>
          <w:szCs w:val="22"/>
        </w:rPr>
        <w:t>-</w:t>
      </w:r>
      <w:r w:rsidRPr="000C4C17">
        <w:rPr>
          <w:szCs w:val="22"/>
        </w:rPr>
        <w:t>381.</w:t>
      </w:r>
    </w:p>
    <w:p w14:paraId="193971EF" w14:textId="77777777" w:rsidR="002C21F3" w:rsidRPr="000C4C17" w:rsidRDefault="002C21F3" w:rsidP="00A111E9">
      <w:pPr>
        <w:rPr>
          <w:lang w:bidi="ar-SA"/>
        </w:rPr>
      </w:pPr>
    </w:p>
    <w:p w14:paraId="127BC05E" w14:textId="7936A2FD" w:rsidR="00026494" w:rsidRPr="000C4C17" w:rsidRDefault="00026494" w:rsidP="00A111E9">
      <w:pPr>
        <w:rPr>
          <w:lang w:bidi="ar-SA"/>
        </w:rPr>
      </w:pPr>
      <w:r w:rsidRPr="000C4C17">
        <w:rPr>
          <w:lang w:bidi="ar-SA"/>
        </w:rPr>
        <w:t>Thomford PJ (2002) 104-week dietary chronic toxicity and carcinogenicity study with perfluorooctane sulfonic acid potassium salt (PFOS; T-6295) in rats. Final Report. Volumes I-IX. Covance study no. 6329-183. 3M Company, St Paul, MN.</w:t>
      </w:r>
    </w:p>
    <w:p w14:paraId="69EC9B92" w14:textId="28C37C5F" w:rsidR="00275F43" w:rsidRPr="000C4C17" w:rsidRDefault="00275F43" w:rsidP="00A111E9">
      <w:pPr>
        <w:rPr>
          <w:lang w:bidi="ar-SA"/>
        </w:rPr>
      </w:pPr>
    </w:p>
    <w:p w14:paraId="59727CFF" w14:textId="4E86917B" w:rsidR="00275F43" w:rsidRPr="000C4C17" w:rsidRDefault="00275F43" w:rsidP="00A111E9">
      <w:pPr>
        <w:rPr>
          <w:lang w:bidi="ar-SA"/>
        </w:rPr>
      </w:pPr>
      <w:r w:rsidRPr="000C4C17">
        <w:rPr>
          <w:lang w:bidi="ar-SA"/>
        </w:rPr>
        <w:t xml:space="preserve">United Kingdom Committee on Toxicity of Chemicals in Food, Consumer Products and the Environment (2006) COT statement on the tolerable daily intake for perfluorooctane sulfonate. </w:t>
      </w:r>
      <w:r w:rsidRPr="00863A5A">
        <w:rPr>
          <w:lang w:bidi="ar-SA"/>
        </w:rPr>
        <w:t>https://cot.food.gov.uk/cotstatements/cotstatementsyrs/cotstatements2006/cotstatementpfos200609</w:t>
      </w:r>
    </w:p>
    <w:p w14:paraId="21053946" w14:textId="77777777" w:rsidR="00275F43" w:rsidRPr="000C4C17" w:rsidRDefault="00275F43" w:rsidP="00A111E9">
      <w:pPr>
        <w:rPr>
          <w:lang w:bidi="ar-SA"/>
        </w:rPr>
      </w:pPr>
    </w:p>
    <w:p w14:paraId="6779050C" w14:textId="73988755" w:rsidR="00275F43" w:rsidRPr="000C4C17" w:rsidRDefault="00275F43" w:rsidP="00A111E9">
      <w:pPr>
        <w:rPr>
          <w:lang w:bidi="ar-SA"/>
        </w:rPr>
      </w:pPr>
      <w:r w:rsidRPr="000C4C17">
        <w:rPr>
          <w:lang w:bidi="ar-SA"/>
        </w:rPr>
        <w:t>United Kingdom Committee on Toxicity of Chemicals in Food, Consumer Products and the Environment (2009) COT statement on the tolerable daily intake for perfluorooctanoic acid.</w:t>
      </w:r>
    </w:p>
    <w:p w14:paraId="3872C628" w14:textId="49F70672" w:rsidR="00275F43" w:rsidRPr="000C4C17" w:rsidRDefault="00275F43" w:rsidP="00A111E9">
      <w:pPr>
        <w:rPr>
          <w:lang w:bidi="ar-SA"/>
        </w:rPr>
      </w:pPr>
      <w:r w:rsidRPr="00863A5A">
        <w:rPr>
          <w:lang w:bidi="ar-SA"/>
        </w:rPr>
        <w:t>https://cot.food.gov.uk/cotstatements/cotstatementsyrs/cotstatements2009/cot200902</w:t>
      </w:r>
    </w:p>
    <w:p w14:paraId="21D19E59" w14:textId="77777777" w:rsidR="008154BA" w:rsidRPr="000C4C17" w:rsidRDefault="008154BA" w:rsidP="00A111E9">
      <w:pPr>
        <w:rPr>
          <w:lang w:bidi="ar-SA"/>
        </w:rPr>
      </w:pPr>
    </w:p>
    <w:p w14:paraId="645B89D1" w14:textId="6CBDC87B" w:rsidR="00391890" w:rsidRDefault="00391890" w:rsidP="00A111E9">
      <w:pPr>
        <w:widowControl/>
        <w:rPr>
          <w:lang w:bidi="ar-SA"/>
        </w:rPr>
      </w:pPr>
      <w:r w:rsidRPr="000C4C17">
        <w:rPr>
          <w:lang w:bidi="ar-SA"/>
        </w:rPr>
        <w:t>US EPA (2002) A review of the reference dose and reference concentration processes. EPA/630/P-02/002F</w:t>
      </w:r>
    </w:p>
    <w:p w14:paraId="75977090" w14:textId="57A1B159" w:rsidR="00FE247D" w:rsidRDefault="00FE247D" w:rsidP="00A111E9">
      <w:pPr>
        <w:widowControl/>
        <w:rPr>
          <w:lang w:bidi="ar-SA"/>
        </w:rPr>
      </w:pPr>
    </w:p>
    <w:p w14:paraId="38BD7797" w14:textId="449B052B" w:rsidR="00FE247D" w:rsidRPr="000C4C17" w:rsidRDefault="00FE247D" w:rsidP="00A111E9">
      <w:pPr>
        <w:widowControl/>
        <w:rPr>
          <w:lang w:bidi="ar-SA"/>
        </w:rPr>
      </w:pPr>
      <w:r>
        <w:rPr>
          <w:lang w:bidi="ar-SA"/>
        </w:rPr>
        <w:t>US EPA (2014) Health effects document for p</w:t>
      </w:r>
      <w:r w:rsidRPr="000C4C17">
        <w:rPr>
          <w:lang w:bidi="ar-SA"/>
        </w:rPr>
        <w:t xml:space="preserve">erfluorooctane </w:t>
      </w:r>
      <w:r>
        <w:rPr>
          <w:lang w:bidi="ar-SA"/>
        </w:rPr>
        <w:t>s</w:t>
      </w:r>
      <w:r w:rsidRPr="000C4C17">
        <w:rPr>
          <w:lang w:bidi="ar-SA"/>
        </w:rPr>
        <w:t>ulfonate (PFOS)</w:t>
      </w:r>
      <w:r>
        <w:rPr>
          <w:lang w:bidi="ar-SA"/>
        </w:rPr>
        <w:t xml:space="preserve">. EPA 822-R-14-002. </w:t>
      </w:r>
    </w:p>
    <w:p w14:paraId="78B38728" w14:textId="77777777" w:rsidR="00391890" w:rsidRPr="000C4C17" w:rsidRDefault="00391890" w:rsidP="00A111E9">
      <w:pPr>
        <w:widowControl/>
        <w:rPr>
          <w:lang w:bidi="ar-SA"/>
        </w:rPr>
      </w:pPr>
    </w:p>
    <w:p w14:paraId="3CE90B89" w14:textId="542DE8A3" w:rsidR="00337B39" w:rsidRPr="00FE247D" w:rsidRDefault="00FE247D" w:rsidP="00A111E9">
      <w:pPr>
        <w:widowControl/>
        <w:rPr>
          <w:szCs w:val="22"/>
          <w:lang w:bidi="ar-SA"/>
        </w:rPr>
      </w:pPr>
      <w:r>
        <w:rPr>
          <w:szCs w:val="22"/>
          <w:lang w:bidi="ar-SA"/>
        </w:rPr>
        <w:t>US EPA (2016) Health e</w:t>
      </w:r>
      <w:r w:rsidR="00337B39" w:rsidRPr="00FE247D">
        <w:rPr>
          <w:szCs w:val="22"/>
          <w:lang w:bidi="ar-SA"/>
        </w:rPr>
        <w:t xml:space="preserve">ffects </w:t>
      </w:r>
      <w:r>
        <w:rPr>
          <w:szCs w:val="22"/>
          <w:lang w:bidi="ar-SA"/>
        </w:rPr>
        <w:t>s</w:t>
      </w:r>
      <w:r w:rsidR="00337B39" w:rsidRPr="00FE247D">
        <w:rPr>
          <w:szCs w:val="22"/>
          <w:lang w:bidi="ar-SA"/>
        </w:rPr>
        <w:t xml:space="preserve">upport </w:t>
      </w:r>
      <w:r>
        <w:rPr>
          <w:szCs w:val="22"/>
          <w:lang w:bidi="ar-SA"/>
        </w:rPr>
        <w:t>d</w:t>
      </w:r>
      <w:r w:rsidR="00337B39" w:rsidRPr="00FE247D">
        <w:rPr>
          <w:szCs w:val="22"/>
          <w:lang w:bidi="ar-SA"/>
        </w:rPr>
        <w:t xml:space="preserve">ocument for </w:t>
      </w:r>
      <w:r>
        <w:rPr>
          <w:szCs w:val="22"/>
          <w:lang w:bidi="ar-SA"/>
        </w:rPr>
        <w:t>p</w:t>
      </w:r>
      <w:r w:rsidR="00337B39" w:rsidRPr="00FE247D">
        <w:rPr>
          <w:szCs w:val="22"/>
          <w:lang w:bidi="ar-SA"/>
        </w:rPr>
        <w:t xml:space="preserve">erfluorooctane </w:t>
      </w:r>
      <w:r>
        <w:rPr>
          <w:szCs w:val="22"/>
          <w:lang w:bidi="ar-SA"/>
        </w:rPr>
        <w:t>s</w:t>
      </w:r>
      <w:r w:rsidR="00337B39" w:rsidRPr="00FE247D">
        <w:rPr>
          <w:szCs w:val="22"/>
          <w:lang w:bidi="ar-SA"/>
        </w:rPr>
        <w:t>ulfonate (PFOS). EPA 822-R-16-002.</w:t>
      </w:r>
      <w:r w:rsidR="00401E17" w:rsidRPr="00FE247D">
        <w:rPr>
          <w:szCs w:val="22"/>
          <w:lang w:bidi="ar-SA"/>
        </w:rPr>
        <w:t xml:space="preserve"> Available at </w:t>
      </w:r>
      <w:r w:rsidR="00401E17" w:rsidRPr="00863A5A">
        <w:rPr>
          <w:szCs w:val="22"/>
          <w:lang w:bidi="ar-SA"/>
        </w:rPr>
        <w:t>https://www.epa.gov/ground-water-and-drinking-water/supporting-documents-drinking-water-health-advisories-pfoa-and-pfos</w:t>
      </w:r>
    </w:p>
    <w:p w14:paraId="206A1AC5" w14:textId="77777777" w:rsidR="00337B39" w:rsidRPr="00FE247D" w:rsidRDefault="00337B39" w:rsidP="00A111E9">
      <w:pPr>
        <w:widowControl/>
        <w:rPr>
          <w:szCs w:val="22"/>
          <w:lang w:bidi="ar-SA"/>
        </w:rPr>
      </w:pPr>
    </w:p>
    <w:p w14:paraId="14C98B76" w14:textId="5E5E0F19" w:rsidR="00D66D97" w:rsidRPr="00FE247D" w:rsidRDefault="00D66D97" w:rsidP="00A111E9">
      <w:pPr>
        <w:widowControl/>
        <w:rPr>
          <w:szCs w:val="22"/>
        </w:rPr>
      </w:pPr>
      <w:r w:rsidRPr="00FE247D">
        <w:rPr>
          <w:szCs w:val="22"/>
        </w:rPr>
        <w:t xml:space="preserve">Wambaugh JF, Setzer RW, Pitruzzello AM, Liu J, Reif DM, Kleinstreuer NC, Wang NC, Sipes N, Martin M, Das K, DeWitt JC, Strynar M, Judson R, Houck KA and Lau C (2013) Dosimetric anchoring of in vivo and in vitro studies for perfluorooctanoate and perfluorooctanesulfonate. </w:t>
      </w:r>
      <w:r w:rsidR="005A482B" w:rsidRPr="00FE247D">
        <w:rPr>
          <w:szCs w:val="22"/>
        </w:rPr>
        <w:t>Toxicol Sci</w:t>
      </w:r>
      <w:r w:rsidRPr="00FE247D">
        <w:rPr>
          <w:szCs w:val="22"/>
        </w:rPr>
        <w:t xml:space="preserve"> 136: 308–327.</w:t>
      </w:r>
    </w:p>
    <w:p w14:paraId="7A4B80DA" w14:textId="77777777" w:rsidR="00D66D97" w:rsidRPr="00FE247D" w:rsidRDefault="00D66D97" w:rsidP="00A111E9">
      <w:pPr>
        <w:widowControl/>
        <w:rPr>
          <w:szCs w:val="22"/>
        </w:rPr>
      </w:pPr>
    </w:p>
    <w:p w14:paraId="55DD361B" w14:textId="4F28621B" w:rsidR="005E3794" w:rsidRPr="00FE247D" w:rsidRDefault="005E3794" w:rsidP="00A111E9">
      <w:pPr>
        <w:widowControl/>
        <w:rPr>
          <w:szCs w:val="22"/>
        </w:rPr>
      </w:pPr>
      <w:r w:rsidRPr="00FE247D">
        <w:rPr>
          <w:szCs w:val="22"/>
        </w:rPr>
        <w:t xml:space="preserve">Wan HT, Zhao YG, Wei X, Hui KY, Giesy JP and Wong CKC (2012) PFOS-induced hepatic steatosis, the mechanistic actions on β-oxidation and lipid transport. </w:t>
      </w:r>
      <w:r w:rsidR="0062522D" w:rsidRPr="00FE247D">
        <w:rPr>
          <w:iCs/>
          <w:szCs w:val="22"/>
        </w:rPr>
        <w:t>Biochim Biophys</w:t>
      </w:r>
      <w:r w:rsidRPr="00FE247D">
        <w:rPr>
          <w:szCs w:val="22"/>
        </w:rPr>
        <w:t xml:space="preserve"> Acta</w:t>
      </w:r>
      <w:r w:rsidRPr="00FE247D">
        <w:rPr>
          <w:i/>
          <w:iCs/>
          <w:szCs w:val="22"/>
        </w:rPr>
        <w:t xml:space="preserve"> </w:t>
      </w:r>
      <w:r w:rsidRPr="00FE247D">
        <w:rPr>
          <w:szCs w:val="22"/>
        </w:rPr>
        <w:t>1820: 1092–1101.</w:t>
      </w:r>
    </w:p>
    <w:p w14:paraId="65823560" w14:textId="77777777" w:rsidR="005E3794" w:rsidRPr="00FE247D" w:rsidRDefault="005E3794" w:rsidP="00A111E9">
      <w:pPr>
        <w:widowControl/>
        <w:rPr>
          <w:szCs w:val="22"/>
        </w:rPr>
      </w:pPr>
    </w:p>
    <w:p w14:paraId="0CFDB3FD" w14:textId="5368A028" w:rsidR="005E3794" w:rsidRPr="00FE247D" w:rsidRDefault="005E3794" w:rsidP="00A111E9">
      <w:pPr>
        <w:widowControl/>
        <w:rPr>
          <w:szCs w:val="22"/>
        </w:rPr>
      </w:pPr>
      <w:r w:rsidRPr="00FE247D">
        <w:rPr>
          <w:szCs w:val="22"/>
        </w:rPr>
        <w:t>Wang L, Wang Y, Liang Y, Li J, Liu Y, Zhang J, Zhang A, Fu J and Jiang G (2014) PFOS induced lipid metabolism disturbances in BALB/c mice through inhibition of low density lipoproteins excretion. Scientific Reports</w:t>
      </w:r>
      <w:r w:rsidRPr="00FE247D">
        <w:rPr>
          <w:i/>
          <w:iCs/>
          <w:szCs w:val="22"/>
        </w:rPr>
        <w:t xml:space="preserve"> </w:t>
      </w:r>
      <w:r w:rsidRPr="00FE247D">
        <w:rPr>
          <w:szCs w:val="22"/>
        </w:rPr>
        <w:t>4: 4582.</w:t>
      </w:r>
    </w:p>
    <w:p w14:paraId="05CA1744" w14:textId="0D767AE5" w:rsidR="006845DE" w:rsidRPr="000C4C17" w:rsidRDefault="006845DE" w:rsidP="00A111E9">
      <w:pPr>
        <w:widowControl/>
        <w:rPr>
          <w:lang w:bidi="ar-SA"/>
        </w:rPr>
      </w:pPr>
    </w:p>
    <w:p w14:paraId="54FD1E0B" w14:textId="597619EE" w:rsidR="006845DE" w:rsidRPr="000C4C17" w:rsidRDefault="006845DE" w:rsidP="00A111E9">
      <w:pPr>
        <w:widowControl/>
        <w:rPr>
          <w:lang w:bidi="ar-SA"/>
        </w:rPr>
      </w:pPr>
      <w:r w:rsidRPr="000C4C17">
        <w:rPr>
          <w:lang w:bidi="ar-SA"/>
        </w:rPr>
        <w:t>WHO (2015) Pesticide residues in food. WHO Core Assessment Group on Pesticide Residues. Guidance document for WHO monographers and reviewers. Geneva: World Health Organization.</w:t>
      </w:r>
    </w:p>
    <w:p w14:paraId="5809C372" w14:textId="4F5E73F5" w:rsidR="00635663" w:rsidRPr="000C4C17" w:rsidRDefault="00635663" w:rsidP="00A111E9">
      <w:pPr>
        <w:widowControl/>
        <w:rPr>
          <w:lang w:bidi="ar-SA"/>
        </w:rPr>
      </w:pPr>
    </w:p>
    <w:p w14:paraId="584AF9D0" w14:textId="01587A71" w:rsidR="00635663" w:rsidRPr="000C4C17" w:rsidRDefault="00635663" w:rsidP="00A111E9">
      <w:pPr>
        <w:widowControl/>
        <w:rPr>
          <w:lang w:bidi="ar-SA"/>
        </w:rPr>
      </w:pPr>
      <w:r w:rsidRPr="000C4C17">
        <w:rPr>
          <w:lang w:bidi="ar-SA"/>
        </w:rPr>
        <w:t>Xie W, Ludewig G, Wang K and Lehmler HJ (2010) Model and cell membrane partitioning of perfluorooctanesulfonate is independent of the lipid chain length. Colloids Surf B Biointerfaces 76: 128–136.</w:t>
      </w:r>
    </w:p>
    <w:p w14:paraId="27E75C47" w14:textId="77777777" w:rsidR="005E3794" w:rsidRPr="000C4C17" w:rsidRDefault="005E3794" w:rsidP="00A111E9">
      <w:pPr>
        <w:widowControl/>
        <w:rPr>
          <w:lang w:bidi="ar-SA"/>
        </w:rPr>
      </w:pPr>
    </w:p>
    <w:p w14:paraId="4D5E495A" w14:textId="22CDB639" w:rsidR="00DF5CDC" w:rsidRPr="000C4C17" w:rsidDel="00FF6EFE" w:rsidRDefault="00DF5CDC" w:rsidP="00A111E9">
      <w:pPr>
        <w:widowControl/>
        <w:rPr>
          <w:lang w:bidi="ar-SA"/>
        </w:rPr>
      </w:pPr>
      <w:r w:rsidRPr="000C4C17">
        <w:rPr>
          <w:lang w:bidi="ar-SA"/>
        </w:rPr>
        <w:t xml:space="preserve">Yu X-H, Zheng X-L and Tang, C-K (2015) Peroxisome Proliferator-Activated Receptor </w:t>
      </w:r>
      <w:r w:rsidRPr="000C4C17">
        <w:rPr>
          <w:rFonts w:cs="Arial"/>
          <w:lang w:bidi="ar-SA"/>
        </w:rPr>
        <w:t>α</w:t>
      </w:r>
      <w:r w:rsidRPr="000C4C17">
        <w:rPr>
          <w:lang w:bidi="ar-SA"/>
        </w:rPr>
        <w:t xml:space="preserve"> in Lipid Metabolism and Atherosclerosis. </w:t>
      </w:r>
      <w:r w:rsidR="0062522D" w:rsidRPr="00BC19E6">
        <w:rPr>
          <w:lang w:bidi="ar-SA"/>
        </w:rPr>
        <w:t>Adv Clin Chem</w:t>
      </w:r>
      <w:r w:rsidRPr="000C4C17">
        <w:rPr>
          <w:lang w:bidi="ar-SA"/>
        </w:rPr>
        <w:t xml:space="preserve"> 71</w:t>
      </w:r>
      <w:r w:rsidR="00300A4C" w:rsidRPr="000C4C17">
        <w:rPr>
          <w:lang w:bidi="ar-SA"/>
        </w:rPr>
        <w:t>:</w:t>
      </w:r>
      <w:r w:rsidRPr="000C4C17">
        <w:rPr>
          <w:lang w:bidi="ar-SA"/>
        </w:rPr>
        <w:t xml:space="preserve"> 171-203</w:t>
      </w:r>
      <w:r w:rsidR="00300A4C" w:rsidRPr="000C4C17">
        <w:rPr>
          <w:lang w:bidi="ar-SA"/>
        </w:rPr>
        <w:t>.</w:t>
      </w:r>
    </w:p>
    <w:p w14:paraId="00AEEB43" w14:textId="21E62729" w:rsidR="003D69E2" w:rsidRPr="000C4C17" w:rsidRDefault="003D69E2" w:rsidP="00A111E9">
      <w:pPr>
        <w:rPr>
          <w:sz w:val="20"/>
          <w:szCs w:val="20"/>
          <w:lang w:bidi="ar-SA"/>
        </w:rPr>
      </w:pPr>
    </w:p>
    <w:p w14:paraId="23AE61A9" w14:textId="40777082" w:rsidR="008A3A3D" w:rsidRPr="0063036B" w:rsidRDefault="008A3A3D" w:rsidP="00A111E9">
      <w:pPr>
        <w:rPr>
          <w:b/>
          <w:szCs w:val="20"/>
          <w:lang w:bidi="ar-SA"/>
        </w:rPr>
      </w:pPr>
      <w:r w:rsidRPr="0063036B">
        <w:rPr>
          <w:b/>
          <w:szCs w:val="20"/>
          <w:lang w:bidi="ar-SA"/>
        </w:rPr>
        <w:t>PFOA</w:t>
      </w:r>
    </w:p>
    <w:p w14:paraId="73E5583F" w14:textId="77777777" w:rsidR="008A3A3D" w:rsidRPr="000C4C17" w:rsidRDefault="008A3A3D" w:rsidP="00A111E9">
      <w:pPr>
        <w:rPr>
          <w:b/>
          <w:sz w:val="20"/>
          <w:szCs w:val="20"/>
          <w:lang w:bidi="ar-SA"/>
        </w:rPr>
      </w:pPr>
    </w:p>
    <w:p w14:paraId="1C8FFE1C" w14:textId="48D47EB9" w:rsidR="008A3A3D" w:rsidRPr="000C4C17" w:rsidRDefault="008A3A3D" w:rsidP="00A111E9">
      <w:pPr>
        <w:rPr>
          <w:lang w:bidi="ar-SA"/>
        </w:rPr>
      </w:pPr>
      <w:r w:rsidRPr="000C4C17">
        <w:rPr>
          <w:lang w:bidi="ar-SA"/>
        </w:rPr>
        <w:t>Agency for Toxic Substances and Disease Registry (2015) Draft Toxicological Profile for Perfluoroalkyls.</w:t>
      </w:r>
    </w:p>
    <w:p w14:paraId="5B14451F" w14:textId="77777777" w:rsidR="008A3A3D" w:rsidRPr="000C4C17" w:rsidRDefault="008A3A3D" w:rsidP="00A111E9">
      <w:pPr>
        <w:rPr>
          <w:lang w:bidi="ar-SA"/>
        </w:rPr>
      </w:pPr>
    </w:p>
    <w:p w14:paraId="33ACA502" w14:textId="26965449" w:rsidR="008A3A3D" w:rsidRPr="000C4C17" w:rsidRDefault="008A3A3D" w:rsidP="00A111E9">
      <w:pPr>
        <w:rPr>
          <w:lang w:bidi="ar-SA"/>
        </w:rPr>
      </w:pPr>
      <w:r w:rsidRPr="000C4C17">
        <w:rPr>
          <w:lang w:bidi="ar-SA"/>
        </w:rPr>
        <w:t>Biegel LB, Hurtt ME, Frame SR, O’Connor JC and Cook JC</w:t>
      </w:r>
      <w:r w:rsidR="00491FAC" w:rsidRPr="000C4C17">
        <w:rPr>
          <w:lang w:bidi="ar-SA"/>
        </w:rPr>
        <w:t xml:space="preserve"> </w:t>
      </w:r>
      <w:r w:rsidRPr="000C4C17">
        <w:rPr>
          <w:lang w:bidi="ar-SA"/>
        </w:rPr>
        <w:t>(2001) Mechanisms of Extrahepatic Tumor Induction by Peroxisome Proliferators in Male CD Rats. Toxicol Sc</w:t>
      </w:r>
      <w:r w:rsidR="00A01FEF" w:rsidRPr="000C4C17">
        <w:rPr>
          <w:lang w:bidi="ar-SA"/>
        </w:rPr>
        <w:t>i</w:t>
      </w:r>
      <w:r w:rsidRPr="000C4C17">
        <w:rPr>
          <w:lang w:bidi="ar-SA"/>
        </w:rPr>
        <w:t xml:space="preserve"> 60</w:t>
      </w:r>
      <w:r w:rsidR="00A01FEF" w:rsidRPr="000C4C17">
        <w:rPr>
          <w:lang w:bidi="ar-SA"/>
        </w:rPr>
        <w:t>:</w:t>
      </w:r>
      <w:r w:rsidRPr="000C4C17">
        <w:rPr>
          <w:lang w:bidi="ar-SA"/>
        </w:rPr>
        <w:t xml:space="preserve"> 44–55</w:t>
      </w:r>
    </w:p>
    <w:p w14:paraId="0143030A" w14:textId="77777777" w:rsidR="008A3A3D" w:rsidRPr="000C4C17" w:rsidRDefault="008A3A3D" w:rsidP="00A111E9">
      <w:pPr>
        <w:rPr>
          <w:lang w:bidi="ar-SA"/>
        </w:rPr>
      </w:pPr>
    </w:p>
    <w:p w14:paraId="02D84AC9" w14:textId="77777777" w:rsidR="008A3A3D" w:rsidRPr="000C4C17" w:rsidRDefault="008A3A3D" w:rsidP="00A111E9">
      <w:pPr>
        <w:rPr>
          <w:lang w:bidi="ar-SA"/>
        </w:rPr>
      </w:pPr>
      <w:r w:rsidRPr="000C4C17">
        <w:rPr>
          <w:lang w:bidi="ar-SA"/>
        </w:rPr>
        <w:t>Borg and H</w:t>
      </w:r>
      <w:r w:rsidRPr="000C4C17">
        <w:rPr>
          <w:rFonts w:cs="Arial"/>
          <w:lang w:bidi="ar-SA"/>
        </w:rPr>
        <w:t>å</w:t>
      </w:r>
      <w:r w:rsidRPr="000C4C17">
        <w:rPr>
          <w:lang w:bidi="ar-SA"/>
        </w:rPr>
        <w:t>kansson (2012) Environmental and Health Risk Assessment of Perfluoroalkylated and Polyfluoroalkylated Substances (PFASs) in Sweden. The Swedish Environmental Protection Agency</w:t>
      </w:r>
    </w:p>
    <w:p w14:paraId="3EB9C4AE" w14:textId="77777777" w:rsidR="008A3A3D" w:rsidRPr="000C4C17" w:rsidRDefault="008A3A3D" w:rsidP="00A111E9">
      <w:pPr>
        <w:rPr>
          <w:lang w:bidi="ar-SA"/>
        </w:rPr>
      </w:pPr>
    </w:p>
    <w:p w14:paraId="77BB2D5F" w14:textId="20CCCD7B" w:rsidR="008A3A3D" w:rsidRPr="000C4C17" w:rsidRDefault="008A3A3D" w:rsidP="00A111E9">
      <w:pPr>
        <w:rPr>
          <w:lang w:bidi="ar-SA"/>
        </w:rPr>
      </w:pPr>
      <w:r w:rsidRPr="000C4C17">
        <w:rPr>
          <w:lang w:bidi="ar-SA"/>
        </w:rPr>
        <w:t>Bull S, Burnett K, Vassaux K, Ashdown L, Brown T and Rushton L</w:t>
      </w:r>
      <w:r w:rsidR="00A01FEF" w:rsidRPr="000C4C17">
        <w:rPr>
          <w:lang w:bidi="ar-SA"/>
        </w:rPr>
        <w:t xml:space="preserve"> </w:t>
      </w:r>
      <w:r w:rsidRPr="000C4C17">
        <w:rPr>
          <w:lang w:bidi="ar-SA"/>
        </w:rPr>
        <w:t xml:space="preserve">(2014) Extensive literature search and provision of summaries of studies related to the oral toxicity of perfluoroalkylated substances (PFASs), their precursors and potential replacements in experimental animals and humans. Area 1: Data on toxicokinetics (absorption, distribution, metabolism, excretion) in in vitro studies, experimental animals and humans. Area 2: Data on toxicity in experimental animals. Area 3: Data on observations in humans. </w:t>
      </w:r>
      <w:r w:rsidRPr="000C4C17">
        <w:t>EFSA</w:t>
      </w:r>
      <w:r w:rsidRPr="000C4C17">
        <w:rPr>
          <w:lang w:bidi="ar-SA"/>
        </w:rPr>
        <w:t xml:space="preserve"> supporting publication </w:t>
      </w:r>
      <w:r w:rsidRPr="000C4C17">
        <w:t>2014:</w:t>
      </w:r>
      <w:r w:rsidRPr="000C4C17">
        <w:rPr>
          <w:lang w:bidi="ar-SA"/>
        </w:rPr>
        <w:t>EN-572</w:t>
      </w:r>
    </w:p>
    <w:p w14:paraId="62C88527" w14:textId="77777777" w:rsidR="008A3A3D" w:rsidRPr="000C4C17" w:rsidRDefault="008A3A3D" w:rsidP="00A111E9">
      <w:pPr>
        <w:rPr>
          <w:lang w:bidi="ar-SA"/>
        </w:rPr>
      </w:pPr>
    </w:p>
    <w:p w14:paraId="41A91BBC" w14:textId="7C88C325" w:rsidR="008A3A3D" w:rsidRPr="000C4C17" w:rsidRDefault="008A3A3D" w:rsidP="00A111E9">
      <w:pPr>
        <w:rPr>
          <w:lang w:bidi="ar-SA"/>
        </w:rPr>
      </w:pPr>
      <w:r w:rsidRPr="000C4C17">
        <w:rPr>
          <w:lang w:bidi="ar-SA"/>
        </w:rPr>
        <w:lastRenderedPageBreak/>
        <w:t>Butenhoff J, Costa, G, Elcombe C, Farrar D, Hansen K, Iwai H, Jung R, Kennedy Jr. G, Lieder P, Olsen G and Thomford P</w:t>
      </w:r>
      <w:r w:rsidR="00491FAC" w:rsidRPr="000C4C17">
        <w:rPr>
          <w:lang w:bidi="ar-SA"/>
        </w:rPr>
        <w:t xml:space="preserve"> </w:t>
      </w:r>
      <w:r w:rsidRPr="000C4C17">
        <w:rPr>
          <w:lang w:bidi="ar-SA"/>
        </w:rPr>
        <w:t xml:space="preserve">(2002) Toxicity of Ammonium Perfluorooctanoate in Male </w:t>
      </w:r>
      <w:r w:rsidR="00E5397E">
        <w:rPr>
          <w:lang w:bidi="ar-SA"/>
        </w:rPr>
        <w:t>c</w:t>
      </w:r>
      <w:r w:rsidR="00E5397E" w:rsidRPr="000C4C17">
        <w:rPr>
          <w:lang w:bidi="ar-SA"/>
        </w:rPr>
        <w:t xml:space="preserve">ynomolgus </w:t>
      </w:r>
      <w:r w:rsidRPr="000C4C17">
        <w:rPr>
          <w:lang w:bidi="ar-SA"/>
        </w:rPr>
        <w:t xml:space="preserve">Monkeys after Oral Dosing for 6 Months. </w:t>
      </w:r>
      <w:r w:rsidR="00A01FEF" w:rsidRPr="000C4C17">
        <w:rPr>
          <w:lang w:bidi="ar-SA"/>
        </w:rPr>
        <w:t>Toxicol</w:t>
      </w:r>
      <w:r w:rsidRPr="000C4C17">
        <w:rPr>
          <w:lang w:bidi="ar-SA"/>
        </w:rPr>
        <w:t xml:space="preserve"> Sc</w:t>
      </w:r>
      <w:r w:rsidR="0062522D" w:rsidRPr="000C4C17">
        <w:rPr>
          <w:lang w:bidi="ar-SA"/>
        </w:rPr>
        <w:t>i</w:t>
      </w:r>
      <w:r w:rsidRPr="000C4C17">
        <w:rPr>
          <w:lang w:bidi="ar-SA"/>
        </w:rPr>
        <w:t xml:space="preserve"> 69</w:t>
      </w:r>
      <w:r w:rsidR="00A01FEF" w:rsidRPr="000C4C17">
        <w:rPr>
          <w:lang w:bidi="ar-SA"/>
        </w:rPr>
        <w:t>:</w:t>
      </w:r>
      <w:r w:rsidRPr="000C4C17">
        <w:rPr>
          <w:lang w:bidi="ar-SA"/>
        </w:rPr>
        <w:t xml:space="preserve"> 244–257</w:t>
      </w:r>
    </w:p>
    <w:p w14:paraId="0F99CAB9" w14:textId="77777777" w:rsidR="008A3A3D" w:rsidRPr="000C4C17" w:rsidRDefault="008A3A3D" w:rsidP="00A111E9">
      <w:pPr>
        <w:rPr>
          <w:lang w:bidi="ar-SA"/>
        </w:rPr>
      </w:pPr>
    </w:p>
    <w:p w14:paraId="1A02E35E" w14:textId="383C80BF" w:rsidR="008A3A3D" w:rsidRPr="000C4C17" w:rsidRDefault="008A3A3D" w:rsidP="00A111E9">
      <w:pPr>
        <w:rPr>
          <w:lang w:bidi="ar-SA"/>
        </w:rPr>
      </w:pPr>
      <w:r w:rsidRPr="000C4C17">
        <w:rPr>
          <w:lang w:bidi="ar-SA"/>
        </w:rPr>
        <w:t xml:space="preserve">Butenhoff JL, Kennedy Jr. GL, Frame SR,. O’Connor JC and York RG (2004) The reproductive toxicology of ammonium perfluorooctanoate (APFO) in the rat. </w:t>
      </w:r>
      <w:r w:rsidRPr="000C4C17">
        <w:t>Toxicology</w:t>
      </w:r>
      <w:r w:rsidRPr="000C4C17">
        <w:rPr>
          <w:lang w:bidi="ar-SA"/>
        </w:rPr>
        <w:t xml:space="preserve"> </w:t>
      </w:r>
      <w:r w:rsidRPr="000C4C17">
        <w:t>196</w:t>
      </w:r>
      <w:r w:rsidR="00A01FEF" w:rsidRPr="000C4C17">
        <w:rPr>
          <w:lang w:bidi="ar-SA"/>
        </w:rPr>
        <w:t>:</w:t>
      </w:r>
      <w:r w:rsidRPr="000C4C17">
        <w:rPr>
          <w:lang w:bidi="ar-SA"/>
        </w:rPr>
        <w:t xml:space="preserve"> 95–116</w:t>
      </w:r>
    </w:p>
    <w:p w14:paraId="7BD93D8C" w14:textId="77777777" w:rsidR="008A3A3D" w:rsidRPr="000C4C17" w:rsidRDefault="008A3A3D" w:rsidP="00A111E9">
      <w:pPr>
        <w:rPr>
          <w:lang w:bidi="ar-SA"/>
        </w:rPr>
      </w:pPr>
    </w:p>
    <w:p w14:paraId="581B3119" w14:textId="1B0E6D21" w:rsidR="008A3A3D" w:rsidRPr="000C4C17" w:rsidRDefault="008A3A3D" w:rsidP="00A111E9">
      <w:pPr>
        <w:rPr>
          <w:lang w:bidi="ar-SA"/>
        </w:rPr>
      </w:pPr>
      <w:r w:rsidRPr="000C4C17">
        <w:rPr>
          <w:lang w:bidi="ar-SA"/>
        </w:rPr>
        <w:t>Butenhoff JL,. Kennedy Jr. GL, Chang S-C, and Olsen GW(2012) Chronic dietary toxicity and carcinogenicity study with ammonium perfluorooctanoate in Sprague</w:t>
      </w:r>
      <w:r w:rsidR="007F02A2">
        <w:rPr>
          <w:lang w:bidi="ar-SA"/>
        </w:rPr>
        <w:t xml:space="preserve"> </w:t>
      </w:r>
      <w:r w:rsidRPr="000C4C17">
        <w:rPr>
          <w:lang w:bidi="ar-SA"/>
        </w:rPr>
        <w:t xml:space="preserve">Dawley rats. </w:t>
      </w:r>
      <w:r w:rsidRPr="000C4C17">
        <w:t>Toxicology</w:t>
      </w:r>
      <w:r w:rsidRPr="000C4C17">
        <w:rPr>
          <w:lang w:bidi="ar-SA"/>
        </w:rPr>
        <w:t xml:space="preserve"> </w:t>
      </w:r>
      <w:r w:rsidRPr="000C4C17">
        <w:t>298</w:t>
      </w:r>
      <w:r w:rsidR="00A01FEF" w:rsidRPr="000C4C17">
        <w:rPr>
          <w:lang w:bidi="ar-SA"/>
        </w:rPr>
        <w:t>:</w:t>
      </w:r>
      <w:r w:rsidRPr="000C4C17">
        <w:rPr>
          <w:lang w:bidi="ar-SA"/>
        </w:rPr>
        <w:t xml:space="preserve"> 1– 13</w:t>
      </w:r>
    </w:p>
    <w:p w14:paraId="2637750F" w14:textId="77777777" w:rsidR="008A3A3D" w:rsidRPr="000C4C17" w:rsidRDefault="008A3A3D" w:rsidP="00A111E9">
      <w:pPr>
        <w:rPr>
          <w:lang w:bidi="ar-SA"/>
        </w:rPr>
      </w:pPr>
    </w:p>
    <w:p w14:paraId="38928648" w14:textId="137D5060" w:rsidR="008A3A3D" w:rsidRPr="000C4C17" w:rsidRDefault="008A3A3D" w:rsidP="00A111E9">
      <w:pPr>
        <w:rPr>
          <w:lang w:bidi="ar-SA"/>
        </w:rPr>
      </w:pPr>
      <w:r w:rsidRPr="000C4C17">
        <w:rPr>
          <w:lang w:bidi="ar-SA"/>
        </w:rPr>
        <w:t>Danish Environmental Protection Agency (2015) Perfluoroalkylated substances: PFOA, PFOS and PFOSA. Edited by PB Larsen and E Giovalle.</w:t>
      </w:r>
    </w:p>
    <w:p w14:paraId="68365D15" w14:textId="77777777" w:rsidR="008A3A3D" w:rsidRPr="000C4C17" w:rsidRDefault="008A3A3D" w:rsidP="00A111E9">
      <w:pPr>
        <w:rPr>
          <w:lang w:bidi="ar-SA"/>
        </w:rPr>
      </w:pPr>
    </w:p>
    <w:p w14:paraId="089DE22C" w14:textId="0B4E9B69" w:rsidR="008A3A3D" w:rsidRPr="000C4C17" w:rsidRDefault="008A3A3D" w:rsidP="00A111E9">
      <w:pPr>
        <w:rPr>
          <w:lang w:bidi="ar-SA"/>
        </w:rPr>
      </w:pPr>
      <w:r w:rsidRPr="000C4C17">
        <w:rPr>
          <w:lang w:bidi="ar-SA"/>
        </w:rPr>
        <w:t>DeWitt JC, Copeland CB, Strynar MJ and Luebke RW (2008) Perfluorooctanoic Acid–Induced Immunomodulation in Adult C57BL/6J or C57BL/6N Female Mice. Environ</w:t>
      </w:r>
      <w:r w:rsidRPr="000C4C17">
        <w:t xml:space="preserve"> Health </w:t>
      </w:r>
      <w:r w:rsidRPr="000C4C17">
        <w:rPr>
          <w:lang w:bidi="ar-SA"/>
        </w:rPr>
        <w:t xml:space="preserve">Perspect </w:t>
      </w:r>
      <w:r w:rsidRPr="000C4C17">
        <w:t>116</w:t>
      </w:r>
      <w:r w:rsidR="00A01FEF" w:rsidRPr="000C4C17">
        <w:rPr>
          <w:lang w:bidi="ar-SA"/>
        </w:rPr>
        <w:t>:</w:t>
      </w:r>
      <w:r w:rsidRPr="000C4C17">
        <w:t xml:space="preserve"> </w:t>
      </w:r>
      <w:r w:rsidRPr="000C4C17">
        <w:rPr>
          <w:lang w:bidi="ar-SA"/>
        </w:rPr>
        <w:t>644–650</w:t>
      </w:r>
    </w:p>
    <w:p w14:paraId="2BFA68E9" w14:textId="77777777" w:rsidR="008A3A3D" w:rsidRPr="000C4C17" w:rsidRDefault="008A3A3D" w:rsidP="00A111E9">
      <w:pPr>
        <w:rPr>
          <w:lang w:bidi="ar-SA"/>
        </w:rPr>
      </w:pPr>
    </w:p>
    <w:p w14:paraId="40976B97" w14:textId="77777777" w:rsidR="008A3A3D" w:rsidRPr="000C4C17" w:rsidRDefault="008A3A3D" w:rsidP="00A111E9">
      <w:pPr>
        <w:rPr>
          <w:lang w:bidi="ar-SA"/>
        </w:rPr>
      </w:pPr>
      <w:r w:rsidRPr="000C4C17">
        <w:rPr>
          <w:lang w:bidi="ar-SA"/>
        </w:rPr>
        <w:t>Drew R and Hagen T (2016) Immunomodulation by PFASs: A brief literature review. ToxConsult document ToxCR300816</w:t>
      </w:r>
    </w:p>
    <w:p w14:paraId="0C075B7F" w14:textId="77777777" w:rsidR="008A3A3D" w:rsidRPr="000C4C17" w:rsidRDefault="008A3A3D" w:rsidP="00A111E9">
      <w:pPr>
        <w:rPr>
          <w:lang w:bidi="ar-SA"/>
        </w:rPr>
      </w:pPr>
    </w:p>
    <w:p w14:paraId="114DD03C" w14:textId="4481B4E8" w:rsidR="008A3A3D" w:rsidRPr="000C4C17" w:rsidRDefault="008A3A3D" w:rsidP="00A111E9">
      <w:pPr>
        <w:rPr>
          <w:lang w:bidi="ar-SA"/>
        </w:rPr>
      </w:pPr>
      <w:r w:rsidRPr="000C4C17">
        <w:rPr>
          <w:lang w:bidi="ar-SA"/>
        </w:rPr>
        <w:t xml:space="preserve">EFSA (2008) Perfluorooctane sulfonate (PFOS), perfluorooctanoic acid (PFOA) and their salts. Scientific Opinion of the Panel on Contaminants in the Food chain. EFSA J </w:t>
      </w:r>
      <w:r w:rsidRPr="000C4C17">
        <w:t>653</w:t>
      </w:r>
      <w:r w:rsidR="00A01FEF" w:rsidRPr="000C4C17">
        <w:rPr>
          <w:lang w:bidi="ar-SA"/>
        </w:rPr>
        <w:t>:</w:t>
      </w:r>
      <w:r w:rsidRPr="000C4C17">
        <w:rPr>
          <w:lang w:bidi="ar-SA"/>
        </w:rPr>
        <w:t xml:space="preserve"> 1-131</w:t>
      </w:r>
    </w:p>
    <w:p w14:paraId="713A5101" w14:textId="77777777" w:rsidR="008A3A3D" w:rsidRPr="000C4C17" w:rsidRDefault="008A3A3D" w:rsidP="00A111E9">
      <w:pPr>
        <w:rPr>
          <w:lang w:bidi="ar-SA"/>
        </w:rPr>
      </w:pPr>
    </w:p>
    <w:p w14:paraId="654290F1" w14:textId="49812DFE" w:rsidR="008A3A3D" w:rsidRPr="000C4C17" w:rsidRDefault="008A3A3D" w:rsidP="00A111E9">
      <w:pPr>
        <w:rPr>
          <w:lang w:bidi="ar-SA"/>
        </w:rPr>
      </w:pPr>
      <w:r w:rsidRPr="000C4C17">
        <w:rPr>
          <w:lang w:bidi="ar-SA"/>
        </w:rPr>
        <w:t>Goldenthal EI (1978) Ninety Day Subacute Rhesus Monkey Toxicity Study. Final Report. Prepared for 3M, St. Paul, by International Research and Development Corporation, St. Paul. US EPA Public Docket AR226-0447</w:t>
      </w:r>
    </w:p>
    <w:p w14:paraId="45BF57E0" w14:textId="77777777" w:rsidR="008A3A3D" w:rsidRPr="000C4C17" w:rsidRDefault="008A3A3D" w:rsidP="00A111E9">
      <w:pPr>
        <w:rPr>
          <w:lang w:bidi="ar-SA"/>
        </w:rPr>
      </w:pPr>
    </w:p>
    <w:p w14:paraId="589AFC8C" w14:textId="23A87274" w:rsidR="008A3A3D" w:rsidRPr="000C4C17" w:rsidRDefault="008A3A3D" w:rsidP="00A111E9">
      <w:pPr>
        <w:rPr>
          <w:lang w:bidi="ar-SA"/>
        </w:rPr>
      </w:pPr>
      <w:r w:rsidRPr="000C4C17">
        <w:rPr>
          <w:lang w:bidi="ar-SA"/>
        </w:rPr>
        <w:t>Hall AP, Elcombe CR, Foster JR, Harada T, Kaufmann W, Knippel A, K</w:t>
      </w:r>
      <w:r w:rsidRPr="000C4C17">
        <w:rPr>
          <w:rFonts w:cs="Arial"/>
          <w:lang w:bidi="ar-SA"/>
        </w:rPr>
        <w:t>ü</w:t>
      </w:r>
      <w:r w:rsidRPr="000C4C17">
        <w:rPr>
          <w:lang w:bidi="ar-SA"/>
        </w:rPr>
        <w:t>ttler K, Malarkey DE, Maronpot RR, Nishikawa A, Nolte T, Schulte A, Strauss V and York MJ (2012) Liver Hypertrophy: A Review of Adaptive (Adverse and Non-adverse) Changes – Conclusions from the 3</w:t>
      </w:r>
      <w:r w:rsidRPr="000C4C17">
        <w:rPr>
          <w:vertAlign w:val="superscript"/>
          <w:lang w:bidi="ar-SA"/>
        </w:rPr>
        <w:t>rd</w:t>
      </w:r>
      <w:r w:rsidRPr="000C4C17">
        <w:rPr>
          <w:lang w:bidi="ar-SA"/>
        </w:rPr>
        <w:t xml:space="preserve"> International ESTP Expert Workshop. Toxicol Pathol 40: 971-994</w:t>
      </w:r>
    </w:p>
    <w:p w14:paraId="4CD76E56" w14:textId="77777777" w:rsidR="008A3A3D" w:rsidRPr="000C4C17" w:rsidRDefault="008A3A3D" w:rsidP="00A111E9">
      <w:pPr>
        <w:rPr>
          <w:lang w:bidi="ar-SA"/>
        </w:rPr>
      </w:pPr>
    </w:p>
    <w:p w14:paraId="7FB0AD29" w14:textId="77777777" w:rsidR="008A3A3D" w:rsidRPr="000C4C17" w:rsidRDefault="008A3A3D" w:rsidP="00A111E9">
      <w:pPr>
        <w:rPr>
          <w:lang w:bidi="ar-SA"/>
        </w:rPr>
      </w:pPr>
      <w:r w:rsidRPr="000C4C17">
        <w:rPr>
          <w:lang w:bidi="ar-SA"/>
        </w:rPr>
        <w:t>International Agency for Research on Cancer (2016). IARC Monographs on the Evaluation of Carcinogenic Risks to Humans. Volume 110 (2016) Perfluorooctanoic Acid, Tetrafluoroethylene, Dichloromethane, 1,2-Dichloropropane, and 1,3-Propane Sultone</w:t>
      </w:r>
    </w:p>
    <w:p w14:paraId="37EFE885" w14:textId="77777777" w:rsidR="008A3A3D" w:rsidRPr="000C4C17" w:rsidRDefault="008A3A3D" w:rsidP="00A111E9">
      <w:pPr>
        <w:rPr>
          <w:lang w:bidi="ar-SA"/>
        </w:rPr>
      </w:pPr>
    </w:p>
    <w:p w14:paraId="09B7FC14" w14:textId="095F2F5B" w:rsidR="008A3A3D" w:rsidRPr="000C4C17" w:rsidRDefault="008A3A3D" w:rsidP="00A111E9">
      <w:pPr>
        <w:rPr>
          <w:lang w:bidi="ar-SA"/>
        </w:rPr>
      </w:pPr>
      <w:r w:rsidRPr="000C4C17">
        <w:rPr>
          <w:lang w:bidi="ar-SA"/>
        </w:rPr>
        <w:t>Lau C, Thibodeaux JR, Hanson RG, Narotsky MG, Rogers JM, Lindstrom AB and Strynar MJ</w:t>
      </w:r>
      <w:r w:rsidR="00491FAC" w:rsidRPr="000C4C17">
        <w:rPr>
          <w:lang w:bidi="ar-SA"/>
        </w:rPr>
        <w:t xml:space="preserve"> </w:t>
      </w:r>
      <w:r w:rsidRPr="000C4C17">
        <w:rPr>
          <w:lang w:bidi="ar-SA"/>
        </w:rPr>
        <w:t>(2006) Effects of Perfluorooctanoic Acid Exposure during Pregnancy in the Mouse. Toxicol Sci 90 510–518</w:t>
      </w:r>
    </w:p>
    <w:p w14:paraId="724E42DC" w14:textId="77777777" w:rsidR="008A3A3D" w:rsidRPr="000C4C17" w:rsidRDefault="008A3A3D" w:rsidP="00A111E9">
      <w:pPr>
        <w:rPr>
          <w:lang w:bidi="ar-SA"/>
        </w:rPr>
      </w:pPr>
    </w:p>
    <w:p w14:paraId="3F67E995" w14:textId="34C04C63" w:rsidR="008A3A3D" w:rsidRPr="000C4C17" w:rsidRDefault="008A3A3D" w:rsidP="00A111E9">
      <w:pPr>
        <w:rPr>
          <w:lang w:bidi="ar-SA"/>
        </w:rPr>
      </w:pPr>
      <w:r w:rsidRPr="000C4C17">
        <w:rPr>
          <w:lang w:bidi="ar-SA"/>
        </w:rPr>
        <w:t>Macon MB, Villanueva LR, Tatum-Gibbs K, Zehr RD, Strynar MJ, Stanko JP, White SS, Helfant L and Fenton SE (2011) Prenatal Perfluorooctanoic Acid Exposure in CD-1 Mice: Low</w:t>
      </w:r>
      <w:r w:rsidR="001012A5">
        <w:rPr>
          <w:lang w:bidi="ar-SA"/>
        </w:rPr>
        <w:t xml:space="preserve"> </w:t>
      </w:r>
      <w:r w:rsidRPr="000C4C17">
        <w:rPr>
          <w:lang w:bidi="ar-SA"/>
        </w:rPr>
        <w:t>Dose Developmental Effects and Internal Dosimetry.</w:t>
      </w:r>
      <w:r w:rsidRPr="000C4C17">
        <w:t xml:space="preserve"> </w:t>
      </w:r>
      <w:r w:rsidRPr="000C4C17">
        <w:rPr>
          <w:lang w:bidi="ar-SA"/>
        </w:rPr>
        <w:t>Toxicol Sci</w:t>
      </w:r>
      <w:r w:rsidRPr="000C4C17">
        <w:t xml:space="preserve"> 122</w:t>
      </w:r>
      <w:r w:rsidRPr="000C4C17">
        <w:rPr>
          <w:lang w:bidi="ar-SA"/>
        </w:rPr>
        <w:t>:, 134–145</w:t>
      </w:r>
    </w:p>
    <w:p w14:paraId="1078D61E" w14:textId="77777777" w:rsidR="008A3A3D" w:rsidRPr="000C4C17" w:rsidRDefault="008A3A3D" w:rsidP="00A111E9">
      <w:pPr>
        <w:rPr>
          <w:lang w:bidi="ar-SA"/>
        </w:rPr>
      </w:pPr>
    </w:p>
    <w:p w14:paraId="06BB0056" w14:textId="503F401D" w:rsidR="008A3A3D" w:rsidRPr="000C4C17" w:rsidRDefault="008A3A3D" w:rsidP="00A111E9">
      <w:pPr>
        <w:rPr>
          <w:lang w:bidi="ar-SA"/>
        </w:rPr>
      </w:pPr>
      <w:r w:rsidRPr="000C4C17">
        <w:rPr>
          <w:lang w:bidi="ar-SA"/>
        </w:rPr>
        <w:t>Morita Y, Homma Y, Igarashi M, Miyano R, Yamaguchi H, Matsuda M, Tanigaki T, Shiina Y and Homma K (2010) Decrease in glomerular filtration rate by plasma low</w:t>
      </w:r>
      <w:r w:rsidR="001012A5">
        <w:rPr>
          <w:lang w:bidi="ar-SA"/>
        </w:rPr>
        <w:t xml:space="preserve"> </w:t>
      </w:r>
      <w:r w:rsidRPr="000C4C17">
        <w:rPr>
          <w:lang w:bidi="ar-SA"/>
        </w:rPr>
        <w:t xml:space="preserve">density lipoprotein cholesterol in subjects with normal kidney function assessed by urinalysis and plasma creatinine </w:t>
      </w:r>
      <w:r w:rsidRPr="000C4C17">
        <w:t>Atherosclerosis 210</w:t>
      </w:r>
      <w:r w:rsidRPr="000C4C17">
        <w:rPr>
          <w:lang w:bidi="ar-SA"/>
        </w:rPr>
        <w:t>(2): 602-606</w:t>
      </w:r>
    </w:p>
    <w:p w14:paraId="4F08A900" w14:textId="77777777" w:rsidR="008A3A3D" w:rsidRPr="000C4C17" w:rsidRDefault="008A3A3D" w:rsidP="00A111E9">
      <w:pPr>
        <w:rPr>
          <w:lang w:bidi="ar-SA"/>
        </w:rPr>
      </w:pPr>
    </w:p>
    <w:p w14:paraId="1A4842F6" w14:textId="14687E68" w:rsidR="008A3A3D" w:rsidRPr="000C4C17" w:rsidRDefault="008A3A3D" w:rsidP="00A111E9">
      <w:pPr>
        <w:rPr>
          <w:lang w:bidi="ar-SA"/>
        </w:rPr>
      </w:pPr>
      <w:r w:rsidRPr="000C4C17">
        <w:rPr>
          <w:lang w:bidi="ar-SA"/>
        </w:rPr>
        <w:t xml:space="preserve">NTP (2016) Draft Systematic Review of Immunotoxicity Associated with Exposure to PFOA or PFOS. National Toxicology Program. National Institute of Environmental Health Sciences, National Institutes of Health. </w:t>
      </w:r>
      <w:r w:rsidRPr="000C4C17">
        <w:rPr>
          <w:color w:val="3333FF"/>
          <w:u w:val="single"/>
          <w:lang w:bidi="ar-SA"/>
        </w:rPr>
        <w:t>http://ntp.niehs.nih.gov/ntp/about_ntp/monopeerrvw/2016/july/draftsystematicreviewimmunot</w:t>
      </w:r>
      <w:r w:rsidRPr="000C4C17">
        <w:rPr>
          <w:color w:val="3333FF"/>
          <w:u w:val="single"/>
          <w:lang w:bidi="ar-SA"/>
        </w:rPr>
        <w:lastRenderedPageBreak/>
        <w:t>oxicityassociatedpfoa_pfos_508.pdf</w:t>
      </w:r>
    </w:p>
    <w:p w14:paraId="613DA8AA" w14:textId="77777777" w:rsidR="008A3A3D" w:rsidRPr="000C4C17" w:rsidRDefault="008A3A3D" w:rsidP="00A111E9">
      <w:pPr>
        <w:rPr>
          <w:lang w:bidi="ar-SA"/>
        </w:rPr>
      </w:pPr>
    </w:p>
    <w:p w14:paraId="157C5EAC" w14:textId="2C0BD317" w:rsidR="008A3A3D" w:rsidRPr="000C4C17" w:rsidRDefault="008A3A3D" w:rsidP="00A111E9">
      <w:pPr>
        <w:rPr>
          <w:lang w:bidi="ar-SA"/>
        </w:rPr>
      </w:pPr>
      <w:r w:rsidRPr="000C4C17">
        <w:rPr>
          <w:lang w:bidi="ar-SA"/>
        </w:rPr>
        <w:t>Palazzolo MJ (1993) Thirteen-week dietary toxicity study with T-5180, ammonium perfluorooctanoate (CAS No. 3825-26-1) in male rats. Final Report. Laboratory Project Identification HWI 6329-100. Hazleton Wisconsin, Inc. U.S. Environmental Protection Agency Administrative Record 226-0449</w:t>
      </w:r>
    </w:p>
    <w:p w14:paraId="5F48A8F3" w14:textId="77777777" w:rsidR="008A3A3D" w:rsidRPr="000C4C17" w:rsidRDefault="008A3A3D" w:rsidP="00A111E9">
      <w:pPr>
        <w:rPr>
          <w:lang w:bidi="ar-SA"/>
        </w:rPr>
      </w:pPr>
    </w:p>
    <w:p w14:paraId="01866286" w14:textId="7447A0AB" w:rsidR="008A3A3D" w:rsidRPr="000C4C17" w:rsidRDefault="008A3A3D" w:rsidP="00A111E9">
      <w:pPr>
        <w:rPr>
          <w:lang w:bidi="ar-SA"/>
        </w:rPr>
      </w:pPr>
      <w:r w:rsidRPr="000C4C17">
        <w:rPr>
          <w:lang w:bidi="ar-SA"/>
        </w:rPr>
        <w:t>Parkinson A (2001) Biotransformation of Xenobiotics. In Casarett and Doull’s Toxicology, 6</w:t>
      </w:r>
      <w:r w:rsidRPr="000C4C17">
        <w:rPr>
          <w:vertAlign w:val="superscript"/>
          <w:lang w:bidi="ar-SA"/>
        </w:rPr>
        <w:t>th</w:t>
      </w:r>
      <w:r w:rsidRPr="000C4C17">
        <w:rPr>
          <w:lang w:bidi="ar-SA"/>
        </w:rPr>
        <w:t xml:space="preserve"> edition, edited by CD Klaassen. McGraw Hill</w:t>
      </w:r>
    </w:p>
    <w:p w14:paraId="1B7E65E8" w14:textId="77777777" w:rsidR="008A3A3D" w:rsidRPr="000C4C17" w:rsidRDefault="008A3A3D" w:rsidP="00A111E9">
      <w:pPr>
        <w:rPr>
          <w:lang w:bidi="ar-SA"/>
        </w:rPr>
      </w:pPr>
    </w:p>
    <w:p w14:paraId="5B1823BD" w14:textId="7AEBC6FD" w:rsidR="008A3A3D" w:rsidRPr="000C4C17" w:rsidRDefault="008A3A3D" w:rsidP="00A111E9">
      <w:pPr>
        <w:rPr>
          <w:lang w:bidi="ar-SA"/>
        </w:rPr>
      </w:pPr>
      <w:r w:rsidRPr="000C4C17">
        <w:rPr>
          <w:lang w:bidi="ar-SA"/>
        </w:rPr>
        <w:t>Perkins RG, Butenhoff JL, Kennedy Jr. GL, and Palazzolo MJ (2004) 13-Week Dietary Toxicity Study of Ammonium Perfluorooctanoate (APFO) in Male Rats.</w:t>
      </w:r>
      <w:r w:rsidRPr="000C4C17">
        <w:t xml:space="preserve"> Drug </w:t>
      </w:r>
      <w:r w:rsidRPr="000C4C17">
        <w:rPr>
          <w:lang w:bidi="ar-SA"/>
        </w:rPr>
        <w:t xml:space="preserve">Chem Toxicol </w:t>
      </w:r>
      <w:r w:rsidRPr="000C4C17">
        <w:t>27</w:t>
      </w:r>
      <w:r w:rsidRPr="000C4C17">
        <w:rPr>
          <w:lang w:bidi="ar-SA"/>
        </w:rPr>
        <w:t xml:space="preserve"> 361–378</w:t>
      </w:r>
    </w:p>
    <w:p w14:paraId="481FE051" w14:textId="77777777" w:rsidR="008A3A3D" w:rsidRPr="000C4C17" w:rsidRDefault="008A3A3D" w:rsidP="00A111E9">
      <w:pPr>
        <w:rPr>
          <w:lang w:bidi="ar-SA"/>
        </w:rPr>
      </w:pPr>
    </w:p>
    <w:p w14:paraId="09ED4CB6" w14:textId="5001ADF2" w:rsidR="008A3A3D" w:rsidRPr="000C4C17" w:rsidRDefault="008A3A3D" w:rsidP="00A111E9">
      <w:pPr>
        <w:widowControl/>
        <w:rPr>
          <w:lang w:bidi="ar-SA"/>
        </w:rPr>
      </w:pPr>
      <w:r w:rsidRPr="000C4C17">
        <w:rPr>
          <w:lang w:bidi="ar-SA"/>
        </w:rPr>
        <w:t xml:space="preserve">Roberts M, Grice J, Hungerford N, Liang X, and Liu X (2016) A critical review of pharmacokinetic modelling of PFOS and PFOA to assist in establishing </w:t>
      </w:r>
      <w:r w:rsidR="004E42A1" w:rsidRPr="000C4C17">
        <w:rPr>
          <w:lang w:bidi="ar-SA"/>
        </w:rPr>
        <w:t>HBGV</w:t>
      </w:r>
      <w:r w:rsidRPr="000C4C17">
        <w:rPr>
          <w:lang w:bidi="ar-SA"/>
        </w:rPr>
        <w:t>s for these chemicals.</w:t>
      </w:r>
    </w:p>
    <w:p w14:paraId="6FA487F4" w14:textId="77777777" w:rsidR="008A3A3D" w:rsidRPr="000C4C17" w:rsidRDefault="008A3A3D" w:rsidP="00A111E9">
      <w:pPr>
        <w:widowControl/>
        <w:rPr>
          <w:lang w:bidi="ar-SA"/>
        </w:rPr>
      </w:pPr>
    </w:p>
    <w:p w14:paraId="1600916E" w14:textId="09C7C66C" w:rsidR="008A3A3D" w:rsidRPr="000C4C17" w:rsidRDefault="008A3A3D" w:rsidP="00A111E9">
      <w:pPr>
        <w:widowControl/>
        <w:rPr>
          <w:lang w:bidi="ar-SA"/>
        </w:rPr>
      </w:pPr>
      <w:r w:rsidRPr="000C4C17">
        <w:rPr>
          <w:lang w:bidi="ar-SA"/>
        </w:rPr>
        <w:t>United Kingdom Committee on Toxicity (2006) COT Statement on the Tolerable Daily Intake for Perfluorooctanoic Acid.</w:t>
      </w:r>
      <w:r w:rsidRPr="000C4C17">
        <w:t xml:space="preserve"> </w:t>
      </w:r>
      <w:r w:rsidRPr="000C4C17">
        <w:rPr>
          <w:color w:val="3333FF"/>
          <w:u w:val="single"/>
          <w:lang w:bidi="ar-SA"/>
        </w:rPr>
        <w:t>https://cot.food.gov.uk/sites/default/files/cot/cotstatementpfoa200902.pdf</w:t>
      </w:r>
    </w:p>
    <w:p w14:paraId="2ED7F11E" w14:textId="77777777" w:rsidR="008A3A3D" w:rsidRPr="000C4C17" w:rsidRDefault="008A3A3D" w:rsidP="00A111E9">
      <w:pPr>
        <w:widowControl/>
        <w:rPr>
          <w:lang w:bidi="ar-SA"/>
        </w:rPr>
      </w:pPr>
    </w:p>
    <w:p w14:paraId="2D49E2AB" w14:textId="74CB2EFC" w:rsidR="008A3A3D" w:rsidRPr="000C4C17" w:rsidRDefault="008A3A3D" w:rsidP="00A111E9">
      <w:pPr>
        <w:widowControl/>
        <w:rPr>
          <w:lang w:bidi="ar-SA"/>
        </w:rPr>
      </w:pPr>
      <w:r w:rsidRPr="000C4C17">
        <w:rPr>
          <w:lang w:bidi="ar-SA"/>
        </w:rPr>
        <w:t xml:space="preserve">US EPA (2016) Health Effects Support Document for Perfluorooctanoic Acid (PFOA). EPA 822-R-16-003. </w:t>
      </w:r>
      <w:r w:rsidRPr="000C4C17">
        <w:rPr>
          <w:color w:val="3333FF"/>
          <w:u w:val="single"/>
          <w:lang w:bidi="ar-SA"/>
        </w:rPr>
        <w:t>https://www.epa.gov/sites/production/files/2016-05/documents/pfoa_hesd_final_508.pdf</w:t>
      </w:r>
    </w:p>
    <w:p w14:paraId="06897AA3" w14:textId="77777777" w:rsidR="008A3A3D" w:rsidRPr="000C4C17" w:rsidRDefault="008A3A3D" w:rsidP="00A111E9">
      <w:pPr>
        <w:widowControl/>
        <w:rPr>
          <w:lang w:bidi="ar-SA"/>
        </w:rPr>
      </w:pPr>
    </w:p>
    <w:p w14:paraId="633281C0" w14:textId="4F461E35" w:rsidR="008A3A3D" w:rsidRPr="000C4C17" w:rsidRDefault="008A3A3D" w:rsidP="00A111E9">
      <w:pPr>
        <w:widowControl/>
        <w:rPr>
          <w:lang w:bidi="ar-SA"/>
        </w:rPr>
      </w:pPr>
      <w:r w:rsidRPr="000C4C17">
        <w:rPr>
          <w:lang w:bidi="ar-SA"/>
        </w:rPr>
        <w:t xml:space="preserve">White SS, Calafat AM, Kuklenyik Z, Villanueva L, Zehr RD, Helfant L, Strynar MJ, Lindstrom AB, Thibodeaux JR, Wood C and Fenton SE </w:t>
      </w:r>
      <w:r w:rsidR="00491FAC" w:rsidRPr="000C4C17">
        <w:rPr>
          <w:lang w:bidi="ar-SA"/>
        </w:rPr>
        <w:t>(</w:t>
      </w:r>
      <w:r w:rsidRPr="000C4C17">
        <w:rPr>
          <w:lang w:bidi="ar-SA"/>
        </w:rPr>
        <w:t>2007</w:t>
      </w:r>
      <w:r w:rsidR="00491FAC" w:rsidRPr="000C4C17">
        <w:rPr>
          <w:lang w:bidi="ar-SA"/>
        </w:rPr>
        <w:t>)</w:t>
      </w:r>
      <w:r w:rsidRPr="000C4C17">
        <w:rPr>
          <w:lang w:bidi="ar-SA"/>
        </w:rPr>
        <w:t xml:space="preserve"> Gestational PFOA Exposure of Mice is Associated with Altered Mammary Gland Development in Dams and Female Offspring. Toxicol Sci 96</w:t>
      </w:r>
      <w:r w:rsidR="004E42A1" w:rsidRPr="000C4C17">
        <w:rPr>
          <w:lang w:bidi="ar-SA"/>
        </w:rPr>
        <w:t>:</w:t>
      </w:r>
      <w:r w:rsidRPr="000C4C17">
        <w:rPr>
          <w:lang w:bidi="ar-SA"/>
        </w:rPr>
        <w:t xml:space="preserve"> 133–144</w:t>
      </w:r>
    </w:p>
    <w:p w14:paraId="23A887FB" w14:textId="77777777" w:rsidR="008A3A3D" w:rsidRPr="000C4C17" w:rsidRDefault="008A3A3D" w:rsidP="00A111E9">
      <w:pPr>
        <w:widowControl/>
        <w:rPr>
          <w:lang w:bidi="ar-SA"/>
        </w:rPr>
      </w:pPr>
    </w:p>
    <w:p w14:paraId="13756ADF" w14:textId="03B03E57" w:rsidR="008A3A3D" w:rsidRPr="000C4C17" w:rsidRDefault="008A3A3D" w:rsidP="00A111E9">
      <w:pPr>
        <w:widowControl/>
        <w:rPr>
          <w:lang w:bidi="ar-SA"/>
        </w:rPr>
      </w:pPr>
      <w:r w:rsidRPr="000C4C17">
        <w:rPr>
          <w:lang w:bidi="ar-SA"/>
        </w:rPr>
        <w:t>White SS, Kato K, Jiac LT, Basden BJ, Calafat AM, Hinesa EP, Stanko JP, Wolf CJ, Abbott BD and Fenton SE</w:t>
      </w:r>
      <w:r w:rsidR="00491FAC" w:rsidRPr="000C4C17">
        <w:rPr>
          <w:lang w:bidi="ar-SA"/>
        </w:rPr>
        <w:t xml:space="preserve"> </w:t>
      </w:r>
      <w:r w:rsidRPr="000C4C17">
        <w:rPr>
          <w:lang w:bidi="ar-SA"/>
        </w:rPr>
        <w:t>(2009) Effects of perfluorooctanoic acid on mouse mammary gland development and differentiation resulting from cross-foster and restricted gestational exposures. Reprod</w:t>
      </w:r>
      <w:r w:rsidR="004E42A1" w:rsidRPr="000C4C17">
        <w:rPr>
          <w:lang w:bidi="ar-SA"/>
        </w:rPr>
        <w:t xml:space="preserve"> Toxicol</w:t>
      </w:r>
      <w:r w:rsidRPr="000C4C17">
        <w:rPr>
          <w:lang w:bidi="ar-SA"/>
        </w:rPr>
        <w:t xml:space="preserve"> 27</w:t>
      </w:r>
      <w:r w:rsidR="004E42A1" w:rsidRPr="000C4C17">
        <w:rPr>
          <w:lang w:bidi="ar-SA"/>
        </w:rPr>
        <w:t>:</w:t>
      </w:r>
      <w:r w:rsidRPr="000C4C17">
        <w:rPr>
          <w:lang w:bidi="ar-SA"/>
        </w:rPr>
        <w:t xml:space="preserve"> 289–298</w:t>
      </w:r>
    </w:p>
    <w:p w14:paraId="1A91B9D1" w14:textId="77777777" w:rsidR="008A3A3D" w:rsidRPr="000C4C17" w:rsidRDefault="008A3A3D" w:rsidP="00A111E9">
      <w:pPr>
        <w:widowControl/>
        <w:rPr>
          <w:lang w:bidi="ar-SA"/>
        </w:rPr>
      </w:pPr>
    </w:p>
    <w:p w14:paraId="6392415E" w14:textId="78FC9723" w:rsidR="008A3A3D" w:rsidRPr="000C4C17" w:rsidRDefault="008A3A3D" w:rsidP="00A111E9">
      <w:pPr>
        <w:widowControl/>
        <w:rPr>
          <w:lang w:bidi="ar-SA"/>
        </w:rPr>
      </w:pPr>
      <w:r w:rsidRPr="000C4C17">
        <w:rPr>
          <w:lang w:bidi="ar-SA"/>
        </w:rPr>
        <w:t>White SS, Stanko JP, Kato K, Calafat AM, Hines EP and Fenton SE (2011) Gestational and Chronic Low</w:t>
      </w:r>
      <w:r w:rsidR="001012A5">
        <w:rPr>
          <w:lang w:bidi="ar-SA"/>
        </w:rPr>
        <w:t xml:space="preserve"> </w:t>
      </w:r>
      <w:r w:rsidRPr="000C4C17">
        <w:rPr>
          <w:lang w:bidi="ar-SA"/>
        </w:rPr>
        <w:t>Dose PFOA Exposures and Mammary Gland Growth and Differentiation in Three Generations of CD</w:t>
      </w:r>
      <w:r w:rsidRPr="000C4C17">
        <w:rPr>
          <w:rFonts w:ascii="MS Gothic" w:eastAsia="MS Gothic" w:hAnsi="MS Gothic" w:cs="MS Gothic" w:hint="eastAsia"/>
          <w:lang w:bidi="ar-SA"/>
        </w:rPr>
        <w:t>‑</w:t>
      </w:r>
      <w:r w:rsidRPr="000C4C17">
        <w:rPr>
          <w:lang w:bidi="ar-SA"/>
        </w:rPr>
        <w:t>1 Mice</w:t>
      </w:r>
      <w:r w:rsidRPr="000C4C17">
        <w:t xml:space="preserve">. </w:t>
      </w:r>
      <w:r w:rsidRPr="000C4C17">
        <w:rPr>
          <w:lang w:bidi="ar-SA"/>
        </w:rPr>
        <w:t>Environ</w:t>
      </w:r>
      <w:r w:rsidRPr="000C4C17">
        <w:t xml:space="preserve"> Health </w:t>
      </w:r>
      <w:r w:rsidRPr="000C4C17">
        <w:rPr>
          <w:lang w:bidi="ar-SA"/>
        </w:rPr>
        <w:t xml:space="preserve">Perspect </w:t>
      </w:r>
      <w:r w:rsidRPr="000C4C17">
        <w:t>119</w:t>
      </w:r>
      <w:r w:rsidR="004E42A1" w:rsidRPr="000C4C17">
        <w:rPr>
          <w:lang w:bidi="ar-SA"/>
        </w:rPr>
        <w:t>:</w:t>
      </w:r>
      <w:r w:rsidRPr="000C4C17">
        <w:rPr>
          <w:lang w:bidi="ar-SA"/>
        </w:rPr>
        <w:t xml:space="preserve"> 1070–1076</w:t>
      </w:r>
    </w:p>
    <w:p w14:paraId="7CE2A70F" w14:textId="77777777" w:rsidR="008A3A3D" w:rsidRPr="000C4C17" w:rsidRDefault="008A3A3D" w:rsidP="00A111E9">
      <w:pPr>
        <w:widowControl/>
        <w:rPr>
          <w:lang w:bidi="ar-SA"/>
        </w:rPr>
      </w:pPr>
    </w:p>
    <w:p w14:paraId="1E2FEA94" w14:textId="0D3F0132" w:rsidR="008A3A3D" w:rsidRPr="000C4C17" w:rsidRDefault="008A3A3D" w:rsidP="00A111E9">
      <w:pPr>
        <w:widowControl/>
        <w:rPr>
          <w:lang w:bidi="ar-SA"/>
        </w:rPr>
      </w:pPr>
      <w:r w:rsidRPr="000C4C17">
        <w:rPr>
          <w:lang w:bidi="ar-SA"/>
        </w:rPr>
        <w:t>Wolf CJ, Fenton SE, Schmid JE, Calafat AM, Kuklenyik Z, Bryant XA, Thibodeaux J, Das KP, White SS, Lau CS and Abbott BD (2007) Developmental Toxicity of Perfluorooctanoic Acid in the CD-1 Mouse after Cross-Foster and Restricted Gestational Exposures. ToxicolSci</w:t>
      </w:r>
      <w:r w:rsidR="004E42A1" w:rsidRPr="000C4C17">
        <w:rPr>
          <w:lang w:bidi="ar-SA"/>
        </w:rPr>
        <w:t xml:space="preserve"> 95: </w:t>
      </w:r>
      <w:r w:rsidRPr="000C4C17">
        <w:rPr>
          <w:lang w:bidi="ar-SA"/>
        </w:rPr>
        <w:t>462–473</w:t>
      </w:r>
    </w:p>
    <w:p w14:paraId="2F46FA78" w14:textId="77777777" w:rsidR="008A3A3D" w:rsidRPr="000C4C17" w:rsidRDefault="008A3A3D" w:rsidP="00A111E9">
      <w:pPr>
        <w:widowControl/>
        <w:rPr>
          <w:lang w:bidi="ar-SA"/>
        </w:rPr>
      </w:pPr>
    </w:p>
    <w:p w14:paraId="5103AB1B" w14:textId="451D88CC" w:rsidR="008A3A3D" w:rsidRPr="000C4C17" w:rsidDel="00FF6EFE" w:rsidRDefault="008A3A3D" w:rsidP="00A111E9">
      <w:pPr>
        <w:widowControl/>
        <w:rPr>
          <w:lang w:bidi="ar-SA"/>
        </w:rPr>
      </w:pPr>
      <w:r w:rsidRPr="000C4C17">
        <w:rPr>
          <w:lang w:bidi="ar-SA"/>
        </w:rPr>
        <w:t xml:space="preserve">Yu X-H, Zheng X-L and Tang, C-K (2015) Peroxisome Proliferator-Activated Receptor </w:t>
      </w:r>
      <w:r w:rsidRPr="000C4C17">
        <w:rPr>
          <w:rFonts w:cs="Arial"/>
          <w:lang w:bidi="ar-SA"/>
        </w:rPr>
        <w:t>α</w:t>
      </w:r>
      <w:r w:rsidRPr="000C4C17">
        <w:rPr>
          <w:lang w:bidi="ar-SA"/>
        </w:rPr>
        <w:t xml:space="preserve"> in Lipid Metabolism and Atherosclerosis. Adv Clin Chem 71</w:t>
      </w:r>
      <w:r w:rsidR="004E42A1" w:rsidRPr="000C4C17">
        <w:rPr>
          <w:lang w:bidi="ar-SA"/>
        </w:rPr>
        <w:t>:</w:t>
      </w:r>
      <w:r w:rsidRPr="000C4C17">
        <w:rPr>
          <w:lang w:bidi="ar-SA"/>
        </w:rPr>
        <w:t xml:space="preserve"> 171-203</w:t>
      </w:r>
    </w:p>
    <w:p w14:paraId="14C7F8A9" w14:textId="77777777" w:rsidR="008A3A3D" w:rsidRPr="000C4C17" w:rsidRDefault="008A3A3D" w:rsidP="00A111E9">
      <w:pPr>
        <w:rPr>
          <w:sz w:val="20"/>
          <w:szCs w:val="20"/>
          <w:lang w:bidi="ar-SA"/>
        </w:rPr>
      </w:pPr>
    </w:p>
    <w:p w14:paraId="4123FC39" w14:textId="52CBE07A" w:rsidR="008A3A3D" w:rsidRPr="0063036B" w:rsidRDefault="00186C86" w:rsidP="00A111E9">
      <w:pPr>
        <w:rPr>
          <w:b/>
          <w:szCs w:val="20"/>
          <w:lang w:bidi="ar-SA"/>
        </w:rPr>
      </w:pPr>
      <w:r w:rsidRPr="0063036B">
        <w:rPr>
          <w:b/>
          <w:szCs w:val="20"/>
          <w:lang w:bidi="ar-SA"/>
        </w:rPr>
        <w:t>PFHxS</w:t>
      </w:r>
    </w:p>
    <w:p w14:paraId="726F8FDE" w14:textId="77777777" w:rsidR="00186C86" w:rsidRPr="000C4C17" w:rsidRDefault="00186C86" w:rsidP="00A111E9">
      <w:pPr>
        <w:rPr>
          <w:b/>
          <w:sz w:val="20"/>
          <w:szCs w:val="20"/>
          <w:lang w:bidi="ar-SA"/>
        </w:rPr>
      </w:pPr>
    </w:p>
    <w:p w14:paraId="77AC9D52" w14:textId="73405C2A" w:rsidR="00186C86" w:rsidRPr="000C4C17" w:rsidRDefault="00186C86" w:rsidP="00A111E9">
      <w:r w:rsidRPr="000C4C17">
        <w:t>A</w:t>
      </w:r>
      <w:r w:rsidR="00AB35CC">
        <w:t>gency for Toxic Substances and Disease Registry (ATSDR)</w:t>
      </w:r>
      <w:r w:rsidRPr="000C4C17">
        <w:t xml:space="preserve"> (2015) Draft Toxicological Profile for Perfluoroalkyls.</w:t>
      </w:r>
    </w:p>
    <w:p w14:paraId="341C5C49" w14:textId="77777777" w:rsidR="00186C86" w:rsidRPr="000C4C17" w:rsidRDefault="00186C86" w:rsidP="00A111E9"/>
    <w:p w14:paraId="3F0D1BFC" w14:textId="071CB4FE" w:rsidR="00186C86" w:rsidRPr="000C4C17" w:rsidRDefault="00186C86" w:rsidP="00A111E9">
      <w:r w:rsidRPr="000C4C17">
        <w:t xml:space="preserve">Bijland S, Rensen PCN, Pieterman EJ, Maas ACE, van der Hoorm JW, van Erk MJ, Havekes LM, van Dijk KW, Chang SC, Ehresman DJ, Butenhoff JL, Princen HMG (2011). </w:t>
      </w:r>
      <w:r w:rsidRPr="000C4C17">
        <w:lastRenderedPageBreak/>
        <w:t xml:space="preserve">Perfluoroalkyl Sulfonates Cause Alkyl Chain Length-Dependent Hepatic Steatosis and Hypolipidemia Mainly by Impairing Lipoprotein Production in APOE*3-Leiden CETP Mice. </w:t>
      </w:r>
      <w:r w:rsidR="005A482B" w:rsidRPr="000C4C17">
        <w:t>Toxicol Sci</w:t>
      </w:r>
      <w:r w:rsidRPr="000C4C17">
        <w:t xml:space="preserve"> 123</w:t>
      </w:r>
      <w:r w:rsidR="00491FAC" w:rsidRPr="000C4C17">
        <w:t>:</w:t>
      </w:r>
      <w:r w:rsidRPr="000C4C17">
        <w:t xml:space="preserve"> 290-303</w:t>
      </w:r>
    </w:p>
    <w:p w14:paraId="74F7669D" w14:textId="77777777" w:rsidR="00186C86" w:rsidRPr="000C4C17" w:rsidRDefault="00186C86" w:rsidP="00A111E9"/>
    <w:p w14:paraId="52288D98" w14:textId="16A054E1" w:rsidR="00186C86" w:rsidRPr="000C4C17" w:rsidRDefault="00186C86" w:rsidP="00A111E9">
      <w:r w:rsidRPr="000C4C17">
        <w:t>Butenhoff JL, Chang SC, Ehresman DJ, Chang SC, York RG (2009) Evaluation of Potential reproductive and developmental toxicity of potassium perfluorohexanesulphonate in Sprague Dawley rats: Reprod Toxicol 27:</w:t>
      </w:r>
      <w:r w:rsidR="00491FAC" w:rsidRPr="000C4C17">
        <w:t xml:space="preserve"> </w:t>
      </w:r>
      <w:r w:rsidRPr="000C4C17">
        <w:t>331-341</w:t>
      </w:r>
    </w:p>
    <w:p w14:paraId="78CCE418" w14:textId="77777777" w:rsidR="00186C86" w:rsidRPr="000C4C17" w:rsidRDefault="00186C86" w:rsidP="00A111E9"/>
    <w:p w14:paraId="675771CA" w14:textId="27C79DE3" w:rsidR="00186C86" w:rsidRPr="000C4C17" w:rsidRDefault="00186C86" w:rsidP="00A111E9">
      <w:r w:rsidRPr="000C4C17">
        <w:t>Danish EPA (2015) Perfluoroalkylated substances: PFOA, PFOS and PFOSA: Evaluation of health hazards and proposal of a health</w:t>
      </w:r>
      <w:r w:rsidR="001012A5">
        <w:t>-</w:t>
      </w:r>
      <w:r w:rsidRPr="000C4C17">
        <w:t xml:space="preserve">based quality criterion for drinking water, soil and ground water. Environment project No. 1665, 2015. Danish Ministry of the Environment, Environmental Protection Agency. </w:t>
      </w:r>
      <w:r w:rsidRPr="00C65748">
        <w:t>http://www2.mst.dk/Udgiv/publications/2015/04/978-87-93283-01-5.pdf</w:t>
      </w:r>
    </w:p>
    <w:p w14:paraId="20B54301" w14:textId="77777777" w:rsidR="00186C86" w:rsidRPr="000C4C17" w:rsidRDefault="00186C86" w:rsidP="00A111E9"/>
    <w:p w14:paraId="64D83110" w14:textId="11D9DD27" w:rsidR="00186C86" w:rsidRPr="000C4C17" w:rsidRDefault="00186C86" w:rsidP="00A111E9">
      <w:pPr>
        <w:rPr>
          <w:lang w:val="en-NZ"/>
        </w:rPr>
      </w:pPr>
      <w:r w:rsidRPr="000C4C17">
        <w:rPr>
          <w:lang w:val="en-NZ"/>
        </w:rPr>
        <w:t>Hoberman AM, York RG (2003) Oral (gavage) combined repeated dose toxicity</w:t>
      </w:r>
    </w:p>
    <w:p w14:paraId="54DF1963" w14:textId="77777777" w:rsidR="00186C86" w:rsidRPr="000C4C17" w:rsidRDefault="00186C86" w:rsidP="00A111E9">
      <w:pPr>
        <w:rPr>
          <w:lang w:val="en-NZ"/>
        </w:rPr>
      </w:pPr>
      <w:r w:rsidRPr="000C4C17">
        <w:rPr>
          <w:lang w:val="en-NZ"/>
        </w:rPr>
        <w:t>study of T-7706 with the reproduction/developmental toxicity screening test.</w:t>
      </w:r>
    </w:p>
    <w:p w14:paraId="0DDDDE5C" w14:textId="77777777" w:rsidR="00186C86" w:rsidRPr="000C4C17" w:rsidRDefault="00186C86" w:rsidP="00A111E9">
      <w:r w:rsidRPr="000C4C17">
        <w:rPr>
          <w:lang w:val="en-NZ"/>
        </w:rPr>
        <w:t>Argus Research. (Unpublished report).</w:t>
      </w:r>
    </w:p>
    <w:p w14:paraId="13A81869" w14:textId="77777777" w:rsidR="00186C86" w:rsidRPr="000C4C17" w:rsidRDefault="00186C86" w:rsidP="00A111E9"/>
    <w:p w14:paraId="32BD3555" w14:textId="16CECFE0" w:rsidR="00186C86" w:rsidRDefault="00186C86" w:rsidP="00A111E9">
      <w:pPr>
        <w:rPr>
          <w:lang w:val="en-NZ"/>
        </w:rPr>
      </w:pPr>
      <w:r w:rsidRPr="000C4C17">
        <w:rPr>
          <w:lang w:val="en-NZ"/>
        </w:rPr>
        <w:t>Jørgensen KT, Specht IO, Lenters V, Bach CC, Rylander L, Jönsson BAG, Lindh CH, Giwercman A, Heederik D, Toft G and Bonde JP (2014)</w:t>
      </w:r>
      <w:r w:rsidR="00811C6D" w:rsidRPr="000C4C17">
        <w:rPr>
          <w:lang w:val="en-NZ"/>
        </w:rPr>
        <w:t xml:space="preserve"> Perfluoroalkyl substances and time to pregnancy in couples from Greenland, Poland and Ukraine.</w:t>
      </w:r>
      <w:r w:rsidRPr="000C4C17">
        <w:t xml:space="preserve"> </w:t>
      </w:r>
      <w:r w:rsidR="00811C6D" w:rsidRPr="000C4C17">
        <w:rPr>
          <w:lang w:val="en-NZ"/>
        </w:rPr>
        <w:t>Environ</w:t>
      </w:r>
      <w:r w:rsidRPr="000C4C17">
        <w:rPr>
          <w:lang w:val="en-NZ"/>
        </w:rPr>
        <w:t xml:space="preserve"> Health 13:116</w:t>
      </w:r>
    </w:p>
    <w:p w14:paraId="5FD0BF2C" w14:textId="43A84174" w:rsidR="00863234" w:rsidRDefault="00863234" w:rsidP="00A111E9"/>
    <w:p w14:paraId="06BE0A92" w14:textId="63005D5E" w:rsidR="00863234" w:rsidRPr="000C4C17" w:rsidRDefault="00863234" w:rsidP="00A111E9">
      <w:r w:rsidRPr="00863234">
        <w:t>Kim SJ, Heo SH, Lee DS, Hwang IG, Lee YB</w:t>
      </w:r>
      <w:r>
        <w:t xml:space="preserve"> and</w:t>
      </w:r>
      <w:r w:rsidRPr="00863234">
        <w:t xml:space="preserve"> Cho HY</w:t>
      </w:r>
      <w:r>
        <w:t xml:space="preserve"> (2016) </w:t>
      </w:r>
      <w:r w:rsidRPr="00863234">
        <w:t>Gender differences in pharmacokinetics and tissue distribution of 3 perfluoroalkyl and polyfluoroalkyl substances in rats.</w:t>
      </w:r>
      <w:r>
        <w:t xml:space="preserve"> Food Chemi Toxicol 97: 243-255</w:t>
      </w:r>
    </w:p>
    <w:p w14:paraId="1FB3D8C5" w14:textId="77777777" w:rsidR="00186C86" w:rsidRPr="000C4C17" w:rsidRDefault="00186C86" w:rsidP="00A111E9"/>
    <w:p w14:paraId="518FBDB4" w14:textId="77777777" w:rsidR="00186C86" w:rsidRPr="000C4C17" w:rsidRDefault="00186C86" w:rsidP="00A111E9">
      <w:r w:rsidRPr="000C4C17">
        <w:t>OECD (2002) Hazard assessment of perfluorooctane sulfonate (PFOS) and its salts. Joint meeting of the Chemicals Committee and The Working Party on Chemicals, Pesticides and Biotechnology. Organisation for Economic Co-operation and Development.</w:t>
      </w:r>
    </w:p>
    <w:p w14:paraId="126D8ED1" w14:textId="77777777" w:rsidR="00186C86" w:rsidRPr="000C4C17" w:rsidRDefault="00186C86" w:rsidP="00A111E9"/>
    <w:p w14:paraId="100C9509" w14:textId="734384FE" w:rsidR="00186C86" w:rsidRPr="000C4C17" w:rsidRDefault="00186C86" w:rsidP="00A111E9">
      <w:r w:rsidRPr="000C4C17">
        <w:t>Olsen GW, Burris JM, Ehresman DJ, Froehlich JW, Seacat AM, Butenhoff JL, Zobel LR (2007) Half-life of serum elimination of perfluorooctanesulfonate,perfluorohexanesulfonate, and perfluorooctanoate in retired fluorochemical production workers. Environ Health Perspect 115</w:t>
      </w:r>
      <w:r w:rsidR="00491FAC" w:rsidRPr="000C4C17">
        <w:t>:</w:t>
      </w:r>
      <w:r w:rsidR="00863234">
        <w:t xml:space="preserve"> </w:t>
      </w:r>
      <w:r w:rsidRPr="000C4C17">
        <w:t>1298-305</w:t>
      </w:r>
    </w:p>
    <w:p w14:paraId="4DBE3B15" w14:textId="77777777" w:rsidR="00186C86" w:rsidRPr="000C4C17" w:rsidRDefault="00186C86" w:rsidP="00A111E9"/>
    <w:p w14:paraId="15ED730B" w14:textId="0C3F06C0" w:rsidR="00186C86" w:rsidRPr="000C4C17" w:rsidRDefault="00186C86" w:rsidP="00A111E9">
      <w:r w:rsidRPr="000C4C17">
        <w:t>Olsen GW, Butenhoff JL, Zobel LR (2009) Perfluoroalkyl chemicals and human fetal development: an epidemiologic review with clinical and toxicological perspectives. Reprod Toxicol 27</w:t>
      </w:r>
      <w:r w:rsidR="00491FAC" w:rsidRPr="000C4C17">
        <w:t>:</w:t>
      </w:r>
      <w:r w:rsidR="00863234">
        <w:t xml:space="preserve"> 212-</w:t>
      </w:r>
      <w:r w:rsidRPr="000C4C17">
        <w:t>30</w:t>
      </w:r>
    </w:p>
    <w:p w14:paraId="51631B60" w14:textId="77777777" w:rsidR="00186C86" w:rsidRPr="000C4C17" w:rsidRDefault="00186C86" w:rsidP="00A111E9"/>
    <w:p w14:paraId="621E1C6C" w14:textId="7279F42F" w:rsidR="00186C86" w:rsidRPr="000C4C17" w:rsidRDefault="00186C86" w:rsidP="00A111E9">
      <w:r w:rsidRPr="000C4C17">
        <w:t>Ren XM, Qin WP, Cao LY, Zhang J, Yang Y, Wan B (2016) Binding interactions of perfluoroalkyl substances with thyroid hormone transport proteins and potential toxicological implications. Toxicology 366-367</w:t>
      </w:r>
      <w:r w:rsidR="00491FAC" w:rsidRPr="000C4C17">
        <w:t>:</w:t>
      </w:r>
      <w:r w:rsidRPr="000C4C17">
        <w:t xml:space="preserve"> 32-42</w:t>
      </w:r>
    </w:p>
    <w:p w14:paraId="38354050" w14:textId="77777777" w:rsidR="00186C86" w:rsidRPr="000C4C17" w:rsidRDefault="00186C86" w:rsidP="00A111E9"/>
    <w:p w14:paraId="6DF1182C" w14:textId="3D93A219" w:rsidR="00186C86" w:rsidRPr="000C4C17" w:rsidRDefault="00186C86" w:rsidP="00A111E9">
      <w:r w:rsidRPr="000C4C17">
        <w:t xml:space="preserve">Sheng N, Li J, Lui H, Zhang A, Dai J (2016) Interactions of Perfluoroalkyl acids with human liver fatty acid-binding protein. </w:t>
      </w:r>
      <w:r w:rsidR="00811C6D" w:rsidRPr="000C4C17">
        <w:t>Arch Toxicol</w:t>
      </w:r>
      <w:r w:rsidR="00491FAC" w:rsidRPr="000C4C17">
        <w:t xml:space="preserve"> 90:</w:t>
      </w:r>
      <w:r w:rsidRPr="000C4C17">
        <w:t xml:space="preserve"> 217-27</w:t>
      </w:r>
    </w:p>
    <w:p w14:paraId="55394B64" w14:textId="77777777" w:rsidR="00186C86" w:rsidRPr="000C4C17" w:rsidRDefault="00186C86" w:rsidP="00A111E9"/>
    <w:p w14:paraId="120E1B77" w14:textId="7455A2B5" w:rsidR="00186C86" w:rsidRPr="000C4C17" w:rsidRDefault="00186C86" w:rsidP="00A111E9">
      <w:r w:rsidRPr="000C4C17">
        <w:t xml:space="preserve">Sundström M, Chang SC, Noker PE, Gorman GS, Hart JA, Ehresman DJ, Bergman Ȃ, Butenhoff JL (2012). Comparative pharmacokinetics of perfluorohexanesulfonate (PFHxS) in rats, mice and monkeys. </w:t>
      </w:r>
      <w:r w:rsidR="00811C6D" w:rsidRPr="000C4C17">
        <w:t>Reprod Toxicol</w:t>
      </w:r>
      <w:r w:rsidR="00491FAC" w:rsidRPr="000C4C17">
        <w:t xml:space="preserve"> 33: 441-451</w:t>
      </w:r>
    </w:p>
    <w:p w14:paraId="4240596E" w14:textId="77777777" w:rsidR="00186C86" w:rsidRPr="000C4C17" w:rsidRDefault="00186C86" w:rsidP="00A111E9"/>
    <w:p w14:paraId="39B3A974" w14:textId="40C339AA" w:rsidR="00186C86" w:rsidRPr="000C4C17" w:rsidRDefault="00186C86" w:rsidP="00A111E9">
      <w:r w:rsidRPr="000C4C17">
        <w:t xml:space="preserve">Swedish Environmental Health Protection Agency Report 6513 (2012). Environmental and Health Risk Assessment of Perfluoroalkylated and Polyfluoroalkylated Substances (PFASs) in Sweden. </w:t>
      </w:r>
      <w:r w:rsidRPr="00C65748">
        <w:t>http://www.naturvardsverket.se/Documents/publikationer6400/978-91-620-6513-3.pdf?pid=3822</w:t>
      </w:r>
    </w:p>
    <w:p w14:paraId="3C788E79" w14:textId="77777777" w:rsidR="00186C86" w:rsidRPr="000C4C17" w:rsidRDefault="00186C86" w:rsidP="00A111E9"/>
    <w:p w14:paraId="77FE8ECC" w14:textId="144FE97A" w:rsidR="00186C86" w:rsidRPr="000C4C17" w:rsidRDefault="00186C86" w:rsidP="00A111E9">
      <w:r w:rsidRPr="000C4C17">
        <w:rPr>
          <w:lang w:val="en-NZ"/>
        </w:rPr>
        <w:lastRenderedPageBreak/>
        <w:t>Vélez MP, Arbuckle TE, and Fraser WD (2015) Maternal exposure to perfluorinated chemicals and reduced fecundity: the MIREC study. Hum</w:t>
      </w:r>
      <w:r w:rsidR="00811C6D" w:rsidRPr="000C4C17">
        <w:rPr>
          <w:lang w:val="en-NZ"/>
        </w:rPr>
        <w:t xml:space="preserve"> Reprod </w:t>
      </w:r>
      <w:r w:rsidR="00491FAC" w:rsidRPr="000C4C17">
        <w:rPr>
          <w:lang w:val="en-NZ"/>
        </w:rPr>
        <w:t>30</w:t>
      </w:r>
      <w:r w:rsidRPr="000C4C17">
        <w:rPr>
          <w:lang w:val="en-NZ"/>
        </w:rPr>
        <w:t>: 701–709</w:t>
      </w:r>
    </w:p>
    <w:p w14:paraId="7BB915F3" w14:textId="77777777" w:rsidR="00186C86" w:rsidRPr="000C4C17" w:rsidRDefault="00186C86" w:rsidP="00A111E9"/>
    <w:p w14:paraId="068C166C" w14:textId="4F3BA0C6" w:rsidR="00186C86" w:rsidRPr="000C4C17" w:rsidRDefault="00186C86" w:rsidP="00A111E9">
      <w:r w:rsidRPr="000C4C17">
        <w:t xml:space="preserve">Weiss JM, Andersson, PL, Lamoree MH, Leonards PEG, van Leeuwen SPJ, Hamers, T (2009) Competitive Binding of Poly- and Perfluorinated Compounds to the Thyroid Hormone Transport Protein Transthyretin. </w:t>
      </w:r>
      <w:r w:rsidR="005A482B" w:rsidRPr="000C4C17">
        <w:t>Toxicol Sci</w:t>
      </w:r>
      <w:r w:rsidRPr="000C4C17">
        <w:t xml:space="preserve"> 109</w:t>
      </w:r>
      <w:r w:rsidR="00491FAC" w:rsidRPr="000C4C17">
        <w:t>:</w:t>
      </w:r>
      <w:r w:rsidRPr="000C4C17">
        <w:t xml:space="preserve"> 206-216</w:t>
      </w:r>
    </w:p>
    <w:p w14:paraId="38F2AAC4" w14:textId="77777777" w:rsidR="00276C1C" w:rsidRPr="000C4C17" w:rsidRDefault="00276C1C" w:rsidP="00A111E9"/>
    <w:p w14:paraId="508E05FB" w14:textId="77777777" w:rsidR="00276C1C" w:rsidRPr="000C4C17" w:rsidRDefault="00276C1C" w:rsidP="00A111E9">
      <w:pPr>
        <w:sectPr w:rsidR="00276C1C" w:rsidRPr="000C4C17" w:rsidSect="00F14DD2">
          <w:headerReference w:type="default" r:id="rId36"/>
          <w:footerReference w:type="even" r:id="rId37"/>
          <w:footerReference w:type="default" r:id="rId38"/>
          <w:headerReference w:type="first" r:id="rId39"/>
          <w:pgSz w:w="11906" w:h="16838"/>
          <w:pgMar w:top="1418" w:right="1418" w:bottom="1418" w:left="1418" w:header="709" w:footer="709" w:gutter="0"/>
          <w:cols w:space="708"/>
          <w:docGrid w:linePitch="360"/>
        </w:sectPr>
      </w:pPr>
    </w:p>
    <w:p w14:paraId="3CEF38E6" w14:textId="2F314684" w:rsidR="00186C86" w:rsidRPr="000C4C17" w:rsidRDefault="00931B97" w:rsidP="00A111E9">
      <w:pPr>
        <w:pStyle w:val="Heading2"/>
      </w:pPr>
      <w:bookmarkStart w:id="465" w:name="_Toc468699250"/>
      <w:bookmarkStart w:id="466" w:name="_Toc468712779"/>
      <w:bookmarkStart w:id="467" w:name="_Toc468716476"/>
      <w:bookmarkStart w:id="468" w:name="_Toc468709463"/>
      <w:bookmarkStart w:id="469" w:name="_Toc468717762"/>
      <w:bookmarkStart w:id="470" w:name="_Toc468718406"/>
      <w:bookmarkStart w:id="471" w:name="_Toc468719396"/>
      <w:bookmarkStart w:id="472" w:name="_Toc468722201"/>
      <w:bookmarkStart w:id="473" w:name="_Toc468799270"/>
      <w:bookmarkStart w:id="474" w:name="_Toc468806593"/>
      <w:bookmarkStart w:id="475" w:name="_Toc468981007"/>
      <w:bookmarkStart w:id="476" w:name="_Toc482805113"/>
      <w:r w:rsidRPr="000C4C17">
        <w:lastRenderedPageBreak/>
        <w:t>Appendices</w:t>
      </w:r>
      <w:bookmarkEnd w:id="465"/>
      <w:bookmarkEnd w:id="466"/>
      <w:bookmarkEnd w:id="467"/>
      <w:bookmarkEnd w:id="468"/>
      <w:bookmarkEnd w:id="469"/>
      <w:bookmarkEnd w:id="470"/>
      <w:bookmarkEnd w:id="471"/>
      <w:bookmarkEnd w:id="472"/>
      <w:bookmarkEnd w:id="473"/>
      <w:bookmarkEnd w:id="474"/>
      <w:bookmarkEnd w:id="475"/>
      <w:bookmarkEnd w:id="476"/>
    </w:p>
    <w:p w14:paraId="3224898C" w14:textId="26FE89F2" w:rsidR="00F8101A" w:rsidRPr="000C4C17" w:rsidRDefault="00F8101A" w:rsidP="00EF0F51">
      <w:pPr>
        <w:pStyle w:val="Heading3"/>
      </w:pPr>
      <w:bookmarkStart w:id="477" w:name="_Toc468716477"/>
      <w:bookmarkStart w:id="478" w:name="_Toc468709464"/>
      <w:bookmarkStart w:id="479" w:name="_Toc468717763"/>
      <w:bookmarkStart w:id="480" w:name="_Toc468718407"/>
      <w:bookmarkStart w:id="481" w:name="_Toc468719397"/>
      <w:bookmarkStart w:id="482" w:name="_Toc468722202"/>
      <w:bookmarkStart w:id="483" w:name="_Toc468799271"/>
      <w:bookmarkStart w:id="484" w:name="_Toc468806594"/>
      <w:bookmarkStart w:id="485" w:name="_Toc468981008"/>
      <w:bookmarkStart w:id="486" w:name="_Toc482805114"/>
      <w:r w:rsidRPr="000C4C17">
        <w:t>Appendix 1: Observational studies of PFAS and birthweight</w:t>
      </w:r>
      <w:bookmarkEnd w:id="477"/>
      <w:bookmarkEnd w:id="478"/>
      <w:bookmarkEnd w:id="479"/>
      <w:bookmarkEnd w:id="480"/>
      <w:bookmarkEnd w:id="481"/>
      <w:bookmarkEnd w:id="482"/>
      <w:bookmarkEnd w:id="483"/>
      <w:bookmarkEnd w:id="484"/>
      <w:bookmarkEnd w:id="485"/>
      <w:bookmarkEnd w:id="486"/>
    </w:p>
    <w:p w14:paraId="06D026F8" w14:textId="106AF1F9" w:rsidR="00F8101A" w:rsidRPr="000C4C17" w:rsidRDefault="00F8101A" w:rsidP="00EF0F51">
      <w:pPr>
        <w:pStyle w:val="Heading4"/>
      </w:pPr>
      <w:bookmarkStart w:id="487" w:name="_Toc468712780"/>
      <w:r w:rsidRPr="000C4C17">
        <w:t xml:space="preserve">Executive </w:t>
      </w:r>
      <w:r w:rsidR="0007229B">
        <w:t>Summary</w:t>
      </w:r>
      <w:bookmarkEnd w:id="487"/>
    </w:p>
    <w:p w14:paraId="7A739BAE" w14:textId="5C3954F9" w:rsidR="00F8101A" w:rsidRPr="000C4C17" w:rsidRDefault="00F8101A" w:rsidP="00A111E9">
      <w:pPr>
        <w:widowControl/>
        <w:rPr>
          <w:rFonts w:eastAsiaTheme="minorHAnsi" w:cstheme="minorBidi"/>
          <w:szCs w:val="22"/>
          <w:lang w:bidi="ar-SA"/>
        </w:rPr>
      </w:pPr>
      <w:r w:rsidRPr="000C4C17">
        <w:rPr>
          <w:rFonts w:eastAsiaTheme="minorHAnsi" w:cstheme="minorBidi"/>
          <w:szCs w:val="22"/>
          <w:lang w:bidi="ar-SA"/>
        </w:rPr>
        <w:t xml:space="preserve">Two systematic reviews were identified which described the association between PFOA or PFOS and birthweight. </w:t>
      </w:r>
      <w:r w:rsidR="00DB071A">
        <w:rPr>
          <w:rFonts w:eastAsiaTheme="minorHAnsi" w:cstheme="minorBidi"/>
          <w:szCs w:val="22"/>
          <w:lang w:bidi="ar-SA"/>
        </w:rPr>
        <w:t>A number of studies published since these reviews were completed were also i</w:t>
      </w:r>
      <w:r w:rsidRPr="000C4C17">
        <w:rPr>
          <w:rFonts w:eastAsiaTheme="minorHAnsi" w:cstheme="minorBidi"/>
          <w:szCs w:val="22"/>
          <w:lang w:bidi="ar-SA"/>
        </w:rPr>
        <w:t>dentified.</w:t>
      </w:r>
    </w:p>
    <w:p w14:paraId="40286D21" w14:textId="77777777" w:rsidR="00F8101A" w:rsidRPr="000C4C17" w:rsidRDefault="00F8101A" w:rsidP="00A111E9">
      <w:pPr>
        <w:widowControl/>
        <w:rPr>
          <w:rFonts w:eastAsiaTheme="minorHAnsi" w:cstheme="minorBidi"/>
          <w:szCs w:val="22"/>
          <w:lang w:bidi="ar-SA"/>
        </w:rPr>
      </w:pPr>
    </w:p>
    <w:p w14:paraId="69EF5BAF" w14:textId="75E6D160" w:rsidR="00F8101A" w:rsidRPr="000C4C17" w:rsidRDefault="00F8101A" w:rsidP="00A111E9">
      <w:pPr>
        <w:widowControl/>
        <w:rPr>
          <w:rFonts w:eastAsiaTheme="minorHAnsi" w:cstheme="minorBidi"/>
          <w:szCs w:val="22"/>
          <w:lang w:bidi="ar-SA"/>
        </w:rPr>
      </w:pPr>
      <w:r w:rsidRPr="000C4C17">
        <w:rPr>
          <w:rFonts w:eastAsiaTheme="minorHAnsi" w:cstheme="minorBidi"/>
          <w:szCs w:val="22"/>
          <w:lang w:bidi="ar-SA"/>
        </w:rPr>
        <w:t xml:space="preserve">The individual studies reported their results, usually multivariate, using a variety of analytical approaches and reported results in a range of formats. Typically, data were log transformed, </w:t>
      </w:r>
      <w:r w:rsidR="00E24BB0">
        <w:rPr>
          <w:rFonts w:eastAsiaTheme="minorHAnsi" w:cstheme="minorBidi"/>
          <w:szCs w:val="22"/>
          <w:lang w:bidi="ar-SA"/>
        </w:rPr>
        <w:t xml:space="preserve">using </w:t>
      </w:r>
      <w:r w:rsidRPr="000C4C17">
        <w:rPr>
          <w:rFonts w:eastAsiaTheme="minorHAnsi" w:cstheme="minorBidi"/>
          <w:szCs w:val="22"/>
          <w:lang w:bidi="ar-SA"/>
        </w:rPr>
        <w:t xml:space="preserve">either base 10 or </w:t>
      </w:r>
      <w:r w:rsidR="00B76784">
        <w:rPr>
          <w:rFonts w:eastAsiaTheme="minorHAnsi" w:cstheme="minorBidi"/>
          <w:szCs w:val="22"/>
          <w:lang w:bidi="ar-SA"/>
        </w:rPr>
        <w:t>the natural logarithm</w:t>
      </w:r>
      <w:r w:rsidR="00E24BB0">
        <w:rPr>
          <w:rFonts w:eastAsiaTheme="minorHAnsi" w:cstheme="minorBidi"/>
          <w:szCs w:val="22"/>
          <w:lang w:bidi="ar-SA"/>
        </w:rPr>
        <w:t>. This</w:t>
      </w:r>
      <w:r w:rsidRPr="000C4C17">
        <w:rPr>
          <w:rFonts w:eastAsiaTheme="minorHAnsi" w:cstheme="minorBidi"/>
          <w:szCs w:val="22"/>
          <w:lang w:bidi="ar-SA"/>
        </w:rPr>
        <w:t xml:space="preserve"> </w:t>
      </w:r>
      <w:r w:rsidR="00F14E49" w:rsidRPr="000C4C17">
        <w:rPr>
          <w:rFonts w:eastAsiaTheme="minorHAnsi" w:cstheme="minorBidi"/>
          <w:szCs w:val="22"/>
          <w:lang w:bidi="ar-SA"/>
        </w:rPr>
        <w:t>suggest</w:t>
      </w:r>
      <w:r w:rsidR="00F14E49">
        <w:rPr>
          <w:rFonts w:eastAsiaTheme="minorHAnsi" w:cstheme="minorBidi"/>
          <w:szCs w:val="22"/>
          <w:lang w:bidi="ar-SA"/>
        </w:rPr>
        <w:t>ed</w:t>
      </w:r>
      <w:r w:rsidR="00F14E49" w:rsidRPr="000C4C17">
        <w:rPr>
          <w:rFonts w:eastAsiaTheme="minorHAnsi" w:cstheme="minorBidi"/>
          <w:szCs w:val="22"/>
          <w:lang w:bidi="ar-SA"/>
        </w:rPr>
        <w:t xml:space="preserve"> </w:t>
      </w:r>
      <w:r w:rsidRPr="000C4C17">
        <w:rPr>
          <w:rFonts w:eastAsiaTheme="minorHAnsi" w:cstheme="minorBidi"/>
          <w:szCs w:val="22"/>
          <w:lang w:bidi="ar-SA"/>
        </w:rPr>
        <w:t>that the association</w:t>
      </w:r>
      <w:r w:rsidR="00E24BB0">
        <w:rPr>
          <w:rFonts w:eastAsiaTheme="minorHAnsi" w:cstheme="minorBidi"/>
          <w:szCs w:val="22"/>
          <w:lang w:bidi="ar-SA"/>
        </w:rPr>
        <w:t>s in these studies were</w:t>
      </w:r>
      <w:r w:rsidRPr="000C4C17">
        <w:rPr>
          <w:rFonts w:eastAsiaTheme="minorHAnsi" w:cstheme="minorBidi"/>
          <w:szCs w:val="22"/>
          <w:lang w:bidi="ar-SA"/>
        </w:rPr>
        <w:t xml:space="preserve"> not linear although most authors did not describe examining regression diagnostics to determine if the transformation was </w:t>
      </w:r>
      <w:r w:rsidR="000C4C17">
        <w:rPr>
          <w:rFonts w:eastAsiaTheme="minorHAnsi" w:cstheme="minorBidi"/>
          <w:szCs w:val="22"/>
          <w:lang w:bidi="ar-SA"/>
        </w:rPr>
        <w:t xml:space="preserve">appropriate. Specifically, </w:t>
      </w:r>
      <w:r w:rsidRPr="000C4C17">
        <w:rPr>
          <w:rFonts w:eastAsiaTheme="minorHAnsi" w:cstheme="minorBidi"/>
          <w:szCs w:val="22"/>
          <w:lang w:bidi="ar-SA"/>
        </w:rPr>
        <w:t xml:space="preserve">there was a steep decline in birthweight </w:t>
      </w:r>
      <w:r w:rsidR="000C4C17">
        <w:rPr>
          <w:rFonts w:eastAsiaTheme="minorHAnsi" w:cstheme="minorBidi"/>
          <w:szCs w:val="22"/>
          <w:lang w:bidi="ar-SA"/>
        </w:rPr>
        <w:t xml:space="preserve">seen </w:t>
      </w:r>
      <w:r w:rsidRPr="000C4C17">
        <w:rPr>
          <w:rFonts w:eastAsiaTheme="minorHAnsi" w:cstheme="minorBidi"/>
          <w:szCs w:val="22"/>
          <w:lang w:bidi="ar-SA"/>
        </w:rPr>
        <w:t xml:space="preserve">at low blood concentrations of PFAS, which levelled off to a plateau or near-plateau at higher concentrations. Some authors also presented results for linear or categorical analyses, but generally did not comment on which was the best fit for the data. It was noted that some papers stated that there was no association </w:t>
      </w:r>
      <w:r w:rsidR="00E24BB0">
        <w:rPr>
          <w:rFonts w:eastAsiaTheme="minorHAnsi" w:cstheme="minorBidi"/>
          <w:szCs w:val="22"/>
          <w:lang w:bidi="ar-SA"/>
        </w:rPr>
        <w:t>but</w:t>
      </w:r>
      <w:r w:rsidRPr="000C4C17">
        <w:rPr>
          <w:rFonts w:eastAsiaTheme="minorHAnsi" w:cstheme="minorBidi"/>
          <w:szCs w:val="22"/>
          <w:lang w:bidi="ar-SA"/>
        </w:rPr>
        <w:t xml:space="preserve"> did not provide </w:t>
      </w:r>
      <w:r w:rsidR="00E24BB0">
        <w:rPr>
          <w:rFonts w:eastAsiaTheme="minorHAnsi" w:cstheme="minorBidi"/>
          <w:szCs w:val="22"/>
          <w:lang w:bidi="ar-SA"/>
        </w:rPr>
        <w:t>any quantitative results</w:t>
      </w:r>
      <w:r w:rsidRPr="000C4C17">
        <w:rPr>
          <w:rFonts w:eastAsiaTheme="minorHAnsi" w:cstheme="minorBidi"/>
          <w:szCs w:val="22"/>
          <w:lang w:bidi="ar-SA"/>
        </w:rPr>
        <w:t>.</w:t>
      </w:r>
    </w:p>
    <w:p w14:paraId="1E9D3A78" w14:textId="77777777" w:rsidR="00F8101A" w:rsidRPr="000C4C17" w:rsidRDefault="00F8101A" w:rsidP="00A111E9">
      <w:pPr>
        <w:widowControl/>
        <w:rPr>
          <w:rFonts w:eastAsiaTheme="minorHAnsi" w:cstheme="minorBidi"/>
          <w:szCs w:val="22"/>
          <w:lang w:bidi="ar-SA"/>
        </w:rPr>
      </w:pPr>
    </w:p>
    <w:p w14:paraId="10D8C4AB" w14:textId="6A38CF96" w:rsidR="00F8101A" w:rsidRPr="000C4C17" w:rsidRDefault="00F8101A" w:rsidP="00A111E9">
      <w:pPr>
        <w:widowControl/>
        <w:rPr>
          <w:rFonts w:eastAsiaTheme="minorHAnsi" w:cstheme="minorBidi"/>
          <w:szCs w:val="22"/>
          <w:lang w:bidi="ar-SA"/>
        </w:rPr>
      </w:pPr>
      <w:r w:rsidRPr="000C4C17">
        <w:rPr>
          <w:rFonts w:eastAsiaTheme="minorHAnsi" w:cstheme="minorBidi"/>
          <w:szCs w:val="22"/>
          <w:lang w:bidi="ar-SA"/>
        </w:rPr>
        <w:t>One systematic review conducted a quantitative meta-analysis that assumed that the relationship between PFOA and birthweight was linear, although this assumption was not justified or explained by the authors. They included results of studies which had been reanalysed using the linear assumption. Their primary meta-analysis excluded retrospective analyses, including the data from the large C8 study from West Virginia, but included studies that they judged to have a high risk of bias (specifically, these studies were a univariate analysis in one instance and had possible conflict of i</w:t>
      </w:r>
      <w:r w:rsidR="000C4C17">
        <w:rPr>
          <w:rFonts w:eastAsiaTheme="minorHAnsi" w:cstheme="minorBidi"/>
          <w:szCs w:val="22"/>
          <w:lang w:bidi="ar-SA"/>
        </w:rPr>
        <w:t>nterest in the second instance</w:t>
      </w:r>
      <w:r w:rsidR="00E24BB0">
        <w:rPr>
          <w:rFonts w:eastAsiaTheme="minorHAnsi" w:cstheme="minorBidi"/>
          <w:szCs w:val="22"/>
          <w:lang w:bidi="ar-SA"/>
        </w:rPr>
        <w:t>)</w:t>
      </w:r>
      <w:r w:rsidR="000C4C17">
        <w:rPr>
          <w:rFonts w:eastAsiaTheme="minorHAnsi" w:cstheme="minorBidi"/>
          <w:szCs w:val="22"/>
          <w:lang w:bidi="ar-SA"/>
        </w:rPr>
        <w:t>.</w:t>
      </w:r>
      <w:r w:rsidRPr="000C4C17">
        <w:rPr>
          <w:rFonts w:eastAsiaTheme="minorHAnsi" w:cstheme="minorBidi"/>
          <w:szCs w:val="22"/>
          <w:lang w:bidi="ar-SA"/>
        </w:rPr>
        <w:t xml:space="preserve"> The</w:t>
      </w:r>
      <w:r w:rsidR="00E24BB0">
        <w:rPr>
          <w:rFonts w:eastAsiaTheme="minorHAnsi" w:cstheme="minorBidi"/>
          <w:szCs w:val="22"/>
          <w:lang w:bidi="ar-SA"/>
        </w:rPr>
        <w:t>y found an</w:t>
      </w:r>
      <w:r w:rsidRPr="000C4C17">
        <w:rPr>
          <w:rFonts w:eastAsiaTheme="minorHAnsi" w:cstheme="minorBidi"/>
          <w:szCs w:val="22"/>
          <w:lang w:bidi="ar-SA"/>
        </w:rPr>
        <w:t xml:space="preserve"> overall decline in birthweight of 18.9 g </w:t>
      </w:r>
      <w:r w:rsidR="000E4B62">
        <w:rPr>
          <w:rFonts w:eastAsiaTheme="minorHAnsi" w:cstheme="minorBidi"/>
          <w:szCs w:val="22"/>
          <w:lang w:bidi="ar-SA"/>
        </w:rPr>
        <w:t>(95% CI: -29.8 to -7.9)</w:t>
      </w:r>
      <w:r w:rsidRPr="000C4C17">
        <w:rPr>
          <w:rFonts w:eastAsiaTheme="minorHAnsi" w:cstheme="minorBidi"/>
          <w:szCs w:val="22"/>
          <w:lang w:bidi="ar-SA"/>
        </w:rPr>
        <w:t xml:space="preserve"> per increment of 1 ng/mL</w:t>
      </w:r>
      <w:r w:rsidR="00267FF5" w:rsidRPr="000C4C17">
        <w:rPr>
          <w:rFonts w:eastAsiaTheme="minorHAnsi" w:cstheme="minorBidi"/>
          <w:szCs w:val="22"/>
          <w:lang w:bidi="ar-SA"/>
        </w:rPr>
        <w:t xml:space="preserve"> </w:t>
      </w:r>
      <w:r w:rsidR="00E24BB0">
        <w:rPr>
          <w:rFonts w:eastAsiaTheme="minorHAnsi" w:cstheme="minorBidi"/>
          <w:szCs w:val="22"/>
          <w:lang w:bidi="ar-SA"/>
        </w:rPr>
        <w:t xml:space="preserve">PFOA </w:t>
      </w:r>
      <w:r w:rsidR="00267FF5" w:rsidRPr="000C4C17">
        <w:rPr>
          <w:rFonts w:eastAsiaTheme="minorHAnsi" w:cstheme="minorBidi"/>
          <w:szCs w:val="22"/>
          <w:lang w:bidi="ar-SA"/>
        </w:rPr>
        <w:t xml:space="preserve">(they combined maternal or infant concentrations, as were available, </w:t>
      </w:r>
      <w:r w:rsidR="00E24BB0">
        <w:rPr>
          <w:rFonts w:eastAsiaTheme="minorHAnsi" w:cstheme="minorBidi"/>
          <w:szCs w:val="22"/>
          <w:lang w:bidi="ar-SA"/>
        </w:rPr>
        <w:t xml:space="preserve">owing to their </w:t>
      </w:r>
      <w:r w:rsidR="00267FF5" w:rsidRPr="000C4C17">
        <w:rPr>
          <w:rFonts w:eastAsiaTheme="minorHAnsi" w:cstheme="minorBidi"/>
          <w:szCs w:val="22"/>
          <w:lang w:bidi="ar-SA"/>
        </w:rPr>
        <w:t xml:space="preserve">review </w:t>
      </w:r>
      <w:r w:rsidR="00E24BB0">
        <w:rPr>
          <w:rFonts w:eastAsiaTheme="minorHAnsi" w:cstheme="minorBidi"/>
          <w:szCs w:val="22"/>
          <w:lang w:bidi="ar-SA"/>
        </w:rPr>
        <w:t xml:space="preserve">that </w:t>
      </w:r>
      <w:r w:rsidR="00267FF5" w:rsidRPr="000C4C17">
        <w:rPr>
          <w:rFonts w:eastAsiaTheme="minorHAnsi" w:cstheme="minorBidi"/>
          <w:szCs w:val="22"/>
          <w:lang w:bidi="ar-SA"/>
        </w:rPr>
        <w:t>this was reasonable)</w:t>
      </w:r>
      <w:r w:rsidRPr="000C4C17">
        <w:rPr>
          <w:rFonts w:eastAsiaTheme="minorHAnsi" w:cstheme="minorBidi"/>
          <w:szCs w:val="22"/>
          <w:lang w:bidi="ar-SA"/>
        </w:rPr>
        <w:t xml:space="preserve">. FSANZ </w:t>
      </w:r>
      <w:r w:rsidRPr="008B353D">
        <w:rPr>
          <w:rFonts w:eastAsiaTheme="minorHAnsi"/>
        </w:rPr>
        <w:t xml:space="preserve">identified </w:t>
      </w:r>
      <w:r w:rsidR="00E24BB0">
        <w:rPr>
          <w:rFonts w:eastAsiaTheme="minorHAnsi"/>
        </w:rPr>
        <w:t>several</w:t>
      </w:r>
      <w:r w:rsidRPr="008B353D">
        <w:rPr>
          <w:rFonts w:eastAsiaTheme="minorHAnsi"/>
        </w:rPr>
        <w:t xml:space="preserve"> additional</w:t>
      </w:r>
      <w:r w:rsidRPr="000C4C17">
        <w:rPr>
          <w:rFonts w:eastAsiaTheme="minorHAnsi" w:cstheme="minorBidi"/>
          <w:szCs w:val="22"/>
          <w:lang w:bidi="ar-SA"/>
        </w:rPr>
        <w:t xml:space="preserve"> studies (including a prospective analysis of the C8 data) that met the inclusion and exclusion criteria and which were not additional analyses of previously reported studies. Two of these described their results using a linear model, and notably, found no inverse association. </w:t>
      </w:r>
      <w:r w:rsidR="00E24BB0">
        <w:rPr>
          <w:rFonts w:eastAsiaTheme="minorHAnsi" w:cstheme="minorBidi"/>
          <w:szCs w:val="22"/>
          <w:lang w:bidi="ar-SA"/>
        </w:rPr>
        <w:t>Adding</w:t>
      </w:r>
      <w:r w:rsidRPr="000C4C17">
        <w:rPr>
          <w:rFonts w:eastAsiaTheme="minorHAnsi" w:cstheme="minorBidi"/>
          <w:szCs w:val="22"/>
          <w:lang w:bidi="ar-SA"/>
        </w:rPr>
        <w:t xml:space="preserve"> these to the </w:t>
      </w:r>
      <w:r w:rsidR="00E24BB0">
        <w:rPr>
          <w:rFonts w:eastAsiaTheme="minorHAnsi" w:cstheme="minorBidi"/>
          <w:szCs w:val="22"/>
          <w:lang w:bidi="ar-SA"/>
        </w:rPr>
        <w:t>existing meta-analysis</w:t>
      </w:r>
      <w:r w:rsidRPr="000C4C17">
        <w:rPr>
          <w:rFonts w:eastAsiaTheme="minorHAnsi" w:cstheme="minorBidi"/>
          <w:szCs w:val="22"/>
          <w:lang w:bidi="ar-SA"/>
        </w:rPr>
        <w:t xml:space="preserve"> model,</w:t>
      </w:r>
      <w:r w:rsidR="0027334C">
        <w:rPr>
          <w:rFonts w:eastAsiaTheme="minorHAnsi" w:cstheme="minorBidi"/>
          <w:szCs w:val="22"/>
          <w:lang w:bidi="ar-SA"/>
        </w:rPr>
        <w:t xml:space="preserve"> reduced</w:t>
      </w:r>
      <w:r w:rsidRPr="000C4C17">
        <w:rPr>
          <w:rFonts w:eastAsiaTheme="minorHAnsi" w:cstheme="minorBidi"/>
          <w:szCs w:val="22"/>
          <w:lang w:bidi="ar-SA"/>
        </w:rPr>
        <w:t xml:space="preserve"> the </w:t>
      </w:r>
      <w:r w:rsidR="00E24BB0">
        <w:rPr>
          <w:rFonts w:eastAsiaTheme="minorHAnsi" w:cstheme="minorBidi"/>
          <w:szCs w:val="22"/>
          <w:lang w:bidi="ar-SA"/>
        </w:rPr>
        <w:t>association</w:t>
      </w:r>
      <w:r w:rsidRPr="000C4C17">
        <w:rPr>
          <w:rFonts w:eastAsiaTheme="minorHAnsi" w:cstheme="minorBidi"/>
          <w:szCs w:val="22"/>
          <w:lang w:bidi="ar-SA"/>
        </w:rPr>
        <w:t xml:space="preserve"> to -1</w:t>
      </w:r>
      <w:r w:rsidR="008B353D">
        <w:rPr>
          <w:rFonts w:eastAsiaTheme="minorHAnsi" w:cstheme="minorBidi"/>
          <w:szCs w:val="22"/>
          <w:lang w:bidi="ar-SA"/>
        </w:rPr>
        <w:t>1.9</w:t>
      </w:r>
      <w:r w:rsidR="000C4C17">
        <w:rPr>
          <w:rFonts w:eastAsiaTheme="minorHAnsi" w:cstheme="minorBidi"/>
          <w:szCs w:val="22"/>
          <w:lang w:bidi="ar-SA"/>
        </w:rPr>
        <w:t xml:space="preserve"> g (95% CI: -21.6 to -2.2) </w:t>
      </w:r>
      <w:r w:rsidRPr="000C4C17">
        <w:rPr>
          <w:rFonts w:eastAsiaTheme="minorHAnsi" w:cstheme="minorBidi"/>
          <w:szCs w:val="22"/>
          <w:lang w:bidi="ar-SA"/>
        </w:rPr>
        <w:t>birthweight per increment of 1ng/mL</w:t>
      </w:r>
      <w:r w:rsidR="004C0996">
        <w:rPr>
          <w:rFonts w:eastAsiaTheme="minorHAnsi" w:cstheme="minorBidi"/>
          <w:szCs w:val="22"/>
          <w:lang w:bidi="ar-SA"/>
        </w:rPr>
        <w:t xml:space="preserve"> PFOA concentration</w:t>
      </w:r>
      <w:r w:rsidRPr="000C4C17">
        <w:rPr>
          <w:rFonts w:eastAsiaTheme="minorHAnsi" w:cstheme="minorBidi"/>
          <w:szCs w:val="22"/>
          <w:lang w:bidi="ar-SA"/>
        </w:rPr>
        <w:t xml:space="preserve">. </w:t>
      </w:r>
      <w:r w:rsidR="00E24BB0">
        <w:rPr>
          <w:rFonts w:eastAsiaTheme="minorHAnsi" w:cstheme="minorBidi"/>
          <w:szCs w:val="22"/>
          <w:lang w:bidi="ar-SA"/>
        </w:rPr>
        <w:t>Most studies in the meta-analysis had examined PFOA concentrations &lt;20ng/mL</w:t>
      </w:r>
      <w:r w:rsidR="00AB6B7F">
        <w:rPr>
          <w:rFonts w:eastAsiaTheme="minorHAnsi" w:cstheme="minorBidi"/>
          <w:szCs w:val="22"/>
          <w:lang w:bidi="ar-SA"/>
        </w:rPr>
        <w:t xml:space="preserve"> and so the results relate to this range of PFOA concentrations.</w:t>
      </w:r>
    </w:p>
    <w:p w14:paraId="66FD9B00" w14:textId="77777777" w:rsidR="00F8101A" w:rsidRPr="000C4C17" w:rsidRDefault="00F8101A" w:rsidP="00A111E9">
      <w:pPr>
        <w:widowControl/>
        <w:rPr>
          <w:rFonts w:eastAsiaTheme="minorHAnsi" w:cstheme="minorBidi"/>
          <w:szCs w:val="22"/>
          <w:lang w:bidi="ar-SA"/>
        </w:rPr>
      </w:pPr>
    </w:p>
    <w:p w14:paraId="2A3048C3" w14:textId="0FAA74D3" w:rsidR="00F8101A" w:rsidRPr="000C4C17" w:rsidRDefault="00F8101A" w:rsidP="00A111E9">
      <w:pPr>
        <w:widowControl/>
        <w:rPr>
          <w:rFonts w:eastAsiaTheme="minorHAnsi" w:cstheme="minorBidi"/>
          <w:szCs w:val="22"/>
          <w:lang w:bidi="ar-SA"/>
        </w:rPr>
      </w:pPr>
      <w:r w:rsidRPr="000C4C17">
        <w:rPr>
          <w:rFonts w:eastAsiaTheme="minorHAnsi" w:cstheme="minorBidi"/>
          <w:szCs w:val="22"/>
          <w:lang w:bidi="ar-SA"/>
        </w:rPr>
        <w:t>The second systematic review did not do a quantitative meta-analysis but graphed the results of each study as reported by their respective authors. This presented the non</w:t>
      </w:r>
      <w:r w:rsidR="000203C4">
        <w:rPr>
          <w:rFonts w:eastAsiaTheme="minorHAnsi" w:cstheme="minorBidi"/>
          <w:szCs w:val="22"/>
          <w:lang w:bidi="ar-SA"/>
        </w:rPr>
        <w:t>linear</w:t>
      </w:r>
      <w:r w:rsidRPr="000C4C17">
        <w:rPr>
          <w:rFonts w:eastAsiaTheme="minorHAnsi" w:cstheme="minorBidi"/>
          <w:szCs w:val="22"/>
          <w:lang w:bidi="ar-SA"/>
        </w:rPr>
        <w:t>ity of the associations of birthweight with PFOA and PFOS from each study</w:t>
      </w:r>
      <w:r w:rsidR="0027334C">
        <w:rPr>
          <w:rFonts w:eastAsiaTheme="minorHAnsi" w:cstheme="minorBidi"/>
          <w:szCs w:val="22"/>
          <w:lang w:bidi="ar-SA"/>
        </w:rPr>
        <w:t xml:space="preserve"> (i.e. a greater effect at low concentrations than higher concentrations)</w:t>
      </w:r>
      <w:r w:rsidRPr="000C4C17">
        <w:rPr>
          <w:rFonts w:eastAsiaTheme="minorHAnsi" w:cstheme="minorBidi"/>
          <w:szCs w:val="22"/>
          <w:lang w:bidi="ar-SA"/>
        </w:rPr>
        <w:t>. FSANZ added additional studies to these graphs</w:t>
      </w:r>
      <w:r w:rsidR="000C4C17">
        <w:rPr>
          <w:rFonts w:eastAsiaTheme="minorHAnsi" w:cstheme="minorBidi"/>
          <w:szCs w:val="22"/>
          <w:lang w:bidi="ar-SA"/>
        </w:rPr>
        <w:t xml:space="preserve"> and </w:t>
      </w:r>
      <w:r w:rsidR="00E24BB0">
        <w:rPr>
          <w:rFonts w:eastAsiaTheme="minorHAnsi" w:cstheme="minorBidi"/>
          <w:szCs w:val="22"/>
          <w:lang w:bidi="ar-SA"/>
        </w:rPr>
        <w:t xml:space="preserve">also </w:t>
      </w:r>
      <w:r w:rsidR="000C4C17">
        <w:rPr>
          <w:rFonts w:eastAsiaTheme="minorHAnsi" w:cstheme="minorBidi"/>
          <w:szCs w:val="22"/>
          <w:lang w:bidi="ar-SA"/>
        </w:rPr>
        <w:t>tabulated results described in papers in form</w:t>
      </w:r>
      <w:r w:rsidR="00E24BB0">
        <w:rPr>
          <w:rFonts w:eastAsiaTheme="minorHAnsi" w:cstheme="minorBidi"/>
          <w:szCs w:val="22"/>
          <w:lang w:bidi="ar-SA"/>
        </w:rPr>
        <w:t>ats</w:t>
      </w:r>
      <w:r w:rsidR="000C4C17">
        <w:rPr>
          <w:rFonts w:eastAsiaTheme="minorHAnsi" w:cstheme="minorBidi"/>
          <w:szCs w:val="22"/>
          <w:lang w:bidi="ar-SA"/>
        </w:rPr>
        <w:t xml:space="preserve"> which could not be graphed.</w:t>
      </w:r>
    </w:p>
    <w:p w14:paraId="19641AB0" w14:textId="77777777" w:rsidR="00F8101A" w:rsidRPr="000C4C17" w:rsidRDefault="00F8101A" w:rsidP="00A111E9">
      <w:pPr>
        <w:widowControl/>
        <w:rPr>
          <w:rFonts w:eastAsiaTheme="minorHAnsi" w:cstheme="minorBidi"/>
          <w:szCs w:val="22"/>
          <w:lang w:bidi="ar-SA"/>
        </w:rPr>
      </w:pPr>
    </w:p>
    <w:p w14:paraId="30608E1B" w14:textId="63C4216A" w:rsidR="00F8101A" w:rsidRPr="000C4C17" w:rsidRDefault="00F8101A" w:rsidP="00A111E9">
      <w:pPr>
        <w:widowControl/>
        <w:rPr>
          <w:rFonts w:eastAsiaTheme="minorHAnsi" w:cstheme="minorBidi"/>
          <w:szCs w:val="22"/>
          <w:lang w:bidi="ar-SA"/>
        </w:rPr>
      </w:pPr>
      <w:r w:rsidRPr="000C4C17">
        <w:rPr>
          <w:rFonts w:eastAsiaTheme="minorHAnsi" w:cstheme="minorBidi"/>
          <w:szCs w:val="22"/>
          <w:lang w:bidi="ar-SA"/>
        </w:rPr>
        <w:t xml:space="preserve">Neither of the systematic reviews considered how the results of studies they had </w:t>
      </w:r>
      <w:r w:rsidR="00FD4346" w:rsidRPr="000C4C17">
        <w:rPr>
          <w:rFonts w:eastAsiaTheme="minorHAnsi" w:cstheme="minorBidi"/>
          <w:szCs w:val="22"/>
          <w:lang w:bidi="ar-SA"/>
        </w:rPr>
        <w:t>needed</w:t>
      </w:r>
      <w:r w:rsidRPr="000C4C17">
        <w:rPr>
          <w:rFonts w:eastAsiaTheme="minorHAnsi" w:cstheme="minorBidi"/>
          <w:szCs w:val="22"/>
          <w:lang w:bidi="ar-SA"/>
        </w:rPr>
        <w:t xml:space="preserve"> to exclude</w:t>
      </w:r>
      <w:r w:rsidR="004C0996">
        <w:rPr>
          <w:rFonts w:eastAsiaTheme="minorHAnsi" w:cstheme="minorBidi"/>
          <w:szCs w:val="22"/>
          <w:lang w:bidi="ar-SA"/>
        </w:rPr>
        <w:t>,</w:t>
      </w:r>
      <w:r w:rsidRPr="000C4C17">
        <w:rPr>
          <w:rFonts w:eastAsiaTheme="minorHAnsi" w:cstheme="minorBidi"/>
          <w:szCs w:val="22"/>
          <w:lang w:bidi="ar-SA"/>
        </w:rPr>
        <w:t xml:space="preserve"> owing to data format problems</w:t>
      </w:r>
      <w:r w:rsidR="00E24BB0">
        <w:rPr>
          <w:rFonts w:eastAsiaTheme="minorHAnsi" w:cstheme="minorBidi"/>
          <w:szCs w:val="22"/>
          <w:lang w:bidi="ar-SA"/>
        </w:rPr>
        <w:t>,</w:t>
      </w:r>
      <w:r w:rsidRPr="000C4C17">
        <w:rPr>
          <w:rFonts w:eastAsiaTheme="minorHAnsi" w:cstheme="minorBidi"/>
          <w:szCs w:val="22"/>
          <w:lang w:bidi="ar-SA"/>
        </w:rPr>
        <w:t xml:space="preserve"> </w:t>
      </w:r>
      <w:r w:rsidR="00E24BB0">
        <w:rPr>
          <w:rFonts w:eastAsiaTheme="minorHAnsi" w:cstheme="minorBidi"/>
          <w:szCs w:val="22"/>
          <w:lang w:bidi="ar-SA"/>
        </w:rPr>
        <w:t>might</w:t>
      </w:r>
      <w:r w:rsidRPr="000C4C17">
        <w:rPr>
          <w:rFonts w:eastAsiaTheme="minorHAnsi" w:cstheme="minorBidi"/>
          <w:szCs w:val="22"/>
          <w:lang w:bidi="ar-SA"/>
        </w:rPr>
        <w:t xml:space="preserve"> have affected their conclusion. In the case of PFOA, FSANZ </w:t>
      </w:r>
      <w:r w:rsidR="000C4C17">
        <w:rPr>
          <w:rFonts w:eastAsiaTheme="minorHAnsi" w:cstheme="minorBidi"/>
          <w:szCs w:val="22"/>
          <w:lang w:bidi="ar-SA"/>
        </w:rPr>
        <w:t>considers the</w:t>
      </w:r>
      <w:r w:rsidRPr="000C4C17">
        <w:rPr>
          <w:rFonts w:eastAsiaTheme="minorHAnsi" w:cstheme="minorBidi"/>
          <w:szCs w:val="22"/>
          <w:lang w:bidi="ar-SA"/>
        </w:rPr>
        <w:t xml:space="preserve"> excluded studies reflect the range of results shown in the meta-analysis and graph. However, in the case of PFOS, the excluded studies </w:t>
      </w:r>
      <w:r w:rsidR="004C0996">
        <w:rPr>
          <w:rFonts w:eastAsiaTheme="minorHAnsi" w:cstheme="minorBidi"/>
          <w:szCs w:val="22"/>
          <w:lang w:bidi="ar-SA"/>
        </w:rPr>
        <w:t>tended</w:t>
      </w:r>
      <w:r w:rsidRPr="000C4C17">
        <w:rPr>
          <w:rFonts w:eastAsiaTheme="minorHAnsi" w:cstheme="minorBidi"/>
          <w:szCs w:val="22"/>
          <w:lang w:bidi="ar-SA"/>
        </w:rPr>
        <w:t xml:space="preserve"> to be more likely to show no association, or a positive association </w:t>
      </w:r>
      <w:r w:rsidR="004C0996">
        <w:rPr>
          <w:rFonts w:eastAsiaTheme="minorHAnsi" w:cstheme="minorBidi"/>
          <w:szCs w:val="22"/>
          <w:lang w:bidi="ar-SA"/>
        </w:rPr>
        <w:t>compared to</w:t>
      </w:r>
      <w:r w:rsidRPr="000C4C17">
        <w:rPr>
          <w:rFonts w:eastAsiaTheme="minorHAnsi" w:cstheme="minorBidi"/>
          <w:szCs w:val="22"/>
          <w:lang w:bidi="ar-SA"/>
        </w:rPr>
        <w:t xml:space="preserve"> the graphed studies. This raises the possibility of selective reporting or publication bias in the body of literature leading to an over-representation of studies reporting significant adverse effects. Furthermore most studies examined associations for PFOA and PFOS separately and did not conduct a </w:t>
      </w:r>
      <w:r w:rsidRPr="000C4C17">
        <w:rPr>
          <w:rFonts w:eastAsiaTheme="minorHAnsi" w:cstheme="minorBidi"/>
          <w:szCs w:val="22"/>
          <w:lang w:bidi="ar-SA"/>
        </w:rPr>
        <w:lastRenderedPageBreak/>
        <w:t>mutually-adjusted analysis despite often noting a substantial correlation between PFOA and PFOS.</w:t>
      </w:r>
    </w:p>
    <w:p w14:paraId="0338762F" w14:textId="77777777" w:rsidR="00F8101A" w:rsidRPr="000C4C17" w:rsidRDefault="00F8101A" w:rsidP="00A111E9">
      <w:pPr>
        <w:widowControl/>
        <w:rPr>
          <w:rFonts w:eastAsiaTheme="minorHAnsi" w:cstheme="minorBidi"/>
          <w:szCs w:val="22"/>
          <w:lang w:bidi="ar-SA"/>
        </w:rPr>
      </w:pPr>
    </w:p>
    <w:p w14:paraId="281A8A6B" w14:textId="5BFCFB0B" w:rsidR="00F8101A" w:rsidRPr="000C4C17" w:rsidRDefault="00F8101A" w:rsidP="00A111E9">
      <w:pPr>
        <w:widowControl/>
        <w:rPr>
          <w:rFonts w:eastAsiaTheme="minorHAnsi" w:cstheme="minorBidi"/>
          <w:szCs w:val="22"/>
          <w:lang w:bidi="ar-SA"/>
        </w:rPr>
      </w:pPr>
      <w:r w:rsidRPr="000C4C17">
        <w:rPr>
          <w:rFonts w:eastAsiaTheme="minorHAnsi" w:cstheme="minorBidi"/>
          <w:szCs w:val="22"/>
          <w:lang w:bidi="ar-SA"/>
        </w:rPr>
        <w:t>FSANZ notes that the concentration in blood in the human studies described above is about 1,000-fold lower than that found in animal studies showing an effect on birthweight. It is not certain whether the association observed reflects a causal relationship between PFOS, PF</w:t>
      </w:r>
      <w:r w:rsidR="00FD4346" w:rsidRPr="000C4C17">
        <w:rPr>
          <w:rFonts w:eastAsiaTheme="minorHAnsi" w:cstheme="minorBidi"/>
          <w:szCs w:val="22"/>
          <w:lang w:bidi="ar-SA"/>
        </w:rPr>
        <w:t>OA</w:t>
      </w:r>
      <w:r w:rsidRPr="000C4C17">
        <w:rPr>
          <w:rFonts w:eastAsiaTheme="minorHAnsi" w:cstheme="minorBidi"/>
          <w:szCs w:val="22"/>
          <w:lang w:bidi="ar-SA"/>
        </w:rPr>
        <w:t xml:space="preserve"> and birthweight or is the result of a third factor. For example, Verner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 xml:space="preserve">(2015) suggest that both would be affected by the changes in glomerular filtration rates that occur during pregnancy. </w:t>
      </w:r>
      <w:r w:rsidR="00296027" w:rsidRPr="000C4C17">
        <w:rPr>
          <w:rFonts w:eastAsiaTheme="minorHAnsi" w:cstheme="minorBidi"/>
          <w:szCs w:val="22"/>
          <w:lang w:bidi="ar-SA"/>
        </w:rPr>
        <w:t>This require</w:t>
      </w:r>
      <w:r w:rsidR="00267FF5" w:rsidRPr="000C4C17">
        <w:rPr>
          <w:rFonts w:eastAsiaTheme="minorHAnsi" w:cstheme="minorBidi"/>
          <w:szCs w:val="22"/>
          <w:lang w:bidi="ar-SA"/>
        </w:rPr>
        <w:t>s</w:t>
      </w:r>
      <w:r w:rsidR="00296027" w:rsidRPr="000C4C17">
        <w:rPr>
          <w:rFonts w:eastAsiaTheme="minorHAnsi" w:cstheme="minorBidi"/>
          <w:szCs w:val="22"/>
          <w:lang w:bidi="ar-SA"/>
        </w:rPr>
        <w:t xml:space="preserve"> further investigation.</w:t>
      </w:r>
    </w:p>
    <w:p w14:paraId="1D3CFE32" w14:textId="77777777" w:rsidR="00F8101A" w:rsidRPr="000C4C17" w:rsidRDefault="00F8101A" w:rsidP="00A111E9">
      <w:pPr>
        <w:widowControl/>
        <w:rPr>
          <w:rFonts w:eastAsiaTheme="minorHAnsi" w:cstheme="minorBidi"/>
          <w:szCs w:val="22"/>
          <w:lang w:bidi="ar-SA"/>
        </w:rPr>
      </w:pPr>
    </w:p>
    <w:p w14:paraId="1ADB2109" w14:textId="1B7E2225" w:rsidR="00F8101A" w:rsidRPr="000C4C17" w:rsidRDefault="00F8101A" w:rsidP="00A111E9">
      <w:pPr>
        <w:widowControl/>
        <w:rPr>
          <w:rFonts w:eastAsiaTheme="minorHAnsi"/>
        </w:rPr>
      </w:pPr>
      <w:r w:rsidRPr="000C4C17">
        <w:rPr>
          <w:rFonts w:eastAsiaTheme="minorHAnsi" w:cstheme="minorBidi"/>
          <w:szCs w:val="22"/>
          <w:lang w:bidi="ar-SA"/>
        </w:rPr>
        <w:t>In summary, overall the studies with numerical data report an association</w:t>
      </w:r>
      <w:r w:rsidR="004C0996">
        <w:rPr>
          <w:rFonts w:eastAsiaTheme="minorHAnsi" w:cstheme="minorBidi"/>
          <w:szCs w:val="22"/>
          <w:lang w:bidi="ar-SA"/>
        </w:rPr>
        <w:t xml:space="preserve"> between PFOA or PFOS and birthweight</w:t>
      </w:r>
      <w:r w:rsidR="00790A0E">
        <w:rPr>
          <w:rFonts w:eastAsiaTheme="minorHAnsi" w:cstheme="minorBidi"/>
          <w:szCs w:val="22"/>
          <w:lang w:bidi="ar-SA"/>
        </w:rPr>
        <w:t xml:space="preserve"> at low concentrations</w:t>
      </w:r>
      <w:r w:rsidRPr="000C4C17">
        <w:rPr>
          <w:rFonts w:eastAsiaTheme="minorHAnsi" w:cstheme="minorBidi"/>
          <w:szCs w:val="22"/>
          <w:lang w:bidi="ar-SA"/>
        </w:rPr>
        <w:t>. However</w:t>
      </w:r>
      <w:r w:rsidR="007F02A2">
        <w:rPr>
          <w:rFonts w:eastAsiaTheme="minorHAnsi" w:cstheme="minorBidi"/>
          <w:szCs w:val="22"/>
          <w:lang w:bidi="ar-SA"/>
        </w:rPr>
        <w:t>,</w:t>
      </w:r>
      <w:r w:rsidRPr="000C4C17">
        <w:rPr>
          <w:rFonts w:eastAsiaTheme="minorHAnsi" w:cstheme="minorBidi"/>
          <w:szCs w:val="22"/>
          <w:lang w:bidi="ar-SA"/>
        </w:rPr>
        <w:t xml:space="preserve"> missing quantitative data from studies reporting no effect raises the possibility of selective reporting or publication bias affecting the body of evidence. The shape of the association is not clear</w:t>
      </w:r>
      <w:r w:rsidR="00267FF5" w:rsidRPr="000C4C17">
        <w:rPr>
          <w:rFonts w:eastAsiaTheme="minorHAnsi" w:cstheme="minorBidi"/>
          <w:szCs w:val="22"/>
          <w:lang w:bidi="ar-SA"/>
        </w:rPr>
        <w:t xml:space="preserve">; </w:t>
      </w:r>
      <w:r w:rsidR="007F02A2">
        <w:rPr>
          <w:rFonts w:eastAsiaTheme="minorHAnsi" w:cstheme="minorBidi"/>
          <w:szCs w:val="22"/>
          <w:lang w:bidi="ar-SA"/>
        </w:rPr>
        <w:t>that is</w:t>
      </w:r>
      <w:r w:rsidR="00267FF5" w:rsidRPr="000C4C17">
        <w:rPr>
          <w:rFonts w:eastAsiaTheme="minorHAnsi" w:cstheme="minorBidi"/>
          <w:szCs w:val="22"/>
          <w:lang w:bidi="ar-SA"/>
        </w:rPr>
        <w:t xml:space="preserve"> whether it is linear or non</w:t>
      </w:r>
      <w:r w:rsidR="000203C4">
        <w:rPr>
          <w:rFonts w:eastAsiaTheme="minorHAnsi" w:cstheme="minorBidi"/>
          <w:szCs w:val="22"/>
          <w:lang w:bidi="ar-SA"/>
        </w:rPr>
        <w:t>linear</w:t>
      </w:r>
      <w:r w:rsidR="00267FF5" w:rsidRPr="000C4C17">
        <w:rPr>
          <w:rFonts w:eastAsiaTheme="minorHAnsi" w:cstheme="minorBidi"/>
          <w:szCs w:val="22"/>
          <w:lang w:bidi="ar-SA"/>
        </w:rPr>
        <w:t>.</w:t>
      </w:r>
      <w:r w:rsidR="00790A0E">
        <w:rPr>
          <w:rFonts w:eastAsiaTheme="minorHAnsi" w:cstheme="minorBidi"/>
          <w:szCs w:val="22"/>
          <w:lang w:bidi="ar-SA"/>
        </w:rPr>
        <w:t xml:space="preserve"> </w:t>
      </w:r>
      <w:r w:rsidR="00E24BB0">
        <w:rPr>
          <w:rFonts w:eastAsiaTheme="minorHAnsi" w:cstheme="minorBidi"/>
          <w:szCs w:val="22"/>
          <w:lang w:bidi="ar-SA"/>
        </w:rPr>
        <w:t>Consequently it is not clear that the result from the meta-analysis should be used to estimate p</w:t>
      </w:r>
      <w:r w:rsidR="00AB6B7F">
        <w:rPr>
          <w:rFonts w:eastAsiaTheme="minorHAnsi" w:cstheme="minorBidi"/>
          <w:szCs w:val="22"/>
          <w:lang w:bidi="ar-SA"/>
        </w:rPr>
        <w:t xml:space="preserve">ossible impacts on birthweight, especially above 20 ng/mL. </w:t>
      </w:r>
      <w:r w:rsidRPr="000C4C17">
        <w:rPr>
          <w:rFonts w:eastAsiaTheme="minorHAnsi" w:cstheme="minorBidi"/>
          <w:szCs w:val="22"/>
          <w:lang w:bidi="ar-SA"/>
        </w:rPr>
        <w:t>It is not possible to determine whether the association reflects a causal relationship or is the result of a third factor that alters both PFAS concentration and birthweight, or may have been overstated owing to selective reporting or publication.</w:t>
      </w:r>
    </w:p>
    <w:p w14:paraId="138A50BB" w14:textId="6CEACC00" w:rsidR="00F8101A" w:rsidRPr="000C4C17" w:rsidRDefault="00F8101A" w:rsidP="00EF0F51">
      <w:pPr>
        <w:pStyle w:val="Heading4"/>
      </w:pPr>
      <w:bookmarkStart w:id="488" w:name="_Toc468712783"/>
      <w:bookmarkStart w:id="489" w:name="_Toc468717764"/>
      <w:bookmarkStart w:id="490" w:name="_Toc468718408"/>
      <w:r w:rsidRPr="000C4C17">
        <w:t>Background</w:t>
      </w:r>
      <w:bookmarkEnd w:id="488"/>
      <w:bookmarkEnd w:id="489"/>
      <w:bookmarkEnd w:id="490"/>
    </w:p>
    <w:p w14:paraId="29964C5A" w14:textId="1584E30F" w:rsidR="00F8101A" w:rsidRPr="000C4C17" w:rsidRDefault="00F8101A" w:rsidP="00A111E9">
      <w:pPr>
        <w:widowControl/>
        <w:rPr>
          <w:rFonts w:eastAsiaTheme="minorHAnsi" w:cstheme="minorBidi"/>
          <w:szCs w:val="22"/>
          <w:lang w:bidi="ar-SA"/>
        </w:rPr>
      </w:pPr>
      <w:r w:rsidRPr="000C4C17">
        <w:rPr>
          <w:rFonts w:eastAsiaTheme="minorHAnsi" w:cstheme="minorBidi"/>
          <w:szCs w:val="22"/>
          <w:lang w:bidi="ar-SA"/>
        </w:rPr>
        <w:t>The purpose of this report is to describe the epidemiological studies that have examined whether there is an association between PFOA or PFOS and birthweight.</w:t>
      </w:r>
    </w:p>
    <w:p w14:paraId="05FBE3DA" w14:textId="77777777" w:rsidR="00F8101A" w:rsidRPr="000C4C17" w:rsidRDefault="00F8101A" w:rsidP="00A111E9">
      <w:pPr>
        <w:widowControl/>
        <w:rPr>
          <w:rFonts w:eastAsiaTheme="minorHAnsi" w:cstheme="minorBidi"/>
          <w:szCs w:val="22"/>
          <w:lang w:bidi="ar-SA"/>
        </w:rPr>
      </w:pPr>
    </w:p>
    <w:p w14:paraId="2B60DCCA" w14:textId="475E7C16" w:rsidR="00F8101A" w:rsidRPr="000C4C17" w:rsidRDefault="00F8101A" w:rsidP="00A111E9">
      <w:pPr>
        <w:widowControl/>
        <w:rPr>
          <w:rFonts w:eastAsiaTheme="minorHAnsi" w:cstheme="minorBidi"/>
          <w:szCs w:val="22"/>
          <w:lang w:bidi="ar-SA"/>
        </w:rPr>
      </w:pPr>
      <w:r w:rsidRPr="000C4C17">
        <w:rPr>
          <w:rFonts w:eastAsiaTheme="minorHAnsi" w:cstheme="minorBidi"/>
          <w:szCs w:val="22"/>
          <w:lang w:bidi="ar-SA"/>
        </w:rPr>
        <w:t xml:space="preserve">Previous reviews </w:t>
      </w:r>
      <w:r w:rsidR="00B76784">
        <w:rPr>
          <w:rFonts w:eastAsiaTheme="minorHAnsi" w:cstheme="minorBidi"/>
          <w:szCs w:val="22"/>
          <w:lang w:bidi="ar-SA"/>
        </w:rPr>
        <w:t>have had divergent conclusions.</w:t>
      </w:r>
      <w:r w:rsidRPr="000C4C17">
        <w:rPr>
          <w:rFonts w:eastAsiaTheme="minorHAnsi" w:cstheme="minorBidi"/>
          <w:szCs w:val="22"/>
          <w:lang w:bidi="ar-SA"/>
        </w:rPr>
        <w:t xml:space="preserve"> EFSA (2008) concluded that it was unlikely that either PFOA or PFOS had adverse effects in the population but noted uncertainties with respect to </w:t>
      </w:r>
      <w:r w:rsidR="00267FF5" w:rsidRPr="000C4C17">
        <w:rPr>
          <w:rFonts w:eastAsiaTheme="minorHAnsi" w:cstheme="minorBidi"/>
          <w:szCs w:val="22"/>
          <w:lang w:bidi="ar-SA"/>
        </w:rPr>
        <w:t xml:space="preserve">infant </w:t>
      </w:r>
      <w:r w:rsidRPr="000C4C17">
        <w:rPr>
          <w:rFonts w:eastAsiaTheme="minorHAnsi" w:cstheme="minorBidi"/>
          <w:szCs w:val="22"/>
          <w:lang w:bidi="ar-SA"/>
        </w:rPr>
        <w:t xml:space="preserve">development for PFOA. The US EPA </w:t>
      </w:r>
      <w:r w:rsidR="0027334C">
        <w:rPr>
          <w:rFonts w:eastAsiaTheme="minorHAnsi" w:cstheme="minorBidi"/>
          <w:szCs w:val="22"/>
          <w:lang w:bidi="ar-SA"/>
        </w:rPr>
        <w:t xml:space="preserve">(2014b) </w:t>
      </w:r>
      <w:r w:rsidRPr="000C4C17">
        <w:rPr>
          <w:rFonts w:eastAsiaTheme="minorHAnsi" w:cstheme="minorBidi"/>
          <w:szCs w:val="22"/>
          <w:lang w:bidi="ar-SA"/>
        </w:rPr>
        <w:t xml:space="preserve">and Johnson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 xml:space="preserve">(2014) concluded that there was an </w:t>
      </w:r>
      <w:r w:rsidR="0027334C">
        <w:rPr>
          <w:rFonts w:eastAsiaTheme="minorHAnsi" w:cstheme="minorBidi"/>
          <w:szCs w:val="22"/>
          <w:lang w:bidi="ar-SA"/>
        </w:rPr>
        <w:t xml:space="preserve">inverse </w:t>
      </w:r>
      <w:r w:rsidRPr="000C4C17">
        <w:rPr>
          <w:rFonts w:eastAsiaTheme="minorHAnsi" w:cstheme="minorBidi"/>
          <w:szCs w:val="22"/>
          <w:lang w:bidi="ar-SA"/>
        </w:rPr>
        <w:t xml:space="preserve">association between birthweight and PFOA. Bach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 xml:space="preserve">(2015) concluded that the studies were too inconsistent to allow a conclusion to be drawn. By contrast, Verner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(2015) propose that almost all of the observed association can be attributed to a third factor, namely changes in glomerular filtration rate during pregnancy.</w:t>
      </w:r>
    </w:p>
    <w:p w14:paraId="3E030CDF" w14:textId="77777777" w:rsidR="00F8101A" w:rsidRPr="000C4C17" w:rsidRDefault="00F8101A" w:rsidP="00A111E9">
      <w:pPr>
        <w:widowControl/>
        <w:rPr>
          <w:rFonts w:eastAsiaTheme="minorHAnsi" w:cstheme="minorBidi"/>
          <w:szCs w:val="22"/>
          <w:lang w:bidi="ar-SA"/>
        </w:rPr>
      </w:pPr>
    </w:p>
    <w:p w14:paraId="16119889" w14:textId="4C60825D" w:rsidR="00F8101A" w:rsidRPr="000C4C17" w:rsidRDefault="00B76784" w:rsidP="00A111E9">
      <w:pPr>
        <w:widowControl/>
        <w:rPr>
          <w:rFonts w:eastAsiaTheme="minorHAnsi" w:cstheme="minorBidi"/>
          <w:szCs w:val="22"/>
          <w:lang w:bidi="ar-SA"/>
        </w:rPr>
      </w:pPr>
      <w:r>
        <w:rPr>
          <w:rFonts w:eastAsiaTheme="minorHAnsi" w:cstheme="minorBidi"/>
          <w:szCs w:val="22"/>
          <w:lang w:bidi="ar-SA"/>
        </w:rPr>
        <w:t>FSANZ has attempted to answer the following q</w:t>
      </w:r>
      <w:r w:rsidR="00F8101A" w:rsidRPr="000C4C17">
        <w:rPr>
          <w:rFonts w:eastAsiaTheme="minorHAnsi" w:cstheme="minorBidi"/>
          <w:szCs w:val="22"/>
          <w:lang w:bidi="ar-SA"/>
        </w:rPr>
        <w:t>uestion:</w:t>
      </w:r>
    </w:p>
    <w:p w14:paraId="218AE02D" w14:textId="2080ACB9" w:rsidR="00F8101A" w:rsidRDefault="00C10D07" w:rsidP="00A111E9">
      <w:pPr>
        <w:widowControl/>
        <w:tabs>
          <w:tab w:val="left" w:pos="195"/>
          <w:tab w:val="left" w:pos="1116"/>
        </w:tabs>
        <w:rPr>
          <w:rFonts w:eastAsiaTheme="minorHAnsi" w:cstheme="minorBidi"/>
          <w:szCs w:val="22"/>
          <w:lang w:bidi="ar-SA"/>
        </w:rPr>
      </w:pPr>
      <w:r>
        <w:rPr>
          <w:rFonts w:eastAsiaTheme="minorHAnsi" w:cstheme="minorBidi"/>
          <w:szCs w:val="22"/>
          <w:lang w:bidi="ar-SA"/>
        </w:rPr>
        <w:tab/>
      </w:r>
      <w:r w:rsidR="00F8101A" w:rsidRPr="000C4C17">
        <w:rPr>
          <w:rFonts w:eastAsiaTheme="minorHAnsi" w:cstheme="minorBidi"/>
          <w:szCs w:val="22"/>
          <w:lang w:bidi="ar-SA"/>
        </w:rPr>
        <w:t>Is blood PFOA or PFOS concentration related to infant birthweight?</w:t>
      </w:r>
    </w:p>
    <w:p w14:paraId="3DCA32AD" w14:textId="77777777" w:rsidR="00EF0F51" w:rsidRPr="000C4C17" w:rsidRDefault="00EF0F51" w:rsidP="00A111E9">
      <w:pPr>
        <w:widowControl/>
        <w:tabs>
          <w:tab w:val="left" w:pos="195"/>
          <w:tab w:val="left" w:pos="1116"/>
        </w:tabs>
        <w:rPr>
          <w:rFonts w:eastAsiaTheme="minorHAnsi" w:cstheme="minorBidi"/>
          <w:szCs w:val="22"/>
          <w:lang w:bidi="ar-SA"/>
        </w:rPr>
      </w:pPr>
    </w:p>
    <w:p w14:paraId="07A2F437" w14:textId="4DD4B512" w:rsidR="00F8101A" w:rsidRPr="000C4C17" w:rsidRDefault="00F8101A" w:rsidP="00A111E9">
      <w:pPr>
        <w:pStyle w:val="FSTableTitle"/>
        <w:rPr>
          <w:rFonts w:eastAsiaTheme="minorHAnsi" w:cstheme="minorBidi"/>
          <w:szCs w:val="22"/>
          <w:lang w:bidi="ar-SA"/>
        </w:rPr>
      </w:pPr>
      <w:r w:rsidRPr="000C4C17">
        <w:rPr>
          <w:rFonts w:eastAsiaTheme="minorHAnsi"/>
        </w:rPr>
        <w:t xml:space="preserve">Table </w:t>
      </w:r>
      <w:r w:rsidR="00C44F1E" w:rsidRPr="000C4C17">
        <w:rPr>
          <w:rFonts w:eastAsiaTheme="minorHAnsi"/>
          <w:lang w:bidi="ar-SA"/>
        </w:rPr>
        <w:t>A1.</w:t>
      </w:r>
      <w:r w:rsidRPr="000C4C17">
        <w:rPr>
          <w:rFonts w:eastAsiaTheme="minorHAnsi"/>
        </w:rPr>
        <w:t>1 PECO</w:t>
      </w:r>
      <w:r w:rsidR="000E74DC">
        <w:rPr>
          <w:rFonts w:eastAsiaTheme="minorHAnsi"/>
        </w:rPr>
        <w:t>(s)</w:t>
      </w:r>
      <w:r w:rsidRPr="000C4C17">
        <w:rPr>
          <w:rFonts w:eastAsiaTheme="minorHAnsi"/>
        </w:rPr>
        <w:t xml:space="preserve"> criteria for the review of PFOA, PFOS and birthweight</w:t>
      </w:r>
    </w:p>
    <w:tbl>
      <w:tblPr>
        <w:tblStyle w:val="TableGrid9"/>
        <w:tblW w:w="0" w:type="auto"/>
        <w:jc w:val="center"/>
        <w:tblLook w:val="04A0" w:firstRow="1" w:lastRow="0" w:firstColumn="1" w:lastColumn="0" w:noHBand="0" w:noVBand="1"/>
        <w:tblCaption w:val="Table A1.1 PECO(s) criteria for the review of PFOA, PFOS and birthweight"/>
        <w:tblDescription w:val="This table contains PECO(s) criteria for the review of PFOA, PFOS and birthweight."/>
      </w:tblPr>
      <w:tblGrid>
        <w:gridCol w:w="1495"/>
        <w:gridCol w:w="7791"/>
      </w:tblGrid>
      <w:tr w:rsidR="00E06592" w:rsidRPr="000C4C17" w14:paraId="76CBA659" w14:textId="77777777" w:rsidTr="0028673F">
        <w:trPr>
          <w:tblHeader/>
          <w:jc w:val="center"/>
        </w:trPr>
        <w:tc>
          <w:tcPr>
            <w:tcW w:w="1495" w:type="dxa"/>
            <w:shd w:val="clear" w:color="auto" w:fill="F2F2F2" w:themeFill="background1" w:themeFillShade="F2"/>
          </w:tcPr>
          <w:p w14:paraId="117F8C65" w14:textId="77777777" w:rsidR="00E06592" w:rsidRPr="000C4C17" w:rsidRDefault="00E06592" w:rsidP="00A111E9">
            <w:pPr>
              <w:widowControl/>
              <w:spacing w:before="40" w:after="40"/>
              <w:rPr>
                <w:rFonts w:eastAsiaTheme="minorHAnsi"/>
                <w:b/>
                <w:sz w:val="20"/>
              </w:rPr>
            </w:pPr>
            <w:r w:rsidRPr="000C4C17">
              <w:rPr>
                <w:rFonts w:eastAsiaTheme="minorHAnsi"/>
                <w:b/>
                <w:sz w:val="20"/>
              </w:rPr>
              <w:t>Population</w:t>
            </w:r>
          </w:p>
        </w:tc>
        <w:tc>
          <w:tcPr>
            <w:tcW w:w="7791" w:type="dxa"/>
          </w:tcPr>
          <w:p w14:paraId="6539AAD2" w14:textId="77777777" w:rsidR="00E06592" w:rsidRPr="000E7153" w:rsidRDefault="00E06592" w:rsidP="00A111E9">
            <w:pPr>
              <w:widowControl/>
              <w:spacing w:before="40" w:after="40"/>
              <w:rPr>
                <w:rFonts w:eastAsiaTheme="minorHAnsi"/>
                <w:sz w:val="20"/>
              </w:rPr>
            </w:pPr>
            <w:r w:rsidRPr="000E7153">
              <w:rPr>
                <w:rFonts w:eastAsiaTheme="minorHAnsi"/>
                <w:sz w:val="20"/>
              </w:rPr>
              <w:t>Pregnant women and their newborn infants</w:t>
            </w:r>
          </w:p>
        </w:tc>
      </w:tr>
      <w:tr w:rsidR="00E06592" w:rsidRPr="000C4C17" w14:paraId="17336946" w14:textId="77777777" w:rsidTr="000E7153">
        <w:trPr>
          <w:trHeight w:val="454"/>
          <w:jc w:val="center"/>
        </w:trPr>
        <w:tc>
          <w:tcPr>
            <w:tcW w:w="1495" w:type="dxa"/>
            <w:shd w:val="clear" w:color="auto" w:fill="F2F2F2" w:themeFill="background1" w:themeFillShade="F2"/>
            <w:vAlign w:val="center"/>
          </w:tcPr>
          <w:p w14:paraId="7DB99AA4" w14:textId="77777777" w:rsidR="00E06592" w:rsidRPr="000C4C17" w:rsidRDefault="00E06592" w:rsidP="00A111E9">
            <w:pPr>
              <w:widowControl/>
              <w:rPr>
                <w:rFonts w:eastAsiaTheme="minorHAnsi"/>
                <w:b/>
                <w:sz w:val="20"/>
              </w:rPr>
            </w:pPr>
            <w:r w:rsidRPr="000C4C17">
              <w:rPr>
                <w:rFonts w:eastAsiaTheme="minorHAnsi"/>
                <w:b/>
                <w:sz w:val="20"/>
              </w:rPr>
              <w:t>Exposure</w:t>
            </w:r>
          </w:p>
        </w:tc>
        <w:tc>
          <w:tcPr>
            <w:tcW w:w="7791" w:type="dxa"/>
            <w:vAlign w:val="center"/>
          </w:tcPr>
          <w:p w14:paraId="546E7E96" w14:textId="77777777" w:rsidR="00E06592" w:rsidRPr="000C4C17" w:rsidRDefault="00E06592" w:rsidP="00A111E9">
            <w:pPr>
              <w:widowControl/>
              <w:rPr>
                <w:rFonts w:eastAsiaTheme="minorHAnsi"/>
                <w:sz w:val="18"/>
              </w:rPr>
            </w:pPr>
            <w:r w:rsidRPr="000C4C17">
              <w:rPr>
                <w:rFonts w:eastAsiaTheme="minorHAnsi"/>
                <w:sz w:val="18"/>
              </w:rPr>
              <w:t>PFOA and/or PFOS measured in maternal blood during pregnancy or at delivery or in cord blood at delivery</w:t>
            </w:r>
          </w:p>
        </w:tc>
      </w:tr>
      <w:tr w:rsidR="00E06592" w:rsidRPr="000C4C17" w14:paraId="38D6CCDB" w14:textId="77777777" w:rsidTr="000E7153">
        <w:trPr>
          <w:trHeight w:val="454"/>
          <w:jc w:val="center"/>
        </w:trPr>
        <w:tc>
          <w:tcPr>
            <w:tcW w:w="1495" w:type="dxa"/>
            <w:shd w:val="clear" w:color="auto" w:fill="F2F2F2" w:themeFill="background1" w:themeFillShade="F2"/>
            <w:vAlign w:val="center"/>
          </w:tcPr>
          <w:p w14:paraId="2A5A6EEF" w14:textId="77777777" w:rsidR="00E06592" w:rsidRPr="000C4C17" w:rsidRDefault="00E06592" w:rsidP="00A111E9">
            <w:pPr>
              <w:widowControl/>
              <w:rPr>
                <w:rFonts w:eastAsiaTheme="minorHAnsi"/>
                <w:b/>
                <w:sz w:val="20"/>
              </w:rPr>
            </w:pPr>
            <w:r w:rsidRPr="000C4C17">
              <w:rPr>
                <w:rFonts w:eastAsiaTheme="minorHAnsi"/>
                <w:b/>
                <w:sz w:val="20"/>
              </w:rPr>
              <w:t>Comparison</w:t>
            </w:r>
          </w:p>
        </w:tc>
        <w:tc>
          <w:tcPr>
            <w:tcW w:w="7791" w:type="dxa"/>
            <w:vAlign w:val="center"/>
          </w:tcPr>
          <w:p w14:paraId="6A5E8BC2" w14:textId="20CC9E9E" w:rsidR="00E06592" w:rsidRPr="000C4C17" w:rsidRDefault="008807EE" w:rsidP="00A111E9">
            <w:pPr>
              <w:widowControl/>
              <w:rPr>
                <w:rFonts w:eastAsiaTheme="minorHAnsi"/>
                <w:sz w:val="18"/>
              </w:rPr>
            </w:pPr>
            <w:r w:rsidRPr="000C4C17">
              <w:rPr>
                <w:rFonts w:eastAsiaTheme="minorHAnsi"/>
                <w:sz w:val="20"/>
              </w:rPr>
              <w:t>Different levels of PFOA and/or PFOS concentration</w:t>
            </w:r>
          </w:p>
        </w:tc>
      </w:tr>
      <w:tr w:rsidR="00E06592" w:rsidRPr="000C4C17" w14:paraId="3E4F6DC1" w14:textId="77777777" w:rsidTr="000E7153">
        <w:trPr>
          <w:trHeight w:val="454"/>
          <w:jc w:val="center"/>
        </w:trPr>
        <w:tc>
          <w:tcPr>
            <w:tcW w:w="1495" w:type="dxa"/>
            <w:shd w:val="clear" w:color="auto" w:fill="F2F2F2" w:themeFill="background1" w:themeFillShade="F2"/>
            <w:vAlign w:val="center"/>
          </w:tcPr>
          <w:p w14:paraId="237DC65A" w14:textId="77777777" w:rsidR="00E06592" w:rsidRPr="000C4C17" w:rsidRDefault="00E06592" w:rsidP="00A111E9">
            <w:pPr>
              <w:widowControl/>
              <w:rPr>
                <w:rFonts w:eastAsiaTheme="minorHAnsi"/>
                <w:b/>
                <w:sz w:val="20"/>
              </w:rPr>
            </w:pPr>
            <w:r w:rsidRPr="000C4C17">
              <w:rPr>
                <w:rFonts w:eastAsiaTheme="minorHAnsi"/>
                <w:b/>
                <w:sz w:val="20"/>
              </w:rPr>
              <w:t>Outcome</w:t>
            </w:r>
          </w:p>
        </w:tc>
        <w:tc>
          <w:tcPr>
            <w:tcW w:w="7791" w:type="dxa"/>
            <w:vAlign w:val="center"/>
          </w:tcPr>
          <w:p w14:paraId="2B2F278A" w14:textId="79B530CB" w:rsidR="00E06592" w:rsidRPr="000C4C17" w:rsidRDefault="00E06592" w:rsidP="00A111E9">
            <w:pPr>
              <w:widowControl/>
              <w:rPr>
                <w:rFonts w:eastAsiaTheme="minorHAnsi"/>
                <w:sz w:val="18"/>
              </w:rPr>
            </w:pPr>
            <w:r w:rsidRPr="000C4C17">
              <w:rPr>
                <w:rFonts w:eastAsiaTheme="minorHAnsi"/>
                <w:sz w:val="18"/>
              </w:rPr>
              <w:t xml:space="preserve">Infant birthweight – preferably expressed as kg; other expressions such as low/not low birthweight or </w:t>
            </w:r>
            <w:r w:rsidR="000C4C17" w:rsidRPr="000C4C17">
              <w:rPr>
                <w:rFonts w:eastAsiaTheme="minorHAnsi"/>
                <w:sz w:val="18"/>
              </w:rPr>
              <w:t>weight as a z-score</w:t>
            </w:r>
            <w:r w:rsidRPr="000C4C17">
              <w:rPr>
                <w:rFonts w:eastAsiaTheme="minorHAnsi"/>
                <w:sz w:val="18"/>
              </w:rPr>
              <w:t xml:space="preserve"> allowed</w:t>
            </w:r>
            <w:r w:rsidR="000C4C17" w:rsidRPr="000C4C17">
              <w:rPr>
                <w:rFonts w:eastAsiaTheme="minorHAnsi"/>
                <w:sz w:val="18"/>
              </w:rPr>
              <w:t>; length-adjusted measures such as ponderal index excluded</w:t>
            </w:r>
          </w:p>
        </w:tc>
      </w:tr>
      <w:tr w:rsidR="00E06592" w:rsidRPr="000C4C17" w14:paraId="01EE8DDB" w14:textId="77777777" w:rsidTr="000E7153">
        <w:trPr>
          <w:trHeight w:val="454"/>
          <w:jc w:val="center"/>
        </w:trPr>
        <w:tc>
          <w:tcPr>
            <w:tcW w:w="1495" w:type="dxa"/>
            <w:shd w:val="clear" w:color="auto" w:fill="F2F2F2" w:themeFill="background1" w:themeFillShade="F2"/>
            <w:vAlign w:val="center"/>
          </w:tcPr>
          <w:p w14:paraId="08325BCF" w14:textId="77777777" w:rsidR="00E06592" w:rsidRPr="000C4C17" w:rsidRDefault="00E06592" w:rsidP="00A111E9">
            <w:pPr>
              <w:widowControl/>
              <w:rPr>
                <w:rFonts w:eastAsiaTheme="minorHAnsi"/>
                <w:b/>
                <w:sz w:val="20"/>
              </w:rPr>
            </w:pPr>
            <w:r w:rsidRPr="000C4C17">
              <w:rPr>
                <w:rFonts w:eastAsiaTheme="minorHAnsi"/>
                <w:b/>
                <w:sz w:val="20"/>
              </w:rPr>
              <w:t>Study types</w:t>
            </w:r>
          </w:p>
        </w:tc>
        <w:tc>
          <w:tcPr>
            <w:tcW w:w="7791" w:type="dxa"/>
            <w:vAlign w:val="center"/>
          </w:tcPr>
          <w:p w14:paraId="0EF8CDBF" w14:textId="77777777" w:rsidR="00E06592" w:rsidRPr="000C4C17" w:rsidRDefault="00E06592" w:rsidP="00A111E9">
            <w:pPr>
              <w:widowControl/>
              <w:rPr>
                <w:rFonts w:eastAsiaTheme="minorHAnsi"/>
                <w:sz w:val="18"/>
              </w:rPr>
            </w:pPr>
            <w:r w:rsidRPr="000C4C17">
              <w:rPr>
                <w:rFonts w:eastAsiaTheme="minorHAnsi"/>
                <w:sz w:val="18"/>
              </w:rPr>
              <w:t>Longitudinal (cohort); cross-sectional</w:t>
            </w:r>
          </w:p>
        </w:tc>
      </w:tr>
    </w:tbl>
    <w:p w14:paraId="37C4AA67" w14:textId="77777777" w:rsidR="00F8101A" w:rsidRPr="000C4C17" w:rsidRDefault="00F8101A" w:rsidP="00A111E9">
      <w:pPr>
        <w:widowControl/>
        <w:rPr>
          <w:rFonts w:eastAsiaTheme="minorHAnsi" w:cstheme="minorBidi"/>
          <w:szCs w:val="22"/>
          <w:lang w:bidi="ar-SA"/>
        </w:rPr>
      </w:pPr>
    </w:p>
    <w:p w14:paraId="08CBF8F7" w14:textId="04638730" w:rsidR="007C7890" w:rsidRPr="000C4C17" w:rsidRDefault="00C10D07" w:rsidP="00A111E9">
      <w:pPr>
        <w:widowControl/>
        <w:rPr>
          <w:rFonts w:eastAsiaTheme="minorHAnsi" w:cstheme="minorBidi"/>
          <w:szCs w:val="22"/>
          <w:lang w:bidi="ar-SA"/>
        </w:rPr>
      </w:pPr>
      <w:r w:rsidRPr="00F8101A">
        <w:rPr>
          <w:rFonts w:eastAsiaTheme="minorHAnsi" w:cstheme="minorBidi"/>
          <w:szCs w:val="22"/>
          <w:lang w:bidi="ar-SA"/>
        </w:rPr>
        <w:t xml:space="preserve">Table </w:t>
      </w:r>
      <w:r>
        <w:rPr>
          <w:rFonts w:eastAsiaTheme="minorHAnsi" w:cstheme="minorBidi"/>
          <w:szCs w:val="22"/>
          <w:lang w:bidi="ar-SA"/>
        </w:rPr>
        <w:t>A1.</w:t>
      </w:r>
      <w:r w:rsidRPr="00F8101A">
        <w:rPr>
          <w:rFonts w:eastAsiaTheme="minorHAnsi" w:cstheme="minorBidi"/>
          <w:szCs w:val="22"/>
          <w:lang w:bidi="ar-SA"/>
        </w:rPr>
        <w:t xml:space="preserve">1 shows the scoping for this review. </w:t>
      </w:r>
      <w:r>
        <w:rPr>
          <w:rFonts w:eastAsiaTheme="minorHAnsi" w:cstheme="minorBidi"/>
          <w:szCs w:val="22"/>
          <w:lang w:bidi="ar-SA"/>
        </w:rPr>
        <w:t xml:space="preserve">Preliminary </w:t>
      </w:r>
      <w:r w:rsidR="00F8101A" w:rsidRPr="000C4C17">
        <w:rPr>
          <w:rFonts w:eastAsiaTheme="minorHAnsi" w:cstheme="minorBidi"/>
          <w:szCs w:val="22"/>
          <w:lang w:bidi="ar-SA"/>
        </w:rPr>
        <w:t>examin</w:t>
      </w:r>
      <w:r>
        <w:rPr>
          <w:rFonts w:eastAsiaTheme="minorHAnsi" w:cstheme="minorBidi"/>
          <w:szCs w:val="22"/>
          <w:lang w:bidi="ar-SA"/>
        </w:rPr>
        <w:t>ation</w:t>
      </w:r>
      <w:r w:rsidR="00F8101A" w:rsidRPr="000C4C17">
        <w:rPr>
          <w:rFonts w:eastAsiaTheme="minorHAnsi" w:cstheme="minorBidi"/>
          <w:szCs w:val="22"/>
          <w:lang w:bidi="ar-SA"/>
        </w:rPr>
        <w:t xml:space="preserve"> of other reports indicates that there are no trials, randomised or otherwise, in the literature.</w:t>
      </w:r>
      <w:bookmarkStart w:id="491" w:name="_Toc468712784"/>
    </w:p>
    <w:p w14:paraId="50697756" w14:textId="77777777" w:rsidR="00EF0F51" w:rsidRDefault="00EF0F51">
      <w:pPr>
        <w:widowControl/>
        <w:rPr>
          <w:rFonts w:eastAsiaTheme="majorEastAsia" w:cs="Arial"/>
          <w:b/>
          <w:bCs/>
          <w:sz w:val="28"/>
          <w:szCs w:val="22"/>
          <w:lang w:bidi="ar-SA"/>
        </w:rPr>
      </w:pPr>
      <w:r>
        <w:rPr>
          <w:rFonts w:eastAsiaTheme="majorEastAsia" w:cs="Arial"/>
          <w:b/>
          <w:bCs/>
          <w:sz w:val="28"/>
          <w:szCs w:val="22"/>
          <w:lang w:bidi="ar-SA"/>
        </w:rPr>
        <w:br w:type="page"/>
      </w:r>
    </w:p>
    <w:p w14:paraId="2AF5CD43" w14:textId="7E0E1FA8" w:rsidR="007C7890" w:rsidRPr="000C4C17" w:rsidRDefault="00F8101A" w:rsidP="00EF0F51">
      <w:pPr>
        <w:widowControl/>
        <w:tabs>
          <w:tab w:val="left" w:pos="6324"/>
        </w:tabs>
        <w:rPr>
          <w:rFonts w:eastAsiaTheme="majorEastAsia" w:cs="Arial"/>
          <w:b/>
          <w:bCs/>
          <w:sz w:val="28"/>
          <w:szCs w:val="22"/>
          <w:lang w:bidi="ar-SA"/>
        </w:rPr>
      </w:pPr>
      <w:r w:rsidRPr="000C4C17">
        <w:rPr>
          <w:rFonts w:eastAsiaTheme="majorEastAsia" w:cs="Arial"/>
          <w:b/>
          <w:bCs/>
          <w:sz w:val="28"/>
          <w:szCs w:val="22"/>
          <w:lang w:bidi="ar-SA"/>
        </w:rPr>
        <w:lastRenderedPageBreak/>
        <w:t>Literature examined</w:t>
      </w:r>
      <w:bookmarkStart w:id="492" w:name="_Toc468712785"/>
      <w:bookmarkEnd w:id="491"/>
    </w:p>
    <w:p w14:paraId="63DDA4E0" w14:textId="77777777" w:rsidR="00F8101A" w:rsidRPr="000C4C17" w:rsidRDefault="00F8101A" w:rsidP="00EF0F51">
      <w:pPr>
        <w:pStyle w:val="Heading4"/>
      </w:pPr>
      <w:r w:rsidRPr="000C4C17">
        <w:t>Existing reviews identified</w:t>
      </w:r>
      <w:bookmarkEnd w:id="492"/>
    </w:p>
    <w:p w14:paraId="490B13F8" w14:textId="26542512" w:rsidR="00F8101A" w:rsidRPr="000C4C17" w:rsidRDefault="00F8101A" w:rsidP="00A111E9">
      <w:pPr>
        <w:widowControl/>
        <w:rPr>
          <w:rFonts w:eastAsiaTheme="minorHAnsi" w:cstheme="minorBidi"/>
          <w:szCs w:val="22"/>
          <w:lang w:bidi="ar-SA"/>
        </w:rPr>
      </w:pPr>
      <w:r w:rsidRPr="000C4C17">
        <w:rPr>
          <w:rFonts w:eastAsiaTheme="minorHAnsi" w:cstheme="minorBidi"/>
          <w:szCs w:val="22"/>
          <w:lang w:bidi="ar-SA"/>
        </w:rPr>
        <w:t>PFOS and PFOA often occur together and so reviews of either substance were considered as the starting point to collate original literature. The initial assessment examined the reports from EFSA concerning both PFOS and PFOA and the reports from the US EPA concerning PFOS (</w:t>
      </w:r>
      <w:r w:rsidR="00406EF6">
        <w:rPr>
          <w:rFonts w:eastAsiaTheme="minorHAnsi" w:cstheme="minorBidi"/>
          <w:szCs w:val="22"/>
          <w:lang w:bidi="ar-SA"/>
        </w:rPr>
        <w:t xml:space="preserve">US </w:t>
      </w:r>
      <w:r w:rsidRPr="000C4C17">
        <w:rPr>
          <w:rFonts w:eastAsiaTheme="minorHAnsi" w:cstheme="minorBidi"/>
          <w:szCs w:val="22"/>
          <w:lang w:bidi="ar-SA"/>
        </w:rPr>
        <w:t>EPA, 2014a) and PFOA (</w:t>
      </w:r>
      <w:r w:rsidR="00406EF6">
        <w:rPr>
          <w:rFonts w:eastAsiaTheme="minorHAnsi" w:cstheme="minorBidi"/>
          <w:szCs w:val="22"/>
          <w:lang w:bidi="ar-SA"/>
        </w:rPr>
        <w:t xml:space="preserve">US </w:t>
      </w:r>
      <w:r w:rsidRPr="000C4C17">
        <w:rPr>
          <w:rFonts w:eastAsiaTheme="minorHAnsi" w:cstheme="minorBidi"/>
          <w:szCs w:val="22"/>
          <w:lang w:bidi="ar-SA"/>
        </w:rPr>
        <w:t>EPA, 2014b). Two recent systematic reviews were also identified from these reports and by searching PubMed</w:t>
      </w:r>
      <w:r w:rsidR="0027334C">
        <w:rPr>
          <w:rFonts w:eastAsiaTheme="minorHAnsi" w:cstheme="minorBidi"/>
          <w:szCs w:val="22"/>
          <w:lang w:bidi="ar-SA"/>
        </w:rPr>
        <w:t xml:space="preserve"> (</w:t>
      </w:r>
      <w:r w:rsidR="0027334C" w:rsidRPr="0027334C">
        <w:rPr>
          <w:rFonts w:eastAsiaTheme="minorHAnsi" w:cstheme="minorBidi"/>
          <w:szCs w:val="22"/>
          <w:lang w:bidi="ar-SA"/>
        </w:rPr>
        <w:t>https://www.ncbi.nlm.nih.gov/pubmed</w:t>
      </w:r>
      <w:r w:rsidR="0027334C">
        <w:rPr>
          <w:rFonts w:eastAsiaTheme="minorHAnsi" w:cstheme="minorBidi"/>
          <w:szCs w:val="22"/>
          <w:lang w:bidi="ar-SA"/>
        </w:rPr>
        <w:t>)</w:t>
      </w:r>
      <w:r w:rsidRPr="000C4C17">
        <w:rPr>
          <w:rFonts w:eastAsiaTheme="minorHAnsi" w:cstheme="minorBidi"/>
          <w:szCs w:val="22"/>
          <w:lang w:bidi="ar-SA"/>
        </w:rPr>
        <w:t>. One examined the effect of PFO</w:t>
      </w:r>
      <w:r w:rsidR="00C4377A" w:rsidRPr="000C4C17">
        <w:rPr>
          <w:rFonts w:eastAsiaTheme="minorHAnsi" w:cstheme="minorBidi"/>
          <w:szCs w:val="22"/>
          <w:lang w:bidi="ar-SA"/>
        </w:rPr>
        <w:t xml:space="preserve">A on birthweight (Johnson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 xml:space="preserve">2014) whereas the other examined the effect of PFOA and </w:t>
      </w:r>
      <w:r w:rsidR="00C4377A" w:rsidRPr="000C4C17">
        <w:rPr>
          <w:rFonts w:eastAsiaTheme="minorHAnsi" w:cstheme="minorBidi"/>
          <w:szCs w:val="22"/>
          <w:lang w:bidi="ar-SA"/>
        </w:rPr>
        <w:t xml:space="preserve">PFOS on birthweight (Bach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 xml:space="preserve">2015). A third systematic review (Verner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 xml:space="preserve">2015) was also examined but did not have additional studies compared to Johnson </w:t>
      </w:r>
      <w:r w:rsidR="00180A32" w:rsidRPr="00180A32">
        <w:rPr>
          <w:rFonts w:eastAsiaTheme="minorHAnsi" w:cstheme="minorBidi"/>
          <w:i/>
          <w:szCs w:val="22"/>
          <w:lang w:bidi="ar-SA"/>
        </w:rPr>
        <w:t xml:space="preserve">et al. </w:t>
      </w:r>
      <w:r w:rsidRPr="000C4C17">
        <w:rPr>
          <w:rFonts w:eastAsiaTheme="minorHAnsi" w:cstheme="minorBidi"/>
          <w:szCs w:val="22"/>
          <w:lang w:bidi="ar-SA"/>
        </w:rPr>
        <w:t xml:space="preserve"> (2014).</w:t>
      </w:r>
    </w:p>
    <w:p w14:paraId="4909EED4" w14:textId="77777777" w:rsidR="00F8101A" w:rsidRPr="000C4C17" w:rsidRDefault="00F8101A" w:rsidP="00A111E9">
      <w:pPr>
        <w:widowControl/>
        <w:rPr>
          <w:rFonts w:eastAsiaTheme="minorHAnsi" w:cstheme="minorBidi"/>
          <w:szCs w:val="22"/>
          <w:lang w:bidi="ar-SA"/>
        </w:rPr>
      </w:pPr>
    </w:p>
    <w:p w14:paraId="1D1C1DC6" w14:textId="119F083D" w:rsidR="00F8101A" w:rsidRPr="000C4C17" w:rsidRDefault="00F8101A" w:rsidP="00A111E9">
      <w:pPr>
        <w:widowControl/>
        <w:rPr>
          <w:rFonts w:eastAsiaTheme="minorHAnsi" w:cstheme="minorBidi"/>
          <w:szCs w:val="22"/>
          <w:lang w:bidi="ar-SA"/>
        </w:rPr>
      </w:pPr>
      <w:r w:rsidRPr="000C4C17">
        <w:rPr>
          <w:rFonts w:eastAsiaTheme="minorHAnsi" w:cstheme="minorBidi"/>
          <w:szCs w:val="22"/>
          <w:lang w:bidi="ar-SA"/>
        </w:rPr>
        <w:t xml:space="preserve">Table </w:t>
      </w:r>
      <w:r w:rsidR="006B1629" w:rsidRPr="000C4C17">
        <w:rPr>
          <w:rFonts w:eastAsiaTheme="minorHAnsi" w:cstheme="minorBidi"/>
          <w:szCs w:val="22"/>
          <w:lang w:bidi="ar-SA"/>
        </w:rPr>
        <w:t>A1.</w:t>
      </w:r>
      <w:r w:rsidRPr="000C4C17">
        <w:rPr>
          <w:rFonts w:eastAsiaTheme="minorHAnsi" w:cstheme="minorBidi"/>
          <w:szCs w:val="22"/>
          <w:lang w:bidi="ar-SA"/>
        </w:rPr>
        <w:t>2 shows the original papers referred to in the above reviews, together with some details, listed in order of year of publication. Most papers were published after the EFSA report was released. This table also shows FSANZ’s decision about whether to include the studies in its consideration. FSANZ was able to include some studies in a quantitative or graphical form, whereas other studies could only be included in a qualitative form (as showing a positive, inverse or no association between the PFAS and birthweight) owing to the manner in which their results were reported.</w:t>
      </w:r>
      <w:r w:rsidR="00C4377A" w:rsidRPr="000C4C17">
        <w:rPr>
          <w:rFonts w:eastAsiaTheme="minorHAnsi" w:cstheme="minorBidi"/>
          <w:szCs w:val="22"/>
          <w:lang w:bidi="ar-SA"/>
        </w:rPr>
        <w:t xml:space="preserve"> </w:t>
      </w:r>
      <w:r w:rsidRPr="000C4C17">
        <w:rPr>
          <w:rFonts w:eastAsiaTheme="minorHAnsi" w:cstheme="minorBidi"/>
          <w:szCs w:val="22"/>
          <w:lang w:bidi="ar-SA"/>
        </w:rPr>
        <w:t>The rationale for FSANZ’s decisions is given below.</w:t>
      </w:r>
    </w:p>
    <w:p w14:paraId="5AAEF7D7" w14:textId="77777777" w:rsidR="00F8101A" w:rsidRPr="000C4C17" w:rsidRDefault="00F8101A" w:rsidP="00A111E9">
      <w:pPr>
        <w:widowControl/>
        <w:rPr>
          <w:rFonts w:eastAsiaTheme="minorHAnsi" w:cstheme="minorBidi"/>
          <w:szCs w:val="22"/>
          <w:lang w:bidi="ar-SA"/>
        </w:rPr>
      </w:pPr>
    </w:p>
    <w:p w14:paraId="0566D4D1" w14:textId="06349615" w:rsidR="00F8101A" w:rsidRPr="000C4C17" w:rsidRDefault="00F8101A" w:rsidP="00A111E9">
      <w:pPr>
        <w:widowControl/>
        <w:rPr>
          <w:rFonts w:eastAsiaTheme="minorHAnsi" w:cstheme="minorBidi"/>
          <w:szCs w:val="22"/>
          <w:lang w:bidi="ar-SA"/>
        </w:rPr>
      </w:pPr>
      <w:r w:rsidRPr="000C4C17">
        <w:rPr>
          <w:rFonts w:eastAsiaTheme="minorHAnsi" w:cstheme="minorBidi"/>
          <w:szCs w:val="22"/>
          <w:lang w:bidi="ar-SA"/>
        </w:rPr>
        <w:t xml:space="preserve">Some of the authors of the systematic review by Johnson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 xml:space="preserve">(2014) list their affiliation as the US EPA. The </w:t>
      </w:r>
      <w:r w:rsidR="001371D0">
        <w:rPr>
          <w:rFonts w:eastAsiaTheme="minorHAnsi" w:cstheme="minorBidi"/>
          <w:szCs w:val="22"/>
          <w:lang w:bidi="ar-SA"/>
        </w:rPr>
        <w:t xml:space="preserve">US </w:t>
      </w:r>
      <w:r w:rsidRPr="000C4C17">
        <w:rPr>
          <w:rFonts w:eastAsiaTheme="minorHAnsi" w:cstheme="minorBidi"/>
          <w:szCs w:val="22"/>
          <w:lang w:bidi="ar-SA"/>
        </w:rPr>
        <w:t>EPA reports (</w:t>
      </w:r>
      <w:r w:rsidR="00406EF6">
        <w:rPr>
          <w:rFonts w:eastAsiaTheme="minorHAnsi" w:cstheme="minorBidi"/>
          <w:szCs w:val="22"/>
          <w:lang w:bidi="ar-SA"/>
        </w:rPr>
        <w:t xml:space="preserve">US </w:t>
      </w:r>
      <w:r w:rsidRPr="000C4C17">
        <w:rPr>
          <w:rFonts w:eastAsiaTheme="minorHAnsi" w:cstheme="minorBidi"/>
          <w:szCs w:val="22"/>
          <w:lang w:bidi="ar-SA"/>
        </w:rPr>
        <w:t xml:space="preserve">EPA, 2014a; </w:t>
      </w:r>
      <w:r w:rsidR="00406EF6">
        <w:rPr>
          <w:rFonts w:eastAsiaTheme="minorHAnsi" w:cstheme="minorBidi"/>
          <w:szCs w:val="22"/>
          <w:lang w:bidi="ar-SA"/>
        </w:rPr>
        <w:t xml:space="preserve">US </w:t>
      </w:r>
      <w:r w:rsidRPr="000C4C17">
        <w:rPr>
          <w:rFonts w:eastAsiaTheme="minorHAnsi" w:cstheme="minorBidi"/>
          <w:szCs w:val="22"/>
          <w:lang w:bidi="ar-SA"/>
        </w:rPr>
        <w:t xml:space="preserve">EPA, 2014b) describe the results as reported by the authors of the various papers whereas Johnson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 xml:space="preserve">(2014) state that they asked the author of papers to reanalyse their data using multivariate linear regression. However, these revised analyses and the meta-analysis result reported by Johnson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(2014) do not seem to have been used in the</w:t>
      </w:r>
      <w:r w:rsidR="00C4377A" w:rsidRPr="000C4C17">
        <w:rPr>
          <w:rFonts w:eastAsiaTheme="minorHAnsi" w:cstheme="minorBidi"/>
          <w:szCs w:val="22"/>
          <w:lang w:bidi="ar-SA"/>
        </w:rPr>
        <w:t xml:space="preserve"> US</w:t>
      </w:r>
      <w:r w:rsidRPr="000C4C17">
        <w:rPr>
          <w:rFonts w:eastAsiaTheme="minorHAnsi" w:cstheme="minorBidi"/>
          <w:szCs w:val="22"/>
          <w:lang w:bidi="ar-SA"/>
        </w:rPr>
        <w:t xml:space="preserve"> EPA reports.</w:t>
      </w:r>
    </w:p>
    <w:p w14:paraId="56498F66" w14:textId="77777777" w:rsidR="00F8101A" w:rsidRPr="000C4C17" w:rsidRDefault="00F8101A" w:rsidP="00A111E9">
      <w:pPr>
        <w:widowControl/>
        <w:rPr>
          <w:rFonts w:eastAsiaTheme="minorHAnsi" w:cstheme="minorBidi"/>
          <w:szCs w:val="22"/>
          <w:lang w:bidi="ar-SA"/>
        </w:rPr>
      </w:pPr>
    </w:p>
    <w:p w14:paraId="7E3163FC" w14:textId="77777777" w:rsidR="00DA3E66" w:rsidRPr="000C4C17" w:rsidRDefault="00DA3E66" w:rsidP="00A111E9">
      <w:pPr>
        <w:widowControl/>
        <w:rPr>
          <w:rFonts w:eastAsiaTheme="minorHAnsi" w:cstheme="minorBidi"/>
          <w:i/>
          <w:szCs w:val="22"/>
          <w:lang w:bidi="ar-SA"/>
        </w:rPr>
        <w:sectPr w:rsidR="00DA3E66" w:rsidRPr="000C4C17" w:rsidSect="00D95A2C">
          <w:footerReference w:type="default" r:id="rId40"/>
          <w:pgSz w:w="11906" w:h="16838"/>
          <w:pgMar w:top="1418" w:right="1418" w:bottom="1418" w:left="1418" w:header="709" w:footer="709" w:gutter="0"/>
          <w:cols w:space="708"/>
          <w:docGrid w:linePitch="360"/>
        </w:sectPr>
      </w:pPr>
    </w:p>
    <w:p w14:paraId="5F0F319E" w14:textId="600682C0" w:rsidR="00F8101A" w:rsidRPr="000C4C17" w:rsidRDefault="00F8101A" w:rsidP="00A111E9">
      <w:pPr>
        <w:pStyle w:val="FSTableTitle"/>
        <w:rPr>
          <w:rFonts w:eastAsiaTheme="minorHAnsi"/>
          <w:lang w:bidi="ar-SA"/>
        </w:rPr>
      </w:pPr>
      <w:r w:rsidRPr="000C4C17">
        <w:rPr>
          <w:rFonts w:eastAsiaTheme="minorHAnsi"/>
          <w:lang w:bidi="ar-SA"/>
        </w:rPr>
        <w:lastRenderedPageBreak/>
        <w:t xml:space="preserve">Table </w:t>
      </w:r>
      <w:r w:rsidR="00C44F1E" w:rsidRPr="000C4C17">
        <w:rPr>
          <w:rFonts w:eastAsiaTheme="minorHAnsi"/>
          <w:lang w:bidi="ar-SA"/>
        </w:rPr>
        <w:t>A1.</w:t>
      </w:r>
      <w:r w:rsidRPr="000C4C17">
        <w:rPr>
          <w:rFonts w:eastAsiaTheme="minorHAnsi"/>
          <w:lang w:bidi="ar-SA"/>
        </w:rPr>
        <w:t>2 Papers referred to in selected reviews and systematic reviews of the association between PFOA, PFOS and birthweight and FSANZ’s decision about their inclusion or exclusion from this review</w:t>
      </w:r>
    </w:p>
    <w:tbl>
      <w:tblPr>
        <w:tblStyle w:val="TableGrid13"/>
        <w:tblpPr w:leftFromText="180" w:rightFromText="180" w:vertAnchor="text" w:horzAnchor="margin" w:tblpY="132"/>
        <w:tblW w:w="14000" w:type="dxa"/>
        <w:tblLayout w:type="fixed"/>
        <w:tblLook w:val="04A0" w:firstRow="1" w:lastRow="0" w:firstColumn="1" w:lastColumn="0" w:noHBand="0" w:noVBand="1"/>
        <w:tblCaption w:val="Table A1.2 Papers referred to in selected reviews and systematic reviews of the association between PFOA, PFOS and birthweight and FSANZ’s decision about their inclusion or exclusion from this review"/>
        <w:tblDescription w:val="This table contains data relating to papers referred to in selected reviews and systematic reviews of the association between PFOA, PFOS and birthweight and FSANZ’s decision about their inclusion or exclusion from this review."/>
      </w:tblPr>
      <w:tblGrid>
        <w:gridCol w:w="1526"/>
        <w:gridCol w:w="1417"/>
        <w:gridCol w:w="1843"/>
        <w:gridCol w:w="1101"/>
        <w:gridCol w:w="1167"/>
        <w:gridCol w:w="1134"/>
        <w:gridCol w:w="2835"/>
        <w:gridCol w:w="595"/>
        <w:gridCol w:w="595"/>
        <w:gridCol w:w="596"/>
        <w:gridCol w:w="595"/>
        <w:gridCol w:w="596"/>
      </w:tblGrid>
      <w:tr w:rsidR="00DA3E66" w:rsidRPr="000C4C17" w14:paraId="2C31B9A5" w14:textId="77777777" w:rsidTr="000830C5">
        <w:trPr>
          <w:cantSplit/>
          <w:trHeight w:val="986"/>
          <w:tblHeader/>
        </w:trPr>
        <w:tc>
          <w:tcPr>
            <w:tcW w:w="1526" w:type="dxa"/>
            <w:shd w:val="clear" w:color="auto" w:fill="F2F2F2" w:themeFill="background1" w:themeFillShade="F2"/>
            <w:vAlign w:val="center"/>
          </w:tcPr>
          <w:p w14:paraId="65C5D18A" w14:textId="77777777" w:rsidR="00DA3E66" w:rsidRPr="000C4C17" w:rsidRDefault="00DA3E66" w:rsidP="00A111E9">
            <w:pPr>
              <w:widowControl/>
              <w:rPr>
                <w:rFonts w:eastAsiaTheme="minorHAnsi" w:cs="Arial"/>
                <w:b/>
                <w:sz w:val="20"/>
                <w:szCs w:val="20"/>
                <w:lang w:bidi="ar-SA"/>
              </w:rPr>
            </w:pPr>
            <w:r w:rsidRPr="000C4C17">
              <w:rPr>
                <w:rFonts w:eastAsiaTheme="minorHAnsi" w:cs="Arial"/>
                <w:b/>
                <w:sz w:val="20"/>
                <w:szCs w:val="20"/>
                <w:lang w:bidi="ar-SA"/>
              </w:rPr>
              <w:t>Author</w:t>
            </w:r>
          </w:p>
        </w:tc>
        <w:tc>
          <w:tcPr>
            <w:tcW w:w="1417" w:type="dxa"/>
            <w:shd w:val="clear" w:color="auto" w:fill="F2F2F2" w:themeFill="background1" w:themeFillShade="F2"/>
            <w:vAlign w:val="center"/>
          </w:tcPr>
          <w:p w14:paraId="7104835B" w14:textId="77777777" w:rsidR="00DA3E66" w:rsidRPr="000C4C17" w:rsidRDefault="00DA3E66" w:rsidP="00647943">
            <w:pPr>
              <w:widowControl/>
              <w:jc w:val="right"/>
              <w:rPr>
                <w:rFonts w:eastAsiaTheme="minorHAnsi"/>
                <w:b/>
                <w:sz w:val="20"/>
              </w:rPr>
            </w:pPr>
            <w:r w:rsidRPr="000C4C17">
              <w:rPr>
                <w:rFonts w:eastAsiaTheme="minorHAnsi"/>
                <w:b/>
                <w:sz w:val="20"/>
              </w:rPr>
              <w:t>Year of publication</w:t>
            </w:r>
          </w:p>
        </w:tc>
        <w:tc>
          <w:tcPr>
            <w:tcW w:w="1843" w:type="dxa"/>
            <w:shd w:val="clear" w:color="auto" w:fill="F2F2F2" w:themeFill="background1" w:themeFillShade="F2"/>
            <w:vAlign w:val="center"/>
          </w:tcPr>
          <w:p w14:paraId="55302D4C" w14:textId="77777777" w:rsidR="00DA3E66" w:rsidRPr="000C4C17" w:rsidRDefault="00DA3E66" w:rsidP="00A111E9">
            <w:pPr>
              <w:widowControl/>
              <w:rPr>
                <w:rFonts w:eastAsiaTheme="minorHAnsi" w:cs="Arial"/>
                <w:b/>
                <w:sz w:val="20"/>
                <w:szCs w:val="20"/>
                <w:lang w:bidi="ar-SA"/>
              </w:rPr>
            </w:pPr>
            <w:r w:rsidRPr="000C4C17">
              <w:rPr>
                <w:rFonts w:eastAsiaTheme="minorHAnsi" w:cs="Arial"/>
                <w:b/>
                <w:sz w:val="20"/>
                <w:szCs w:val="20"/>
                <w:lang w:bidi="ar-SA"/>
              </w:rPr>
              <w:t>Location of study</w:t>
            </w:r>
          </w:p>
        </w:tc>
        <w:tc>
          <w:tcPr>
            <w:tcW w:w="1101" w:type="dxa"/>
            <w:shd w:val="clear" w:color="auto" w:fill="F2F2F2" w:themeFill="background1" w:themeFillShade="F2"/>
            <w:vAlign w:val="center"/>
          </w:tcPr>
          <w:p w14:paraId="3446A463" w14:textId="67369CB6" w:rsidR="00DA3E66" w:rsidRPr="000C4C17" w:rsidRDefault="00DA3E66" w:rsidP="00A111E9">
            <w:pPr>
              <w:widowControl/>
              <w:rPr>
                <w:rFonts w:eastAsiaTheme="minorHAnsi" w:cs="Arial"/>
                <w:b/>
                <w:sz w:val="20"/>
                <w:szCs w:val="20"/>
                <w:lang w:bidi="ar-SA"/>
              </w:rPr>
            </w:pPr>
            <w:r w:rsidRPr="000C4C17">
              <w:rPr>
                <w:rFonts w:eastAsiaTheme="minorHAnsi" w:cs="Arial"/>
                <w:b/>
                <w:sz w:val="20"/>
                <w:szCs w:val="20"/>
                <w:lang w:bidi="ar-SA"/>
              </w:rPr>
              <w:t>Study</w:t>
            </w:r>
            <w:r w:rsidR="00A11A9C">
              <w:rPr>
                <w:rFonts w:eastAsiaTheme="minorHAnsi" w:cs="Arial"/>
                <w:b/>
                <w:sz w:val="20"/>
                <w:szCs w:val="20"/>
                <w:lang w:bidi="ar-SA"/>
              </w:rPr>
              <w:t xml:space="preserve"> </w:t>
            </w:r>
            <w:r w:rsidR="00986779">
              <w:rPr>
                <w:rFonts w:eastAsiaTheme="minorHAnsi" w:cs="Arial"/>
                <w:b/>
                <w:sz w:val="20"/>
                <w:szCs w:val="20"/>
                <w:lang w:bidi="ar-SA"/>
              </w:rPr>
              <w:t>n</w:t>
            </w:r>
            <w:r w:rsidR="00A11A9C">
              <w:rPr>
                <w:rFonts w:eastAsiaTheme="minorHAnsi" w:cs="Arial"/>
                <w:b/>
                <w:sz w:val="20"/>
                <w:szCs w:val="20"/>
                <w:lang w:bidi="ar-SA"/>
              </w:rPr>
              <w:t>ame</w:t>
            </w:r>
          </w:p>
        </w:tc>
        <w:tc>
          <w:tcPr>
            <w:tcW w:w="1167" w:type="dxa"/>
            <w:shd w:val="clear" w:color="auto" w:fill="F2F2F2" w:themeFill="background1" w:themeFillShade="F2"/>
            <w:textDirection w:val="btLr"/>
            <w:vAlign w:val="center"/>
          </w:tcPr>
          <w:p w14:paraId="151D3366" w14:textId="77777777" w:rsidR="00DA3E66" w:rsidRPr="000C4C17" w:rsidRDefault="00DA3E66" w:rsidP="00A111E9">
            <w:pPr>
              <w:widowControl/>
              <w:rPr>
                <w:rFonts w:eastAsiaTheme="minorHAnsi"/>
                <w:b/>
                <w:sz w:val="20"/>
              </w:rPr>
            </w:pPr>
            <w:r w:rsidRPr="000C4C17">
              <w:rPr>
                <w:rFonts w:eastAsiaTheme="minorHAnsi"/>
                <w:b/>
                <w:sz w:val="20"/>
              </w:rPr>
              <w:t>Year of data collection</w:t>
            </w:r>
          </w:p>
        </w:tc>
        <w:tc>
          <w:tcPr>
            <w:tcW w:w="1134" w:type="dxa"/>
            <w:shd w:val="clear" w:color="auto" w:fill="F2F2F2" w:themeFill="background1" w:themeFillShade="F2"/>
            <w:vAlign w:val="center"/>
          </w:tcPr>
          <w:p w14:paraId="5539E237" w14:textId="69F9E4FB" w:rsidR="00DA3E66" w:rsidRPr="000C4C17" w:rsidRDefault="00914F3F" w:rsidP="00647943">
            <w:pPr>
              <w:widowControl/>
              <w:jc w:val="right"/>
              <w:rPr>
                <w:rFonts w:eastAsiaTheme="minorHAnsi"/>
                <w:b/>
                <w:sz w:val="20"/>
              </w:rPr>
            </w:pPr>
            <w:r w:rsidRPr="000C4C17">
              <w:rPr>
                <w:rFonts w:eastAsiaTheme="minorHAnsi"/>
                <w:b/>
                <w:sz w:val="20"/>
              </w:rPr>
              <w:t>n</w:t>
            </w:r>
            <w:r w:rsidR="00DA3E66" w:rsidRPr="000C4C17">
              <w:rPr>
                <w:rFonts w:eastAsiaTheme="minorHAnsi"/>
                <w:b/>
                <w:sz w:val="20"/>
              </w:rPr>
              <w:t xml:space="preserve"> subjects</w:t>
            </w:r>
          </w:p>
        </w:tc>
        <w:tc>
          <w:tcPr>
            <w:tcW w:w="2835" w:type="dxa"/>
            <w:shd w:val="clear" w:color="auto" w:fill="F2F2F2" w:themeFill="background1" w:themeFillShade="F2"/>
            <w:vAlign w:val="center"/>
          </w:tcPr>
          <w:p w14:paraId="28A84E12" w14:textId="3526E67B" w:rsidR="00DA3E66" w:rsidRPr="000C4C17" w:rsidRDefault="00DA3E66" w:rsidP="00A111E9">
            <w:pPr>
              <w:widowControl/>
              <w:rPr>
                <w:rFonts w:eastAsiaTheme="minorHAnsi" w:cs="Arial"/>
                <w:b/>
                <w:sz w:val="20"/>
                <w:szCs w:val="20"/>
                <w:lang w:bidi="ar-SA"/>
              </w:rPr>
            </w:pPr>
            <w:r w:rsidRPr="000C4C17">
              <w:rPr>
                <w:rFonts w:eastAsiaTheme="minorHAnsi" w:cs="Arial"/>
                <w:b/>
                <w:sz w:val="20"/>
                <w:szCs w:val="20"/>
                <w:lang w:bidi="ar-SA"/>
              </w:rPr>
              <w:t xml:space="preserve">Reporting format used by authors to describe the association of BW with </w:t>
            </w:r>
            <w:r w:rsidR="00170A03">
              <w:rPr>
                <w:rFonts w:eastAsiaTheme="minorHAnsi" w:cs="Arial"/>
                <w:b/>
                <w:sz w:val="20"/>
                <w:szCs w:val="20"/>
                <w:lang w:bidi="ar-SA"/>
              </w:rPr>
              <w:t xml:space="preserve">blood </w:t>
            </w:r>
            <w:r w:rsidRPr="000C4C17">
              <w:rPr>
                <w:rFonts w:eastAsiaTheme="minorHAnsi" w:cs="Arial"/>
                <w:b/>
                <w:sz w:val="20"/>
                <w:szCs w:val="20"/>
                <w:lang w:bidi="ar-SA"/>
              </w:rPr>
              <w:t>PFAS</w:t>
            </w:r>
          </w:p>
        </w:tc>
        <w:tc>
          <w:tcPr>
            <w:tcW w:w="595" w:type="dxa"/>
            <w:shd w:val="clear" w:color="auto" w:fill="F2F2F2" w:themeFill="background1" w:themeFillShade="F2"/>
            <w:textDirection w:val="btLr"/>
            <w:vAlign w:val="center"/>
          </w:tcPr>
          <w:p w14:paraId="5BC7C634" w14:textId="77777777" w:rsidR="00DA3E66" w:rsidRPr="000C4C17" w:rsidRDefault="00DA3E66" w:rsidP="00647943">
            <w:pPr>
              <w:widowControl/>
              <w:jc w:val="center"/>
              <w:rPr>
                <w:rFonts w:eastAsiaTheme="minorHAnsi" w:cs="Arial"/>
                <w:b/>
                <w:sz w:val="18"/>
                <w:szCs w:val="20"/>
                <w:lang w:bidi="ar-SA"/>
              </w:rPr>
            </w:pPr>
            <w:r w:rsidRPr="000C4C17">
              <w:rPr>
                <w:rFonts w:eastAsiaTheme="minorHAnsi" w:cs="Arial"/>
                <w:b/>
                <w:sz w:val="18"/>
                <w:szCs w:val="20"/>
                <w:lang w:bidi="ar-SA"/>
              </w:rPr>
              <w:t>EFSA 2008</w:t>
            </w:r>
          </w:p>
        </w:tc>
        <w:tc>
          <w:tcPr>
            <w:tcW w:w="595" w:type="dxa"/>
            <w:shd w:val="clear" w:color="auto" w:fill="F2F2F2" w:themeFill="background1" w:themeFillShade="F2"/>
            <w:textDirection w:val="btLr"/>
            <w:vAlign w:val="center"/>
          </w:tcPr>
          <w:p w14:paraId="1A0BA58A" w14:textId="5A33C7C7" w:rsidR="00DA3E66" w:rsidRPr="000C4C17" w:rsidRDefault="00D8050F" w:rsidP="00647943">
            <w:pPr>
              <w:widowControl/>
              <w:jc w:val="center"/>
              <w:rPr>
                <w:rFonts w:eastAsiaTheme="minorHAnsi" w:cs="Arial"/>
                <w:b/>
                <w:sz w:val="18"/>
                <w:szCs w:val="20"/>
                <w:lang w:bidi="ar-SA"/>
              </w:rPr>
            </w:pPr>
            <w:r>
              <w:rPr>
                <w:rFonts w:eastAsiaTheme="minorHAnsi" w:cs="Arial"/>
                <w:b/>
                <w:sz w:val="18"/>
                <w:szCs w:val="20"/>
                <w:lang w:bidi="ar-SA"/>
              </w:rPr>
              <w:t xml:space="preserve">US </w:t>
            </w:r>
            <w:r w:rsidR="00DA3E66" w:rsidRPr="000C4C17">
              <w:rPr>
                <w:rFonts w:eastAsiaTheme="minorHAnsi" w:cs="Arial"/>
                <w:b/>
                <w:sz w:val="18"/>
                <w:szCs w:val="20"/>
                <w:lang w:bidi="ar-SA"/>
              </w:rPr>
              <w:t>EPA 2016</w:t>
            </w:r>
          </w:p>
          <w:p w14:paraId="4BDA6125" w14:textId="77777777" w:rsidR="00DA3E66" w:rsidRPr="000C4C17" w:rsidRDefault="00DA3E66" w:rsidP="00647943">
            <w:pPr>
              <w:widowControl/>
              <w:jc w:val="center"/>
              <w:rPr>
                <w:rFonts w:eastAsiaTheme="minorHAnsi" w:cs="Arial"/>
                <w:b/>
                <w:sz w:val="18"/>
                <w:szCs w:val="20"/>
                <w:lang w:bidi="ar-SA"/>
              </w:rPr>
            </w:pPr>
            <w:r w:rsidRPr="000C4C17">
              <w:rPr>
                <w:rFonts w:eastAsiaTheme="minorHAnsi" w:cs="Arial"/>
                <w:b/>
                <w:sz w:val="18"/>
                <w:szCs w:val="20"/>
                <w:lang w:bidi="ar-SA"/>
              </w:rPr>
              <w:t>PFOA</w:t>
            </w:r>
          </w:p>
        </w:tc>
        <w:tc>
          <w:tcPr>
            <w:tcW w:w="596" w:type="dxa"/>
            <w:shd w:val="clear" w:color="auto" w:fill="F2F2F2" w:themeFill="background1" w:themeFillShade="F2"/>
            <w:textDirection w:val="btLr"/>
            <w:vAlign w:val="center"/>
          </w:tcPr>
          <w:p w14:paraId="13CDA342" w14:textId="64500CA7" w:rsidR="00DA3E66" w:rsidRPr="000C4C17" w:rsidRDefault="00DA3E66" w:rsidP="00647943">
            <w:pPr>
              <w:widowControl/>
              <w:jc w:val="center"/>
              <w:rPr>
                <w:rFonts w:eastAsiaTheme="minorHAnsi" w:cs="Arial"/>
                <w:b/>
                <w:sz w:val="18"/>
                <w:szCs w:val="20"/>
                <w:lang w:bidi="ar-SA"/>
              </w:rPr>
            </w:pPr>
            <w:r w:rsidRPr="000C4C17">
              <w:rPr>
                <w:rFonts w:eastAsiaTheme="minorHAnsi" w:cs="Arial"/>
                <w:b/>
                <w:sz w:val="18"/>
                <w:szCs w:val="20"/>
                <w:lang w:bidi="ar-SA"/>
              </w:rPr>
              <w:t xml:space="preserve">Johnson </w:t>
            </w:r>
            <w:r w:rsidR="00180A32" w:rsidRPr="00180A32">
              <w:rPr>
                <w:rFonts w:eastAsiaTheme="minorHAnsi" w:cs="Arial"/>
                <w:b/>
                <w:i/>
                <w:sz w:val="18"/>
                <w:szCs w:val="20"/>
                <w:lang w:bidi="ar-SA"/>
              </w:rPr>
              <w:t xml:space="preserve">et al. </w:t>
            </w:r>
            <w:r w:rsidRPr="000C4C17">
              <w:rPr>
                <w:rFonts w:eastAsiaTheme="minorHAnsi" w:cs="Arial"/>
                <w:b/>
                <w:sz w:val="18"/>
                <w:szCs w:val="20"/>
                <w:lang w:bidi="ar-SA"/>
              </w:rPr>
              <w:t xml:space="preserve"> 2014</w:t>
            </w:r>
          </w:p>
        </w:tc>
        <w:tc>
          <w:tcPr>
            <w:tcW w:w="595" w:type="dxa"/>
            <w:shd w:val="clear" w:color="auto" w:fill="F2F2F2" w:themeFill="background1" w:themeFillShade="F2"/>
            <w:textDirection w:val="btLr"/>
            <w:vAlign w:val="center"/>
          </w:tcPr>
          <w:p w14:paraId="52FCD425" w14:textId="6B22277E" w:rsidR="00DA3E66" w:rsidRPr="000C4C17" w:rsidRDefault="00DA3E66" w:rsidP="00647943">
            <w:pPr>
              <w:widowControl/>
              <w:jc w:val="center"/>
              <w:rPr>
                <w:rFonts w:eastAsiaTheme="minorHAnsi" w:cs="Arial"/>
                <w:b/>
                <w:sz w:val="18"/>
                <w:szCs w:val="20"/>
                <w:lang w:bidi="ar-SA"/>
              </w:rPr>
            </w:pPr>
            <w:r w:rsidRPr="000C4C17">
              <w:rPr>
                <w:rFonts w:eastAsiaTheme="minorHAnsi" w:cs="Arial"/>
                <w:b/>
                <w:sz w:val="18"/>
                <w:szCs w:val="20"/>
                <w:lang w:bidi="ar-SA"/>
              </w:rPr>
              <w:t xml:space="preserve">Bach </w:t>
            </w:r>
            <w:r w:rsidR="00180A32" w:rsidRPr="00180A32">
              <w:rPr>
                <w:rFonts w:eastAsiaTheme="minorHAnsi" w:cs="Arial"/>
                <w:b/>
                <w:i/>
                <w:sz w:val="18"/>
                <w:szCs w:val="20"/>
                <w:lang w:bidi="ar-SA"/>
              </w:rPr>
              <w:t xml:space="preserve">et al. </w:t>
            </w:r>
            <w:r w:rsidRPr="000C4C17">
              <w:rPr>
                <w:rFonts w:eastAsiaTheme="minorHAnsi" w:cs="Arial"/>
                <w:b/>
                <w:sz w:val="18"/>
                <w:szCs w:val="20"/>
                <w:lang w:bidi="ar-SA"/>
              </w:rPr>
              <w:t xml:space="preserve"> 2015</w:t>
            </w:r>
          </w:p>
        </w:tc>
        <w:tc>
          <w:tcPr>
            <w:tcW w:w="596" w:type="dxa"/>
            <w:shd w:val="clear" w:color="auto" w:fill="F2F2F2" w:themeFill="background1" w:themeFillShade="F2"/>
            <w:textDirection w:val="btLr"/>
            <w:vAlign w:val="center"/>
          </w:tcPr>
          <w:p w14:paraId="48637FFC" w14:textId="77777777" w:rsidR="00DA3E66" w:rsidRPr="000C4C17" w:rsidRDefault="00DA3E66" w:rsidP="00647943">
            <w:pPr>
              <w:widowControl/>
              <w:jc w:val="center"/>
              <w:rPr>
                <w:rFonts w:eastAsiaTheme="minorHAnsi" w:cs="Arial"/>
                <w:b/>
                <w:sz w:val="18"/>
                <w:szCs w:val="20"/>
                <w:lang w:bidi="ar-SA"/>
              </w:rPr>
            </w:pPr>
            <w:r w:rsidRPr="000C4C17">
              <w:rPr>
                <w:rFonts w:eastAsiaTheme="minorHAnsi" w:cs="Arial"/>
                <w:b/>
                <w:sz w:val="18"/>
                <w:szCs w:val="20"/>
                <w:lang w:bidi="ar-SA"/>
              </w:rPr>
              <w:t>FSANZ</w:t>
            </w:r>
          </w:p>
        </w:tc>
      </w:tr>
      <w:tr w:rsidR="00DA3E66" w:rsidRPr="000C4C17" w14:paraId="4DB93844" w14:textId="77777777" w:rsidTr="001F7EF0">
        <w:trPr>
          <w:trHeight w:val="1120"/>
        </w:trPr>
        <w:tc>
          <w:tcPr>
            <w:tcW w:w="1526" w:type="dxa"/>
            <w:vAlign w:val="center"/>
          </w:tcPr>
          <w:p w14:paraId="0AABB348" w14:textId="77777777" w:rsidR="00DA3E66" w:rsidRPr="000C4C17" w:rsidRDefault="00DA3E66" w:rsidP="00A111E9">
            <w:pPr>
              <w:widowControl/>
              <w:rPr>
                <w:rFonts w:eastAsiaTheme="minorHAnsi"/>
                <w:sz w:val="18"/>
              </w:rPr>
            </w:pPr>
            <w:r w:rsidRPr="000C4C17">
              <w:rPr>
                <w:rFonts w:eastAsiaTheme="minorHAnsi"/>
                <w:sz w:val="18"/>
              </w:rPr>
              <w:t>Inoue</w:t>
            </w:r>
          </w:p>
        </w:tc>
        <w:tc>
          <w:tcPr>
            <w:tcW w:w="1417" w:type="dxa"/>
            <w:vAlign w:val="center"/>
          </w:tcPr>
          <w:p w14:paraId="78097771" w14:textId="77777777" w:rsidR="00DA3E66" w:rsidRPr="000C4C17" w:rsidRDefault="00DA3E66" w:rsidP="00647943">
            <w:pPr>
              <w:widowControl/>
              <w:jc w:val="right"/>
              <w:rPr>
                <w:rFonts w:eastAsiaTheme="minorHAnsi"/>
                <w:sz w:val="18"/>
              </w:rPr>
            </w:pPr>
            <w:r w:rsidRPr="000C4C17">
              <w:rPr>
                <w:rFonts w:eastAsiaTheme="minorHAnsi"/>
                <w:sz w:val="18"/>
              </w:rPr>
              <w:t>2004</w:t>
            </w:r>
          </w:p>
        </w:tc>
        <w:tc>
          <w:tcPr>
            <w:tcW w:w="1843" w:type="dxa"/>
            <w:vAlign w:val="center"/>
          </w:tcPr>
          <w:p w14:paraId="1E38234A" w14:textId="77777777" w:rsidR="00DA3E66" w:rsidRPr="000C4C17" w:rsidRDefault="00DA3E66" w:rsidP="00A111E9">
            <w:pPr>
              <w:widowControl/>
              <w:rPr>
                <w:rFonts w:eastAsiaTheme="minorHAnsi"/>
                <w:sz w:val="18"/>
              </w:rPr>
            </w:pPr>
            <w:r w:rsidRPr="000C4C17">
              <w:rPr>
                <w:rFonts w:eastAsiaTheme="minorHAnsi"/>
                <w:sz w:val="18"/>
              </w:rPr>
              <w:t>Hokkaido, Japan</w:t>
            </w:r>
          </w:p>
        </w:tc>
        <w:tc>
          <w:tcPr>
            <w:tcW w:w="1101" w:type="dxa"/>
            <w:vAlign w:val="center"/>
          </w:tcPr>
          <w:p w14:paraId="6AAE7D4F" w14:textId="26BA8840" w:rsidR="00DA3E66" w:rsidRPr="000C4C17" w:rsidRDefault="00DA3E66" w:rsidP="00A111E9">
            <w:pPr>
              <w:widowControl/>
              <w:rPr>
                <w:rFonts w:eastAsiaTheme="minorHAnsi"/>
                <w:sz w:val="18"/>
              </w:rPr>
            </w:pPr>
            <w:r w:rsidRPr="000C4C17">
              <w:rPr>
                <w:rFonts w:eastAsiaTheme="minorHAnsi"/>
                <w:sz w:val="18"/>
              </w:rPr>
              <w:t>Sapporo Toho</w:t>
            </w:r>
          </w:p>
        </w:tc>
        <w:tc>
          <w:tcPr>
            <w:tcW w:w="1167" w:type="dxa"/>
            <w:vAlign w:val="center"/>
          </w:tcPr>
          <w:p w14:paraId="430A3F14" w14:textId="77777777" w:rsidR="00DA3E66" w:rsidRPr="000C4C17" w:rsidRDefault="00DA3E66" w:rsidP="00A111E9">
            <w:pPr>
              <w:widowControl/>
              <w:rPr>
                <w:rFonts w:eastAsiaTheme="minorHAnsi"/>
                <w:sz w:val="18"/>
              </w:rPr>
            </w:pPr>
            <w:r w:rsidRPr="000C4C17">
              <w:rPr>
                <w:rFonts w:eastAsiaTheme="minorHAnsi"/>
                <w:sz w:val="18"/>
              </w:rPr>
              <w:t>2003</w:t>
            </w:r>
          </w:p>
        </w:tc>
        <w:tc>
          <w:tcPr>
            <w:tcW w:w="1134" w:type="dxa"/>
            <w:vAlign w:val="center"/>
          </w:tcPr>
          <w:p w14:paraId="7B22B402" w14:textId="77777777" w:rsidR="00DA3E66" w:rsidRPr="000C4C17" w:rsidRDefault="00DA3E66" w:rsidP="00647943">
            <w:pPr>
              <w:widowControl/>
              <w:jc w:val="right"/>
              <w:rPr>
                <w:rFonts w:eastAsiaTheme="minorHAnsi"/>
                <w:sz w:val="18"/>
              </w:rPr>
            </w:pPr>
            <w:r w:rsidRPr="000C4C17">
              <w:rPr>
                <w:rFonts w:eastAsiaTheme="minorHAnsi"/>
                <w:sz w:val="18"/>
              </w:rPr>
              <w:t>15</w:t>
            </w:r>
          </w:p>
        </w:tc>
        <w:tc>
          <w:tcPr>
            <w:tcW w:w="2835" w:type="dxa"/>
            <w:vAlign w:val="center"/>
          </w:tcPr>
          <w:p w14:paraId="7D60B772" w14:textId="77777777" w:rsidR="00DA3E66" w:rsidRPr="000C4C17" w:rsidRDefault="00DA3E66" w:rsidP="00A111E9">
            <w:pPr>
              <w:widowControl/>
              <w:autoSpaceDE w:val="0"/>
              <w:autoSpaceDN w:val="0"/>
              <w:adjustRightInd w:val="0"/>
              <w:rPr>
                <w:rFonts w:eastAsiaTheme="minorHAnsi"/>
                <w:color w:val="000000"/>
                <w:sz w:val="18"/>
              </w:rPr>
            </w:pPr>
            <w:r w:rsidRPr="000C4C17">
              <w:rPr>
                <w:rFonts w:eastAsiaTheme="minorHAnsi"/>
                <w:color w:val="000000"/>
                <w:sz w:val="18"/>
              </w:rPr>
              <w:t>PFOA – not applicable (only 3 subjects with detectable concentrations)</w:t>
            </w:r>
          </w:p>
          <w:p w14:paraId="026A80E3" w14:textId="2807FE89" w:rsidR="00DA3E66" w:rsidRPr="000C4C17" w:rsidRDefault="00DA3E66" w:rsidP="00A111E9">
            <w:pPr>
              <w:widowControl/>
              <w:autoSpaceDE w:val="0"/>
              <w:autoSpaceDN w:val="0"/>
              <w:adjustRightInd w:val="0"/>
              <w:rPr>
                <w:rFonts w:eastAsiaTheme="minorHAnsi"/>
                <w:color w:val="000000"/>
                <w:sz w:val="18"/>
              </w:rPr>
            </w:pPr>
            <w:r w:rsidRPr="000C4C17">
              <w:rPr>
                <w:rFonts w:eastAsiaTheme="minorHAnsi"/>
                <w:color w:val="000000"/>
                <w:sz w:val="18"/>
              </w:rPr>
              <w:t>PFOS – “no apparent correlation” in the scatterplot</w:t>
            </w:r>
          </w:p>
        </w:tc>
        <w:tc>
          <w:tcPr>
            <w:tcW w:w="595" w:type="dxa"/>
            <w:vAlign w:val="center"/>
          </w:tcPr>
          <w:p w14:paraId="4ADF2A4E" w14:textId="77777777" w:rsidR="00DA3E66" w:rsidRPr="000C4C17" w:rsidRDefault="00DA3E66" w:rsidP="00647943">
            <w:pPr>
              <w:widowControl/>
              <w:jc w:val="center"/>
              <w:rPr>
                <w:rFonts w:eastAsiaTheme="minorHAnsi"/>
                <w:sz w:val="20"/>
              </w:rPr>
            </w:pPr>
            <w:r w:rsidRPr="000C4C17">
              <w:rPr>
                <w:rFonts w:eastAsiaTheme="minorHAnsi"/>
                <w:sz w:val="20"/>
              </w:rPr>
              <w:t>-</w:t>
            </w:r>
          </w:p>
        </w:tc>
        <w:tc>
          <w:tcPr>
            <w:tcW w:w="595" w:type="dxa"/>
            <w:vAlign w:val="center"/>
          </w:tcPr>
          <w:p w14:paraId="6E66C1C2" w14:textId="77777777" w:rsidR="00DA3E66" w:rsidRPr="000C4C17" w:rsidRDefault="00DA3E66" w:rsidP="00647943">
            <w:pPr>
              <w:widowControl/>
              <w:jc w:val="center"/>
              <w:rPr>
                <w:rFonts w:eastAsiaTheme="minorHAnsi"/>
                <w:sz w:val="20"/>
              </w:rPr>
            </w:pPr>
            <w:r w:rsidRPr="000C4C17">
              <w:rPr>
                <w:rFonts w:eastAsiaTheme="minorHAnsi"/>
                <w:sz w:val="20"/>
              </w:rPr>
              <w:t>-</w:t>
            </w:r>
          </w:p>
        </w:tc>
        <w:tc>
          <w:tcPr>
            <w:tcW w:w="596" w:type="dxa"/>
            <w:vAlign w:val="center"/>
          </w:tcPr>
          <w:p w14:paraId="772434FF" w14:textId="5F38FAA4" w:rsidR="00DA3E66" w:rsidRPr="000C4C17" w:rsidRDefault="00A11A9C" w:rsidP="00647943">
            <w:pPr>
              <w:widowControl/>
              <w:jc w:val="center"/>
              <w:rPr>
                <w:rFonts w:eastAsiaTheme="minorHAnsi"/>
                <w:sz w:val="20"/>
              </w:rPr>
            </w:pPr>
            <w:r>
              <w:rPr>
                <w:rFonts w:eastAsiaTheme="minorHAnsi"/>
                <w:sz w:val="20"/>
              </w:rPr>
              <w:t>-</w:t>
            </w:r>
          </w:p>
        </w:tc>
        <w:tc>
          <w:tcPr>
            <w:tcW w:w="595" w:type="dxa"/>
            <w:vAlign w:val="center"/>
          </w:tcPr>
          <w:p w14:paraId="43120EB3" w14:textId="77777777" w:rsidR="00DA3E66" w:rsidRPr="000C4C17" w:rsidRDefault="00DA3E66" w:rsidP="00647943">
            <w:pPr>
              <w:widowControl/>
              <w:jc w:val="center"/>
              <w:rPr>
                <w:rFonts w:eastAsiaTheme="minorHAnsi"/>
                <w:sz w:val="20"/>
              </w:rPr>
            </w:pPr>
            <w:r w:rsidRPr="000C4C17">
              <w:rPr>
                <w:rFonts w:eastAsiaTheme="minorHAnsi"/>
                <w:sz w:val="20"/>
              </w:rPr>
              <w:sym w:font="Symbol" w:char="F0D6"/>
            </w:r>
          </w:p>
        </w:tc>
        <w:tc>
          <w:tcPr>
            <w:tcW w:w="596" w:type="dxa"/>
            <w:vAlign w:val="center"/>
          </w:tcPr>
          <w:p w14:paraId="26CAD0CE" w14:textId="77777777" w:rsidR="00DA3E66" w:rsidRPr="000C4C17" w:rsidRDefault="00DA3E66" w:rsidP="00647943">
            <w:pPr>
              <w:widowControl/>
              <w:jc w:val="center"/>
              <w:rPr>
                <w:rFonts w:eastAsiaTheme="minorHAnsi"/>
                <w:sz w:val="20"/>
              </w:rPr>
            </w:pPr>
            <w:r w:rsidRPr="000C4C17">
              <w:rPr>
                <w:rFonts w:eastAsiaTheme="minorHAnsi"/>
                <w:sz w:val="20"/>
              </w:rPr>
              <w:t>e</w:t>
            </w:r>
          </w:p>
        </w:tc>
      </w:tr>
      <w:tr w:rsidR="00DA3E66" w:rsidRPr="000C4C17" w14:paraId="2D561CCD" w14:textId="77777777" w:rsidTr="001F7EF0">
        <w:trPr>
          <w:trHeight w:val="426"/>
        </w:trPr>
        <w:tc>
          <w:tcPr>
            <w:tcW w:w="1526" w:type="dxa"/>
            <w:vAlign w:val="center"/>
          </w:tcPr>
          <w:p w14:paraId="6ACCBFA6" w14:textId="1E61AFF2" w:rsidR="00DA3E66" w:rsidRPr="000C4C17" w:rsidRDefault="00DA3E66" w:rsidP="00A111E9">
            <w:pPr>
              <w:widowControl/>
              <w:rPr>
                <w:rFonts w:eastAsiaTheme="minorHAnsi"/>
                <w:sz w:val="18"/>
              </w:rPr>
            </w:pPr>
            <w:r w:rsidRPr="000C4C17">
              <w:rPr>
                <w:rFonts w:eastAsiaTheme="minorHAnsi"/>
                <w:sz w:val="18"/>
              </w:rPr>
              <w:t>Apelberg</w:t>
            </w:r>
          </w:p>
        </w:tc>
        <w:tc>
          <w:tcPr>
            <w:tcW w:w="1417" w:type="dxa"/>
            <w:vAlign w:val="center"/>
          </w:tcPr>
          <w:p w14:paraId="4BE13293" w14:textId="77777777" w:rsidR="00DA3E66" w:rsidRPr="000C4C17" w:rsidRDefault="00DA3E66" w:rsidP="00647943">
            <w:pPr>
              <w:widowControl/>
              <w:jc w:val="right"/>
              <w:rPr>
                <w:rFonts w:eastAsiaTheme="minorHAnsi"/>
                <w:sz w:val="18"/>
              </w:rPr>
            </w:pPr>
            <w:r w:rsidRPr="000C4C17">
              <w:rPr>
                <w:rFonts w:eastAsiaTheme="minorHAnsi"/>
                <w:sz w:val="18"/>
              </w:rPr>
              <w:t>2007</w:t>
            </w:r>
          </w:p>
        </w:tc>
        <w:tc>
          <w:tcPr>
            <w:tcW w:w="1843" w:type="dxa"/>
            <w:vAlign w:val="center"/>
          </w:tcPr>
          <w:p w14:paraId="195E0134" w14:textId="6B8AF7ED" w:rsidR="00DA3E66" w:rsidRPr="000C4C17" w:rsidRDefault="00DA3E66" w:rsidP="00A111E9">
            <w:pPr>
              <w:widowControl/>
              <w:rPr>
                <w:rFonts w:eastAsiaTheme="minorHAnsi"/>
                <w:sz w:val="18"/>
              </w:rPr>
            </w:pPr>
            <w:r w:rsidRPr="000C4C17">
              <w:rPr>
                <w:rFonts w:eastAsiaTheme="minorHAnsi"/>
                <w:sz w:val="18"/>
              </w:rPr>
              <w:t>Maryland, USA</w:t>
            </w:r>
          </w:p>
        </w:tc>
        <w:tc>
          <w:tcPr>
            <w:tcW w:w="1101" w:type="dxa"/>
            <w:vAlign w:val="center"/>
          </w:tcPr>
          <w:p w14:paraId="4660EC86" w14:textId="71183B18" w:rsidR="00DA3E66" w:rsidRPr="000C4C17" w:rsidRDefault="00A11A9C" w:rsidP="00A111E9">
            <w:pPr>
              <w:widowControl/>
              <w:rPr>
                <w:rFonts w:eastAsiaTheme="minorHAnsi"/>
                <w:sz w:val="18"/>
              </w:rPr>
            </w:pPr>
            <w:r>
              <w:rPr>
                <w:rFonts w:eastAsiaTheme="minorHAnsi"/>
                <w:sz w:val="18"/>
              </w:rPr>
              <w:t>-</w:t>
            </w:r>
          </w:p>
        </w:tc>
        <w:tc>
          <w:tcPr>
            <w:tcW w:w="1167" w:type="dxa"/>
            <w:vAlign w:val="center"/>
          </w:tcPr>
          <w:p w14:paraId="0F5EB935" w14:textId="77777777" w:rsidR="00DA3E66" w:rsidRPr="000C4C17" w:rsidRDefault="00DA3E66" w:rsidP="00A111E9">
            <w:pPr>
              <w:widowControl/>
              <w:rPr>
                <w:rFonts w:eastAsiaTheme="minorHAnsi"/>
                <w:sz w:val="18"/>
              </w:rPr>
            </w:pPr>
            <w:r w:rsidRPr="000C4C17">
              <w:rPr>
                <w:rFonts w:eastAsiaTheme="minorHAnsi"/>
                <w:sz w:val="18"/>
              </w:rPr>
              <w:t>2004-5</w:t>
            </w:r>
          </w:p>
        </w:tc>
        <w:tc>
          <w:tcPr>
            <w:tcW w:w="1134" w:type="dxa"/>
            <w:vAlign w:val="center"/>
          </w:tcPr>
          <w:p w14:paraId="3FF3E8A4" w14:textId="5D09D5B7" w:rsidR="00DA3E66" w:rsidRPr="000C4C17" w:rsidRDefault="00DA3E66" w:rsidP="00647943">
            <w:pPr>
              <w:widowControl/>
              <w:jc w:val="right"/>
              <w:rPr>
                <w:rFonts w:eastAsiaTheme="minorHAnsi"/>
                <w:sz w:val="18"/>
              </w:rPr>
            </w:pPr>
            <w:r w:rsidRPr="000C4C17">
              <w:rPr>
                <w:rFonts w:eastAsiaTheme="minorHAnsi"/>
                <w:sz w:val="18"/>
              </w:rPr>
              <w:t>293</w:t>
            </w:r>
          </w:p>
        </w:tc>
        <w:tc>
          <w:tcPr>
            <w:tcW w:w="2835" w:type="dxa"/>
            <w:vAlign w:val="center"/>
          </w:tcPr>
          <w:p w14:paraId="664ADFF0" w14:textId="55BC872A" w:rsidR="00DA3E66" w:rsidRPr="000C4C17" w:rsidRDefault="00A11A9C" w:rsidP="00A111E9">
            <w:pPr>
              <w:widowControl/>
              <w:autoSpaceDE w:val="0"/>
              <w:autoSpaceDN w:val="0"/>
              <w:adjustRightInd w:val="0"/>
              <w:rPr>
                <w:rFonts w:eastAsiaTheme="minorHAnsi"/>
                <w:color w:val="000000"/>
                <w:sz w:val="18"/>
              </w:rPr>
            </w:pPr>
            <w:r>
              <w:rPr>
                <w:rFonts w:eastAsiaTheme="minorHAnsi"/>
                <w:color w:val="000000"/>
                <w:sz w:val="18"/>
              </w:rPr>
              <w:t>P</w:t>
            </w:r>
            <w:r w:rsidR="00DA3E66" w:rsidRPr="000C4C17">
              <w:rPr>
                <w:rFonts w:eastAsiaTheme="minorHAnsi"/>
                <w:color w:val="000000"/>
                <w:sz w:val="18"/>
              </w:rPr>
              <w:t>er log unit (base 10?) PFAS</w:t>
            </w:r>
          </w:p>
        </w:tc>
        <w:tc>
          <w:tcPr>
            <w:tcW w:w="595" w:type="dxa"/>
            <w:vAlign w:val="center"/>
          </w:tcPr>
          <w:p w14:paraId="617DEC9A" w14:textId="77777777" w:rsidR="00DA3E66" w:rsidRPr="000C4C17" w:rsidRDefault="00DA3E66" w:rsidP="00647943">
            <w:pPr>
              <w:widowControl/>
              <w:jc w:val="center"/>
              <w:rPr>
                <w:rFonts w:eastAsiaTheme="minorHAnsi"/>
                <w:sz w:val="20"/>
              </w:rPr>
            </w:pPr>
            <w:r w:rsidRPr="000C4C17">
              <w:rPr>
                <w:rFonts w:eastAsiaTheme="minorHAnsi"/>
                <w:sz w:val="20"/>
              </w:rPr>
              <w:sym w:font="Symbol" w:char="F0D6"/>
            </w:r>
          </w:p>
        </w:tc>
        <w:tc>
          <w:tcPr>
            <w:tcW w:w="595" w:type="dxa"/>
            <w:vAlign w:val="center"/>
          </w:tcPr>
          <w:p w14:paraId="36EAB7CC" w14:textId="77777777" w:rsidR="00DA3E66" w:rsidRPr="000C4C17" w:rsidRDefault="00DA3E66" w:rsidP="00647943">
            <w:pPr>
              <w:widowControl/>
              <w:jc w:val="center"/>
              <w:rPr>
                <w:rFonts w:eastAsiaTheme="minorHAnsi"/>
                <w:sz w:val="20"/>
              </w:rPr>
            </w:pPr>
            <w:r w:rsidRPr="000C4C17">
              <w:rPr>
                <w:rFonts w:eastAsiaTheme="minorHAnsi"/>
                <w:sz w:val="20"/>
              </w:rPr>
              <w:sym w:font="Symbol" w:char="F0D6"/>
            </w:r>
          </w:p>
        </w:tc>
        <w:tc>
          <w:tcPr>
            <w:tcW w:w="596" w:type="dxa"/>
            <w:vAlign w:val="center"/>
          </w:tcPr>
          <w:p w14:paraId="6599DD81" w14:textId="77777777" w:rsidR="00DA3E66" w:rsidRPr="000C4C17" w:rsidRDefault="00DA3E66" w:rsidP="00647943">
            <w:pPr>
              <w:widowControl/>
              <w:jc w:val="center"/>
              <w:rPr>
                <w:rFonts w:eastAsiaTheme="minorHAnsi"/>
                <w:sz w:val="20"/>
              </w:rPr>
            </w:pPr>
            <w:r w:rsidRPr="000C4C17">
              <w:rPr>
                <w:rFonts w:eastAsiaTheme="minorHAnsi"/>
                <w:sz w:val="20"/>
              </w:rPr>
              <w:sym w:font="Symbol" w:char="F0D6"/>
            </w:r>
          </w:p>
        </w:tc>
        <w:tc>
          <w:tcPr>
            <w:tcW w:w="595" w:type="dxa"/>
            <w:vAlign w:val="center"/>
          </w:tcPr>
          <w:p w14:paraId="5AD39A3E" w14:textId="77777777" w:rsidR="00DA3E66" w:rsidRPr="000C4C17" w:rsidRDefault="00DA3E66" w:rsidP="00647943">
            <w:pPr>
              <w:widowControl/>
              <w:jc w:val="center"/>
              <w:rPr>
                <w:rFonts w:eastAsiaTheme="minorHAnsi"/>
                <w:sz w:val="20"/>
              </w:rPr>
            </w:pPr>
            <w:r w:rsidRPr="000C4C17">
              <w:rPr>
                <w:rFonts w:eastAsiaTheme="minorHAnsi"/>
                <w:sz w:val="20"/>
              </w:rPr>
              <w:sym w:font="Symbol" w:char="F0D6"/>
            </w:r>
          </w:p>
        </w:tc>
        <w:tc>
          <w:tcPr>
            <w:tcW w:w="596" w:type="dxa"/>
            <w:vAlign w:val="center"/>
          </w:tcPr>
          <w:p w14:paraId="02D12A73" w14:textId="5353F70D" w:rsidR="00DA3E66" w:rsidRPr="000C4C17" w:rsidRDefault="00E86B28" w:rsidP="002F1039">
            <w:pPr>
              <w:widowControl/>
              <w:jc w:val="center"/>
              <w:rPr>
                <w:rFonts w:eastAsiaTheme="minorHAnsi"/>
                <w:sz w:val="20"/>
              </w:rPr>
            </w:pPr>
            <w:r w:rsidRPr="000C4C17">
              <w:rPr>
                <w:rFonts w:eastAsiaTheme="minorHAnsi"/>
                <w:sz w:val="20"/>
              </w:rPr>
              <w:sym w:font="Symbol" w:char="F0D6"/>
            </w:r>
          </w:p>
        </w:tc>
      </w:tr>
      <w:tr w:rsidR="00DA3E66" w:rsidRPr="000C4C17" w14:paraId="1E12FA13" w14:textId="77777777" w:rsidTr="00F6284E">
        <w:trPr>
          <w:trHeight w:val="776"/>
        </w:trPr>
        <w:tc>
          <w:tcPr>
            <w:tcW w:w="1526" w:type="dxa"/>
            <w:vAlign w:val="center"/>
          </w:tcPr>
          <w:p w14:paraId="5B9B9F98" w14:textId="77777777" w:rsidR="00DA3E66" w:rsidRPr="000C4C17" w:rsidRDefault="00DA3E66" w:rsidP="00A111E9">
            <w:pPr>
              <w:widowControl/>
              <w:rPr>
                <w:rFonts w:eastAsiaTheme="minorHAnsi"/>
                <w:sz w:val="18"/>
              </w:rPr>
            </w:pPr>
            <w:r w:rsidRPr="000C4C17">
              <w:rPr>
                <w:rFonts w:eastAsiaTheme="minorHAnsi"/>
                <w:sz w:val="18"/>
              </w:rPr>
              <w:t xml:space="preserve">Fei </w:t>
            </w:r>
          </w:p>
        </w:tc>
        <w:tc>
          <w:tcPr>
            <w:tcW w:w="1417" w:type="dxa"/>
            <w:vAlign w:val="center"/>
          </w:tcPr>
          <w:p w14:paraId="7C4660C2" w14:textId="77777777" w:rsidR="00DA3E66" w:rsidRPr="000C4C17" w:rsidRDefault="00DA3E66" w:rsidP="00647943">
            <w:pPr>
              <w:widowControl/>
              <w:jc w:val="right"/>
              <w:rPr>
                <w:rFonts w:eastAsiaTheme="minorHAnsi"/>
                <w:sz w:val="18"/>
              </w:rPr>
            </w:pPr>
            <w:r w:rsidRPr="000C4C17">
              <w:rPr>
                <w:rFonts w:eastAsiaTheme="minorHAnsi"/>
                <w:sz w:val="18"/>
              </w:rPr>
              <w:t>2007</w:t>
            </w:r>
          </w:p>
        </w:tc>
        <w:tc>
          <w:tcPr>
            <w:tcW w:w="1843" w:type="dxa"/>
            <w:vAlign w:val="center"/>
          </w:tcPr>
          <w:p w14:paraId="32FAEAD0" w14:textId="77777777" w:rsidR="00DA3E66" w:rsidRPr="000C4C17" w:rsidRDefault="00DA3E66" w:rsidP="00A111E9">
            <w:pPr>
              <w:widowControl/>
              <w:rPr>
                <w:rFonts w:eastAsiaTheme="minorHAnsi"/>
                <w:sz w:val="18"/>
              </w:rPr>
            </w:pPr>
            <w:r w:rsidRPr="000C4C17">
              <w:rPr>
                <w:rFonts w:eastAsiaTheme="minorHAnsi"/>
                <w:sz w:val="18"/>
              </w:rPr>
              <w:t>Denmark</w:t>
            </w:r>
          </w:p>
        </w:tc>
        <w:tc>
          <w:tcPr>
            <w:tcW w:w="1101" w:type="dxa"/>
            <w:vAlign w:val="center"/>
          </w:tcPr>
          <w:p w14:paraId="5F0EFC76" w14:textId="77777777" w:rsidR="00DA3E66" w:rsidRPr="000C4C17" w:rsidRDefault="00DA3E66" w:rsidP="00A111E9">
            <w:pPr>
              <w:widowControl/>
              <w:rPr>
                <w:rFonts w:eastAsiaTheme="minorHAnsi"/>
                <w:sz w:val="18"/>
              </w:rPr>
            </w:pPr>
            <w:r w:rsidRPr="000C4C17">
              <w:rPr>
                <w:rFonts w:eastAsiaTheme="minorHAnsi"/>
                <w:sz w:val="18"/>
              </w:rPr>
              <w:t>DNBC</w:t>
            </w:r>
          </w:p>
        </w:tc>
        <w:tc>
          <w:tcPr>
            <w:tcW w:w="1167" w:type="dxa"/>
            <w:vAlign w:val="center"/>
          </w:tcPr>
          <w:p w14:paraId="5CF81EF8" w14:textId="77777777" w:rsidR="00DA3E66" w:rsidRPr="000C4C17" w:rsidRDefault="00DA3E66" w:rsidP="00A111E9">
            <w:pPr>
              <w:widowControl/>
              <w:rPr>
                <w:rFonts w:eastAsiaTheme="minorHAnsi"/>
                <w:sz w:val="18"/>
              </w:rPr>
            </w:pPr>
            <w:r w:rsidRPr="000C4C17">
              <w:rPr>
                <w:rFonts w:eastAsiaTheme="minorHAnsi"/>
                <w:sz w:val="18"/>
              </w:rPr>
              <w:t>1996-2002</w:t>
            </w:r>
          </w:p>
        </w:tc>
        <w:tc>
          <w:tcPr>
            <w:tcW w:w="1134" w:type="dxa"/>
            <w:vAlign w:val="center"/>
          </w:tcPr>
          <w:p w14:paraId="35C903B6" w14:textId="5D58BED8" w:rsidR="00DA3E66" w:rsidRPr="000C4C17" w:rsidRDefault="00DA3E66" w:rsidP="00647943">
            <w:pPr>
              <w:widowControl/>
              <w:jc w:val="right"/>
              <w:rPr>
                <w:rFonts w:eastAsiaTheme="minorHAnsi"/>
                <w:sz w:val="18"/>
              </w:rPr>
            </w:pPr>
            <w:r w:rsidRPr="000C4C17">
              <w:rPr>
                <w:rFonts w:eastAsiaTheme="minorHAnsi"/>
                <w:sz w:val="18"/>
              </w:rPr>
              <w:t>1207 term</w:t>
            </w:r>
          </w:p>
          <w:p w14:paraId="7BA01B01" w14:textId="77777777" w:rsidR="00DA3E66" w:rsidRPr="000C4C17" w:rsidRDefault="00DA3E66" w:rsidP="00647943">
            <w:pPr>
              <w:widowControl/>
              <w:jc w:val="right"/>
              <w:rPr>
                <w:rFonts w:eastAsiaTheme="minorHAnsi"/>
                <w:sz w:val="18"/>
              </w:rPr>
            </w:pPr>
            <w:r w:rsidRPr="000C4C17">
              <w:rPr>
                <w:rFonts w:eastAsiaTheme="minorHAnsi"/>
                <w:sz w:val="18"/>
              </w:rPr>
              <w:t>1399 full sample</w:t>
            </w:r>
          </w:p>
        </w:tc>
        <w:tc>
          <w:tcPr>
            <w:tcW w:w="2835" w:type="dxa"/>
            <w:vAlign w:val="center"/>
          </w:tcPr>
          <w:p w14:paraId="4C654B18" w14:textId="1CD7B7B6" w:rsidR="00DA3E66" w:rsidRPr="000C4C17" w:rsidRDefault="00DA3E66" w:rsidP="00A111E9">
            <w:pPr>
              <w:widowControl/>
              <w:rPr>
                <w:rFonts w:eastAsiaTheme="minorHAnsi"/>
                <w:sz w:val="18"/>
              </w:rPr>
            </w:pPr>
            <w:r w:rsidRPr="000C4C17">
              <w:rPr>
                <w:rFonts w:eastAsiaTheme="minorHAnsi"/>
                <w:sz w:val="18"/>
              </w:rPr>
              <w:t xml:space="preserve">Per </w:t>
            </w:r>
            <w:r w:rsidR="00A11A9C">
              <w:rPr>
                <w:rFonts w:eastAsiaTheme="minorHAnsi"/>
                <w:sz w:val="18"/>
              </w:rPr>
              <w:t>ng/mL</w:t>
            </w:r>
            <w:r w:rsidRPr="000C4C17">
              <w:rPr>
                <w:rFonts w:eastAsiaTheme="minorHAnsi"/>
                <w:sz w:val="18"/>
              </w:rPr>
              <w:t xml:space="preserve"> increase in PF</w:t>
            </w:r>
            <w:r w:rsidR="00170A03">
              <w:rPr>
                <w:rFonts w:eastAsiaTheme="minorHAnsi"/>
                <w:sz w:val="18"/>
              </w:rPr>
              <w:t>AS</w:t>
            </w:r>
            <w:r w:rsidRPr="000C4C17">
              <w:rPr>
                <w:rFonts w:eastAsiaTheme="minorHAnsi"/>
                <w:sz w:val="18"/>
              </w:rPr>
              <w:t xml:space="preserve"> (untransformed)</w:t>
            </w:r>
          </w:p>
        </w:tc>
        <w:tc>
          <w:tcPr>
            <w:tcW w:w="595" w:type="dxa"/>
            <w:vAlign w:val="center"/>
          </w:tcPr>
          <w:p w14:paraId="64FEBA9F" w14:textId="77777777" w:rsidR="00DA3E66" w:rsidRPr="000C4C17" w:rsidRDefault="00DA3E66" w:rsidP="00647943">
            <w:pPr>
              <w:widowControl/>
              <w:jc w:val="center"/>
              <w:rPr>
                <w:rFonts w:eastAsiaTheme="minorHAnsi"/>
                <w:sz w:val="20"/>
              </w:rPr>
            </w:pPr>
            <w:r w:rsidRPr="000C4C17">
              <w:rPr>
                <w:rFonts w:eastAsiaTheme="minorHAnsi"/>
                <w:sz w:val="20"/>
              </w:rPr>
              <w:sym w:font="Symbol" w:char="F0D6"/>
            </w:r>
          </w:p>
        </w:tc>
        <w:tc>
          <w:tcPr>
            <w:tcW w:w="595" w:type="dxa"/>
            <w:vAlign w:val="center"/>
          </w:tcPr>
          <w:p w14:paraId="1B4A5CFA" w14:textId="77777777" w:rsidR="00DA3E66" w:rsidRPr="000C4C17" w:rsidRDefault="00DA3E66" w:rsidP="00647943">
            <w:pPr>
              <w:widowControl/>
              <w:jc w:val="center"/>
              <w:rPr>
                <w:rFonts w:eastAsiaTheme="minorHAnsi"/>
                <w:sz w:val="20"/>
              </w:rPr>
            </w:pPr>
            <w:r w:rsidRPr="000C4C17">
              <w:rPr>
                <w:rFonts w:eastAsiaTheme="minorHAnsi"/>
                <w:sz w:val="20"/>
              </w:rPr>
              <w:sym w:font="Symbol" w:char="F0D6"/>
            </w:r>
          </w:p>
        </w:tc>
        <w:tc>
          <w:tcPr>
            <w:tcW w:w="596" w:type="dxa"/>
            <w:vAlign w:val="center"/>
          </w:tcPr>
          <w:p w14:paraId="0EDD95ED" w14:textId="77777777" w:rsidR="00DA3E66" w:rsidRPr="000C4C17" w:rsidRDefault="00DA3E66" w:rsidP="00647943">
            <w:pPr>
              <w:widowControl/>
              <w:jc w:val="center"/>
              <w:rPr>
                <w:rFonts w:eastAsiaTheme="minorHAnsi"/>
                <w:sz w:val="20"/>
              </w:rPr>
            </w:pPr>
            <w:r w:rsidRPr="000C4C17">
              <w:rPr>
                <w:rFonts w:eastAsiaTheme="minorHAnsi"/>
                <w:sz w:val="20"/>
              </w:rPr>
              <w:sym w:font="Symbol" w:char="F0D6"/>
            </w:r>
          </w:p>
        </w:tc>
        <w:tc>
          <w:tcPr>
            <w:tcW w:w="595" w:type="dxa"/>
            <w:vAlign w:val="center"/>
          </w:tcPr>
          <w:p w14:paraId="65CD53ED" w14:textId="77777777" w:rsidR="00DA3E66" w:rsidRPr="000C4C17" w:rsidRDefault="00DA3E66" w:rsidP="00647943">
            <w:pPr>
              <w:widowControl/>
              <w:jc w:val="center"/>
              <w:rPr>
                <w:rFonts w:eastAsiaTheme="minorHAnsi"/>
                <w:sz w:val="20"/>
              </w:rPr>
            </w:pPr>
            <w:r w:rsidRPr="000C4C17">
              <w:rPr>
                <w:rFonts w:eastAsiaTheme="minorHAnsi"/>
                <w:sz w:val="20"/>
              </w:rPr>
              <w:sym w:font="Symbol" w:char="F0D6"/>
            </w:r>
          </w:p>
        </w:tc>
        <w:tc>
          <w:tcPr>
            <w:tcW w:w="596" w:type="dxa"/>
            <w:vAlign w:val="center"/>
          </w:tcPr>
          <w:p w14:paraId="11199918" w14:textId="57399D71" w:rsidR="00DA3E66" w:rsidRPr="000C4C17" w:rsidRDefault="002F1039" w:rsidP="00647943">
            <w:pPr>
              <w:widowControl/>
              <w:jc w:val="center"/>
              <w:rPr>
                <w:rFonts w:eastAsiaTheme="minorHAnsi"/>
                <w:sz w:val="20"/>
              </w:rPr>
            </w:pPr>
            <w:r w:rsidRPr="000C4C17">
              <w:rPr>
                <w:rFonts w:eastAsiaTheme="minorHAnsi"/>
                <w:sz w:val="20"/>
              </w:rPr>
              <w:sym w:font="Symbol" w:char="F0D6"/>
            </w:r>
          </w:p>
        </w:tc>
      </w:tr>
      <w:tr w:rsidR="00693082" w:rsidRPr="000C4C17" w14:paraId="7F655E51" w14:textId="77777777" w:rsidTr="004E25D2">
        <w:trPr>
          <w:trHeight w:val="776"/>
        </w:trPr>
        <w:tc>
          <w:tcPr>
            <w:tcW w:w="1526" w:type="dxa"/>
            <w:vAlign w:val="center"/>
          </w:tcPr>
          <w:p w14:paraId="2E1C38CD" w14:textId="330A437E" w:rsidR="00693082" w:rsidRPr="000C4C17" w:rsidRDefault="00693082" w:rsidP="00A111E9">
            <w:pPr>
              <w:widowControl/>
              <w:rPr>
                <w:rFonts w:eastAsiaTheme="minorHAnsi"/>
                <w:sz w:val="18"/>
              </w:rPr>
            </w:pPr>
            <w:r w:rsidRPr="000C4C17">
              <w:rPr>
                <w:rFonts w:eastAsiaTheme="minorHAnsi"/>
                <w:sz w:val="18"/>
              </w:rPr>
              <w:t>Grice</w:t>
            </w:r>
          </w:p>
        </w:tc>
        <w:tc>
          <w:tcPr>
            <w:tcW w:w="1417" w:type="dxa"/>
            <w:vAlign w:val="center"/>
          </w:tcPr>
          <w:p w14:paraId="0BBBE4B2" w14:textId="520F0383" w:rsidR="00693082" w:rsidRPr="000C4C17" w:rsidRDefault="00693082" w:rsidP="00647943">
            <w:pPr>
              <w:widowControl/>
              <w:jc w:val="right"/>
              <w:rPr>
                <w:rFonts w:eastAsiaTheme="minorHAnsi"/>
                <w:sz w:val="18"/>
              </w:rPr>
            </w:pPr>
            <w:r w:rsidRPr="000C4C17">
              <w:rPr>
                <w:rFonts w:eastAsiaTheme="minorHAnsi"/>
                <w:sz w:val="18"/>
              </w:rPr>
              <w:t>2007</w:t>
            </w:r>
          </w:p>
        </w:tc>
        <w:tc>
          <w:tcPr>
            <w:tcW w:w="1843" w:type="dxa"/>
            <w:vAlign w:val="center"/>
          </w:tcPr>
          <w:p w14:paraId="25069B46" w14:textId="77777777" w:rsidR="00693082" w:rsidRPr="000C4C17" w:rsidRDefault="00693082" w:rsidP="00A111E9">
            <w:pPr>
              <w:widowControl/>
              <w:spacing w:before="100" w:beforeAutospacing="1" w:after="100" w:afterAutospacing="1"/>
              <w:rPr>
                <w:rFonts w:eastAsiaTheme="minorHAnsi"/>
                <w:sz w:val="18"/>
              </w:rPr>
            </w:pPr>
            <w:r w:rsidRPr="000C4C17">
              <w:rPr>
                <w:rFonts w:eastAsiaTheme="minorHAnsi"/>
                <w:sz w:val="18"/>
              </w:rPr>
              <w:t>Decatur, AL US</w:t>
            </w:r>
          </w:p>
          <w:p w14:paraId="42413A6F" w14:textId="77777777" w:rsidR="00693082" w:rsidRPr="000C4C17" w:rsidRDefault="00693082" w:rsidP="00A111E9">
            <w:pPr>
              <w:widowControl/>
              <w:rPr>
                <w:rFonts w:eastAsiaTheme="minorHAnsi"/>
                <w:sz w:val="18"/>
              </w:rPr>
            </w:pPr>
          </w:p>
        </w:tc>
        <w:tc>
          <w:tcPr>
            <w:tcW w:w="1101" w:type="dxa"/>
            <w:vAlign w:val="center"/>
          </w:tcPr>
          <w:p w14:paraId="5B6B8FE3" w14:textId="097F8860" w:rsidR="00693082" w:rsidRPr="000C4C17" w:rsidRDefault="00693082" w:rsidP="00A111E9">
            <w:pPr>
              <w:widowControl/>
              <w:rPr>
                <w:rFonts w:eastAsiaTheme="minorHAnsi"/>
                <w:sz w:val="18"/>
              </w:rPr>
            </w:pPr>
            <w:r w:rsidRPr="000C4C17">
              <w:rPr>
                <w:rFonts w:eastAsiaTheme="minorHAnsi"/>
                <w:sz w:val="18"/>
              </w:rPr>
              <w:t>3M</w:t>
            </w:r>
          </w:p>
        </w:tc>
        <w:tc>
          <w:tcPr>
            <w:tcW w:w="1167" w:type="dxa"/>
            <w:vAlign w:val="center"/>
          </w:tcPr>
          <w:p w14:paraId="487BCFF4" w14:textId="7C9F8A56" w:rsidR="00693082" w:rsidRPr="000C4C17" w:rsidRDefault="00693082" w:rsidP="00A111E9">
            <w:pPr>
              <w:widowControl/>
              <w:rPr>
                <w:rFonts w:eastAsiaTheme="minorHAnsi"/>
                <w:sz w:val="18"/>
              </w:rPr>
            </w:pPr>
            <w:r w:rsidRPr="000C4C17">
              <w:rPr>
                <w:rFonts w:eastAsiaTheme="minorHAnsi"/>
                <w:sz w:val="18"/>
              </w:rPr>
              <w:t>1997</w:t>
            </w:r>
          </w:p>
        </w:tc>
        <w:tc>
          <w:tcPr>
            <w:tcW w:w="1134" w:type="dxa"/>
            <w:vAlign w:val="center"/>
          </w:tcPr>
          <w:p w14:paraId="50E5B156" w14:textId="0F8AFFAE" w:rsidR="00693082" w:rsidRPr="000C4C17" w:rsidRDefault="00693082" w:rsidP="00647943">
            <w:pPr>
              <w:widowControl/>
              <w:jc w:val="right"/>
              <w:rPr>
                <w:rFonts w:eastAsiaTheme="minorHAnsi"/>
                <w:sz w:val="18"/>
              </w:rPr>
            </w:pPr>
            <w:r w:rsidRPr="000C4C17">
              <w:rPr>
                <w:rFonts w:eastAsiaTheme="minorHAnsi"/>
                <w:sz w:val="18"/>
              </w:rPr>
              <w:t>421 births to 263 women</w:t>
            </w:r>
          </w:p>
        </w:tc>
        <w:tc>
          <w:tcPr>
            <w:tcW w:w="2835" w:type="dxa"/>
            <w:vAlign w:val="center"/>
          </w:tcPr>
          <w:p w14:paraId="16D10716" w14:textId="627F620B" w:rsidR="00693082" w:rsidRDefault="00693082" w:rsidP="00A111E9">
            <w:pPr>
              <w:widowControl/>
              <w:rPr>
                <w:rFonts w:eastAsiaTheme="minorHAnsi"/>
                <w:sz w:val="18"/>
              </w:rPr>
            </w:pPr>
            <w:r w:rsidRPr="000C4C17">
              <w:rPr>
                <w:rFonts w:eastAsiaTheme="minorHAnsi"/>
                <w:sz w:val="18"/>
              </w:rPr>
              <w:t>Mean birthweight (maternal recall) by categories of calculated exposure from job history between 1961-1997 (PFOS only)</w:t>
            </w:r>
          </w:p>
        </w:tc>
        <w:tc>
          <w:tcPr>
            <w:tcW w:w="595" w:type="dxa"/>
          </w:tcPr>
          <w:p w14:paraId="132F92EB" w14:textId="77777777" w:rsidR="00693082" w:rsidRDefault="00693082" w:rsidP="00647943">
            <w:pPr>
              <w:widowControl/>
              <w:jc w:val="center"/>
              <w:rPr>
                <w:rFonts w:eastAsiaTheme="minorHAnsi"/>
                <w:sz w:val="20"/>
              </w:rPr>
            </w:pPr>
          </w:p>
          <w:p w14:paraId="23240735" w14:textId="77777777" w:rsidR="00693082" w:rsidRDefault="00693082" w:rsidP="00647943">
            <w:pPr>
              <w:widowControl/>
              <w:jc w:val="center"/>
              <w:rPr>
                <w:rFonts w:eastAsiaTheme="minorHAnsi"/>
                <w:sz w:val="20"/>
              </w:rPr>
            </w:pPr>
          </w:p>
          <w:p w14:paraId="6C099E79" w14:textId="38353AD2" w:rsidR="00693082" w:rsidRPr="000C4C17" w:rsidRDefault="00693082" w:rsidP="00647943">
            <w:pPr>
              <w:widowControl/>
              <w:jc w:val="center"/>
              <w:rPr>
                <w:rFonts w:eastAsiaTheme="minorHAnsi"/>
                <w:sz w:val="20"/>
              </w:rPr>
            </w:pPr>
            <w:r>
              <w:rPr>
                <w:rFonts w:eastAsiaTheme="minorHAnsi"/>
                <w:sz w:val="20"/>
              </w:rPr>
              <w:t>-</w:t>
            </w:r>
          </w:p>
        </w:tc>
        <w:tc>
          <w:tcPr>
            <w:tcW w:w="595" w:type="dxa"/>
            <w:vAlign w:val="center"/>
          </w:tcPr>
          <w:p w14:paraId="48116CBC" w14:textId="6D1E5776" w:rsidR="00693082" w:rsidRPr="000C4C17" w:rsidRDefault="00693082" w:rsidP="00647943">
            <w:pPr>
              <w:widowControl/>
              <w:jc w:val="center"/>
              <w:rPr>
                <w:rFonts w:eastAsiaTheme="minorHAnsi"/>
                <w:sz w:val="20"/>
              </w:rPr>
            </w:pPr>
            <w:r>
              <w:rPr>
                <w:rFonts w:eastAsiaTheme="minorHAnsi"/>
                <w:sz w:val="20"/>
              </w:rPr>
              <w:t>-</w:t>
            </w:r>
          </w:p>
        </w:tc>
        <w:tc>
          <w:tcPr>
            <w:tcW w:w="596" w:type="dxa"/>
            <w:vAlign w:val="center"/>
          </w:tcPr>
          <w:p w14:paraId="5F854DF9" w14:textId="400E4D84" w:rsidR="00693082" w:rsidRPr="000C4C17" w:rsidRDefault="00693082" w:rsidP="00647943">
            <w:pPr>
              <w:widowControl/>
              <w:jc w:val="center"/>
              <w:rPr>
                <w:rFonts w:eastAsiaTheme="minorHAnsi"/>
                <w:sz w:val="20"/>
              </w:rPr>
            </w:pPr>
            <w:r>
              <w:rPr>
                <w:rFonts w:eastAsiaTheme="minorHAnsi"/>
                <w:sz w:val="20"/>
              </w:rPr>
              <w:t>-</w:t>
            </w:r>
          </w:p>
        </w:tc>
        <w:tc>
          <w:tcPr>
            <w:tcW w:w="595" w:type="dxa"/>
            <w:vAlign w:val="center"/>
          </w:tcPr>
          <w:p w14:paraId="180D35F5" w14:textId="65B2B0A5" w:rsidR="00693082" w:rsidRPr="000C4C17" w:rsidRDefault="00693082" w:rsidP="00647943">
            <w:pPr>
              <w:widowControl/>
              <w:jc w:val="center"/>
              <w:rPr>
                <w:rFonts w:eastAsiaTheme="minorHAnsi"/>
                <w:sz w:val="20"/>
              </w:rPr>
            </w:pPr>
            <w:r>
              <w:rPr>
                <w:rFonts w:eastAsiaTheme="minorHAnsi"/>
                <w:sz w:val="20"/>
              </w:rPr>
              <w:t>e</w:t>
            </w:r>
          </w:p>
        </w:tc>
        <w:tc>
          <w:tcPr>
            <w:tcW w:w="596" w:type="dxa"/>
            <w:vAlign w:val="center"/>
          </w:tcPr>
          <w:p w14:paraId="4DDBAC14" w14:textId="10CECA00" w:rsidR="00693082" w:rsidRPr="000C4C17" w:rsidRDefault="00693082" w:rsidP="00647943">
            <w:pPr>
              <w:widowControl/>
              <w:jc w:val="center"/>
              <w:rPr>
                <w:rFonts w:eastAsiaTheme="minorHAnsi"/>
                <w:sz w:val="20"/>
              </w:rPr>
            </w:pPr>
            <w:r>
              <w:rPr>
                <w:rFonts w:eastAsiaTheme="minorHAnsi"/>
                <w:sz w:val="20"/>
              </w:rPr>
              <w:t>q</w:t>
            </w:r>
          </w:p>
        </w:tc>
      </w:tr>
      <w:tr w:rsidR="00DA3E66" w:rsidRPr="000C4C17" w14:paraId="6B1E6912" w14:textId="77777777" w:rsidTr="001F7EF0">
        <w:trPr>
          <w:trHeight w:val="330"/>
        </w:trPr>
        <w:tc>
          <w:tcPr>
            <w:tcW w:w="1526" w:type="dxa"/>
            <w:vAlign w:val="center"/>
          </w:tcPr>
          <w:p w14:paraId="591061E6" w14:textId="77777777" w:rsidR="00DA3E66" w:rsidRPr="000C4C17" w:rsidRDefault="00DA3E66" w:rsidP="00A111E9">
            <w:pPr>
              <w:widowControl/>
              <w:rPr>
                <w:rFonts w:eastAsiaTheme="minorHAnsi"/>
                <w:sz w:val="18"/>
              </w:rPr>
            </w:pPr>
            <w:r w:rsidRPr="000C4C17">
              <w:rPr>
                <w:rFonts w:eastAsiaTheme="minorHAnsi"/>
                <w:sz w:val="18"/>
              </w:rPr>
              <w:t>Monroy</w:t>
            </w:r>
          </w:p>
        </w:tc>
        <w:tc>
          <w:tcPr>
            <w:tcW w:w="1417" w:type="dxa"/>
            <w:vAlign w:val="center"/>
          </w:tcPr>
          <w:p w14:paraId="64889AD4" w14:textId="77777777" w:rsidR="00DA3E66" w:rsidRPr="000C4C17" w:rsidRDefault="00DA3E66" w:rsidP="00647943">
            <w:pPr>
              <w:widowControl/>
              <w:jc w:val="right"/>
              <w:rPr>
                <w:rFonts w:eastAsiaTheme="minorHAnsi"/>
                <w:sz w:val="18"/>
              </w:rPr>
            </w:pPr>
            <w:r w:rsidRPr="000C4C17">
              <w:rPr>
                <w:rFonts w:eastAsiaTheme="minorHAnsi"/>
                <w:sz w:val="18"/>
              </w:rPr>
              <w:t>2008</w:t>
            </w:r>
          </w:p>
        </w:tc>
        <w:tc>
          <w:tcPr>
            <w:tcW w:w="1843" w:type="dxa"/>
            <w:vAlign w:val="center"/>
          </w:tcPr>
          <w:p w14:paraId="67A8B4E5" w14:textId="77777777" w:rsidR="00DA3E66" w:rsidRPr="000C4C17" w:rsidRDefault="00DA3E66" w:rsidP="00A111E9">
            <w:pPr>
              <w:widowControl/>
              <w:rPr>
                <w:rFonts w:eastAsiaTheme="minorHAnsi"/>
                <w:sz w:val="18"/>
              </w:rPr>
            </w:pPr>
            <w:r w:rsidRPr="000C4C17">
              <w:rPr>
                <w:rFonts w:eastAsiaTheme="minorHAnsi"/>
                <w:sz w:val="18"/>
              </w:rPr>
              <w:t>Ontario, Canada</w:t>
            </w:r>
          </w:p>
        </w:tc>
        <w:tc>
          <w:tcPr>
            <w:tcW w:w="1101" w:type="dxa"/>
            <w:vAlign w:val="center"/>
          </w:tcPr>
          <w:p w14:paraId="4E309506" w14:textId="77777777" w:rsidR="00DA3E66" w:rsidRPr="000C4C17" w:rsidRDefault="00DA3E66" w:rsidP="00A111E9">
            <w:pPr>
              <w:widowControl/>
              <w:rPr>
                <w:rFonts w:eastAsiaTheme="minorHAnsi"/>
                <w:sz w:val="18"/>
              </w:rPr>
            </w:pPr>
            <w:r w:rsidRPr="000C4C17">
              <w:rPr>
                <w:rFonts w:eastAsiaTheme="minorHAnsi"/>
                <w:sz w:val="18"/>
              </w:rPr>
              <w:t>-</w:t>
            </w:r>
          </w:p>
        </w:tc>
        <w:tc>
          <w:tcPr>
            <w:tcW w:w="1167" w:type="dxa"/>
            <w:vAlign w:val="center"/>
          </w:tcPr>
          <w:p w14:paraId="38D1ED3C" w14:textId="77777777" w:rsidR="00DA3E66" w:rsidRPr="000C4C17" w:rsidRDefault="00DA3E66" w:rsidP="00A111E9">
            <w:pPr>
              <w:widowControl/>
              <w:rPr>
                <w:rFonts w:eastAsiaTheme="minorHAnsi"/>
                <w:sz w:val="18"/>
              </w:rPr>
            </w:pPr>
            <w:r w:rsidRPr="000C4C17">
              <w:rPr>
                <w:rFonts w:eastAsiaTheme="minorHAnsi"/>
                <w:sz w:val="18"/>
              </w:rPr>
              <w:t>2002-5</w:t>
            </w:r>
          </w:p>
        </w:tc>
        <w:tc>
          <w:tcPr>
            <w:tcW w:w="1134" w:type="dxa"/>
            <w:vAlign w:val="center"/>
          </w:tcPr>
          <w:p w14:paraId="6886D968" w14:textId="52CA7818" w:rsidR="00DA3E66" w:rsidRPr="000C4C17" w:rsidRDefault="00693082" w:rsidP="00647943">
            <w:pPr>
              <w:widowControl/>
              <w:jc w:val="right"/>
              <w:rPr>
                <w:rFonts w:eastAsiaTheme="minorHAnsi"/>
                <w:sz w:val="18"/>
              </w:rPr>
            </w:pPr>
            <w:r>
              <w:rPr>
                <w:rFonts w:eastAsiaTheme="minorHAnsi"/>
                <w:sz w:val="18"/>
              </w:rPr>
              <w:t>101</w:t>
            </w:r>
          </w:p>
        </w:tc>
        <w:tc>
          <w:tcPr>
            <w:tcW w:w="2835" w:type="dxa"/>
            <w:vAlign w:val="center"/>
          </w:tcPr>
          <w:p w14:paraId="36C899C0" w14:textId="361E4E54" w:rsidR="00DA3E66" w:rsidRPr="000C4C17" w:rsidRDefault="00DA3E66" w:rsidP="00A111E9">
            <w:pPr>
              <w:widowControl/>
              <w:autoSpaceDE w:val="0"/>
              <w:autoSpaceDN w:val="0"/>
              <w:adjustRightInd w:val="0"/>
              <w:rPr>
                <w:rFonts w:eastAsiaTheme="minorHAnsi"/>
                <w:color w:val="000000"/>
                <w:sz w:val="18"/>
              </w:rPr>
            </w:pPr>
            <w:r w:rsidRPr="000C4C17">
              <w:rPr>
                <w:rFonts w:eastAsiaTheme="minorHAnsi"/>
                <w:color w:val="000000"/>
                <w:sz w:val="18"/>
              </w:rPr>
              <w:t>Inverted analysis*</w:t>
            </w:r>
          </w:p>
        </w:tc>
        <w:tc>
          <w:tcPr>
            <w:tcW w:w="595" w:type="dxa"/>
            <w:vAlign w:val="center"/>
          </w:tcPr>
          <w:p w14:paraId="48BF27ED" w14:textId="77777777" w:rsidR="00DA3E66" w:rsidRPr="000C4C17" w:rsidRDefault="00DA3E66" w:rsidP="00647943">
            <w:pPr>
              <w:widowControl/>
              <w:jc w:val="center"/>
              <w:rPr>
                <w:rFonts w:eastAsiaTheme="minorHAnsi"/>
                <w:sz w:val="20"/>
              </w:rPr>
            </w:pPr>
            <w:r w:rsidRPr="000C4C17">
              <w:rPr>
                <w:rFonts w:eastAsiaTheme="minorHAnsi"/>
                <w:sz w:val="20"/>
              </w:rPr>
              <w:t>-</w:t>
            </w:r>
          </w:p>
        </w:tc>
        <w:tc>
          <w:tcPr>
            <w:tcW w:w="595" w:type="dxa"/>
            <w:vAlign w:val="center"/>
          </w:tcPr>
          <w:p w14:paraId="686B8C62" w14:textId="77777777" w:rsidR="00DA3E66" w:rsidRPr="000C4C17" w:rsidRDefault="00DA3E66" w:rsidP="00647943">
            <w:pPr>
              <w:widowControl/>
              <w:jc w:val="center"/>
              <w:rPr>
                <w:rFonts w:eastAsiaTheme="minorHAnsi"/>
                <w:sz w:val="20"/>
              </w:rPr>
            </w:pPr>
            <w:r w:rsidRPr="000C4C17">
              <w:rPr>
                <w:rFonts w:eastAsiaTheme="minorHAnsi"/>
                <w:sz w:val="20"/>
              </w:rPr>
              <w:sym w:font="Symbol" w:char="F0D6"/>
            </w:r>
          </w:p>
        </w:tc>
        <w:tc>
          <w:tcPr>
            <w:tcW w:w="596" w:type="dxa"/>
            <w:vAlign w:val="center"/>
          </w:tcPr>
          <w:p w14:paraId="00F56AEA" w14:textId="77777777" w:rsidR="00DA3E66" w:rsidRPr="000C4C17" w:rsidRDefault="00DA3E66" w:rsidP="00647943">
            <w:pPr>
              <w:widowControl/>
              <w:jc w:val="center"/>
              <w:rPr>
                <w:rFonts w:eastAsiaTheme="minorHAnsi"/>
                <w:sz w:val="20"/>
              </w:rPr>
            </w:pPr>
            <w:r w:rsidRPr="000C4C17">
              <w:rPr>
                <w:rFonts w:eastAsiaTheme="minorHAnsi"/>
                <w:sz w:val="20"/>
              </w:rPr>
              <w:t>e</w:t>
            </w:r>
          </w:p>
        </w:tc>
        <w:tc>
          <w:tcPr>
            <w:tcW w:w="595" w:type="dxa"/>
            <w:vAlign w:val="center"/>
          </w:tcPr>
          <w:p w14:paraId="62134848" w14:textId="2CE67704" w:rsidR="00DA3E66" w:rsidRPr="000C4C17" w:rsidRDefault="007C6226" w:rsidP="00647943">
            <w:pPr>
              <w:widowControl/>
              <w:jc w:val="center"/>
              <w:rPr>
                <w:rFonts w:eastAsiaTheme="minorHAnsi"/>
                <w:i/>
                <w:sz w:val="20"/>
              </w:rPr>
            </w:pPr>
            <w:r w:rsidRPr="000C4C17">
              <w:rPr>
                <w:rFonts w:eastAsiaTheme="minorHAnsi" w:cs="Arial"/>
                <w:sz w:val="20"/>
                <w:szCs w:val="20"/>
                <w:lang w:bidi="ar-SA"/>
              </w:rPr>
              <w:sym w:font="Symbol" w:char="F0D6"/>
            </w:r>
          </w:p>
        </w:tc>
        <w:tc>
          <w:tcPr>
            <w:tcW w:w="596" w:type="dxa"/>
            <w:vAlign w:val="center"/>
          </w:tcPr>
          <w:p w14:paraId="18C8D19E" w14:textId="77777777" w:rsidR="00DA3E66" w:rsidRPr="000C4C17" w:rsidRDefault="00DA3E66" w:rsidP="00647943">
            <w:pPr>
              <w:widowControl/>
              <w:jc w:val="center"/>
              <w:rPr>
                <w:rFonts w:eastAsiaTheme="minorHAnsi"/>
                <w:sz w:val="20"/>
              </w:rPr>
            </w:pPr>
            <w:r w:rsidRPr="000C4C17">
              <w:rPr>
                <w:rFonts w:eastAsiaTheme="minorHAnsi"/>
                <w:sz w:val="20"/>
              </w:rPr>
              <w:t>q</w:t>
            </w:r>
          </w:p>
        </w:tc>
      </w:tr>
      <w:tr w:rsidR="00DA3E66" w:rsidRPr="000C4C17" w14:paraId="24BD9411" w14:textId="77777777" w:rsidTr="00F6284E">
        <w:trPr>
          <w:trHeight w:val="166"/>
        </w:trPr>
        <w:tc>
          <w:tcPr>
            <w:tcW w:w="1526" w:type="dxa"/>
            <w:vAlign w:val="center"/>
          </w:tcPr>
          <w:p w14:paraId="08B1CD1B" w14:textId="77777777" w:rsidR="00DA3E66" w:rsidRPr="000C4C17" w:rsidRDefault="00DA3E66" w:rsidP="00A111E9">
            <w:pPr>
              <w:widowControl/>
              <w:rPr>
                <w:rFonts w:eastAsiaTheme="minorHAnsi"/>
                <w:sz w:val="18"/>
              </w:rPr>
            </w:pPr>
            <w:r w:rsidRPr="000C4C17">
              <w:rPr>
                <w:rFonts w:eastAsiaTheme="minorHAnsi"/>
                <w:sz w:val="18"/>
              </w:rPr>
              <w:t>Washino</w:t>
            </w:r>
          </w:p>
        </w:tc>
        <w:tc>
          <w:tcPr>
            <w:tcW w:w="1417" w:type="dxa"/>
            <w:vAlign w:val="center"/>
          </w:tcPr>
          <w:p w14:paraId="28163823" w14:textId="77777777" w:rsidR="00DA3E66" w:rsidRPr="000C4C17" w:rsidRDefault="00DA3E66" w:rsidP="00647943">
            <w:pPr>
              <w:widowControl/>
              <w:jc w:val="right"/>
              <w:rPr>
                <w:rFonts w:eastAsiaTheme="minorHAnsi"/>
                <w:sz w:val="18"/>
              </w:rPr>
            </w:pPr>
            <w:r w:rsidRPr="000C4C17">
              <w:rPr>
                <w:rFonts w:eastAsiaTheme="minorHAnsi"/>
                <w:sz w:val="18"/>
              </w:rPr>
              <w:t>2009</w:t>
            </w:r>
          </w:p>
        </w:tc>
        <w:tc>
          <w:tcPr>
            <w:tcW w:w="1843" w:type="dxa"/>
            <w:vAlign w:val="center"/>
          </w:tcPr>
          <w:p w14:paraId="77745A72" w14:textId="77777777" w:rsidR="00DA3E66" w:rsidRPr="000C4C17" w:rsidRDefault="00DA3E66" w:rsidP="00A111E9">
            <w:pPr>
              <w:widowControl/>
              <w:rPr>
                <w:rFonts w:eastAsiaTheme="minorHAnsi"/>
                <w:sz w:val="18"/>
              </w:rPr>
            </w:pPr>
            <w:r w:rsidRPr="000C4C17">
              <w:rPr>
                <w:rFonts w:eastAsiaTheme="minorHAnsi"/>
                <w:sz w:val="18"/>
              </w:rPr>
              <w:t>Hokkaido, Japan</w:t>
            </w:r>
          </w:p>
        </w:tc>
        <w:tc>
          <w:tcPr>
            <w:tcW w:w="1101" w:type="dxa"/>
            <w:vAlign w:val="center"/>
          </w:tcPr>
          <w:p w14:paraId="45BECF69" w14:textId="77777777" w:rsidR="00DA3E66" w:rsidRPr="000C4C17" w:rsidRDefault="00DA3E66" w:rsidP="00A111E9">
            <w:pPr>
              <w:widowControl/>
              <w:rPr>
                <w:rFonts w:eastAsiaTheme="minorHAnsi"/>
                <w:sz w:val="18"/>
              </w:rPr>
            </w:pPr>
            <w:r w:rsidRPr="000C4C17">
              <w:rPr>
                <w:rFonts w:eastAsiaTheme="minorHAnsi"/>
                <w:sz w:val="18"/>
              </w:rPr>
              <w:t>Sapporo Toho</w:t>
            </w:r>
          </w:p>
        </w:tc>
        <w:tc>
          <w:tcPr>
            <w:tcW w:w="1167" w:type="dxa"/>
            <w:vAlign w:val="center"/>
          </w:tcPr>
          <w:p w14:paraId="4427BCB2" w14:textId="77777777" w:rsidR="00DA3E66" w:rsidRPr="000C4C17" w:rsidRDefault="00DA3E66" w:rsidP="00A111E9">
            <w:pPr>
              <w:widowControl/>
              <w:rPr>
                <w:rFonts w:eastAsiaTheme="minorHAnsi"/>
                <w:sz w:val="18"/>
              </w:rPr>
            </w:pPr>
            <w:r w:rsidRPr="000C4C17">
              <w:rPr>
                <w:rFonts w:eastAsiaTheme="minorHAnsi"/>
                <w:sz w:val="18"/>
              </w:rPr>
              <w:t>2002-5</w:t>
            </w:r>
          </w:p>
        </w:tc>
        <w:tc>
          <w:tcPr>
            <w:tcW w:w="1134" w:type="dxa"/>
            <w:vAlign w:val="center"/>
          </w:tcPr>
          <w:p w14:paraId="437ED26E" w14:textId="77777777" w:rsidR="00DA3E66" w:rsidRPr="000C4C17" w:rsidRDefault="00DA3E66" w:rsidP="00647943">
            <w:pPr>
              <w:widowControl/>
              <w:jc w:val="right"/>
              <w:rPr>
                <w:rFonts w:eastAsiaTheme="minorHAnsi"/>
                <w:sz w:val="18"/>
              </w:rPr>
            </w:pPr>
            <w:r w:rsidRPr="000C4C17">
              <w:rPr>
                <w:rFonts w:eastAsiaTheme="minorHAnsi"/>
                <w:sz w:val="18"/>
              </w:rPr>
              <w:t>428</w:t>
            </w:r>
          </w:p>
        </w:tc>
        <w:tc>
          <w:tcPr>
            <w:tcW w:w="2835" w:type="dxa"/>
            <w:vAlign w:val="center"/>
          </w:tcPr>
          <w:p w14:paraId="735B90A9" w14:textId="323B5962" w:rsidR="00DA3E66" w:rsidRPr="000C4C17" w:rsidRDefault="00693082" w:rsidP="00A111E9">
            <w:pPr>
              <w:widowControl/>
              <w:autoSpaceDE w:val="0"/>
              <w:autoSpaceDN w:val="0"/>
              <w:adjustRightInd w:val="0"/>
              <w:rPr>
                <w:rFonts w:eastAsiaTheme="minorHAnsi"/>
                <w:color w:val="000000"/>
                <w:sz w:val="18"/>
              </w:rPr>
            </w:pPr>
            <w:r>
              <w:rPr>
                <w:rFonts w:eastAsiaTheme="minorHAnsi"/>
                <w:color w:val="000000"/>
                <w:sz w:val="18"/>
              </w:rPr>
              <w:t>P</w:t>
            </w:r>
            <w:r w:rsidRPr="000C4C17">
              <w:rPr>
                <w:rFonts w:eastAsiaTheme="minorHAnsi"/>
                <w:color w:val="000000"/>
                <w:sz w:val="18"/>
              </w:rPr>
              <w:t>er</w:t>
            </w:r>
            <w:r w:rsidR="00DA3E66" w:rsidRPr="000C4C17">
              <w:rPr>
                <w:rFonts w:eastAsiaTheme="minorHAnsi"/>
                <w:color w:val="000000"/>
                <w:sz w:val="18"/>
              </w:rPr>
              <w:t xml:space="preserve"> log 10 unit of PFAS</w:t>
            </w:r>
          </w:p>
        </w:tc>
        <w:tc>
          <w:tcPr>
            <w:tcW w:w="595" w:type="dxa"/>
            <w:vAlign w:val="center"/>
          </w:tcPr>
          <w:p w14:paraId="1AC9A745" w14:textId="77777777" w:rsidR="00DA3E66" w:rsidRPr="000C4C17" w:rsidRDefault="00DA3E66" w:rsidP="00647943">
            <w:pPr>
              <w:widowControl/>
              <w:jc w:val="center"/>
              <w:rPr>
                <w:rFonts w:eastAsiaTheme="minorHAnsi"/>
                <w:sz w:val="20"/>
              </w:rPr>
            </w:pPr>
            <w:r w:rsidRPr="000C4C17">
              <w:rPr>
                <w:rFonts w:eastAsiaTheme="minorHAnsi"/>
                <w:sz w:val="20"/>
              </w:rPr>
              <w:t>-</w:t>
            </w:r>
          </w:p>
        </w:tc>
        <w:tc>
          <w:tcPr>
            <w:tcW w:w="595" w:type="dxa"/>
            <w:vAlign w:val="center"/>
          </w:tcPr>
          <w:p w14:paraId="4522CFEB" w14:textId="77777777" w:rsidR="00DA3E66" w:rsidRPr="000C4C17" w:rsidRDefault="00DA3E66" w:rsidP="00647943">
            <w:pPr>
              <w:widowControl/>
              <w:jc w:val="center"/>
              <w:rPr>
                <w:rFonts w:eastAsiaTheme="minorHAnsi"/>
                <w:sz w:val="20"/>
              </w:rPr>
            </w:pPr>
            <w:r w:rsidRPr="000C4C17">
              <w:rPr>
                <w:rFonts w:eastAsiaTheme="minorHAnsi"/>
                <w:sz w:val="20"/>
              </w:rPr>
              <w:sym w:font="Symbol" w:char="F0D6"/>
            </w:r>
          </w:p>
        </w:tc>
        <w:tc>
          <w:tcPr>
            <w:tcW w:w="596" w:type="dxa"/>
            <w:vAlign w:val="center"/>
          </w:tcPr>
          <w:p w14:paraId="638F39A5" w14:textId="77777777" w:rsidR="00DA3E66" w:rsidRPr="000C4C17" w:rsidRDefault="00DA3E66" w:rsidP="00647943">
            <w:pPr>
              <w:widowControl/>
              <w:jc w:val="center"/>
              <w:rPr>
                <w:rFonts w:eastAsiaTheme="minorHAnsi"/>
                <w:sz w:val="20"/>
              </w:rPr>
            </w:pPr>
            <w:r w:rsidRPr="000C4C17">
              <w:rPr>
                <w:rFonts w:eastAsiaTheme="minorHAnsi"/>
                <w:sz w:val="20"/>
              </w:rPr>
              <w:sym w:font="Symbol" w:char="F0D6"/>
            </w:r>
          </w:p>
        </w:tc>
        <w:tc>
          <w:tcPr>
            <w:tcW w:w="595" w:type="dxa"/>
            <w:vAlign w:val="center"/>
          </w:tcPr>
          <w:p w14:paraId="08A34F87" w14:textId="77777777" w:rsidR="00DA3E66" w:rsidRPr="000C4C17" w:rsidRDefault="00DA3E66" w:rsidP="00647943">
            <w:pPr>
              <w:widowControl/>
              <w:jc w:val="center"/>
              <w:rPr>
                <w:rFonts w:eastAsiaTheme="minorHAnsi"/>
                <w:sz w:val="20"/>
              </w:rPr>
            </w:pPr>
            <w:r w:rsidRPr="000C4C17">
              <w:rPr>
                <w:rFonts w:eastAsiaTheme="minorHAnsi"/>
                <w:sz w:val="20"/>
              </w:rPr>
              <w:sym w:font="Symbol" w:char="F0D6"/>
            </w:r>
          </w:p>
        </w:tc>
        <w:tc>
          <w:tcPr>
            <w:tcW w:w="596" w:type="dxa"/>
            <w:vAlign w:val="center"/>
          </w:tcPr>
          <w:p w14:paraId="7C2EA6AF" w14:textId="5859CB38" w:rsidR="00DA3E66" w:rsidRPr="000C4C17" w:rsidRDefault="002F1039" w:rsidP="00647943">
            <w:pPr>
              <w:widowControl/>
              <w:jc w:val="center"/>
              <w:rPr>
                <w:rFonts w:eastAsiaTheme="minorHAnsi"/>
                <w:sz w:val="20"/>
              </w:rPr>
            </w:pPr>
            <w:r w:rsidRPr="000C4C17">
              <w:rPr>
                <w:rFonts w:eastAsiaTheme="minorHAnsi"/>
                <w:sz w:val="20"/>
              </w:rPr>
              <w:sym w:font="Symbol" w:char="F0D6"/>
            </w:r>
          </w:p>
        </w:tc>
      </w:tr>
      <w:tr w:rsidR="00DA3E66" w:rsidRPr="000C4C17" w14:paraId="5E881E06" w14:textId="77777777" w:rsidTr="00F6284E">
        <w:trPr>
          <w:trHeight w:val="153"/>
        </w:trPr>
        <w:tc>
          <w:tcPr>
            <w:tcW w:w="1526" w:type="dxa"/>
            <w:vAlign w:val="center"/>
          </w:tcPr>
          <w:p w14:paraId="17E619D5" w14:textId="77777777" w:rsidR="00DA3E66" w:rsidRPr="000C4C17" w:rsidRDefault="00DA3E66" w:rsidP="00A111E9">
            <w:pPr>
              <w:widowControl/>
              <w:rPr>
                <w:rFonts w:eastAsiaTheme="minorHAnsi"/>
                <w:sz w:val="18"/>
              </w:rPr>
            </w:pPr>
            <w:r w:rsidRPr="000C4C17">
              <w:rPr>
                <w:rFonts w:eastAsiaTheme="minorHAnsi"/>
                <w:sz w:val="18"/>
              </w:rPr>
              <w:t>Nolan</w:t>
            </w:r>
          </w:p>
        </w:tc>
        <w:tc>
          <w:tcPr>
            <w:tcW w:w="1417" w:type="dxa"/>
            <w:vAlign w:val="center"/>
          </w:tcPr>
          <w:p w14:paraId="7179C90F" w14:textId="77777777" w:rsidR="00DA3E66" w:rsidRPr="000C4C17" w:rsidRDefault="00DA3E66" w:rsidP="00647943">
            <w:pPr>
              <w:widowControl/>
              <w:jc w:val="right"/>
              <w:rPr>
                <w:rFonts w:eastAsiaTheme="minorHAnsi"/>
                <w:sz w:val="18"/>
              </w:rPr>
            </w:pPr>
            <w:r w:rsidRPr="000C4C17">
              <w:rPr>
                <w:rFonts w:eastAsiaTheme="minorHAnsi"/>
                <w:sz w:val="18"/>
              </w:rPr>
              <w:t>2009</w:t>
            </w:r>
          </w:p>
        </w:tc>
        <w:tc>
          <w:tcPr>
            <w:tcW w:w="1843" w:type="dxa"/>
            <w:vAlign w:val="center"/>
          </w:tcPr>
          <w:p w14:paraId="682325A1" w14:textId="76A32877" w:rsidR="00DA3E66" w:rsidRPr="000C4C17" w:rsidRDefault="00693082" w:rsidP="00A111E9">
            <w:pPr>
              <w:widowControl/>
              <w:rPr>
                <w:rFonts w:eastAsiaTheme="minorHAnsi"/>
                <w:sz w:val="18"/>
              </w:rPr>
            </w:pPr>
            <w:r>
              <w:rPr>
                <w:rFonts w:eastAsiaTheme="minorHAnsi"/>
                <w:sz w:val="18"/>
              </w:rPr>
              <w:t>US</w:t>
            </w:r>
          </w:p>
        </w:tc>
        <w:tc>
          <w:tcPr>
            <w:tcW w:w="1101" w:type="dxa"/>
            <w:vAlign w:val="center"/>
          </w:tcPr>
          <w:p w14:paraId="276781F5" w14:textId="77777777" w:rsidR="00DA3E66" w:rsidRPr="000C4C17" w:rsidRDefault="00DA3E66" w:rsidP="00A111E9">
            <w:pPr>
              <w:widowControl/>
              <w:rPr>
                <w:rFonts w:eastAsiaTheme="minorHAnsi"/>
                <w:sz w:val="18"/>
              </w:rPr>
            </w:pPr>
            <w:r w:rsidRPr="000C4C17">
              <w:rPr>
                <w:rFonts w:eastAsiaTheme="minorHAnsi"/>
                <w:sz w:val="18"/>
              </w:rPr>
              <w:t>C8</w:t>
            </w:r>
          </w:p>
        </w:tc>
        <w:tc>
          <w:tcPr>
            <w:tcW w:w="1167" w:type="dxa"/>
            <w:vAlign w:val="center"/>
          </w:tcPr>
          <w:p w14:paraId="48F16021" w14:textId="428B41B5" w:rsidR="00DA3E66" w:rsidRPr="000C4C17" w:rsidRDefault="00693082" w:rsidP="00A111E9">
            <w:pPr>
              <w:widowControl/>
              <w:rPr>
                <w:rFonts w:eastAsiaTheme="minorHAnsi"/>
                <w:sz w:val="18"/>
              </w:rPr>
            </w:pPr>
            <w:r>
              <w:rPr>
                <w:rFonts w:eastAsiaTheme="minorHAnsi"/>
                <w:sz w:val="18"/>
              </w:rPr>
              <w:t>2003-5</w:t>
            </w:r>
          </w:p>
        </w:tc>
        <w:tc>
          <w:tcPr>
            <w:tcW w:w="1134" w:type="dxa"/>
            <w:vAlign w:val="center"/>
          </w:tcPr>
          <w:p w14:paraId="6F01C0CE" w14:textId="309E5DDB" w:rsidR="00DA3E66" w:rsidRPr="000C4C17" w:rsidRDefault="00DA3E66" w:rsidP="00647943">
            <w:pPr>
              <w:widowControl/>
              <w:jc w:val="right"/>
              <w:rPr>
                <w:rFonts w:eastAsiaTheme="minorHAnsi"/>
                <w:sz w:val="18"/>
              </w:rPr>
            </w:pPr>
            <w:r w:rsidRPr="000C4C17">
              <w:rPr>
                <w:rFonts w:eastAsiaTheme="minorHAnsi"/>
                <w:sz w:val="18"/>
              </w:rPr>
              <w:t>1600</w:t>
            </w:r>
          </w:p>
        </w:tc>
        <w:tc>
          <w:tcPr>
            <w:tcW w:w="2835" w:type="dxa"/>
            <w:vAlign w:val="center"/>
          </w:tcPr>
          <w:p w14:paraId="314E917A" w14:textId="6FB6227F" w:rsidR="00DA3E66" w:rsidRPr="000C4C17" w:rsidRDefault="00693082" w:rsidP="00A111E9">
            <w:pPr>
              <w:widowControl/>
              <w:rPr>
                <w:rFonts w:eastAsiaTheme="minorHAnsi"/>
                <w:sz w:val="18"/>
              </w:rPr>
            </w:pPr>
            <w:r>
              <w:rPr>
                <w:rFonts w:eastAsiaTheme="minorHAnsi"/>
                <w:sz w:val="18"/>
              </w:rPr>
              <w:t xml:space="preserve">Mean birthweight in areas classified by concentration in the water supply </w:t>
            </w:r>
          </w:p>
        </w:tc>
        <w:tc>
          <w:tcPr>
            <w:tcW w:w="595" w:type="dxa"/>
            <w:vAlign w:val="center"/>
          </w:tcPr>
          <w:p w14:paraId="2E2FCBB7" w14:textId="77777777" w:rsidR="00DA3E66" w:rsidRPr="000C4C17" w:rsidRDefault="00DA3E66" w:rsidP="00647943">
            <w:pPr>
              <w:widowControl/>
              <w:jc w:val="center"/>
              <w:rPr>
                <w:rFonts w:eastAsiaTheme="minorHAnsi"/>
                <w:sz w:val="20"/>
              </w:rPr>
            </w:pPr>
            <w:r w:rsidRPr="000C4C17">
              <w:rPr>
                <w:rFonts w:eastAsiaTheme="minorHAnsi"/>
                <w:sz w:val="20"/>
              </w:rPr>
              <w:t>-</w:t>
            </w:r>
          </w:p>
        </w:tc>
        <w:tc>
          <w:tcPr>
            <w:tcW w:w="595" w:type="dxa"/>
            <w:vAlign w:val="center"/>
          </w:tcPr>
          <w:p w14:paraId="7AA6EF83" w14:textId="77777777" w:rsidR="00DA3E66" w:rsidRPr="000C4C17" w:rsidRDefault="00DA3E66" w:rsidP="00647943">
            <w:pPr>
              <w:widowControl/>
              <w:jc w:val="center"/>
              <w:rPr>
                <w:rFonts w:eastAsiaTheme="minorHAnsi"/>
                <w:sz w:val="20"/>
              </w:rPr>
            </w:pPr>
            <w:r w:rsidRPr="000C4C17">
              <w:rPr>
                <w:rFonts w:eastAsiaTheme="minorHAnsi"/>
                <w:sz w:val="20"/>
              </w:rPr>
              <w:t>c</w:t>
            </w:r>
          </w:p>
        </w:tc>
        <w:tc>
          <w:tcPr>
            <w:tcW w:w="596" w:type="dxa"/>
            <w:vAlign w:val="center"/>
          </w:tcPr>
          <w:p w14:paraId="713F7218" w14:textId="77777777" w:rsidR="00DA3E66" w:rsidRPr="000C4C17" w:rsidRDefault="00DA3E66" w:rsidP="00647943">
            <w:pPr>
              <w:widowControl/>
              <w:jc w:val="center"/>
              <w:rPr>
                <w:rFonts w:eastAsiaTheme="minorHAnsi"/>
                <w:sz w:val="20"/>
              </w:rPr>
            </w:pPr>
            <w:r w:rsidRPr="000C4C17">
              <w:rPr>
                <w:rFonts w:eastAsiaTheme="minorHAnsi"/>
                <w:sz w:val="20"/>
              </w:rPr>
              <w:t>e</w:t>
            </w:r>
          </w:p>
        </w:tc>
        <w:tc>
          <w:tcPr>
            <w:tcW w:w="595" w:type="dxa"/>
            <w:vAlign w:val="center"/>
          </w:tcPr>
          <w:p w14:paraId="2A08E626" w14:textId="6B6486F3" w:rsidR="00DA3E66" w:rsidRPr="000C4C17" w:rsidRDefault="00693082" w:rsidP="00647943">
            <w:pPr>
              <w:widowControl/>
              <w:jc w:val="center"/>
              <w:rPr>
                <w:rFonts w:eastAsiaTheme="minorHAnsi"/>
                <w:sz w:val="20"/>
              </w:rPr>
            </w:pPr>
            <w:r>
              <w:rPr>
                <w:rFonts w:eastAsiaTheme="minorHAnsi"/>
                <w:sz w:val="20"/>
              </w:rPr>
              <w:t>e</w:t>
            </w:r>
          </w:p>
        </w:tc>
        <w:tc>
          <w:tcPr>
            <w:tcW w:w="596" w:type="dxa"/>
            <w:vAlign w:val="center"/>
          </w:tcPr>
          <w:p w14:paraId="32721B25" w14:textId="77777777" w:rsidR="00DA3E66" w:rsidRPr="000C4C17" w:rsidRDefault="00DA3E66" w:rsidP="00647943">
            <w:pPr>
              <w:widowControl/>
              <w:jc w:val="center"/>
              <w:rPr>
                <w:rFonts w:eastAsiaTheme="minorHAnsi"/>
                <w:sz w:val="20"/>
              </w:rPr>
            </w:pPr>
            <w:r w:rsidRPr="000C4C17">
              <w:rPr>
                <w:rFonts w:eastAsiaTheme="minorHAnsi"/>
                <w:sz w:val="20"/>
              </w:rPr>
              <w:t>e</w:t>
            </w:r>
          </w:p>
        </w:tc>
      </w:tr>
      <w:tr w:rsidR="00DA3E66" w:rsidRPr="000C4C17" w14:paraId="27F5C2CC" w14:textId="77777777" w:rsidTr="00F6284E">
        <w:trPr>
          <w:trHeight w:val="153"/>
        </w:trPr>
        <w:tc>
          <w:tcPr>
            <w:tcW w:w="1526" w:type="dxa"/>
            <w:vAlign w:val="center"/>
          </w:tcPr>
          <w:p w14:paraId="26F4C63D" w14:textId="77777777" w:rsidR="00DA3E66" w:rsidRPr="000C4C17" w:rsidRDefault="00DA3E66" w:rsidP="00A111E9">
            <w:pPr>
              <w:widowControl/>
              <w:rPr>
                <w:rFonts w:eastAsiaTheme="minorHAnsi"/>
                <w:sz w:val="18"/>
              </w:rPr>
            </w:pPr>
            <w:r w:rsidRPr="000C4C17">
              <w:rPr>
                <w:rFonts w:eastAsiaTheme="minorHAnsi"/>
                <w:sz w:val="18"/>
              </w:rPr>
              <w:t>Stein</w:t>
            </w:r>
          </w:p>
        </w:tc>
        <w:tc>
          <w:tcPr>
            <w:tcW w:w="1417" w:type="dxa"/>
            <w:vAlign w:val="center"/>
          </w:tcPr>
          <w:p w14:paraId="1765E7E2" w14:textId="77777777" w:rsidR="00DA3E66" w:rsidRPr="000C4C17" w:rsidRDefault="00DA3E66" w:rsidP="00647943">
            <w:pPr>
              <w:widowControl/>
              <w:jc w:val="right"/>
              <w:rPr>
                <w:rFonts w:eastAsiaTheme="minorHAnsi"/>
                <w:sz w:val="18"/>
              </w:rPr>
            </w:pPr>
            <w:r w:rsidRPr="000C4C17">
              <w:rPr>
                <w:rFonts w:eastAsiaTheme="minorHAnsi"/>
                <w:sz w:val="18"/>
              </w:rPr>
              <w:t>2009</w:t>
            </w:r>
          </w:p>
        </w:tc>
        <w:tc>
          <w:tcPr>
            <w:tcW w:w="1843" w:type="dxa"/>
            <w:vAlign w:val="center"/>
          </w:tcPr>
          <w:p w14:paraId="3B7D74C9" w14:textId="085BE9AD" w:rsidR="00DA3E66" w:rsidRPr="000C4C17" w:rsidRDefault="00693082" w:rsidP="00A111E9">
            <w:pPr>
              <w:widowControl/>
              <w:rPr>
                <w:rFonts w:eastAsiaTheme="minorHAnsi"/>
                <w:sz w:val="18"/>
              </w:rPr>
            </w:pPr>
            <w:r>
              <w:rPr>
                <w:rFonts w:eastAsiaTheme="minorHAnsi"/>
                <w:sz w:val="18"/>
              </w:rPr>
              <w:t>US</w:t>
            </w:r>
          </w:p>
        </w:tc>
        <w:tc>
          <w:tcPr>
            <w:tcW w:w="1101" w:type="dxa"/>
            <w:vAlign w:val="center"/>
          </w:tcPr>
          <w:p w14:paraId="56F618E3" w14:textId="77777777" w:rsidR="00DA3E66" w:rsidRPr="000C4C17" w:rsidRDefault="00DA3E66" w:rsidP="00A111E9">
            <w:pPr>
              <w:widowControl/>
              <w:rPr>
                <w:rFonts w:eastAsiaTheme="minorHAnsi"/>
                <w:sz w:val="18"/>
              </w:rPr>
            </w:pPr>
            <w:r w:rsidRPr="000C4C17">
              <w:rPr>
                <w:rFonts w:eastAsiaTheme="minorHAnsi"/>
                <w:sz w:val="18"/>
              </w:rPr>
              <w:t>C8</w:t>
            </w:r>
          </w:p>
        </w:tc>
        <w:tc>
          <w:tcPr>
            <w:tcW w:w="1167" w:type="dxa"/>
            <w:vAlign w:val="center"/>
          </w:tcPr>
          <w:p w14:paraId="3A259C73" w14:textId="63035C9D" w:rsidR="00DA3E66" w:rsidRPr="000C4C17" w:rsidRDefault="00693082" w:rsidP="00A111E9">
            <w:pPr>
              <w:widowControl/>
              <w:rPr>
                <w:rFonts w:eastAsiaTheme="minorHAnsi"/>
                <w:sz w:val="18"/>
              </w:rPr>
            </w:pPr>
            <w:r>
              <w:rPr>
                <w:rFonts w:eastAsiaTheme="minorHAnsi"/>
                <w:sz w:val="18"/>
              </w:rPr>
              <w:t>2000-5</w:t>
            </w:r>
          </w:p>
        </w:tc>
        <w:tc>
          <w:tcPr>
            <w:tcW w:w="1134" w:type="dxa"/>
            <w:vAlign w:val="center"/>
          </w:tcPr>
          <w:p w14:paraId="4FEFB567" w14:textId="77777777" w:rsidR="00DA3E66" w:rsidRPr="000C4C17" w:rsidRDefault="00DA3E66" w:rsidP="00647943">
            <w:pPr>
              <w:widowControl/>
              <w:jc w:val="right"/>
              <w:rPr>
                <w:rFonts w:eastAsiaTheme="minorHAnsi"/>
                <w:sz w:val="18"/>
              </w:rPr>
            </w:pPr>
            <w:r w:rsidRPr="000C4C17">
              <w:rPr>
                <w:rFonts w:eastAsiaTheme="minorHAnsi"/>
                <w:sz w:val="18"/>
              </w:rPr>
              <w:t>1845 (PFOA); 5262 (PFOS)</w:t>
            </w:r>
          </w:p>
        </w:tc>
        <w:tc>
          <w:tcPr>
            <w:tcW w:w="2835" w:type="dxa"/>
            <w:vAlign w:val="center"/>
          </w:tcPr>
          <w:p w14:paraId="6F11CBBF" w14:textId="3AF0DC9F" w:rsidR="00DA3E66" w:rsidRPr="000C4C17" w:rsidRDefault="00DA3E66" w:rsidP="0027334C">
            <w:pPr>
              <w:widowControl/>
              <w:autoSpaceDE w:val="0"/>
              <w:autoSpaceDN w:val="0"/>
              <w:adjustRightInd w:val="0"/>
              <w:rPr>
                <w:rFonts w:eastAsiaTheme="minorHAnsi"/>
                <w:sz w:val="18"/>
              </w:rPr>
            </w:pPr>
            <w:r w:rsidRPr="000C4C17">
              <w:rPr>
                <w:rFonts w:eastAsiaTheme="minorHAnsi"/>
                <w:sz w:val="18"/>
              </w:rPr>
              <w:t>O</w:t>
            </w:r>
            <w:r w:rsidR="0027334C">
              <w:rPr>
                <w:rFonts w:eastAsiaTheme="minorHAnsi"/>
                <w:sz w:val="18"/>
              </w:rPr>
              <w:t>R</w:t>
            </w:r>
            <w:r w:rsidR="00790A0E">
              <w:rPr>
                <w:rFonts w:eastAsiaTheme="minorHAnsi"/>
                <w:sz w:val="18"/>
              </w:rPr>
              <w:t xml:space="preserve"> </w:t>
            </w:r>
            <w:r w:rsidRPr="000C4C17">
              <w:rPr>
                <w:rFonts w:eastAsiaTheme="minorHAnsi"/>
                <w:sz w:val="18"/>
              </w:rPr>
              <w:t xml:space="preserve">for low birthweight for the </w:t>
            </w:r>
            <w:r w:rsidR="0027334C">
              <w:rPr>
                <w:rFonts w:eastAsiaTheme="minorHAnsi"/>
                <w:sz w:val="18"/>
              </w:rPr>
              <w:t>interquatile range</w:t>
            </w:r>
            <w:r w:rsidRPr="000C4C17">
              <w:rPr>
                <w:rFonts w:eastAsiaTheme="minorHAnsi"/>
                <w:sz w:val="18"/>
              </w:rPr>
              <w:t xml:space="preserve"> difference </w:t>
            </w:r>
          </w:p>
        </w:tc>
        <w:tc>
          <w:tcPr>
            <w:tcW w:w="595" w:type="dxa"/>
            <w:vAlign w:val="center"/>
          </w:tcPr>
          <w:p w14:paraId="18C262A3" w14:textId="77777777" w:rsidR="00DA3E66" w:rsidRPr="000C4C17" w:rsidRDefault="00DA3E66" w:rsidP="00647943">
            <w:pPr>
              <w:widowControl/>
              <w:jc w:val="center"/>
              <w:rPr>
                <w:rFonts w:eastAsiaTheme="minorHAnsi"/>
                <w:sz w:val="20"/>
              </w:rPr>
            </w:pPr>
            <w:r w:rsidRPr="000C4C17">
              <w:rPr>
                <w:rFonts w:eastAsiaTheme="minorHAnsi"/>
                <w:sz w:val="20"/>
              </w:rPr>
              <w:t>-</w:t>
            </w:r>
          </w:p>
        </w:tc>
        <w:tc>
          <w:tcPr>
            <w:tcW w:w="595" w:type="dxa"/>
            <w:vAlign w:val="center"/>
          </w:tcPr>
          <w:p w14:paraId="744ED19E" w14:textId="77777777" w:rsidR="00DA3E66" w:rsidRPr="000C4C17" w:rsidRDefault="00DA3E66" w:rsidP="00647943">
            <w:pPr>
              <w:widowControl/>
              <w:jc w:val="center"/>
              <w:rPr>
                <w:rFonts w:eastAsiaTheme="minorHAnsi"/>
                <w:sz w:val="20"/>
              </w:rPr>
            </w:pPr>
            <w:r w:rsidRPr="000C4C17">
              <w:rPr>
                <w:rFonts w:eastAsiaTheme="minorHAnsi"/>
                <w:sz w:val="20"/>
              </w:rPr>
              <w:t>c</w:t>
            </w:r>
          </w:p>
        </w:tc>
        <w:tc>
          <w:tcPr>
            <w:tcW w:w="596" w:type="dxa"/>
            <w:vAlign w:val="center"/>
          </w:tcPr>
          <w:p w14:paraId="0ECC8267" w14:textId="77777777" w:rsidR="00DA3E66" w:rsidRPr="000C4C17" w:rsidRDefault="00DA3E66" w:rsidP="00647943">
            <w:pPr>
              <w:widowControl/>
              <w:jc w:val="center"/>
              <w:rPr>
                <w:rFonts w:eastAsiaTheme="minorHAnsi"/>
                <w:sz w:val="20"/>
              </w:rPr>
            </w:pPr>
            <w:r w:rsidRPr="000C4C17">
              <w:rPr>
                <w:rFonts w:eastAsiaTheme="minorHAnsi"/>
                <w:sz w:val="20"/>
              </w:rPr>
              <w:t>e</w:t>
            </w:r>
          </w:p>
        </w:tc>
        <w:tc>
          <w:tcPr>
            <w:tcW w:w="595" w:type="dxa"/>
            <w:vAlign w:val="center"/>
          </w:tcPr>
          <w:p w14:paraId="4D6A5E89" w14:textId="77777777" w:rsidR="00B76784" w:rsidRDefault="00B76784" w:rsidP="00647943">
            <w:pPr>
              <w:widowControl/>
              <w:jc w:val="center"/>
              <w:rPr>
                <w:rFonts w:eastAsiaTheme="minorHAnsi"/>
                <w:sz w:val="20"/>
              </w:rPr>
            </w:pPr>
          </w:p>
          <w:p w14:paraId="56B36163" w14:textId="77777777" w:rsidR="00DA3E66" w:rsidRPr="000C4C17" w:rsidRDefault="00DA3E66" w:rsidP="00647943">
            <w:pPr>
              <w:widowControl/>
              <w:jc w:val="center"/>
              <w:rPr>
                <w:rFonts w:eastAsiaTheme="minorHAnsi"/>
                <w:sz w:val="20"/>
              </w:rPr>
            </w:pPr>
            <w:r w:rsidRPr="000C4C17">
              <w:rPr>
                <w:rFonts w:eastAsiaTheme="minorHAnsi"/>
                <w:sz w:val="20"/>
              </w:rPr>
              <w:sym w:font="Symbol" w:char="F0D6"/>
            </w:r>
          </w:p>
          <w:p w14:paraId="3AAC071B" w14:textId="77777777" w:rsidR="00DA3E66" w:rsidRPr="000C4C17" w:rsidRDefault="00DA3E66" w:rsidP="00647943">
            <w:pPr>
              <w:widowControl/>
              <w:jc w:val="center"/>
              <w:rPr>
                <w:rFonts w:eastAsiaTheme="minorHAnsi"/>
                <w:sz w:val="20"/>
              </w:rPr>
            </w:pPr>
          </w:p>
          <w:p w14:paraId="74995F1D" w14:textId="77777777" w:rsidR="00DA3E66" w:rsidRPr="000C4C17" w:rsidRDefault="00DA3E66" w:rsidP="00647943">
            <w:pPr>
              <w:widowControl/>
              <w:jc w:val="center"/>
              <w:rPr>
                <w:rFonts w:eastAsiaTheme="minorHAnsi"/>
                <w:sz w:val="20"/>
              </w:rPr>
            </w:pPr>
          </w:p>
        </w:tc>
        <w:tc>
          <w:tcPr>
            <w:tcW w:w="596" w:type="dxa"/>
            <w:vAlign w:val="center"/>
          </w:tcPr>
          <w:p w14:paraId="3AE2C03D" w14:textId="77777777" w:rsidR="00DA3E66" w:rsidRPr="000C4C17" w:rsidRDefault="00DA3E66" w:rsidP="00647943">
            <w:pPr>
              <w:widowControl/>
              <w:jc w:val="center"/>
              <w:rPr>
                <w:rFonts w:eastAsiaTheme="minorHAnsi"/>
                <w:sz w:val="20"/>
              </w:rPr>
            </w:pPr>
            <w:r w:rsidRPr="000C4C17">
              <w:rPr>
                <w:rFonts w:eastAsiaTheme="minorHAnsi"/>
                <w:sz w:val="20"/>
              </w:rPr>
              <w:t>e</w:t>
            </w:r>
          </w:p>
        </w:tc>
      </w:tr>
      <w:tr w:rsidR="00DA3E66" w:rsidRPr="000C4C17" w14:paraId="61F6367B" w14:textId="77777777" w:rsidTr="00F6284E">
        <w:trPr>
          <w:trHeight w:val="166"/>
        </w:trPr>
        <w:tc>
          <w:tcPr>
            <w:tcW w:w="1526" w:type="dxa"/>
            <w:vAlign w:val="center"/>
          </w:tcPr>
          <w:p w14:paraId="1A3ECF66" w14:textId="77777777" w:rsidR="00DA3E66" w:rsidRPr="000C4C17" w:rsidRDefault="00DA3E66" w:rsidP="00A111E9">
            <w:pPr>
              <w:widowControl/>
              <w:rPr>
                <w:rFonts w:eastAsiaTheme="minorHAnsi"/>
                <w:sz w:val="18"/>
              </w:rPr>
            </w:pPr>
            <w:r w:rsidRPr="000C4C17">
              <w:rPr>
                <w:rFonts w:eastAsiaTheme="minorHAnsi"/>
                <w:sz w:val="18"/>
              </w:rPr>
              <w:t>Kim S &amp; Choi</w:t>
            </w:r>
          </w:p>
        </w:tc>
        <w:tc>
          <w:tcPr>
            <w:tcW w:w="1417" w:type="dxa"/>
            <w:vAlign w:val="center"/>
          </w:tcPr>
          <w:p w14:paraId="76A733E0" w14:textId="77777777" w:rsidR="00DA3E66" w:rsidRPr="000C4C17" w:rsidRDefault="00DA3E66" w:rsidP="00647943">
            <w:pPr>
              <w:widowControl/>
              <w:jc w:val="right"/>
              <w:rPr>
                <w:rFonts w:eastAsiaTheme="minorHAnsi"/>
                <w:sz w:val="18"/>
              </w:rPr>
            </w:pPr>
            <w:r w:rsidRPr="000C4C17">
              <w:rPr>
                <w:rFonts w:eastAsiaTheme="minorHAnsi"/>
                <w:sz w:val="18"/>
              </w:rPr>
              <w:t>2011</w:t>
            </w:r>
          </w:p>
        </w:tc>
        <w:tc>
          <w:tcPr>
            <w:tcW w:w="1843" w:type="dxa"/>
            <w:vAlign w:val="center"/>
          </w:tcPr>
          <w:p w14:paraId="077DFE95" w14:textId="77777777" w:rsidR="00DA3E66" w:rsidRPr="000C4C17" w:rsidRDefault="00DA3E66" w:rsidP="00A111E9">
            <w:pPr>
              <w:widowControl/>
              <w:rPr>
                <w:rFonts w:eastAsiaTheme="minorHAnsi"/>
                <w:sz w:val="18"/>
              </w:rPr>
            </w:pPr>
            <w:r w:rsidRPr="000C4C17">
              <w:rPr>
                <w:rFonts w:eastAsiaTheme="minorHAnsi"/>
                <w:sz w:val="18"/>
              </w:rPr>
              <w:t>Korea</w:t>
            </w:r>
          </w:p>
        </w:tc>
        <w:tc>
          <w:tcPr>
            <w:tcW w:w="1101" w:type="dxa"/>
            <w:vAlign w:val="center"/>
          </w:tcPr>
          <w:p w14:paraId="079C4451" w14:textId="77777777" w:rsidR="00DA3E66" w:rsidRPr="000C4C17" w:rsidRDefault="00DA3E66" w:rsidP="00A111E9">
            <w:pPr>
              <w:widowControl/>
              <w:rPr>
                <w:rFonts w:eastAsiaTheme="minorHAnsi"/>
                <w:sz w:val="18"/>
              </w:rPr>
            </w:pPr>
            <w:r w:rsidRPr="000C4C17">
              <w:rPr>
                <w:rFonts w:eastAsiaTheme="minorHAnsi"/>
                <w:sz w:val="18"/>
              </w:rPr>
              <w:t>-</w:t>
            </w:r>
          </w:p>
        </w:tc>
        <w:tc>
          <w:tcPr>
            <w:tcW w:w="1167" w:type="dxa"/>
            <w:vAlign w:val="center"/>
          </w:tcPr>
          <w:p w14:paraId="10F59505" w14:textId="77777777" w:rsidR="00DA3E66" w:rsidRPr="000C4C17" w:rsidRDefault="00DA3E66" w:rsidP="00A111E9">
            <w:pPr>
              <w:widowControl/>
              <w:rPr>
                <w:rFonts w:eastAsiaTheme="minorHAnsi"/>
                <w:sz w:val="18"/>
              </w:rPr>
            </w:pPr>
            <w:r w:rsidRPr="000C4C17">
              <w:rPr>
                <w:rFonts w:eastAsiaTheme="minorHAnsi"/>
                <w:sz w:val="18"/>
              </w:rPr>
              <w:t>2008-9</w:t>
            </w:r>
          </w:p>
        </w:tc>
        <w:tc>
          <w:tcPr>
            <w:tcW w:w="1134" w:type="dxa"/>
            <w:vAlign w:val="center"/>
          </w:tcPr>
          <w:p w14:paraId="3862A022" w14:textId="468357ED" w:rsidR="00DA3E66" w:rsidRPr="000C4C17" w:rsidRDefault="00DA3E66" w:rsidP="00647943">
            <w:pPr>
              <w:widowControl/>
              <w:jc w:val="right"/>
              <w:rPr>
                <w:rFonts w:eastAsiaTheme="minorHAnsi"/>
                <w:sz w:val="18"/>
              </w:rPr>
            </w:pPr>
            <w:r w:rsidRPr="000C4C17">
              <w:rPr>
                <w:rFonts w:eastAsiaTheme="minorHAnsi"/>
                <w:sz w:val="18"/>
              </w:rPr>
              <w:t>35</w:t>
            </w:r>
          </w:p>
        </w:tc>
        <w:tc>
          <w:tcPr>
            <w:tcW w:w="2835" w:type="dxa"/>
            <w:vAlign w:val="center"/>
          </w:tcPr>
          <w:p w14:paraId="3AA5FE7C" w14:textId="02FD37B5" w:rsidR="00DA3E66" w:rsidRPr="000C4C17" w:rsidRDefault="00693082" w:rsidP="00A111E9">
            <w:pPr>
              <w:widowControl/>
              <w:autoSpaceDE w:val="0"/>
              <w:autoSpaceDN w:val="0"/>
              <w:adjustRightInd w:val="0"/>
              <w:rPr>
                <w:rFonts w:eastAsiaTheme="minorHAnsi"/>
                <w:color w:val="000000"/>
                <w:sz w:val="18"/>
              </w:rPr>
            </w:pPr>
            <w:r>
              <w:rPr>
                <w:rFonts w:eastAsiaTheme="minorHAnsi"/>
                <w:color w:val="000000"/>
                <w:sz w:val="18"/>
              </w:rPr>
              <w:t>P</w:t>
            </w:r>
            <w:r w:rsidRPr="000C4C17">
              <w:rPr>
                <w:rFonts w:eastAsiaTheme="minorHAnsi"/>
                <w:color w:val="000000"/>
                <w:sz w:val="18"/>
              </w:rPr>
              <w:t>artial</w:t>
            </w:r>
            <w:r w:rsidR="00DA3E66" w:rsidRPr="000C4C17">
              <w:rPr>
                <w:rFonts w:eastAsiaTheme="minorHAnsi"/>
                <w:color w:val="000000"/>
                <w:sz w:val="18"/>
              </w:rPr>
              <w:t xml:space="preserve"> correlation coefficient for log</w:t>
            </w:r>
            <w:r w:rsidR="001012A5">
              <w:rPr>
                <w:rFonts w:eastAsiaTheme="minorHAnsi"/>
                <w:color w:val="000000"/>
                <w:sz w:val="18"/>
              </w:rPr>
              <w:t xml:space="preserve"> </w:t>
            </w:r>
            <w:r w:rsidR="00DA3E66" w:rsidRPr="000C4C17">
              <w:rPr>
                <w:rFonts w:eastAsiaTheme="minorHAnsi"/>
                <w:color w:val="000000"/>
                <w:sz w:val="18"/>
              </w:rPr>
              <w:t xml:space="preserve">transformed </w:t>
            </w:r>
            <w:r>
              <w:rPr>
                <w:rFonts w:eastAsiaTheme="minorHAnsi"/>
                <w:color w:val="000000"/>
                <w:sz w:val="18"/>
              </w:rPr>
              <w:t xml:space="preserve">(base not stated) </w:t>
            </w:r>
            <w:r w:rsidR="00DA3E66" w:rsidRPr="000C4C17">
              <w:rPr>
                <w:rFonts w:eastAsiaTheme="minorHAnsi"/>
                <w:color w:val="000000"/>
                <w:sz w:val="18"/>
              </w:rPr>
              <w:t>PFAS and birthweight</w:t>
            </w:r>
          </w:p>
        </w:tc>
        <w:tc>
          <w:tcPr>
            <w:tcW w:w="595" w:type="dxa"/>
            <w:vAlign w:val="center"/>
          </w:tcPr>
          <w:p w14:paraId="0D20B57D" w14:textId="77777777" w:rsidR="00DA3E66" w:rsidRPr="000C4C17" w:rsidRDefault="00DA3E66" w:rsidP="00647943">
            <w:pPr>
              <w:widowControl/>
              <w:jc w:val="center"/>
              <w:rPr>
                <w:rFonts w:eastAsiaTheme="minorHAnsi"/>
                <w:sz w:val="20"/>
              </w:rPr>
            </w:pPr>
            <w:r w:rsidRPr="000C4C17">
              <w:rPr>
                <w:rFonts w:eastAsiaTheme="minorHAnsi"/>
                <w:sz w:val="20"/>
              </w:rPr>
              <w:t>-</w:t>
            </w:r>
          </w:p>
        </w:tc>
        <w:tc>
          <w:tcPr>
            <w:tcW w:w="595" w:type="dxa"/>
            <w:vAlign w:val="center"/>
          </w:tcPr>
          <w:p w14:paraId="3ADF391A" w14:textId="77777777" w:rsidR="00DA3E66" w:rsidRPr="000C4C17" w:rsidRDefault="00DA3E66" w:rsidP="00647943">
            <w:pPr>
              <w:widowControl/>
              <w:jc w:val="center"/>
              <w:rPr>
                <w:rFonts w:eastAsiaTheme="minorHAnsi"/>
                <w:sz w:val="20"/>
              </w:rPr>
            </w:pPr>
            <w:r w:rsidRPr="000C4C17">
              <w:rPr>
                <w:rFonts w:eastAsiaTheme="minorHAnsi"/>
                <w:sz w:val="20"/>
              </w:rPr>
              <w:t>-</w:t>
            </w:r>
          </w:p>
        </w:tc>
        <w:tc>
          <w:tcPr>
            <w:tcW w:w="596" w:type="dxa"/>
            <w:vAlign w:val="center"/>
          </w:tcPr>
          <w:p w14:paraId="209E793B" w14:textId="77777777" w:rsidR="00DA3E66" w:rsidRPr="000C4C17" w:rsidRDefault="00DA3E66" w:rsidP="00647943">
            <w:pPr>
              <w:widowControl/>
              <w:jc w:val="center"/>
              <w:rPr>
                <w:rFonts w:eastAsiaTheme="minorHAnsi"/>
                <w:sz w:val="20"/>
              </w:rPr>
            </w:pPr>
            <w:r w:rsidRPr="000C4C17">
              <w:rPr>
                <w:rFonts w:eastAsiaTheme="minorHAnsi"/>
                <w:sz w:val="20"/>
              </w:rPr>
              <w:sym w:font="Symbol" w:char="F0D6"/>
            </w:r>
          </w:p>
        </w:tc>
        <w:tc>
          <w:tcPr>
            <w:tcW w:w="595" w:type="dxa"/>
            <w:vAlign w:val="center"/>
          </w:tcPr>
          <w:p w14:paraId="7A9D9DA7" w14:textId="6307BD3D" w:rsidR="00DA3E66" w:rsidRPr="000C4C17" w:rsidRDefault="00CD5B9F" w:rsidP="00647943">
            <w:pPr>
              <w:widowControl/>
              <w:jc w:val="center"/>
              <w:rPr>
                <w:rFonts w:eastAsiaTheme="minorHAnsi"/>
                <w:sz w:val="20"/>
              </w:rPr>
            </w:pPr>
            <w:r>
              <w:rPr>
                <w:rFonts w:eastAsiaTheme="minorHAnsi"/>
                <w:sz w:val="20"/>
              </w:rPr>
              <w:t>?</w:t>
            </w:r>
          </w:p>
        </w:tc>
        <w:tc>
          <w:tcPr>
            <w:tcW w:w="596" w:type="dxa"/>
            <w:vAlign w:val="center"/>
          </w:tcPr>
          <w:p w14:paraId="0BB60BFA" w14:textId="454C9302" w:rsidR="00DA3E66" w:rsidRPr="000C4C17" w:rsidRDefault="002F1039" w:rsidP="00647943">
            <w:pPr>
              <w:widowControl/>
              <w:jc w:val="center"/>
              <w:rPr>
                <w:rFonts w:eastAsiaTheme="minorHAnsi"/>
                <w:sz w:val="20"/>
              </w:rPr>
            </w:pPr>
            <w:r w:rsidRPr="000C4C17">
              <w:rPr>
                <w:rFonts w:eastAsiaTheme="minorHAnsi"/>
                <w:sz w:val="20"/>
              </w:rPr>
              <w:sym w:font="Symbol" w:char="F0D6"/>
            </w:r>
          </w:p>
        </w:tc>
      </w:tr>
      <w:tr w:rsidR="00DA3E66" w:rsidRPr="000C4C17" w14:paraId="44DE278B" w14:textId="77777777" w:rsidTr="00F6284E">
        <w:trPr>
          <w:trHeight w:val="153"/>
        </w:trPr>
        <w:tc>
          <w:tcPr>
            <w:tcW w:w="1526" w:type="dxa"/>
            <w:vAlign w:val="center"/>
          </w:tcPr>
          <w:p w14:paraId="3D950385" w14:textId="77777777" w:rsidR="00DA3E66" w:rsidRPr="000C4C17" w:rsidRDefault="00DA3E66" w:rsidP="00A111E9">
            <w:pPr>
              <w:widowControl/>
              <w:rPr>
                <w:rFonts w:eastAsiaTheme="minorHAnsi"/>
                <w:sz w:val="18"/>
              </w:rPr>
            </w:pPr>
            <w:r w:rsidRPr="000C4C17">
              <w:rPr>
                <w:rFonts w:eastAsiaTheme="minorHAnsi"/>
                <w:sz w:val="18"/>
              </w:rPr>
              <w:t>Kim SK &amp; Lee</w:t>
            </w:r>
          </w:p>
        </w:tc>
        <w:tc>
          <w:tcPr>
            <w:tcW w:w="1417" w:type="dxa"/>
            <w:vAlign w:val="center"/>
          </w:tcPr>
          <w:p w14:paraId="18B4E24E" w14:textId="77777777" w:rsidR="00DA3E66" w:rsidRPr="000C4C17" w:rsidRDefault="00DA3E66" w:rsidP="00647943">
            <w:pPr>
              <w:widowControl/>
              <w:jc w:val="right"/>
              <w:rPr>
                <w:rFonts w:eastAsiaTheme="minorHAnsi"/>
                <w:sz w:val="18"/>
              </w:rPr>
            </w:pPr>
            <w:r w:rsidRPr="000C4C17">
              <w:rPr>
                <w:rFonts w:eastAsiaTheme="minorHAnsi"/>
                <w:sz w:val="18"/>
              </w:rPr>
              <w:t>2011</w:t>
            </w:r>
          </w:p>
        </w:tc>
        <w:tc>
          <w:tcPr>
            <w:tcW w:w="1843" w:type="dxa"/>
            <w:vAlign w:val="center"/>
          </w:tcPr>
          <w:p w14:paraId="6E5A8DC5" w14:textId="77777777" w:rsidR="00DA3E66" w:rsidRPr="000C4C17" w:rsidRDefault="00DA3E66" w:rsidP="00A111E9">
            <w:pPr>
              <w:widowControl/>
              <w:rPr>
                <w:rFonts w:eastAsiaTheme="minorHAnsi"/>
                <w:sz w:val="18"/>
              </w:rPr>
            </w:pPr>
            <w:r w:rsidRPr="000C4C17">
              <w:rPr>
                <w:rFonts w:eastAsiaTheme="minorHAnsi"/>
                <w:sz w:val="18"/>
              </w:rPr>
              <w:t>Seoul, Korea</w:t>
            </w:r>
          </w:p>
        </w:tc>
        <w:tc>
          <w:tcPr>
            <w:tcW w:w="1101" w:type="dxa"/>
            <w:vAlign w:val="center"/>
          </w:tcPr>
          <w:p w14:paraId="22FDAAB1" w14:textId="77777777" w:rsidR="00DA3E66" w:rsidRPr="000C4C17" w:rsidRDefault="00DA3E66" w:rsidP="00A111E9">
            <w:pPr>
              <w:widowControl/>
              <w:rPr>
                <w:rFonts w:eastAsiaTheme="minorHAnsi"/>
                <w:sz w:val="18"/>
              </w:rPr>
            </w:pPr>
            <w:r w:rsidRPr="000C4C17">
              <w:rPr>
                <w:rFonts w:eastAsiaTheme="minorHAnsi"/>
                <w:sz w:val="18"/>
              </w:rPr>
              <w:t>-</w:t>
            </w:r>
          </w:p>
        </w:tc>
        <w:tc>
          <w:tcPr>
            <w:tcW w:w="1167" w:type="dxa"/>
            <w:vAlign w:val="center"/>
          </w:tcPr>
          <w:p w14:paraId="7889FFF8" w14:textId="77777777" w:rsidR="00DA3E66" w:rsidRPr="000C4C17" w:rsidRDefault="00DA3E66" w:rsidP="00A111E9">
            <w:pPr>
              <w:widowControl/>
              <w:rPr>
                <w:rFonts w:eastAsiaTheme="minorHAnsi"/>
                <w:sz w:val="18"/>
              </w:rPr>
            </w:pPr>
            <w:r w:rsidRPr="000C4C17">
              <w:rPr>
                <w:rFonts w:eastAsiaTheme="minorHAnsi"/>
                <w:sz w:val="18"/>
              </w:rPr>
              <w:t>2007</w:t>
            </w:r>
          </w:p>
          <w:p w14:paraId="612DCBB9" w14:textId="77777777" w:rsidR="00DA3E66" w:rsidRPr="000C4C17" w:rsidRDefault="00DA3E66" w:rsidP="00A111E9">
            <w:pPr>
              <w:widowControl/>
              <w:rPr>
                <w:rFonts w:eastAsiaTheme="minorHAnsi"/>
                <w:sz w:val="18"/>
              </w:rPr>
            </w:pPr>
          </w:p>
        </w:tc>
        <w:tc>
          <w:tcPr>
            <w:tcW w:w="1134" w:type="dxa"/>
            <w:vAlign w:val="center"/>
          </w:tcPr>
          <w:p w14:paraId="34ED5100" w14:textId="77777777" w:rsidR="00DA3E66" w:rsidRPr="000C4C17" w:rsidRDefault="00DA3E66" w:rsidP="00647943">
            <w:pPr>
              <w:widowControl/>
              <w:jc w:val="right"/>
              <w:rPr>
                <w:rFonts w:eastAsiaTheme="minorHAnsi"/>
                <w:sz w:val="18"/>
              </w:rPr>
            </w:pPr>
            <w:r w:rsidRPr="000C4C17">
              <w:rPr>
                <w:rFonts w:eastAsiaTheme="minorHAnsi"/>
                <w:sz w:val="18"/>
              </w:rPr>
              <w:t>20</w:t>
            </w:r>
          </w:p>
        </w:tc>
        <w:tc>
          <w:tcPr>
            <w:tcW w:w="2835" w:type="dxa"/>
            <w:vAlign w:val="center"/>
          </w:tcPr>
          <w:p w14:paraId="0F4929D8" w14:textId="5811C6CC" w:rsidR="00DA3E66" w:rsidRPr="000C4C17" w:rsidRDefault="00693082" w:rsidP="00A111E9">
            <w:pPr>
              <w:widowControl/>
              <w:autoSpaceDE w:val="0"/>
              <w:autoSpaceDN w:val="0"/>
              <w:adjustRightInd w:val="0"/>
              <w:rPr>
                <w:rFonts w:eastAsiaTheme="minorHAnsi"/>
                <w:color w:val="000000"/>
                <w:sz w:val="18"/>
              </w:rPr>
            </w:pPr>
            <w:r>
              <w:rPr>
                <w:rFonts w:eastAsiaTheme="minorHAnsi"/>
                <w:color w:val="000000"/>
                <w:sz w:val="18"/>
              </w:rPr>
              <w:t>R</w:t>
            </w:r>
            <w:r w:rsidRPr="000C4C17">
              <w:rPr>
                <w:rFonts w:eastAsiaTheme="minorHAnsi"/>
                <w:color w:val="000000"/>
                <w:sz w:val="18"/>
              </w:rPr>
              <w:t>aw</w:t>
            </w:r>
            <w:r w:rsidR="00DA3E66" w:rsidRPr="000C4C17">
              <w:rPr>
                <w:rFonts w:eastAsiaTheme="minorHAnsi"/>
                <w:color w:val="000000"/>
                <w:sz w:val="18"/>
              </w:rPr>
              <w:t xml:space="preserve"> data presented</w:t>
            </w:r>
          </w:p>
        </w:tc>
        <w:tc>
          <w:tcPr>
            <w:tcW w:w="595" w:type="dxa"/>
            <w:vAlign w:val="center"/>
          </w:tcPr>
          <w:p w14:paraId="04D709D5" w14:textId="77777777" w:rsidR="00DA3E66" w:rsidRPr="000C4C17" w:rsidRDefault="00DA3E66" w:rsidP="00647943">
            <w:pPr>
              <w:widowControl/>
              <w:jc w:val="center"/>
              <w:rPr>
                <w:rFonts w:eastAsiaTheme="minorHAnsi"/>
                <w:sz w:val="20"/>
              </w:rPr>
            </w:pPr>
            <w:r w:rsidRPr="000C4C17">
              <w:rPr>
                <w:rFonts w:eastAsiaTheme="minorHAnsi"/>
                <w:sz w:val="20"/>
              </w:rPr>
              <w:t>-</w:t>
            </w:r>
          </w:p>
        </w:tc>
        <w:tc>
          <w:tcPr>
            <w:tcW w:w="595" w:type="dxa"/>
            <w:vAlign w:val="center"/>
          </w:tcPr>
          <w:p w14:paraId="48A0D2FF" w14:textId="77777777" w:rsidR="00DA3E66" w:rsidRPr="000C4C17" w:rsidRDefault="00DA3E66" w:rsidP="00647943">
            <w:pPr>
              <w:widowControl/>
              <w:jc w:val="center"/>
              <w:rPr>
                <w:rFonts w:eastAsiaTheme="minorHAnsi"/>
                <w:sz w:val="20"/>
              </w:rPr>
            </w:pPr>
            <w:r w:rsidRPr="000C4C17">
              <w:rPr>
                <w:rFonts w:eastAsiaTheme="minorHAnsi"/>
                <w:sz w:val="20"/>
              </w:rPr>
              <w:t>-</w:t>
            </w:r>
          </w:p>
        </w:tc>
        <w:tc>
          <w:tcPr>
            <w:tcW w:w="596" w:type="dxa"/>
            <w:vAlign w:val="center"/>
          </w:tcPr>
          <w:p w14:paraId="5CCB5754" w14:textId="77777777" w:rsidR="00DA3E66" w:rsidRPr="000C4C17" w:rsidRDefault="00DA3E66" w:rsidP="00647943">
            <w:pPr>
              <w:widowControl/>
              <w:jc w:val="center"/>
              <w:rPr>
                <w:rFonts w:eastAsiaTheme="minorHAnsi"/>
                <w:sz w:val="20"/>
              </w:rPr>
            </w:pPr>
            <w:r w:rsidRPr="000C4C17">
              <w:rPr>
                <w:rFonts w:eastAsiaTheme="minorHAnsi"/>
                <w:sz w:val="20"/>
              </w:rPr>
              <w:t>e</w:t>
            </w:r>
          </w:p>
        </w:tc>
        <w:tc>
          <w:tcPr>
            <w:tcW w:w="595" w:type="dxa"/>
            <w:vAlign w:val="center"/>
          </w:tcPr>
          <w:p w14:paraId="7FE2116C" w14:textId="6406745C" w:rsidR="00DA3E66" w:rsidRPr="000C4C17" w:rsidRDefault="00CD5B9F" w:rsidP="00647943">
            <w:pPr>
              <w:widowControl/>
              <w:jc w:val="center"/>
              <w:rPr>
                <w:rFonts w:eastAsiaTheme="minorHAnsi"/>
                <w:sz w:val="20"/>
              </w:rPr>
            </w:pPr>
            <w:r>
              <w:rPr>
                <w:rFonts w:eastAsiaTheme="minorHAnsi"/>
                <w:sz w:val="20"/>
              </w:rPr>
              <w:t>-</w:t>
            </w:r>
          </w:p>
        </w:tc>
        <w:tc>
          <w:tcPr>
            <w:tcW w:w="596" w:type="dxa"/>
            <w:vAlign w:val="center"/>
          </w:tcPr>
          <w:p w14:paraId="1EC34942" w14:textId="364D7208" w:rsidR="00DA3E66" w:rsidRPr="000C4C17" w:rsidRDefault="00D2412E" w:rsidP="00647943">
            <w:pPr>
              <w:widowControl/>
              <w:jc w:val="center"/>
              <w:rPr>
                <w:rFonts w:eastAsiaTheme="minorHAnsi"/>
                <w:sz w:val="20"/>
              </w:rPr>
            </w:pPr>
            <w:r>
              <w:rPr>
                <w:rFonts w:eastAsiaTheme="minorHAnsi"/>
                <w:sz w:val="20"/>
              </w:rPr>
              <w:t>q</w:t>
            </w:r>
          </w:p>
        </w:tc>
      </w:tr>
      <w:tr w:rsidR="00DA3E66" w:rsidRPr="000C4C17" w14:paraId="13F034F9" w14:textId="77777777" w:rsidTr="00F6284E">
        <w:trPr>
          <w:trHeight w:val="305"/>
        </w:trPr>
        <w:tc>
          <w:tcPr>
            <w:tcW w:w="1526" w:type="dxa"/>
            <w:vAlign w:val="center"/>
          </w:tcPr>
          <w:p w14:paraId="199FCCAD" w14:textId="77777777" w:rsidR="00DA3E66" w:rsidRPr="000C4C17" w:rsidRDefault="00DA3E66" w:rsidP="00A111E9">
            <w:pPr>
              <w:widowControl/>
              <w:rPr>
                <w:rFonts w:eastAsiaTheme="minorHAnsi"/>
                <w:sz w:val="18"/>
              </w:rPr>
            </w:pPr>
            <w:r w:rsidRPr="000C4C17">
              <w:rPr>
                <w:rFonts w:eastAsiaTheme="minorHAnsi"/>
                <w:sz w:val="18"/>
              </w:rPr>
              <w:t>Hamm</w:t>
            </w:r>
          </w:p>
        </w:tc>
        <w:tc>
          <w:tcPr>
            <w:tcW w:w="1417" w:type="dxa"/>
            <w:vAlign w:val="center"/>
          </w:tcPr>
          <w:p w14:paraId="227BBFC6" w14:textId="77777777" w:rsidR="00DA3E66" w:rsidRPr="000C4C17" w:rsidRDefault="00DA3E66" w:rsidP="00647943">
            <w:pPr>
              <w:widowControl/>
              <w:jc w:val="right"/>
              <w:rPr>
                <w:rFonts w:eastAsiaTheme="minorHAnsi"/>
                <w:sz w:val="18"/>
              </w:rPr>
            </w:pPr>
            <w:r w:rsidRPr="000C4C17">
              <w:rPr>
                <w:rFonts w:eastAsiaTheme="minorHAnsi"/>
                <w:sz w:val="18"/>
              </w:rPr>
              <w:t>2010</w:t>
            </w:r>
          </w:p>
        </w:tc>
        <w:tc>
          <w:tcPr>
            <w:tcW w:w="1843" w:type="dxa"/>
            <w:vAlign w:val="center"/>
          </w:tcPr>
          <w:p w14:paraId="0078C7E1" w14:textId="77777777" w:rsidR="00DA3E66" w:rsidRPr="000C4C17" w:rsidRDefault="00DA3E66" w:rsidP="00A111E9">
            <w:pPr>
              <w:widowControl/>
              <w:rPr>
                <w:rFonts w:eastAsiaTheme="minorHAnsi"/>
                <w:sz w:val="18"/>
              </w:rPr>
            </w:pPr>
            <w:r w:rsidRPr="000C4C17">
              <w:rPr>
                <w:rFonts w:eastAsiaTheme="minorHAnsi"/>
                <w:sz w:val="18"/>
              </w:rPr>
              <w:t>Alberta, Canada</w:t>
            </w:r>
          </w:p>
        </w:tc>
        <w:tc>
          <w:tcPr>
            <w:tcW w:w="1101" w:type="dxa"/>
            <w:vAlign w:val="center"/>
          </w:tcPr>
          <w:p w14:paraId="3498B803" w14:textId="77777777" w:rsidR="00DA3E66" w:rsidRPr="000C4C17" w:rsidRDefault="00DA3E66" w:rsidP="00A111E9">
            <w:pPr>
              <w:widowControl/>
              <w:rPr>
                <w:rFonts w:eastAsiaTheme="minorHAnsi"/>
                <w:sz w:val="18"/>
              </w:rPr>
            </w:pPr>
            <w:r w:rsidRPr="000C4C17">
              <w:rPr>
                <w:rFonts w:eastAsiaTheme="minorHAnsi"/>
                <w:sz w:val="18"/>
              </w:rPr>
              <w:t>-</w:t>
            </w:r>
          </w:p>
        </w:tc>
        <w:tc>
          <w:tcPr>
            <w:tcW w:w="1167" w:type="dxa"/>
            <w:vAlign w:val="center"/>
          </w:tcPr>
          <w:p w14:paraId="61D82A8C" w14:textId="77777777" w:rsidR="00DA3E66" w:rsidRPr="000C4C17" w:rsidRDefault="00DA3E66" w:rsidP="00A111E9">
            <w:pPr>
              <w:widowControl/>
              <w:rPr>
                <w:rFonts w:eastAsiaTheme="minorHAnsi"/>
                <w:sz w:val="18"/>
              </w:rPr>
            </w:pPr>
            <w:r w:rsidRPr="000C4C17">
              <w:rPr>
                <w:rFonts w:eastAsiaTheme="minorHAnsi"/>
                <w:sz w:val="18"/>
              </w:rPr>
              <w:t>2005-6</w:t>
            </w:r>
          </w:p>
        </w:tc>
        <w:tc>
          <w:tcPr>
            <w:tcW w:w="1134" w:type="dxa"/>
            <w:vAlign w:val="center"/>
          </w:tcPr>
          <w:p w14:paraId="3CE531EF" w14:textId="77777777" w:rsidR="00DA3E66" w:rsidRPr="000C4C17" w:rsidRDefault="00DA3E66" w:rsidP="00647943">
            <w:pPr>
              <w:widowControl/>
              <w:jc w:val="right"/>
              <w:rPr>
                <w:rFonts w:eastAsiaTheme="minorHAnsi"/>
                <w:sz w:val="18"/>
              </w:rPr>
            </w:pPr>
            <w:r w:rsidRPr="000C4C17">
              <w:rPr>
                <w:rFonts w:eastAsiaTheme="minorHAnsi"/>
                <w:sz w:val="18"/>
              </w:rPr>
              <w:t>252</w:t>
            </w:r>
          </w:p>
        </w:tc>
        <w:tc>
          <w:tcPr>
            <w:tcW w:w="2835" w:type="dxa"/>
            <w:vAlign w:val="center"/>
          </w:tcPr>
          <w:p w14:paraId="3FB983BA" w14:textId="7BA2FCE2" w:rsidR="00DA3E66" w:rsidRPr="000C4C17" w:rsidRDefault="00693082" w:rsidP="00A111E9">
            <w:pPr>
              <w:widowControl/>
              <w:autoSpaceDE w:val="0"/>
              <w:autoSpaceDN w:val="0"/>
              <w:adjustRightInd w:val="0"/>
              <w:rPr>
                <w:rFonts w:eastAsiaTheme="minorHAnsi"/>
                <w:color w:val="000000"/>
                <w:sz w:val="18"/>
              </w:rPr>
            </w:pPr>
            <w:r>
              <w:rPr>
                <w:rFonts w:eastAsiaTheme="minorHAnsi"/>
                <w:color w:val="000000"/>
                <w:sz w:val="18"/>
              </w:rPr>
              <w:t>Per</w:t>
            </w:r>
            <w:r w:rsidR="00DA3E66" w:rsidRPr="000C4C17">
              <w:rPr>
                <w:rFonts w:eastAsiaTheme="minorHAnsi"/>
                <w:color w:val="000000"/>
                <w:sz w:val="18"/>
              </w:rPr>
              <w:t xml:space="preserve"> natural log unit of PFAS</w:t>
            </w:r>
          </w:p>
          <w:p w14:paraId="4AFF519C" w14:textId="474EB9D9" w:rsidR="00DA3E66" w:rsidRPr="000C4C17" w:rsidRDefault="00DA3E66" w:rsidP="00A111E9">
            <w:pPr>
              <w:widowControl/>
              <w:autoSpaceDE w:val="0"/>
              <w:autoSpaceDN w:val="0"/>
              <w:adjustRightInd w:val="0"/>
              <w:rPr>
                <w:rFonts w:eastAsiaTheme="minorHAnsi"/>
                <w:sz w:val="18"/>
              </w:rPr>
            </w:pPr>
            <w:r w:rsidRPr="000C4C17">
              <w:rPr>
                <w:rFonts w:eastAsiaTheme="minorHAnsi"/>
                <w:color w:val="000000"/>
                <w:sz w:val="18"/>
              </w:rPr>
              <w:t>also in tertiles of PFAS</w:t>
            </w:r>
          </w:p>
        </w:tc>
        <w:tc>
          <w:tcPr>
            <w:tcW w:w="595" w:type="dxa"/>
            <w:vAlign w:val="center"/>
          </w:tcPr>
          <w:p w14:paraId="3FEA9BBF" w14:textId="77777777" w:rsidR="00DA3E66" w:rsidRPr="000C4C17" w:rsidRDefault="00DA3E66" w:rsidP="00647943">
            <w:pPr>
              <w:widowControl/>
              <w:jc w:val="center"/>
              <w:rPr>
                <w:rFonts w:eastAsiaTheme="minorHAnsi"/>
                <w:sz w:val="20"/>
              </w:rPr>
            </w:pPr>
            <w:r w:rsidRPr="000C4C17">
              <w:rPr>
                <w:rFonts w:eastAsiaTheme="minorHAnsi"/>
                <w:sz w:val="20"/>
              </w:rPr>
              <w:t>-</w:t>
            </w:r>
          </w:p>
        </w:tc>
        <w:tc>
          <w:tcPr>
            <w:tcW w:w="595" w:type="dxa"/>
            <w:vAlign w:val="center"/>
          </w:tcPr>
          <w:p w14:paraId="2665D291" w14:textId="77777777" w:rsidR="00DA3E66" w:rsidRPr="000C4C17" w:rsidRDefault="00DA3E66" w:rsidP="00647943">
            <w:pPr>
              <w:widowControl/>
              <w:jc w:val="center"/>
              <w:rPr>
                <w:rFonts w:eastAsiaTheme="minorHAnsi"/>
                <w:sz w:val="20"/>
              </w:rPr>
            </w:pPr>
            <w:r w:rsidRPr="000C4C17">
              <w:rPr>
                <w:rFonts w:eastAsiaTheme="minorHAnsi"/>
                <w:sz w:val="20"/>
              </w:rPr>
              <w:sym w:font="Symbol" w:char="F0D6"/>
            </w:r>
          </w:p>
        </w:tc>
        <w:tc>
          <w:tcPr>
            <w:tcW w:w="596" w:type="dxa"/>
            <w:vAlign w:val="center"/>
          </w:tcPr>
          <w:p w14:paraId="2B4BD8E6" w14:textId="77777777" w:rsidR="00DA3E66" w:rsidRPr="000C4C17" w:rsidRDefault="00DA3E66" w:rsidP="00647943">
            <w:pPr>
              <w:widowControl/>
              <w:jc w:val="center"/>
              <w:rPr>
                <w:rFonts w:eastAsiaTheme="minorHAnsi"/>
                <w:sz w:val="20"/>
              </w:rPr>
            </w:pPr>
            <w:r w:rsidRPr="000C4C17">
              <w:rPr>
                <w:rFonts w:eastAsiaTheme="minorHAnsi"/>
                <w:sz w:val="20"/>
              </w:rPr>
              <w:sym w:font="Symbol" w:char="F0D6"/>
            </w:r>
          </w:p>
        </w:tc>
        <w:tc>
          <w:tcPr>
            <w:tcW w:w="595" w:type="dxa"/>
            <w:vAlign w:val="center"/>
          </w:tcPr>
          <w:p w14:paraId="17CCA954" w14:textId="77777777" w:rsidR="00DA3E66" w:rsidRPr="000C4C17" w:rsidRDefault="00DA3E66" w:rsidP="00647943">
            <w:pPr>
              <w:widowControl/>
              <w:jc w:val="center"/>
              <w:rPr>
                <w:rFonts w:eastAsiaTheme="minorHAnsi"/>
                <w:sz w:val="20"/>
              </w:rPr>
            </w:pPr>
            <w:r w:rsidRPr="000C4C17">
              <w:rPr>
                <w:rFonts w:eastAsiaTheme="minorHAnsi"/>
                <w:sz w:val="20"/>
              </w:rPr>
              <w:sym w:font="Symbol" w:char="F0D6"/>
            </w:r>
          </w:p>
        </w:tc>
        <w:tc>
          <w:tcPr>
            <w:tcW w:w="596" w:type="dxa"/>
            <w:vAlign w:val="center"/>
          </w:tcPr>
          <w:p w14:paraId="2188B0B8" w14:textId="25B08600" w:rsidR="00DA3E66" w:rsidRPr="000C4C17" w:rsidRDefault="002F1039" w:rsidP="00647943">
            <w:pPr>
              <w:widowControl/>
              <w:jc w:val="center"/>
              <w:rPr>
                <w:rFonts w:eastAsiaTheme="minorHAnsi"/>
                <w:sz w:val="20"/>
              </w:rPr>
            </w:pPr>
            <w:r w:rsidRPr="000C4C17">
              <w:rPr>
                <w:rFonts w:eastAsiaTheme="minorHAnsi"/>
                <w:sz w:val="20"/>
              </w:rPr>
              <w:sym w:font="Symbol" w:char="F0D6"/>
            </w:r>
          </w:p>
        </w:tc>
      </w:tr>
      <w:tr w:rsidR="00693082" w:rsidRPr="000C4C17" w14:paraId="6DDB9155" w14:textId="77777777" w:rsidTr="00693082">
        <w:trPr>
          <w:trHeight w:val="305"/>
        </w:trPr>
        <w:tc>
          <w:tcPr>
            <w:tcW w:w="1526" w:type="dxa"/>
            <w:shd w:val="clear" w:color="auto" w:fill="F2F2F2" w:themeFill="background1" w:themeFillShade="F2"/>
            <w:vAlign w:val="center"/>
          </w:tcPr>
          <w:p w14:paraId="088E7083" w14:textId="6D6256F5" w:rsidR="00693082" w:rsidRDefault="00693082" w:rsidP="00A111E9">
            <w:pPr>
              <w:widowControl/>
              <w:rPr>
                <w:rFonts w:eastAsiaTheme="minorHAnsi"/>
                <w:sz w:val="18"/>
              </w:rPr>
            </w:pPr>
            <w:r w:rsidRPr="000C4C17">
              <w:rPr>
                <w:rFonts w:eastAsiaTheme="minorHAnsi" w:cs="Arial"/>
                <w:b/>
                <w:sz w:val="20"/>
                <w:szCs w:val="20"/>
                <w:lang w:bidi="ar-SA"/>
              </w:rPr>
              <w:lastRenderedPageBreak/>
              <w:t>Author</w:t>
            </w:r>
          </w:p>
        </w:tc>
        <w:tc>
          <w:tcPr>
            <w:tcW w:w="1417" w:type="dxa"/>
            <w:shd w:val="clear" w:color="auto" w:fill="F2F2F2" w:themeFill="background1" w:themeFillShade="F2"/>
            <w:vAlign w:val="center"/>
          </w:tcPr>
          <w:p w14:paraId="5B7EF58E" w14:textId="5E10D1A2" w:rsidR="00693082" w:rsidRPr="000C4C17" w:rsidRDefault="00693082" w:rsidP="00647943">
            <w:pPr>
              <w:widowControl/>
              <w:jc w:val="right"/>
              <w:rPr>
                <w:rFonts w:eastAsiaTheme="minorHAnsi"/>
                <w:sz w:val="18"/>
              </w:rPr>
            </w:pPr>
            <w:r w:rsidRPr="000C4C17">
              <w:rPr>
                <w:rFonts w:eastAsiaTheme="minorHAnsi" w:cs="Arial"/>
                <w:b/>
                <w:sz w:val="20"/>
                <w:szCs w:val="20"/>
                <w:lang w:bidi="ar-SA"/>
              </w:rPr>
              <w:t>Year of publication</w:t>
            </w:r>
          </w:p>
        </w:tc>
        <w:tc>
          <w:tcPr>
            <w:tcW w:w="1843" w:type="dxa"/>
            <w:shd w:val="clear" w:color="auto" w:fill="F2F2F2" w:themeFill="background1" w:themeFillShade="F2"/>
            <w:vAlign w:val="center"/>
          </w:tcPr>
          <w:p w14:paraId="309F299F" w14:textId="46471A21" w:rsidR="00693082" w:rsidRPr="000C4C17" w:rsidRDefault="00693082" w:rsidP="00A111E9">
            <w:pPr>
              <w:widowControl/>
              <w:rPr>
                <w:rFonts w:eastAsiaTheme="minorHAnsi"/>
                <w:sz w:val="18"/>
              </w:rPr>
            </w:pPr>
            <w:r w:rsidRPr="000C4C17">
              <w:rPr>
                <w:rFonts w:eastAsiaTheme="minorHAnsi" w:cs="Arial"/>
                <w:b/>
                <w:sz w:val="20"/>
                <w:szCs w:val="20"/>
                <w:lang w:bidi="ar-SA"/>
              </w:rPr>
              <w:t>Location of study</w:t>
            </w:r>
          </w:p>
        </w:tc>
        <w:tc>
          <w:tcPr>
            <w:tcW w:w="1101" w:type="dxa"/>
            <w:shd w:val="clear" w:color="auto" w:fill="F2F2F2" w:themeFill="background1" w:themeFillShade="F2"/>
            <w:vAlign w:val="center"/>
          </w:tcPr>
          <w:p w14:paraId="650C74DA" w14:textId="30C23B81" w:rsidR="00693082" w:rsidRPr="000C4C17" w:rsidRDefault="00693082" w:rsidP="00A111E9">
            <w:pPr>
              <w:widowControl/>
              <w:rPr>
                <w:rFonts w:eastAsiaTheme="minorHAnsi"/>
                <w:sz w:val="18"/>
              </w:rPr>
            </w:pPr>
            <w:r w:rsidRPr="000C4C17">
              <w:rPr>
                <w:rFonts w:eastAsiaTheme="minorHAnsi" w:cs="Arial"/>
                <w:b/>
                <w:sz w:val="20"/>
                <w:szCs w:val="20"/>
                <w:lang w:bidi="ar-SA"/>
              </w:rPr>
              <w:t>Study</w:t>
            </w:r>
          </w:p>
        </w:tc>
        <w:tc>
          <w:tcPr>
            <w:tcW w:w="1167" w:type="dxa"/>
            <w:shd w:val="clear" w:color="auto" w:fill="F2F2F2" w:themeFill="background1" w:themeFillShade="F2"/>
            <w:vAlign w:val="center"/>
          </w:tcPr>
          <w:p w14:paraId="29EBC2F6" w14:textId="2671A3B3" w:rsidR="00693082" w:rsidRPr="000C4C17" w:rsidRDefault="00693082" w:rsidP="00A111E9">
            <w:pPr>
              <w:widowControl/>
              <w:rPr>
                <w:rFonts w:eastAsiaTheme="minorHAnsi"/>
                <w:sz w:val="18"/>
              </w:rPr>
            </w:pPr>
            <w:r w:rsidRPr="000C4C17">
              <w:rPr>
                <w:rFonts w:eastAsiaTheme="minorHAnsi" w:cs="Arial"/>
                <w:b/>
                <w:sz w:val="20"/>
                <w:szCs w:val="20"/>
                <w:lang w:bidi="ar-SA"/>
              </w:rPr>
              <w:t>Year of data collection</w:t>
            </w:r>
          </w:p>
        </w:tc>
        <w:tc>
          <w:tcPr>
            <w:tcW w:w="1134" w:type="dxa"/>
            <w:shd w:val="clear" w:color="auto" w:fill="F2F2F2" w:themeFill="background1" w:themeFillShade="F2"/>
            <w:vAlign w:val="center"/>
          </w:tcPr>
          <w:p w14:paraId="54A32332" w14:textId="70A1C9B7" w:rsidR="00693082" w:rsidRPr="000C4C17" w:rsidRDefault="00693082" w:rsidP="00647943">
            <w:pPr>
              <w:widowControl/>
              <w:jc w:val="right"/>
              <w:rPr>
                <w:rFonts w:eastAsiaTheme="minorHAnsi"/>
                <w:sz w:val="18"/>
              </w:rPr>
            </w:pPr>
            <w:r w:rsidRPr="000C4C17">
              <w:rPr>
                <w:rFonts w:eastAsiaTheme="minorHAnsi"/>
                <w:b/>
                <w:sz w:val="20"/>
              </w:rPr>
              <w:t>N subjects</w:t>
            </w:r>
          </w:p>
        </w:tc>
        <w:tc>
          <w:tcPr>
            <w:tcW w:w="2835" w:type="dxa"/>
            <w:shd w:val="clear" w:color="auto" w:fill="F2F2F2" w:themeFill="background1" w:themeFillShade="F2"/>
            <w:vAlign w:val="center"/>
          </w:tcPr>
          <w:p w14:paraId="118A081D" w14:textId="323CA249" w:rsidR="00693082" w:rsidRDefault="00693082" w:rsidP="00A111E9">
            <w:pPr>
              <w:widowControl/>
              <w:autoSpaceDE w:val="0"/>
              <w:autoSpaceDN w:val="0"/>
              <w:adjustRightInd w:val="0"/>
              <w:rPr>
                <w:rFonts w:eastAsiaTheme="minorHAnsi"/>
                <w:color w:val="000000"/>
                <w:sz w:val="18"/>
              </w:rPr>
            </w:pPr>
            <w:r w:rsidRPr="000C4C17">
              <w:rPr>
                <w:rFonts w:eastAsiaTheme="minorHAnsi" w:cs="Arial"/>
                <w:b/>
                <w:sz w:val="20"/>
                <w:szCs w:val="20"/>
                <w:lang w:bidi="ar-SA"/>
              </w:rPr>
              <w:t xml:space="preserve">Reporting format used by authors to describe the association of BW with </w:t>
            </w:r>
            <w:r>
              <w:rPr>
                <w:rFonts w:eastAsiaTheme="minorHAnsi" w:cs="Arial"/>
                <w:b/>
                <w:sz w:val="20"/>
                <w:szCs w:val="20"/>
                <w:lang w:bidi="ar-SA"/>
              </w:rPr>
              <w:t xml:space="preserve">blood </w:t>
            </w:r>
            <w:r w:rsidRPr="000C4C17">
              <w:rPr>
                <w:rFonts w:eastAsiaTheme="minorHAnsi" w:cs="Arial"/>
                <w:b/>
                <w:sz w:val="20"/>
                <w:szCs w:val="20"/>
                <w:lang w:bidi="ar-SA"/>
              </w:rPr>
              <w:t>PFAS</w:t>
            </w:r>
          </w:p>
        </w:tc>
        <w:tc>
          <w:tcPr>
            <w:tcW w:w="595" w:type="dxa"/>
            <w:shd w:val="clear" w:color="auto" w:fill="F2F2F2" w:themeFill="background1" w:themeFillShade="F2"/>
            <w:textDirection w:val="btLr"/>
            <w:vAlign w:val="center"/>
          </w:tcPr>
          <w:p w14:paraId="7765F6EE" w14:textId="4CCF0069" w:rsidR="00693082" w:rsidRPr="000C4C17" w:rsidRDefault="00693082" w:rsidP="00647943">
            <w:pPr>
              <w:widowControl/>
              <w:jc w:val="center"/>
              <w:rPr>
                <w:rFonts w:eastAsiaTheme="minorHAnsi"/>
                <w:sz w:val="20"/>
              </w:rPr>
            </w:pPr>
            <w:r w:rsidRPr="000C4C17">
              <w:rPr>
                <w:rFonts w:eastAsiaTheme="minorHAnsi" w:cs="Arial"/>
                <w:b/>
                <w:sz w:val="18"/>
                <w:szCs w:val="20"/>
                <w:lang w:bidi="ar-SA"/>
              </w:rPr>
              <w:t>EFSA 2008</w:t>
            </w:r>
          </w:p>
        </w:tc>
        <w:tc>
          <w:tcPr>
            <w:tcW w:w="595" w:type="dxa"/>
            <w:shd w:val="clear" w:color="auto" w:fill="F2F2F2" w:themeFill="background1" w:themeFillShade="F2"/>
            <w:textDirection w:val="btLr"/>
            <w:vAlign w:val="center"/>
          </w:tcPr>
          <w:p w14:paraId="3C4FA80B" w14:textId="4F190EB1" w:rsidR="00693082" w:rsidRPr="000C4C17" w:rsidRDefault="00B241FD" w:rsidP="00647943">
            <w:pPr>
              <w:widowControl/>
              <w:jc w:val="center"/>
              <w:rPr>
                <w:rFonts w:eastAsiaTheme="minorHAnsi" w:cs="Arial"/>
                <w:b/>
                <w:sz w:val="18"/>
                <w:szCs w:val="20"/>
                <w:lang w:bidi="ar-SA"/>
              </w:rPr>
            </w:pPr>
            <w:r>
              <w:rPr>
                <w:rFonts w:eastAsiaTheme="minorHAnsi" w:cs="Arial"/>
                <w:b/>
                <w:sz w:val="18"/>
                <w:szCs w:val="20"/>
                <w:lang w:bidi="ar-SA"/>
              </w:rPr>
              <w:t xml:space="preserve">US </w:t>
            </w:r>
            <w:r w:rsidR="00693082" w:rsidRPr="000C4C17">
              <w:rPr>
                <w:rFonts w:eastAsiaTheme="minorHAnsi" w:cs="Arial"/>
                <w:b/>
                <w:sz w:val="18"/>
                <w:szCs w:val="20"/>
                <w:lang w:bidi="ar-SA"/>
              </w:rPr>
              <w:t>EPA 2016</w:t>
            </w:r>
          </w:p>
          <w:p w14:paraId="1DBF03B8" w14:textId="56EE770D" w:rsidR="00693082" w:rsidRPr="000C4C17" w:rsidRDefault="00693082" w:rsidP="00647943">
            <w:pPr>
              <w:widowControl/>
              <w:jc w:val="center"/>
              <w:rPr>
                <w:rFonts w:eastAsiaTheme="minorHAnsi"/>
                <w:sz w:val="20"/>
              </w:rPr>
            </w:pPr>
            <w:r w:rsidRPr="000C4C17">
              <w:rPr>
                <w:rFonts w:eastAsiaTheme="minorHAnsi" w:cs="Arial"/>
                <w:b/>
                <w:sz w:val="18"/>
                <w:szCs w:val="20"/>
                <w:lang w:bidi="ar-SA"/>
              </w:rPr>
              <w:t>PFOA</w:t>
            </w:r>
          </w:p>
        </w:tc>
        <w:tc>
          <w:tcPr>
            <w:tcW w:w="596" w:type="dxa"/>
            <w:shd w:val="clear" w:color="auto" w:fill="F2F2F2" w:themeFill="background1" w:themeFillShade="F2"/>
            <w:textDirection w:val="btLr"/>
            <w:vAlign w:val="center"/>
          </w:tcPr>
          <w:p w14:paraId="43FE7C0A" w14:textId="1E83A7AC" w:rsidR="00693082" w:rsidRPr="000C4C17" w:rsidRDefault="00693082" w:rsidP="00647943">
            <w:pPr>
              <w:widowControl/>
              <w:jc w:val="center"/>
              <w:rPr>
                <w:rFonts w:eastAsiaTheme="minorHAnsi"/>
                <w:sz w:val="20"/>
              </w:rPr>
            </w:pPr>
            <w:r w:rsidRPr="000C4C17">
              <w:rPr>
                <w:rFonts w:eastAsiaTheme="minorHAnsi" w:cs="Arial"/>
                <w:b/>
                <w:sz w:val="18"/>
                <w:szCs w:val="20"/>
                <w:lang w:bidi="ar-SA"/>
              </w:rPr>
              <w:t xml:space="preserve">Johnson </w:t>
            </w:r>
            <w:r w:rsidR="00180A32" w:rsidRPr="00180A32">
              <w:rPr>
                <w:rFonts w:eastAsiaTheme="minorHAnsi" w:cs="Arial"/>
                <w:b/>
                <w:i/>
                <w:sz w:val="18"/>
                <w:szCs w:val="20"/>
                <w:lang w:bidi="ar-SA"/>
              </w:rPr>
              <w:t xml:space="preserve">et al. </w:t>
            </w:r>
            <w:r w:rsidRPr="000C4C17">
              <w:rPr>
                <w:rFonts w:eastAsiaTheme="minorHAnsi" w:cs="Arial"/>
                <w:b/>
                <w:sz w:val="18"/>
                <w:szCs w:val="20"/>
                <w:lang w:bidi="ar-SA"/>
              </w:rPr>
              <w:t xml:space="preserve"> 2014</w:t>
            </w:r>
          </w:p>
        </w:tc>
        <w:tc>
          <w:tcPr>
            <w:tcW w:w="595" w:type="dxa"/>
            <w:shd w:val="clear" w:color="auto" w:fill="F2F2F2" w:themeFill="background1" w:themeFillShade="F2"/>
            <w:textDirection w:val="btLr"/>
            <w:vAlign w:val="center"/>
          </w:tcPr>
          <w:p w14:paraId="14E96F71" w14:textId="7317B181" w:rsidR="00693082" w:rsidRPr="000C4C17" w:rsidRDefault="00693082" w:rsidP="00647943">
            <w:pPr>
              <w:widowControl/>
              <w:jc w:val="center"/>
              <w:rPr>
                <w:rFonts w:eastAsiaTheme="minorHAnsi"/>
                <w:sz w:val="20"/>
              </w:rPr>
            </w:pPr>
            <w:r w:rsidRPr="000C4C17">
              <w:rPr>
                <w:rFonts w:eastAsiaTheme="minorHAnsi" w:cs="Arial"/>
                <w:b/>
                <w:sz w:val="18"/>
                <w:szCs w:val="20"/>
                <w:lang w:bidi="ar-SA"/>
              </w:rPr>
              <w:t xml:space="preserve">Bach </w:t>
            </w:r>
            <w:r w:rsidR="00180A32" w:rsidRPr="00180A32">
              <w:rPr>
                <w:rFonts w:eastAsiaTheme="minorHAnsi" w:cs="Arial"/>
                <w:b/>
                <w:i/>
                <w:sz w:val="18"/>
                <w:szCs w:val="20"/>
                <w:lang w:bidi="ar-SA"/>
              </w:rPr>
              <w:t xml:space="preserve">et al. </w:t>
            </w:r>
            <w:r w:rsidRPr="000C4C17">
              <w:rPr>
                <w:rFonts w:eastAsiaTheme="minorHAnsi" w:cs="Arial"/>
                <w:b/>
                <w:sz w:val="18"/>
                <w:szCs w:val="20"/>
                <w:lang w:bidi="ar-SA"/>
              </w:rPr>
              <w:t xml:space="preserve"> 2015</w:t>
            </w:r>
          </w:p>
        </w:tc>
        <w:tc>
          <w:tcPr>
            <w:tcW w:w="596" w:type="dxa"/>
            <w:shd w:val="clear" w:color="auto" w:fill="F2F2F2" w:themeFill="background1" w:themeFillShade="F2"/>
            <w:textDirection w:val="btLr"/>
            <w:vAlign w:val="center"/>
          </w:tcPr>
          <w:p w14:paraId="5A64F36D" w14:textId="07915479" w:rsidR="00693082" w:rsidRPr="000C4C17" w:rsidRDefault="00693082" w:rsidP="00647943">
            <w:pPr>
              <w:widowControl/>
              <w:jc w:val="center"/>
              <w:rPr>
                <w:rFonts w:eastAsiaTheme="minorHAnsi"/>
                <w:sz w:val="20"/>
              </w:rPr>
            </w:pPr>
            <w:r w:rsidRPr="000C4C17">
              <w:rPr>
                <w:rFonts w:eastAsiaTheme="minorHAnsi" w:cs="Arial"/>
                <w:b/>
                <w:sz w:val="18"/>
                <w:szCs w:val="20"/>
                <w:lang w:bidi="ar-SA"/>
              </w:rPr>
              <w:t>FSANZ</w:t>
            </w:r>
          </w:p>
        </w:tc>
      </w:tr>
      <w:tr w:rsidR="00DA3E66" w:rsidRPr="000C4C17" w14:paraId="0CF9DC3D" w14:textId="77777777" w:rsidTr="00CD5B9F">
        <w:trPr>
          <w:trHeight w:val="492"/>
        </w:trPr>
        <w:tc>
          <w:tcPr>
            <w:tcW w:w="1526" w:type="dxa"/>
            <w:vAlign w:val="center"/>
          </w:tcPr>
          <w:p w14:paraId="012CFBCB" w14:textId="239AE008" w:rsidR="00DA3E66" w:rsidRPr="000C4C17" w:rsidRDefault="00DA3E66" w:rsidP="00A111E9">
            <w:pPr>
              <w:widowControl/>
              <w:rPr>
                <w:rFonts w:eastAsiaTheme="minorHAnsi"/>
                <w:sz w:val="18"/>
              </w:rPr>
            </w:pPr>
            <w:r w:rsidRPr="000C4C17">
              <w:rPr>
                <w:rFonts w:eastAsiaTheme="minorHAnsi"/>
                <w:sz w:val="18"/>
              </w:rPr>
              <w:t>Arbuckle</w:t>
            </w:r>
          </w:p>
        </w:tc>
        <w:tc>
          <w:tcPr>
            <w:tcW w:w="1417" w:type="dxa"/>
            <w:vAlign w:val="center"/>
          </w:tcPr>
          <w:p w14:paraId="35C44B3A" w14:textId="77777777" w:rsidR="00DA3E66" w:rsidRPr="000C4C17" w:rsidRDefault="00DA3E66" w:rsidP="00647943">
            <w:pPr>
              <w:widowControl/>
              <w:jc w:val="right"/>
              <w:rPr>
                <w:rFonts w:eastAsiaTheme="minorHAnsi"/>
                <w:sz w:val="18"/>
              </w:rPr>
            </w:pPr>
            <w:r w:rsidRPr="000C4C17">
              <w:rPr>
                <w:rFonts w:eastAsiaTheme="minorHAnsi"/>
                <w:sz w:val="18"/>
              </w:rPr>
              <w:t>2012</w:t>
            </w:r>
          </w:p>
        </w:tc>
        <w:tc>
          <w:tcPr>
            <w:tcW w:w="1843" w:type="dxa"/>
            <w:vAlign w:val="center"/>
          </w:tcPr>
          <w:p w14:paraId="4686B78E" w14:textId="77777777" w:rsidR="00DA3E66" w:rsidRPr="000C4C17" w:rsidRDefault="00DA3E66" w:rsidP="00A111E9">
            <w:pPr>
              <w:widowControl/>
              <w:rPr>
                <w:rFonts w:eastAsiaTheme="minorHAnsi"/>
                <w:sz w:val="18"/>
              </w:rPr>
            </w:pPr>
            <w:r w:rsidRPr="000C4C17">
              <w:rPr>
                <w:rFonts w:eastAsiaTheme="minorHAnsi"/>
                <w:sz w:val="18"/>
              </w:rPr>
              <w:t>Ottawa, Canada</w:t>
            </w:r>
          </w:p>
        </w:tc>
        <w:tc>
          <w:tcPr>
            <w:tcW w:w="1101" w:type="dxa"/>
            <w:vAlign w:val="center"/>
          </w:tcPr>
          <w:p w14:paraId="393C8C77" w14:textId="77777777" w:rsidR="00DA3E66" w:rsidRPr="000C4C17" w:rsidRDefault="00DA3E66" w:rsidP="00A111E9">
            <w:pPr>
              <w:widowControl/>
              <w:rPr>
                <w:rFonts w:eastAsiaTheme="minorHAnsi"/>
                <w:sz w:val="18"/>
              </w:rPr>
            </w:pPr>
            <w:r w:rsidRPr="000C4C17">
              <w:rPr>
                <w:rFonts w:eastAsiaTheme="minorHAnsi"/>
                <w:sz w:val="18"/>
              </w:rPr>
              <w:t>-</w:t>
            </w:r>
          </w:p>
        </w:tc>
        <w:tc>
          <w:tcPr>
            <w:tcW w:w="1167" w:type="dxa"/>
            <w:vAlign w:val="center"/>
          </w:tcPr>
          <w:p w14:paraId="62E58ED0" w14:textId="77777777" w:rsidR="00DA3E66" w:rsidRPr="000C4C17" w:rsidRDefault="00DA3E66" w:rsidP="00A111E9">
            <w:pPr>
              <w:widowControl/>
              <w:rPr>
                <w:rFonts w:eastAsiaTheme="minorHAnsi"/>
                <w:sz w:val="18"/>
              </w:rPr>
            </w:pPr>
            <w:r w:rsidRPr="000C4C17">
              <w:rPr>
                <w:rFonts w:eastAsiaTheme="minorHAnsi"/>
                <w:sz w:val="18"/>
              </w:rPr>
              <w:t>2005-8</w:t>
            </w:r>
          </w:p>
        </w:tc>
        <w:tc>
          <w:tcPr>
            <w:tcW w:w="1134" w:type="dxa"/>
            <w:vAlign w:val="center"/>
          </w:tcPr>
          <w:p w14:paraId="1BA4BCBF" w14:textId="37D0EFDF" w:rsidR="00DA3E66" w:rsidRPr="000C4C17" w:rsidRDefault="00DA3E66" w:rsidP="00647943">
            <w:pPr>
              <w:widowControl/>
              <w:jc w:val="right"/>
              <w:rPr>
                <w:rFonts w:eastAsiaTheme="minorHAnsi"/>
                <w:sz w:val="18"/>
              </w:rPr>
            </w:pPr>
            <w:r w:rsidRPr="000C4C17">
              <w:rPr>
                <w:rFonts w:eastAsiaTheme="minorHAnsi"/>
                <w:sz w:val="18"/>
              </w:rPr>
              <w:t>126</w:t>
            </w:r>
          </w:p>
        </w:tc>
        <w:tc>
          <w:tcPr>
            <w:tcW w:w="2835" w:type="dxa"/>
            <w:vAlign w:val="center"/>
          </w:tcPr>
          <w:p w14:paraId="360CAD17" w14:textId="464B85E8" w:rsidR="00DA3E66" w:rsidRPr="000C4C17" w:rsidRDefault="00DA3E66" w:rsidP="00A111E9">
            <w:pPr>
              <w:widowControl/>
              <w:autoSpaceDE w:val="0"/>
              <w:autoSpaceDN w:val="0"/>
              <w:adjustRightInd w:val="0"/>
              <w:rPr>
                <w:rFonts w:eastAsiaTheme="minorHAnsi"/>
                <w:color w:val="000000"/>
                <w:sz w:val="18"/>
              </w:rPr>
            </w:pPr>
            <w:r w:rsidRPr="000C4C17">
              <w:rPr>
                <w:rFonts w:eastAsiaTheme="minorHAnsi"/>
                <w:color w:val="000000"/>
                <w:sz w:val="18"/>
              </w:rPr>
              <w:t>Inverted analysis*</w:t>
            </w:r>
          </w:p>
        </w:tc>
        <w:tc>
          <w:tcPr>
            <w:tcW w:w="595" w:type="dxa"/>
            <w:vAlign w:val="center"/>
          </w:tcPr>
          <w:p w14:paraId="1F5926D8" w14:textId="77777777" w:rsidR="00DA3E66" w:rsidRPr="000C4C17" w:rsidRDefault="00DA3E66" w:rsidP="00647943">
            <w:pPr>
              <w:widowControl/>
              <w:jc w:val="center"/>
              <w:rPr>
                <w:rFonts w:eastAsiaTheme="minorHAnsi"/>
                <w:sz w:val="20"/>
              </w:rPr>
            </w:pPr>
            <w:r w:rsidRPr="000C4C17">
              <w:rPr>
                <w:rFonts w:eastAsiaTheme="minorHAnsi"/>
                <w:sz w:val="20"/>
              </w:rPr>
              <w:t>-</w:t>
            </w:r>
          </w:p>
        </w:tc>
        <w:tc>
          <w:tcPr>
            <w:tcW w:w="595" w:type="dxa"/>
            <w:vAlign w:val="center"/>
          </w:tcPr>
          <w:p w14:paraId="3A33FDFE" w14:textId="44F62DA8" w:rsidR="00DA3E66" w:rsidRPr="000C4C17" w:rsidRDefault="006740F1" w:rsidP="00647943">
            <w:pPr>
              <w:widowControl/>
              <w:jc w:val="center"/>
              <w:rPr>
                <w:rFonts w:eastAsiaTheme="minorHAnsi"/>
                <w:sz w:val="20"/>
              </w:rPr>
            </w:pPr>
            <w:r>
              <w:rPr>
                <w:rFonts w:eastAsiaTheme="minorHAnsi"/>
                <w:sz w:val="20"/>
              </w:rPr>
              <w:t>-</w:t>
            </w:r>
          </w:p>
        </w:tc>
        <w:tc>
          <w:tcPr>
            <w:tcW w:w="596" w:type="dxa"/>
            <w:vAlign w:val="center"/>
          </w:tcPr>
          <w:p w14:paraId="77A3C4B9" w14:textId="77777777" w:rsidR="00DA3E66" w:rsidRPr="000C4C17" w:rsidRDefault="00DA3E66" w:rsidP="00647943">
            <w:pPr>
              <w:widowControl/>
              <w:jc w:val="center"/>
              <w:rPr>
                <w:rFonts w:eastAsiaTheme="minorHAnsi"/>
                <w:sz w:val="20"/>
              </w:rPr>
            </w:pPr>
            <w:r w:rsidRPr="000C4C17">
              <w:rPr>
                <w:rFonts w:eastAsiaTheme="minorHAnsi"/>
                <w:sz w:val="20"/>
              </w:rPr>
              <w:t>e</w:t>
            </w:r>
          </w:p>
        </w:tc>
        <w:tc>
          <w:tcPr>
            <w:tcW w:w="595" w:type="dxa"/>
            <w:vAlign w:val="center"/>
          </w:tcPr>
          <w:p w14:paraId="60BEEA09" w14:textId="77777777" w:rsidR="00DA3E66" w:rsidRPr="000C4C17" w:rsidRDefault="00DA3E66" w:rsidP="00647943">
            <w:pPr>
              <w:widowControl/>
              <w:jc w:val="center"/>
              <w:rPr>
                <w:rFonts w:eastAsiaTheme="minorHAnsi"/>
                <w:sz w:val="20"/>
              </w:rPr>
            </w:pPr>
            <w:r w:rsidRPr="000C4C17">
              <w:rPr>
                <w:rFonts w:eastAsiaTheme="minorHAnsi"/>
                <w:sz w:val="20"/>
              </w:rPr>
              <w:sym w:font="Symbol" w:char="F0D6"/>
            </w:r>
          </w:p>
        </w:tc>
        <w:tc>
          <w:tcPr>
            <w:tcW w:w="596" w:type="dxa"/>
            <w:vAlign w:val="center"/>
          </w:tcPr>
          <w:p w14:paraId="17254CA4" w14:textId="73F1F041" w:rsidR="00DA3E66" w:rsidRPr="000C4C17" w:rsidRDefault="00DA3E66" w:rsidP="00647943">
            <w:pPr>
              <w:widowControl/>
              <w:jc w:val="center"/>
              <w:rPr>
                <w:rFonts w:eastAsiaTheme="minorHAnsi"/>
                <w:sz w:val="20"/>
              </w:rPr>
            </w:pPr>
            <w:r w:rsidRPr="000C4C17">
              <w:rPr>
                <w:rFonts w:eastAsiaTheme="minorHAnsi"/>
                <w:sz w:val="20"/>
              </w:rPr>
              <w:t>q</w:t>
            </w:r>
          </w:p>
        </w:tc>
      </w:tr>
      <w:tr w:rsidR="00DA3E66" w:rsidRPr="000C4C17" w14:paraId="53AC1270" w14:textId="77777777" w:rsidTr="00CD5B9F">
        <w:trPr>
          <w:trHeight w:val="553"/>
        </w:trPr>
        <w:tc>
          <w:tcPr>
            <w:tcW w:w="1526" w:type="dxa"/>
            <w:vAlign w:val="center"/>
          </w:tcPr>
          <w:p w14:paraId="6882CD86" w14:textId="6F5A3D63" w:rsidR="00DA3E66" w:rsidRPr="000C4C17" w:rsidRDefault="00DA3E66" w:rsidP="00A111E9">
            <w:pPr>
              <w:widowControl/>
              <w:rPr>
                <w:rFonts w:eastAsiaTheme="minorHAnsi"/>
                <w:sz w:val="18"/>
              </w:rPr>
            </w:pPr>
            <w:r w:rsidRPr="000C4C17">
              <w:rPr>
                <w:rFonts w:eastAsiaTheme="minorHAnsi"/>
                <w:sz w:val="18"/>
              </w:rPr>
              <w:t>Whitworth</w:t>
            </w:r>
          </w:p>
        </w:tc>
        <w:tc>
          <w:tcPr>
            <w:tcW w:w="1417" w:type="dxa"/>
            <w:vAlign w:val="center"/>
          </w:tcPr>
          <w:p w14:paraId="7D1384D0" w14:textId="77777777" w:rsidR="00DA3E66" w:rsidRPr="000C4C17" w:rsidRDefault="00DA3E66" w:rsidP="00647943">
            <w:pPr>
              <w:widowControl/>
              <w:jc w:val="right"/>
              <w:rPr>
                <w:rFonts w:eastAsiaTheme="minorHAnsi"/>
                <w:sz w:val="18"/>
              </w:rPr>
            </w:pPr>
            <w:r w:rsidRPr="000C4C17">
              <w:rPr>
                <w:rFonts w:eastAsiaTheme="minorHAnsi"/>
                <w:sz w:val="18"/>
              </w:rPr>
              <w:t>2012</w:t>
            </w:r>
          </w:p>
        </w:tc>
        <w:tc>
          <w:tcPr>
            <w:tcW w:w="1843" w:type="dxa"/>
            <w:vAlign w:val="center"/>
          </w:tcPr>
          <w:p w14:paraId="70DB186B" w14:textId="77777777" w:rsidR="00DA3E66" w:rsidRPr="000C4C17" w:rsidRDefault="00DA3E66" w:rsidP="00A111E9">
            <w:pPr>
              <w:widowControl/>
              <w:rPr>
                <w:rFonts w:eastAsiaTheme="minorHAnsi"/>
                <w:sz w:val="18"/>
              </w:rPr>
            </w:pPr>
            <w:r w:rsidRPr="000C4C17">
              <w:rPr>
                <w:rFonts w:eastAsiaTheme="minorHAnsi"/>
                <w:sz w:val="18"/>
              </w:rPr>
              <w:t>Norway</w:t>
            </w:r>
          </w:p>
        </w:tc>
        <w:tc>
          <w:tcPr>
            <w:tcW w:w="1101" w:type="dxa"/>
            <w:vAlign w:val="center"/>
          </w:tcPr>
          <w:p w14:paraId="2044C0A0" w14:textId="77777777" w:rsidR="00DA3E66" w:rsidRPr="000C4C17" w:rsidRDefault="00DA3E66" w:rsidP="00A111E9">
            <w:pPr>
              <w:widowControl/>
              <w:rPr>
                <w:rFonts w:eastAsiaTheme="minorHAnsi"/>
                <w:sz w:val="18"/>
              </w:rPr>
            </w:pPr>
            <w:r w:rsidRPr="000C4C17">
              <w:rPr>
                <w:rFonts w:eastAsiaTheme="minorHAnsi"/>
                <w:sz w:val="18"/>
              </w:rPr>
              <w:t>MoBa</w:t>
            </w:r>
          </w:p>
        </w:tc>
        <w:tc>
          <w:tcPr>
            <w:tcW w:w="1167" w:type="dxa"/>
            <w:vAlign w:val="center"/>
          </w:tcPr>
          <w:p w14:paraId="089E886E" w14:textId="77777777" w:rsidR="00DA3E66" w:rsidRPr="000C4C17" w:rsidRDefault="00DA3E66" w:rsidP="00A111E9">
            <w:pPr>
              <w:widowControl/>
              <w:rPr>
                <w:rFonts w:eastAsiaTheme="minorHAnsi"/>
                <w:sz w:val="18"/>
              </w:rPr>
            </w:pPr>
            <w:r w:rsidRPr="000C4C17">
              <w:rPr>
                <w:rFonts w:eastAsiaTheme="minorHAnsi"/>
                <w:sz w:val="18"/>
              </w:rPr>
              <w:t>2003-4</w:t>
            </w:r>
          </w:p>
        </w:tc>
        <w:tc>
          <w:tcPr>
            <w:tcW w:w="1134" w:type="dxa"/>
            <w:vAlign w:val="center"/>
          </w:tcPr>
          <w:p w14:paraId="44E49052" w14:textId="658F1081" w:rsidR="00DA3E66" w:rsidRPr="000C4C17" w:rsidRDefault="00DA3E66" w:rsidP="00647943">
            <w:pPr>
              <w:widowControl/>
              <w:jc w:val="right"/>
              <w:rPr>
                <w:rFonts w:eastAsiaTheme="minorHAnsi"/>
                <w:sz w:val="18"/>
              </w:rPr>
            </w:pPr>
            <w:r w:rsidRPr="000C4C17">
              <w:rPr>
                <w:rFonts w:eastAsiaTheme="minorHAnsi"/>
                <w:sz w:val="18"/>
              </w:rPr>
              <w:t>847</w:t>
            </w:r>
          </w:p>
        </w:tc>
        <w:tc>
          <w:tcPr>
            <w:tcW w:w="2835" w:type="dxa"/>
            <w:vAlign w:val="center"/>
          </w:tcPr>
          <w:p w14:paraId="718BD832" w14:textId="0CD39BE7" w:rsidR="00DA3E66" w:rsidRPr="000C4C17" w:rsidRDefault="00DA3E66" w:rsidP="00A111E9">
            <w:pPr>
              <w:widowControl/>
              <w:rPr>
                <w:rFonts w:eastAsiaTheme="minorHAnsi"/>
                <w:sz w:val="18"/>
              </w:rPr>
            </w:pPr>
            <w:r w:rsidRPr="000C4C17">
              <w:rPr>
                <w:rFonts w:eastAsiaTheme="minorHAnsi"/>
                <w:sz w:val="18"/>
              </w:rPr>
              <w:t>BW z-score per unit increase in PFAS</w:t>
            </w:r>
            <w:r w:rsidR="00693082">
              <w:rPr>
                <w:rFonts w:eastAsiaTheme="minorHAnsi"/>
                <w:sz w:val="18"/>
              </w:rPr>
              <w:t xml:space="preserve">; </w:t>
            </w:r>
            <w:r w:rsidRPr="000C4C17">
              <w:rPr>
                <w:rFonts w:eastAsiaTheme="minorHAnsi"/>
                <w:sz w:val="18"/>
              </w:rPr>
              <w:t>also in quartiles of PFAS</w:t>
            </w:r>
          </w:p>
        </w:tc>
        <w:tc>
          <w:tcPr>
            <w:tcW w:w="595" w:type="dxa"/>
            <w:vAlign w:val="center"/>
          </w:tcPr>
          <w:p w14:paraId="1CF1ED87" w14:textId="77777777" w:rsidR="00DA3E66" w:rsidRPr="000C4C17" w:rsidRDefault="00DA3E66" w:rsidP="00647943">
            <w:pPr>
              <w:widowControl/>
              <w:jc w:val="center"/>
              <w:rPr>
                <w:rFonts w:eastAsiaTheme="minorHAnsi"/>
                <w:sz w:val="20"/>
              </w:rPr>
            </w:pPr>
            <w:r w:rsidRPr="000C4C17">
              <w:rPr>
                <w:rFonts w:eastAsiaTheme="minorHAnsi"/>
                <w:sz w:val="20"/>
              </w:rPr>
              <w:t>-</w:t>
            </w:r>
          </w:p>
        </w:tc>
        <w:tc>
          <w:tcPr>
            <w:tcW w:w="595" w:type="dxa"/>
            <w:vAlign w:val="center"/>
          </w:tcPr>
          <w:p w14:paraId="08321529" w14:textId="77777777" w:rsidR="00DA3E66" w:rsidRPr="000C4C17" w:rsidRDefault="00DA3E66" w:rsidP="00647943">
            <w:pPr>
              <w:widowControl/>
              <w:jc w:val="center"/>
              <w:rPr>
                <w:rFonts w:eastAsiaTheme="minorHAnsi"/>
                <w:sz w:val="20"/>
              </w:rPr>
            </w:pPr>
            <w:r w:rsidRPr="000C4C17">
              <w:rPr>
                <w:rFonts w:eastAsiaTheme="minorHAnsi"/>
                <w:sz w:val="20"/>
              </w:rPr>
              <w:sym w:font="Symbol" w:char="F0D6"/>
            </w:r>
          </w:p>
        </w:tc>
        <w:tc>
          <w:tcPr>
            <w:tcW w:w="596" w:type="dxa"/>
            <w:vAlign w:val="center"/>
          </w:tcPr>
          <w:p w14:paraId="04627374" w14:textId="77777777" w:rsidR="00DA3E66" w:rsidRPr="000C4C17" w:rsidRDefault="00DA3E66" w:rsidP="00647943">
            <w:pPr>
              <w:widowControl/>
              <w:jc w:val="center"/>
              <w:rPr>
                <w:rFonts w:eastAsiaTheme="minorHAnsi"/>
                <w:sz w:val="20"/>
              </w:rPr>
            </w:pPr>
            <w:r w:rsidRPr="000C4C17">
              <w:rPr>
                <w:rFonts w:eastAsiaTheme="minorHAnsi"/>
                <w:sz w:val="20"/>
              </w:rPr>
              <w:sym w:font="Symbol" w:char="F0D6"/>
            </w:r>
          </w:p>
        </w:tc>
        <w:tc>
          <w:tcPr>
            <w:tcW w:w="595" w:type="dxa"/>
            <w:vAlign w:val="center"/>
          </w:tcPr>
          <w:p w14:paraId="4FF3ED66" w14:textId="77777777" w:rsidR="00DA3E66" w:rsidRPr="000C4C17" w:rsidRDefault="00DA3E66" w:rsidP="00647943">
            <w:pPr>
              <w:widowControl/>
              <w:jc w:val="center"/>
              <w:rPr>
                <w:rFonts w:eastAsiaTheme="minorHAnsi"/>
                <w:sz w:val="20"/>
              </w:rPr>
            </w:pPr>
            <w:r w:rsidRPr="000C4C17">
              <w:rPr>
                <w:rFonts w:eastAsiaTheme="minorHAnsi"/>
                <w:sz w:val="20"/>
              </w:rPr>
              <w:sym w:font="Symbol" w:char="F0D6"/>
            </w:r>
          </w:p>
        </w:tc>
        <w:tc>
          <w:tcPr>
            <w:tcW w:w="596" w:type="dxa"/>
            <w:vAlign w:val="center"/>
          </w:tcPr>
          <w:p w14:paraId="5BE74E1A" w14:textId="0011726A" w:rsidR="00DA3E66" w:rsidRPr="000C4C17" w:rsidRDefault="002F1039" w:rsidP="00647943">
            <w:pPr>
              <w:widowControl/>
              <w:jc w:val="center"/>
              <w:rPr>
                <w:rFonts w:eastAsiaTheme="minorHAnsi"/>
                <w:sz w:val="20"/>
              </w:rPr>
            </w:pPr>
            <w:r w:rsidRPr="000C4C17">
              <w:rPr>
                <w:rFonts w:eastAsiaTheme="minorHAnsi"/>
                <w:sz w:val="20"/>
              </w:rPr>
              <w:sym w:font="Symbol" w:char="F0D6"/>
            </w:r>
          </w:p>
        </w:tc>
      </w:tr>
      <w:tr w:rsidR="00DA3E66" w:rsidRPr="000C4C17" w14:paraId="559E2AA9" w14:textId="77777777" w:rsidTr="00F6284E">
        <w:trPr>
          <w:trHeight w:val="305"/>
        </w:trPr>
        <w:tc>
          <w:tcPr>
            <w:tcW w:w="1526" w:type="dxa"/>
            <w:vAlign w:val="center"/>
          </w:tcPr>
          <w:p w14:paraId="0B4C281C" w14:textId="7BE9DF7A" w:rsidR="00DA3E66" w:rsidRPr="000C4C17" w:rsidRDefault="00DA3E66" w:rsidP="00A111E9">
            <w:pPr>
              <w:widowControl/>
              <w:rPr>
                <w:rFonts w:eastAsiaTheme="minorHAnsi"/>
                <w:sz w:val="18"/>
              </w:rPr>
            </w:pPr>
            <w:r w:rsidRPr="000C4C17">
              <w:rPr>
                <w:rFonts w:eastAsiaTheme="minorHAnsi"/>
                <w:sz w:val="18"/>
              </w:rPr>
              <w:t>Maisonet</w:t>
            </w:r>
          </w:p>
        </w:tc>
        <w:tc>
          <w:tcPr>
            <w:tcW w:w="1417" w:type="dxa"/>
            <w:vAlign w:val="center"/>
          </w:tcPr>
          <w:p w14:paraId="03AB7059" w14:textId="77777777" w:rsidR="00DA3E66" w:rsidRPr="000C4C17" w:rsidRDefault="00DA3E66" w:rsidP="00647943">
            <w:pPr>
              <w:widowControl/>
              <w:jc w:val="right"/>
              <w:rPr>
                <w:rFonts w:eastAsiaTheme="minorHAnsi"/>
                <w:sz w:val="18"/>
              </w:rPr>
            </w:pPr>
            <w:r w:rsidRPr="000C4C17">
              <w:rPr>
                <w:rFonts w:eastAsiaTheme="minorHAnsi"/>
                <w:sz w:val="18"/>
              </w:rPr>
              <w:t>2012</w:t>
            </w:r>
          </w:p>
        </w:tc>
        <w:tc>
          <w:tcPr>
            <w:tcW w:w="1843" w:type="dxa"/>
            <w:vAlign w:val="center"/>
          </w:tcPr>
          <w:p w14:paraId="6301C652" w14:textId="77777777" w:rsidR="00DA3E66" w:rsidRPr="000C4C17" w:rsidRDefault="00DA3E66" w:rsidP="00A111E9">
            <w:pPr>
              <w:widowControl/>
              <w:rPr>
                <w:rFonts w:eastAsiaTheme="minorHAnsi"/>
                <w:sz w:val="18"/>
              </w:rPr>
            </w:pPr>
            <w:r w:rsidRPr="000C4C17">
              <w:rPr>
                <w:rFonts w:eastAsiaTheme="minorHAnsi"/>
                <w:sz w:val="18"/>
              </w:rPr>
              <w:t>UK</w:t>
            </w:r>
          </w:p>
        </w:tc>
        <w:tc>
          <w:tcPr>
            <w:tcW w:w="1101" w:type="dxa"/>
            <w:vAlign w:val="center"/>
          </w:tcPr>
          <w:p w14:paraId="56221646" w14:textId="77777777" w:rsidR="00DA3E66" w:rsidRPr="000C4C17" w:rsidRDefault="00DA3E66" w:rsidP="00A111E9">
            <w:pPr>
              <w:widowControl/>
              <w:rPr>
                <w:rFonts w:eastAsiaTheme="minorHAnsi"/>
                <w:sz w:val="18"/>
              </w:rPr>
            </w:pPr>
            <w:r w:rsidRPr="000C4C17">
              <w:rPr>
                <w:rFonts w:eastAsiaTheme="minorHAnsi"/>
                <w:sz w:val="18"/>
              </w:rPr>
              <w:t>ALSPAC</w:t>
            </w:r>
          </w:p>
        </w:tc>
        <w:tc>
          <w:tcPr>
            <w:tcW w:w="1167" w:type="dxa"/>
            <w:vAlign w:val="center"/>
          </w:tcPr>
          <w:p w14:paraId="74BD5724" w14:textId="77777777" w:rsidR="00DA3E66" w:rsidRPr="000C4C17" w:rsidRDefault="00DA3E66" w:rsidP="00A111E9">
            <w:pPr>
              <w:widowControl/>
              <w:rPr>
                <w:rFonts w:eastAsiaTheme="minorHAnsi"/>
                <w:sz w:val="18"/>
              </w:rPr>
            </w:pPr>
            <w:r w:rsidRPr="000C4C17">
              <w:rPr>
                <w:rFonts w:eastAsiaTheme="minorHAnsi"/>
                <w:sz w:val="18"/>
              </w:rPr>
              <w:t>1991-2</w:t>
            </w:r>
          </w:p>
        </w:tc>
        <w:tc>
          <w:tcPr>
            <w:tcW w:w="1134" w:type="dxa"/>
            <w:vAlign w:val="center"/>
          </w:tcPr>
          <w:p w14:paraId="1EC4E682" w14:textId="77777777" w:rsidR="00DA3E66" w:rsidRPr="000C4C17" w:rsidRDefault="00DA3E66" w:rsidP="00647943">
            <w:pPr>
              <w:widowControl/>
              <w:jc w:val="right"/>
              <w:rPr>
                <w:rFonts w:eastAsiaTheme="minorHAnsi"/>
                <w:sz w:val="18"/>
              </w:rPr>
            </w:pPr>
            <w:r w:rsidRPr="000C4C17">
              <w:rPr>
                <w:rFonts w:eastAsiaTheme="minorHAnsi"/>
                <w:sz w:val="18"/>
              </w:rPr>
              <w:t>395</w:t>
            </w:r>
          </w:p>
        </w:tc>
        <w:tc>
          <w:tcPr>
            <w:tcW w:w="2835" w:type="dxa"/>
            <w:vAlign w:val="center"/>
          </w:tcPr>
          <w:p w14:paraId="02CBC865" w14:textId="77777777" w:rsidR="00DA3E66" w:rsidRPr="000C4C17" w:rsidRDefault="00DA3E66" w:rsidP="00A111E9">
            <w:pPr>
              <w:widowControl/>
              <w:rPr>
                <w:rFonts w:eastAsiaTheme="minorHAnsi"/>
                <w:sz w:val="18"/>
              </w:rPr>
            </w:pPr>
            <w:r w:rsidRPr="000C4C17">
              <w:rPr>
                <w:rFonts w:eastAsiaTheme="minorHAnsi"/>
                <w:sz w:val="18"/>
              </w:rPr>
              <w:t>Per log unit</w:t>
            </w:r>
          </w:p>
          <w:p w14:paraId="5ED382E3" w14:textId="77777777" w:rsidR="00DA3E66" w:rsidRPr="000C4C17" w:rsidRDefault="00DA3E66" w:rsidP="00A111E9">
            <w:pPr>
              <w:widowControl/>
              <w:rPr>
                <w:rFonts w:eastAsiaTheme="minorHAnsi"/>
                <w:sz w:val="18"/>
              </w:rPr>
            </w:pPr>
            <w:r w:rsidRPr="000C4C17">
              <w:rPr>
                <w:rFonts w:eastAsiaTheme="minorHAnsi"/>
                <w:sz w:val="18"/>
              </w:rPr>
              <w:t>also in tertiles of PFAS</w:t>
            </w:r>
          </w:p>
        </w:tc>
        <w:tc>
          <w:tcPr>
            <w:tcW w:w="595" w:type="dxa"/>
            <w:vAlign w:val="center"/>
          </w:tcPr>
          <w:p w14:paraId="73512125" w14:textId="77777777" w:rsidR="00DA3E66" w:rsidRPr="000C4C17" w:rsidRDefault="00DA3E66" w:rsidP="00647943">
            <w:pPr>
              <w:widowControl/>
              <w:jc w:val="center"/>
              <w:rPr>
                <w:rFonts w:eastAsiaTheme="minorHAnsi"/>
                <w:sz w:val="20"/>
              </w:rPr>
            </w:pPr>
            <w:r w:rsidRPr="000C4C17">
              <w:rPr>
                <w:rFonts w:eastAsiaTheme="minorHAnsi"/>
                <w:sz w:val="20"/>
              </w:rPr>
              <w:t>-</w:t>
            </w:r>
          </w:p>
        </w:tc>
        <w:tc>
          <w:tcPr>
            <w:tcW w:w="595" w:type="dxa"/>
            <w:vAlign w:val="center"/>
          </w:tcPr>
          <w:p w14:paraId="0A7181C1" w14:textId="77777777" w:rsidR="00DA3E66" w:rsidRPr="000C4C17" w:rsidRDefault="00DA3E66" w:rsidP="00647943">
            <w:pPr>
              <w:widowControl/>
              <w:jc w:val="center"/>
              <w:rPr>
                <w:rFonts w:eastAsiaTheme="minorHAnsi"/>
                <w:sz w:val="20"/>
              </w:rPr>
            </w:pPr>
            <w:r w:rsidRPr="000C4C17">
              <w:rPr>
                <w:rFonts w:eastAsiaTheme="minorHAnsi"/>
                <w:sz w:val="20"/>
              </w:rPr>
              <w:sym w:font="Symbol" w:char="F0D6"/>
            </w:r>
          </w:p>
        </w:tc>
        <w:tc>
          <w:tcPr>
            <w:tcW w:w="596" w:type="dxa"/>
            <w:vAlign w:val="center"/>
          </w:tcPr>
          <w:p w14:paraId="3F8B7F96" w14:textId="77777777" w:rsidR="00DA3E66" w:rsidRPr="000C4C17" w:rsidRDefault="00DA3E66" w:rsidP="00647943">
            <w:pPr>
              <w:widowControl/>
              <w:jc w:val="center"/>
              <w:rPr>
                <w:rFonts w:eastAsiaTheme="minorHAnsi"/>
                <w:sz w:val="20"/>
              </w:rPr>
            </w:pPr>
            <w:r w:rsidRPr="000C4C17">
              <w:rPr>
                <w:rFonts w:eastAsiaTheme="minorHAnsi"/>
                <w:sz w:val="20"/>
              </w:rPr>
              <w:sym w:font="Symbol" w:char="F0D6"/>
            </w:r>
          </w:p>
        </w:tc>
        <w:tc>
          <w:tcPr>
            <w:tcW w:w="595" w:type="dxa"/>
            <w:vAlign w:val="center"/>
          </w:tcPr>
          <w:p w14:paraId="65AA795A" w14:textId="77777777" w:rsidR="00DA3E66" w:rsidRPr="000C4C17" w:rsidRDefault="00DA3E66" w:rsidP="00647943">
            <w:pPr>
              <w:widowControl/>
              <w:jc w:val="center"/>
              <w:rPr>
                <w:rFonts w:eastAsiaTheme="minorHAnsi"/>
                <w:sz w:val="20"/>
              </w:rPr>
            </w:pPr>
            <w:r w:rsidRPr="000C4C17">
              <w:rPr>
                <w:rFonts w:eastAsiaTheme="minorHAnsi"/>
                <w:sz w:val="20"/>
              </w:rPr>
              <w:sym w:font="Symbol" w:char="F0D6"/>
            </w:r>
          </w:p>
        </w:tc>
        <w:tc>
          <w:tcPr>
            <w:tcW w:w="596" w:type="dxa"/>
            <w:vAlign w:val="center"/>
          </w:tcPr>
          <w:p w14:paraId="57FE660F" w14:textId="385EF9C4" w:rsidR="00DA3E66" w:rsidRPr="000C4C17" w:rsidRDefault="002F1039" w:rsidP="00647943">
            <w:pPr>
              <w:widowControl/>
              <w:jc w:val="center"/>
              <w:rPr>
                <w:rFonts w:eastAsiaTheme="minorHAnsi"/>
                <w:sz w:val="20"/>
              </w:rPr>
            </w:pPr>
            <w:r w:rsidRPr="000C4C17">
              <w:rPr>
                <w:rFonts w:eastAsiaTheme="minorHAnsi"/>
                <w:sz w:val="20"/>
              </w:rPr>
              <w:sym w:font="Symbol" w:char="F0D6"/>
            </w:r>
          </w:p>
        </w:tc>
      </w:tr>
      <w:tr w:rsidR="00DA3E66" w:rsidRPr="000C4C17" w14:paraId="35E109A7" w14:textId="77777777" w:rsidTr="00F6284E">
        <w:trPr>
          <w:trHeight w:val="166"/>
        </w:trPr>
        <w:tc>
          <w:tcPr>
            <w:tcW w:w="1526" w:type="dxa"/>
            <w:vAlign w:val="center"/>
          </w:tcPr>
          <w:p w14:paraId="2FD76DBC" w14:textId="59A1A3D9" w:rsidR="00DA3E66" w:rsidRPr="000C4C17" w:rsidRDefault="00DA3E66" w:rsidP="00A111E9">
            <w:pPr>
              <w:widowControl/>
              <w:rPr>
                <w:rFonts w:eastAsiaTheme="minorHAnsi"/>
                <w:sz w:val="18"/>
              </w:rPr>
            </w:pPr>
            <w:r w:rsidRPr="000C4C17">
              <w:rPr>
                <w:rFonts w:eastAsiaTheme="minorHAnsi"/>
                <w:sz w:val="18"/>
              </w:rPr>
              <w:t>Chen</w:t>
            </w:r>
          </w:p>
        </w:tc>
        <w:tc>
          <w:tcPr>
            <w:tcW w:w="1417" w:type="dxa"/>
            <w:vAlign w:val="center"/>
          </w:tcPr>
          <w:p w14:paraId="7699A50D" w14:textId="77777777" w:rsidR="00DA3E66" w:rsidRPr="000C4C17" w:rsidRDefault="00DA3E66" w:rsidP="00647943">
            <w:pPr>
              <w:widowControl/>
              <w:jc w:val="right"/>
              <w:rPr>
                <w:rFonts w:eastAsiaTheme="minorHAnsi"/>
                <w:sz w:val="18"/>
              </w:rPr>
            </w:pPr>
            <w:r w:rsidRPr="000C4C17">
              <w:rPr>
                <w:rFonts w:eastAsiaTheme="minorHAnsi"/>
                <w:sz w:val="18"/>
              </w:rPr>
              <w:t>2012</w:t>
            </w:r>
          </w:p>
        </w:tc>
        <w:tc>
          <w:tcPr>
            <w:tcW w:w="1843" w:type="dxa"/>
            <w:vAlign w:val="center"/>
          </w:tcPr>
          <w:p w14:paraId="7F5DE92B" w14:textId="77777777" w:rsidR="00DA3E66" w:rsidRPr="000C4C17" w:rsidRDefault="00DA3E66" w:rsidP="00A111E9">
            <w:pPr>
              <w:widowControl/>
              <w:rPr>
                <w:rFonts w:eastAsiaTheme="minorHAnsi"/>
                <w:sz w:val="18"/>
              </w:rPr>
            </w:pPr>
            <w:r w:rsidRPr="000C4C17">
              <w:rPr>
                <w:rFonts w:eastAsiaTheme="minorHAnsi"/>
                <w:sz w:val="18"/>
              </w:rPr>
              <w:t>Taiwan</w:t>
            </w:r>
          </w:p>
        </w:tc>
        <w:tc>
          <w:tcPr>
            <w:tcW w:w="1101" w:type="dxa"/>
            <w:vAlign w:val="center"/>
          </w:tcPr>
          <w:p w14:paraId="50C703CA" w14:textId="77777777" w:rsidR="00DA3E66" w:rsidRPr="000C4C17" w:rsidRDefault="00DA3E66" w:rsidP="00A111E9">
            <w:pPr>
              <w:widowControl/>
              <w:rPr>
                <w:rFonts w:eastAsiaTheme="minorHAnsi"/>
                <w:sz w:val="18"/>
              </w:rPr>
            </w:pPr>
            <w:r w:rsidRPr="000C4C17">
              <w:rPr>
                <w:rFonts w:eastAsiaTheme="minorHAnsi"/>
                <w:sz w:val="18"/>
              </w:rPr>
              <w:t>Taiwan Birth Panel Study</w:t>
            </w:r>
          </w:p>
        </w:tc>
        <w:tc>
          <w:tcPr>
            <w:tcW w:w="1167" w:type="dxa"/>
            <w:vAlign w:val="center"/>
          </w:tcPr>
          <w:p w14:paraId="7DE94F3F" w14:textId="77777777" w:rsidR="00DA3E66" w:rsidRPr="000C4C17" w:rsidRDefault="00DA3E66" w:rsidP="00A111E9">
            <w:pPr>
              <w:widowControl/>
              <w:rPr>
                <w:rFonts w:eastAsiaTheme="minorHAnsi"/>
                <w:sz w:val="18"/>
              </w:rPr>
            </w:pPr>
            <w:r w:rsidRPr="000C4C17">
              <w:rPr>
                <w:rFonts w:eastAsiaTheme="minorHAnsi"/>
                <w:sz w:val="18"/>
              </w:rPr>
              <w:t>2004-5</w:t>
            </w:r>
          </w:p>
        </w:tc>
        <w:tc>
          <w:tcPr>
            <w:tcW w:w="1134" w:type="dxa"/>
            <w:vAlign w:val="center"/>
          </w:tcPr>
          <w:p w14:paraId="7A920F2E" w14:textId="77777777" w:rsidR="00DA3E66" w:rsidRPr="000C4C17" w:rsidRDefault="00DA3E66" w:rsidP="00647943">
            <w:pPr>
              <w:widowControl/>
              <w:jc w:val="right"/>
              <w:rPr>
                <w:rFonts w:eastAsiaTheme="minorHAnsi"/>
                <w:sz w:val="18"/>
              </w:rPr>
            </w:pPr>
            <w:r w:rsidRPr="000C4C17">
              <w:rPr>
                <w:rFonts w:eastAsiaTheme="minorHAnsi"/>
                <w:sz w:val="18"/>
              </w:rPr>
              <w:t>429</w:t>
            </w:r>
          </w:p>
        </w:tc>
        <w:tc>
          <w:tcPr>
            <w:tcW w:w="2835" w:type="dxa"/>
            <w:vAlign w:val="center"/>
          </w:tcPr>
          <w:p w14:paraId="505D5C1C" w14:textId="2EA0A2F5" w:rsidR="00DA3E66" w:rsidRPr="000C4C17" w:rsidRDefault="00DA3E66" w:rsidP="0027334C">
            <w:pPr>
              <w:widowControl/>
              <w:rPr>
                <w:rFonts w:eastAsiaTheme="minorHAnsi"/>
                <w:sz w:val="18"/>
              </w:rPr>
            </w:pPr>
            <w:r w:rsidRPr="000C4C17">
              <w:rPr>
                <w:rFonts w:eastAsiaTheme="minorHAnsi"/>
                <w:sz w:val="18"/>
              </w:rPr>
              <w:t xml:space="preserve">Per </w:t>
            </w:r>
            <w:r w:rsidR="0027334C">
              <w:rPr>
                <w:rFonts w:eastAsiaTheme="minorHAnsi"/>
                <w:sz w:val="18"/>
              </w:rPr>
              <w:t>natural log</w:t>
            </w:r>
            <w:r w:rsidRPr="000C4C17">
              <w:rPr>
                <w:rFonts w:eastAsiaTheme="minorHAnsi"/>
                <w:sz w:val="18"/>
              </w:rPr>
              <w:t xml:space="preserve"> unit of PFAS</w:t>
            </w:r>
          </w:p>
        </w:tc>
        <w:tc>
          <w:tcPr>
            <w:tcW w:w="595" w:type="dxa"/>
            <w:vAlign w:val="center"/>
          </w:tcPr>
          <w:p w14:paraId="28A37684" w14:textId="77777777" w:rsidR="00DA3E66" w:rsidRPr="000C4C17" w:rsidRDefault="00DA3E66" w:rsidP="00647943">
            <w:pPr>
              <w:widowControl/>
              <w:jc w:val="center"/>
              <w:rPr>
                <w:rFonts w:eastAsiaTheme="minorHAnsi"/>
                <w:sz w:val="20"/>
              </w:rPr>
            </w:pPr>
            <w:r w:rsidRPr="000C4C17">
              <w:rPr>
                <w:rFonts w:eastAsiaTheme="minorHAnsi"/>
                <w:sz w:val="20"/>
              </w:rPr>
              <w:t>-</w:t>
            </w:r>
          </w:p>
        </w:tc>
        <w:tc>
          <w:tcPr>
            <w:tcW w:w="595" w:type="dxa"/>
            <w:vAlign w:val="center"/>
          </w:tcPr>
          <w:p w14:paraId="22065F5A" w14:textId="77777777" w:rsidR="00DA3E66" w:rsidRPr="000C4C17" w:rsidRDefault="00DA3E66" w:rsidP="00647943">
            <w:pPr>
              <w:widowControl/>
              <w:jc w:val="center"/>
              <w:rPr>
                <w:rFonts w:eastAsiaTheme="minorHAnsi"/>
                <w:sz w:val="20"/>
              </w:rPr>
            </w:pPr>
            <w:r w:rsidRPr="000C4C17">
              <w:rPr>
                <w:rFonts w:eastAsiaTheme="minorHAnsi"/>
                <w:sz w:val="20"/>
              </w:rPr>
              <w:sym w:font="Symbol" w:char="F0D6"/>
            </w:r>
          </w:p>
        </w:tc>
        <w:tc>
          <w:tcPr>
            <w:tcW w:w="596" w:type="dxa"/>
            <w:vAlign w:val="center"/>
          </w:tcPr>
          <w:p w14:paraId="6984B86A" w14:textId="77777777" w:rsidR="00DA3E66" w:rsidRPr="000C4C17" w:rsidRDefault="00DA3E66" w:rsidP="00647943">
            <w:pPr>
              <w:widowControl/>
              <w:jc w:val="center"/>
              <w:rPr>
                <w:rFonts w:eastAsiaTheme="minorHAnsi"/>
                <w:sz w:val="20"/>
              </w:rPr>
            </w:pPr>
            <w:r w:rsidRPr="000C4C17">
              <w:rPr>
                <w:rFonts w:eastAsiaTheme="minorHAnsi"/>
                <w:sz w:val="20"/>
              </w:rPr>
              <w:sym w:font="Symbol" w:char="F0D6"/>
            </w:r>
          </w:p>
        </w:tc>
        <w:tc>
          <w:tcPr>
            <w:tcW w:w="595" w:type="dxa"/>
            <w:vAlign w:val="center"/>
          </w:tcPr>
          <w:p w14:paraId="23A3A79B" w14:textId="77777777" w:rsidR="00DA3E66" w:rsidRPr="000C4C17" w:rsidRDefault="00DA3E66" w:rsidP="00647943">
            <w:pPr>
              <w:widowControl/>
              <w:jc w:val="center"/>
              <w:rPr>
                <w:rFonts w:eastAsiaTheme="minorHAnsi"/>
                <w:sz w:val="20"/>
              </w:rPr>
            </w:pPr>
            <w:r w:rsidRPr="000C4C17">
              <w:rPr>
                <w:rFonts w:eastAsiaTheme="minorHAnsi"/>
                <w:sz w:val="20"/>
              </w:rPr>
              <w:sym w:font="Symbol" w:char="F0D6"/>
            </w:r>
          </w:p>
        </w:tc>
        <w:tc>
          <w:tcPr>
            <w:tcW w:w="596" w:type="dxa"/>
            <w:vAlign w:val="center"/>
          </w:tcPr>
          <w:p w14:paraId="5861AAC4" w14:textId="63984E71" w:rsidR="00DA3E66" w:rsidRPr="000C4C17" w:rsidRDefault="002F1039" w:rsidP="00647943">
            <w:pPr>
              <w:widowControl/>
              <w:jc w:val="center"/>
              <w:rPr>
                <w:rFonts w:eastAsiaTheme="minorHAnsi"/>
                <w:sz w:val="20"/>
              </w:rPr>
            </w:pPr>
            <w:r w:rsidRPr="000C4C17">
              <w:rPr>
                <w:rFonts w:eastAsiaTheme="minorHAnsi"/>
                <w:sz w:val="20"/>
              </w:rPr>
              <w:sym w:font="Symbol" w:char="F0D6"/>
            </w:r>
          </w:p>
        </w:tc>
      </w:tr>
      <w:tr w:rsidR="00DA3E66" w:rsidRPr="000C4C17" w14:paraId="4D2795D9" w14:textId="77777777" w:rsidTr="001F7EF0">
        <w:trPr>
          <w:trHeight w:val="420"/>
        </w:trPr>
        <w:tc>
          <w:tcPr>
            <w:tcW w:w="1526" w:type="dxa"/>
            <w:vAlign w:val="center"/>
          </w:tcPr>
          <w:p w14:paraId="153C2D74" w14:textId="12CA27DC" w:rsidR="00DA3E66" w:rsidRPr="000C4C17" w:rsidRDefault="00DA3E66" w:rsidP="00A111E9">
            <w:pPr>
              <w:widowControl/>
              <w:rPr>
                <w:rFonts w:eastAsiaTheme="minorHAnsi"/>
                <w:sz w:val="18"/>
              </w:rPr>
            </w:pPr>
            <w:r w:rsidRPr="000C4C17">
              <w:rPr>
                <w:rFonts w:eastAsiaTheme="minorHAnsi"/>
                <w:sz w:val="18"/>
              </w:rPr>
              <w:t>Savitz</w:t>
            </w:r>
          </w:p>
        </w:tc>
        <w:tc>
          <w:tcPr>
            <w:tcW w:w="1417" w:type="dxa"/>
            <w:vAlign w:val="center"/>
          </w:tcPr>
          <w:p w14:paraId="40A87031" w14:textId="77777777" w:rsidR="00DA3E66" w:rsidRPr="000C4C17" w:rsidRDefault="00DA3E66" w:rsidP="00647943">
            <w:pPr>
              <w:widowControl/>
              <w:jc w:val="right"/>
              <w:rPr>
                <w:rFonts w:eastAsiaTheme="minorHAnsi"/>
                <w:sz w:val="18"/>
              </w:rPr>
            </w:pPr>
            <w:r w:rsidRPr="000C4C17">
              <w:rPr>
                <w:rFonts w:eastAsiaTheme="minorHAnsi"/>
                <w:sz w:val="18"/>
              </w:rPr>
              <w:t>2012a</w:t>
            </w:r>
          </w:p>
        </w:tc>
        <w:tc>
          <w:tcPr>
            <w:tcW w:w="1843" w:type="dxa"/>
            <w:vAlign w:val="center"/>
          </w:tcPr>
          <w:p w14:paraId="18E4D25B" w14:textId="014CBF5D" w:rsidR="00DA3E66" w:rsidRPr="000C4C17" w:rsidRDefault="00693082" w:rsidP="00A111E9">
            <w:pPr>
              <w:widowControl/>
              <w:rPr>
                <w:rFonts w:eastAsiaTheme="minorHAnsi"/>
                <w:sz w:val="18"/>
              </w:rPr>
            </w:pPr>
            <w:r>
              <w:rPr>
                <w:rFonts w:eastAsiaTheme="minorHAnsi"/>
                <w:sz w:val="18"/>
              </w:rPr>
              <w:t>US</w:t>
            </w:r>
          </w:p>
        </w:tc>
        <w:tc>
          <w:tcPr>
            <w:tcW w:w="1101" w:type="dxa"/>
            <w:vAlign w:val="center"/>
          </w:tcPr>
          <w:p w14:paraId="1D66BCA3" w14:textId="77777777" w:rsidR="00DA3E66" w:rsidRPr="000C4C17" w:rsidRDefault="00DA3E66" w:rsidP="00A111E9">
            <w:pPr>
              <w:widowControl/>
              <w:rPr>
                <w:rFonts w:eastAsiaTheme="minorHAnsi"/>
                <w:sz w:val="18"/>
              </w:rPr>
            </w:pPr>
            <w:r w:rsidRPr="000C4C17">
              <w:rPr>
                <w:rFonts w:eastAsiaTheme="minorHAnsi"/>
                <w:sz w:val="18"/>
              </w:rPr>
              <w:t>C8</w:t>
            </w:r>
          </w:p>
        </w:tc>
        <w:tc>
          <w:tcPr>
            <w:tcW w:w="1167" w:type="dxa"/>
            <w:vAlign w:val="center"/>
          </w:tcPr>
          <w:p w14:paraId="095F68F3" w14:textId="042A2549" w:rsidR="00DA3E66" w:rsidRPr="000C4C17" w:rsidRDefault="00693082" w:rsidP="00A111E9">
            <w:pPr>
              <w:widowControl/>
              <w:rPr>
                <w:rFonts w:eastAsiaTheme="minorHAnsi"/>
                <w:sz w:val="18"/>
              </w:rPr>
            </w:pPr>
            <w:r>
              <w:rPr>
                <w:rFonts w:eastAsiaTheme="minorHAnsi"/>
                <w:sz w:val="18"/>
              </w:rPr>
              <w:t>1990-2006</w:t>
            </w:r>
          </w:p>
        </w:tc>
        <w:tc>
          <w:tcPr>
            <w:tcW w:w="1134" w:type="dxa"/>
            <w:vAlign w:val="center"/>
          </w:tcPr>
          <w:p w14:paraId="2C49DA71" w14:textId="5F174762" w:rsidR="00DA3E66" w:rsidRPr="000C4C17" w:rsidRDefault="00693082" w:rsidP="00647943">
            <w:pPr>
              <w:widowControl/>
              <w:jc w:val="right"/>
              <w:rPr>
                <w:rFonts w:eastAsiaTheme="minorHAnsi"/>
                <w:sz w:val="18"/>
              </w:rPr>
            </w:pPr>
            <w:r>
              <w:rPr>
                <w:rFonts w:eastAsiaTheme="minorHAnsi"/>
                <w:sz w:val="18"/>
              </w:rPr>
              <w:t>11,737</w:t>
            </w:r>
          </w:p>
        </w:tc>
        <w:tc>
          <w:tcPr>
            <w:tcW w:w="2835" w:type="dxa"/>
            <w:vAlign w:val="center"/>
          </w:tcPr>
          <w:p w14:paraId="284DE251" w14:textId="65064327" w:rsidR="00DA3E66" w:rsidRPr="000C4C17" w:rsidRDefault="00170A03" w:rsidP="0027334C">
            <w:pPr>
              <w:widowControl/>
              <w:rPr>
                <w:rFonts w:eastAsiaTheme="minorHAnsi"/>
                <w:sz w:val="18"/>
              </w:rPr>
            </w:pPr>
            <w:r w:rsidRPr="000C4C17">
              <w:rPr>
                <w:rFonts w:eastAsiaTheme="minorHAnsi"/>
                <w:sz w:val="18"/>
              </w:rPr>
              <w:t>O</w:t>
            </w:r>
            <w:r w:rsidR="0027334C">
              <w:rPr>
                <w:rFonts w:eastAsiaTheme="minorHAnsi"/>
                <w:sz w:val="18"/>
              </w:rPr>
              <w:t>R</w:t>
            </w:r>
            <w:r w:rsidRPr="000C4C17">
              <w:rPr>
                <w:rFonts w:eastAsiaTheme="minorHAnsi"/>
                <w:sz w:val="18"/>
              </w:rPr>
              <w:t xml:space="preserve"> for low birthweight</w:t>
            </w:r>
          </w:p>
        </w:tc>
        <w:tc>
          <w:tcPr>
            <w:tcW w:w="595" w:type="dxa"/>
            <w:vAlign w:val="center"/>
          </w:tcPr>
          <w:p w14:paraId="4EEFF8EB" w14:textId="77777777" w:rsidR="00DA3E66" w:rsidRPr="000C4C17" w:rsidRDefault="00DA3E66" w:rsidP="00647943">
            <w:pPr>
              <w:widowControl/>
              <w:jc w:val="center"/>
              <w:rPr>
                <w:rFonts w:eastAsiaTheme="minorHAnsi"/>
                <w:sz w:val="20"/>
              </w:rPr>
            </w:pPr>
            <w:r w:rsidRPr="000C4C17">
              <w:rPr>
                <w:rFonts w:eastAsiaTheme="minorHAnsi"/>
                <w:sz w:val="20"/>
              </w:rPr>
              <w:t>-</w:t>
            </w:r>
          </w:p>
        </w:tc>
        <w:tc>
          <w:tcPr>
            <w:tcW w:w="595" w:type="dxa"/>
            <w:vAlign w:val="center"/>
          </w:tcPr>
          <w:p w14:paraId="672D31C0" w14:textId="77777777" w:rsidR="00DA3E66" w:rsidRPr="000C4C17" w:rsidRDefault="00DA3E66" w:rsidP="00647943">
            <w:pPr>
              <w:widowControl/>
              <w:jc w:val="center"/>
              <w:rPr>
                <w:rFonts w:eastAsiaTheme="minorHAnsi"/>
                <w:sz w:val="20"/>
              </w:rPr>
            </w:pPr>
            <w:r w:rsidRPr="000C4C17">
              <w:rPr>
                <w:rFonts w:eastAsiaTheme="minorHAnsi"/>
                <w:sz w:val="20"/>
              </w:rPr>
              <w:t>c</w:t>
            </w:r>
          </w:p>
        </w:tc>
        <w:tc>
          <w:tcPr>
            <w:tcW w:w="596" w:type="dxa"/>
            <w:vAlign w:val="center"/>
          </w:tcPr>
          <w:p w14:paraId="4BDA7F8C" w14:textId="77777777" w:rsidR="00DA3E66" w:rsidRPr="000C4C17" w:rsidRDefault="00DA3E66" w:rsidP="00647943">
            <w:pPr>
              <w:widowControl/>
              <w:jc w:val="center"/>
              <w:rPr>
                <w:rFonts w:eastAsiaTheme="minorHAnsi"/>
                <w:sz w:val="20"/>
              </w:rPr>
            </w:pPr>
            <w:r w:rsidRPr="000C4C17">
              <w:rPr>
                <w:rFonts w:eastAsiaTheme="minorHAnsi"/>
                <w:sz w:val="20"/>
              </w:rPr>
              <w:t>e</w:t>
            </w:r>
          </w:p>
        </w:tc>
        <w:tc>
          <w:tcPr>
            <w:tcW w:w="595" w:type="dxa"/>
            <w:vAlign w:val="center"/>
          </w:tcPr>
          <w:p w14:paraId="185BEDD0" w14:textId="0EC3FC11" w:rsidR="00DA3E66" w:rsidRPr="000C4C17" w:rsidRDefault="00693082" w:rsidP="00647943">
            <w:pPr>
              <w:widowControl/>
              <w:jc w:val="center"/>
              <w:rPr>
                <w:rFonts w:eastAsiaTheme="minorHAnsi"/>
                <w:sz w:val="20"/>
              </w:rPr>
            </w:pPr>
            <w:r>
              <w:rPr>
                <w:rFonts w:eastAsiaTheme="minorHAnsi"/>
                <w:sz w:val="20"/>
              </w:rPr>
              <w:t>e</w:t>
            </w:r>
          </w:p>
        </w:tc>
        <w:tc>
          <w:tcPr>
            <w:tcW w:w="596" w:type="dxa"/>
            <w:vAlign w:val="center"/>
          </w:tcPr>
          <w:p w14:paraId="19BEF0C6" w14:textId="0ACDC34D" w:rsidR="00DA3E66" w:rsidRPr="000C4C17" w:rsidRDefault="00DA3E66" w:rsidP="00647943">
            <w:pPr>
              <w:widowControl/>
              <w:jc w:val="center"/>
              <w:rPr>
                <w:rFonts w:eastAsiaTheme="minorHAnsi"/>
                <w:sz w:val="20"/>
              </w:rPr>
            </w:pPr>
            <w:r w:rsidRPr="000C4C17">
              <w:rPr>
                <w:rFonts w:eastAsiaTheme="minorHAnsi"/>
                <w:sz w:val="20"/>
              </w:rPr>
              <w:t>e</w:t>
            </w:r>
          </w:p>
        </w:tc>
      </w:tr>
      <w:tr w:rsidR="00DA3E66" w:rsidRPr="000C4C17" w14:paraId="43587049" w14:textId="77777777" w:rsidTr="001F7EF0">
        <w:trPr>
          <w:trHeight w:val="680"/>
        </w:trPr>
        <w:tc>
          <w:tcPr>
            <w:tcW w:w="1526" w:type="dxa"/>
            <w:vAlign w:val="center"/>
          </w:tcPr>
          <w:p w14:paraId="02AC8F56" w14:textId="2848C582" w:rsidR="00DA3E66" w:rsidRPr="000C4C17" w:rsidRDefault="00DA3E66" w:rsidP="00A111E9">
            <w:pPr>
              <w:widowControl/>
              <w:rPr>
                <w:rFonts w:eastAsiaTheme="minorHAnsi"/>
                <w:sz w:val="18"/>
              </w:rPr>
            </w:pPr>
            <w:r w:rsidRPr="000C4C17">
              <w:rPr>
                <w:rFonts w:eastAsiaTheme="minorHAnsi"/>
                <w:sz w:val="18"/>
              </w:rPr>
              <w:t>Savitz</w:t>
            </w:r>
          </w:p>
        </w:tc>
        <w:tc>
          <w:tcPr>
            <w:tcW w:w="1417" w:type="dxa"/>
            <w:vAlign w:val="center"/>
          </w:tcPr>
          <w:p w14:paraId="31038021" w14:textId="77777777" w:rsidR="00DA3E66" w:rsidRPr="000C4C17" w:rsidRDefault="00DA3E66" w:rsidP="00647943">
            <w:pPr>
              <w:widowControl/>
              <w:jc w:val="right"/>
              <w:rPr>
                <w:rFonts w:eastAsiaTheme="minorHAnsi"/>
                <w:sz w:val="18"/>
              </w:rPr>
            </w:pPr>
            <w:r w:rsidRPr="000C4C17">
              <w:rPr>
                <w:rFonts w:eastAsiaTheme="minorHAnsi"/>
                <w:sz w:val="18"/>
              </w:rPr>
              <w:t>2012b</w:t>
            </w:r>
          </w:p>
        </w:tc>
        <w:tc>
          <w:tcPr>
            <w:tcW w:w="1843" w:type="dxa"/>
            <w:vAlign w:val="center"/>
          </w:tcPr>
          <w:p w14:paraId="6E573A12" w14:textId="1601AD4D" w:rsidR="00DA3E66" w:rsidRPr="000C4C17" w:rsidRDefault="00693082" w:rsidP="00A111E9">
            <w:pPr>
              <w:widowControl/>
              <w:rPr>
                <w:rFonts w:eastAsiaTheme="minorHAnsi"/>
                <w:sz w:val="18"/>
              </w:rPr>
            </w:pPr>
            <w:r>
              <w:rPr>
                <w:rFonts w:eastAsiaTheme="minorHAnsi"/>
                <w:sz w:val="18"/>
              </w:rPr>
              <w:t>US</w:t>
            </w:r>
          </w:p>
        </w:tc>
        <w:tc>
          <w:tcPr>
            <w:tcW w:w="1101" w:type="dxa"/>
            <w:vAlign w:val="center"/>
          </w:tcPr>
          <w:p w14:paraId="235BAB58" w14:textId="77777777" w:rsidR="00DA3E66" w:rsidRPr="000C4C17" w:rsidRDefault="00DA3E66" w:rsidP="00A111E9">
            <w:pPr>
              <w:widowControl/>
              <w:rPr>
                <w:rFonts w:eastAsiaTheme="minorHAnsi"/>
                <w:sz w:val="18"/>
              </w:rPr>
            </w:pPr>
            <w:r w:rsidRPr="000C4C17">
              <w:rPr>
                <w:rFonts w:eastAsiaTheme="minorHAnsi"/>
                <w:sz w:val="18"/>
              </w:rPr>
              <w:t>C8</w:t>
            </w:r>
          </w:p>
        </w:tc>
        <w:tc>
          <w:tcPr>
            <w:tcW w:w="1167" w:type="dxa"/>
            <w:vAlign w:val="center"/>
          </w:tcPr>
          <w:p w14:paraId="0EC90A8A" w14:textId="2D361D1D" w:rsidR="00DA3E66" w:rsidRPr="000C4C17" w:rsidRDefault="00693082" w:rsidP="00A111E9">
            <w:pPr>
              <w:widowControl/>
              <w:rPr>
                <w:rFonts w:eastAsiaTheme="minorHAnsi"/>
                <w:sz w:val="18"/>
              </w:rPr>
            </w:pPr>
            <w:r>
              <w:rPr>
                <w:rFonts w:eastAsiaTheme="minorHAnsi"/>
                <w:sz w:val="18"/>
              </w:rPr>
              <w:t>1990-2004</w:t>
            </w:r>
          </w:p>
        </w:tc>
        <w:tc>
          <w:tcPr>
            <w:tcW w:w="1134" w:type="dxa"/>
            <w:vAlign w:val="center"/>
          </w:tcPr>
          <w:p w14:paraId="51A6131E" w14:textId="77777777" w:rsidR="00DA3E66" w:rsidRPr="000C4C17" w:rsidRDefault="00DA3E66" w:rsidP="00647943">
            <w:pPr>
              <w:widowControl/>
              <w:jc w:val="right"/>
              <w:rPr>
                <w:rFonts w:eastAsiaTheme="minorHAnsi"/>
                <w:sz w:val="18"/>
              </w:rPr>
            </w:pPr>
            <w:r w:rsidRPr="000C4C17">
              <w:rPr>
                <w:rFonts w:eastAsiaTheme="minorHAnsi"/>
                <w:sz w:val="18"/>
              </w:rPr>
              <w:t>4534</w:t>
            </w:r>
          </w:p>
        </w:tc>
        <w:tc>
          <w:tcPr>
            <w:tcW w:w="2835" w:type="dxa"/>
            <w:vAlign w:val="center"/>
          </w:tcPr>
          <w:p w14:paraId="6B384E92" w14:textId="79A19830" w:rsidR="00DA3E66" w:rsidRPr="000C4C17" w:rsidRDefault="00693082" w:rsidP="0027334C">
            <w:pPr>
              <w:widowControl/>
              <w:rPr>
                <w:rFonts w:eastAsiaTheme="minorHAnsi"/>
                <w:sz w:val="18"/>
              </w:rPr>
            </w:pPr>
            <w:r>
              <w:rPr>
                <w:rFonts w:eastAsiaTheme="minorHAnsi"/>
                <w:sz w:val="18"/>
              </w:rPr>
              <w:t xml:space="preserve">Per 100 ng/mL increase in PFOA and </w:t>
            </w:r>
            <w:r w:rsidR="0027334C">
              <w:rPr>
                <w:rFonts w:eastAsiaTheme="minorHAnsi"/>
                <w:sz w:val="18"/>
              </w:rPr>
              <w:t>OR</w:t>
            </w:r>
            <w:r w:rsidR="00170A03" w:rsidRPr="000C4C17">
              <w:rPr>
                <w:rFonts w:eastAsiaTheme="minorHAnsi"/>
                <w:sz w:val="18"/>
              </w:rPr>
              <w:t xml:space="preserve"> for low birthweight</w:t>
            </w:r>
          </w:p>
        </w:tc>
        <w:tc>
          <w:tcPr>
            <w:tcW w:w="595" w:type="dxa"/>
            <w:vAlign w:val="center"/>
          </w:tcPr>
          <w:p w14:paraId="6A2B2DB9" w14:textId="77777777" w:rsidR="00DA3E66" w:rsidRPr="000C4C17" w:rsidRDefault="00DA3E66" w:rsidP="00647943">
            <w:pPr>
              <w:widowControl/>
              <w:jc w:val="center"/>
              <w:rPr>
                <w:rFonts w:eastAsiaTheme="minorHAnsi"/>
                <w:sz w:val="20"/>
              </w:rPr>
            </w:pPr>
            <w:r w:rsidRPr="000C4C17">
              <w:rPr>
                <w:rFonts w:eastAsiaTheme="minorHAnsi"/>
                <w:sz w:val="20"/>
              </w:rPr>
              <w:t>-</w:t>
            </w:r>
          </w:p>
        </w:tc>
        <w:tc>
          <w:tcPr>
            <w:tcW w:w="595" w:type="dxa"/>
            <w:vAlign w:val="center"/>
          </w:tcPr>
          <w:p w14:paraId="1586079F" w14:textId="77777777" w:rsidR="00DA3E66" w:rsidRPr="000C4C17" w:rsidRDefault="00DA3E66" w:rsidP="00647943">
            <w:pPr>
              <w:widowControl/>
              <w:jc w:val="center"/>
              <w:rPr>
                <w:rFonts w:eastAsiaTheme="minorHAnsi"/>
                <w:sz w:val="20"/>
              </w:rPr>
            </w:pPr>
            <w:r w:rsidRPr="000C4C17">
              <w:rPr>
                <w:rFonts w:eastAsiaTheme="minorHAnsi"/>
                <w:sz w:val="20"/>
              </w:rPr>
              <w:t>c</w:t>
            </w:r>
          </w:p>
        </w:tc>
        <w:tc>
          <w:tcPr>
            <w:tcW w:w="596" w:type="dxa"/>
            <w:vAlign w:val="center"/>
          </w:tcPr>
          <w:p w14:paraId="51DF2A70" w14:textId="77777777" w:rsidR="00DA3E66" w:rsidRPr="000C4C17" w:rsidRDefault="00DA3E66" w:rsidP="00647943">
            <w:pPr>
              <w:widowControl/>
              <w:jc w:val="center"/>
              <w:rPr>
                <w:rFonts w:eastAsiaTheme="minorHAnsi"/>
                <w:sz w:val="20"/>
              </w:rPr>
            </w:pPr>
            <w:r w:rsidRPr="000C4C17">
              <w:rPr>
                <w:rFonts w:eastAsiaTheme="minorHAnsi"/>
                <w:sz w:val="20"/>
              </w:rPr>
              <w:t>e</w:t>
            </w:r>
          </w:p>
        </w:tc>
        <w:tc>
          <w:tcPr>
            <w:tcW w:w="595" w:type="dxa"/>
            <w:vAlign w:val="center"/>
          </w:tcPr>
          <w:p w14:paraId="796BF60E" w14:textId="70466A53" w:rsidR="00DA3E66" w:rsidRPr="000C4C17" w:rsidRDefault="00693082" w:rsidP="00647943">
            <w:pPr>
              <w:widowControl/>
              <w:jc w:val="center"/>
              <w:rPr>
                <w:rFonts w:eastAsiaTheme="minorHAnsi"/>
                <w:sz w:val="20"/>
              </w:rPr>
            </w:pPr>
            <w:r>
              <w:rPr>
                <w:rFonts w:eastAsiaTheme="minorHAnsi"/>
                <w:sz w:val="20"/>
              </w:rPr>
              <w:t>e</w:t>
            </w:r>
          </w:p>
        </w:tc>
        <w:tc>
          <w:tcPr>
            <w:tcW w:w="596" w:type="dxa"/>
            <w:vAlign w:val="center"/>
          </w:tcPr>
          <w:p w14:paraId="3DCB8274" w14:textId="33ED0E42" w:rsidR="00DA3E66" w:rsidRPr="000C4C17" w:rsidRDefault="00DA3E66" w:rsidP="00647943">
            <w:pPr>
              <w:widowControl/>
              <w:jc w:val="center"/>
              <w:rPr>
                <w:rFonts w:eastAsiaTheme="minorHAnsi"/>
                <w:sz w:val="20"/>
              </w:rPr>
            </w:pPr>
            <w:r w:rsidRPr="000C4C17">
              <w:rPr>
                <w:rFonts w:eastAsiaTheme="minorHAnsi"/>
                <w:sz w:val="20"/>
              </w:rPr>
              <w:t>e</w:t>
            </w:r>
          </w:p>
        </w:tc>
      </w:tr>
      <w:tr w:rsidR="00DA3E66" w:rsidRPr="000C4C17" w14:paraId="6B950DC2" w14:textId="77777777" w:rsidTr="001F7EF0">
        <w:trPr>
          <w:trHeight w:val="349"/>
        </w:trPr>
        <w:tc>
          <w:tcPr>
            <w:tcW w:w="1526" w:type="dxa"/>
            <w:vAlign w:val="center"/>
          </w:tcPr>
          <w:p w14:paraId="32D879AF" w14:textId="5B6E5CDA" w:rsidR="00DA3E66" w:rsidRPr="000C4C17" w:rsidRDefault="00DA3E66" w:rsidP="00A111E9">
            <w:pPr>
              <w:widowControl/>
              <w:rPr>
                <w:rFonts w:eastAsiaTheme="minorHAnsi"/>
                <w:sz w:val="18"/>
              </w:rPr>
            </w:pPr>
            <w:r w:rsidRPr="00E8435A">
              <w:rPr>
                <w:rFonts w:eastAsiaTheme="minorHAnsi"/>
                <w:sz w:val="18"/>
              </w:rPr>
              <w:t>Fromme</w:t>
            </w:r>
          </w:p>
        </w:tc>
        <w:tc>
          <w:tcPr>
            <w:tcW w:w="1417" w:type="dxa"/>
            <w:vAlign w:val="center"/>
          </w:tcPr>
          <w:p w14:paraId="35C10E42" w14:textId="4758716F" w:rsidR="00DA3E66" w:rsidRPr="000C4C17" w:rsidRDefault="00DA3E66" w:rsidP="005A678D">
            <w:pPr>
              <w:widowControl/>
              <w:jc w:val="right"/>
              <w:rPr>
                <w:rFonts w:eastAsiaTheme="minorHAnsi"/>
                <w:sz w:val="18"/>
              </w:rPr>
            </w:pPr>
            <w:r w:rsidRPr="000C4C17">
              <w:rPr>
                <w:rFonts w:eastAsiaTheme="minorHAnsi"/>
                <w:sz w:val="18"/>
              </w:rPr>
              <w:t>201</w:t>
            </w:r>
            <w:r w:rsidR="005A678D">
              <w:rPr>
                <w:rFonts w:eastAsiaTheme="minorHAnsi"/>
                <w:sz w:val="18"/>
              </w:rPr>
              <w:t>0</w:t>
            </w:r>
          </w:p>
        </w:tc>
        <w:tc>
          <w:tcPr>
            <w:tcW w:w="1843" w:type="dxa"/>
            <w:vAlign w:val="center"/>
          </w:tcPr>
          <w:p w14:paraId="4A4CD218" w14:textId="77777777" w:rsidR="00DA3E66" w:rsidRPr="000C4C17" w:rsidRDefault="00DA3E66" w:rsidP="00A111E9">
            <w:pPr>
              <w:widowControl/>
              <w:rPr>
                <w:rFonts w:eastAsiaTheme="minorHAnsi"/>
                <w:sz w:val="18"/>
              </w:rPr>
            </w:pPr>
            <w:r w:rsidRPr="000C4C17">
              <w:rPr>
                <w:rFonts w:eastAsiaTheme="minorHAnsi"/>
                <w:sz w:val="18"/>
              </w:rPr>
              <w:t>Germany</w:t>
            </w:r>
          </w:p>
        </w:tc>
        <w:tc>
          <w:tcPr>
            <w:tcW w:w="1101" w:type="dxa"/>
            <w:vAlign w:val="center"/>
          </w:tcPr>
          <w:p w14:paraId="0024AD94" w14:textId="77777777" w:rsidR="00DA3E66" w:rsidRPr="000C4C17" w:rsidRDefault="00DA3E66" w:rsidP="00A111E9">
            <w:pPr>
              <w:widowControl/>
              <w:rPr>
                <w:rFonts w:eastAsiaTheme="minorHAnsi"/>
                <w:sz w:val="18"/>
              </w:rPr>
            </w:pPr>
            <w:r w:rsidRPr="000C4C17">
              <w:rPr>
                <w:rFonts w:eastAsiaTheme="minorHAnsi"/>
                <w:sz w:val="18"/>
              </w:rPr>
              <w:t>-</w:t>
            </w:r>
          </w:p>
        </w:tc>
        <w:tc>
          <w:tcPr>
            <w:tcW w:w="1167" w:type="dxa"/>
            <w:vAlign w:val="center"/>
          </w:tcPr>
          <w:p w14:paraId="1A23A57D" w14:textId="77777777" w:rsidR="00DA3E66" w:rsidRPr="000C4C17" w:rsidRDefault="00DA3E66" w:rsidP="00A111E9">
            <w:pPr>
              <w:widowControl/>
              <w:rPr>
                <w:rFonts w:eastAsiaTheme="minorHAnsi"/>
                <w:sz w:val="18"/>
              </w:rPr>
            </w:pPr>
            <w:r w:rsidRPr="000C4C17">
              <w:rPr>
                <w:rFonts w:eastAsiaTheme="minorHAnsi"/>
                <w:sz w:val="18"/>
              </w:rPr>
              <w:t>2007-9</w:t>
            </w:r>
          </w:p>
        </w:tc>
        <w:tc>
          <w:tcPr>
            <w:tcW w:w="1134" w:type="dxa"/>
            <w:vAlign w:val="center"/>
          </w:tcPr>
          <w:p w14:paraId="64907205" w14:textId="77777777" w:rsidR="00DA3E66" w:rsidRPr="000C4C17" w:rsidRDefault="00DA3E66" w:rsidP="00647943">
            <w:pPr>
              <w:widowControl/>
              <w:jc w:val="right"/>
              <w:rPr>
                <w:rFonts w:eastAsiaTheme="minorHAnsi"/>
                <w:sz w:val="18"/>
              </w:rPr>
            </w:pPr>
            <w:r w:rsidRPr="000C4C17">
              <w:rPr>
                <w:rFonts w:eastAsiaTheme="minorHAnsi"/>
                <w:sz w:val="18"/>
              </w:rPr>
              <w:t>44</w:t>
            </w:r>
          </w:p>
        </w:tc>
        <w:tc>
          <w:tcPr>
            <w:tcW w:w="2835" w:type="dxa"/>
            <w:vAlign w:val="center"/>
          </w:tcPr>
          <w:p w14:paraId="14730836" w14:textId="77777777" w:rsidR="00DA3E66" w:rsidRPr="000C4C17" w:rsidRDefault="00DA3E66" w:rsidP="00A111E9">
            <w:pPr>
              <w:widowControl/>
              <w:rPr>
                <w:rFonts w:eastAsiaTheme="minorHAnsi"/>
                <w:sz w:val="18"/>
              </w:rPr>
            </w:pPr>
            <w:r w:rsidRPr="000C4C17">
              <w:rPr>
                <w:rFonts w:eastAsiaTheme="minorHAnsi"/>
                <w:sz w:val="18"/>
              </w:rPr>
              <w:t>Not reported</w:t>
            </w:r>
          </w:p>
        </w:tc>
        <w:tc>
          <w:tcPr>
            <w:tcW w:w="595" w:type="dxa"/>
            <w:vAlign w:val="center"/>
          </w:tcPr>
          <w:p w14:paraId="1C0EB5DE" w14:textId="77777777" w:rsidR="00DA3E66" w:rsidRPr="000C4C17" w:rsidRDefault="00DA3E66" w:rsidP="00647943">
            <w:pPr>
              <w:widowControl/>
              <w:jc w:val="center"/>
              <w:rPr>
                <w:rFonts w:eastAsiaTheme="minorHAnsi"/>
                <w:sz w:val="20"/>
              </w:rPr>
            </w:pPr>
            <w:r w:rsidRPr="000C4C17">
              <w:rPr>
                <w:rFonts w:eastAsiaTheme="minorHAnsi"/>
                <w:sz w:val="20"/>
              </w:rPr>
              <w:t>-</w:t>
            </w:r>
          </w:p>
        </w:tc>
        <w:tc>
          <w:tcPr>
            <w:tcW w:w="595" w:type="dxa"/>
            <w:vAlign w:val="center"/>
          </w:tcPr>
          <w:p w14:paraId="7B63CC9A" w14:textId="77777777" w:rsidR="00DA3E66" w:rsidRPr="000C4C17" w:rsidRDefault="00DA3E66" w:rsidP="00647943">
            <w:pPr>
              <w:widowControl/>
              <w:jc w:val="center"/>
              <w:rPr>
                <w:rFonts w:eastAsiaTheme="minorHAnsi"/>
                <w:sz w:val="20"/>
              </w:rPr>
            </w:pPr>
            <w:r w:rsidRPr="000C4C17">
              <w:rPr>
                <w:rFonts w:eastAsiaTheme="minorHAnsi"/>
                <w:sz w:val="20"/>
              </w:rPr>
              <w:t>-</w:t>
            </w:r>
          </w:p>
        </w:tc>
        <w:tc>
          <w:tcPr>
            <w:tcW w:w="596" w:type="dxa"/>
            <w:vAlign w:val="center"/>
          </w:tcPr>
          <w:p w14:paraId="3EAD30AC" w14:textId="77777777" w:rsidR="00DA3E66" w:rsidRPr="000C4C17" w:rsidRDefault="00DA3E66" w:rsidP="00647943">
            <w:pPr>
              <w:widowControl/>
              <w:jc w:val="center"/>
              <w:rPr>
                <w:rFonts w:eastAsiaTheme="minorHAnsi"/>
                <w:sz w:val="20"/>
              </w:rPr>
            </w:pPr>
            <w:r w:rsidRPr="000C4C17">
              <w:rPr>
                <w:rFonts w:eastAsiaTheme="minorHAnsi"/>
                <w:sz w:val="20"/>
              </w:rPr>
              <w:sym w:font="Symbol" w:char="F0D6"/>
            </w:r>
          </w:p>
        </w:tc>
        <w:tc>
          <w:tcPr>
            <w:tcW w:w="595" w:type="dxa"/>
            <w:vAlign w:val="center"/>
          </w:tcPr>
          <w:p w14:paraId="15311293" w14:textId="2A9284FA" w:rsidR="00DA3E66" w:rsidRPr="000C4C17" w:rsidRDefault="00CD5B9F" w:rsidP="00647943">
            <w:pPr>
              <w:widowControl/>
              <w:jc w:val="center"/>
              <w:rPr>
                <w:rFonts w:eastAsiaTheme="minorHAnsi"/>
                <w:sz w:val="20"/>
              </w:rPr>
            </w:pPr>
            <w:r>
              <w:rPr>
                <w:rFonts w:eastAsiaTheme="minorHAnsi"/>
                <w:sz w:val="20"/>
              </w:rPr>
              <w:t>-</w:t>
            </w:r>
          </w:p>
        </w:tc>
        <w:tc>
          <w:tcPr>
            <w:tcW w:w="596" w:type="dxa"/>
            <w:vAlign w:val="center"/>
          </w:tcPr>
          <w:p w14:paraId="16A24DF2" w14:textId="27047CE0" w:rsidR="00DA3E66" w:rsidRPr="000C4C17" w:rsidRDefault="002F1039" w:rsidP="00647943">
            <w:pPr>
              <w:widowControl/>
              <w:jc w:val="center"/>
              <w:rPr>
                <w:rFonts w:eastAsiaTheme="minorHAnsi"/>
                <w:sz w:val="20"/>
              </w:rPr>
            </w:pPr>
            <w:r w:rsidRPr="000C4C17">
              <w:rPr>
                <w:rFonts w:eastAsiaTheme="minorHAnsi"/>
                <w:sz w:val="20"/>
              </w:rPr>
              <w:sym w:font="Symbol" w:char="F0D6"/>
            </w:r>
          </w:p>
        </w:tc>
      </w:tr>
      <w:tr w:rsidR="00DA3E66" w:rsidRPr="000C4C17" w14:paraId="2E177C58" w14:textId="77777777" w:rsidTr="001F7EF0">
        <w:trPr>
          <w:trHeight w:val="509"/>
        </w:trPr>
        <w:tc>
          <w:tcPr>
            <w:tcW w:w="1526" w:type="dxa"/>
            <w:vAlign w:val="center"/>
          </w:tcPr>
          <w:p w14:paraId="503DCB4E" w14:textId="52C1EDE0" w:rsidR="00DA3E66" w:rsidRPr="000C4C17" w:rsidRDefault="00DA3E66" w:rsidP="00A111E9">
            <w:pPr>
              <w:widowControl/>
              <w:rPr>
                <w:rFonts w:eastAsiaTheme="minorHAnsi"/>
                <w:sz w:val="18"/>
              </w:rPr>
            </w:pPr>
            <w:r w:rsidRPr="000C4C17">
              <w:rPr>
                <w:rFonts w:eastAsiaTheme="minorHAnsi"/>
                <w:sz w:val="18"/>
              </w:rPr>
              <w:t>Haldorsson</w:t>
            </w:r>
          </w:p>
        </w:tc>
        <w:tc>
          <w:tcPr>
            <w:tcW w:w="1417" w:type="dxa"/>
            <w:vAlign w:val="center"/>
          </w:tcPr>
          <w:p w14:paraId="6DAD4487" w14:textId="77777777" w:rsidR="00DA3E66" w:rsidRPr="000C4C17" w:rsidRDefault="00DA3E66" w:rsidP="00647943">
            <w:pPr>
              <w:widowControl/>
              <w:jc w:val="right"/>
              <w:rPr>
                <w:rFonts w:eastAsiaTheme="minorHAnsi"/>
                <w:sz w:val="18"/>
              </w:rPr>
            </w:pPr>
            <w:r w:rsidRPr="000C4C17">
              <w:rPr>
                <w:rFonts w:eastAsiaTheme="minorHAnsi"/>
                <w:sz w:val="18"/>
              </w:rPr>
              <w:t>2012</w:t>
            </w:r>
          </w:p>
        </w:tc>
        <w:tc>
          <w:tcPr>
            <w:tcW w:w="1843" w:type="dxa"/>
            <w:vAlign w:val="center"/>
          </w:tcPr>
          <w:p w14:paraId="2B2ADD0A" w14:textId="77777777" w:rsidR="00DA3E66" w:rsidRPr="000C4C17" w:rsidRDefault="00DA3E66" w:rsidP="00A111E9">
            <w:pPr>
              <w:widowControl/>
              <w:rPr>
                <w:rFonts w:eastAsiaTheme="minorHAnsi"/>
                <w:sz w:val="18"/>
              </w:rPr>
            </w:pPr>
            <w:r w:rsidRPr="000C4C17">
              <w:rPr>
                <w:rFonts w:eastAsiaTheme="minorHAnsi"/>
                <w:sz w:val="18"/>
              </w:rPr>
              <w:t>Denmark</w:t>
            </w:r>
          </w:p>
        </w:tc>
        <w:tc>
          <w:tcPr>
            <w:tcW w:w="1101" w:type="dxa"/>
            <w:vAlign w:val="center"/>
          </w:tcPr>
          <w:p w14:paraId="266E94FD" w14:textId="4C4EDF5C" w:rsidR="00DA3E66" w:rsidRPr="000C4C17" w:rsidRDefault="00693082" w:rsidP="00A111E9">
            <w:pPr>
              <w:widowControl/>
              <w:rPr>
                <w:rFonts w:eastAsiaTheme="minorHAnsi"/>
                <w:sz w:val="18"/>
              </w:rPr>
            </w:pPr>
            <w:r>
              <w:rPr>
                <w:rFonts w:eastAsiaTheme="minorHAnsi"/>
                <w:sz w:val="18"/>
              </w:rPr>
              <w:t>-</w:t>
            </w:r>
          </w:p>
        </w:tc>
        <w:tc>
          <w:tcPr>
            <w:tcW w:w="1167" w:type="dxa"/>
            <w:vAlign w:val="center"/>
          </w:tcPr>
          <w:p w14:paraId="7B5664E7" w14:textId="77777777" w:rsidR="00DA3E66" w:rsidRPr="000C4C17" w:rsidRDefault="00DA3E66" w:rsidP="00A111E9">
            <w:pPr>
              <w:widowControl/>
              <w:rPr>
                <w:rFonts w:eastAsiaTheme="minorHAnsi"/>
                <w:sz w:val="18"/>
              </w:rPr>
            </w:pPr>
            <w:r w:rsidRPr="000C4C17">
              <w:rPr>
                <w:rFonts w:eastAsiaTheme="minorHAnsi"/>
                <w:sz w:val="18"/>
              </w:rPr>
              <w:t>1988-89</w:t>
            </w:r>
          </w:p>
        </w:tc>
        <w:tc>
          <w:tcPr>
            <w:tcW w:w="1134" w:type="dxa"/>
            <w:vAlign w:val="center"/>
          </w:tcPr>
          <w:p w14:paraId="3C69FE8F" w14:textId="77777777" w:rsidR="00DA3E66" w:rsidRPr="000C4C17" w:rsidRDefault="00DA3E66" w:rsidP="00647943">
            <w:pPr>
              <w:widowControl/>
              <w:jc w:val="right"/>
              <w:rPr>
                <w:rFonts w:eastAsiaTheme="minorHAnsi"/>
                <w:sz w:val="18"/>
              </w:rPr>
            </w:pPr>
          </w:p>
        </w:tc>
        <w:tc>
          <w:tcPr>
            <w:tcW w:w="2835" w:type="dxa"/>
            <w:vAlign w:val="center"/>
          </w:tcPr>
          <w:p w14:paraId="49578B8A" w14:textId="1810D9E9" w:rsidR="00DA3E66" w:rsidRPr="000C4C17" w:rsidRDefault="00DA3E66" w:rsidP="00A111E9">
            <w:pPr>
              <w:widowControl/>
              <w:rPr>
                <w:rFonts w:eastAsiaTheme="minorHAnsi"/>
                <w:sz w:val="18"/>
              </w:rPr>
            </w:pPr>
            <w:r w:rsidRPr="000C4C17">
              <w:rPr>
                <w:rFonts w:eastAsiaTheme="minorHAnsi"/>
                <w:sz w:val="18"/>
              </w:rPr>
              <w:t>Unadjusted mean birthweight in quartiles of maternal PF</w:t>
            </w:r>
            <w:r w:rsidR="00B76784">
              <w:rPr>
                <w:rFonts w:eastAsiaTheme="minorHAnsi"/>
                <w:sz w:val="18"/>
              </w:rPr>
              <w:t>OA</w:t>
            </w:r>
          </w:p>
        </w:tc>
        <w:tc>
          <w:tcPr>
            <w:tcW w:w="595" w:type="dxa"/>
            <w:vAlign w:val="center"/>
          </w:tcPr>
          <w:p w14:paraId="3E9113EF" w14:textId="77777777" w:rsidR="00DA3E66" w:rsidRPr="000C4C17" w:rsidRDefault="00DA3E66" w:rsidP="00647943">
            <w:pPr>
              <w:widowControl/>
              <w:jc w:val="center"/>
              <w:rPr>
                <w:rFonts w:eastAsiaTheme="minorHAnsi"/>
                <w:sz w:val="20"/>
              </w:rPr>
            </w:pPr>
            <w:r w:rsidRPr="000C4C17">
              <w:rPr>
                <w:rFonts w:eastAsiaTheme="minorHAnsi"/>
                <w:sz w:val="20"/>
              </w:rPr>
              <w:t>-</w:t>
            </w:r>
          </w:p>
        </w:tc>
        <w:tc>
          <w:tcPr>
            <w:tcW w:w="595" w:type="dxa"/>
            <w:vAlign w:val="center"/>
          </w:tcPr>
          <w:p w14:paraId="5EB699C1" w14:textId="77777777" w:rsidR="00DA3E66" w:rsidRPr="000C4C17" w:rsidRDefault="00DA3E66" w:rsidP="00647943">
            <w:pPr>
              <w:widowControl/>
              <w:jc w:val="center"/>
              <w:rPr>
                <w:rFonts w:eastAsiaTheme="minorHAnsi"/>
                <w:sz w:val="20"/>
              </w:rPr>
            </w:pPr>
            <w:r w:rsidRPr="000C4C17">
              <w:rPr>
                <w:rFonts w:eastAsiaTheme="minorHAnsi"/>
                <w:sz w:val="20"/>
              </w:rPr>
              <w:t>-</w:t>
            </w:r>
          </w:p>
        </w:tc>
        <w:tc>
          <w:tcPr>
            <w:tcW w:w="596" w:type="dxa"/>
            <w:vAlign w:val="center"/>
          </w:tcPr>
          <w:p w14:paraId="1E356A77" w14:textId="77777777" w:rsidR="00DA3E66" w:rsidRPr="000C4C17" w:rsidRDefault="00DA3E66" w:rsidP="00647943">
            <w:pPr>
              <w:widowControl/>
              <w:jc w:val="center"/>
              <w:rPr>
                <w:rFonts w:eastAsiaTheme="minorHAnsi"/>
                <w:sz w:val="20"/>
              </w:rPr>
            </w:pPr>
            <w:r w:rsidRPr="000C4C17">
              <w:rPr>
                <w:rFonts w:eastAsiaTheme="minorHAnsi"/>
                <w:sz w:val="20"/>
              </w:rPr>
              <w:t>e</w:t>
            </w:r>
          </w:p>
        </w:tc>
        <w:tc>
          <w:tcPr>
            <w:tcW w:w="595" w:type="dxa"/>
            <w:vAlign w:val="center"/>
          </w:tcPr>
          <w:p w14:paraId="0242198C" w14:textId="3426CF8F" w:rsidR="00DA3E66" w:rsidRPr="000C4C17" w:rsidRDefault="00CD5B9F" w:rsidP="00647943">
            <w:pPr>
              <w:widowControl/>
              <w:jc w:val="center"/>
              <w:rPr>
                <w:rFonts w:eastAsiaTheme="minorHAnsi"/>
                <w:sz w:val="20"/>
              </w:rPr>
            </w:pPr>
            <w:r>
              <w:rPr>
                <w:rFonts w:eastAsiaTheme="minorHAnsi"/>
                <w:sz w:val="20"/>
              </w:rPr>
              <w:t>-</w:t>
            </w:r>
          </w:p>
        </w:tc>
        <w:tc>
          <w:tcPr>
            <w:tcW w:w="596" w:type="dxa"/>
            <w:vAlign w:val="center"/>
          </w:tcPr>
          <w:p w14:paraId="3CDAB9D2" w14:textId="5371E097" w:rsidR="00DA3E66" w:rsidRPr="000C4C17" w:rsidRDefault="00DA3E66" w:rsidP="00647943">
            <w:pPr>
              <w:widowControl/>
              <w:jc w:val="center"/>
              <w:rPr>
                <w:rFonts w:eastAsiaTheme="minorHAnsi"/>
                <w:sz w:val="20"/>
              </w:rPr>
            </w:pPr>
            <w:r w:rsidRPr="000C4C17">
              <w:rPr>
                <w:rFonts w:eastAsiaTheme="minorHAnsi"/>
                <w:sz w:val="20"/>
              </w:rPr>
              <w:t>e</w:t>
            </w:r>
          </w:p>
        </w:tc>
      </w:tr>
      <w:tr w:rsidR="00DA3E66" w:rsidRPr="000C4C17" w14:paraId="0F75706D" w14:textId="77777777" w:rsidTr="001F7EF0">
        <w:trPr>
          <w:trHeight w:val="373"/>
        </w:trPr>
        <w:tc>
          <w:tcPr>
            <w:tcW w:w="1526" w:type="dxa"/>
            <w:vAlign w:val="center"/>
          </w:tcPr>
          <w:p w14:paraId="5609F849" w14:textId="010FBA7C" w:rsidR="00DA3E66" w:rsidRPr="000C4C17" w:rsidRDefault="00DA3E66" w:rsidP="00A111E9">
            <w:pPr>
              <w:widowControl/>
              <w:rPr>
                <w:rFonts w:eastAsiaTheme="minorHAnsi"/>
                <w:sz w:val="18"/>
              </w:rPr>
            </w:pPr>
            <w:r w:rsidRPr="000C4C17">
              <w:rPr>
                <w:rFonts w:eastAsiaTheme="minorHAnsi"/>
                <w:sz w:val="18"/>
              </w:rPr>
              <w:t xml:space="preserve">Wu </w:t>
            </w:r>
          </w:p>
        </w:tc>
        <w:tc>
          <w:tcPr>
            <w:tcW w:w="1417" w:type="dxa"/>
            <w:vAlign w:val="center"/>
          </w:tcPr>
          <w:p w14:paraId="5786EAD3" w14:textId="77777777" w:rsidR="00DA3E66" w:rsidRPr="000C4C17" w:rsidRDefault="00DA3E66" w:rsidP="00647943">
            <w:pPr>
              <w:widowControl/>
              <w:jc w:val="right"/>
              <w:rPr>
                <w:rFonts w:eastAsiaTheme="minorHAnsi"/>
                <w:sz w:val="18"/>
              </w:rPr>
            </w:pPr>
            <w:r w:rsidRPr="000C4C17">
              <w:rPr>
                <w:rFonts w:eastAsiaTheme="minorHAnsi"/>
                <w:sz w:val="18"/>
              </w:rPr>
              <w:t>2012</w:t>
            </w:r>
          </w:p>
        </w:tc>
        <w:tc>
          <w:tcPr>
            <w:tcW w:w="1843" w:type="dxa"/>
            <w:vAlign w:val="center"/>
          </w:tcPr>
          <w:p w14:paraId="6DEB867A" w14:textId="77777777" w:rsidR="00DA3E66" w:rsidRPr="000C4C17" w:rsidRDefault="00DA3E66" w:rsidP="00A111E9">
            <w:pPr>
              <w:widowControl/>
              <w:rPr>
                <w:rFonts w:eastAsiaTheme="minorHAnsi"/>
                <w:sz w:val="18"/>
              </w:rPr>
            </w:pPr>
            <w:r w:rsidRPr="000C4C17">
              <w:rPr>
                <w:rFonts w:eastAsiaTheme="minorHAnsi"/>
                <w:sz w:val="18"/>
              </w:rPr>
              <w:t>China</w:t>
            </w:r>
          </w:p>
        </w:tc>
        <w:tc>
          <w:tcPr>
            <w:tcW w:w="1101" w:type="dxa"/>
            <w:vAlign w:val="center"/>
          </w:tcPr>
          <w:p w14:paraId="7F92F0C0" w14:textId="77777777" w:rsidR="00DA3E66" w:rsidRPr="000C4C17" w:rsidRDefault="00DA3E66" w:rsidP="00A111E9">
            <w:pPr>
              <w:widowControl/>
              <w:rPr>
                <w:rFonts w:eastAsiaTheme="minorHAnsi"/>
                <w:sz w:val="18"/>
              </w:rPr>
            </w:pPr>
            <w:r w:rsidRPr="000C4C17">
              <w:rPr>
                <w:rFonts w:eastAsiaTheme="minorHAnsi"/>
                <w:sz w:val="18"/>
              </w:rPr>
              <w:t>-</w:t>
            </w:r>
          </w:p>
        </w:tc>
        <w:tc>
          <w:tcPr>
            <w:tcW w:w="1167" w:type="dxa"/>
            <w:vAlign w:val="center"/>
          </w:tcPr>
          <w:p w14:paraId="432AEE4F" w14:textId="77777777" w:rsidR="00DA3E66" w:rsidRPr="000C4C17" w:rsidRDefault="00DA3E66" w:rsidP="00A111E9">
            <w:pPr>
              <w:widowControl/>
              <w:rPr>
                <w:rFonts w:eastAsiaTheme="minorHAnsi"/>
                <w:sz w:val="18"/>
              </w:rPr>
            </w:pPr>
            <w:r w:rsidRPr="000C4C17">
              <w:rPr>
                <w:rFonts w:eastAsiaTheme="minorHAnsi"/>
                <w:sz w:val="18"/>
              </w:rPr>
              <w:t>2007</w:t>
            </w:r>
          </w:p>
        </w:tc>
        <w:tc>
          <w:tcPr>
            <w:tcW w:w="1134" w:type="dxa"/>
            <w:vAlign w:val="center"/>
          </w:tcPr>
          <w:p w14:paraId="61053094" w14:textId="77777777" w:rsidR="00DA3E66" w:rsidRPr="000C4C17" w:rsidRDefault="00DA3E66" w:rsidP="00647943">
            <w:pPr>
              <w:widowControl/>
              <w:jc w:val="right"/>
              <w:rPr>
                <w:rFonts w:eastAsiaTheme="minorHAnsi"/>
                <w:sz w:val="18"/>
              </w:rPr>
            </w:pPr>
            <w:r w:rsidRPr="000C4C17">
              <w:rPr>
                <w:rFonts w:eastAsiaTheme="minorHAnsi"/>
                <w:sz w:val="18"/>
              </w:rPr>
              <w:t>167</w:t>
            </w:r>
          </w:p>
        </w:tc>
        <w:tc>
          <w:tcPr>
            <w:tcW w:w="2835" w:type="dxa"/>
            <w:vAlign w:val="center"/>
          </w:tcPr>
          <w:p w14:paraId="1F257C7A" w14:textId="2400555B" w:rsidR="00DA3E66" w:rsidRPr="000C4C17" w:rsidRDefault="00DA3E66" w:rsidP="00A111E9">
            <w:pPr>
              <w:widowControl/>
              <w:rPr>
                <w:rFonts w:eastAsiaTheme="minorHAnsi"/>
                <w:sz w:val="18"/>
              </w:rPr>
            </w:pPr>
            <w:r w:rsidRPr="000C4C17">
              <w:rPr>
                <w:rFonts w:eastAsiaTheme="minorHAnsi"/>
                <w:sz w:val="18"/>
              </w:rPr>
              <w:t>Per log 10</w:t>
            </w:r>
            <w:r w:rsidR="00693082">
              <w:rPr>
                <w:rFonts w:eastAsiaTheme="minorHAnsi"/>
                <w:sz w:val="18"/>
              </w:rPr>
              <w:t xml:space="preserve"> unit of</w:t>
            </w:r>
            <w:r w:rsidR="00693082" w:rsidRPr="000C4C17">
              <w:rPr>
                <w:rFonts w:eastAsiaTheme="minorHAnsi"/>
                <w:sz w:val="18"/>
              </w:rPr>
              <w:t xml:space="preserve"> </w:t>
            </w:r>
            <w:r w:rsidRPr="000C4C17">
              <w:rPr>
                <w:rFonts w:eastAsiaTheme="minorHAnsi"/>
                <w:sz w:val="18"/>
              </w:rPr>
              <w:t>PFOA</w:t>
            </w:r>
          </w:p>
        </w:tc>
        <w:tc>
          <w:tcPr>
            <w:tcW w:w="595" w:type="dxa"/>
            <w:vAlign w:val="center"/>
          </w:tcPr>
          <w:p w14:paraId="7C251E92" w14:textId="77777777" w:rsidR="00DA3E66" w:rsidRPr="000C4C17" w:rsidRDefault="00DA3E66" w:rsidP="00647943">
            <w:pPr>
              <w:widowControl/>
              <w:jc w:val="center"/>
              <w:rPr>
                <w:rFonts w:eastAsiaTheme="minorHAnsi"/>
                <w:sz w:val="20"/>
              </w:rPr>
            </w:pPr>
            <w:r w:rsidRPr="000C4C17">
              <w:rPr>
                <w:rFonts w:eastAsiaTheme="minorHAnsi"/>
                <w:sz w:val="20"/>
              </w:rPr>
              <w:t>-</w:t>
            </w:r>
          </w:p>
        </w:tc>
        <w:tc>
          <w:tcPr>
            <w:tcW w:w="595" w:type="dxa"/>
            <w:vAlign w:val="center"/>
          </w:tcPr>
          <w:p w14:paraId="3712C778" w14:textId="77777777" w:rsidR="00DA3E66" w:rsidRPr="000C4C17" w:rsidRDefault="00DA3E66" w:rsidP="00647943">
            <w:pPr>
              <w:widowControl/>
              <w:jc w:val="center"/>
              <w:rPr>
                <w:rFonts w:eastAsiaTheme="minorHAnsi"/>
                <w:sz w:val="20"/>
              </w:rPr>
            </w:pPr>
            <w:r w:rsidRPr="000C4C17">
              <w:rPr>
                <w:rFonts w:eastAsiaTheme="minorHAnsi"/>
                <w:sz w:val="20"/>
              </w:rPr>
              <w:t>-</w:t>
            </w:r>
          </w:p>
        </w:tc>
        <w:tc>
          <w:tcPr>
            <w:tcW w:w="596" w:type="dxa"/>
            <w:vAlign w:val="center"/>
          </w:tcPr>
          <w:p w14:paraId="667B06CE" w14:textId="77777777" w:rsidR="00DA3E66" w:rsidRPr="000C4C17" w:rsidRDefault="00DA3E66" w:rsidP="00647943">
            <w:pPr>
              <w:widowControl/>
              <w:jc w:val="center"/>
              <w:rPr>
                <w:rFonts w:eastAsiaTheme="minorHAnsi"/>
                <w:sz w:val="20"/>
              </w:rPr>
            </w:pPr>
            <w:r w:rsidRPr="000C4C17">
              <w:rPr>
                <w:rFonts w:eastAsiaTheme="minorHAnsi"/>
                <w:sz w:val="20"/>
              </w:rPr>
              <w:t>-</w:t>
            </w:r>
          </w:p>
        </w:tc>
        <w:tc>
          <w:tcPr>
            <w:tcW w:w="595" w:type="dxa"/>
            <w:vAlign w:val="center"/>
          </w:tcPr>
          <w:p w14:paraId="18C1003A" w14:textId="77777777" w:rsidR="00DA3E66" w:rsidRPr="000C4C17" w:rsidRDefault="00DA3E66" w:rsidP="00647943">
            <w:pPr>
              <w:widowControl/>
              <w:jc w:val="center"/>
              <w:rPr>
                <w:rFonts w:eastAsiaTheme="minorHAnsi"/>
                <w:sz w:val="20"/>
              </w:rPr>
            </w:pPr>
            <w:r w:rsidRPr="000C4C17">
              <w:rPr>
                <w:rFonts w:eastAsiaTheme="minorHAnsi"/>
                <w:sz w:val="20"/>
              </w:rPr>
              <w:sym w:font="Symbol" w:char="F0D6"/>
            </w:r>
          </w:p>
        </w:tc>
        <w:tc>
          <w:tcPr>
            <w:tcW w:w="596" w:type="dxa"/>
            <w:vAlign w:val="center"/>
          </w:tcPr>
          <w:p w14:paraId="3F32806B" w14:textId="72377723" w:rsidR="00DA3E66" w:rsidRPr="000C4C17" w:rsidRDefault="002F1039" w:rsidP="00647943">
            <w:pPr>
              <w:widowControl/>
              <w:jc w:val="center"/>
              <w:rPr>
                <w:rFonts w:eastAsiaTheme="minorHAnsi"/>
                <w:sz w:val="20"/>
              </w:rPr>
            </w:pPr>
            <w:r w:rsidRPr="000C4C17">
              <w:rPr>
                <w:rFonts w:eastAsiaTheme="minorHAnsi"/>
                <w:sz w:val="20"/>
              </w:rPr>
              <w:sym w:font="Symbol" w:char="F0D6"/>
            </w:r>
          </w:p>
        </w:tc>
      </w:tr>
      <w:tr w:rsidR="00DA3E66" w:rsidRPr="000C4C17" w14:paraId="50EE4E3B" w14:textId="77777777" w:rsidTr="00F6284E">
        <w:trPr>
          <w:trHeight w:val="318"/>
        </w:trPr>
        <w:tc>
          <w:tcPr>
            <w:tcW w:w="1526" w:type="dxa"/>
            <w:vAlign w:val="center"/>
          </w:tcPr>
          <w:p w14:paraId="2766BA20" w14:textId="745DEA53" w:rsidR="00DA3E66" w:rsidRPr="000C4C17" w:rsidRDefault="00DA3E66" w:rsidP="00A111E9">
            <w:pPr>
              <w:widowControl/>
              <w:rPr>
                <w:rFonts w:eastAsiaTheme="minorHAnsi"/>
                <w:sz w:val="18"/>
              </w:rPr>
            </w:pPr>
            <w:r w:rsidRPr="000C4C17">
              <w:rPr>
                <w:rFonts w:eastAsiaTheme="minorHAnsi"/>
                <w:sz w:val="18"/>
              </w:rPr>
              <w:t>Lee</w:t>
            </w:r>
          </w:p>
        </w:tc>
        <w:tc>
          <w:tcPr>
            <w:tcW w:w="1417" w:type="dxa"/>
            <w:vAlign w:val="center"/>
          </w:tcPr>
          <w:p w14:paraId="2AFF1DC4" w14:textId="77777777" w:rsidR="00DA3E66" w:rsidRPr="000C4C17" w:rsidRDefault="00DA3E66" w:rsidP="00647943">
            <w:pPr>
              <w:widowControl/>
              <w:jc w:val="right"/>
              <w:rPr>
                <w:rFonts w:eastAsiaTheme="minorHAnsi"/>
                <w:sz w:val="18"/>
              </w:rPr>
            </w:pPr>
            <w:r w:rsidRPr="000C4C17">
              <w:rPr>
                <w:rFonts w:eastAsiaTheme="minorHAnsi"/>
                <w:sz w:val="18"/>
              </w:rPr>
              <w:t>2013</w:t>
            </w:r>
          </w:p>
        </w:tc>
        <w:tc>
          <w:tcPr>
            <w:tcW w:w="1843" w:type="dxa"/>
            <w:vAlign w:val="center"/>
          </w:tcPr>
          <w:p w14:paraId="1825AE44" w14:textId="77777777" w:rsidR="00DA3E66" w:rsidRPr="000C4C17" w:rsidRDefault="00DA3E66" w:rsidP="00A111E9">
            <w:pPr>
              <w:widowControl/>
              <w:rPr>
                <w:rFonts w:eastAsiaTheme="minorHAnsi"/>
                <w:sz w:val="18"/>
              </w:rPr>
            </w:pPr>
            <w:r w:rsidRPr="000C4C17">
              <w:rPr>
                <w:rFonts w:eastAsiaTheme="minorHAnsi"/>
                <w:sz w:val="18"/>
              </w:rPr>
              <w:t>Gyeongbuk,</w:t>
            </w:r>
          </w:p>
          <w:p w14:paraId="789B13CF" w14:textId="77777777" w:rsidR="00DA3E66" w:rsidRPr="000C4C17" w:rsidRDefault="00DA3E66" w:rsidP="00A111E9">
            <w:pPr>
              <w:widowControl/>
              <w:rPr>
                <w:rFonts w:eastAsiaTheme="minorHAnsi"/>
                <w:sz w:val="18"/>
              </w:rPr>
            </w:pPr>
            <w:r w:rsidRPr="000C4C17">
              <w:rPr>
                <w:rFonts w:eastAsiaTheme="minorHAnsi"/>
                <w:sz w:val="18"/>
              </w:rPr>
              <w:t>South Korea</w:t>
            </w:r>
          </w:p>
        </w:tc>
        <w:tc>
          <w:tcPr>
            <w:tcW w:w="1101" w:type="dxa"/>
            <w:vAlign w:val="center"/>
          </w:tcPr>
          <w:p w14:paraId="7053D35F" w14:textId="77777777" w:rsidR="00DA3E66" w:rsidRPr="000C4C17" w:rsidRDefault="00DA3E66" w:rsidP="00A111E9">
            <w:pPr>
              <w:widowControl/>
              <w:rPr>
                <w:rFonts w:eastAsiaTheme="minorHAnsi"/>
                <w:sz w:val="18"/>
              </w:rPr>
            </w:pPr>
            <w:r w:rsidRPr="000C4C17">
              <w:rPr>
                <w:rFonts w:eastAsiaTheme="minorHAnsi"/>
                <w:sz w:val="18"/>
              </w:rPr>
              <w:t>-</w:t>
            </w:r>
          </w:p>
        </w:tc>
        <w:tc>
          <w:tcPr>
            <w:tcW w:w="1167" w:type="dxa"/>
            <w:vAlign w:val="center"/>
          </w:tcPr>
          <w:p w14:paraId="5AE0E85C" w14:textId="77777777" w:rsidR="00DA3E66" w:rsidRPr="000C4C17" w:rsidRDefault="00DA3E66" w:rsidP="00A111E9">
            <w:pPr>
              <w:widowControl/>
              <w:rPr>
                <w:rFonts w:eastAsiaTheme="minorHAnsi"/>
                <w:sz w:val="18"/>
              </w:rPr>
            </w:pPr>
            <w:r w:rsidRPr="000C4C17">
              <w:rPr>
                <w:rFonts w:eastAsiaTheme="minorHAnsi"/>
                <w:sz w:val="18"/>
              </w:rPr>
              <w:t>2011</w:t>
            </w:r>
          </w:p>
        </w:tc>
        <w:tc>
          <w:tcPr>
            <w:tcW w:w="1134" w:type="dxa"/>
            <w:vAlign w:val="center"/>
          </w:tcPr>
          <w:p w14:paraId="013EED37" w14:textId="77777777" w:rsidR="00DA3E66" w:rsidRPr="000C4C17" w:rsidRDefault="00DA3E66" w:rsidP="00647943">
            <w:pPr>
              <w:widowControl/>
              <w:jc w:val="right"/>
              <w:rPr>
                <w:rFonts w:eastAsiaTheme="minorHAnsi"/>
                <w:sz w:val="18"/>
              </w:rPr>
            </w:pPr>
            <w:r w:rsidRPr="000C4C17">
              <w:rPr>
                <w:rFonts w:eastAsiaTheme="minorHAnsi"/>
                <w:sz w:val="18"/>
              </w:rPr>
              <w:t>59</w:t>
            </w:r>
          </w:p>
        </w:tc>
        <w:tc>
          <w:tcPr>
            <w:tcW w:w="2835" w:type="dxa"/>
            <w:vAlign w:val="center"/>
          </w:tcPr>
          <w:p w14:paraId="661EF7A6" w14:textId="6746E8A7" w:rsidR="00DA3E66" w:rsidRPr="000C4C17" w:rsidRDefault="00DA3E66" w:rsidP="00A111E9">
            <w:pPr>
              <w:widowControl/>
              <w:rPr>
                <w:rFonts w:eastAsiaTheme="minorHAnsi"/>
                <w:sz w:val="18"/>
              </w:rPr>
            </w:pPr>
            <w:r w:rsidRPr="000C4C17">
              <w:rPr>
                <w:rFonts w:eastAsiaTheme="minorHAnsi"/>
                <w:color w:val="000000"/>
                <w:sz w:val="18"/>
              </w:rPr>
              <w:t>Inverted analysis: mea</w:t>
            </w:r>
            <w:r w:rsidR="00104C8E" w:rsidRPr="000C4C17">
              <w:rPr>
                <w:rFonts w:eastAsiaTheme="minorHAnsi"/>
                <w:color w:val="000000"/>
                <w:sz w:val="18"/>
              </w:rPr>
              <w:t>n PFAS in 2 categories of birth</w:t>
            </w:r>
            <w:r w:rsidRPr="000C4C17">
              <w:rPr>
                <w:rFonts w:eastAsiaTheme="minorHAnsi"/>
                <w:color w:val="000000"/>
                <w:sz w:val="18"/>
              </w:rPr>
              <w:t>weight (above and below median)</w:t>
            </w:r>
          </w:p>
        </w:tc>
        <w:tc>
          <w:tcPr>
            <w:tcW w:w="595" w:type="dxa"/>
            <w:vAlign w:val="center"/>
          </w:tcPr>
          <w:p w14:paraId="4D0F7CA3" w14:textId="77777777" w:rsidR="00DA3E66" w:rsidRPr="000C4C17" w:rsidRDefault="00DA3E66" w:rsidP="00647943">
            <w:pPr>
              <w:widowControl/>
              <w:jc w:val="center"/>
              <w:rPr>
                <w:rFonts w:eastAsiaTheme="minorHAnsi"/>
                <w:sz w:val="20"/>
              </w:rPr>
            </w:pPr>
            <w:r w:rsidRPr="000C4C17">
              <w:rPr>
                <w:rFonts w:eastAsiaTheme="minorHAnsi"/>
                <w:sz w:val="20"/>
              </w:rPr>
              <w:t>-</w:t>
            </w:r>
          </w:p>
        </w:tc>
        <w:tc>
          <w:tcPr>
            <w:tcW w:w="595" w:type="dxa"/>
            <w:vAlign w:val="center"/>
          </w:tcPr>
          <w:p w14:paraId="662D5CA5" w14:textId="77777777" w:rsidR="00DA3E66" w:rsidRPr="000C4C17" w:rsidRDefault="00DA3E66" w:rsidP="00647943">
            <w:pPr>
              <w:widowControl/>
              <w:jc w:val="center"/>
              <w:rPr>
                <w:rFonts w:eastAsiaTheme="minorHAnsi"/>
                <w:sz w:val="20"/>
              </w:rPr>
            </w:pPr>
            <w:r w:rsidRPr="000C4C17">
              <w:rPr>
                <w:rFonts w:eastAsiaTheme="minorHAnsi"/>
                <w:sz w:val="20"/>
              </w:rPr>
              <w:t>-</w:t>
            </w:r>
          </w:p>
        </w:tc>
        <w:tc>
          <w:tcPr>
            <w:tcW w:w="596" w:type="dxa"/>
            <w:vAlign w:val="center"/>
          </w:tcPr>
          <w:p w14:paraId="75480133" w14:textId="77777777" w:rsidR="00DA3E66" w:rsidRPr="000C4C17" w:rsidRDefault="00DA3E66" w:rsidP="00647943">
            <w:pPr>
              <w:widowControl/>
              <w:jc w:val="center"/>
              <w:rPr>
                <w:rFonts w:eastAsiaTheme="minorHAnsi"/>
                <w:sz w:val="20"/>
              </w:rPr>
            </w:pPr>
            <w:r w:rsidRPr="000C4C17">
              <w:rPr>
                <w:rFonts w:eastAsiaTheme="minorHAnsi"/>
                <w:sz w:val="20"/>
              </w:rPr>
              <w:t>-</w:t>
            </w:r>
          </w:p>
        </w:tc>
        <w:tc>
          <w:tcPr>
            <w:tcW w:w="595" w:type="dxa"/>
            <w:vAlign w:val="center"/>
          </w:tcPr>
          <w:p w14:paraId="66630ADE" w14:textId="77777777" w:rsidR="00DA3E66" w:rsidRPr="000C4C17" w:rsidRDefault="00DA3E66" w:rsidP="00647943">
            <w:pPr>
              <w:widowControl/>
              <w:jc w:val="center"/>
              <w:rPr>
                <w:rFonts w:eastAsiaTheme="minorHAnsi"/>
                <w:sz w:val="20"/>
              </w:rPr>
            </w:pPr>
            <w:r w:rsidRPr="000C4C17">
              <w:rPr>
                <w:rFonts w:eastAsiaTheme="minorHAnsi"/>
                <w:sz w:val="20"/>
              </w:rPr>
              <w:sym w:font="Symbol" w:char="F0D6"/>
            </w:r>
          </w:p>
        </w:tc>
        <w:tc>
          <w:tcPr>
            <w:tcW w:w="596" w:type="dxa"/>
            <w:vAlign w:val="center"/>
          </w:tcPr>
          <w:p w14:paraId="00A4E4E8" w14:textId="6B4FEDAD" w:rsidR="00DA3E66" w:rsidRPr="000C4C17" w:rsidRDefault="00DA3E66" w:rsidP="00647943">
            <w:pPr>
              <w:widowControl/>
              <w:jc w:val="center"/>
              <w:rPr>
                <w:rFonts w:eastAsiaTheme="minorHAnsi"/>
                <w:sz w:val="20"/>
              </w:rPr>
            </w:pPr>
            <w:r w:rsidRPr="000C4C17">
              <w:rPr>
                <w:rFonts w:eastAsiaTheme="minorHAnsi"/>
                <w:sz w:val="20"/>
              </w:rPr>
              <w:t>q</w:t>
            </w:r>
          </w:p>
        </w:tc>
      </w:tr>
      <w:tr w:rsidR="00DA3E66" w:rsidRPr="000C4C17" w14:paraId="16AD501E" w14:textId="77777777" w:rsidTr="00F6284E">
        <w:trPr>
          <w:trHeight w:val="60"/>
        </w:trPr>
        <w:tc>
          <w:tcPr>
            <w:tcW w:w="1526" w:type="dxa"/>
            <w:vAlign w:val="center"/>
          </w:tcPr>
          <w:p w14:paraId="613BFEE1" w14:textId="0386F41F" w:rsidR="00DA3E66" w:rsidRPr="000C4C17" w:rsidRDefault="00DA3E66" w:rsidP="00A111E9">
            <w:pPr>
              <w:widowControl/>
              <w:rPr>
                <w:rFonts w:eastAsiaTheme="minorHAnsi"/>
                <w:sz w:val="18"/>
              </w:rPr>
            </w:pPr>
            <w:r w:rsidRPr="000C4C17">
              <w:rPr>
                <w:rFonts w:eastAsiaTheme="minorHAnsi"/>
                <w:sz w:val="18"/>
              </w:rPr>
              <w:t>Darrow</w:t>
            </w:r>
          </w:p>
        </w:tc>
        <w:tc>
          <w:tcPr>
            <w:tcW w:w="1417" w:type="dxa"/>
            <w:vAlign w:val="center"/>
          </w:tcPr>
          <w:p w14:paraId="55ADF40D" w14:textId="77777777" w:rsidR="00DA3E66" w:rsidRPr="000C4C17" w:rsidRDefault="00DA3E66" w:rsidP="00647943">
            <w:pPr>
              <w:widowControl/>
              <w:jc w:val="right"/>
              <w:rPr>
                <w:rFonts w:eastAsiaTheme="minorHAnsi"/>
                <w:sz w:val="18"/>
              </w:rPr>
            </w:pPr>
            <w:r w:rsidRPr="000C4C17">
              <w:rPr>
                <w:rFonts w:eastAsiaTheme="minorHAnsi"/>
                <w:sz w:val="18"/>
              </w:rPr>
              <w:t>2013</w:t>
            </w:r>
          </w:p>
        </w:tc>
        <w:tc>
          <w:tcPr>
            <w:tcW w:w="1843" w:type="dxa"/>
            <w:vAlign w:val="center"/>
          </w:tcPr>
          <w:p w14:paraId="0D78694C" w14:textId="77777777" w:rsidR="00DA3E66" w:rsidRPr="000C4C17" w:rsidRDefault="00DA3E66" w:rsidP="00A111E9">
            <w:pPr>
              <w:widowControl/>
              <w:rPr>
                <w:rFonts w:eastAsiaTheme="minorHAnsi"/>
                <w:sz w:val="18"/>
              </w:rPr>
            </w:pPr>
            <w:r w:rsidRPr="000C4C17">
              <w:rPr>
                <w:rFonts w:eastAsiaTheme="minorHAnsi"/>
                <w:sz w:val="18"/>
              </w:rPr>
              <w:t>US</w:t>
            </w:r>
          </w:p>
        </w:tc>
        <w:tc>
          <w:tcPr>
            <w:tcW w:w="1101" w:type="dxa"/>
            <w:vAlign w:val="center"/>
          </w:tcPr>
          <w:p w14:paraId="5F6C4287" w14:textId="77777777" w:rsidR="00DA3E66" w:rsidRPr="000C4C17" w:rsidRDefault="00DA3E66" w:rsidP="00A111E9">
            <w:pPr>
              <w:widowControl/>
              <w:rPr>
                <w:rFonts w:eastAsiaTheme="minorHAnsi"/>
                <w:sz w:val="18"/>
              </w:rPr>
            </w:pPr>
            <w:r w:rsidRPr="000C4C17">
              <w:rPr>
                <w:rFonts w:eastAsiaTheme="minorHAnsi"/>
                <w:sz w:val="18"/>
              </w:rPr>
              <w:t>C8</w:t>
            </w:r>
          </w:p>
        </w:tc>
        <w:tc>
          <w:tcPr>
            <w:tcW w:w="1167" w:type="dxa"/>
            <w:vAlign w:val="center"/>
          </w:tcPr>
          <w:p w14:paraId="57411E8A" w14:textId="77777777" w:rsidR="00DA3E66" w:rsidRPr="000C4C17" w:rsidRDefault="00DA3E66" w:rsidP="00A111E9">
            <w:pPr>
              <w:widowControl/>
              <w:rPr>
                <w:rFonts w:eastAsiaTheme="minorHAnsi"/>
                <w:sz w:val="18"/>
              </w:rPr>
            </w:pPr>
            <w:r w:rsidRPr="000C4C17">
              <w:rPr>
                <w:rFonts w:eastAsiaTheme="minorHAnsi"/>
                <w:sz w:val="18"/>
              </w:rPr>
              <w:t>2005-10</w:t>
            </w:r>
          </w:p>
        </w:tc>
        <w:tc>
          <w:tcPr>
            <w:tcW w:w="1134" w:type="dxa"/>
            <w:vAlign w:val="center"/>
          </w:tcPr>
          <w:p w14:paraId="783D8ABE" w14:textId="3C79248B" w:rsidR="00DA3E66" w:rsidRPr="000C4C17" w:rsidRDefault="00DA3E66" w:rsidP="00647943">
            <w:pPr>
              <w:widowControl/>
              <w:jc w:val="right"/>
              <w:rPr>
                <w:rFonts w:eastAsiaTheme="minorHAnsi"/>
                <w:sz w:val="18"/>
              </w:rPr>
            </w:pPr>
            <w:r w:rsidRPr="000C4C17">
              <w:rPr>
                <w:rFonts w:eastAsiaTheme="minorHAnsi"/>
                <w:sz w:val="18"/>
              </w:rPr>
              <w:t>1629</w:t>
            </w:r>
          </w:p>
        </w:tc>
        <w:tc>
          <w:tcPr>
            <w:tcW w:w="2835" w:type="dxa"/>
            <w:vAlign w:val="center"/>
          </w:tcPr>
          <w:p w14:paraId="6C008977" w14:textId="54E26AC8" w:rsidR="00DA3E66" w:rsidRPr="000C4C17" w:rsidRDefault="00693082" w:rsidP="00A111E9">
            <w:pPr>
              <w:widowControl/>
              <w:rPr>
                <w:rFonts w:eastAsiaTheme="minorHAnsi"/>
                <w:sz w:val="18"/>
              </w:rPr>
            </w:pPr>
            <w:r>
              <w:rPr>
                <w:rFonts w:eastAsiaTheme="minorHAnsi"/>
                <w:sz w:val="18"/>
              </w:rPr>
              <w:t xml:space="preserve">Per </w:t>
            </w:r>
            <w:r w:rsidR="0027334C">
              <w:rPr>
                <w:rFonts w:eastAsiaTheme="minorHAnsi"/>
                <w:sz w:val="18"/>
              </w:rPr>
              <w:t>natural log</w:t>
            </w:r>
            <w:r w:rsidRPr="000C4C17">
              <w:rPr>
                <w:rFonts w:eastAsiaTheme="minorHAnsi"/>
                <w:sz w:val="18"/>
              </w:rPr>
              <w:t xml:space="preserve"> unit </w:t>
            </w:r>
            <w:r>
              <w:rPr>
                <w:rFonts w:eastAsiaTheme="minorHAnsi"/>
                <w:sz w:val="18"/>
              </w:rPr>
              <w:t>of PFAS</w:t>
            </w:r>
          </w:p>
          <w:p w14:paraId="6BA69064" w14:textId="0D27583F" w:rsidR="00DA3E66" w:rsidRPr="000C4C17" w:rsidRDefault="00170A03" w:rsidP="0027334C">
            <w:pPr>
              <w:widowControl/>
              <w:rPr>
                <w:rFonts w:eastAsiaTheme="minorHAnsi"/>
                <w:sz w:val="18"/>
              </w:rPr>
            </w:pPr>
            <w:r>
              <w:rPr>
                <w:rFonts w:eastAsiaTheme="minorHAnsi"/>
                <w:sz w:val="18"/>
              </w:rPr>
              <w:t>(PFOS analysis also has</w:t>
            </w:r>
            <w:r w:rsidRPr="000C4C17">
              <w:rPr>
                <w:rFonts w:eastAsiaTheme="minorHAnsi"/>
                <w:sz w:val="18"/>
              </w:rPr>
              <w:t xml:space="preserve"> </w:t>
            </w:r>
            <w:r w:rsidR="0027334C">
              <w:rPr>
                <w:rFonts w:eastAsiaTheme="minorHAnsi"/>
                <w:sz w:val="18"/>
              </w:rPr>
              <w:t>OR</w:t>
            </w:r>
            <w:r>
              <w:rPr>
                <w:rFonts w:eastAsiaTheme="minorHAnsi"/>
                <w:sz w:val="18"/>
              </w:rPr>
              <w:t xml:space="preserve"> for low </w:t>
            </w:r>
            <w:r w:rsidR="00693082">
              <w:rPr>
                <w:rFonts w:eastAsiaTheme="minorHAnsi"/>
                <w:sz w:val="18"/>
              </w:rPr>
              <w:t>birthweight</w:t>
            </w:r>
            <w:r w:rsidR="0007229B">
              <w:rPr>
                <w:rFonts w:eastAsiaTheme="minorHAnsi"/>
                <w:sz w:val="18"/>
              </w:rPr>
              <w:t>)</w:t>
            </w:r>
          </w:p>
        </w:tc>
        <w:tc>
          <w:tcPr>
            <w:tcW w:w="595" w:type="dxa"/>
            <w:vAlign w:val="center"/>
          </w:tcPr>
          <w:p w14:paraId="6FFE3766" w14:textId="77777777" w:rsidR="00DA3E66" w:rsidRPr="000C4C17" w:rsidRDefault="00DA3E66" w:rsidP="00647943">
            <w:pPr>
              <w:widowControl/>
              <w:jc w:val="center"/>
              <w:rPr>
                <w:rFonts w:eastAsiaTheme="minorHAnsi"/>
                <w:sz w:val="20"/>
              </w:rPr>
            </w:pPr>
            <w:r w:rsidRPr="000C4C17">
              <w:rPr>
                <w:rFonts w:eastAsiaTheme="minorHAnsi"/>
                <w:sz w:val="20"/>
              </w:rPr>
              <w:t>-</w:t>
            </w:r>
          </w:p>
        </w:tc>
        <w:tc>
          <w:tcPr>
            <w:tcW w:w="595" w:type="dxa"/>
            <w:vAlign w:val="center"/>
          </w:tcPr>
          <w:p w14:paraId="34E7736D" w14:textId="77777777" w:rsidR="00CD5B9F" w:rsidRDefault="00CD5B9F" w:rsidP="00647943">
            <w:pPr>
              <w:widowControl/>
              <w:jc w:val="center"/>
              <w:rPr>
                <w:rFonts w:eastAsiaTheme="minorHAnsi"/>
                <w:sz w:val="20"/>
              </w:rPr>
            </w:pPr>
          </w:p>
          <w:p w14:paraId="06A033A0" w14:textId="77777777" w:rsidR="00DA3E66" w:rsidRPr="000C4C17" w:rsidRDefault="00DA3E66" w:rsidP="00647943">
            <w:pPr>
              <w:widowControl/>
              <w:jc w:val="center"/>
              <w:rPr>
                <w:rFonts w:eastAsiaTheme="minorHAnsi"/>
                <w:sz w:val="20"/>
              </w:rPr>
            </w:pPr>
            <w:r w:rsidRPr="000C4C17">
              <w:rPr>
                <w:rFonts w:eastAsiaTheme="minorHAnsi"/>
                <w:sz w:val="20"/>
              </w:rPr>
              <w:sym w:font="Symbol" w:char="F0D6"/>
            </w:r>
          </w:p>
          <w:p w14:paraId="4AE9466F" w14:textId="77777777" w:rsidR="00DA3E66" w:rsidRPr="000C4C17" w:rsidRDefault="00DA3E66" w:rsidP="00647943">
            <w:pPr>
              <w:widowControl/>
              <w:jc w:val="center"/>
              <w:rPr>
                <w:rFonts w:eastAsiaTheme="minorHAnsi"/>
                <w:sz w:val="20"/>
              </w:rPr>
            </w:pPr>
          </w:p>
        </w:tc>
        <w:tc>
          <w:tcPr>
            <w:tcW w:w="596" w:type="dxa"/>
            <w:vAlign w:val="center"/>
          </w:tcPr>
          <w:p w14:paraId="723FEAD6" w14:textId="77777777" w:rsidR="00DA3E66" w:rsidRPr="000C4C17" w:rsidRDefault="00DA3E66" w:rsidP="00647943">
            <w:pPr>
              <w:widowControl/>
              <w:jc w:val="center"/>
              <w:rPr>
                <w:rFonts w:eastAsiaTheme="minorHAnsi"/>
                <w:sz w:val="20"/>
              </w:rPr>
            </w:pPr>
            <w:r w:rsidRPr="000C4C17">
              <w:rPr>
                <w:rFonts w:eastAsiaTheme="minorHAnsi"/>
                <w:sz w:val="20"/>
              </w:rPr>
              <w:t>-</w:t>
            </w:r>
          </w:p>
        </w:tc>
        <w:tc>
          <w:tcPr>
            <w:tcW w:w="595" w:type="dxa"/>
            <w:vAlign w:val="center"/>
          </w:tcPr>
          <w:p w14:paraId="1920FDC5" w14:textId="77777777" w:rsidR="00DA3E66" w:rsidRPr="000C4C17" w:rsidRDefault="00DA3E66" w:rsidP="00647943">
            <w:pPr>
              <w:widowControl/>
              <w:jc w:val="center"/>
              <w:rPr>
                <w:rFonts w:eastAsiaTheme="minorHAnsi"/>
                <w:sz w:val="20"/>
              </w:rPr>
            </w:pPr>
            <w:r w:rsidRPr="000C4C17">
              <w:rPr>
                <w:rFonts w:eastAsiaTheme="minorHAnsi"/>
                <w:sz w:val="20"/>
              </w:rPr>
              <w:sym w:font="Symbol" w:char="F0D6"/>
            </w:r>
          </w:p>
        </w:tc>
        <w:tc>
          <w:tcPr>
            <w:tcW w:w="596" w:type="dxa"/>
            <w:vAlign w:val="center"/>
          </w:tcPr>
          <w:p w14:paraId="21B422F2" w14:textId="39711758" w:rsidR="00DA3E66" w:rsidRPr="000C4C17" w:rsidRDefault="002F1039" w:rsidP="00647943">
            <w:pPr>
              <w:widowControl/>
              <w:jc w:val="center"/>
              <w:rPr>
                <w:rFonts w:eastAsiaTheme="minorHAnsi"/>
                <w:sz w:val="20"/>
              </w:rPr>
            </w:pPr>
            <w:r w:rsidRPr="000C4C17">
              <w:rPr>
                <w:rFonts w:eastAsiaTheme="minorHAnsi"/>
                <w:sz w:val="20"/>
              </w:rPr>
              <w:sym w:font="Symbol" w:char="F0D6"/>
            </w:r>
          </w:p>
        </w:tc>
      </w:tr>
    </w:tbl>
    <w:p w14:paraId="25E0C71D" w14:textId="4299561F" w:rsidR="00F8101A" w:rsidRDefault="00F8101A" w:rsidP="00A111E9">
      <w:pPr>
        <w:widowControl/>
        <w:spacing w:before="120"/>
        <w:rPr>
          <w:rFonts w:eastAsiaTheme="minorHAnsi"/>
          <w:sz w:val="16"/>
        </w:rPr>
      </w:pPr>
      <w:r w:rsidRPr="000C4C17">
        <w:rPr>
          <w:rFonts w:eastAsiaTheme="minorHAnsi"/>
          <w:sz w:val="16"/>
        </w:rPr>
        <w:t>*Inverted refers to an analysis is which authors used PFAS as the dependent variable and birthweight as the independent variable and so calculated the difference in PFAS per unit difference in birthweight</w:t>
      </w:r>
    </w:p>
    <w:p w14:paraId="62BFA8E4" w14:textId="0F89C439" w:rsidR="00B76784" w:rsidRPr="000C4C17" w:rsidRDefault="00B76784" w:rsidP="00A111E9">
      <w:pPr>
        <w:widowControl/>
        <w:spacing w:before="120"/>
        <w:rPr>
          <w:rFonts w:eastAsiaTheme="minorHAnsi"/>
          <w:sz w:val="16"/>
        </w:rPr>
      </w:pPr>
      <w:r>
        <w:rPr>
          <w:rFonts w:eastAsiaTheme="minorHAnsi"/>
          <w:sz w:val="16"/>
        </w:rPr>
        <w:t xml:space="preserve">Abbreviations: BW birthweight; LBW low birthweight; </w:t>
      </w:r>
      <w:r w:rsidRPr="00790A0E">
        <w:rPr>
          <w:rFonts w:eastAsiaTheme="minorHAnsi"/>
          <w:sz w:val="16"/>
        </w:rPr>
        <w:t>OR odds ratio</w:t>
      </w:r>
    </w:p>
    <w:p w14:paraId="3B4374AF" w14:textId="3E1D83E7" w:rsidR="00F8101A" w:rsidRPr="000C4C17" w:rsidRDefault="00F8101A" w:rsidP="00A111E9">
      <w:pPr>
        <w:widowControl/>
        <w:rPr>
          <w:rFonts w:eastAsiaTheme="minorHAnsi"/>
          <w:sz w:val="16"/>
        </w:rPr>
      </w:pPr>
      <w:r w:rsidRPr="000C4C17">
        <w:rPr>
          <w:rFonts w:eastAsiaTheme="minorHAnsi"/>
          <w:sz w:val="16"/>
        </w:rPr>
        <w:t xml:space="preserve"> </w:t>
      </w:r>
      <w:r w:rsidRPr="000C4C17">
        <w:rPr>
          <w:rFonts w:eastAsiaTheme="minorHAnsi"/>
          <w:sz w:val="16"/>
        </w:rPr>
        <w:sym w:font="Symbol" w:char="F0D6"/>
      </w:r>
      <w:r w:rsidRPr="000C4C17">
        <w:rPr>
          <w:rFonts w:eastAsiaTheme="minorHAnsi"/>
          <w:sz w:val="16"/>
        </w:rPr>
        <w:t xml:space="preserve"> included in this review</w:t>
      </w:r>
      <w:r w:rsidR="00CD5B9F">
        <w:rPr>
          <w:rFonts w:eastAsiaTheme="minorHAnsi"/>
          <w:sz w:val="16"/>
        </w:rPr>
        <w:t>;</w:t>
      </w:r>
      <w:r w:rsidR="00A11A9C">
        <w:rPr>
          <w:rFonts w:eastAsiaTheme="minorHAnsi"/>
          <w:sz w:val="16"/>
        </w:rPr>
        <w:t xml:space="preserve"> -:</w:t>
      </w:r>
      <w:r w:rsidRPr="000C4C17">
        <w:rPr>
          <w:rFonts w:eastAsiaTheme="minorHAnsi"/>
          <w:sz w:val="16"/>
        </w:rPr>
        <w:t xml:space="preserve"> not referred to in th</w:t>
      </w:r>
      <w:r w:rsidR="00A11A9C">
        <w:rPr>
          <w:rFonts w:eastAsiaTheme="minorHAnsi"/>
          <w:sz w:val="16"/>
        </w:rPr>
        <w:t>is</w:t>
      </w:r>
      <w:r w:rsidRPr="000C4C17">
        <w:rPr>
          <w:rFonts w:eastAsiaTheme="minorHAnsi"/>
          <w:sz w:val="16"/>
        </w:rPr>
        <w:t xml:space="preserve"> review; </w:t>
      </w:r>
      <w:r w:rsidRPr="00790A0E">
        <w:rPr>
          <w:rFonts w:eastAsiaTheme="minorHAnsi"/>
          <w:sz w:val="16"/>
        </w:rPr>
        <w:t xml:space="preserve">e- excluded </w:t>
      </w:r>
      <w:r w:rsidR="00A11A9C" w:rsidRPr="00790A0E">
        <w:rPr>
          <w:rFonts w:eastAsiaTheme="minorHAnsi"/>
          <w:sz w:val="16"/>
        </w:rPr>
        <w:t xml:space="preserve">from </w:t>
      </w:r>
      <w:r w:rsidR="002F1039" w:rsidRPr="00790A0E">
        <w:rPr>
          <w:rFonts w:eastAsiaTheme="minorHAnsi"/>
          <w:sz w:val="16"/>
        </w:rPr>
        <w:t xml:space="preserve">consideration in </w:t>
      </w:r>
      <w:r w:rsidR="00A11A9C" w:rsidRPr="00790A0E">
        <w:rPr>
          <w:rFonts w:eastAsiaTheme="minorHAnsi"/>
          <w:sz w:val="16"/>
        </w:rPr>
        <w:t>the review</w:t>
      </w:r>
      <w:r w:rsidR="00CD5B9F" w:rsidRPr="00790A0E">
        <w:rPr>
          <w:rFonts w:eastAsiaTheme="minorHAnsi"/>
          <w:sz w:val="16"/>
        </w:rPr>
        <w:t>;? referred to but reason for exclusion</w:t>
      </w:r>
      <w:r w:rsidR="002F1039" w:rsidRPr="00790A0E">
        <w:rPr>
          <w:rFonts w:eastAsiaTheme="minorHAnsi"/>
          <w:sz w:val="16"/>
        </w:rPr>
        <w:t xml:space="preserve"> from consideration</w:t>
      </w:r>
      <w:r w:rsidR="00CD5B9F" w:rsidRPr="00790A0E">
        <w:rPr>
          <w:rFonts w:eastAsiaTheme="minorHAnsi"/>
          <w:sz w:val="16"/>
        </w:rPr>
        <w:t xml:space="preserve"> not given</w:t>
      </w:r>
      <w:r w:rsidR="00CD5B9F">
        <w:rPr>
          <w:rFonts w:eastAsiaTheme="minorHAnsi"/>
          <w:sz w:val="16"/>
        </w:rPr>
        <w:t>;</w:t>
      </w:r>
      <w:r w:rsidRPr="000C4C17">
        <w:rPr>
          <w:rFonts w:eastAsiaTheme="minorHAnsi"/>
          <w:sz w:val="16"/>
        </w:rPr>
        <w:t xml:space="preserve"> q- included for qualitative assessment but not quantitative assessment</w:t>
      </w:r>
    </w:p>
    <w:p w14:paraId="25E02C8D" w14:textId="77777777" w:rsidR="00F8101A" w:rsidRPr="000C4C17" w:rsidRDefault="00F8101A" w:rsidP="00A111E9">
      <w:pPr>
        <w:widowControl/>
        <w:rPr>
          <w:rFonts w:eastAsiaTheme="minorHAnsi" w:cstheme="minorBidi"/>
          <w:b/>
          <w:szCs w:val="22"/>
          <w:lang w:bidi="ar-SA"/>
        </w:rPr>
      </w:pPr>
    </w:p>
    <w:p w14:paraId="2419E1EF" w14:textId="77777777" w:rsidR="00F8101A" w:rsidRPr="000C4C17" w:rsidRDefault="00F8101A" w:rsidP="00A111E9">
      <w:pPr>
        <w:widowControl/>
        <w:rPr>
          <w:rFonts w:eastAsiaTheme="minorHAnsi" w:cstheme="minorBidi"/>
          <w:b/>
          <w:szCs w:val="22"/>
          <w:lang w:bidi="ar-SA"/>
        </w:rPr>
      </w:pPr>
    </w:p>
    <w:p w14:paraId="05D10F87" w14:textId="77777777" w:rsidR="00DA3E66" w:rsidRPr="000C4C17" w:rsidRDefault="00DA3E66" w:rsidP="00A111E9">
      <w:pPr>
        <w:widowControl/>
        <w:rPr>
          <w:rFonts w:eastAsiaTheme="minorHAnsi" w:cstheme="minorBidi"/>
          <w:b/>
          <w:szCs w:val="22"/>
          <w:lang w:bidi="ar-SA"/>
        </w:rPr>
        <w:sectPr w:rsidR="00DA3E66" w:rsidRPr="000C4C17" w:rsidSect="00D711DD">
          <w:pgSz w:w="16838" w:h="11906" w:orient="landscape"/>
          <w:pgMar w:top="1418" w:right="1418" w:bottom="1418" w:left="1418" w:header="709" w:footer="709" w:gutter="0"/>
          <w:cols w:space="708"/>
          <w:docGrid w:linePitch="360"/>
        </w:sectPr>
      </w:pPr>
    </w:p>
    <w:p w14:paraId="0FFD56F5" w14:textId="1D337710" w:rsidR="00F8101A" w:rsidRPr="00EF0F51" w:rsidRDefault="00EF0F51" w:rsidP="00EF0F51">
      <w:pPr>
        <w:pStyle w:val="Heading4"/>
      </w:pPr>
      <w:r>
        <w:lastRenderedPageBreak/>
        <w:t>A</w:t>
      </w:r>
      <w:r w:rsidR="00F8101A" w:rsidRPr="00EF0F51">
        <w:t>dditional studies identified by FSANZ</w:t>
      </w:r>
    </w:p>
    <w:p w14:paraId="28C134B5" w14:textId="665DF22F" w:rsidR="00F8101A" w:rsidRPr="000C4C17" w:rsidRDefault="00F8101A" w:rsidP="00A111E9">
      <w:pPr>
        <w:widowControl/>
        <w:rPr>
          <w:rFonts w:eastAsiaTheme="minorHAnsi" w:cstheme="minorBidi"/>
          <w:szCs w:val="22"/>
          <w:lang w:bidi="ar-SA"/>
        </w:rPr>
      </w:pPr>
      <w:r w:rsidRPr="000C4C17">
        <w:rPr>
          <w:rFonts w:eastAsiaTheme="minorHAnsi" w:cstheme="minorBidi"/>
          <w:szCs w:val="22"/>
          <w:lang w:bidi="ar-SA"/>
        </w:rPr>
        <w:t xml:space="preserve">FSANZ examined several other sources and identified some additional, including recent, studies (Table </w:t>
      </w:r>
      <w:r w:rsidR="006B1629" w:rsidRPr="000C4C17">
        <w:rPr>
          <w:rFonts w:eastAsiaTheme="minorHAnsi" w:cstheme="minorBidi"/>
          <w:szCs w:val="22"/>
          <w:lang w:bidi="ar-SA"/>
        </w:rPr>
        <w:t>A1.</w:t>
      </w:r>
      <w:r w:rsidRPr="000C4C17">
        <w:rPr>
          <w:rFonts w:eastAsiaTheme="minorHAnsi" w:cstheme="minorBidi"/>
          <w:szCs w:val="22"/>
          <w:lang w:bidi="ar-SA"/>
        </w:rPr>
        <w:t xml:space="preserve">3). A recent book referred to one paper (So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2006)</w:t>
      </w:r>
      <w:r w:rsidR="00186092">
        <w:rPr>
          <w:rFonts w:eastAsiaTheme="minorHAnsi" w:cstheme="minorBidi"/>
          <w:szCs w:val="22"/>
          <w:lang w:bidi="ar-SA"/>
        </w:rPr>
        <w:t xml:space="preserve"> which was subsequently excluded because it did not measure PFAS in blood</w:t>
      </w:r>
      <w:r w:rsidRPr="000C4C17">
        <w:rPr>
          <w:rFonts w:eastAsiaTheme="minorHAnsi" w:cstheme="minorBidi"/>
          <w:szCs w:val="22"/>
          <w:lang w:bidi="ar-SA"/>
        </w:rPr>
        <w:t xml:space="preserve">. </w:t>
      </w:r>
      <w:r w:rsidR="00186092">
        <w:rPr>
          <w:rFonts w:eastAsiaTheme="minorHAnsi" w:cstheme="minorBidi"/>
          <w:szCs w:val="22"/>
          <w:lang w:bidi="ar-SA"/>
        </w:rPr>
        <w:t xml:space="preserve">A search of reference lists in the papers in Table A1.2 did </w:t>
      </w:r>
      <w:r w:rsidR="00790A0E">
        <w:rPr>
          <w:rFonts w:eastAsiaTheme="minorHAnsi" w:cstheme="minorBidi"/>
          <w:szCs w:val="22"/>
          <w:lang w:bidi="ar-SA"/>
        </w:rPr>
        <w:t>not yield any additional papers</w:t>
      </w:r>
      <w:r w:rsidR="00186092">
        <w:rPr>
          <w:rFonts w:eastAsiaTheme="minorHAnsi" w:cstheme="minorBidi"/>
          <w:szCs w:val="22"/>
          <w:lang w:bidi="ar-SA"/>
        </w:rPr>
        <w:t xml:space="preserve"> </w:t>
      </w:r>
      <w:r w:rsidRPr="000C4C17">
        <w:rPr>
          <w:rFonts w:eastAsiaTheme="minorHAnsi" w:cstheme="minorBidi"/>
          <w:szCs w:val="22"/>
          <w:lang w:bidi="ar-SA"/>
        </w:rPr>
        <w:t xml:space="preserve">. </w:t>
      </w:r>
      <w:r w:rsidR="00F0598F" w:rsidRPr="000C4C17">
        <w:rPr>
          <w:rFonts w:eastAsiaTheme="minorHAnsi" w:cstheme="minorBidi"/>
          <w:szCs w:val="22"/>
          <w:lang w:bidi="ar-SA"/>
        </w:rPr>
        <w:t xml:space="preserve">One of the searches given by Johnson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00F0598F" w:rsidRPr="000C4C17">
        <w:rPr>
          <w:rFonts w:eastAsiaTheme="minorHAnsi" w:cstheme="minorBidi"/>
          <w:szCs w:val="22"/>
          <w:lang w:bidi="ar-SA"/>
        </w:rPr>
        <w:t xml:space="preserve">(2014) was updated </w:t>
      </w:r>
      <w:r w:rsidR="008741B5">
        <w:rPr>
          <w:rFonts w:eastAsiaTheme="minorHAnsi" w:cstheme="minorBidi"/>
          <w:szCs w:val="22"/>
          <w:lang w:bidi="ar-SA"/>
        </w:rPr>
        <w:t>in PubMed</w:t>
      </w:r>
      <w:r w:rsidR="00186092">
        <w:rPr>
          <w:rFonts w:eastAsiaTheme="minorHAnsi" w:cstheme="minorBidi"/>
          <w:szCs w:val="22"/>
          <w:lang w:bidi="ar-SA"/>
        </w:rPr>
        <w:t xml:space="preserve"> </w:t>
      </w:r>
      <w:r w:rsidR="00F0598F" w:rsidRPr="000C4C17">
        <w:rPr>
          <w:rFonts w:eastAsiaTheme="minorHAnsi" w:cstheme="minorBidi"/>
          <w:szCs w:val="22"/>
          <w:lang w:bidi="ar-SA"/>
        </w:rPr>
        <w:t>(see Annex</w:t>
      </w:r>
      <w:r w:rsidR="002F1039">
        <w:rPr>
          <w:rFonts w:eastAsiaTheme="minorHAnsi" w:cstheme="minorBidi"/>
          <w:szCs w:val="22"/>
          <w:lang w:bidi="ar-SA"/>
        </w:rPr>
        <w:t xml:space="preserve"> for search criteria and paper screening</w:t>
      </w:r>
      <w:r w:rsidR="00F0598F" w:rsidRPr="000C4C17">
        <w:rPr>
          <w:rFonts w:eastAsiaTheme="minorHAnsi" w:cstheme="minorBidi"/>
          <w:szCs w:val="22"/>
          <w:lang w:bidi="ar-SA"/>
        </w:rPr>
        <w:t>).</w:t>
      </w:r>
      <w:r w:rsidR="002F1039">
        <w:rPr>
          <w:rFonts w:eastAsiaTheme="minorHAnsi" w:cstheme="minorBidi"/>
          <w:szCs w:val="22"/>
          <w:lang w:bidi="ar-SA"/>
        </w:rPr>
        <w:t xml:space="preserve"> Serveral studies were published </w:t>
      </w:r>
      <w:r w:rsidR="00186092">
        <w:rPr>
          <w:rFonts w:eastAsiaTheme="minorHAnsi" w:cstheme="minorBidi"/>
          <w:szCs w:val="22"/>
          <w:lang w:bidi="ar-SA"/>
        </w:rPr>
        <w:t xml:space="preserve">between the </w:t>
      </w:r>
      <w:r w:rsidR="002F1039">
        <w:rPr>
          <w:rFonts w:eastAsiaTheme="minorHAnsi" w:cstheme="minorBidi"/>
          <w:szCs w:val="22"/>
          <w:lang w:bidi="ar-SA"/>
        </w:rPr>
        <w:t>initial search</w:t>
      </w:r>
      <w:r w:rsidR="00186092">
        <w:rPr>
          <w:rFonts w:eastAsiaTheme="minorHAnsi" w:cstheme="minorBidi"/>
          <w:szCs w:val="22"/>
          <w:lang w:bidi="ar-SA"/>
        </w:rPr>
        <w:t xml:space="preserve"> in</w:t>
      </w:r>
      <w:r w:rsidR="002F1039">
        <w:rPr>
          <w:rFonts w:eastAsiaTheme="minorHAnsi" w:cstheme="minorBidi"/>
          <w:szCs w:val="22"/>
          <w:lang w:bidi="ar-SA"/>
        </w:rPr>
        <w:t xml:space="preserve"> November 2016</w:t>
      </w:r>
      <w:r w:rsidR="00186092">
        <w:rPr>
          <w:rFonts w:eastAsiaTheme="minorHAnsi" w:cstheme="minorBidi"/>
          <w:szCs w:val="22"/>
          <w:lang w:bidi="ar-SA"/>
        </w:rPr>
        <w:t xml:space="preserve"> and the final search a month later</w:t>
      </w:r>
      <w:r w:rsidR="002F1039">
        <w:rPr>
          <w:rFonts w:eastAsiaTheme="minorHAnsi" w:cstheme="minorBidi"/>
          <w:szCs w:val="22"/>
          <w:lang w:bidi="ar-SA"/>
        </w:rPr>
        <w:t xml:space="preserve">. </w:t>
      </w:r>
    </w:p>
    <w:p w14:paraId="170FBB34" w14:textId="77777777" w:rsidR="00F8101A" w:rsidRPr="000C4C17" w:rsidRDefault="00F8101A" w:rsidP="00A111E9">
      <w:pPr>
        <w:widowControl/>
        <w:rPr>
          <w:rFonts w:eastAsiaTheme="minorHAnsi" w:cstheme="minorBidi"/>
          <w:szCs w:val="22"/>
          <w:lang w:bidi="ar-SA"/>
        </w:rPr>
      </w:pPr>
    </w:p>
    <w:p w14:paraId="518D7D40" w14:textId="7589546B" w:rsidR="00F8101A" w:rsidRPr="000C4C17" w:rsidRDefault="00F8101A" w:rsidP="00A111E9">
      <w:pPr>
        <w:pStyle w:val="FSTableTitle"/>
        <w:rPr>
          <w:rFonts w:eastAsiaTheme="minorHAnsi" w:cstheme="minorBidi"/>
          <w:szCs w:val="22"/>
          <w:lang w:bidi="ar-SA"/>
        </w:rPr>
      </w:pPr>
      <w:r w:rsidRPr="000C4C17">
        <w:rPr>
          <w:rFonts w:eastAsiaTheme="minorHAnsi"/>
        </w:rPr>
        <w:t xml:space="preserve">Table </w:t>
      </w:r>
      <w:r w:rsidR="006B1629" w:rsidRPr="000C4C17">
        <w:rPr>
          <w:rFonts w:eastAsiaTheme="minorHAnsi"/>
          <w:lang w:bidi="ar-SA"/>
        </w:rPr>
        <w:t>A1.</w:t>
      </w:r>
      <w:r w:rsidRPr="000C4C17">
        <w:rPr>
          <w:rFonts w:eastAsiaTheme="minorHAnsi"/>
        </w:rPr>
        <w:t>3 Additional studies identified by FSANZ and FSANZ’s decision about their inclusion or exclusion from this review</w:t>
      </w:r>
    </w:p>
    <w:p w14:paraId="3C0AE567" w14:textId="77777777" w:rsidR="00F8101A" w:rsidRPr="000C4C17" w:rsidRDefault="00F8101A" w:rsidP="00A111E9">
      <w:pPr>
        <w:widowControl/>
        <w:rPr>
          <w:rFonts w:eastAsiaTheme="minorHAnsi" w:cstheme="minorBidi"/>
          <w:szCs w:val="22"/>
          <w:lang w:bidi="ar-SA"/>
        </w:rPr>
      </w:pPr>
    </w:p>
    <w:tbl>
      <w:tblPr>
        <w:tblStyle w:val="TableGrid9"/>
        <w:tblpPr w:leftFromText="180" w:rightFromText="180" w:vertAnchor="text" w:horzAnchor="margin" w:tblpXSpec="center" w:tblpY="-39"/>
        <w:tblW w:w="9039" w:type="dxa"/>
        <w:tblLayout w:type="fixed"/>
        <w:tblLook w:val="04A0" w:firstRow="1" w:lastRow="0" w:firstColumn="1" w:lastColumn="0" w:noHBand="0" w:noVBand="1"/>
        <w:tblCaption w:val="Table A1.3 Additional studies identified by FSANZ and FSANZ’s decision about their inclusion or exclusion from this review"/>
        <w:tblDescription w:val="This table contains data relating to additional studies identified by FSANZ and FSANZ’s decision about their inclusion or exclusion from this review."/>
      </w:tblPr>
      <w:tblGrid>
        <w:gridCol w:w="1101"/>
        <w:gridCol w:w="773"/>
        <w:gridCol w:w="1211"/>
        <w:gridCol w:w="992"/>
        <w:gridCol w:w="950"/>
        <w:gridCol w:w="1061"/>
        <w:gridCol w:w="2199"/>
        <w:gridCol w:w="752"/>
      </w:tblGrid>
      <w:tr w:rsidR="00F8101A" w:rsidRPr="000C4C17" w14:paraId="62495495" w14:textId="77777777" w:rsidTr="000830C5">
        <w:trPr>
          <w:cantSplit/>
          <w:trHeight w:val="987"/>
          <w:tblHeader/>
        </w:trPr>
        <w:tc>
          <w:tcPr>
            <w:tcW w:w="1101" w:type="dxa"/>
            <w:vAlign w:val="center"/>
          </w:tcPr>
          <w:p w14:paraId="090F8281" w14:textId="024BA6FB" w:rsidR="00F8101A" w:rsidRPr="000C4C17" w:rsidRDefault="00F8101A" w:rsidP="00A111E9">
            <w:pPr>
              <w:widowControl/>
              <w:spacing w:before="100" w:beforeAutospacing="1" w:after="100" w:afterAutospacing="1"/>
              <w:rPr>
                <w:rFonts w:eastAsiaTheme="minorHAnsi"/>
                <w:b/>
                <w:sz w:val="18"/>
              </w:rPr>
            </w:pPr>
            <w:r w:rsidRPr="000C4C17">
              <w:rPr>
                <w:rFonts w:eastAsiaTheme="minorHAnsi"/>
                <w:b/>
                <w:sz w:val="18"/>
              </w:rPr>
              <w:t xml:space="preserve">First </w:t>
            </w:r>
            <w:r w:rsidR="00986779">
              <w:rPr>
                <w:rFonts w:eastAsiaTheme="minorHAnsi"/>
                <w:b/>
                <w:sz w:val="18"/>
              </w:rPr>
              <w:t>a</w:t>
            </w:r>
            <w:r w:rsidRPr="000C4C17">
              <w:rPr>
                <w:rFonts w:eastAsiaTheme="minorHAnsi"/>
                <w:b/>
                <w:sz w:val="18"/>
              </w:rPr>
              <w:t>uthor</w:t>
            </w:r>
          </w:p>
        </w:tc>
        <w:tc>
          <w:tcPr>
            <w:tcW w:w="773" w:type="dxa"/>
            <w:textDirection w:val="btLr"/>
            <w:vAlign w:val="center"/>
          </w:tcPr>
          <w:p w14:paraId="330E396C" w14:textId="77777777" w:rsidR="00F8101A" w:rsidRPr="000C4C17" w:rsidRDefault="00F8101A" w:rsidP="00A111E9">
            <w:pPr>
              <w:widowControl/>
              <w:spacing w:before="100" w:beforeAutospacing="1" w:after="100" w:afterAutospacing="1"/>
              <w:rPr>
                <w:rFonts w:eastAsiaTheme="minorHAnsi"/>
                <w:b/>
                <w:sz w:val="18"/>
              </w:rPr>
            </w:pPr>
            <w:r w:rsidRPr="000C4C17">
              <w:rPr>
                <w:rFonts w:eastAsiaTheme="minorHAnsi"/>
                <w:b/>
                <w:sz w:val="18"/>
              </w:rPr>
              <w:t>Year of publication</w:t>
            </w:r>
          </w:p>
        </w:tc>
        <w:tc>
          <w:tcPr>
            <w:tcW w:w="1211" w:type="dxa"/>
            <w:vAlign w:val="center"/>
          </w:tcPr>
          <w:p w14:paraId="43BDC4AB" w14:textId="77777777" w:rsidR="00F8101A" w:rsidRPr="000C4C17" w:rsidRDefault="00F8101A" w:rsidP="00A111E9">
            <w:pPr>
              <w:widowControl/>
              <w:spacing w:before="100" w:beforeAutospacing="1" w:after="100" w:afterAutospacing="1"/>
              <w:rPr>
                <w:rFonts w:eastAsiaTheme="minorHAnsi"/>
                <w:b/>
                <w:sz w:val="18"/>
              </w:rPr>
            </w:pPr>
            <w:r w:rsidRPr="000C4C17">
              <w:rPr>
                <w:rFonts w:eastAsiaTheme="minorHAnsi"/>
                <w:b/>
                <w:sz w:val="18"/>
              </w:rPr>
              <w:t>Location of study</w:t>
            </w:r>
          </w:p>
        </w:tc>
        <w:tc>
          <w:tcPr>
            <w:tcW w:w="992" w:type="dxa"/>
            <w:vAlign w:val="center"/>
          </w:tcPr>
          <w:p w14:paraId="622EA531" w14:textId="77777777" w:rsidR="00F8101A" w:rsidRPr="000C4C17" w:rsidRDefault="00F8101A" w:rsidP="00A111E9">
            <w:pPr>
              <w:widowControl/>
              <w:spacing w:before="100" w:beforeAutospacing="1" w:after="100" w:afterAutospacing="1"/>
              <w:rPr>
                <w:rFonts w:eastAsiaTheme="minorHAnsi"/>
                <w:b/>
                <w:sz w:val="18"/>
              </w:rPr>
            </w:pPr>
            <w:r w:rsidRPr="000C4C17">
              <w:rPr>
                <w:rFonts w:eastAsiaTheme="minorHAnsi"/>
                <w:b/>
                <w:sz w:val="18"/>
              </w:rPr>
              <w:t>Study</w:t>
            </w:r>
          </w:p>
        </w:tc>
        <w:tc>
          <w:tcPr>
            <w:tcW w:w="950" w:type="dxa"/>
            <w:textDirection w:val="btLr"/>
            <w:vAlign w:val="center"/>
          </w:tcPr>
          <w:p w14:paraId="3284372C" w14:textId="77777777" w:rsidR="00F8101A" w:rsidRPr="000C4C17" w:rsidRDefault="00F8101A" w:rsidP="00A111E9">
            <w:pPr>
              <w:widowControl/>
              <w:spacing w:before="100" w:beforeAutospacing="1" w:after="100" w:afterAutospacing="1"/>
              <w:rPr>
                <w:rFonts w:eastAsiaTheme="minorHAnsi"/>
                <w:b/>
                <w:sz w:val="18"/>
              </w:rPr>
            </w:pPr>
            <w:r w:rsidRPr="000C4C17">
              <w:rPr>
                <w:rFonts w:eastAsiaTheme="minorHAnsi"/>
                <w:b/>
                <w:sz w:val="18"/>
              </w:rPr>
              <w:t>Year of data collection</w:t>
            </w:r>
          </w:p>
        </w:tc>
        <w:tc>
          <w:tcPr>
            <w:tcW w:w="1061" w:type="dxa"/>
            <w:vAlign w:val="center"/>
          </w:tcPr>
          <w:p w14:paraId="331DD368" w14:textId="77777777" w:rsidR="006A7507" w:rsidRPr="000C4C17" w:rsidRDefault="006A7507" w:rsidP="00647943">
            <w:pPr>
              <w:widowControl/>
              <w:spacing w:before="100" w:beforeAutospacing="1" w:after="100" w:afterAutospacing="1"/>
              <w:jc w:val="right"/>
              <w:rPr>
                <w:rFonts w:eastAsiaTheme="minorHAnsi" w:cs="Arial"/>
                <w:b/>
                <w:sz w:val="18"/>
                <w:szCs w:val="20"/>
                <w:lang w:bidi="ar-SA"/>
              </w:rPr>
            </w:pPr>
          </w:p>
          <w:p w14:paraId="52ABE05C" w14:textId="7F837D12" w:rsidR="00F8101A" w:rsidRPr="000C4C17" w:rsidRDefault="006A7507" w:rsidP="00647943">
            <w:pPr>
              <w:widowControl/>
              <w:spacing w:before="100" w:beforeAutospacing="1" w:after="100" w:afterAutospacing="1"/>
              <w:jc w:val="right"/>
              <w:rPr>
                <w:rFonts w:eastAsiaTheme="minorHAnsi"/>
                <w:b/>
                <w:sz w:val="18"/>
              </w:rPr>
            </w:pPr>
            <w:r w:rsidRPr="000C4C17">
              <w:rPr>
                <w:rFonts w:eastAsiaTheme="minorHAnsi" w:cs="Arial"/>
                <w:b/>
                <w:sz w:val="18"/>
                <w:szCs w:val="20"/>
                <w:lang w:bidi="ar-SA"/>
              </w:rPr>
              <w:t>n</w:t>
            </w:r>
            <w:r w:rsidRPr="000C4C17">
              <w:rPr>
                <w:rFonts w:eastAsiaTheme="minorHAnsi"/>
                <w:b/>
                <w:sz w:val="18"/>
              </w:rPr>
              <w:t xml:space="preserve"> </w:t>
            </w:r>
            <w:r w:rsidR="00F8101A" w:rsidRPr="000C4C17">
              <w:rPr>
                <w:rFonts w:eastAsiaTheme="minorHAnsi"/>
                <w:b/>
                <w:sz w:val="18"/>
              </w:rPr>
              <w:t>subjects</w:t>
            </w:r>
          </w:p>
        </w:tc>
        <w:tc>
          <w:tcPr>
            <w:tcW w:w="2199" w:type="dxa"/>
            <w:vAlign w:val="center"/>
          </w:tcPr>
          <w:p w14:paraId="26CB15B2" w14:textId="77777777" w:rsidR="00F8101A" w:rsidRPr="000C4C17" w:rsidRDefault="00F8101A" w:rsidP="00A111E9">
            <w:pPr>
              <w:widowControl/>
              <w:spacing w:before="100" w:beforeAutospacing="1" w:after="100" w:afterAutospacing="1"/>
              <w:rPr>
                <w:rFonts w:eastAsiaTheme="minorHAnsi"/>
                <w:b/>
                <w:sz w:val="18"/>
              </w:rPr>
            </w:pPr>
            <w:r w:rsidRPr="000C4C17">
              <w:rPr>
                <w:rFonts w:eastAsiaTheme="minorHAnsi"/>
                <w:b/>
                <w:sz w:val="18"/>
              </w:rPr>
              <w:t>Reporting format</w:t>
            </w:r>
          </w:p>
        </w:tc>
        <w:tc>
          <w:tcPr>
            <w:tcW w:w="752" w:type="dxa"/>
            <w:textDirection w:val="btLr"/>
            <w:vAlign w:val="center"/>
          </w:tcPr>
          <w:p w14:paraId="580C1332" w14:textId="77777777" w:rsidR="00F8101A" w:rsidRPr="000C4C17" w:rsidRDefault="00F8101A" w:rsidP="00A111E9">
            <w:pPr>
              <w:widowControl/>
              <w:spacing w:before="100" w:beforeAutospacing="1" w:after="100" w:afterAutospacing="1"/>
              <w:ind w:left="113" w:right="113"/>
              <w:rPr>
                <w:rFonts w:eastAsiaTheme="minorHAnsi"/>
                <w:b/>
                <w:sz w:val="18"/>
              </w:rPr>
            </w:pPr>
            <w:r w:rsidRPr="000C4C17">
              <w:rPr>
                <w:rFonts w:eastAsiaTheme="minorHAnsi"/>
                <w:b/>
                <w:sz w:val="18"/>
              </w:rPr>
              <w:t>FSANZ</w:t>
            </w:r>
          </w:p>
        </w:tc>
      </w:tr>
      <w:tr w:rsidR="00F8101A" w:rsidRPr="000C4C17" w14:paraId="6CD83703" w14:textId="77777777" w:rsidTr="00667317">
        <w:trPr>
          <w:trHeight w:val="109"/>
        </w:trPr>
        <w:tc>
          <w:tcPr>
            <w:tcW w:w="1101" w:type="dxa"/>
            <w:vAlign w:val="center"/>
          </w:tcPr>
          <w:p w14:paraId="323EB5CA" w14:textId="77777777" w:rsidR="00F8101A" w:rsidRPr="000C4C17" w:rsidRDefault="00F8101A" w:rsidP="00A111E9">
            <w:pPr>
              <w:widowControl/>
              <w:spacing w:before="100" w:beforeAutospacing="1" w:after="100" w:afterAutospacing="1"/>
              <w:rPr>
                <w:rFonts w:eastAsiaTheme="minorHAnsi"/>
                <w:sz w:val="18"/>
              </w:rPr>
            </w:pPr>
            <w:r w:rsidRPr="000C4C17">
              <w:rPr>
                <w:rFonts w:eastAsiaTheme="minorHAnsi"/>
                <w:sz w:val="18"/>
              </w:rPr>
              <w:t>So</w:t>
            </w:r>
          </w:p>
        </w:tc>
        <w:tc>
          <w:tcPr>
            <w:tcW w:w="773" w:type="dxa"/>
            <w:vAlign w:val="center"/>
          </w:tcPr>
          <w:p w14:paraId="2AD0E22C" w14:textId="6A791430" w:rsidR="00F8101A" w:rsidRPr="000C4C17" w:rsidRDefault="00F8101A" w:rsidP="00A111E9">
            <w:pPr>
              <w:widowControl/>
              <w:spacing w:before="100" w:beforeAutospacing="1" w:after="100" w:afterAutospacing="1"/>
              <w:rPr>
                <w:rFonts w:eastAsiaTheme="minorHAnsi"/>
                <w:sz w:val="18"/>
              </w:rPr>
            </w:pPr>
            <w:r w:rsidRPr="000C4C17">
              <w:rPr>
                <w:rFonts w:eastAsiaTheme="minorHAnsi"/>
                <w:sz w:val="18"/>
              </w:rPr>
              <w:t>2006</w:t>
            </w:r>
          </w:p>
          <w:p w14:paraId="2A817905" w14:textId="77777777" w:rsidR="00F8101A" w:rsidRPr="000C4C17" w:rsidRDefault="00F8101A" w:rsidP="00A111E9">
            <w:pPr>
              <w:widowControl/>
              <w:spacing w:before="100" w:beforeAutospacing="1" w:after="100" w:afterAutospacing="1"/>
              <w:rPr>
                <w:rFonts w:eastAsiaTheme="minorHAnsi"/>
                <w:sz w:val="18"/>
              </w:rPr>
            </w:pPr>
          </w:p>
        </w:tc>
        <w:tc>
          <w:tcPr>
            <w:tcW w:w="1211" w:type="dxa"/>
            <w:vAlign w:val="center"/>
          </w:tcPr>
          <w:p w14:paraId="440C6FC9" w14:textId="77777777" w:rsidR="00F8101A" w:rsidRPr="000C4C17" w:rsidRDefault="00F8101A" w:rsidP="00A111E9">
            <w:pPr>
              <w:widowControl/>
              <w:spacing w:before="100" w:beforeAutospacing="1" w:after="100" w:afterAutospacing="1"/>
              <w:rPr>
                <w:rFonts w:eastAsiaTheme="minorHAnsi"/>
                <w:sz w:val="18"/>
              </w:rPr>
            </w:pPr>
            <w:r w:rsidRPr="000C4C17">
              <w:rPr>
                <w:rFonts w:eastAsiaTheme="minorHAnsi"/>
                <w:sz w:val="18"/>
              </w:rPr>
              <w:t>China</w:t>
            </w:r>
          </w:p>
        </w:tc>
        <w:tc>
          <w:tcPr>
            <w:tcW w:w="992" w:type="dxa"/>
            <w:vAlign w:val="center"/>
          </w:tcPr>
          <w:p w14:paraId="2C2949FD" w14:textId="77777777" w:rsidR="00F8101A" w:rsidRPr="000C4C17" w:rsidRDefault="00F8101A" w:rsidP="00A111E9">
            <w:pPr>
              <w:widowControl/>
              <w:spacing w:before="100" w:beforeAutospacing="1" w:after="100" w:afterAutospacing="1"/>
              <w:rPr>
                <w:rFonts w:eastAsiaTheme="minorHAnsi"/>
                <w:sz w:val="18"/>
              </w:rPr>
            </w:pPr>
            <w:r w:rsidRPr="000C4C17">
              <w:rPr>
                <w:rFonts w:eastAsiaTheme="minorHAnsi"/>
                <w:sz w:val="18"/>
              </w:rPr>
              <w:t>-</w:t>
            </w:r>
          </w:p>
        </w:tc>
        <w:tc>
          <w:tcPr>
            <w:tcW w:w="950" w:type="dxa"/>
            <w:vAlign w:val="center"/>
          </w:tcPr>
          <w:p w14:paraId="47082BD4" w14:textId="77777777" w:rsidR="00F8101A" w:rsidRPr="000C4C17" w:rsidRDefault="00F8101A" w:rsidP="00A111E9">
            <w:pPr>
              <w:widowControl/>
              <w:spacing w:before="100" w:beforeAutospacing="1" w:after="100" w:afterAutospacing="1"/>
              <w:rPr>
                <w:rFonts w:eastAsiaTheme="minorHAnsi"/>
                <w:sz w:val="18"/>
              </w:rPr>
            </w:pPr>
            <w:r w:rsidRPr="000C4C17">
              <w:rPr>
                <w:rFonts w:eastAsiaTheme="minorHAnsi"/>
                <w:sz w:val="18"/>
              </w:rPr>
              <w:t>2004</w:t>
            </w:r>
          </w:p>
        </w:tc>
        <w:tc>
          <w:tcPr>
            <w:tcW w:w="1061" w:type="dxa"/>
            <w:vAlign w:val="center"/>
          </w:tcPr>
          <w:p w14:paraId="1F863158" w14:textId="77777777" w:rsidR="00F8101A" w:rsidRPr="000C4C17" w:rsidRDefault="00F8101A" w:rsidP="00647943">
            <w:pPr>
              <w:widowControl/>
              <w:spacing w:before="100" w:beforeAutospacing="1" w:after="100" w:afterAutospacing="1"/>
              <w:jc w:val="right"/>
              <w:rPr>
                <w:rFonts w:eastAsiaTheme="minorHAnsi"/>
                <w:sz w:val="18"/>
              </w:rPr>
            </w:pPr>
            <w:r w:rsidRPr="000C4C17">
              <w:rPr>
                <w:rFonts w:eastAsiaTheme="minorHAnsi"/>
                <w:sz w:val="18"/>
              </w:rPr>
              <w:t>19</w:t>
            </w:r>
          </w:p>
        </w:tc>
        <w:tc>
          <w:tcPr>
            <w:tcW w:w="2199" w:type="dxa"/>
          </w:tcPr>
          <w:p w14:paraId="7A1FC1D3" w14:textId="7A970FF0" w:rsidR="00F8101A" w:rsidRPr="000C4C17" w:rsidRDefault="00F8101A" w:rsidP="00A111E9">
            <w:pPr>
              <w:widowControl/>
              <w:autoSpaceDE w:val="0"/>
              <w:autoSpaceDN w:val="0"/>
              <w:adjustRightInd w:val="0"/>
              <w:spacing w:before="100" w:beforeAutospacing="1" w:after="100" w:afterAutospacing="1"/>
              <w:rPr>
                <w:rFonts w:eastAsiaTheme="minorHAnsi"/>
                <w:color w:val="000000"/>
                <w:sz w:val="18"/>
              </w:rPr>
            </w:pPr>
            <w:r w:rsidRPr="000C4C17">
              <w:rPr>
                <w:rFonts w:eastAsiaTheme="minorHAnsi"/>
                <w:color w:val="000000"/>
                <w:sz w:val="18"/>
              </w:rPr>
              <w:t xml:space="preserve">No signification correlation between breast milk </w:t>
            </w:r>
            <w:r w:rsidR="00186092">
              <w:rPr>
                <w:rFonts w:eastAsiaTheme="minorHAnsi"/>
                <w:color w:val="000000"/>
                <w:sz w:val="18"/>
              </w:rPr>
              <w:t xml:space="preserve">PFAS </w:t>
            </w:r>
            <w:r w:rsidRPr="000C4C17">
              <w:rPr>
                <w:rFonts w:eastAsiaTheme="minorHAnsi"/>
                <w:color w:val="000000"/>
                <w:sz w:val="18"/>
              </w:rPr>
              <w:t xml:space="preserve">concentration and infant </w:t>
            </w:r>
            <w:r w:rsidRPr="002F1039">
              <w:rPr>
                <w:rFonts w:eastAsiaTheme="minorHAnsi"/>
                <w:color w:val="000000"/>
                <w:sz w:val="18"/>
              </w:rPr>
              <w:t>weight</w:t>
            </w:r>
            <w:r w:rsidRPr="000C4C17">
              <w:rPr>
                <w:rFonts w:eastAsiaTheme="minorHAnsi"/>
                <w:color w:val="000000"/>
                <w:sz w:val="18"/>
              </w:rPr>
              <w:t xml:space="preserve"> </w:t>
            </w:r>
          </w:p>
        </w:tc>
        <w:tc>
          <w:tcPr>
            <w:tcW w:w="752" w:type="dxa"/>
          </w:tcPr>
          <w:p w14:paraId="2F5BB915" w14:textId="77777777" w:rsidR="00F8101A" w:rsidRPr="000C4C17" w:rsidRDefault="00F8101A" w:rsidP="00A111E9">
            <w:pPr>
              <w:widowControl/>
              <w:spacing w:before="100" w:beforeAutospacing="1" w:after="100" w:afterAutospacing="1"/>
              <w:rPr>
                <w:rFonts w:eastAsiaTheme="minorHAnsi"/>
                <w:sz w:val="18"/>
              </w:rPr>
            </w:pPr>
            <w:r w:rsidRPr="000C4C17">
              <w:rPr>
                <w:rFonts w:eastAsiaTheme="minorHAnsi"/>
                <w:sz w:val="18"/>
              </w:rPr>
              <w:t>e</w:t>
            </w:r>
          </w:p>
        </w:tc>
      </w:tr>
      <w:tr w:rsidR="00F8101A" w:rsidRPr="000C4C17" w14:paraId="28A6FB7D" w14:textId="77777777" w:rsidTr="00667317">
        <w:trPr>
          <w:trHeight w:val="226"/>
        </w:trPr>
        <w:tc>
          <w:tcPr>
            <w:tcW w:w="1101" w:type="dxa"/>
            <w:vAlign w:val="center"/>
          </w:tcPr>
          <w:p w14:paraId="527B875F" w14:textId="77777777" w:rsidR="00F8101A" w:rsidRPr="000C4C17" w:rsidRDefault="00F8101A" w:rsidP="00A111E9">
            <w:pPr>
              <w:widowControl/>
              <w:spacing w:before="100" w:beforeAutospacing="1" w:after="100" w:afterAutospacing="1"/>
              <w:rPr>
                <w:rFonts w:eastAsiaTheme="minorHAnsi"/>
                <w:sz w:val="18"/>
              </w:rPr>
            </w:pPr>
            <w:r w:rsidRPr="000C4C17">
              <w:rPr>
                <w:rFonts w:eastAsiaTheme="minorHAnsi"/>
                <w:sz w:val="18"/>
              </w:rPr>
              <w:t>Kishi</w:t>
            </w:r>
          </w:p>
        </w:tc>
        <w:tc>
          <w:tcPr>
            <w:tcW w:w="773" w:type="dxa"/>
            <w:vAlign w:val="center"/>
          </w:tcPr>
          <w:p w14:paraId="68052C5D" w14:textId="77777777" w:rsidR="00F8101A" w:rsidRPr="000C4C17" w:rsidRDefault="00F8101A" w:rsidP="00A111E9">
            <w:pPr>
              <w:widowControl/>
              <w:spacing w:before="100" w:beforeAutospacing="1" w:after="100" w:afterAutospacing="1"/>
              <w:rPr>
                <w:rFonts w:eastAsiaTheme="minorHAnsi"/>
                <w:sz w:val="18"/>
              </w:rPr>
            </w:pPr>
            <w:r w:rsidRPr="000C4C17">
              <w:rPr>
                <w:rFonts w:eastAsiaTheme="minorHAnsi"/>
                <w:sz w:val="18"/>
              </w:rPr>
              <w:t>2015</w:t>
            </w:r>
          </w:p>
        </w:tc>
        <w:tc>
          <w:tcPr>
            <w:tcW w:w="1211" w:type="dxa"/>
            <w:vAlign w:val="center"/>
          </w:tcPr>
          <w:p w14:paraId="2983D85C" w14:textId="77777777" w:rsidR="00F8101A" w:rsidRPr="000C4C17" w:rsidRDefault="00F8101A" w:rsidP="00A111E9">
            <w:pPr>
              <w:widowControl/>
              <w:spacing w:before="100" w:beforeAutospacing="1" w:after="100" w:afterAutospacing="1"/>
              <w:rPr>
                <w:rFonts w:eastAsiaTheme="minorHAnsi"/>
                <w:sz w:val="18"/>
              </w:rPr>
            </w:pPr>
            <w:r w:rsidRPr="000C4C17">
              <w:rPr>
                <w:rFonts w:eastAsiaTheme="minorHAnsi"/>
                <w:sz w:val="18"/>
              </w:rPr>
              <w:t>Hokkaido, Japan</w:t>
            </w:r>
          </w:p>
        </w:tc>
        <w:tc>
          <w:tcPr>
            <w:tcW w:w="992" w:type="dxa"/>
            <w:vAlign w:val="center"/>
          </w:tcPr>
          <w:p w14:paraId="420FFC77" w14:textId="77777777" w:rsidR="00F8101A" w:rsidRPr="000C4C17" w:rsidRDefault="00F8101A" w:rsidP="00A111E9">
            <w:pPr>
              <w:widowControl/>
              <w:spacing w:before="100" w:beforeAutospacing="1" w:after="100" w:afterAutospacing="1"/>
              <w:rPr>
                <w:rFonts w:eastAsiaTheme="minorHAnsi"/>
                <w:sz w:val="18"/>
              </w:rPr>
            </w:pPr>
            <w:r w:rsidRPr="000C4C17">
              <w:rPr>
                <w:rFonts w:eastAsiaTheme="minorHAnsi"/>
                <w:sz w:val="18"/>
              </w:rPr>
              <w:t>Sapporo Toho</w:t>
            </w:r>
          </w:p>
        </w:tc>
        <w:tc>
          <w:tcPr>
            <w:tcW w:w="950" w:type="dxa"/>
            <w:vAlign w:val="center"/>
          </w:tcPr>
          <w:p w14:paraId="7A554029" w14:textId="77777777" w:rsidR="00F8101A" w:rsidRPr="000C4C17" w:rsidRDefault="00F8101A" w:rsidP="00A111E9">
            <w:pPr>
              <w:widowControl/>
              <w:spacing w:before="100" w:beforeAutospacing="1" w:after="100" w:afterAutospacing="1"/>
              <w:rPr>
                <w:rFonts w:eastAsiaTheme="minorHAnsi"/>
                <w:sz w:val="18"/>
              </w:rPr>
            </w:pPr>
            <w:r w:rsidRPr="000C4C17">
              <w:rPr>
                <w:rFonts w:eastAsiaTheme="minorHAnsi"/>
                <w:sz w:val="18"/>
              </w:rPr>
              <w:t>2002-5</w:t>
            </w:r>
          </w:p>
        </w:tc>
        <w:tc>
          <w:tcPr>
            <w:tcW w:w="1061" w:type="dxa"/>
            <w:vAlign w:val="center"/>
          </w:tcPr>
          <w:p w14:paraId="338B6A6B" w14:textId="77777777" w:rsidR="00F8101A" w:rsidRPr="000C4C17" w:rsidRDefault="00F8101A" w:rsidP="00647943">
            <w:pPr>
              <w:widowControl/>
              <w:spacing w:before="100" w:beforeAutospacing="1" w:after="100" w:afterAutospacing="1"/>
              <w:jc w:val="right"/>
              <w:rPr>
                <w:rFonts w:eastAsiaTheme="minorHAnsi"/>
                <w:sz w:val="18"/>
              </w:rPr>
            </w:pPr>
            <w:r w:rsidRPr="000C4C17">
              <w:rPr>
                <w:rFonts w:eastAsiaTheme="minorHAnsi"/>
                <w:sz w:val="18"/>
              </w:rPr>
              <w:t>306</w:t>
            </w:r>
          </w:p>
        </w:tc>
        <w:tc>
          <w:tcPr>
            <w:tcW w:w="2199" w:type="dxa"/>
            <w:vAlign w:val="center"/>
          </w:tcPr>
          <w:p w14:paraId="067E5893" w14:textId="3D20EE75" w:rsidR="00F8101A" w:rsidRPr="000C4C17" w:rsidRDefault="0027334C" w:rsidP="00A111E9">
            <w:pPr>
              <w:widowControl/>
              <w:spacing w:before="100" w:beforeAutospacing="1" w:after="100" w:afterAutospacing="1"/>
              <w:rPr>
                <w:rFonts w:eastAsiaTheme="minorHAnsi"/>
                <w:sz w:val="18"/>
              </w:rPr>
            </w:pPr>
            <w:r>
              <w:rPr>
                <w:rFonts w:eastAsiaTheme="minorHAnsi"/>
                <w:color w:val="000000"/>
                <w:sz w:val="18"/>
              </w:rPr>
              <w:t>P</w:t>
            </w:r>
            <w:r w:rsidR="00F8101A" w:rsidRPr="000C4C17">
              <w:rPr>
                <w:rFonts w:eastAsiaTheme="minorHAnsi"/>
                <w:color w:val="000000"/>
                <w:sz w:val="18"/>
              </w:rPr>
              <w:t>er log 10 unit of PFAS</w:t>
            </w:r>
          </w:p>
        </w:tc>
        <w:tc>
          <w:tcPr>
            <w:tcW w:w="752" w:type="dxa"/>
          </w:tcPr>
          <w:p w14:paraId="3818C0BE" w14:textId="77777777" w:rsidR="00F8101A" w:rsidRPr="000C4C17" w:rsidRDefault="00F8101A" w:rsidP="00A111E9">
            <w:pPr>
              <w:widowControl/>
              <w:spacing w:before="100" w:beforeAutospacing="1" w:after="100" w:afterAutospacing="1"/>
              <w:rPr>
                <w:rFonts w:eastAsiaTheme="minorHAnsi"/>
                <w:sz w:val="18"/>
              </w:rPr>
            </w:pPr>
            <w:r w:rsidRPr="000C4C17">
              <w:rPr>
                <w:rFonts w:eastAsiaTheme="minorHAnsi"/>
                <w:sz w:val="18"/>
              </w:rPr>
              <w:t>e</w:t>
            </w:r>
          </w:p>
        </w:tc>
      </w:tr>
      <w:tr w:rsidR="00F8101A" w:rsidRPr="000C4C17" w14:paraId="31438E42" w14:textId="77777777" w:rsidTr="00667317">
        <w:trPr>
          <w:trHeight w:val="460"/>
        </w:trPr>
        <w:tc>
          <w:tcPr>
            <w:tcW w:w="1101" w:type="dxa"/>
            <w:vAlign w:val="center"/>
          </w:tcPr>
          <w:p w14:paraId="290AA24F" w14:textId="77777777" w:rsidR="00F8101A" w:rsidRPr="000C4C17" w:rsidRDefault="00F8101A" w:rsidP="00A111E9">
            <w:pPr>
              <w:widowControl/>
              <w:spacing w:before="100" w:beforeAutospacing="1" w:after="100" w:afterAutospacing="1"/>
              <w:rPr>
                <w:rFonts w:eastAsiaTheme="minorHAnsi"/>
                <w:sz w:val="18"/>
              </w:rPr>
            </w:pPr>
            <w:r w:rsidRPr="000C4C17">
              <w:rPr>
                <w:rFonts w:eastAsiaTheme="minorHAnsi"/>
                <w:sz w:val="18"/>
              </w:rPr>
              <w:t>Robeldo</w:t>
            </w:r>
          </w:p>
        </w:tc>
        <w:tc>
          <w:tcPr>
            <w:tcW w:w="773" w:type="dxa"/>
            <w:vAlign w:val="center"/>
          </w:tcPr>
          <w:p w14:paraId="18017782" w14:textId="77777777" w:rsidR="00F8101A" w:rsidRPr="000C4C17" w:rsidRDefault="00F8101A" w:rsidP="00A111E9">
            <w:pPr>
              <w:widowControl/>
              <w:spacing w:before="100" w:beforeAutospacing="1" w:after="100" w:afterAutospacing="1"/>
              <w:rPr>
                <w:rFonts w:eastAsiaTheme="minorHAnsi"/>
                <w:sz w:val="18"/>
              </w:rPr>
            </w:pPr>
            <w:r w:rsidRPr="000C4C17">
              <w:rPr>
                <w:rFonts w:eastAsiaTheme="minorHAnsi"/>
                <w:sz w:val="18"/>
              </w:rPr>
              <w:t>2015</w:t>
            </w:r>
          </w:p>
        </w:tc>
        <w:tc>
          <w:tcPr>
            <w:tcW w:w="1211" w:type="dxa"/>
            <w:vAlign w:val="center"/>
          </w:tcPr>
          <w:p w14:paraId="0B5282A8" w14:textId="77777777" w:rsidR="00F8101A" w:rsidRPr="000C4C17" w:rsidRDefault="00F8101A" w:rsidP="00A111E9">
            <w:pPr>
              <w:widowControl/>
              <w:spacing w:before="100" w:beforeAutospacing="1" w:after="100" w:afterAutospacing="1"/>
              <w:rPr>
                <w:rFonts w:eastAsiaTheme="minorHAnsi"/>
                <w:sz w:val="18"/>
              </w:rPr>
            </w:pPr>
            <w:r w:rsidRPr="000C4C17">
              <w:rPr>
                <w:rFonts w:eastAsiaTheme="minorHAnsi"/>
                <w:sz w:val="18"/>
              </w:rPr>
              <w:t>Michigan and Texas, US</w:t>
            </w:r>
          </w:p>
        </w:tc>
        <w:tc>
          <w:tcPr>
            <w:tcW w:w="992" w:type="dxa"/>
            <w:vAlign w:val="center"/>
          </w:tcPr>
          <w:p w14:paraId="776B24FE" w14:textId="77777777" w:rsidR="00F8101A" w:rsidRPr="000C4C17" w:rsidRDefault="00F8101A" w:rsidP="00A111E9">
            <w:pPr>
              <w:widowControl/>
              <w:spacing w:before="100" w:beforeAutospacing="1" w:after="100" w:afterAutospacing="1"/>
              <w:rPr>
                <w:rFonts w:eastAsiaTheme="minorHAnsi"/>
                <w:sz w:val="18"/>
              </w:rPr>
            </w:pPr>
            <w:r w:rsidRPr="000C4C17">
              <w:rPr>
                <w:rFonts w:eastAsiaTheme="minorHAnsi"/>
                <w:sz w:val="18"/>
              </w:rPr>
              <w:t>LIFE</w:t>
            </w:r>
          </w:p>
        </w:tc>
        <w:tc>
          <w:tcPr>
            <w:tcW w:w="950" w:type="dxa"/>
            <w:vAlign w:val="center"/>
          </w:tcPr>
          <w:p w14:paraId="64772CCA" w14:textId="77777777" w:rsidR="00F8101A" w:rsidRPr="000C4C17" w:rsidRDefault="00F8101A" w:rsidP="00A111E9">
            <w:pPr>
              <w:widowControl/>
              <w:spacing w:before="100" w:beforeAutospacing="1" w:after="100" w:afterAutospacing="1"/>
              <w:rPr>
                <w:rFonts w:eastAsiaTheme="minorHAnsi"/>
                <w:sz w:val="18"/>
              </w:rPr>
            </w:pPr>
            <w:r w:rsidRPr="000C4C17">
              <w:rPr>
                <w:rFonts w:eastAsiaTheme="minorHAnsi"/>
                <w:sz w:val="18"/>
              </w:rPr>
              <w:t>2005-9</w:t>
            </w:r>
          </w:p>
        </w:tc>
        <w:tc>
          <w:tcPr>
            <w:tcW w:w="1061" w:type="dxa"/>
            <w:vAlign w:val="center"/>
          </w:tcPr>
          <w:p w14:paraId="4AFE3FA3" w14:textId="77777777" w:rsidR="00F8101A" w:rsidRPr="000C4C17" w:rsidRDefault="00F8101A" w:rsidP="00647943">
            <w:pPr>
              <w:widowControl/>
              <w:spacing w:before="100" w:beforeAutospacing="1" w:after="100" w:afterAutospacing="1"/>
              <w:jc w:val="right"/>
              <w:rPr>
                <w:rFonts w:eastAsiaTheme="minorHAnsi"/>
                <w:sz w:val="18"/>
              </w:rPr>
            </w:pPr>
            <w:r w:rsidRPr="000C4C17">
              <w:rPr>
                <w:rFonts w:eastAsiaTheme="minorHAnsi"/>
                <w:sz w:val="18"/>
              </w:rPr>
              <w:t>230</w:t>
            </w:r>
          </w:p>
        </w:tc>
        <w:tc>
          <w:tcPr>
            <w:tcW w:w="2199" w:type="dxa"/>
            <w:vAlign w:val="center"/>
          </w:tcPr>
          <w:p w14:paraId="16DC2C88" w14:textId="3368E23C" w:rsidR="00F8101A" w:rsidRPr="000C4C17" w:rsidRDefault="00F8101A" w:rsidP="002F1039">
            <w:pPr>
              <w:widowControl/>
              <w:spacing w:before="100" w:beforeAutospacing="1" w:after="100" w:afterAutospacing="1"/>
              <w:rPr>
                <w:rFonts w:eastAsiaTheme="minorHAnsi"/>
                <w:sz w:val="18"/>
              </w:rPr>
            </w:pPr>
            <w:r w:rsidRPr="000C4C17">
              <w:rPr>
                <w:rFonts w:eastAsiaTheme="minorHAnsi"/>
                <w:sz w:val="18"/>
              </w:rPr>
              <w:t xml:space="preserve">Per 1 </w:t>
            </w:r>
            <w:r w:rsidR="002F1039">
              <w:rPr>
                <w:rFonts w:eastAsiaTheme="minorHAnsi"/>
                <w:sz w:val="18"/>
              </w:rPr>
              <w:t>standard deviation</w:t>
            </w:r>
            <w:r w:rsidRPr="000C4C17">
              <w:rPr>
                <w:rFonts w:eastAsiaTheme="minorHAnsi"/>
                <w:sz w:val="18"/>
              </w:rPr>
              <w:t xml:space="preserve"> of the natural log of PFAS</w:t>
            </w:r>
          </w:p>
        </w:tc>
        <w:tc>
          <w:tcPr>
            <w:tcW w:w="752" w:type="dxa"/>
          </w:tcPr>
          <w:p w14:paraId="17A5087E" w14:textId="77777777" w:rsidR="00F8101A" w:rsidRPr="000C4C17" w:rsidRDefault="00F8101A" w:rsidP="00A111E9">
            <w:pPr>
              <w:widowControl/>
              <w:spacing w:before="100" w:beforeAutospacing="1" w:after="100" w:afterAutospacing="1"/>
              <w:rPr>
                <w:rFonts w:eastAsiaTheme="minorHAnsi"/>
                <w:sz w:val="18"/>
              </w:rPr>
            </w:pPr>
            <w:r w:rsidRPr="000C4C17">
              <w:rPr>
                <w:rFonts w:eastAsiaTheme="minorHAnsi"/>
                <w:sz w:val="18"/>
              </w:rPr>
              <w:t>q</w:t>
            </w:r>
          </w:p>
        </w:tc>
      </w:tr>
      <w:tr w:rsidR="00F8101A" w:rsidRPr="000C4C17" w14:paraId="01BD567C" w14:textId="77777777" w:rsidTr="00667317">
        <w:trPr>
          <w:trHeight w:val="343"/>
        </w:trPr>
        <w:tc>
          <w:tcPr>
            <w:tcW w:w="1101" w:type="dxa"/>
            <w:vAlign w:val="center"/>
          </w:tcPr>
          <w:p w14:paraId="07B55492" w14:textId="77777777" w:rsidR="00F8101A" w:rsidRPr="000C4C17" w:rsidRDefault="00F8101A" w:rsidP="00A111E9">
            <w:pPr>
              <w:widowControl/>
              <w:spacing w:before="100" w:beforeAutospacing="1" w:after="100" w:afterAutospacing="1"/>
              <w:rPr>
                <w:rFonts w:eastAsiaTheme="minorHAnsi"/>
                <w:sz w:val="18"/>
              </w:rPr>
            </w:pPr>
            <w:r w:rsidRPr="000C4C17">
              <w:rPr>
                <w:rFonts w:eastAsiaTheme="minorHAnsi"/>
                <w:sz w:val="18"/>
              </w:rPr>
              <w:t>Bach</w:t>
            </w:r>
          </w:p>
        </w:tc>
        <w:tc>
          <w:tcPr>
            <w:tcW w:w="773" w:type="dxa"/>
            <w:vAlign w:val="center"/>
          </w:tcPr>
          <w:p w14:paraId="527A094E" w14:textId="77777777" w:rsidR="00F8101A" w:rsidRPr="000C4C17" w:rsidRDefault="00F8101A" w:rsidP="00A111E9">
            <w:pPr>
              <w:widowControl/>
              <w:spacing w:before="100" w:beforeAutospacing="1" w:after="100" w:afterAutospacing="1"/>
              <w:rPr>
                <w:rFonts w:eastAsiaTheme="minorHAnsi"/>
                <w:sz w:val="18"/>
              </w:rPr>
            </w:pPr>
            <w:r w:rsidRPr="000C4C17">
              <w:rPr>
                <w:rFonts w:eastAsiaTheme="minorHAnsi"/>
                <w:sz w:val="18"/>
              </w:rPr>
              <w:t>2016</w:t>
            </w:r>
          </w:p>
        </w:tc>
        <w:tc>
          <w:tcPr>
            <w:tcW w:w="1211" w:type="dxa"/>
            <w:vAlign w:val="center"/>
          </w:tcPr>
          <w:p w14:paraId="2EC3CBE1" w14:textId="77777777" w:rsidR="00F8101A" w:rsidRPr="000C4C17" w:rsidRDefault="00F8101A" w:rsidP="00A111E9">
            <w:pPr>
              <w:widowControl/>
              <w:spacing w:before="100" w:beforeAutospacing="1" w:after="100" w:afterAutospacing="1"/>
              <w:rPr>
                <w:rFonts w:eastAsiaTheme="minorHAnsi"/>
                <w:sz w:val="18"/>
              </w:rPr>
            </w:pPr>
            <w:r w:rsidRPr="000C4C17">
              <w:rPr>
                <w:rFonts w:eastAsiaTheme="minorHAnsi"/>
                <w:sz w:val="18"/>
              </w:rPr>
              <w:t>Denmark</w:t>
            </w:r>
          </w:p>
        </w:tc>
        <w:tc>
          <w:tcPr>
            <w:tcW w:w="992" w:type="dxa"/>
            <w:vAlign w:val="center"/>
          </w:tcPr>
          <w:p w14:paraId="287148B6" w14:textId="77777777" w:rsidR="00F8101A" w:rsidRPr="000C4C17" w:rsidRDefault="00F8101A" w:rsidP="00A111E9">
            <w:pPr>
              <w:widowControl/>
              <w:spacing w:before="100" w:beforeAutospacing="1" w:after="100" w:afterAutospacing="1"/>
              <w:rPr>
                <w:rFonts w:eastAsiaTheme="minorHAnsi"/>
                <w:sz w:val="18"/>
              </w:rPr>
            </w:pPr>
            <w:r w:rsidRPr="000C4C17">
              <w:rPr>
                <w:rFonts w:eastAsiaTheme="minorHAnsi"/>
                <w:sz w:val="18"/>
              </w:rPr>
              <w:t>Aarhus Birth Cohort</w:t>
            </w:r>
          </w:p>
        </w:tc>
        <w:tc>
          <w:tcPr>
            <w:tcW w:w="950" w:type="dxa"/>
            <w:vAlign w:val="center"/>
          </w:tcPr>
          <w:p w14:paraId="1CFF3D05" w14:textId="77777777" w:rsidR="00F8101A" w:rsidRPr="000C4C17" w:rsidRDefault="00F8101A" w:rsidP="00A111E9">
            <w:pPr>
              <w:widowControl/>
              <w:spacing w:before="100" w:beforeAutospacing="1" w:after="100" w:afterAutospacing="1"/>
              <w:rPr>
                <w:rFonts w:eastAsiaTheme="minorHAnsi"/>
                <w:sz w:val="18"/>
              </w:rPr>
            </w:pPr>
            <w:r w:rsidRPr="000C4C17">
              <w:rPr>
                <w:rFonts w:eastAsiaTheme="minorHAnsi"/>
                <w:sz w:val="18"/>
              </w:rPr>
              <w:t>2008-13</w:t>
            </w:r>
          </w:p>
        </w:tc>
        <w:tc>
          <w:tcPr>
            <w:tcW w:w="1061" w:type="dxa"/>
            <w:vAlign w:val="center"/>
          </w:tcPr>
          <w:p w14:paraId="06D4A690" w14:textId="77777777" w:rsidR="00F8101A" w:rsidRPr="000C4C17" w:rsidRDefault="00F8101A" w:rsidP="00647943">
            <w:pPr>
              <w:widowControl/>
              <w:spacing w:before="100" w:beforeAutospacing="1" w:after="100" w:afterAutospacing="1"/>
              <w:jc w:val="right"/>
              <w:rPr>
                <w:rFonts w:eastAsiaTheme="minorHAnsi"/>
                <w:sz w:val="18"/>
              </w:rPr>
            </w:pPr>
            <w:r w:rsidRPr="000C4C17">
              <w:rPr>
                <w:rFonts w:eastAsiaTheme="minorHAnsi"/>
                <w:sz w:val="18"/>
              </w:rPr>
              <w:t>1507</w:t>
            </w:r>
          </w:p>
        </w:tc>
        <w:tc>
          <w:tcPr>
            <w:tcW w:w="2199" w:type="dxa"/>
            <w:vAlign w:val="center"/>
          </w:tcPr>
          <w:p w14:paraId="40CA4DC8" w14:textId="7FA12239" w:rsidR="00F8101A" w:rsidRPr="000C4C17" w:rsidRDefault="00F8101A" w:rsidP="00A111E9">
            <w:pPr>
              <w:widowControl/>
              <w:spacing w:before="100" w:beforeAutospacing="1" w:after="100" w:afterAutospacing="1"/>
              <w:rPr>
                <w:rFonts w:eastAsiaTheme="minorHAnsi"/>
                <w:color w:val="000000"/>
                <w:sz w:val="18"/>
              </w:rPr>
            </w:pPr>
            <w:r w:rsidRPr="000C4C17">
              <w:rPr>
                <w:rFonts w:eastAsiaTheme="minorHAnsi"/>
                <w:sz w:val="18"/>
              </w:rPr>
              <w:t>Per 0.1 ng/mL of PFAS</w:t>
            </w:r>
            <w:r w:rsidR="005E52F6" w:rsidRPr="000C4C17">
              <w:rPr>
                <w:rFonts w:eastAsiaTheme="minorHAnsi"/>
                <w:sz w:val="18"/>
                <w:szCs w:val="18"/>
              </w:rPr>
              <w:t xml:space="preserve"> q</w:t>
            </w:r>
            <w:r w:rsidRPr="000C4C17">
              <w:rPr>
                <w:rFonts w:eastAsiaTheme="minorHAnsi"/>
                <w:color w:val="000000"/>
                <w:sz w:val="18"/>
                <w:szCs w:val="18"/>
              </w:rPr>
              <w:t>uartiles</w:t>
            </w:r>
            <w:r w:rsidRPr="000C4C17">
              <w:rPr>
                <w:rFonts w:eastAsiaTheme="minorHAnsi"/>
                <w:color w:val="000000"/>
                <w:sz w:val="18"/>
              </w:rPr>
              <w:t xml:space="preserve"> </w:t>
            </w:r>
          </w:p>
        </w:tc>
        <w:tc>
          <w:tcPr>
            <w:tcW w:w="752" w:type="dxa"/>
          </w:tcPr>
          <w:p w14:paraId="2C16CCD8" w14:textId="77777777" w:rsidR="00F8101A" w:rsidRPr="000C4C17" w:rsidRDefault="00F8101A" w:rsidP="00A111E9">
            <w:pPr>
              <w:widowControl/>
              <w:spacing w:before="100" w:beforeAutospacing="1" w:after="100" w:afterAutospacing="1"/>
              <w:rPr>
                <w:rFonts w:eastAsiaTheme="minorHAnsi"/>
                <w:sz w:val="18"/>
              </w:rPr>
            </w:pPr>
            <w:r w:rsidRPr="000C4C17">
              <w:rPr>
                <w:rFonts w:eastAsiaTheme="minorHAnsi"/>
                <w:sz w:val="18"/>
              </w:rPr>
              <w:sym w:font="Symbol" w:char="F0D6"/>
            </w:r>
          </w:p>
        </w:tc>
      </w:tr>
      <w:tr w:rsidR="005E52F6" w:rsidRPr="000C4C17" w14:paraId="2069E0EC" w14:textId="77777777" w:rsidTr="00667317">
        <w:trPr>
          <w:trHeight w:val="343"/>
        </w:trPr>
        <w:tc>
          <w:tcPr>
            <w:tcW w:w="1101" w:type="dxa"/>
          </w:tcPr>
          <w:p w14:paraId="65322DBE" w14:textId="676DB9F8" w:rsidR="005E52F6" w:rsidRPr="000C4C17" w:rsidRDefault="003E3B74" w:rsidP="00A111E9">
            <w:pPr>
              <w:widowControl/>
              <w:spacing w:before="100" w:beforeAutospacing="1" w:after="100" w:afterAutospacing="1"/>
              <w:rPr>
                <w:rFonts w:eastAsiaTheme="minorHAnsi"/>
                <w:sz w:val="18"/>
                <w:szCs w:val="18"/>
              </w:rPr>
            </w:pPr>
            <w:r>
              <w:rPr>
                <w:rFonts w:cs="Arial"/>
                <w:sz w:val="18"/>
                <w:szCs w:val="18"/>
              </w:rPr>
              <w:t>d</w:t>
            </w:r>
            <w:r w:rsidR="005E52F6" w:rsidRPr="000C4C17">
              <w:rPr>
                <w:rFonts w:cs="Arial"/>
                <w:sz w:val="18"/>
                <w:szCs w:val="18"/>
              </w:rPr>
              <w:t>e Cock</w:t>
            </w:r>
          </w:p>
        </w:tc>
        <w:tc>
          <w:tcPr>
            <w:tcW w:w="773" w:type="dxa"/>
          </w:tcPr>
          <w:p w14:paraId="5111AC76" w14:textId="090D73CE" w:rsidR="005E52F6" w:rsidRPr="000C4C17" w:rsidRDefault="005E52F6" w:rsidP="00A111E9">
            <w:pPr>
              <w:widowControl/>
              <w:spacing w:before="100" w:beforeAutospacing="1" w:after="100" w:afterAutospacing="1"/>
              <w:rPr>
                <w:rFonts w:eastAsiaTheme="minorHAnsi"/>
                <w:sz w:val="18"/>
                <w:szCs w:val="18"/>
              </w:rPr>
            </w:pPr>
            <w:r w:rsidRPr="000C4C17">
              <w:rPr>
                <w:rFonts w:cs="Arial"/>
                <w:sz w:val="18"/>
                <w:szCs w:val="18"/>
              </w:rPr>
              <w:t>2016</w:t>
            </w:r>
          </w:p>
        </w:tc>
        <w:tc>
          <w:tcPr>
            <w:tcW w:w="1211" w:type="dxa"/>
          </w:tcPr>
          <w:p w14:paraId="2E120DEC" w14:textId="64205FFA" w:rsidR="005E52F6" w:rsidRPr="000C4C17" w:rsidRDefault="005E52F6" w:rsidP="00A111E9">
            <w:pPr>
              <w:widowControl/>
              <w:spacing w:before="100" w:beforeAutospacing="1" w:after="100" w:afterAutospacing="1"/>
              <w:rPr>
                <w:rFonts w:eastAsiaTheme="minorHAnsi"/>
                <w:sz w:val="18"/>
                <w:szCs w:val="18"/>
              </w:rPr>
            </w:pPr>
            <w:r w:rsidRPr="000C4C17">
              <w:rPr>
                <w:rFonts w:cs="Arial"/>
                <w:sz w:val="18"/>
                <w:szCs w:val="18"/>
              </w:rPr>
              <w:t>Netherlands</w:t>
            </w:r>
          </w:p>
        </w:tc>
        <w:tc>
          <w:tcPr>
            <w:tcW w:w="992" w:type="dxa"/>
          </w:tcPr>
          <w:p w14:paraId="05ACF586" w14:textId="490EF839" w:rsidR="005E52F6" w:rsidRPr="000C4C17" w:rsidRDefault="005E52F6" w:rsidP="00A111E9">
            <w:pPr>
              <w:widowControl/>
              <w:spacing w:before="100" w:beforeAutospacing="1" w:after="100" w:afterAutospacing="1"/>
              <w:rPr>
                <w:rFonts w:eastAsiaTheme="minorHAnsi"/>
                <w:sz w:val="18"/>
                <w:szCs w:val="18"/>
              </w:rPr>
            </w:pPr>
            <w:r w:rsidRPr="000C4C17">
              <w:rPr>
                <w:rFonts w:cs="Arial"/>
                <w:sz w:val="18"/>
                <w:szCs w:val="18"/>
              </w:rPr>
              <w:t>OBELIX</w:t>
            </w:r>
          </w:p>
        </w:tc>
        <w:tc>
          <w:tcPr>
            <w:tcW w:w="950" w:type="dxa"/>
          </w:tcPr>
          <w:p w14:paraId="5753C08A" w14:textId="5E558CF4" w:rsidR="005E52F6" w:rsidRPr="000C4C17" w:rsidRDefault="005E52F6" w:rsidP="00A111E9">
            <w:pPr>
              <w:widowControl/>
              <w:spacing w:before="100" w:beforeAutospacing="1" w:after="100" w:afterAutospacing="1"/>
              <w:rPr>
                <w:rFonts w:eastAsiaTheme="minorHAnsi"/>
                <w:sz w:val="18"/>
                <w:szCs w:val="18"/>
              </w:rPr>
            </w:pPr>
            <w:r w:rsidRPr="000C4C17">
              <w:rPr>
                <w:rFonts w:cs="Arial"/>
                <w:sz w:val="18"/>
                <w:szCs w:val="18"/>
              </w:rPr>
              <w:t>2011-3</w:t>
            </w:r>
          </w:p>
        </w:tc>
        <w:tc>
          <w:tcPr>
            <w:tcW w:w="1061" w:type="dxa"/>
          </w:tcPr>
          <w:p w14:paraId="430E4413" w14:textId="130D5C36" w:rsidR="005E52F6" w:rsidRPr="000C4C17" w:rsidRDefault="005E52F6" w:rsidP="00647943">
            <w:pPr>
              <w:widowControl/>
              <w:spacing w:before="100" w:beforeAutospacing="1" w:after="100" w:afterAutospacing="1"/>
              <w:jc w:val="right"/>
              <w:rPr>
                <w:rFonts w:eastAsiaTheme="minorHAnsi"/>
                <w:sz w:val="18"/>
                <w:szCs w:val="18"/>
              </w:rPr>
            </w:pPr>
            <w:r w:rsidRPr="000C4C17">
              <w:rPr>
                <w:rFonts w:cs="Arial"/>
                <w:sz w:val="18"/>
                <w:szCs w:val="18"/>
              </w:rPr>
              <w:t>91</w:t>
            </w:r>
          </w:p>
        </w:tc>
        <w:tc>
          <w:tcPr>
            <w:tcW w:w="2199" w:type="dxa"/>
          </w:tcPr>
          <w:p w14:paraId="155673DB" w14:textId="029748DB" w:rsidR="005E52F6" w:rsidRPr="000C4C17" w:rsidRDefault="005E52F6" w:rsidP="00A111E9">
            <w:pPr>
              <w:widowControl/>
              <w:spacing w:before="100" w:beforeAutospacing="1" w:after="100" w:afterAutospacing="1"/>
              <w:rPr>
                <w:rFonts w:eastAsiaTheme="minorHAnsi"/>
                <w:sz w:val="18"/>
                <w:szCs w:val="18"/>
              </w:rPr>
            </w:pPr>
            <w:r w:rsidRPr="000C4C17">
              <w:rPr>
                <w:rFonts w:cs="Arial"/>
                <w:sz w:val="18"/>
                <w:szCs w:val="18"/>
              </w:rPr>
              <w:t>Tertiles of PFAS (ng/L)</w:t>
            </w:r>
          </w:p>
        </w:tc>
        <w:tc>
          <w:tcPr>
            <w:tcW w:w="752" w:type="dxa"/>
          </w:tcPr>
          <w:p w14:paraId="30A76211" w14:textId="7892E44E" w:rsidR="005E52F6" w:rsidRPr="000C4C17" w:rsidRDefault="005E52F6" w:rsidP="00A111E9">
            <w:pPr>
              <w:widowControl/>
              <w:spacing w:before="100" w:beforeAutospacing="1" w:after="100" w:afterAutospacing="1"/>
              <w:rPr>
                <w:rFonts w:eastAsiaTheme="minorHAnsi"/>
                <w:sz w:val="18"/>
                <w:szCs w:val="18"/>
              </w:rPr>
            </w:pPr>
            <w:r w:rsidRPr="000C4C17">
              <w:rPr>
                <w:rFonts w:eastAsiaTheme="minorHAnsi"/>
                <w:sz w:val="18"/>
                <w:szCs w:val="18"/>
              </w:rPr>
              <w:sym w:font="Symbol" w:char="F0D6"/>
            </w:r>
            <w:r w:rsidR="00D2412E">
              <w:rPr>
                <w:rFonts w:eastAsiaTheme="minorHAnsi"/>
                <w:sz w:val="18"/>
                <w:szCs w:val="18"/>
              </w:rPr>
              <w:t>/q</w:t>
            </w:r>
          </w:p>
        </w:tc>
      </w:tr>
      <w:tr w:rsidR="005E52F6" w:rsidRPr="000C4C17" w14:paraId="5A059992" w14:textId="77777777" w:rsidTr="00667317">
        <w:trPr>
          <w:trHeight w:val="343"/>
        </w:trPr>
        <w:tc>
          <w:tcPr>
            <w:tcW w:w="1101" w:type="dxa"/>
          </w:tcPr>
          <w:p w14:paraId="1D133677" w14:textId="58C681A1" w:rsidR="005E52F6" w:rsidRPr="000C4C17" w:rsidRDefault="005E52F6" w:rsidP="00A111E9">
            <w:pPr>
              <w:widowControl/>
              <w:spacing w:before="100" w:beforeAutospacing="1" w:after="100" w:afterAutospacing="1"/>
              <w:rPr>
                <w:rFonts w:eastAsiaTheme="minorHAnsi"/>
                <w:sz w:val="18"/>
                <w:szCs w:val="18"/>
              </w:rPr>
            </w:pPr>
            <w:r w:rsidRPr="000C4C17">
              <w:rPr>
                <w:rFonts w:cs="Arial"/>
                <w:sz w:val="18"/>
                <w:szCs w:val="18"/>
              </w:rPr>
              <w:t>Lauritzen</w:t>
            </w:r>
          </w:p>
        </w:tc>
        <w:tc>
          <w:tcPr>
            <w:tcW w:w="773" w:type="dxa"/>
          </w:tcPr>
          <w:p w14:paraId="051D40B6" w14:textId="1C9A6620" w:rsidR="005E52F6" w:rsidRPr="000C4C17" w:rsidRDefault="005E52F6" w:rsidP="00A111E9">
            <w:pPr>
              <w:widowControl/>
              <w:spacing w:before="100" w:beforeAutospacing="1" w:after="100" w:afterAutospacing="1"/>
              <w:rPr>
                <w:rFonts w:eastAsiaTheme="minorHAnsi"/>
                <w:sz w:val="18"/>
                <w:szCs w:val="18"/>
              </w:rPr>
            </w:pPr>
            <w:r w:rsidRPr="000C4C17">
              <w:rPr>
                <w:rFonts w:cs="Arial"/>
                <w:sz w:val="18"/>
                <w:szCs w:val="18"/>
              </w:rPr>
              <w:t>2016</w:t>
            </w:r>
          </w:p>
        </w:tc>
        <w:tc>
          <w:tcPr>
            <w:tcW w:w="1211" w:type="dxa"/>
          </w:tcPr>
          <w:p w14:paraId="4E48328D" w14:textId="6A4C9291" w:rsidR="005E52F6" w:rsidRPr="000C4C17" w:rsidRDefault="005E52F6" w:rsidP="00A111E9">
            <w:pPr>
              <w:widowControl/>
              <w:spacing w:before="100" w:beforeAutospacing="1" w:after="100" w:afterAutospacing="1"/>
              <w:rPr>
                <w:rFonts w:eastAsiaTheme="minorHAnsi"/>
                <w:sz w:val="18"/>
                <w:szCs w:val="18"/>
              </w:rPr>
            </w:pPr>
            <w:r w:rsidRPr="000C4C17">
              <w:rPr>
                <w:rFonts w:cs="Arial"/>
                <w:sz w:val="18"/>
                <w:szCs w:val="18"/>
              </w:rPr>
              <w:t>Norway and Sweden</w:t>
            </w:r>
          </w:p>
        </w:tc>
        <w:tc>
          <w:tcPr>
            <w:tcW w:w="992" w:type="dxa"/>
          </w:tcPr>
          <w:p w14:paraId="42C81A0C" w14:textId="169FC6AE" w:rsidR="005E52F6" w:rsidRPr="000C4C17" w:rsidRDefault="005E52F6" w:rsidP="00A111E9">
            <w:pPr>
              <w:widowControl/>
              <w:spacing w:before="100" w:beforeAutospacing="1" w:after="100" w:afterAutospacing="1"/>
              <w:rPr>
                <w:rFonts w:eastAsiaTheme="minorHAnsi"/>
                <w:sz w:val="18"/>
                <w:szCs w:val="18"/>
              </w:rPr>
            </w:pPr>
            <w:r w:rsidRPr="000C4C17">
              <w:rPr>
                <w:rFonts w:cs="Arial"/>
                <w:sz w:val="18"/>
                <w:szCs w:val="18"/>
              </w:rPr>
              <w:t>Scandanavian SGA Study</w:t>
            </w:r>
          </w:p>
        </w:tc>
        <w:tc>
          <w:tcPr>
            <w:tcW w:w="950" w:type="dxa"/>
          </w:tcPr>
          <w:p w14:paraId="0A95BA4F" w14:textId="77777777" w:rsidR="005E52F6" w:rsidRPr="000C4C17" w:rsidRDefault="005E52F6" w:rsidP="00A111E9">
            <w:pPr>
              <w:spacing w:before="100" w:beforeAutospacing="1" w:after="100" w:afterAutospacing="1"/>
              <w:rPr>
                <w:rFonts w:cs="Arial"/>
                <w:sz w:val="18"/>
                <w:szCs w:val="18"/>
              </w:rPr>
            </w:pPr>
            <w:r w:rsidRPr="000C4C17">
              <w:rPr>
                <w:rFonts w:cs="Arial"/>
                <w:sz w:val="18"/>
                <w:szCs w:val="18"/>
              </w:rPr>
              <w:t>1986-8</w:t>
            </w:r>
          </w:p>
          <w:p w14:paraId="119C1B80" w14:textId="77777777" w:rsidR="005E52F6" w:rsidRPr="000C4C17" w:rsidRDefault="005E52F6" w:rsidP="00A111E9">
            <w:pPr>
              <w:widowControl/>
              <w:spacing w:before="100" w:beforeAutospacing="1" w:after="100" w:afterAutospacing="1"/>
              <w:rPr>
                <w:rFonts w:eastAsiaTheme="minorHAnsi"/>
                <w:sz w:val="18"/>
                <w:szCs w:val="18"/>
              </w:rPr>
            </w:pPr>
          </w:p>
        </w:tc>
        <w:tc>
          <w:tcPr>
            <w:tcW w:w="1061" w:type="dxa"/>
          </w:tcPr>
          <w:p w14:paraId="2CD7A883" w14:textId="2D192BE9" w:rsidR="005E52F6" w:rsidRPr="000C4C17" w:rsidRDefault="005E52F6" w:rsidP="00647943">
            <w:pPr>
              <w:widowControl/>
              <w:spacing w:before="100" w:beforeAutospacing="1" w:after="100" w:afterAutospacing="1"/>
              <w:jc w:val="right"/>
              <w:rPr>
                <w:rFonts w:eastAsiaTheme="minorHAnsi"/>
                <w:sz w:val="18"/>
                <w:szCs w:val="18"/>
              </w:rPr>
            </w:pPr>
            <w:r w:rsidRPr="000C4C17">
              <w:rPr>
                <w:rFonts w:cs="Arial"/>
                <w:sz w:val="18"/>
                <w:szCs w:val="18"/>
              </w:rPr>
              <w:t>424</w:t>
            </w:r>
          </w:p>
        </w:tc>
        <w:tc>
          <w:tcPr>
            <w:tcW w:w="2199" w:type="dxa"/>
          </w:tcPr>
          <w:p w14:paraId="6868671B" w14:textId="39B660DD" w:rsidR="005E52F6" w:rsidRPr="000C4C17" w:rsidRDefault="005E52F6" w:rsidP="00A111E9">
            <w:pPr>
              <w:widowControl/>
              <w:spacing w:before="100" w:beforeAutospacing="1" w:after="100" w:afterAutospacing="1"/>
              <w:rPr>
                <w:rFonts w:eastAsiaTheme="minorHAnsi"/>
                <w:sz w:val="18"/>
                <w:szCs w:val="18"/>
              </w:rPr>
            </w:pPr>
            <w:r w:rsidRPr="000C4C17">
              <w:rPr>
                <w:rFonts w:cs="Arial"/>
                <w:sz w:val="18"/>
                <w:szCs w:val="18"/>
              </w:rPr>
              <w:t>Per natural log unit of PFAS</w:t>
            </w:r>
          </w:p>
        </w:tc>
        <w:tc>
          <w:tcPr>
            <w:tcW w:w="752" w:type="dxa"/>
          </w:tcPr>
          <w:p w14:paraId="08485586" w14:textId="55A93E43" w:rsidR="005E52F6" w:rsidRPr="000C4C17" w:rsidRDefault="005E52F6" w:rsidP="00A111E9">
            <w:pPr>
              <w:widowControl/>
              <w:spacing w:before="100" w:beforeAutospacing="1" w:after="100" w:afterAutospacing="1"/>
              <w:rPr>
                <w:rFonts w:eastAsiaTheme="minorHAnsi"/>
                <w:sz w:val="18"/>
                <w:szCs w:val="18"/>
              </w:rPr>
            </w:pPr>
            <w:r w:rsidRPr="000C4C17">
              <w:rPr>
                <w:rFonts w:eastAsiaTheme="minorHAnsi"/>
                <w:sz w:val="18"/>
                <w:szCs w:val="18"/>
              </w:rPr>
              <w:t>q</w:t>
            </w:r>
          </w:p>
        </w:tc>
      </w:tr>
      <w:tr w:rsidR="005E52F6" w:rsidRPr="000C4C17" w14:paraId="1259AE1B" w14:textId="77777777" w:rsidTr="005B076D">
        <w:trPr>
          <w:trHeight w:val="1312"/>
        </w:trPr>
        <w:tc>
          <w:tcPr>
            <w:tcW w:w="1101" w:type="dxa"/>
          </w:tcPr>
          <w:p w14:paraId="1B581609" w14:textId="586C814D" w:rsidR="005E52F6" w:rsidRPr="000C4C17" w:rsidRDefault="005E52F6" w:rsidP="00A111E9">
            <w:pPr>
              <w:widowControl/>
              <w:spacing w:before="100" w:beforeAutospacing="1" w:after="100" w:afterAutospacing="1"/>
              <w:rPr>
                <w:rFonts w:eastAsiaTheme="minorHAnsi"/>
                <w:sz w:val="18"/>
                <w:szCs w:val="18"/>
              </w:rPr>
            </w:pPr>
            <w:r w:rsidRPr="000C4C17">
              <w:rPr>
                <w:rFonts w:cs="Arial"/>
                <w:sz w:val="18"/>
                <w:szCs w:val="18"/>
              </w:rPr>
              <w:t>Wang</w:t>
            </w:r>
          </w:p>
        </w:tc>
        <w:tc>
          <w:tcPr>
            <w:tcW w:w="773" w:type="dxa"/>
          </w:tcPr>
          <w:p w14:paraId="1D520607" w14:textId="503B15ED" w:rsidR="005E52F6" w:rsidRPr="000C4C17" w:rsidRDefault="005E52F6" w:rsidP="00A111E9">
            <w:pPr>
              <w:widowControl/>
              <w:spacing w:before="100" w:beforeAutospacing="1" w:after="100" w:afterAutospacing="1"/>
              <w:rPr>
                <w:rFonts w:eastAsiaTheme="minorHAnsi"/>
                <w:sz w:val="18"/>
                <w:szCs w:val="18"/>
              </w:rPr>
            </w:pPr>
            <w:r w:rsidRPr="000C4C17">
              <w:rPr>
                <w:rFonts w:cs="Arial"/>
                <w:sz w:val="18"/>
                <w:szCs w:val="18"/>
              </w:rPr>
              <w:t>2016</w:t>
            </w:r>
          </w:p>
        </w:tc>
        <w:tc>
          <w:tcPr>
            <w:tcW w:w="1211" w:type="dxa"/>
          </w:tcPr>
          <w:p w14:paraId="6EBDFB34" w14:textId="05C4F905" w:rsidR="005E52F6" w:rsidRPr="000C4C17" w:rsidRDefault="005E52F6" w:rsidP="00A111E9">
            <w:pPr>
              <w:widowControl/>
              <w:spacing w:before="100" w:beforeAutospacing="1" w:after="100" w:afterAutospacing="1"/>
              <w:rPr>
                <w:rFonts w:eastAsiaTheme="minorHAnsi"/>
                <w:sz w:val="18"/>
                <w:szCs w:val="18"/>
              </w:rPr>
            </w:pPr>
            <w:r w:rsidRPr="000C4C17">
              <w:rPr>
                <w:rFonts w:cs="Arial"/>
                <w:sz w:val="18"/>
                <w:szCs w:val="18"/>
              </w:rPr>
              <w:t>Taiwan</w:t>
            </w:r>
          </w:p>
        </w:tc>
        <w:tc>
          <w:tcPr>
            <w:tcW w:w="992" w:type="dxa"/>
          </w:tcPr>
          <w:p w14:paraId="095AF0BB" w14:textId="7091F913" w:rsidR="005E52F6" w:rsidRPr="000C4C17" w:rsidRDefault="005E52F6" w:rsidP="00A111E9">
            <w:pPr>
              <w:widowControl/>
              <w:spacing w:before="100" w:beforeAutospacing="1" w:after="100" w:afterAutospacing="1"/>
              <w:rPr>
                <w:rFonts w:eastAsiaTheme="minorHAnsi"/>
                <w:sz w:val="18"/>
                <w:szCs w:val="18"/>
              </w:rPr>
            </w:pPr>
            <w:r w:rsidRPr="000C4C17">
              <w:rPr>
                <w:rFonts w:cs="Arial"/>
                <w:sz w:val="18"/>
                <w:szCs w:val="18"/>
              </w:rPr>
              <w:t>Taiwan Maternal and Infant Cohort Study</w:t>
            </w:r>
          </w:p>
        </w:tc>
        <w:tc>
          <w:tcPr>
            <w:tcW w:w="950" w:type="dxa"/>
          </w:tcPr>
          <w:p w14:paraId="00D1EC8F" w14:textId="2B0D39F3" w:rsidR="005E52F6" w:rsidRPr="000C4C17" w:rsidRDefault="005E52F6" w:rsidP="00A111E9">
            <w:pPr>
              <w:widowControl/>
              <w:spacing w:before="100" w:beforeAutospacing="1" w:after="100" w:afterAutospacing="1"/>
              <w:rPr>
                <w:rFonts w:eastAsiaTheme="minorHAnsi"/>
                <w:sz w:val="18"/>
                <w:szCs w:val="18"/>
              </w:rPr>
            </w:pPr>
            <w:r w:rsidRPr="000C4C17">
              <w:rPr>
                <w:rFonts w:cs="Arial"/>
                <w:sz w:val="18"/>
                <w:szCs w:val="18"/>
              </w:rPr>
              <w:t>2000-1</w:t>
            </w:r>
          </w:p>
        </w:tc>
        <w:tc>
          <w:tcPr>
            <w:tcW w:w="1061" w:type="dxa"/>
          </w:tcPr>
          <w:p w14:paraId="106CED63" w14:textId="3574F645" w:rsidR="005E52F6" w:rsidRPr="000C4C17" w:rsidRDefault="005E52F6" w:rsidP="00647943">
            <w:pPr>
              <w:widowControl/>
              <w:spacing w:before="100" w:beforeAutospacing="1" w:after="100" w:afterAutospacing="1"/>
              <w:jc w:val="right"/>
              <w:rPr>
                <w:rFonts w:eastAsiaTheme="minorHAnsi"/>
                <w:sz w:val="18"/>
                <w:szCs w:val="18"/>
              </w:rPr>
            </w:pPr>
            <w:r w:rsidRPr="000C4C17">
              <w:rPr>
                <w:rFonts w:cs="Arial"/>
                <w:sz w:val="18"/>
                <w:szCs w:val="18"/>
              </w:rPr>
              <w:t>223</w:t>
            </w:r>
          </w:p>
        </w:tc>
        <w:tc>
          <w:tcPr>
            <w:tcW w:w="2199" w:type="dxa"/>
          </w:tcPr>
          <w:p w14:paraId="3DDBB4BA" w14:textId="60AA03AB" w:rsidR="005E52F6" w:rsidRPr="000C4C17" w:rsidRDefault="005E52F6" w:rsidP="00A111E9">
            <w:pPr>
              <w:widowControl/>
              <w:spacing w:before="100" w:beforeAutospacing="1" w:after="100" w:afterAutospacing="1"/>
              <w:rPr>
                <w:rFonts w:eastAsiaTheme="minorHAnsi"/>
                <w:sz w:val="18"/>
                <w:szCs w:val="18"/>
              </w:rPr>
            </w:pPr>
            <w:r w:rsidRPr="000C4C17">
              <w:rPr>
                <w:rFonts w:cs="Arial"/>
                <w:sz w:val="18"/>
                <w:szCs w:val="18"/>
              </w:rPr>
              <w:t xml:space="preserve">Per natural log </w:t>
            </w:r>
            <w:r w:rsidR="00B76784">
              <w:rPr>
                <w:rFonts w:cs="Arial"/>
                <w:sz w:val="18"/>
                <w:szCs w:val="18"/>
              </w:rPr>
              <w:t xml:space="preserve">unit </w:t>
            </w:r>
            <w:r w:rsidRPr="000C4C17">
              <w:rPr>
                <w:rFonts w:cs="Arial"/>
                <w:sz w:val="18"/>
                <w:szCs w:val="18"/>
              </w:rPr>
              <w:t>of PFOA</w:t>
            </w:r>
          </w:p>
        </w:tc>
        <w:tc>
          <w:tcPr>
            <w:tcW w:w="752" w:type="dxa"/>
          </w:tcPr>
          <w:p w14:paraId="30B106AB" w14:textId="0E1BB7F2" w:rsidR="005E52F6" w:rsidRPr="000C4C17" w:rsidRDefault="005E52F6" w:rsidP="00A111E9">
            <w:pPr>
              <w:widowControl/>
              <w:spacing w:before="100" w:beforeAutospacing="1" w:after="100" w:afterAutospacing="1"/>
              <w:rPr>
                <w:rFonts w:eastAsiaTheme="minorHAnsi"/>
                <w:sz w:val="18"/>
                <w:szCs w:val="18"/>
              </w:rPr>
            </w:pPr>
            <w:r w:rsidRPr="000C4C17">
              <w:rPr>
                <w:rFonts w:eastAsiaTheme="minorHAnsi"/>
                <w:sz w:val="18"/>
                <w:szCs w:val="18"/>
              </w:rPr>
              <w:sym w:font="Symbol" w:char="F0D6"/>
            </w:r>
          </w:p>
        </w:tc>
      </w:tr>
      <w:tr w:rsidR="005E52F6" w:rsidRPr="000C4C17" w14:paraId="7E42704D" w14:textId="77777777" w:rsidTr="005B076D">
        <w:trPr>
          <w:trHeight w:val="552"/>
        </w:trPr>
        <w:tc>
          <w:tcPr>
            <w:tcW w:w="1101" w:type="dxa"/>
          </w:tcPr>
          <w:p w14:paraId="7C664D42" w14:textId="6446E067" w:rsidR="005E52F6" w:rsidRPr="000C4C17" w:rsidRDefault="005E52F6" w:rsidP="00A111E9">
            <w:pPr>
              <w:widowControl/>
              <w:spacing w:before="100" w:beforeAutospacing="1" w:after="100" w:afterAutospacing="1"/>
              <w:rPr>
                <w:rFonts w:eastAsiaTheme="minorHAnsi"/>
                <w:sz w:val="18"/>
                <w:szCs w:val="18"/>
              </w:rPr>
            </w:pPr>
            <w:r w:rsidRPr="000C4C17">
              <w:rPr>
                <w:rFonts w:cs="Arial"/>
                <w:sz w:val="18"/>
                <w:szCs w:val="18"/>
              </w:rPr>
              <w:t>Shi</w:t>
            </w:r>
          </w:p>
        </w:tc>
        <w:tc>
          <w:tcPr>
            <w:tcW w:w="773" w:type="dxa"/>
          </w:tcPr>
          <w:p w14:paraId="7BAEE425" w14:textId="5BEECA2B" w:rsidR="005E52F6" w:rsidRPr="000C4C17" w:rsidRDefault="005E52F6" w:rsidP="00A111E9">
            <w:pPr>
              <w:widowControl/>
              <w:spacing w:before="100" w:beforeAutospacing="1" w:after="100" w:afterAutospacing="1"/>
              <w:rPr>
                <w:rFonts w:eastAsiaTheme="minorHAnsi"/>
                <w:sz w:val="18"/>
                <w:szCs w:val="18"/>
              </w:rPr>
            </w:pPr>
            <w:r w:rsidRPr="000C4C17">
              <w:rPr>
                <w:rFonts w:cs="Arial"/>
                <w:sz w:val="18"/>
                <w:szCs w:val="18"/>
              </w:rPr>
              <w:t>2016</w:t>
            </w:r>
          </w:p>
        </w:tc>
        <w:tc>
          <w:tcPr>
            <w:tcW w:w="1211" w:type="dxa"/>
          </w:tcPr>
          <w:p w14:paraId="7F73535A" w14:textId="72CEAF55" w:rsidR="005E52F6" w:rsidRPr="000C4C17" w:rsidRDefault="005E52F6" w:rsidP="00A111E9">
            <w:pPr>
              <w:widowControl/>
              <w:spacing w:before="100" w:beforeAutospacing="1" w:after="100" w:afterAutospacing="1"/>
              <w:rPr>
                <w:rFonts w:eastAsiaTheme="minorHAnsi"/>
                <w:sz w:val="18"/>
                <w:szCs w:val="18"/>
              </w:rPr>
            </w:pPr>
            <w:r w:rsidRPr="000C4C17">
              <w:rPr>
                <w:rFonts w:cs="Arial"/>
                <w:sz w:val="18"/>
                <w:szCs w:val="18"/>
              </w:rPr>
              <w:t>Bejing, China</w:t>
            </w:r>
          </w:p>
        </w:tc>
        <w:tc>
          <w:tcPr>
            <w:tcW w:w="992" w:type="dxa"/>
          </w:tcPr>
          <w:p w14:paraId="0651A3E7" w14:textId="7C2D7288" w:rsidR="005E52F6" w:rsidRPr="000C4C17" w:rsidRDefault="00667317" w:rsidP="00A111E9">
            <w:pPr>
              <w:widowControl/>
              <w:spacing w:before="100" w:beforeAutospacing="1" w:after="100" w:afterAutospacing="1"/>
              <w:rPr>
                <w:rFonts w:eastAsiaTheme="minorHAnsi"/>
                <w:sz w:val="18"/>
                <w:szCs w:val="18"/>
              </w:rPr>
            </w:pPr>
            <w:r w:rsidRPr="000C4C17">
              <w:rPr>
                <w:rFonts w:eastAsiaTheme="minorHAnsi"/>
                <w:sz w:val="18"/>
                <w:szCs w:val="18"/>
              </w:rPr>
              <w:t>-</w:t>
            </w:r>
          </w:p>
        </w:tc>
        <w:tc>
          <w:tcPr>
            <w:tcW w:w="950" w:type="dxa"/>
          </w:tcPr>
          <w:p w14:paraId="0509804E" w14:textId="7E294D4E" w:rsidR="005E52F6" w:rsidRPr="000C4C17" w:rsidRDefault="005E52F6" w:rsidP="00A111E9">
            <w:pPr>
              <w:widowControl/>
              <w:spacing w:before="100" w:beforeAutospacing="1" w:after="100" w:afterAutospacing="1"/>
              <w:rPr>
                <w:rFonts w:eastAsiaTheme="minorHAnsi"/>
                <w:sz w:val="18"/>
                <w:szCs w:val="18"/>
              </w:rPr>
            </w:pPr>
            <w:r w:rsidRPr="000C4C17">
              <w:rPr>
                <w:rFonts w:cs="Arial"/>
                <w:sz w:val="18"/>
                <w:szCs w:val="18"/>
              </w:rPr>
              <w:t>2012</w:t>
            </w:r>
          </w:p>
        </w:tc>
        <w:tc>
          <w:tcPr>
            <w:tcW w:w="1061" w:type="dxa"/>
          </w:tcPr>
          <w:p w14:paraId="588BEA54" w14:textId="1187AC17" w:rsidR="005E52F6" w:rsidRPr="000C4C17" w:rsidRDefault="005E52F6" w:rsidP="00647943">
            <w:pPr>
              <w:widowControl/>
              <w:spacing w:before="100" w:beforeAutospacing="1" w:after="100" w:afterAutospacing="1"/>
              <w:jc w:val="right"/>
              <w:rPr>
                <w:rFonts w:eastAsiaTheme="minorHAnsi"/>
                <w:sz w:val="18"/>
                <w:szCs w:val="18"/>
              </w:rPr>
            </w:pPr>
            <w:r w:rsidRPr="000C4C17">
              <w:rPr>
                <w:rFonts w:cs="Arial"/>
                <w:sz w:val="18"/>
                <w:szCs w:val="18"/>
              </w:rPr>
              <w:t>170</w:t>
            </w:r>
          </w:p>
        </w:tc>
        <w:tc>
          <w:tcPr>
            <w:tcW w:w="2199" w:type="dxa"/>
          </w:tcPr>
          <w:p w14:paraId="0AA988FD" w14:textId="1CE1A07C" w:rsidR="005E52F6" w:rsidRPr="000C4C17" w:rsidRDefault="005E52F6" w:rsidP="00A111E9">
            <w:pPr>
              <w:widowControl/>
              <w:spacing w:before="100" w:beforeAutospacing="1" w:after="100" w:afterAutospacing="1"/>
              <w:rPr>
                <w:rFonts w:eastAsiaTheme="minorHAnsi"/>
                <w:sz w:val="18"/>
                <w:szCs w:val="18"/>
              </w:rPr>
            </w:pPr>
            <w:r w:rsidRPr="000C4C17">
              <w:rPr>
                <w:rFonts w:cs="Arial"/>
                <w:sz w:val="18"/>
                <w:szCs w:val="18"/>
              </w:rPr>
              <w:t>Per log 10 unit of PFAS</w:t>
            </w:r>
          </w:p>
        </w:tc>
        <w:tc>
          <w:tcPr>
            <w:tcW w:w="752" w:type="dxa"/>
          </w:tcPr>
          <w:p w14:paraId="24F8F7AD" w14:textId="05BAA489" w:rsidR="005E52F6" w:rsidRPr="000C4C17" w:rsidRDefault="005E52F6" w:rsidP="00A111E9">
            <w:pPr>
              <w:widowControl/>
              <w:spacing w:before="100" w:beforeAutospacing="1" w:after="100" w:afterAutospacing="1"/>
              <w:rPr>
                <w:rFonts w:eastAsiaTheme="minorHAnsi"/>
                <w:sz w:val="18"/>
                <w:szCs w:val="18"/>
              </w:rPr>
            </w:pPr>
            <w:r w:rsidRPr="000C4C17">
              <w:rPr>
                <w:rFonts w:eastAsiaTheme="minorHAnsi"/>
                <w:sz w:val="18"/>
                <w:szCs w:val="18"/>
              </w:rPr>
              <w:t>q</w:t>
            </w:r>
          </w:p>
        </w:tc>
      </w:tr>
      <w:tr w:rsidR="005E52F6" w:rsidRPr="000C4C17" w14:paraId="2BA5A49A" w14:textId="77777777" w:rsidTr="005B076D">
        <w:trPr>
          <w:trHeight w:val="701"/>
        </w:trPr>
        <w:tc>
          <w:tcPr>
            <w:tcW w:w="1101" w:type="dxa"/>
          </w:tcPr>
          <w:p w14:paraId="7BD3711E" w14:textId="163EE3EC" w:rsidR="005E52F6" w:rsidRPr="000C4C17" w:rsidRDefault="005E52F6" w:rsidP="00A111E9">
            <w:pPr>
              <w:widowControl/>
              <w:spacing w:before="100" w:beforeAutospacing="1" w:after="100" w:afterAutospacing="1"/>
              <w:rPr>
                <w:rFonts w:cs="Arial"/>
                <w:sz w:val="18"/>
                <w:szCs w:val="18"/>
              </w:rPr>
            </w:pPr>
            <w:r w:rsidRPr="000C4C17">
              <w:rPr>
                <w:rFonts w:cs="Arial"/>
                <w:sz w:val="18"/>
                <w:szCs w:val="18"/>
              </w:rPr>
              <w:t>Alkhalawi</w:t>
            </w:r>
          </w:p>
        </w:tc>
        <w:tc>
          <w:tcPr>
            <w:tcW w:w="773" w:type="dxa"/>
          </w:tcPr>
          <w:p w14:paraId="79A79816" w14:textId="35B622A5" w:rsidR="005E52F6" w:rsidRPr="000C4C17" w:rsidRDefault="005E52F6" w:rsidP="00A111E9">
            <w:pPr>
              <w:widowControl/>
              <w:spacing w:before="100" w:beforeAutospacing="1" w:after="100" w:afterAutospacing="1"/>
              <w:rPr>
                <w:rFonts w:cs="Arial"/>
                <w:sz w:val="18"/>
                <w:szCs w:val="18"/>
              </w:rPr>
            </w:pPr>
            <w:r w:rsidRPr="000C4C17">
              <w:rPr>
                <w:rFonts w:cs="Arial"/>
                <w:sz w:val="18"/>
                <w:szCs w:val="18"/>
              </w:rPr>
              <w:t>2016</w:t>
            </w:r>
          </w:p>
        </w:tc>
        <w:tc>
          <w:tcPr>
            <w:tcW w:w="1211" w:type="dxa"/>
          </w:tcPr>
          <w:p w14:paraId="2D827E80" w14:textId="275BD668" w:rsidR="005E52F6" w:rsidRPr="000C4C17" w:rsidRDefault="005E52F6" w:rsidP="00A111E9">
            <w:pPr>
              <w:widowControl/>
              <w:spacing w:before="100" w:beforeAutospacing="1" w:after="100" w:afterAutospacing="1"/>
              <w:rPr>
                <w:rFonts w:cs="Arial"/>
                <w:sz w:val="18"/>
                <w:szCs w:val="18"/>
              </w:rPr>
            </w:pPr>
            <w:r w:rsidRPr="000C4C17">
              <w:rPr>
                <w:rFonts w:cs="Arial"/>
                <w:sz w:val="18"/>
                <w:szCs w:val="18"/>
              </w:rPr>
              <w:t>Germany</w:t>
            </w:r>
          </w:p>
        </w:tc>
        <w:tc>
          <w:tcPr>
            <w:tcW w:w="992" w:type="dxa"/>
          </w:tcPr>
          <w:p w14:paraId="023BCDBE" w14:textId="093D0BAE" w:rsidR="005E52F6" w:rsidRPr="000C4C17" w:rsidRDefault="005E52F6" w:rsidP="00A111E9">
            <w:pPr>
              <w:widowControl/>
              <w:spacing w:before="100" w:beforeAutospacing="1" w:after="100" w:afterAutospacing="1"/>
              <w:rPr>
                <w:rFonts w:eastAsiaTheme="minorHAnsi"/>
                <w:sz w:val="18"/>
                <w:szCs w:val="18"/>
              </w:rPr>
            </w:pPr>
            <w:r w:rsidRPr="000C4C17">
              <w:rPr>
                <w:rFonts w:cs="Arial"/>
                <w:sz w:val="18"/>
                <w:szCs w:val="18"/>
              </w:rPr>
              <w:t>Duisberg Birth Cohort</w:t>
            </w:r>
          </w:p>
        </w:tc>
        <w:tc>
          <w:tcPr>
            <w:tcW w:w="950" w:type="dxa"/>
          </w:tcPr>
          <w:p w14:paraId="4B50B250" w14:textId="05F5D906" w:rsidR="005E52F6" w:rsidRPr="000C4C17" w:rsidRDefault="005E52F6" w:rsidP="00A111E9">
            <w:pPr>
              <w:widowControl/>
              <w:spacing w:before="100" w:beforeAutospacing="1" w:after="100" w:afterAutospacing="1"/>
              <w:rPr>
                <w:rFonts w:cs="Arial"/>
                <w:sz w:val="18"/>
                <w:szCs w:val="18"/>
              </w:rPr>
            </w:pPr>
            <w:r w:rsidRPr="000C4C17">
              <w:rPr>
                <w:rFonts w:cs="Arial"/>
                <w:sz w:val="18"/>
                <w:szCs w:val="18"/>
              </w:rPr>
              <w:t>2000-2</w:t>
            </w:r>
          </w:p>
        </w:tc>
        <w:tc>
          <w:tcPr>
            <w:tcW w:w="1061" w:type="dxa"/>
          </w:tcPr>
          <w:p w14:paraId="71D57B0F" w14:textId="4393613E" w:rsidR="005E52F6" w:rsidRPr="000C4C17" w:rsidRDefault="005E52F6" w:rsidP="00647943">
            <w:pPr>
              <w:widowControl/>
              <w:spacing w:before="100" w:beforeAutospacing="1" w:after="100" w:afterAutospacing="1"/>
              <w:jc w:val="right"/>
              <w:rPr>
                <w:rFonts w:cs="Arial"/>
                <w:sz w:val="18"/>
                <w:szCs w:val="18"/>
              </w:rPr>
            </w:pPr>
            <w:r w:rsidRPr="000C4C17">
              <w:rPr>
                <w:rFonts w:cs="Arial"/>
                <w:sz w:val="18"/>
                <w:szCs w:val="18"/>
              </w:rPr>
              <w:t>148</w:t>
            </w:r>
          </w:p>
        </w:tc>
        <w:tc>
          <w:tcPr>
            <w:tcW w:w="2199" w:type="dxa"/>
          </w:tcPr>
          <w:p w14:paraId="25DED0AF" w14:textId="08066BDB" w:rsidR="005E52F6" w:rsidRPr="000C4C17" w:rsidRDefault="005E52F6" w:rsidP="00A111E9">
            <w:pPr>
              <w:widowControl/>
              <w:spacing w:before="100" w:beforeAutospacing="1" w:after="100" w:afterAutospacing="1"/>
              <w:rPr>
                <w:rFonts w:cs="Arial"/>
                <w:sz w:val="18"/>
                <w:szCs w:val="18"/>
              </w:rPr>
            </w:pPr>
            <w:r w:rsidRPr="000C4C17">
              <w:rPr>
                <w:rFonts w:cs="Arial"/>
                <w:sz w:val="18"/>
                <w:szCs w:val="18"/>
              </w:rPr>
              <w:t>Correlation not significant</w:t>
            </w:r>
          </w:p>
        </w:tc>
        <w:tc>
          <w:tcPr>
            <w:tcW w:w="752" w:type="dxa"/>
          </w:tcPr>
          <w:p w14:paraId="6FF88224" w14:textId="55F43FC2" w:rsidR="005E52F6" w:rsidRPr="000C4C17" w:rsidRDefault="005E52F6" w:rsidP="00A111E9">
            <w:pPr>
              <w:widowControl/>
              <w:spacing w:before="100" w:beforeAutospacing="1" w:after="100" w:afterAutospacing="1"/>
              <w:rPr>
                <w:rFonts w:eastAsiaTheme="minorHAnsi"/>
                <w:sz w:val="18"/>
                <w:szCs w:val="18"/>
              </w:rPr>
            </w:pPr>
            <w:r w:rsidRPr="000C4C17">
              <w:rPr>
                <w:rFonts w:eastAsiaTheme="minorHAnsi"/>
                <w:sz w:val="18"/>
                <w:szCs w:val="18"/>
              </w:rPr>
              <w:t>q</w:t>
            </w:r>
          </w:p>
        </w:tc>
      </w:tr>
    </w:tbl>
    <w:p w14:paraId="48D40C40" w14:textId="2983A3B6" w:rsidR="002F1039" w:rsidRPr="000C4C17" w:rsidRDefault="002F1039" w:rsidP="002F1039">
      <w:pPr>
        <w:widowControl/>
        <w:rPr>
          <w:rFonts w:eastAsiaTheme="minorHAnsi"/>
          <w:sz w:val="16"/>
        </w:rPr>
      </w:pPr>
      <w:r w:rsidRPr="000C4C17">
        <w:rPr>
          <w:rFonts w:eastAsiaTheme="minorHAnsi"/>
          <w:sz w:val="16"/>
        </w:rPr>
        <w:sym w:font="Symbol" w:char="F0D6"/>
      </w:r>
      <w:r w:rsidRPr="000C4C17">
        <w:rPr>
          <w:rFonts w:eastAsiaTheme="minorHAnsi"/>
          <w:sz w:val="16"/>
        </w:rPr>
        <w:t xml:space="preserve"> included in </w:t>
      </w:r>
      <w:r w:rsidRPr="00E640BA">
        <w:rPr>
          <w:rFonts w:eastAsiaTheme="minorHAnsi"/>
          <w:sz w:val="16"/>
        </w:rPr>
        <w:t>this review;  e- excluded from th</w:t>
      </w:r>
      <w:r w:rsidR="00E640BA" w:rsidRPr="00E640BA">
        <w:rPr>
          <w:rFonts w:eastAsiaTheme="minorHAnsi"/>
          <w:sz w:val="16"/>
        </w:rPr>
        <w:t>is</w:t>
      </w:r>
      <w:r w:rsidRPr="00E640BA">
        <w:rPr>
          <w:rFonts w:eastAsiaTheme="minorHAnsi"/>
          <w:sz w:val="16"/>
        </w:rPr>
        <w:t xml:space="preserve"> review; q- included</w:t>
      </w:r>
      <w:r w:rsidRPr="000C4C17">
        <w:rPr>
          <w:rFonts w:eastAsiaTheme="minorHAnsi"/>
          <w:sz w:val="16"/>
        </w:rPr>
        <w:t xml:space="preserve"> for qualitative assessment but not quantitative assessment</w:t>
      </w:r>
    </w:p>
    <w:p w14:paraId="57691E71" w14:textId="77777777" w:rsidR="00F8101A" w:rsidRPr="000C4C17" w:rsidRDefault="00F8101A" w:rsidP="00A111E9">
      <w:pPr>
        <w:widowControl/>
        <w:rPr>
          <w:rFonts w:eastAsiaTheme="minorHAnsi" w:cstheme="minorBidi"/>
          <w:szCs w:val="22"/>
          <w:lang w:bidi="ar-SA"/>
        </w:rPr>
      </w:pPr>
    </w:p>
    <w:p w14:paraId="6AA510BB" w14:textId="77777777" w:rsidR="00F8101A" w:rsidRPr="000C4C17" w:rsidRDefault="00F8101A" w:rsidP="00A111E9">
      <w:pPr>
        <w:widowControl/>
        <w:rPr>
          <w:rFonts w:eastAsiaTheme="minorHAnsi" w:cstheme="minorBidi"/>
          <w:b/>
          <w:szCs w:val="22"/>
          <w:lang w:bidi="ar-SA"/>
        </w:rPr>
      </w:pPr>
      <w:r w:rsidRPr="000C4C17">
        <w:rPr>
          <w:rFonts w:eastAsiaTheme="minorHAnsi" w:cstheme="minorBidi"/>
          <w:b/>
          <w:szCs w:val="22"/>
          <w:lang w:bidi="ar-SA"/>
        </w:rPr>
        <w:t>Non-independence of some of the original studies</w:t>
      </w:r>
    </w:p>
    <w:p w14:paraId="597FC606" w14:textId="77777777" w:rsidR="00F8101A" w:rsidRPr="000C4C17" w:rsidRDefault="00F8101A" w:rsidP="00A111E9">
      <w:pPr>
        <w:widowControl/>
        <w:rPr>
          <w:rFonts w:eastAsiaTheme="minorHAnsi" w:cstheme="minorBidi"/>
          <w:szCs w:val="22"/>
          <w:lang w:bidi="ar-SA"/>
        </w:rPr>
      </w:pPr>
    </w:p>
    <w:p w14:paraId="15DCCA32" w14:textId="56259DDB" w:rsidR="00F8101A" w:rsidRPr="000C4C17" w:rsidRDefault="00F8101A" w:rsidP="00A111E9">
      <w:pPr>
        <w:widowControl/>
        <w:rPr>
          <w:rFonts w:eastAsiaTheme="minorHAnsi" w:cstheme="minorBidi"/>
          <w:szCs w:val="22"/>
          <w:lang w:bidi="ar-SA"/>
        </w:rPr>
      </w:pPr>
      <w:r w:rsidRPr="000C4C17">
        <w:rPr>
          <w:rFonts w:eastAsiaTheme="minorHAnsi" w:cstheme="minorBidi"/>
          <w:szCs w:val="22"/>
          <w:lang w:bidi="ar-SA"/>
        </w:rPr>
        <w:t>Large studies often have a specific name and authors publish multiple papers. In particular, in cohort studies, the same outcome might be examined several times, each time with a longer follow-up. Cross-sectional studies might examine the same hypothesis in greater detail in selected sub</w:t>
      </w:r>
      <w:r w:rsidR="00CC26CA">
        <w:rPr>
          <w:rFonts w:eastAsiaTheme="minorHAnsi" w:cstheme="minorBidi"/>
          <w:szCs w:val="22"/>
          <w:lang w:bidi="ar-SA"/>
        </w:rPr>
        <w:t>samples</w:t>
      </w:r>
      <w:r w:rsidRPr="000C4C17">
        <w:rPr>
          <w:rFonts w:eastAsiaTheme="minorHAnsi" w:cstheme="minorBidi"/>
          <w:szCs w:val="22"/>
          <w:lang w:bidi="ar-SA"/>
        </w:rPr>
        <w:t xml:space="preserve"> in addition to an overall analysis. If the same outcome is described in more than one paper, then the results are not independent and should not be treated as separate studies in a review, especially if a quantitative meta-analysis is </w:t>
      </w:r>
      <w:r w:rsidRPr="000C4C17">
        <w:rPr>
          <w:rFonts w:eastAsiaTheme="minorHAnsi" w:cstheme="minorBidi"/>
          <w:szCs w:val="22"/>
          <w:lang w:bidi="ar-SA"/>
        </w:rPr>
        <w:lastRenderedPageBreak/>
        <w:t xml:space="preserve">undertaken. Neither Johnson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 xml:space="preserve">(2014) or Bach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(2015) discuss how to manage multiple papers from the same dataset.</w:t>
      </w:r>
    </w:p>
    <w:p w14:paraId="524596DC" w14:textId="77777777" w:rsidR="00F8101A" w:rsidRPr="000C4C17" w:rsidRDefault="00F8101A" w:rsidP="00A111E9">
      <w:pPr>
        <w:widowControl/>
        <w:rPr>
          <w:rFonts w:eastAsiaTheme="minorHAnsi" w:cstheme="minorBidi"/>
          <w:szCs w:val="22"/>
          <w:lang w:bidi="ar-SA"/>
        </w:rPr>
      </w:pPr>
    </w:p>
    <w:p w14:paraId="52B966B0" w14:textId="18D5FB8A" w:rsidR="00F8101A" w:rsidRPr="000C4C17" w:rsidRDefault="00F8101A" w:rsidP="00A111E9">
      <w:pPr>
        <w:widowControl/>
        <w:rPr>
          <w:rFonts w:eastAsiaTheme="minorHAnsi" w:cstheme="minorBidi"/>
          <w:szCs w:val="22"/>
          <w:lang w:bidi="ar-SA"/>
        </w:rPr>
      </w:pPr>
      <w:r w:rsidRPr="000C4C17">
        <w:rPr>
          <w:rFonts w:eastAsiaTheme="minorHAnsi" w:cstheme="minorBidi"/>
          <w:szCs w:val="22"/>
          <w:lang w:bidi="ar-SA"/>
        </w:rPr>
        <w:t xml:space="preserve">As indicated in Tables </w:t>
      </w:r>
      <w:r w:rsidR="006B1629" w:rsidRPr="000C4C17">
        <w:rPr>
          <w:rFonts w:eastAsiaTheme="minorHAnsi" w:cstheme="minorBidi"/>
          <w:szCs w:val="22"/>
          <w:lang w:bidi="ar-SA"/>
        </w:rPr>
        <w:t>A1.</w:t>
      </w:r>
      <w:r w:rsidRPr="000C4C17">
        <w:rPr>
          <w:rFonts w:eastAsiaTheme="minorHAnsi" w:cstheme="minorBidi"/>
          <w:szCs w:val="22"/>
          <w:lang w:bidi="ar-SA"/>
        </w:rPr>
        <w:t xml:space="preserve">2 and </w:t>
      </w:r>
      <w:r w:rsidR="006B1629" w:rsidRPr="000C4C17">
        <w:rPr>
          <w:rFonts w:eastAsiaTheme="minorHAnsi" w:cstheme="minorBidi"/>
          <w:szCs w:val="22"/>
          <w:lang w:bidi="ar-SA"/>
        </w:rPr>
        <w:t>A1.</w:t>
      </w:r>
      <w:r w:rsidRPr="000C4C17">
        <w:rPr>
          <w:rFonts w:eastAsiaTheme="minorHAnsi" w:cstheme="minorBidi"/>
          <w:szCs w:val="22"/>
          <w:lang w:bidi="ar-SA"/>
        </w:rPr>
        <w:t xml:space="preserve">3, there are several examples of multiple papers reporting results from the same study in the compiled list. Some essential features of these papers are described in Table </w:t>
      </w:r>
      <w:r w:rsidR="006B1629" w:rsidRPr="000C4C17">
        <w:rPr>
          <w:rFonts w:eastAsiaTheme="minorHAnsi" w:cstheme="minorBidi"/>
          <w:szCs w:val="22"/>
          <w:lang w:bidi="ar-SA"/>
        </w:rPr>
        <w:t>A1.</w:t>
      </w:r>
      <w:r w:rsidRPr="000C4C17">
        <w:rPr>
          <w:rFonts w:eastAsiaTheme="minorHAnsi" w:cstheme="minorBidi"/>
          <w:szCs w:val="22"/>
          <w:lang w:bidi="ar-SA"/>
        </w:rPr>
        <w:t xml:space="preserve">4. From this, FSANZ selected papers that would not lead to multiple inclusions of the same results in its consideration. Darrow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 xml:space="preserve">(2013) was selected to include the results of the C8 study. The other C8 studies contain estimates of PFAS exposure calculated from job and residential histories and/or </w:t>
      </w:r>
      <w:r w:rsidR="00790A0E">
        <w:rPr>
          <w:rFonts w:eastAsiaTheme="minorHAnsi" w:cstheme="minorBidi"/>
          <w:szCs w:val="22"/>
          <w:lang w:bidi="ar-SA"/>
        </w:rPr>
        <w:t>analyse</w:t>
      </w:r>
      <w:r w:rsidRPr="000C4C17">
        <w:rPr>
          <w:rFonts w:eastAsiaTheme="minorHAnsi" w:cstheme="minorBidi"/>
          <w:szCs w:val="22"/>
          <w:lang w:bidi="ar-SA"/>
        </w:rPr>
        <w:t xml:space="preserve"> births which occurred prior to collection of blood samples, often many years prior. Darrow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 xml:space="preserve">(2013) </w:t>
      </w:r>
      <w:r w:rsidR="00E640BA">
        <w:rPr>
          <w:rFonts w:eastAsiaTheme="minorHAnsi" w:cstheme="minorBidi"/>
          <w:szCs w:val="22"/>
          <w:lang w:bidi="ar-SA"/>
        </w:rPr>
        <w:t xml:space="preserve">examine blood PFAS concentrations </w:t>
      </w:r>
      <w:r w:rsidRPr="000C4C17">
        <w:rPr>
          <w:rFonts w:eastAsiaTheme="minorHAnsi" w:cstheme="minorBidi"/>
          <w:szCs w:val="22"/>
          <w:lang w:bidi="ar-SA"/>
        </w:rPr>
        <w:t xml:space="preserve">and birthweight for two sets of infants: those who were born before or after the blood sample was drawn and those who were estimated to have been conceived after the blood sample was drawn. FSANZ has used the latter results because the prospective analysis allows </w:t>
      </w:r>
      <w:r w:rsidR="003E3B74">
        <w:rPr>
          <w:rFonts w:eastAsiaTheme="minorHAnsi" w:cstheme="minorBidi"/>
          <w:szCs w:val="22"/>
          <w:lang w:bidi="ar-SA"/>
        </w:rPr>
        <w:t>for</w:t>
      </w:r>
      <w:r w:rsidRPr="000C4C17">
        <w:rPr>
          <w:rFonts w:eastAsiaTheme="minorHAnsi" w:cstheme="minorBidi"/>
          <w:szCs w:val="22"/>
          <w:lang w:bidi="ar-SA"/>
        </w:rPr>
        <w:t xml:space="preserve"> greater certainty about the direction of the association.</w:t>
      </w:r>
    </w:p>
    <w:p w14:paraId="2DA555F0" w14:textId="77777777" w:rsidR="00F8101A" w:rsidRPr="000C4C17" w:rsidRDefault="00F8101A" w:rsidP="00A111E9">
      <w:pPr>
        <w:widowControl/>
        <w:rPr>
          <w:rFonts w:eastAsiaTheme="minorHAnsi" w:cstheme="minorBidi"/>
          <w:szCs w:val="22"/>
          <w:lang w:bidi="ar-SA"/>
        </w:rPr>
      </w:pPr>
    </w:p>
    <w:p w14:paraId="3ADEB686" w14:textId="28039115" w:rsidR="00F8101A" w:rsidRPr="000C4C17" w:rsidRDefault="00F8101A" w:rsidP="00A111E9">
      <w:pPr>
        <w:widowControl/>
        <w:rPr>
          <w:rFonts w:eastAsiaTheme="minorHAnsi" w:cstheme="minorBidi"/>
          <w:szCs w:val="22"/>
          <w:lang w:bidi="ar-SA"/>
        </w:rPr>
      </w:pPr>
      <w:r w:rsidRPr="000C4C17">
        <w:rPr>
          <w:rFonts w:eastAsiaTheme="minorHAnsi" w:cstheme="minorBidi"/>
          <w:szCs w:val="22"/>
          <w:lang w:bidi="ar-SA"/>
        </w:rPr>
        <w:t xml:space="preserve">Washino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 xml:space="preserve">(2009) was selected from the Sapporo Toho Study as the </w:t>
      </w:r>
      <w:r w:rsidR="003E3B74">
        <w:rPr>
          <w:rFonts w:eastAsiaTheme="minorHAnsi" w:cstheme="minorBidi"/>
          <w:szCs w:val="22"/>
          <w:lang w:bidi="ar-SA"/>
        </w:rPr>
        <w:t>remaining</w:t>
      </w:r>
      <w:r w:rsidRPr="000C4C17">
        <w:rPr>
          <w:rFonts w:eastAsiaTheme="minorHAnsi" w:cstheme="minorBidi"/>
          <w:szCs w:val="22"/>
          <w:lang w:bidi="ar-SA"/>
        </w:rPr>
        <w:t xml:space="preserve"> studies (Inoue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 xml:space="preserve">2004; </w:t>
      </w:r>
      <w:r w:rsidR="00B6643B" w:rsidRPr="000C4C17">
        <w:rPr>
          <w:rFonts w:eastAsiaTheme="minorHAnsi" w:cstheme="minorBidi"/>
          <w:szCs w:val="22"/>
          <w:lang w:bidi="ar-SA"/>
        </w:rPr>
        <w:t xml:space="preserve">Kishi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2015) appear to describe sub</w:t>
      </w:r>
      <w:r w:rsidR="00CC26CA">
        <w:rPr>
          <w:rFonts w:eastAsiaTheme="minorHAnsi" w:cstheme="minorBidi"/>
          <w:szCs w:val="22"/>
          <w:lang w:bidi="ar-SA"/>
        </w:rPr>
        <w:t>samples</w:t>
      </w:r>
      <w:r w:rsidRPr="000C4C17">
        <w:rPr>
          <w:rFonts w:eastAsiaTheme="minorHAnsi" w:cstheme="minorBidi"/>
          <w:szCs w:val="22"/>
          <w:lang w:bidi="ar-SA"/>
        </w:rPr>
        <w:t xml:space="preserve"> of this population. </w:t>
      </w:r>
      <w:r w:rsidR="00E640BA">
        <w:rPr>
          <w:rFonts w:eastAsiaTheme="minorHAnsi" w:cstheme="minorBidi"/>
          <w:szCs w:val="22"/>
          <w:lang w:bidi="ar-SA"/>
        </w:rPr>
        <w:t>All three Danish studies were included as they seem</w:t>
      </w:r>
      <w:r w:rsidRPr="000C4C17">
        <w:rPr>
          <w:rFonts w:eastAsiaTheme="minorHAnsi" w:cstheme="minorBidi"/>
          <w:szCs w:val="22"/>
          <w:lang w:bidi="ar-SA"/>
        </w:rPr>
        <w:t xml:space="preserve"> to be studying different set</w:t>
      </w:r>
      <w:r w:rsidR="00E640BA">
        <w:rPr>
          <w:rFonts w:eastAsiaTheme="minorHAnsi" w:cstheme="minorBidi"/>
          <w:szCs w:val="22"/>
          <w:lang w:bidi="ar-SA"/>
        </w:rPr>
        <w:t>s</w:t>
      </w:r>
      <w:r w:rsidRPr="000C4C17">
        <w:rPr>
          <w:rFonts w:eastAsiaTheme="minorHAnsi" w:cstheme="minorBidi"/>
          <w:szCs w:val="22"/>
          <w:lang w:bidi="ar-SA"/>
        </w:rPr>
        <w:t xml:space="preserve"> of infants.</w:t>
      </w:r>
    </w:p>
    <w:p w14:paraId="52CA5A2F" w14:textId="77777777" w:rsidR="00E06592" w:rsidRPr="000C4C17" w:rsidRDefault="00E06592" w:rsidP="00A111E9">
      <w:pPr>
        <w:widowControl/>
        <w:rPr>
          <w:rFonts w:eastAsiaTheme="minorHAnsi" w:cstheme="minorBidi"/>
          <w:i/>
          <w:szCs w:val="22"/>
          <w:lang w:bidi="ar-SA"/>
        </w:rPr>
      </w:pPr>
    </w:p>
    <w:p w14:paraId="4D43F9E7" w14:textId="681A22B5" w:rsidR="00F8101A" w:rsidRPr="000C4C17" w:rsidRDefault="00F8101A" w:rsidP="00A111E9">
      <w:pPr>
        <w:pStyle w:val="FSTableTitle"/>
        <w:rPr>
          <w:rFonts w:eastAsiaTheme="minorHAnsi" w:cstheme="minorBidi"/>
          <w:szCs w:val="22"/>
          <w:lang w:bidi="ar-SA"/>
        </w:rPr>
      </w:pPr>
      <w:r w:rsidRPr="000C4C17">
        <w:rPr>
          <w:rFonts w:eastAsiaTheme="minorHAnsi"/>
        </w:rPr>
        <w:t xml:space="preserve">Table </w:t>
      </w:r>
      <w:r w:rsidR="006B1629" w:rsidRPr="000C4C17">
        <w:rPr>
          <w:rFonts w:eastAsiaTheme="minorHAnsi"/>
          <w:lang w:bidi="ar-SA"/>
        </w:rPr>
        <w:t>A1.</w:t>
      </w:r>
      <w:r w:rsidRPr="000C4C17">
        <w:rPr>
          <w:rFonts w:eastAsiaTheme="minorHAnsi"/>
        </w:rPr>
        <w:t>4 Studies with multiple papers describing results</w:t>
      </w:r>
    </w:p>
    <w:tbl>
      <w:tblPr>
        <w:tblStyle w:val="TableGrid9"/>
        <w:tblW w:w="0" w:type="auto"/>
        <w:tblLayout w:type="fixed"/>
        <w:tblLook w:val="04A0" w:firstRow="1" w:lastRow="0" w:firstColumn="1" w:lastColumn="0" w:noHBand="0" w:noVBand="1"/>
        <w:tblCaption w:val="Table A1.4 Studies with multiple papers describing results"/>
        <w:tblDescription w:val="This table contains data relating to studies with multiple papers describing results."/>
      </w:tblPr>
      <w:tblGrid>
        <w:gridCol w:w="1449"/>
        <w:gridCol w:w="2530"/>
        <w:gridCol w:w="1374"/>
        <w:gridCol w:w="3933"/>
      </w:tblGrid>
      <w:tr w:rsidR="00F8101A" w:rsidRPr="000C4C17" w14:paraId="4D837EB2" w14:textId="77777777" w:rsidTr="000830C5">
        <w:trPr>
          <w:trHeight w:val="454"/>
          <w:tblHeader/>
        </w:trPr>
        <w:tc>
          <w:tcPr>
            <w:tcW w:w="1449" w:type="dxa"/>
            <w:shd w:val="clear" w:color="auto" w:fill="F2F2F2" w:themeFill="background1" w:themeFillShade="F2"/>
            <w:vAlign w:val="center"/>
          </w:tcPr>
          <w:p w14:paraId="43D6F18D" w14:textId="77777777" w:rsidR="00F8101A" w:rsidRPr="000C4C17" w:rsidRDefault="00F8101A" w:rsidP="00A111E9">
            <w:pPr>
              <w:widowControl/>
              <w:rPr>
                <w:rFonts w:eastAsiaTheme="minorHAnsi"/>
                <w:b/>
                <w:sz w:val="18"/>
              </w:rPr>
            </w:pPr>
            <w:r w:rsidRPr="000C4C17">
              <w:rPr>
                <w:rFonts w:eastAsiaTheme="minorHAnsi"/>
                <w:b/>
                <w:sz w:val="18"/>
              </w:rPr>
              <w:t>Study</w:t>
            </w:r>
          </w:p>
        </w:tc>
        <w:tc>
          <w:tcPr>
            <w:tcW w:w="2530" w:type="dxa"/>
            <w:shd w:val="clear" w:color="auto" w:fill="F2F2F2" w:themeFill="background1" w:themeFillShade="F2"/>
            <w:vAlign w:val="center"/>
          </w:tcPr>
          <w:p w14:paraId="27FD97E0" w14:textId="77777777" w:rsidR="00F8101A" w:rsidRPr="000C4C17" w:rsidRDefault="00F8101A" w:rsidP="00A111E9">
            <w:pPr>
              <w:widowControl/>
              <w:rPr>
                <w:rFonts w:eastAsiaTheme="minorHAnsi"/>
                <w:b/>
                <w:sz w:val="18"/>
              </w:rPr>
            </w:pPr>
            <w:r w:rsidRPr="000C4C17">
              <w:rPr>
                <w:rFonts w:eastAsiaTheme="minorHAnsi"/>
                <w:b/>
                <w:sz w:val="18"/>
              </w:rPr>
              <w:t>Brief description of the study</w:t>
            </w:r>
          </w:p>
        </w:tc>
        <w:tc>
          <w:tcPr>
            <w:tcW w:w="1374" w:type="dxa"/>
            <w:shd w:val="clear" w:color="auto" w:fill="F2F2F2" w:themeFill="background1" w:themeFillShade="F2"/>
            <w:vAlign w:val="center"/>
          </w:tcPr>
          <w:p w14:paraId="46B82432" w14:textId="77777777" w:rsidR="00F8101A" w:rsidRPr="000C4C17" w:rsidRDefault="00F8101A" w:rsidP="00A111E9">
            <w:pPr>
              <w:widowControl/>
              <w:rPr>
                <w:rFonts w:eastAsiaTheme="minorHAnsi"/>
                <w:b/>
                <w:sz w:val="18"/>
              </w:rPr>
            </w:pPr>
            <w:r w:rsidRPr="000C4C17">
              <w:rPr>
                <w:rFonts w:eastAsiaTheme="minorHAnsi"/>
                <w:b/>
                <w:sz w:val="18"/>
              </w:rPr>
              <w:t xml:space="preserve">Papers from this study </w:t>
            </w:r>
          </w:p>
        </w:tc>
        <w:tc>
          <w:tcPr>
            <w:tcW w:w="3933" w:type="dxa"/>
            <w:shd w:val="clear" w:color="auto" w:fill="F2F2F2" w:themeFill="background1" w:themeFillShade="F2"/>
            <w:vAlign w:val="center"/>
          </w:tcPr>
          <w:p w14:paraId="2151785E" w14:textId="77777777" w:rsidR="00F8101A" w:rsidRPr="000C4C17" w:rsidRDefault="00F8101A" w:rsidP="00A111E9">
            <w:pPr>
              <w:widowControl/>
              <w:rPr>
                <w:rFonts w:eastAsiaTheme="minorHAnsi"/>
                <w:b/>
                <w:sz w:val="18"/>
              </w:rPr>
            </w:pPr>
            <w:r w:rsidRPr="000C4C17">
              <w:rPr>
                <w:rFonts w:eastAsiaTheme="minorHAnsi"/>
                <w:b/>
                <w:sz w:val="18"/>
              </w:rPr>
              <w:t>Specific features of this paper</w:t>
            </w:r>
          </w:p>
        </w:tc>
      </w:tr>
      <w:tr w:rsidR="00F8101A" w:rsidRPr="000C4C17" w14:paraId="3B27484A" w14:textId="77777777" w:rsidTr="00D10449">
        <w:trPr>
          <w:trHeight w:val="1026"/>
        </w:trPr>
        <w:tc>
          <w:tcPr>
            <w:tcW w:w="1449" w:type="dxa"/>
            <w:vMerge w:val="restart"/>
          </w:tcPr>
          <w:p w14:paraId="48A0569E" w14:textId="77777777" w:rsidR="00F8101A" w:rsidRPr="000C4C17" w:rsidRDefault="00F8101A" w:rsidP="00A111E9">
            <w:pPr>
              <w:widowControl/>
              <w:spacing w:before="60"/>
              <w:rPr>
                <w:rFonts w:eastAsiaTheme="minorHAnsi"/>
                <w:sz w:val="18"/>
              </w:rPr>
            </w:pPr>
            <w:r w:rsidRPr="000C4C17">
              <w:rPr>
                <w:rFonts w:eastAsiaTheme="minorHAnsi"/>
                <w:sz w:val="18"/>
              </w:rPr>
              <w:t>C8 Health Project</w:t>
            </w:r>
          </w:p>
          <w:p w14:paraId="4A27D113" w14:textId="77777777" w:rsidR="00F8101A" w:rsidRPr="000C4C17" w:rsidRDefault="00F8101A" w:rsidP="00A111E9">
            <w:pPr>
              <w:widowControl/>
              <w:rPr>
                <w:rFonts w:eastAsiaTheme="minorHAnsi"/>
                <w:sz w:val="18"/>
              </w:rPr>
            </w:pPr>
          </w:p>
          <w:p w14:paraId="748CB265" w14:textId="412E4755" w:rsidR="00F8101A" w:rsidRPr="000C4C17" w:rsidRDefault="00F8101A" w:rsidP="00A111E9">
            <w:pPr>
              <w:widowControl/>
              <w:rPr>
                <w:rFonts w:eastAsiaTheme="minorHAnsi"/>
                <w:sz w:val="18"/>
              </w:rPr>
            </w:pPr>
            <w:r w:rsidRPr="000C4C17">
              <w:rPr>
                <w:rFonts w:eastAsiaTheme="minorHAnsi"/>
                <w:sz w:val="18"/>
              </w:rPr>
              <w:t>And the</w:t>
            </w:r>
          </w:p>
          <w:p w14:paraId="54A4CD7E" w14:textId="77777777" w:rsidR="00F8101A" w:rsidRPr="000C4C17" w:rsidRDefault="00F8101A" w:rsidP="00A111E9">
            <w:pPr>
              <w:widowControl/>
              <w:rPr>
                <w:rFonts w:eastAsiaTheme="minorHAnsi"/>
                <w:sz w:val="18"/>
              </w:rPr>
            </w:pPr>
          </w:p>
          <w:p w14:paraId="516C3DE7" w14:textId="77777777" w:rsidR="00F8101A" w:rsidRPr="000C4C17" w:rsidRDefault="00F8101A" w:rsidP="00A111E9">
            <w:pPr>
              <w:widowControl/>
              <w:rPr>
                <w:rFonts w:eastAsiaTheme="minorHAnsi"/>
                <w:sz w:val="18"/>
              </w:rPr>
            </w:pPr>
            <w:r w:rsidRPr="000C4C17">
              <w:rPr>
                <w:rFonts w:eastAsiaTheme="minorHAnsi"/>
                <w:sz w:val="18"/>
              </w:rPr>
              <w:t>C8 Community Follow-up Study</w:t>
            </w:r>
          </w:p>
          <w:p w14:paraId="408FACAC" w14:textId="77777777" w:rsidR="00F8101A" w:rsidRPr="000C4C17" w:rsidRDefault="00F8101A" w:rsidP="00A111E9">
            <w:pPr>
              <w:widowControl/>
              <w:rPr>
                <w:rFonts w:eastAsiaTheme="minorHAnsi"/>
                <w:sz w:val="18"/>
              </w:rPr>
            </w:pPr>
          </w:p>
        </w:tc>
        <w:tc>
          <w:tcPr>
            <w:tcW w:w="2530" w:type="dxa"/>
            <w:vMerge w:val="restart"/>
          </w:tcPr>
          <w:p w14:paraId="62E00F95" w14:textId="0F986B9B" w:rsidR="00F8101A" w:rsidRPr="000C4C17" w:rsidRDefault="00F8101A" w:rsidP="00A111E9">
            <w:pPr>
              <w:widowControl/>
              <w:spacing w:before="60"/>
              <w:rPr>
                <w:rFonts w:eastAsiaTheme="minorHAnsi"/>
                <w:color w:val="000000"/>
                <w:sz w:val="18"/>
              </w:rPr>
            </w:pPr>
            <w:r w:rsidRPr="000C4C17">
              <w:rPr>
                <w:rFonts w:eastAsiaTheme="minorHAnsi"/>
                <w:color w:val="000000"/>
                <w:sz w:val="18"/>
              </w:rPr>
              <w:t>The DuPont Company’s Washington Works factory has used PFOA in the manufacture of fluoropolymers since 1951, with use peaking in the 1990s. Community residents were exposed to high levels of PFOA through ground</w:t>
            </w:r>
            <w:r w:rsidRPr="000C4C17">
              <w:rPr>
                <w:rFonts w:eastAsiaTheme="minorHAnsi"/>
                <w:color w:val="000000"/>
                <w:sz w:val="18"/>
              </w:rPr>
              <w:softHyphen/>
              <w:t>water contamination (2005–2006 serum median = 28 ng/mL) with residents in cer</w:t>
            </w:r>
            <w:r w:rsidRPr="000C4C17">
              <w:rPr>
                <w:rFonts w:eastAsiaTheme="minorHAnsi"/>
                <w:color w:val="000000"/>
                <w:sz w:val="18"/>
              </w:rPr>
              <w:softHyphen/>
              <w:t>tain water distribution districts more highly exposed than others. PFOS levels were not elevated compared to background US levels.</w:t>
            </w:r>
          </w:p>
          <w:p w14:paraId="48C2C3CF" w14:textId="77777777" w:rsidR="00F8101A" w:rsidRPr="000C4C17" w:rsidRDefault="00F8101A" w:rsidP="00A111E9">
            <w:pPr>
              <w:widowControl/>
              <w:rPr>
                <w:rFonts w:eastAsiaTheme="minorHAnsi"/>
                <w:color w:val="000000"/>
                <w:sz w:val="18"/>
              </w:rPr>
            </w:pPr>
          </w:p>
          <w:p w14:paraId="72DEBFA0" w14:textId="6564DADE" w:rsidR="00F8101A" w:rsidRPr="000C4C17" w:rsidRDefault="00F8101A" w:rsidP="00A111E9">
            <w:pPr>
              <w:widowControl/>
              <w:autoSpaceDE w:val="0"/>
              <w:autoSpaceDN w:val="0"/>
              <w:adjustRightInd w:val="0"/>
              <w:rPr>
                <w:rFonts w:eastAsiaTheme="minorHAnsi"/>
                <w:color w:val="000000"/>
                <w:sz w:val="18"/>
              </w:rPr>
            </w:pPr>
            <w:r w:rsidRPr="000C4C17">
              <w:rPr>
                <w:rFonts w:eastAsiaTheme="minorHAnsi"/>
                <w:color w:val="000000"/>
                <w:sz w:val="18"/>
              </w:rPr>
              <w:t>The C8 Health Project is a survey of 69,030 people exposed to PFOA-contaminated drinking water in specific water districts in Ohio and West Virginia for at least 12 months between 1950 and 2004.</w:t>
            </w:r>
          </w:p>
          <w:p w14:paraId="666A5EC0" w14:textId="77777777" w:rsidR="00F8101A" w:rsidRPr="000C4C17" w:rsidRDefault="00F8101A" w:rsidP="00A111E9">
            <w:pPr>
              <w:widowControl/>
              <w:autoSpaceDE w:val="0"/>
              <w:autoSpaceDN w:val="0"/>
              <w:adjustRightInd w:val="0"/>
              <w:rPr>
                <w:rFonts w:eastAsiaTheme="minorHAnsi"/>
                <w:color w:val="000000"/>
                <w:sz w:val="18"/>
              </w:rPr>
            </w:pPr>
          </w:p>
          <w:p w14:paraId="19C1CEBC" w14:textId="6C190925" w:rsidR="00F8101A" w:rsidRPr="000C4C17" w:rsidRDefault="00F8101A" w:rsidP="00A111E9">
            <w:pPr>
              <w:widowControl/>
              <w:spacing w:after="60"/>
              <w:rPr>
                <w:rFonts w:eastAsiaTheme="minorHAnsi"/>
                <w:sz w:val="18"/>
              </w:rPr>
            </w:pPr>
            <w:r w:rsidRPr="000C4C17">
              <w:rPr>
                <w:rFonts w:eastAsiaTheme="minorHAnsi"/>
                <w:color w:val="000000"/>
                <w:sz w:val="18"/>
              </w:rPr>
              <w:t>A subset of participants who were at least 20 years old at the time of enrolment in the C8 Health Project (</w:t>
            </w:r>
            <w:r w:rsidRPr="000C4C17">
              <w:rPr>
                <w:rFonts w:eastAsiaTheme="minorHAnsi"/>
                <w:i/>
                <w:color w:val="000000"/>
                <w:sz w:val="18"/>
              </w:rPr>
              <w:t xml:space="preserve">n </w:t>
            </w:r>
            <w:r w:rsidRPr="000C4C17">
              <w:rPr>
                <w:rFonts w:eastAsiaTheme="minorHAnsi"/>
                <w:color w:val="000000"/>
                <w:sz w:val="18"/>
              </w:rPr>
              <w:t>= 32,254) participated in one or two follow-up interviews between 2008 and 2011</w:t>
            </w:r>
            <w:r w:rsidR="00914F3F" w:rsidRPr="000C4C17">
              <w:rPr>
                <w:rFonts w:eastAsiaTheme="minorHAnsi" w:cs="Arial"/>
                <w:color w:val="000000"/>
                <w:sz w:val="18"/>
                <w:szCs w:val="20"/>
                <w:lang w:bidi="ar-SA"/>
              </w:rPr>
              <w:t>.</w:t>
            </w:r>
          </w:p>
        </w:tc>
        <w:tc>
          <w:tcPr>
            <w:tcW w:w="1374" w:type="dxa"/>
            <w:tcBorders>
              <w:bottom w:val="single" w:sz="4" w:space="0" w:color="auto"/>
            </w:tcBorders>
            <w:vAlign w:val="center"/>
          </w:tcPr>
          <w:p w14:paraId="3B24B3C0" w14:textId="77777777" w:rsidR="00F8101A" w:rsidRPr="000C4C17" w:rsidRDefault="00F8101A" w:rsidP="00A111E9">
            <w:pPr>
              <w:widowControl/>
              <w:rPr>
                <w:rFonts w:eastAsiaTheme="minorHAnsi"/>
                <w:sz w:val="18"/>
              </w:rPr>
            </w:pPr>
            <w:r w:rsidRPr="000C4C17">
              <w:rPr>
                <w:rFonts w:eastAsiaTheme="minorHAnsi"/>
                <w:sz w:val="18"/>
              </w:rPr>
              <w:t>Stein 2009</w:t>
            </w:r>
          </w:p>
        </w:tc>
        <w:tc>
          <w:tcPr>
            <w:tcW w:w="3933" w:type="dxa"/>
            <w:tcBorders>
              <w:bottom w:val="single" w:sz="4" w:space="0" w:color="auto"/>
            </w:tcBorders>
            <w:vAlign w:val="center"/>
          </w:tcPr>
          <w:p w14:paraId="0A10A219" w14:textId="692D7460" w:rsidR="00F8101A" w:rsidRPr="000C4C17" w:rsidRDefault="00F8101A" w:rsidP="00A111E9">
            <w:pPr>
              <w:widowControl/>
              <w:rPr>
                <w:rFonts w:eastAsiaTheme="minorHAnsi"/>
                <w:sz w:val="18"/>
              </w:rPr>
            </w:pPr>
            <w:r w:rsidRPr="000C4C17">
              <w:rPr>
                <w:rFonts w:eastAsiaTheme="minorHAnsi"/>
                <w:color w:val="000000"/>
                <w:sz w:val="18"/>
              </w:rPr>
              <w:t xml:space="preserve">Pregnancies between 2000-5, </w:t>
            </w:r>
            <w:r w:rsidR="007F02A2">
              <w:rPr>
                <w:rFonts w:eastAsiaTheme="minorHAnsi"/>
                <w:color w:val="000000"/>
                <w:sz w:val="18"/>
              </w:rPr>
              <w:t>i</w:t>
            </w:r>
            <w:r w:rsidR="00104C8E" w:rsidRPr="000C4C17">
              <w:rPr>
                <w:rFonts w:eastAsiaTheme="minorHAnsi"/>
                <w:color w:val="000000"/>
                <w:sz w:val="18"/>
              </w:rPr>
              <w:t>.e.</w:t>
            </w:r>
            <w:r w:rsidRPr="000C4C17">
              <w:rPr>
                <w:rFonts w:eastAsiaTheme="minorHAnsi"/>
                <w:color w:val="000000"/>
                <w:sz w:val="18"/>
              </w:rPr>
              <w:t xml:space="preserve"> which occurred in the 5 years preceding the collection of blood Reports analyses for PFOS and PFOA.</w:t>
            </w:r>
          </w:p>
        </w:tc>
      </w:tr>
      <w:tr w:rsidR="00F8101A" w:rsidRPr="000C4C17" w14:paraId="3663F3BA" w14:textId="77777777" w:rsidTr="00D10449">
        <w:tc>
          <w:tcPr>
            <w:tcW w:w="1449" w:type="dxa"/>
            <w:vMerge/>
          </w:tcPr>
          <w:p w14:paraId="6D0D02FD" w14:textId="77777777" w:rsidR="00F8101A" w:rsidRPr="000C4C17" w:rsidRDefault="00F8101A" w:rsidP="00A111E9">
            <w:pPr>
              <w:widowControl/>
              <w:rPr>
                <w:rFonts w:eastAsiaTheme="minorHAnsi"/>
                <w:sz w:val="18"/>
              </w:rPr>
            </w:pPr>
          </w:p>
        </w:tc>
        <w:tc>
          <w:tcPr>
            <w:tcW w:w="2530" w:type="dxa"/>
            <w:vMerge/>
          </w:tcPr>
          <w:p w14:paraId="2738A863" w14:textId="77777777" w:rsidR="00F8101A" w:rsidRPr="000C4C17" w:rsidRDefault="00F8101A" w:rsidP="00A111E9">
            <w:pPr>
              <w:widowControl/>
              <w:rPr>
                <w:rFonts w:eastAsiaTheme="minorHAnsi"/>
                <w:sz w:val="18"/>
              </w:rPr>
            </w:pPr>
          </w:p>
        </w:tc>
        <w:tc>
          <w:tcPr>
            <w:tcW w:w="1374" w:type="dxa"/>
            <w:vAlign w:val="center"/>
          </w:tcPr>
          <w:p w14:paraId="43A096D6" w14:textId="77777777" w:rsidR="00F8101A" w:rsidRPr="000C4C17" w:rsidRDefault="00F8101A" w:rsidP="00A111E9">
            <w:pPr>
              <w:widowControl/>
              <w:rPr>
                <w:rFonts w:eastAsiaTheme="minorHAnsi"/>
                <w:sz w:val="18"/>
              </w:rPr>
            </w:pPr>
            <w:r w:rsidRPr="000C4C17">
              <w:rPr>
                <w:rFonts w:eastAsiaTheme="minorHAnsi"/>
                <w:sz w:val="18"/>
              </w:rPr>
              <w:t>Nolan 2010</w:t>
            </w:r>
          </w:p>
        </w:tc>
        <w:tc>
          <w:tcPr>
            <w:tcW w:w="3933" w:type="dxa"/>
            <w:vAlign w:val="center"/>
          </w:tcPr>
          <w:p w14:paraId="02C7646A" w14:textId="0FD67F23" w:rsidR="00F8101A" w:rsidRPr="000C4C17" w:rsidRDefault="00F8101A" w:rsidP="00A111E9">
            <w:pPr>
              <w:widowControl/>
              <w:spacing w:before="60" w:after="60"/>
              <w:rPr>
                <w:rFonts w:eastAsiaTheme="minorHAnsi"/>
                <w:color w:val="000000"/>
                <w:sz w:val="18"/>
              </w:rPr>
            </w:pPr>
            <w:r w:rsidRPr="000C4C17">
              <w:rPr>
                <w:rFonts w:eastAsiaTheme="minorHAnsi"/>
                <w:color w:val="000000"/>
                <w:sz w:val="18"/>
              </w:rPr>
              <w:t>Singleton live births in Washington County, Ohio, between 2003-5. PFOA exposure estimated from concentrations in drinking water and postcode of residence listed on the birth records. Analysed data for PFOA only.</w:t>
            </w:r>
          </w:p>
        </w:tc>
      </w:tr>
      <w:tr w:rsidR="00F8101A" w:rsidRPr="000C4C17" w14:paraId="556ACB63" w14:textId="77777777" w:rsidTr="00D10449">
        <w:tc>
          <w:tcPr>
            <w:tcW w:w="1449" w:type="dxa"/>
            <w:vMerge/>
          </w:tcPr>
          <w:p w14:paraId="3389E969" w14:textId="77777777" w:rsidR="00F8101A" w:rsidRPr="000C4C17" w:rsidRDefault="00F8101A" w:rsidP="00A111E9">
            <w:pPr>
              <w:widowControl/>
              <w:rPr>
                <w:rFonts w:eastAsiaTheme="minorHAnsi"/>
                <w:sz w:val="18"/>
              </w:rPr>
            </w:pPr>
          </w:p>
        </w:tc>
        <w:tc>
          <w:tcPr>
            <w:tcW w:w="2530" w:type="dxa"/>
            <w:vMerge/>
          </w:tcPr>
          <w:p w14:paraId="4CCC2C86" w14:textId="77777777" w:rsidR="00F8101A" w:rsidRPr="000C4C17" w:rsidRDefault="00F8101A" w:rsidP="00A111E9">
            <w:pPr>
              <w:widowControl/>
              <w:rPr>
                <w:rFonts w:eastAsiaTheme="minorHAnsi"/>
                <w:sz w:val="18"/>
              </w:rPr>
            </w:pPr>
          </w:p>
        </w:tc>
        <w:tc>
          <w:tcPr>
            <w:tcW w:w="1374" w:type="dxa"/>
            <w:vAlign w:val="center"/>
          </w:tcPr>
          <w:p w14:paraId="4FD4E02E" w14:textId="77777777" w:rsidR="00F8101A" w:rsidRPr="000C4C17" w:rsidRDefault="00F8101A" w:rsidP="00A111E9">
            <w:pPr>
              <w:widowControl/>
              <w:rPr>
                <w:rFonts w:eastAsiaTheme="minorHAnsi"/>
                <w:sz w:val="18"/>
              </w:rPr>
            </w:pPr>
            <w:r w:rsidRPr="000C4C17">
              <w:rPr>
                <w:rFonts w:eastAsiaTheme="minorHAnsi"/>
                <w:sz w:val="18"/>
              </w:rPr>
              <w:t>Savitz 2012a</w:t>
            </w:r>
          </w:p>
        </w:tc>
        <w:tc>
          <w:tcPr>
            <w:tcW w:w="3933" w:type="dxa"/>
            <w:vAlign w:val="center"/>
          </w:tcPr>
          <w:p w14:paraId="34A913D6" w14:textId="7F3AC82C" w:rsidR="00F8101A" w:rsidRPr="000C4C17" w:rsidRDefault="00F8101A" w:rsidP="00A111E9">
            <w:pPr>
              <w:widowControl/>
              <w:spacing w:before="60" w:after="60"/>
              <w:rPr>
                <w:rFonts w:eastAsiaTheme="minorHAnsi"/>
                <w:color w:val="000000"/>
                <w:sz w:val="18"/>
              </w:rPr>
            </w:pPr>
            <w:r w:rsidRPr="000C4C17">
              <w:rPr>
                <w:rFonts w:eastAsiaTheme="minorHAnsi"/>
                <w:color w:val="000000"/>
                <w:sz w:val="18"/>
              </w:rPr>
              <w:t>Pregnancies occurring between 1900-2006 with self-reported birth outcomes and estimated exposure based on residential and work history (including 133 term low birthweight babies). Would include preg</w:t>
            </w:r>
            <w:r w:rsidR="00B6643B" w:rsidRPr="000C4C17">
              <w:rPr>
                <w:rFonts w:eastAsiaTheme="minorHAnsi"/>
                <w:color w:val="000000"/>
                <w:sz w:val="18"/>
              </w:rPr>
              <w:t xml:space="preserve">nancies analysed by Stein </w:t>
            </w:r>
            <w:r w:rsidR="00180A32" w:rsidRPr="00180A32">
              <w:rPr>
                <w:rFonts w:eastAsiaTheme="minorHAnsi"/>
                <w:i/>
                <w:color w:val="000000"/>
                <w:sz w:val="18"/>
              </w:rPr>
              <w:t xml:space="preserve">et al. </w:t>
            </w:r>
            <w:r w:rsidR="00CC50B8">
              <w:rPr>
                <w:rFonts w:eastAsiaTheme="minorHAnsi"/>
                <w:color w:val="000000"/>
                <w:sz w:val="18"/>
              </w:rPr>
              <w:t xml:space="preserve"> </w:t>
            </w:r>
            <w:r w:rsidRPr="000C4C17">
              <w:rPr>
                <w:rFonts w:eastAsiaTheme="minorHAnsi"/>
                <w:color w:val="000000"/>
                <w:sz w:val="18"/>
              </w:rPr>
              <w:t xml:space="preserve">2009. PFOA exposure only. </w:t>
            </w:r>
          </w:p>
        </w:tc>
      </w:tr>
      <w:tr w:rsidR="00F8101A" w:rsidRPr="000C4C17" w14:paraId="221C87B1" w14:textId="77777777" w:rsidTr="00D10449">
        <w:tc>
          <w:tcPr>
            <w:tcW w:w="1449" w:type="dxa"/>
            <w:vMerge/>
          </w:tcPr>
          <w:p w14:paraId="7D097C36" w14:textId="77777777" w:rsidR="00F8101A" w:rsidRPr="000C4C17" w:rsidRDefault="00F8101A" w:rsidP="00A111E9">
            <w:pPr>
              <w:widowControl/>
              <w:rPr>
                <w:rFonts w:eastAsiaTheme="minorHAnsi"/>
                <w:sz w:val="18"/>
              </w:rPr>
            </w:pPr>
          </w:p>
        </w:tc>
        <w:tc>
          <w:tcPr>
            <w:tcW w:w="2530" w:type="dxa"/>
            <w:vMerge/>
          </w:tcPr>
          <w:p w14:paraId="6FEF2F5B" w14:textId="77777777" w:rsidR="00F8101A" w:rsidRPr="000C4C17" w:rsidRDefault="00F8101A" w:rsidP="00A111E9">
            <w:pPr>
              <w:widowControl/>
              <w:rPr>
                <w:rFonts w:eastAsiaTheme="minorHAnsi"/>
                <w:sz w:val="18"/>
              </w:rPr>
            </w:pPr>
          </w:p>
        </w:tc>
        <w:tc>
          <w:tcPr>
            <w:tcW w:w="1374" w:type="dxa"/>
            <w:vAlign w:val="center"/>
          </w:tcPr>
          <w:p w14:paraId="45F8AD1F" w14:textId="200CBDAC" w:rsidR="00F8101A" w:rsidRPr="000C4C17" w:rsidRDefault="00F8101A" w:rsidP="00A111E9">
            <w:pPr>
              <w:widowControl/>
              <w:rPr>
                <w:rFonts w:eastAsiaTheme="minorHAnsi"/>
                <w:sz w:val="18"/>
              </w:rPr>
            </w:pPr>
            <w:r w:rsidRPr="000C4C17">
              <w:rPr>
                <w:rFonts w:eastAsiaTheme="minorHAnsi"/>
                <w:color w:val="000000"/>
                <w:sz w:val="18"/>
              </w:rPr>
              <w:t xml:space="preserve">Savitz </w:t>
            </w:r>
            <w:r w:rsidRPr="000C4C17">
              <w:rPr>
                <w:rFonts w:eastAsiaTheme="minorHAnsi"/>
                <w:sz w:val="18"/>
              </w:rPr>
              <w:t>2012b.</w:t>
            </w:r>
          </w:p>
        </w:tc>
        <w:tc>
          <w:tcPr>
            <w:tcW w:w="3933" w:type="dxa"/>
            <w:vAlign w:val="center"/>
          </w:tcPr>
          <w:p w14:paraId="701649DD" w14:textId="29C2872B" w:rsidR="00F8101A" w:rsidRPr="000C4C17" w:rsidRDefault="00F8101A" w:rsidP="00A111E9">
            <w:pPr>
              <w:widowControl/>
              <w:spacing w:before="60" w:after="60"/>
              <w:rPr>
                <w:rFonts w:eastAsiaTheme="minorHAnsi"/>
                <w:sz w:val="18"/>
              </w:rPr>
            </w:pPr>
            <w:r w:rsidRPr="000C4C17">
              <w:rPr>
                <w:rFonts w:eastAsiaTheme="minorHAnsi"/>
                <w:color w:val="000000"/>
                <w:sz w:val="18"/>
              </w:rPr>
              <w:t>Study 1: 4534 term births (including 918 term low birthweight babies) occurring 1990-2004, i.e. preceding collection of blood. Study 2: is based on birth records linked to the C8 project, includes additional geographic areas compared to Study 1 and has reconstructed residential history. PFOA exposure only.</w:t>
            </w:r>
          </w:p>
        </w:tc>
      </w:tr>
      <w:tr w:rsidR="00F8101A" w:rsidRPr="000C4C17" w14:paraId="78858F2F" w14:textId="77777777" w:rsidTr="00D10449">
        <w:tc>
          <w:tcPr>
            <w:tcW w:w="1449" w:type="dxa"/>
            <w:vMerge/>
          </w:tcPr>
          <w:p w14:paraId="3B8E5410" w14:textId="77777777" w:rsidR="00F8101A" w:rsidRPr="000C4C17" w:rsidRDefault="00F8101A" w:rsidP="00A111E9">
            <w:pPr>
              <w:widowControl/>
              <w:rPr>
                <w:rFonts w:eastAsiaTheme="minorHAnsi"/>
                <w:sz w:val="18"/>
              </w:rPr>
            </w:pPr>
          </w:p>
        </w:tc>
        <w:tc>
          <w:tcPr>
            <w:tcW w:w="2530" w:type="dxa"/>
            <w:vMerge/>
          </w:tcPr>
          <w:p w14:paraId="5E3BBD95" w14:textId="77777777" w:rsidR="00F8101A" w:rsidRPr="000C4C17" w:rsidRDefault="00F8101A" w:rsidP="00A111E9">
            <w:pPr>
              <w:widowControl/>
              <w:rPr>
                <w:rFonts w:eastAsiaTheme="minorHAnsi"/>
                <w:sz w:val="18"/>
              </w:rPr>
            </w:pPr>
          </w:p>
        </w:tc>
        <w:tc>
          <w:tcPr>
            <w:tcW w:w="1374" w:type="dxa"/>
            <w:vAlign w:val="center"/>
          </w:tcPr>
          <w:p w14:paraId="34E4D9D1" w14:textId="77777777" w:rsidR="00F8101A" w:rsidRPr="000C4C17" w:rsidRDefault="00F8101A" w:rsidP="00A111E9">
            <w:pPr>
              <w:widowControl/>
              <w:rPr>
                <w:rFonts w:eastAsiaTheme="minorHAnsi"/>
                <w:sz w:val="18"/>
              </w:rPr>
            </w:pPr>
            <w:r w:rsidRPr="000C4C17">
              <w:rPr>
                <w:rFonts w:eastAsiaTheme="minorHAnsi"/>
                <w:sz w:val="18"/>
              </w:rPr>
              <w:t>Darrow, 2013</w:t>
            </w:r>
          </w:p>
        </w:tc>
        <w:tc>
          <w:tcPr>
            <w:tcW w:w="3933" w:type="dxa"/>
            <w:vAlign w:val="center"/>
          </w:tcPr>
          <w:p w14:paraId="4A84F4DA" w14:textId="77777777" w:rsidR="00F8101A" w:rsidRPr="000C4C17" w:rsidRDefault="00F8101A" w:rsidP="00A111E9">
            <w:pPr>
              <w:widowControl/>
              <w:autoSpaceDE w:val="0"/>
              <w:autoSpaceDN w:val="0"/>
              <w:adjustRightInd w:val="0"/>
              <w:rPr>
                <w:rFonts w:eastAsiaTheme="minorHAnsi"/>
                <w:color w:val="000000"/>
                <w:sz w:val="18"/>
              </w:rPr>
            </w:pPr>
            <w:r w:rsidRPr="000C4C17">
              <w:rPr>
                <w:rFonts w:eastAsiaTheme="minorHAnsi"/>
                <w:color w:val="000000"/>
                <w:sz w:val="18"/>
              </w:rPr>
              <w:t>Singleton live births in white women between 2005-10 to Community Follow-up Study participants who enrolled in the Study between 2005-6, including births that occurred before enrolment. Analyses PFOS and PFOA.</w:t>
            </w:r>
          </w:p>
          <w:p w14:paraId="69B22570" w14:textId="77777777" w:rsidR="00F8101A" w:rsidRPr="000C4C17" w:rsidRDefault="00F8101A" w:rsidP="00A111E9">
            <w:pPr>
              <w:widowControl/>
              <w:autoSpaceDE w:val="0"/>
              <w:autoSpaceDN w:val="0"/>
              <w:adjustRightInd w:val="0"/>
              <w:rPr>
                <w:rFonts w:eastAsiaTheme="minorHAnsi"/>
                <w:color w:val="000000"/>
                <w:sz w:val="18"/>
              </w:rPr>
            </w:pPr>
          </w:p>
          <w:p w14:paraId="72531625" w14:textId="77777777" w:rsidR="00F8101A" w:rsidRPr="000C4C17" w:rsidRDefault="00F8101A" w:rsidP="00A111E9">
            <w:pPr>
              <w:widowControl/>
              <w:autoSpaceDE w:val="0"/>
              <w:autoSpaceDN w:val="0"/>
              <w:adjustRightInd w:val="0"/>
              <w:rPr>
                <w:rFonts w:eastAsiaTheme="minorHAnsi"/>
                <w:sz w:val="18"/>
              </w:rPr>
            </w:pPr>
          </w:p>
        </w:tc>
      </w:tr>
      <w:tr w:rsidR="00F8101A" w:rsidRPr="000C4C17" w14:paraId="631F9A08" w14:textId="77777777" w:rsidTr="00D10449">
        <w:tc>
          <w:tcPr>
            <w:tcW w:w="1449" w:type="dxa"/>
            <w:vMerge w:val="restart"/>
          </w:tcPr>
          <w:p w14:paraId="36D3071E" w14:textId="77777777" w:rsidR="00F8101A" w:rsidRPr="000C4C17" w:rsidRDefault="00F8101A" w:rsidP="00A111E9">
            <w:pPr>
              <w:widowControl/>
              <w:spacing w:before="60"/>
              <w:rPr>
                <w:rFonts w:eastAsiaTheme="minorHAnsi"/>
                <w:sz w:val="18"/>
              </w:rPr>
            </w:pPr>
            <w:r w:rsidRPr="000C4C17">
              <w:rPr>
                <w:rFonts w:eastAsiaTheme="minorHAnsi"/>
                <w:sz w:val="18"/>
              </w:rPr>
              <w:t>Sapporo Toho Hospitals Study</w:t>
            </w:r>
          </w:p>
          <w:p w14:paraId="58C4EC47" w14:textId="77777777" w:rsidR="00F8101A" w:rsidRPr="000C4C17" w:rsidRDefault="00F8101A" w:rsidP="00A111E9">
            <w:pPr>
              <w:widowControl/>
              <w:rPr>
                <w:rFonts w:eastAsiaTheme="minorHAnsi"/>
                <w:sz w:val="18"/>
              </w:rPr>
            </w:pPr>
          </w:p>
          <w:p w14:paraId="15A94C97" w14:textId="77777777" w:rsidR="00F8101A" w:rsidRPr="000C4C17" w:rsidRDefault="00F8101A" w:rsidP="00A111E9">
            <w:pPr>
              <w:widowControl/>
              <w:rPr>
                <w:rFonts w:eastAsiaTheme="minorHAnsi"/>
                <w:sz w:val="18"/>
              </w:rPr>
            </w:pPr>
          </w:p>
        </w:tc>
        <w:tc>
          <w:tcPr>
            <w:tcW w:w="2530" w:type="dxa"/>
            <w:vMerge w:val="restart"/>
          </w:tcPr>
          <w:p w14:paraId="1AEC0CCE" w14:textId="6CB874E9" w:rsidR="00F8101A" w:rsidRPr="000C4C17" w:rsidRDefault="00F8101A" w:rsidP="00A111E9">
            <w:pPr>
              <w:widowControl/>
              <w:spacing w:before="60"/>
              <w:rPr>
                <w:rFonts w:eastAsiaTheme="minorHAnsi"/>
                <w:sz w:val="18"/>
              </w:rPr>
            </w:pPr>
            <w:r w:rsidRPr="000C4C17">
              <w:rPr>
                <w:rFonts w:eastAsiaTheme="minorHAnsi"/>
                <w:sz w:val="18"/>
              </w:rPr>
              <w:lastRenderedPageBreak/>
              <w:t>One cohort was recruited at the Toho Hospital in Sapporo late in pregnancy.</w:t>
            </w:r>
          </w:p>
          <w:p w14:paraId="6CB40D68" w14:textId="77777777" w:rsidR="00F8101A" w:rsidRPr="000C4C17" w:rsidRDefault="00F8101A" w:rsidP="00A111E9">
            <w:pPr>
              <w:widowControl/>
              <w:rPr>
                <w:rFonts w:eastAsiaTheme="minorHAnsi"/>
                <w:sz w:val="18"/>
              </w:rPr>
            </w:pPr>
          </w:p>
          <w:p w14:paraId="52732F10" w14:textId="5ED5E90F" w:rsidR="00F8101A" w:rsidRPr="000C4C17" w:rsidRDefault="00F8101A" w:rsidP="00A111E9">
            <w:pPr>
              <w:widowControl/>
              <w:spacing w:after="60"/>
              <w:rPr>
                <w:rFonts w:eastAsiaTheme="minorHAnsi"/>
                <w:sz w:val="18"/>
              </w:rPr>
            </w:pPr>
            <w:r w:rsidRPr="000C4C17">
              <w:rPr>
                <w:rFonts w:eastAsiaTheme="minorHAnsi"/>
                <w:sz w:val="18"/>
              </w:rPr>
              <w:t xml:space="preserve">The same research group is also conducting a large scale Hokkaido-wide study which recruited pregnant women early in pregnancy (Kishi </w:t>
            </w:r>
            <w:r w:rsidR="00180A32" w:rsidRPr="00180A32">
              <w:rPr>
                <w:rFonts w:eastAsiaTheme="minorHAnsi"/>
                <w:i/>
                <w:sz w:val="18"/>
              </w:rPr>
              <w:t xml:space="preserve">et al. </w:t>
            </w:r>
            <w:r w:rsidRPr="000C4C17">
              <w:rPr>
                <w:rFonts w:eastAsiaTheme="minorHAnsi"/>
                <w:sz w:val="18"/>
              </w:rPr>
              <w:t xml:space="preserve"> 2011) but not reports of the association between PFAS and birthweight were found relating to the larger cohort study. </w:t>
            </w:r>
          </w:p>
        </w:tc>
        <w:tc>
          <w:tcPr>
            <w:tcW w:w="1374" w:type="dxa"/>
            <w:vAlign w:val="center"/>
          </w:tcPr>
          <w:p w14:paraId="27E16263" w14:textId="77777777" w:rsidR="00F8101A" w:rsidRPr="000C4C17" w:rsidRDefault="00F8101A" w:rsidP="00A111E9">
            <w:pPr>
              <w:widowControl/>
              <w:rPr>
                <w:rFonts w:eastAsiaTheme="minorHAnsi"/>
                <w:sz w:val="18"/>
              </w:rPr>
            </w:pPr>
            <w:r w:rsidRPr="000C4C17">
              <w:rPr>
                <w:rFonts w:eastAsiaTheme="minorHAnsi"/>
                <w:sz w:val="18"/>
              </w:rPr>
              <w:lastRenderedPageBreak/>
              <w:t>Inoue, 2004</w:t>
            </w:r>
          </w:p>
        </w:tc>
        <w:tc>
          <w:tcPr>
            <w:tcW w:w="3933" w:type="dxa"/>
          </w:tcPr>
          <w:p w14:paraId="0C88472F" w14:textId="69F7AF63" w:rsidR="00F8101A" w:rsidRPr="000C4C17" w:rsidRDefault="00F8101A" w:rsidP="00A111E9">
            <w:pPr>
              <w:widowControl/>
              <w:spacing w:before="60" w:after="60"/>
              <w:rPr>
                <w:rFonts w:eastAsiaTheme="minorHAnsi"/>
                <w:sz w:val="18"/>
              </w:rPr>
            </w:pPr>
            <w:r w:rsidRPr="000C4C17">
              <w:rPr>
                <w:rFonts w:eastAsiaTheme="minorHAnsi"/>
                <w:sz w:val="18"/>
              </w:rPr>
              <w:t>15 subjects recruited between February and July 2003;only 3 women had detectable levels of PFOA; appears t</w:t>
            </w:r>
            <w:r w:rsidR="00B6643B" w:rsidRPr="000C4C17">
              <w:rPr>
                <w:rFonts w:eastAsiaTheme="minorHAnsi"/>
                <w:sz w:val="18"/>
              </w:rPr>
              <w:t>o be a sub</w:t>
            </w:r>
            <w:r w:rsidR="00CC26CA">
              <w:rPr>
                <w:rFonts w:eastAsiaTheme="minorHAnsi"/>
                <w:sz w:val="18"/>
              </w:rPr>
              <w:t>set</w:t>
            </w:r>
            <w:r w:rsidR="00B6643B" w:rsidRPr="000C4C17">
              <w:rPr>
                <w:rFonts w:eastAsiaTheme="minorHAnsi"/>
                <w:sz w:val="18"/>
              </w:rPr>
              <w:t xml:space="preserve"> of Washino </w:t>
            </w:r>
            <w:r w:rsidR="00180A32" w:rsidRPr="00180A32">
              <w:rPr>
                <w:rFonts w:eastAsiaTheme="minorHAnsi"/>
                <w:i/>
                <w:sz w:val="18"/>
              </w:rPr>
              <w:lastRenderedPageBreak/>
              <w:t xml:space="preserve">et al. </w:t>
            </w:r>
            <w:r w:rsidR="00CC50B8">
              <w:rPr>
                <w:rFonts w:eastAsiaTheme="minorHAnsi"/>
                <w:sz w:val="18"/>
              </w:rPr>
              <w:t xml:space="preserve"> </w:t>
            </w:r>
            <w:r w:rsidRPr="000C4C17">
              <w:rPr>
                <w:rFonts w:eastAsiaTheme="minorHAnsi"/>
                <w:sz w:val="18"/>
              </w:rPr>
              <w:t>2009.</w:t>
            </w:r>
          </w:p>
        </w:tc>
      </w:tr>
      <w:tr w:rsidR="00F8101A" w:rsidRPr="000C4C17" w14:paraId="4D4957F5" w14:textId="77777777" w:rsidTr="00D10449">
        <w:tc>
          <w:tcPr>
            <w:tcW w:w="1449" w:type="dxa"/>
            <w:vMerge/>
          </w:tcPr>
          <w:p w14:paraId="4E651B71" w14:textId="77777777" w:rsidR="00F8101A" w:rsidRPr="000C4C17" w:rsidRDefault="00F8101A" w:rsidP="00A111E9">
            <w:pPr>
              <w:widowControl/>
              <w:rPr>
                <w:rFonts w:eastAsiaTheme="minorHAnsi"/>
                <w:sz w:val="18"/>
              </w:rPr>
            </w:pPr>
          </w:p>
        </w:tc>
        <w:tc>
          <w:tcPr>
            <w:tcW w:w="2530" w:type="dxa"/>
            <w:vMerge/>
          </w:tcPr>
          <w:p w14:paraId="17DAA588" w14:textId="77777777" w:rsidR="00F8101A" w:rsidRPr="000C4C17" w:rsidRDefault="00F8101A" w:rsidP="00A111E9">
            <w:pPr>
              <w:widowControl/>
              <w:rPr>
                <w:rFonts w:eastAsiaTheme="minorHAnsi"/>
                <w:sz w:val="18"/>
              </w:rPr>
            </w:pPr>
          </w:p>
        </w:tc>
        <w:tc>
          <w:tcPr>
            <w:tcW w:w="1374" w:type="dxa"/>
            <w:vAlign w:val="center"/>
          </w:tcPr>
          <w:p w14:paraId="3A0CFFF7" w14:textId="77777777" w:rsidR="00F8101A" w:rsidRPr="000C4C17" w:rsidRDefault="00F8101A" w:rsidP="00A111E9">
            <w:pPr>
              <w:widowControl/>
              <w:rPr>
                <w:rFonts w:eastAsiaTheme="minorHAnsi"/>
                <w:sz w:val="18"/>
              </w:rPr>
            </w:pPr>
            <w:r w:rsidRPr="000C4C17">
              <w:rPr>
                <w:rFonts w:eastAsiaTheme="minorHAnsi"/>
                <w:sz w:val="18"/>
              </w:rPr>
              <w:t>Washino, 2009</w:t>
            </w:r>
          </w:p>
        </w:tc>
        <w:tc>
          <w:tcPr>
            <w:tcW w:w="3933" w:type="dxa"/>
          </w:tcPr>
          <w:p w14:paraId="1FC46AFE" w14:textId="77777777" w:rsidR="00F8101A" w:rsidRPr="000C4C17" w:rsidRDefault="00F8101A" w:rsidP="00A111E9">
            <w:pPr>
              <w:widowControl/>
              <w:spacing w:before="60" w:after="60"/>
              <w:rPr>
                <w:rFonts w:eastAsiaTheme="minorHAnsi"/>
                <w:sz w:val="18"/>
              </w:rPr>
            </w:pPr>
            <w:r w:rsidRPr="000C4C17">
              <w:rPr>
                <w:rFonts w:eastAsiaTheme="minorHAnsi"/>
                <w:sz w:val="18"/>
              </w:rPr>
              <w:t>Data from 428 subjects recruited between 2002-5.</w:t>
            </w:r>
          </w:p>
        </w:tc>
      </w:tr>
      <w:tr w:rsidR="00F8101A" w:rsidRPr="000C4C17" w14:paraId="1AFC0A06" w14:textId="77777777" w:rsidTr="00D10449">
        <w:tc>
          <w:tcPr>
            <w:tcW w:w="1449" w:type="dxa"/>
            <w:vMerge/>
          </w:tcPr>
          <w:p w14:paraId="11C02900" w14:textId="77777777" w:rsidR="00F8101A" w:rsidRPr="000C4C17" w:rsidRDefault="00F8101A" w:rsidP="00A111E9">
            <w:pPr>
              <w:widowControl/>
              <w:rPr>
                <w:rFonts w:eastAsiaTheme="minorHAnsi"/>
                <w:sz w:val="18"/>
              </w:rPr>
            </w:pPr>
          </w:p>
        </w:tc>
        <w:tc>
          <w:tcPr>
            <w:tcW w:w="2530" w:type="dxa"/>
            <w:vMerge/>
          </w:tcPr>
          <w:p w14:paraId="13F1940F" w14:textId="77777777" w:rsidR="00F8101A" w:rsidRPr="000C4C17" w:rsidRDefault="00F8101A" w:rsidP="00A111E9">
            <w:pPr>
              <w:widowControl/>
              <w:rPr>
                <w:rFonts w:eastAsiaTheme="minorHAnsi"/>
                <w:sz w:val="18"/>
              </w:rPr>
            </w:pPr>
          </w:p>
        </w:tc>
        <w:tc>
          <w:tcPr>
            <w:tcW w:w="1374" w:type="dxa"/>
            <w:vAlign w:val="center"/>
          </w:tcPr>
          <w:p w14:paraId="35C9B9A0" w14:textId="77777777" w:rsidR="00F8101A" w:rsidRPr="000C4C17" w:rsidRDefault="00F8101A" w:rsidP="00A111E9">
            <w:pPr>
              <w:widowControl/>
              <w:rPr>
                <w:rFonts w:eastAsiaTheme="minorHAnsi"/>
                <w:sz w:val="18"/>
              </w:rPr>
            </w:pPr>
            <w:r w:rsidRPr="000C4C17">
              <w:rPr>
                <w:rFonts w:eastAsiaTheme="minorHAnsi"/>
                <w:sz w:val="18"/>
              </w:rPr>
              <w:t>Kishi, 2015</w:t>
            </w:r>
          </w:p>
        </w:tc>
        <w:tc>
          <w:tcPr>
            <w:tcW w:w="3933" w:type="dxa"/>
          </w:tcPr>
          <w:p w14:paraId="16E2EF1E" w14:textId="317243EA" w:rsidR="00F8101A" w:rsidRPr="000C4C17" w:rsidRDefault="00F8101A" w:rsidP="00A111E9">
            <w:pPr>
              <w:widowControl/>
              <w:spacing w:before="60"/>
              <w:rPr>
                <w:rFonts w:eastAsiaTheme="minorHAnsi"/>
                <w:sz w:val="18"/>
              </w:rPr>
            </w:pPr>
            <w:r w:rsidRPr="000C4C17">
              <w:rPr>
                <w:rFonts w:eastAsiaTheme="minorHAnsi"/>
                <w:sz w:val="18"/>
              </w:rPr>
              <w:t>Describes the combined effects of PFAS and serum fatty acids on birthweight in subjects recruited between 2002-5; appears t</w:t>
            </w:r>
            <w:r w:rsidR="00B6643B" w:rsidRPr="000C4C17">
              <w:rPr>
                <w:rFonts w:eastAsiaTheme="minorHAnsi"/>
                <w:sz w:val="18"/>
              </w:rPr>
              <w:t>o be a sub</w:t>
            </w:r>
            <w:r w:rsidR="00CC26CA">
              <w:rPr>
                <w:rFonts w:eastAsiaTheme="minorHAnsi"/>
                <w:sz w:val="18"/>
              </w:rPr>
              <w:t>set</w:t>
            </w:r>
            <w:r w:rsidR="00B6643B" w:rsidRPr="000C4C17">
              <w:rPr>
                <w:rFonts w:eastAsiaTheme="minorHAnsi"/>
                <w:sz w:val="18"/>
              </w:rPr>
              <w:t xml:space="preserve"> of Washino </w:t>
            </w:r>
            <w:r w:rsidR="00180A32" w:rsidRPr="00180A32">
              <w:rPr>
                <w:rFonts w:eastAsiaTheme="minorHAnsi"/>
                <w:i/>
                <w:sz w:val="18"/>
              </w:rPr>
              <w:t xml:space="preserve">et al. </w:t>
            </w:r>
            <w:r w:rsidR="00CC50B8">
              <w:rPr>
                <w:rFonts w:eastAsiaTheme="minorHAnsi"/>
                <w:sz w:val="18"/>
              </w:rPr>
              <w:t xml:space="preserve"> </w:t>
            </w:r>
            <w:r w:rsidRPr="000C4C17">
              <w:rPr>
                <w:rFonts w:eastAsiaTheme="minorHAnsi"/>
                <w:sz w:val="18"/>
              </w:rPr>
              <w:t>2009</w:t>
            </w:r>
          </w:p>
        </w:tc>
      </w:tr>
      <w:tr w:rsidR="00F8101A" w:rsidRPr="000C4C17" w14:paraId="7CA3A327" w14:textId="77777777" w:rsidTr="00F6284E">
        <w:tc>
          <w:tcPr>
            <w:tcW w:w="1449" w:type="dxa"/>
            <w:vMerge w:val="restart"/>
          </w:tcPr>
          <w:p w14:paraId="52193D87" w14:textId="27FACECC" w:rsidR="00F8101A" w:rsidRPr="000C4C17" w:rsidRDefault="005F4D20" w:rsidP="00A111E9">
            <w:pPr>
              <w:spacing w:before="60"/>
              <w:rPr>
                <w:rFonts w:eastAsiaTheme="minorHAnsi"/>
                <w:sz w:val="18"/>
              </w:rPr>
            </w:pPr>
            <w:r w:rsidRPr="000C4C17">
              <w:rPr>
                <w:rFonts w:eastAsiaTheme="minorHAnsi"/>
                <w:sz w:val="18"/>
              </w:rPr>
              <w:t>Danish Studies</w:t>
            </w:r>
          </w:p>
        </w:tc>
        <w:tc>
          <w:tcPr>
            <w:tcW w:w="2530" w:type="dxa"/>
            <w:vMerge w:val="restart"/>
          </w:tcPr>
          <w:p w14:paraId="2D5A4A79" w14:textId="77777777" w:rsidR="00F8101A" w:rsidRPr="000C4C17" w:rsidRDefault="00F8101A" w:rsidP="00A111E9">
            <w:pPr>
              <w:widowControl/>
              <w:rPr>
                <w:rFonts w:eastAsiaTheme="minorHAnsi"/>
                <w:sz w:val="18"/>
              </w:rPr>
            </w:pPr>
          </w:p>
        </w:tc>
        <w:tc>
          <w:tcPr>
            <w:tcW w:w="1374" w:type="dxa"/>
            <w:vAlign w:val="center"/>
          </w:tcPr>
          <w:p w14:paraId="7BE7C30B" w14:textId="40AD73F7" w:rsidR="00F8101A" w:rsidRPr="000C4C17" w:rsidRDefault="00F8101A" w:rsidP="00A111E9">
            <w:pPr>
              <w:widowControl/>
              <w:rPr>
                <w:rFonts w:eastAsiaTheme="minorHAnsi"/>
                <w:sz w:val="18"/>
              </w:rPr>
            </w:pPr>
            <w:r w:rsidRPr="000C4C17">
              <w:rPr>
                <w:rFonts w:eastAsiaTheme="minorHAnsi"/>
                <w:sz w:val="18"/>
              </w:rPr>
              <w:t xml:space="preserve">Fei </w:t>
            </w:r>
            <w:r w:rsidR="00180A32" w:rsidRPr="00180A32">
              <w:rPr>
                <w:rFonts w:eastAsiaTheme="minorHAnsi"/>
                <w:i/>
                <w:sz w:val="18"/>
              </w:rPr>
              <w:t xml:space="preserve">et al. </w:t>
            </w:r>
            <w:r w:rsidR="00CC50B8">
              <w:rPr>
                <w:rFonts w:eastAsiaTheme="minorHAnsi"/>
                <w:sz w:val="18"/>
              </w:rPr>
              <w:t xml:space="preserve"> </w:t>
            </w:r>
            <w:r w:rsidRPr="000C4C17">
              <w:rPr>
                <w:rFonts w:eastAsiaTheme="minorHAnsi"/>
                <w:sz w:val="18"/>
              </w:rPr>
              <w:t>2007</w:t>
            </w:r>
          </w:p>
        </w:tc>
        <w:tc>
          <w:tcPr>
            <w:tcW w:w="3933" w:type="dxa"/>
          </w:tcPr>
          <w:p w14:paraId="05327AF4" w14:textId="05DC69F3" w:rsidR="00F8101A" w:rsidRPr="000C4C17" w:rsidRDefault="00F8101A" w:rsidP="00A111E9">
            <w:pPr>
              <w:widowControl/>
              <w:spacing w:before="60" w:after="60"/>
              <w:rPr>
                <w:rFonts w:eastAsiaTheme="minorHAnsi"/>
                <w:sz w:val="18"/>
              </w:rPr>
            </w:pPr>
            <w:r w:rsidRPr="000C4C17">
              <w:rPr>
                <w:rFonts w:eastAsiaTheme="minorHAnsi"/>
                <w:sz w:val="18"/>
              </w:rPr>
              <w:t xml:space="preserve">Danish National Birth Cohort which recruited women between March 1996 and November 2002 from 60% of GPs and had a response rate of Fei </w:t>
            </w:r>
            <w:r w:rsidR="00180A32" w:rsidRPr="00180A32">
              <w:rPr>
                <w:rFonts w:eastAsiaTheme="minorHAnsi"/>
                <w:i/>
                <w:sz w:val="18"/>
              </w:rPr>
              <w:t xml:space="preserve">et al. </w:t>
            </w:r>
            <w:r w:rsidR="00CC50B8">
              <w:rPr>
                <w:rFonts w:eastAsiaTheme="minorHAnsi"/>
                <w:sz w:val="18"/>
              </w:rPr>
              <w:t xml:space="preserve"> </w:t>
            </w:r>
            <w:r w:rsidRPr="000C4C17">
              <w:rPr>
                <w:rFonts w:eastAsiaTheme="minorHAnsi"/>
                <w:sz w:val="18"/>
              </w:rPr>
              <w:t>2002 took a small random sample of those responding to all questionnaires and having both maternal and cord blood</w:t>
            </w:r>
            <w:r w:rsidR="00986779">
              <w:rPr>
                <w:rFonts w:eastAsiaTheme="minorHAnsi"/>
                <w:sz w:val="18"/>
              </w:rPr>
              <w:t>.</w:t>
            </w:r>
          </w:p>
        </w:tc>
      </w:tr>
      <w:tr w:rsidR="00F8101A" w:rsidRPr="000C4C17" w14:paraId="3EF18781" w14:textId="77777777" w:rsidTr="00D10449">
        <w:tc>
          <w:tcPr>
            <w:tcW w:w="1449" w:type="dxa"/>
            <w:vMerge/>
          </w:tcPr>
          <w:p w14:paraId="2CB6F812" w14:textId="100C493A" w:rsidR="00F8101A" w:rsidRPr="000C4C17" w:rsidRDefault="00F8101A" w:rsidP="00A111E9">
            <w:pPr>
              <w:widowControl/>
              <w:spacing w:before="60"/>
              <w:rPr>
                <w:rFonts w:eastAsiaTheme="minorHAnsi"/>
                <w:sz w:val="18"/>
              </w:rPr>
            </w:pPr>
          </w:p>
        </w:tc>
        <w:tc>
          <w:tcPr>
            <w:tcW w:w="2530" w:type="dxa"/>
            <w:vMerge/>
          </w:tcPr>
          <w:p w14:paraId="02578968" w14:textId="77777777" w:rsidR="00F8101A" w:rsidRPr="000C4C17" w:rsidRDefault="00F8101A" w:rsidP="00A111E9">
            <w:pPr>
              <w:widowControl/>
              <w:rPr>
                <w:rFonts w:eastAsiaTheme="minorHAnsi"/>
                <w:sz w:val="18"/>
              </w:rPr>
            </w:pPr>
          </w:p>
        </w:tc>
        <w:tc>
          <w:tcPr>
            <w:tcW w:w="1374" w:type="dxa"/>
            <w:vAlign w:val="center"/>
          </w:tcPr>
          <w:p w14:paraId="733F1D77" w14:textId="77777777" w:rsidR="00F8101A" w:rsidRPr="000C4C17" w:rsidRDefault="00F8101A" w:rsidP="00A111E9">
            <w:pPr>
              <w:widowControl/>
              <w:rPr>
                <w:rFonts w:eastAsiaTheme="minorHAnsi"/>
                <w:sz w:val="18"/>
              </w:rPr>
            </w:pPr>
            <w:r w:rsidRPr="000C4C17">
              <w:rPr>
                <w:rFonts w:eastAsiaTheme="minorHAnsi"/>
                <w:sz w:val="18"/>
              </w:rPr>
              <w:t>Halldorsson, 2012</w:t>
            </w:r>
          </w:p>
        </w:tc>
        <w:tc>
          <w:tcPr>
            <w:tcW w:w="3933" w:type="dxa"/>
          </w:tcPr>
          <w:p w14:paraId="575A5166" w14:textId="6E9816AC" w:rsidR="00F8101A" w:rsidRPr="000C4C17" w:rsidRDefault="00F8101A" w:rsidP="00A111E9">
            <w:pPr>
              <w:widowControl/>
              <w:spacing w:before="60" w:after="60"/>
              <w:rPr>
                <w:rFonts w:eastAsiaTheme="minorHAnsi"/>
                <w:sz w:val="18"/>
              </w:rPr>
            </w:pPr>
            <w:r w:rsidRPr="000C4C17">
              <w:rPr>
                <w:rFonts w:eastAsiaTheme="minorHAnsi"/>
                <w:sz w:val="18"/>
              </w:rPr>
              <w:t xml:space="preserve">Refers to women recruited in 1988-9 at the Aarhus Hospital with blood analysed for PFOA. Not possible to determine whether there is any overlap with the women in Fei </w:t>
            </w:r>
            <w:r w:rsidR="00180A32" w:rsidRPr="00180A32">
              <w:rPr>
                <w:rFonts w:eastAsiaTheme="minorHAnsi"/>
                <w:i/>
                <w:sz w:val="18"/>
              </w:rPr>
              <w:t xml:space="preserve">et al. </w:t>
            </w:r>
            <w:r w:rsidR="00CC50B8">
              <w:rPr>
                <w:rFonts w:eastAsiaTheme="minorHAnsi"/>
                <w:sz w:val="18"/>
              </w:rPr>
              <w:t xml:space="preserve"> </w:t>
            </w:r>
            <w:r w:rsidRPr="000C4C17">
              <w:rPr>
                <w:rFonts w:eastAsiaTheme="minorHAnsi"/>
                <w:sz w:val="18"/>
              </w:rPr>
              <w:t>although it seems unlikely that women would agree to be in two separate cohort studies involving questionnaires and blood sampling during the same pregnancy</w:t>
            </w:r>
            <w:r w:rsidR="00180A32">
              <w:rPr>
                <w:rFonts w:eastAsiaTheme="minorHAnsi"/>
                <w:sz w:val="18"/>
              </w:rPr>
              <w:t>.</w:t>
            </w:r>
            <w:r w:rsidRPr="000C4C17">
              <w:rPr>
                <w:rFonts w:eastAsiaTheme="minorHAnsi"/>
                <w:sz w:val="18"/>
              </w:rPr>
              <w:t xml:space="preserve"> </w:t>
            </w:r>
          </w:p>
        </w:tc>
      </w:tr>
      <w:tr w:rsidR="00F8101A" w:rsidRPr="000C4C17" w14:paraId="7B39144E" w14:textId="77777777" w:rsidTr="00D10449">
        <w:tc>
          <w:tcPr>
            <w:tcW w:w="1449" w:type="dxa"/>
            <w:vMerge/>
          </w:tcPr>
          <w:p w14:paraId="52E82459" w14:textId="77777777" w:rsidR="00F8101A" w:rsidRPr="000C4C17" w:rsidRDefault="00F8101A" w:rsidP="00A111E9">
            <w:pPr>
              <w:widowControl/>
              <w:rPr>
                <w:rFonts w:eastAsiaTheme="minorHAnsi"/>
                <w:sz w:val="18"/>
              </w:rPr>
            </w:pPr>
          </w:p>
        </w:tc>
        <w:tc>
          <w:tcPr>
            <w:tcW w:w="2530" w:type="dxa"/>
            <w:vMerge/>
          </w:tcPr>
          <w:p w14:paraId="2EC744EC" w14:textId="77777777" w:rsidR="00F8101A" w:rsidRPr="000C4C17" w:rsidRDefault="00F8101A" w:rsidP="00A111E9">
            <w:pPr>
              <w:widowControl/>
              <w:rPr>
                <w:rFonts w:eastAsiaTheme="minorHAnsi"/>
                <w:sz w:val="18"/>
              </w:rPr>
            </w:pPr>
          </w:p>
        </w:tc>
        <w:tc>
          <w:tcPr>
            <w:tcW w:w="1374" w:type="dxa"/>
            <w:vAlign w:val="center"/>
          </w:tcPr>
          <w:p w14:paraId="2DABDC5D" w14:textId="77777777" w:rsidR="00F8101A" w:rsidRPr="000C4C17" w:rsidRDefault="00F8101A" w:rsidP="00A111E9">
            <w:pPr>
              <w:widowControl/>
              <w:rPr>
                <w:rFonts w:eastAsiaTheme="minorHAnsi"/>
                <w:sz w:val="18"/>
              </w:rPr>
            </w:pPr>
            <w:r w:rsidRPr="000C4C17">
              <w:rPr>
                <w:rFonts w:eastAsiaTheme="minorHAnsi"/>
                <w:sz w:val="18"/>
              </w:rPr>
              <w:t>Bach, 2016</w:t>
            </w:r>
          </w:p>
        </w:tc>
        <w:tc>
          <w:tcPr>
            <w:tcW w:w="3933" w:type="dxa"/>
          </w:tcPr>
          <w:p w14:paraId="4E93127D" w14:textId="07A9825C" w:rsidR="00F8101A" w:rsidRPr="000C4C17" w:rsidRDefault="00F8101A" w:rsidP="00A111E9">
            <w:pPr>
              <w:widowControl/>
              <w:spacing w:before="60"/>
              <w:rPr>
                <w:rFonts w:eastAsiaTheme="minorHAnsi"/>
                <w:sz w:val="18"/>
              </w:rPr>
            </w:pPr>
            <w:r w:rsidRPr="000C4C17">
              <w:rPr>
                <w:rFonts w:eastAsiaTheme="minorHAnsi"/>
                <w:sz w:val="18"/>
              </w:rPr>
              <w:t>Random selection of women recruited 2008-13</w:t>
            </w:r>
            <w:r w:rsidR="000C4C17">
              <w:rPr>
                <w:rFonts w:eastAsiaTheme="minorHAnsi"/>
                <w:sz w:val="18"/>
              </w:rPr>
              <w:t xml:space="preserve">. </w:t>
            </w:r>
            <w:r w:rsidRPr="000C4C17">
              <w:rPr>
                <w:rFonts w:eastAsiaTheme="minorHAnsi"/>
                <w:sz w:val="18"/>
              </w:rPr>
              <w:t xml:space="preserve">Although this study states that it analyses data from the Danish National Birth Cohort Study, the timing of pregnancies that the subjects do not overlap with those of Fei </w:t>
            </w:r>
            <w:r w:rsidR="00180A32" w:rsidRPr="00180A32">
              <w:rPr>
                <w:rFonts w:eastAsiaTheme="minorHAnsi"/>
                <w:i/>
                <w:sz w:val="18"/>
              </w:rPr>
              <w:t xml:space="preserve">et al. </w:t>
            </w:r>
            <w:r w:rsidR="00CC50B8">
              <w:rPr>
                <w:rFonts w:eastAsiaTheme="minorHAnsi"/>
                <w:sz w:val="18"/>
              </w:rPr>
              <w:t xml:space="preserve"> </w:t>
            </w:r>
            <w:r w:rsidRPr="000C4C17">
              <w:rPr>
                <w:rFonts w:eastAsiaTheme="minorHAnsi"/>
                <w:sz w:val="18"/>
              </w:rPr>
              <w:t xml:space="preserve">(2007) or Haldorssen </w:t>
            </w:r>
            <w:r w:rsidR="00180A32" w:rsidRPr="00180A32">
              <w:rPr>
                <w:rFonts w:eastAsiaTheme="minorHAnsi"/>
                <w:i/>
                <w:sz w:val="18"/>
              </w:rPr>
              <w:t xml:space="preserve">et al. </w:t>
            </w:r>
            <w:r w:rsidR="00CC50B8">
              <w:rPr>
                <w:rFonts w:eastAsiaTheme="minorHAnsi"/>
                <w:sz w:val="18"/>
              </w:rPr>
              <w:t xml:space="preserve"> </w:t>
            </w:r>
            <w:r w:rsidRPr="000C4C17">
              <w:rPr>
                <w:rFonts w:eastAsiaTheme="minorHAnsi"/>
                <w:sz w:val="18"/>
              </w:rPr>
              <w:t xml:space="preserve">(2012). Results were presented for all births and for term births; the data for all subjects was used as Johnson </w:t>
            </w:r>
            <w:r w:rsidR="00180A32" w:rsidRPr="00180A32">
              <w:rPr>
                <w:rFonts w:eastAsiaTheme="minorHAnsi"/>
                <w:i/>
                <w:sz w:val="18"/>
              </w:rPr>
              <w:t xml:space="preserve">et al. </w:t>
            </w:r>
            <w:r w:rsidR="00CC50B8">
              <w:rPr>
                <w:rFonts w:eastAsiaTheme="minorHAnsi"/>
                <w:sz w:val="18"/>
              </w:rPr>
              <w:t xml:space="preserve"> </w:t>
            </w:r>
            <w:r w:rsidRPr="000C4C17">
              <w:rPr>
                <w:rFonts w:eastAsiaTheme="minorHAnsi"/>
                <w:sz w:val="18"/>
              </w:rPr>
              <w:t>(2014) do not refer to restricting their analysis to term births.</w:t>
            </w:r>
          </w:p>
        </w:tc>
      </w:tr>
    </w:tbl>
    <w:p w14:paraId="6E57F216" w14:textId="77777777" w:rsidR="00F8101A" w:rsidRPr="000C4C17" w:rsidRDefault="00F8101A" w:rsidP="00A366A0">
      <w:pPr>
        <w:pStyle w:val="Heading4"/>
      </w:pPr>
      <w:bookmarkStart w:id="493" w:name="_Toc468716478"/>
      <w:bookmarkStart w:id="494" w:name="_Toc468709465"/>
      <w:bookmarkStart w:id="495" w:name="_Toc468717765"/>
      <w:bookmarkStart w:id="496" w:name="_Toc468718409"/>
      <w:bookmarkStart w:id="497" w:name="_Toc468712786"/>
      <w:r w:rsidRPr="000C4C17">
        <w:t>Analytical variability across the studies</w:t>
      </w:r>
      <w:bookmarkEnd w:id="493"/>
      <w:bookmarkEnd w:id="494"/>
      <w:bookmarkEnd w:id="495"/>
      <w:bookmarkEnd w:id="496"/>
      <w:bookmarkEnd w:id="497"/>
    </w:p>
    <w:p w14:paraId="54F5FBEF" w14:textId="08A38E9A" w:rsidR="00E640BA" w:rsidRDefault="00F8101A" w:rsidP="00A111E9">
      <w:pPr>
        <w:widowControl/>
        <w:rPr>
          <w:rFonts w:eastAsiaTheme="minorHAnsi" w:cstheme="minorBidi"/>
          <w:szCs w:val="22"/>
          <w:lang w:bidi="ar-SA"/>
        </w:rPr>
      </w:pPr>
      <w:r w:rsidRPr="000C4C17">
        <w:rPr>
          <w:rFonts w:eastAsiaTheme="minorHAnsi" w:cstheme="minorBidi"/>
          <w:szCs w:val="22"/>
          <w:lang w:bidi="ar-SA"/>
        </w:rPr>
        <w:t xml:space="preserve">A notable feature of Tables </w:t>
      </w:r>
      <w:r w:rsidR="006B1629" w:rsidRPr="000C4C17">
        <w:rPr>
          <w:rFonts w:eastAsiaTheme="minorHAnsi" w:cstheme="minorBidi"/>
          <w:szCs w:val="22"/>
          <w:lang w:bidi="ar-SA"/>
        </w:rPr>
        <w:t>A1.</w:t>
      </w:r>
      <w:r w:rsidRPr="000C4C17">
        <w:rPr>
          <w:rFonts w:eastAsiaTheme="minorHAnsi" w:cstheme="minorBidi"/>
          <w:szCs w:val="22"/>
          <w:lang w:bidi="ar-SA"/>
        </w:rPr>
        <w:t xml:space="preserve">2 and </w:t>
      </w:r>
      <w:r w:rsidR="006B1629" w:rsidRPr="000C4C17">
        <w:rPr>
          <w:rFonts w:eastAsiaTheme="minorHAnsi" w:cstheme="minorBidi"/>
          <w:szCs w:val="22"/>
          <w:lang w:bidi="ar-SA"/>
        </w:rPr>
        <w:t>A1.</w:t>
      </w:r>
      <w:r w:rsidRPr="000C4C17">
        <w:rPr>
          <w:rFonts w:eastAsiaTheme="minorHAnsi" w:cstheme="minorBidi"/>
          <w:szCs w:val="22"/>
          <w:lang w:bidi="ar-SA"/>
        </w:rPr>
        <w:t xml:space="preserve">3 is the variety of ways that authors have described the association between PFAS and birthweight. Consequently, the results reported in the various papers cannot be combined to derive an overall average estimate. As described below, Johnson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(2014) contacted authors and asked them to re</w:t>
      </w:r>
      <w:r w:rsidR="00032CF6">
        <w:rPr>
          <w:rFonts w:eastAsiaTheme="minorHAnsi" w:cstheme="minorBidi"/>
          <w:szCs w:val="22"/>
          <w:lang w:bidi="ar-SA"/>
        </w:rPr>
        <w:t>analysis</w:t>
      </w:r>
      <w:r w:rsidRPr="000C4C17">
        <w:rPr>
          <w:rFonts w:eastAsiaTheme="minorHAnsi" w:cstheme="minorBidi"/>
          <w:szCs w:val="22"/>
          <w:lang w:bidi="ar-SA"/>
        </w:rPr>
        <w:t xml:space="preserve"> their PFOA data in a common analytical format. These results have been used in FSANZ’s update. </w:t>
      </w:r>
    </w:p>
    <w:p w14:paraId="48F166E5" w14:textId="77777777" w:rsidR="00E640BA" w:rsidRDefault="00E640BA" w:rsidP="00A111E9">
      <w:pPr>
        <w:widowControl/>
        <w:rPr>
          <w:rFonts w:eastAsiaTheme="minorHAnsi" w:cstheme="minorBidi"/>
          <w:szCs w:val="22"/>
          <w:lang w:bidi="ar-SA"/>
        </w:rPr>
      </w:pPr>
    </w:p>
    <w:p w14:paraId="0EB75090" w14:textId="77777777" w:rsidR="00064C40" w:rsidRDefault="00F8101A" w:rsidP="00A111E9">
      <w:pPr>
        <w:widowControl/>
        <w:rPr>
          <w:rFonts w:eastAsiaTheme="minorHAnsi" w:cstheme="minorBidi"/>
          <w:szCs w:val="22"/>
          <w:lang w:bidi="ar-SA"/>
        </w:rPr>
      </w:pPr>
      <w:r w:rsidRPr="000C4C17" w:rsidDel="00E640BA">
        <w:rPr>
          <w:rFonts w:eastAsiaTheme="minorHAnsi" w:cstheme="minorBidi"/>
          <w:szCs w:val="22"/>
          <w:lang w:bidi="ar-SA"/>
        </w:rPr>
        <w:t xml:space="preserve">Table </w:t>
      </w:r>
      <w:r w:rsidR="006B1629" w:rsidRPr="000C4C17" w:rsidDel="00E640BA">
        <w:rPr>
          <w:rFonts w:eastAsiaTheme="minorHAnsi" w:cstheme="minorBidi"/>
          <w:szCs w:val="22"/>
          <w:lang w:bidi="ar-SA"/>
        </w:rPr>
        <w:t>A1.</w:t>
      </w:r>
      <w:r w:rsidRPr="000C4C17" w:rsidDel="00E640BA">
        <w:rPr>
          <w:rFonts w:eastAsiaTheme="minorHAnsi" w:cstheme="minorBidi"/>
          <w:szCs w:val="22"/>
          <w:lang w:bidi="ar-SA"/>
        </w:rPr>
        <w:t>5 shows the consolidated list of studies that FSANZ w</w:t>
      </w:r>
      <w:r w:rsidR="00E640BA">
        <w:rPr>
          <w:rFonts w:eastAsiaTheme="minorHAnsi" w:cstheme="minorBidi"/>
          <w:szCs w:val="22"/>
          <w:lang w:bidi="ar-SA"/>
        </w:rPr>
        <w:t>ill</w:t>
      </w:r>
      <w:r w:rsidRPr="000C4C17" w:rsidDel="00E640BA">
        <w:rPr>
          <w:rFonts w:eastAsiaTheme="minorHAnsi" w:cstheme="minorBidi"/>
          <w:szCs w:val="22"/>
          <w:lang w:bidi="ar-SA"/>
        </w:rPr>
        <w:t xml:space="preserve"> include in </w:t>
      </w:r>
      <w:r w:rsidR="00E640BA">
        <w:rPr>
          <w:rFonts w:eastAsiaTheme="minorHAnsi" w:cstheme="minorBidi"/>
          <w:szCs w:val="22"/>
          <w:lang w:bidi="ar-SA"/>
        </w:rPr>
        <w:t>its</w:t>
      </w:r>
      <w:r w:rsidRPr="000C4C17" w:rsidDel="00E640BA">
        <w:rPr>
          <w:rFonts w:eastAsiaTheme="minorHAnsi" w:cstheme="minorBidi"/>
          <w:szCs w:val="22"/>
          <w:lang w:bidi="ar-SA"/>
        </w:rPr>
        <w:t xml:space="preserve"> assessment. </w:t>
      </w:r>
      <w:r w:rsidR="00E640BA">
        <w:rPr>
          <w:rFonts w:eastAsiaTheme="minorHAnsi" w:cstheme="minorBidi"/>
          <w:szCs w:val="22"/>
          <w:lang w:bidi="ar-SA"/>
        </w:rPr>
        <w:t>M</w:t>
      </w:r>
      <w:r w:rsidR="00E640BA" w:rsidRPr="000C4C17">
        <w:rPr>
          <w:rFonts w:eastAsiaTheme="minorHAnsi" w:cstheme="minorBidi"/>
          <w:szCs w:val="22"/>
          <w:lang w:bidi="ar-SA"/>
        </w:rPr>
        <w:t xml:space="preserve">ost studies report analyses for both PFOS and PFOA. </w:t>
      </w:r>
      <w:r w:rsidR="00E640BA">
        <w:rPr>
          <w:rFonts w:eastAsiaTheme="minorHAnsi" w:cstheme="minorBidi"/>
          <w:szCs w:val="22"/>
          <w:lang w:bidi="ar-SA"/>
        </w:rPr>
        <w:t>Most</w:t>
      </w:r>
      <w:r w:rsidR="00E640BA" w:rsidRPr="000C4C17">
        <w:rPr>
          <w:rFonts w:eastAsiaTheme="minorHAnsi" w:cstheme="minorBidi"/>
          <w:szCs w:val="22"/>
          <w:lang w:bidi="ar-SA"/>
        </w:rPr>
        <w:t xml:space="preserve"> studies</w:t>
      </w:r>
      <w:r w:rsidR="00E640BA">
        <w:rPr>
          <w:rFonts w:eastAsiaTheme="minorHAnsi" w:cstheme="minorBidi"/>
          <w:szCs w:val="22"/>
          <w:lang w:bidi="ar-SA"/>
        </w:rPr>
        <w:t xml:space="preserve"> had</w:t>
      </w:r>
      <w:r w:rsidR="00E640BA" w:rsidRPr="000C4C17">
        <w:rPr>
          <w:rFonts w:eastAsiaTheme="minorHAnsi" w:cstheme="minorBidi"/>
          <w:szCs w:val="22"/>
          <w:lang w:bidi="ar-SA"/>
        </w:rPr>
        <w:t xml:space="preserve"> average </w:t>
      </w:r>
      <w:r w:rsidR="00E640BA">
        <w:rPr>
          <w:rFonts w:eastAsiaTheme="minorHAnsi" w:cstheme="minorBidi"/>
          <w:szCs w:val="22"/>
          <w:lang w:bidi="ar-SA"/>
        </w:rPr>
        <w:t>PFOA c</w:t>
      </w:r>
      <w:r w:rsidR="00ED4273">
        <w:rPr>
          <w:rFonts w:eastAsiaTheme="minorHAnsi" w:cstheme="minorBidi"/>
          <w:szCs w:val="22"/>
          <w:lang w:bidi="ar-SA"/>
        </w:rPr>
        <w:t>o</w:t>
      </w:r>
      <w:r w:rsidR="00E640BA">
        <w:rPr>
          <w:rFonts w:eastAsiaTheme="minorHAnsi" w:cstheme="minorBidi"/>
          <w:szCs w:val="22"/>
          <w:lang w:bidi="ar-SA"/>
        </w:rPr>
        <w:t xml:space="preserve">ncentrations less than 4 ng/mL and average </w:t>
      </w:r>
      <w:r w:rsidR="00E640BA" w:rsidRPr="000C4C17">
        <w:rPr>
          <w:rFonts w:eastAsiaTheme="minorHAnsi" w:cstheme="minorBidi"/>
          <w:szCs w:val="22"/>
          <w:lang w:bidi="ar-SA"/>
        </w:rPr>
        <w:t xml:space="preserve">PFOS concentrations </w:t>
      </w:r>
      <w:r w:rsidR="00E640BA">
        <w:rPr>
          <w:rFonts w:eastAsiaTheme="minorHAnsi" w:cstheme="minorBidi"/>
          <w:szCs w:val="22"/>
          <w:lang w:bidi="ar-SA"/>
        </w:rPr>
        <w:t xml:space="preserve">less than 20 ng/mL (Figure A1.1). </w:t>
      </w:r>
      <w:r w:rsidR="00E640BA" w:rsidRPr="000C4C17">
        <w:rPr>
          <w:rFonts w:eastAsiaTheme="minorHAnsi" w:cstheme="minorBidi"/>
          <w:szCs w:val="22"/>
          <w:lang w:bidi="ar-SA"/>
        </w:rPr>
        <w:t xml:space="preserve">Although Figure A1.1 shows that there was no association across the studies between PFOA and PFOS, there was an association within the </w:t>
      </w:r>
      <w:r w:rsidR="00E640BA">
        <w:rPr>
          <w:rFonts w:eastAsiaTheme="minorHAnsi" w:cstheme="minorBidi"/>
          <w:szCs w:val="22"/>
          <w:lang w:bidi="ar-SA"/>
        </w:rPr>
        <w:t xml:space="preserve">populations examined in </w:t>
      </w:r>
      <w:r w:rsidR="00E640BA" w:rsidRPr="000C4C17">
        <w:rPr>
          <w:rFonts w:eastAsiaTheme="minorHAnsi" w:cstheme="minorBidi"/>
          <w:szCs w:val="22"/>
          <w:lang w:bidi="ar-SA"/>
        </w:rPr>
        <w:t>the studies (see below).</w:t>
      </w:r>
      <w:r w:rsidR="00E640BA">
        <w:rPr>
          <w:rFonts w:eastAsiaTheme="minorHAnsi" w:cstheme="minorBidi"/>
          <w:szCs w:val="22"/>
          <w:lang w:bidi="ar-SA"/>
        </w:rPr>
        <w:t xml:space="preserve"> </w:t>
      </w:r>
      <w:r w:rsidRPr="000C4C17">
        <w:rPr>
          <w:rFonts w:eastAsiaTheme="minorHAnsi" w:cstheme="minorBidi"/>
          <w:szCs w:val="22"/>
          <w:lang w:bidi="ar-SA"/>
        </w:rPr>
        <w:t>Some have data which can be compared to other studies in a quantitative or graphical form. Others only allow a qualitative assessment of whether they found a positive, inverse or no association between the PFAS and birthweight.</w:t>
      </w:r>
    </w:p>
    <w:p w14:paraId="4D938894" w14:textId="77777777" w:rsidR="00A366A0" w:rsidRDefault="00A366A0">
      <w:pPr>
        <w:widowControl/>
        <w:rPr>
          <w:rFonts w:eastAsiaTheme="minorHAnsi" w:cstheme="minorBidi"/>
          <w:szCs w:val="22"/>
          <w:lang w:bidi="ar-SA"/>
        </w:rPr>
      </w:pPr>
      <w:r>
        <w:rPr>
          <w:rFonts w:eastAsiaTheme="minorHAnsi" w:cstheme="minorBidi"/>
          <w:szCs w:val="22"/>
          <w:lang w:bidi="ar-SA"/>
        </w:rPr>
        <w:br w:type="page"/>
      </w:r>
    </w:p>
    <w:p w14:paraId="634F81E0" w14:textId="77777777" w:rsidR="00D2412E" w:rsidRPr="000C4C17" w:rsidRDefault="00D2412E" w:rsidP="00A111E9">
      <w:pPr>
        <w:widowControl/>
        <w:rPr>
          <w:rFonts w:eastAsiaTheme="minorHAnsi" w:cstheme="minorBidi"/>
          <w:szCs w:val="22"/>
          <w:lang w:bidi="ar-SA"/>
        </w:rPr>
      </w:pPr>
    </w:p>
    <w:p w14:paraId="57F5F984" w14:textId="617CAEB5" w:rsidR="00F8101A" w:rsidRPr="000C4C17" w:rsidRDefault="00F8101A" w:rsidP="00A111E9">
      <w:pPr>
        <w:pStyle w:val="FSTableTitle"/>
        <w:rPr>
          <w:rFonts w:eastAsiaTheme="minorHAnsi" w:cstheme="minorBidi"/>
          <w:szCs w:val="22"/>
          <w:lang w:bidi="ar-SA"/>
        </w:rPr>
      </w:pPr>
      <w:r w:rsidRPr="000C4C17">
        <w:rPr>
          <w:rFonts w:eastAsiaTheme="minorHAnsi"/>
        </w:rPr>
        <w:t xml:space="preserve">Table </w:t>
      </w:r>
      <w:r w:rsidR="006B1629" w:rsidRPr="000C4C17">
        <w:rPr>
          <w:rFonts w:eastAsiaTheme="minorHAnsi"/>
          <w:lang w:bidi="ar-SA"/>
        </w:rPr>
        <w:t>A1.</w:t>
      </w:r>
      <w:r w:rsidRPr="000C4C17">
        <w:rPr>
          <w:rFonts w:eastAsiaTheme="minorHAnsi"/>
        </w:rPr>
        <w:t>5 List of studies FSANZ has chosen for inclusion</w:t>
      </w:r>
      <w:r w:rsidR="006740F1">
        <w:rPr>
          <w:rFonts w:eastAsiaTheme="minorHAnsi"/>
        </w:rPr>
        <w:t xml:space="preserve"> (first author, year of publication)</w:t>
      </w:r>
    </w:p>
    <w:tbl>
      <w:tblPr>
        <w:tblStyle w:val="TableGrid9"/>
        <w:tblW w:w="0" w:type="auto"/>
        <w:tblLook w:val="04A0" w:firstRow="1" w:lastRow="0" w:firstColumn="1" w:lastColumn="0" w:noHBand="0" w:noVBand="1"/>
        <w:tblCaption w:val="Table A1.5 List of studies FSANZ has chosen for inclusion (first author, year of publication)"/>
        <w:tblDescription w:val="This table contains data relating to the list of studies FSANZ has chosen for inclusion (first author, year of publication)."/>
      </w:tblPr>
      <w:tblGrid>
        <w:gridCol w:w="2093"/>
        <w:gridCol w:w="2835"/>
        <w:gridCol w:w="2693"/>
        <w:gridCol w:w="1665"/>
      </w:tblGrid>
      <w:tr w:rsidR="00F8101A" w:rsidRPr="000C4C17" w14:paraId="0B114C0F" w14:textId="77777777" w:rsidTr="000830C5">
        <w:trPr>
          <w:tblHeader/>
        </w:trPr>
        <w:tc>
          <w:tcPr>
            <w:tcW w:w="4928" w:type="dxa"/>
            <w:gridSpan w:val="2"/>
            <w:shd w:val="clear" w:color="auto" w:fill="F2F2F2" w:themeFill="background1" w:themeFillShade="F2"/>
          </w:tcPr>
          <w:p w14:paraId="3E3D3748" w14:textId="6CE7CF95" w:rsidR="00F8101A" w:rsidRPr="000C4C17" w:rsidRDefault="00F8101A" w:rsidP="00A111E9">
            <w:pPr>
              <w:widowControl/>
              <w:spacing w:before="60" w:after="60"/>
              <w:rPr>
                <w:rFonts w:eastAsiaTheme="minorHAnsi"/>
                <w:b/>
              </w:rPr>
            </w:pPr>
            <w:r w:rsidRPr="000C4C17">
              <w:rPr>
                <w:rFonts w:eastAsiaTheme="minorHAnsi"/>
                <w:b/>
              </w:rPr>
              <w:t>Inclusion in meta-analysis and/or graphical presentation</w:t>
            </w:r>
          </w:p>
        </w:tc>
        <w:tc>
          <w:tcPr>
            <w:tcW w:w="4358" w:type="dxa"/>
            <w:gridSpan w:val="2"/>
            <w:shd w:val="clear" w:color="auto" w:fill="F2F2F2" w:themeFill="background1" w:themeFillShade="F2"/>
          </w:tcPr>
          <w:p w14:paraId="65C88117" w14:textId="6FE97549" w:rsidR="006B6BD6" w:rsidRPr="000C4C17" w:rsidRDefault="006B6BD6" w:rsidP="00A111E9">
            <w:pPr>
              <w:widowControl/>
              <w:spacing w:before="60" w:after="60"/>
              <w:rPr>
                <w:rFonts w:eastAsiaTheme="minorHAnsi"/>
                <w:b/>
              </w:rPr>
            </w:pPr>
            <w:r w:rsidRPr="000C4C17">
              <w:rPr>
                <w:rFonts w:eastAsiaTheme="minorHAnsi"/>
                <w:b/>
              </w:rPr>
              <w:t>Qualitative inclusion only</w:t>
            </w:r>
          </w:p>
          <w:p w14:paraId="58226EC4" w14:textId="1297D4B9" w:rsidR="006B6BD6" w:rsidRPr="000C4C17" w:rsidRDefault="006B6BD6" w:rsidP="00A111E9">
            <w:pPr>
              <w:widowControl/>
              <w:spacing w:before="60" w:after="60"/>
              <w:rPr>
                <w:rFonts w:eastAsiaTheme="minorHAnsi"/>
                <w:b/>
              </w:rPr>
            </w:pPr>
          </w:p>
        </w:tc>
      </w:tr>
      <w:tr w:rsidR="00F8101A" w:rsidRPr="000C4C17" w14:paraId="5CCA4E99" w14:textId="2B1704B1" w:rsidTr="006B6BD6">
        <w:trPr>
          <w:trHeight w:val="227"/>
        </w:trPr>
        <w:tc>
          <w:tcPr>
            <w:tcW w:w="2093" w:type="dxa"/>
            <w:vAlign w:val="center"/>
          </w:tcPr>
          <w:p w14:paraId="319F833D" w14:textId="515C8FC5" w:rsidR="00F8101A" w:rsidRPr="000C4C17" w:rsidRDefault="00F8101A" w:rsidP="00A111E9">
            <w:pPr>
              <w:widowControl/>
              <w:rPr>
                <w:rFonts w:eastAsiaTheme="minorHAnsi"/>
                <w:sz w:val="18"/>
              </w:rPr>
            </w:pPr>
            <w:r w:rsidRPr="000C4C17">
              <w:rPr>
                <w:rFonts w:eastAsiaTheme="minorHAnsi"/>
                <w:sz w:val="18"/>
              </w:rPr>
              <w:t>Apelberg</w:t>
            </w:r>
            <w:r w:rsidR="006B6BD6">
              <w:rPr>
                <w:rFonts w:eastAsiaTheme="minorHAnsi"/>
                <w:sz w:val="18"/>
              </w:rPr>
              <w:t>, 2007</w:t>
            </w:r>
          </w:p>
        </w:tc>
        <w:tc>
          <w:tcPr>
            <w:tcW w:w="2835" w:type="dxa"/>
            <w:vAlign w:val="center"/>
          </w:tcPr>
          <w:p w14:paraId="4F7A7FF2" w14:textId="32123FC7" w:rsidR="00F8101A" w:rsidRPr="000C4C17" w:rsidRDefault="00F8101A" w:rsidP="005A678D">
            <w:pPr>
              <w:widowControl/>
              <w:rPr>
                <w:rFonts w:eastAsiaTheme="minorHAnsi"/>
                <w:sz w:val="18"/>
              </w:rPr>
            </w:pPr>
            <w:r w:rsidRPr="000C4C17">
              <w:rPr>
                <w:rFonts w:eastAsiaTheme="minorHAnsi"/>
                <w:sz w:val="18"/>
              </w:rPr>
              <w:t>Fromme</w:t>
            </w:r>
            <w:r w:rsidR="006B6BD6">
              <w:rPr>
                <w:rFonts w:eastAsiaTheme="minorHAnsi"/>
                <w:sz w:val="18"/>
              </w:rPr>
              <w:t>, 201</w:t>
            </w:r>
            <w:r w:rsidR="005A678D">
              <w:rPr>
                <w:rFonts w:eastAsiaTheme="minorHAnsi"/>
                <w:sz w:val="18"/>
              </w:rPr>
              <w:t>0</w:t>
            </w:r>
            <w:r w:rsidR="006B6BD6">
              <w:rPr>
                <w:rFonts w:eastAsiaTheme="minorHAnsi"/>
                <w:sz w:val="18"/>
              </w:rPr>
              <w:t xml:space="preserve"> </w:t>
            </w:r>
            <w:r w:rsidRPr="000C4C17">
              <w:rPr>
                <w:rFonts w:eastAsiaTheme="minorHAnsi"/>
                <w:sz w:val="18"/>
              </w:rPr>
              <w:t>(PFOA</w:t>
            </w:r>
            <w:r w:rsidR="007577FB">
              <w:rPr>
                <w:rFonts w:eastAsiaTheme="minorHAnsi"/>
                <w:sz w:val="18"/>
              </w:rPr>
              <w:t xml:space="preserve"> data given in Johnson at al, 2014</w:t>
            </w:r>
            <w:r w:rsidRPr="000C4C17">
              <w:rPr>
                <w:rFonts w:eastAsiaTheme="minorHAnsi"/>
                <w:sz w:val="18"/>
              </w:rPr>
              <w:t>)</w:t>
            </w:r>
          </w:p>
        </w:tc>
        <w:tc>
          <w:tcPr>
            <w:tcW w:w="2693" w:type="dxa"/>
            <w:vAlign w:val="center"/>
          </w:tcPr>
          <w:p w14:paraId="298B3704" w14:textId="1C384202" w:rsidR="00F8101A" w:rsidRPr="000C4C17" w:rsidRDefault="00F0598F" w:rsidP="00A111E9">
            <w:pPr>
              <w:widowControl/>
              <w:rPr>
                <w:rFonts w:eastAsiaTheme="minorHAnsi"/>
                <w:sz w:val="18"/>
              </w:rPr>
            </w:pPr>
            <w:r w:rsidRPr="000C4C17">
              <w:rPr>
                <w:rFonts w:eastAsiaTheme="minorHAnsi"/>
                <w:sz w:val="18"/>
              </w:rPr>
              <w:t>Alkhalawi</w:t>
            </w:r>
            <w:r w:rsidR="006B6BD6">
              <w:rPr>
                <w:rFonts w:eastAsiaTheme="minorHAnsi"/>
                <w:sz w:val="18"/>
              </w:rPr>
              <w:t>, 2106</w:t>
            </w:r>
          </w:p>
        </w:tc>
        <w:tc>
          <w:tcPr>
            <w:tcW w:w="1665" w:type="dxa"/>
            <w:vAlign w:val="center"/>
          </w:tcPr>
          <w:p w14:paraId="3EBB9B47" w14:textId="76BED0EB" w:rsidR="006B6BD6" w:rsidRPr="000C4C17" w:rsidRDefault="006B6BD6" w:rsidP="00A111E9">
            <w:pPr>
              <w:widowControl/>
              <w:rPr>
                <w:rFonts w:eastAsiaTheme="minorHAnsi"/>
                <w:sz w:val="18"/>
              </w:rPr>
            </w:pPr>
            <w:r w:rsidRPr="000C4C17">
              <w:rPr>
                <w:rFonts w:eastAsiaTheme="minorHAnsi"/>
                <w:sz w:val="18"/>
              </w:rPr>
              <w:t>Lauritzen</w:t>
            </w:r>
            <w:r>
              <w:rPr>
                <w:rFonts w:eastAsiaTheme="minorHAnsi"/>
                <w:sz w:val="18"/>
              </w:rPr>
              <w:t>, 2016</w:t>
            </w:r>
          </w:p>
        </w:tc>
      </w:tr>
      <w:tr w:rsidR="00F8101A" w:rsidRPr="000C4C17" w14:paraId="5714A9D8" w14:textId="10D3BA8A" w:rsidTr="006B6BD6">
        <w:trPr>
          <w:trHeight w:val="227"/>
        </w:trPr>
        <w:tc>
          <w:tcPr>
            <w:tcW w:w="2093" w:type="dxa"/>
            <w:vAlign w:val="center"/>
          </w:tcPr>
          <w:p w14:paraId="58361B9F" w14:textId="5DDAC016" w:rsidR="00F8101A" w:rsidRPr="000C4C17" w:rsidRDefault="00F8101A" w:rsidP="00A111E9">
            <w:pPr>
              <w:widowControl/>
              <w:rPr>
                <w:rFonts w:eastAsiaTheme="minorHAnsi"/>
                <w:sz w:val="18"/>
              </w:rPr>
            </w:pPr>
            <w:r w:rsidRPr="000C4C17">
              <w:rPr>
                <w:rFonts w:eastAsiaTheme="minorHAnsi"/>
                <w:sz w:val="18"/>
              </w:rPr>
              <w:t>Bach</w:t>
            </w:r>
            <w:r w:rsidR="006B6BD6">
              <w:rPr>
                <w:rFonts w:eastAsiaTheme="minorHAnsi"/>
                <w:sz w:val="18"/>
              </w:rPr>
              <w:t>,</w:t>
            </w:r>
            <w:r w:rsidRPr="000C4C17">
              <w:rPr>
                <w:rFonts w:eastAsiaTheme="minorHAnsi"/>
                <w:sz w:val="18"/>
              </w:rPr>
              <w:t xml:space="preserve"> 2016</w:t>
            </w:r>
          </w:p>
        </w:tc>
        <w:tc>
          <w:tcPr>
            <w:tcW w:w="2835" w:type="dxa"/>
            <w:vAlign w:val="center"/>
          </w:tcPr>
          <w:p w14:paraId="2ECE8D03" w14:textId="55297F5D" w:rsidR="00F8101A" w:rsidRPr="000C4C17" w:rsidRDefault="00F8101A" w:rsidP="00A111E9">
            <w:pPr>
              <w:widowControl/>
              <w:rPr>
                <w:rFonts w:eastAsiaTheme="minorHAnsi"/>
                <w:sz w:val="18"/>
              </w:rPr>
            </w:pPr>
            <w:r w:rsidRPr="000C4C17">
              <w:rPr>
                <w:rFonts w:eastAsiaTheme="minorHAnsi"/>
                <w:sz w:val="18"/>
              </w:rPr>
              <w:t>Hamm</w:t>
            </w:r>
            <w:r w:rsidR="006B6BD6">
              <w:rPr>
                <w:rFonts w:eastAsiaTheme="minorHAnsi"/>
                <w:sz w:val="18"/>
              </w:rPr>
              <w:t>, 2010</w:t>
            </w:r>
          </w:p>
        </w:tc>
        <w:tc>
          <w:tcPr>
            <w:tcW w:w="2693" w:type="dxa"/>
            <w:vAlign w:val="center"/>
          </w:tcPr>
          <w:p w14:paraId="4504754B" w14:textId="2CAAB72A" w:rsidR="00F8101A" w:rsidRPr="000C4C17" w:rsidRDefault="00F0598F" w:rsidP="00A111E9">
            <w:pPr>
              <w:widowControl/>
              <w:rPr>
                <w:rFonts w:eastAsiaTheme="minorHAnsi"/>
                <w:sz w:val="18"/>
              </w:rPr>
            </w:pPr>
            <w:r w:rsidRPr="000C4C17">
              <w:rPr>
                <w:rFonts w:eastAsiaTheme="minorHAnsi"/>
                <w:sz w:val="18"/>
              </w:rPr>
              <w:t>Arbuckle</w:t>
            </w:r>
            <w:r w:rsidR="006B6BD6">
              <w:rPr>
                <w:rFonts w:eastAsiaTheme="minorHAnsi"/>
                <w:sz w:val="18"/>
              </w:rPr>
              <w:t>, 2012</w:t>
            </w:r>
          </w:p>
        </w:tc>
        <w:tc>
          <w:tcPr>
            <w:tcW w:w="1665" w:type="dxa"/>
            <w:vAlign w:val="center"/>
          </w:tcPr>
          <w:p w14:paraId="302BD6EA" w14:textId="6D5219AB" w:rsidR="006B6BD6" w:rsidRDefault="006B6BD6" w:rsidP="00A111E9">
            <w:pPr>
              <w:widowControl/>
              <w:rPr>
                <w:rFonts w:eastAsiaTheme="minorHAnsi"/>
                <w:sz w:val="18"/>
              </w:rPr>
            </w:pPr>
            <w:r>
              <w:rPr>
                <w:rFonts w:eastAsiaTheme="minorHAnsi"/>
                <w:sz w:val="18"/>
              </w:rPr>
              <w:t>Lee, 2013</w:t>
            </w:r>
          </w:p>
        </w:tc>
      </w:tr>
      <w:tr w:rsidR="00F8101A" w:rsidRPr="000C4C17" w14:paraId="41FCB51C" w14:textId="7E50D7C2" w:rsidTr="006B6BD6">
        <w:trPr>
          <w:trHeight w:val="227"/>
        </w:trPr>
        <w:tc>
          <w:tcPr>
            <w:tcW w:w="2093" w:type="dxa"/>
            <w:vAlign w:val="center"/>
          </w:tcPr>
          <w:p w14:paraId="4EC49703" w14:textId="6C972C3A" w:rsidR="00F8101A" w:rsidRPr="000C4C17" w:rsidRDefault="00F8101A" w:rsidP="00A111E9">
            <w:pPr>
              <w:widowControl/>
              <w:rPr>
                <w:rFonts w:eastAsiaTheme="minorHAnsi"/>
                <w:sz w:val="18"/>
              </w:rPr>
            </w:pPr>
            <w:r w:rsidRPr="000C4C17">
              <w:rPr>
                <w:rFonts w:eastAsiaTheme="minorHAnsi"/>
                <w:sz w:val="18"/>
              </w:rPr>
              <w:t>Kim S</w:t>
            </w:r>
            <w:r w:rsidR="006B6BD6">
              <w:rPr>
                <w:rFonts w:eastAsiaTheme="minorHAnsi"/>
                <w:sz w:val="18"/>
              </w:rPr>
              <w:t>, 2011</w:t>
            </w:r>
          </w:p>
        </w:tc>
        <w:tc>
          <w:tcPr>
            <w:tcW w:w="2835" w:type="dxa"/>
            <w:vAlign w:val="center"/>
          </w:tcPr>
          <w:p w14:paraId="66E23C3B" w14:textId="452AC5AD" w:rsidR="00F8101A" w:rsidRPr="000C4C17" w:rsidRDefault="00F8101A" w:rsidP="00A111E9">
            <w:pPr>
              <w:widowControl/>
              <w:rPr>
                <w:rFonts w:eastAsiaTheme="minorHAnsi"/>
                <w:sz w:val="18"/>
              </w:rPr>
            </w:pPr>
            <w:r w:rsidRPr="000C4C17">
              <w:rPr>
                <w:rFonts w:eastAsiaTheme="minorHAnsi"/>
                <w:sz w:val="18"/>
              </w:rPr>
              <w:t>Haldorrsson</w:t>
            </w:r>
            <w:r w:rsidR="006B6BD6">
              <w:rPr>
                <w:rFonts w:eastAsiaTheme="minorHAnsi"/>
                <w:sz w:val="18"/>
              </w:rPr>
              <w:t>, 2012</w:t>
            </w:r>
            <w:r w:rsidRPr="000C4C17">
              <w:rPr>
                <w:rFonts w:eastAsiaTheme="minorHAnsi"/>
                <w:sz w:val="18"/>
              </w:rPr>
              <w:t xml:space="preserve"> </w:t>
            </w:r>
          </w:p>
        </w:tc>
        <w:tc>
          <w:tcPr>
            <w:tcW w:w="2693" w:type="dxa"/>
            <w:vAlign w:val="center"/>
          </w:tcPr>
          <w:p w14:paraId="102DA417" w14:textId="4BB6A47B" w:rsidR="00F8101A" w:rsidRPr="000C4C17" w:rsidRDefault="00F8101A" w:rsidP="00A111E9">
            <w:pPr>
              <w:widowControl/>
              <w:rPr>
                <w:rFonts w:eastAsiaTheme="minorHAnsi"/>
                <w:sz w:val="18"/>
              </w:rPr>
            </w:pPr>
          </w:p>
        </w:tc>
        <w:tc>
          <w:tcPr>
            <w:tcW w:w="1665" w:type="dxa"/>
            <w:vAlign w:val="center"/>
          </w:tcPr>
          <w:p w14:paraId="253D1F28" w14:textId="4C61A79C" w:rsidR="006B6BD6" w:rsidRDefault="006B6BD6" w:rsidP="00A111E9">
            <w:pPr>
              <w:widowControl/>
              <w:rPr>
                <w:rFonts w:eastAsiaTheme="minorHAnsi"/>
                <w:sz w:val="18"/>
              </w:rPr>
            </w:pPr>
            <w:r>
              <w:rPr>
                <w:rFonts w:eastAsiaTheme="minorHAnsi"/>
                <w:sz w:val="18"/>
              </w:rPr>
              <w:t>Monroy, 2008</w:t>
            </w:r>
          </w:p>
        </w:tc>
      </w:tr>
      <w:tr w:rsidR="00F8101A" w:rsidRPr="000C4C17" w14:paraId="29F7B859" w14:textId="49D6867C" w:rsidTr="006B6BD6">
        <w:trPr>
          <w:trHeight w:val="227"/>
        </w:trPr>
        <w:tc>
          <w:tcPr>
            <w:tcW w:w="2093" w:type="dxa"/>
            <w:vAlign w:val="center"/>
          </w:tcPr>
          <w:p w14:paraId="16BCDA33" w14:textId="539DBED5" w:rsidR="00F8101A" w:rsidRPr="000C4C17" w:rsidRDefault="00F8101A" w:rsidP="00A111E9">
            <w:pPr>
              <w:widowControl/>
              <w:rPr>
                <w:rFonts w:eastAsiaTheme="minorHAnsi"/>
                <w:sz w:val="18"/>
              </w:rPr>
            </w:pPr>
            <w:r w:rsidRPr="000C4C17">
              <w:rPr>
                <w:rFonts w:eastAsiaTheme="minorHAnsi"/>
                <w:sz w:val="18"/>
              </w:rPr>
              <w:t>Chen</w:t>
            </w:r>
            <w:r w:rsidR="006B6BD6">
              <w:rPr>
                <w:rFonts w:eastAsiaTheme="minorHAnsi"/>
                <w:sz w:val="18"/>
              </w:rPr>
              <w:t>, 2012</w:t>
            </w:r>
          </w:p>
        </w:tc>
        <w:tc>
          <w:tcPr>
            <w:tcW w:w="2835" w:type="dxa"/>
            <w:vAlign w:val="center"/>
          </w:tcPr>
          <w:p w14:paraId="660BA700" w14:textId="55EA7061" w:rsidR="00F8101A" w:rsidRPr="000C4C17" w:rsidRDefault="00F8101A" w:rsidP="00A111E9">
            <w:pPr>
              <w:widowControl/>
              <w:rPr>
                <w:rFonts w:eastAsiaTheme="minorHAnsi"/>
                <w:sz w:val="18"/>
              </w:rPr>
            </w:pPr>
            <w:r w:rsidRPr="000C4C17">
              <w:rPr>
                <w:rFonts w:eastAsiaTheme="minorHAnsi"/>
                <w:sz w:val="18"/>
              </w:rPr>
              <w:t>Maisonet</w:t>
            </w:r>
            <w:r w:rsidR="006B6BD6">
              <w:rPr>
                <w:rFonts w:eastAsiaTheme="minorHAnsi"/>
                <w:sz w:val="18"/>
              </w:rPr>
              <w:t>, 2012</w:t>
            </w:r>
          </w:p>
        </w:tc>
        <w:tc>
          <w:tcPr>
            <w:tcW w:w="2693" w:type="dxa"/>
            <w:vAlign w:val="center"/>
          </w:tcPr>
          <w:p w14:paraId="681287FC" w14:textId="74D82FD8" w:rsidR="00F8101A" w:rsidRPr="000C4C17" w:rsidRDefault="006B6BD6" w:rsidP="00A111E9">
            <w:pPr>
              <w:widowControl/>
              <w:rPr>
                <w:rFonts w:eastAsiaTheme="minorHAnsi"/>
                <w:sz w:val="18"/>
              </w:rPr>
            </w:pPr>
            <w:r>
              <w:rPr>
                <w:rFonts w:eastAsiaTheme="minorHAnsi"/>
                <w:sz w:val="18"/>
              </w:rPr>
              <w:t>De Cock, 2016 (PFOS)</w:t>
            </w:r>
          </w:p>
        </w:tc>
        <w:tc>
          <w:tcPr>
            <w:tcW w:w="1665" w:type="dxa"/>
            <w:vAlign w:val="center"/>
          </w:tcPr>
          <w:p w14:paraId="72B7B181" w14:textId="607069F5" w:rsidR="006B6BD6" w:rsidRDefault="006B6BD6" w:rsidP="00A111E9">
            <w:pPr>
              <w:widowControl/>
              <w:rPr>
                <w:rFonts w:eastAsiaTheme="minorHAnsi"/>
                <w:sz w:val="18"/>
              </w:rPr>
            </w:pPr>
            <w:r>
              <w:rPr>
                <w:rFonts w:eastAsiaTheme="minorHAnsi"/>
                <w:sz w:val="18"/>
              </w:rPr>
              <w:t>Robeldo, 2015</w:t>
            </w:r>
          </w:p>
        </w:tc>
      </w:tr>
      <w:tr w:rsidR="00F8101A" w:rsidRPr="000C4C17" w14:paraId="11F7CE32" w14:textId="1E95E89C" w:rsidTr="006B6BD6">
        <w:trPr>
          <w:trHeight w:val="227"/>
        </w:trPr>
        <w:tc>
          <w:tcPr>
            <w:tcW w:w="2093" w:type="dxa"/>
            <w:vAlign w:val="center"/>
          </w:tcPr>
          <w:p w14:paraId="1F67F418" w14:textId="3495587C" w:rsidR="00F8101A" w:rsidRPr="000C4C17" w:rsidRDefault="00F8101A" w:rsidP="00A111E9">
            <w:pPr>
              <w:widowControl/>
              <w:rPr>
                <w:rFonts w:eastAsiaTheme="minorHAnsi"/>
                <w:sz w:val="18"/>
              </w:rPr>
            </w:pPr>
            <w:r w:rsidRPr="000C4C17">
              <w:rPr>
                <w:rFonts w:eastAsiaTheme="minorHAnsi"/>
                <w:sz w:val="18"/>
              </w:rPr>
              <w:t>Darrow</w:t>
            </w:r>
            <w:r w:rsidR="006B6BD6">
              <w:rPr>
                <w:rFonts w:eastAsiaTheme="minorHAnsi"/>
                <w:sz w:val="18"/>
              </w:rPr>
              <w:t>, 2013</w:t>
            </w:r>
          </w:p>
        </w:tc>
        <w:tc>
          <w:tcPr>
            <w:tcW w:w="2835" w:type="dxa"/>
            <w:vAlign w:val="center"/>
          </w:tcPr>
          <w:p w14:paraId="720BF450" w14:textId="7A628D9B" w:rsidR="00F8101A" w:rsidRPr="000C4C17" w:rsidRDefault="00F8101A" w:rsidP="00A111E9">
            <w:pPr>
              <w:widowControl/>
              <w:rPr>
                <w:rFonts w:eastAsiaTheme="minorHAnsi"/>
                <w:sz w:val="18"/>
              </w:rPr>
            </w:pPr>
            <w:r w:rsidRPr="000C4C17">
              <w:rPr>
                <w:rFonts w:eastAsiaTheme="minorHAnsi"/>
                <w:sz w:val="18"/>
              </w:rPr>
              <w:t>Washino</w:t>
            </w:r>
            <w:r w:rsidR="006B6BD6">
              <w:rPr>
                <w:rFonts w:eastAsiaTheme="minorHAnsi"/>
                <w:sz w:val="18"/>
              </w:rPr>
              <w:t>, 2009</w:t>
            </w:r>
          </w:p>
        </w:tc>
        <w:tc>
          <w:tcPr>
            <w:tcW w:w="2693" w:type="dxa"/>
            <w:vAlign w:val="center"/>
          </w:tcPr>
          <w:p w14:paraId="4FA898B9" w14:textId="6C5FB471" w:rsidR="00F8101A" w:rsidRPr="000C4C17" w:rsidRDefault="006B6BD6" w:rsidP="00A111E9">
            <w:pPr>
              <w:widowControl/>
              <w:rPr>
                <w:rFonts w:eastAsiaTheme="minorHAnsi"/>
                <w:sz w:val="18"/>
              </w:rPr>
            </w:pPr>
            <w:r w:rsidRPr="000C4C17">
              <w:rPr>
                <w:rFonts w:eastAsiaTheme="minorHAnsi"/>
                <w:sz w:val="18"/>
              </w:rPr>
              <w:t>Grice</w:t>
            </w:r>
            <w:r>
              <w:rPr>
                <w:rFonts w:eastAsiaTheme="minorHAnsi"/>
                <w:sz w:val="18"/>
              </w:rPr>
              <w:t>, 2007 (PFOS data only)</w:t>
            </w:r>
          </w:p>
        </w:tc>
        <w:tc>
          <w:tcPr>
            <w:tcW w:w="1665" w:type="dxa"/>
            <w:vAlign w:val="center"/>
          </w:tcPr>
          <w:p w14:paraId="01BF3689" w14:textId="2D8DD0F0" w:rsidR="006B6BD6" w:rsidRPr="000C4C17" w:rsidRDefault="006B6BD6" w:rsidP="00A111E9">
            <w:pPr>
              <w:widowControl/>
              <w:rPr>
                <w:rFonts w:eastAsiaTheme="minorHAnsi"/>
                <w:sz w:val="18"/>
              </w:rPr>
            </w:pPr>
            <w:r w:rsidRPr="000C4C17">
              <w:rPr>
                <w:rFonts w:eastAsiaTheme="minorHAnsi"/>
                <w:sz w:val="18"/>
              </w:rPr>
              <w:t>Shi</w:t>
            </w:r>
            <w:r>
              <w:rPr>
                <w:rFonts w:eastAsiaTheme="minorHAnsi"/>
                <w:sz w:val="18"/>
              </w:rPr>
              <w:t>, 2016</w:t>
            </w:r>
          </w:p>
        </w:tc>
      </w:tr>
      <w:tr w:rsidR="00F8101A" w:rsidRPr="000C4C17" w14:paraId="1C363CFF" w14:textId="320AD0DA" w:rsidTr="006B6BD6">
        <w:trPr>
          <w:trHeight w:val="227"/>
        </w:trPr>
        <w:tc>
          <w:tcPr>
            <w:tcW w:w="2093" w:type="dxa"/>
            <w:vAlign w:val="center"/>
          </w:tcPr>
          <w:p w14:paraId="6AAE1799" w14:textId="7FBA6A52" w:rsidR="00F8101A" w:rsidRPr="000C4C17" w:rsidRDefault="006B6BD6" w:rsidP="00A111E9">
            <w:pPr>
              <w:widowControl/>
              <w:rPr>
                <w:rFonts w:eastAsiaTheme="minorHAnsi"/>
                <w:sz w:val="18"/>
              </w:rPr>
            </w:pPr>
            <w:r>
              <w:rPr>
                <w:rFonts w:eastAsiaTheme="minorHAnsi"/>
                <w:sz w:val="18"/>
              </w:rPr>
              <w:t>d</w:t>
            </w:r>
            <w:r w:rsidRPr="000C4C17">
              <w:rPr>
                <w:rFonts w:eastAsiaTheme="minorHAnsi"/>
                <w:sz w:val="18"/>
              </w:rPr>
              <w:t>e Cock</w:t>
            </w:r>
            <w:r>
              <w:rPr>
                <w:rFonts w:eastAsiaTheme="minorHAnsi"/>
                <w:sz w:val="18"/>
              </w:rPr>
              <w:t>, 2016 (PFOA)</w:t>
            </w:r>
          </w:p>
        </w:tc>
        <w:tc>
          <w:tcPr>
            <w:tcW w:w="2835" w:type="dxa"/>
            <w:vAlign w:val="center"/>
          </w:tcPr>
          <w:p w14:paraId="33CC34B4" w14:textId="50F7D3C1" w:rsidR="00F8101A" w:rsidRPr="000C4C17" w:rsidRDefault="00F0598F" w:rsidP="00A111E9">
            <w:pPr>
              <w:widowControl/>
              <w:rPr>
                <w:rFonts w:eastAsiaTheme="minorHAnsi"/>
                <w:sz w:val="18"/>
              </w:rPr>
            </w:pPr>
            <w:r w:rsidRPr="000C4C17">
              <w:rPr>
                <w:rFonts w:eastAsiaTheme="minorHAnsi"/>
                <w:sz w:val="18"/>
              </w:rPr>
              <w:t>Wang</w:t>
            </w:r>
            <w:r w:rsidR="006B6BD6">
              <w:rPr>
                <w:rFonts w:eastAsiaTheme="minorHAnsi"/>
                <w:sz w:val="18"/>
              </w:rPr>
              <w:t>, 2016</w:t>
            </w:r>
            <w:r w:rsidRPr="000C4C17">
              <w:rPr>
                <w:rFonts w:eastAsiaTheme="minorHAnsi"/>
                <w:sz w:val="18"/>
              </w:rPr>
              <w:t xml:space="preserve"> (</w:t>
            </w:r>
            <w:r w:rsidR="00F8101A" w:rsidRPr="000C4C17">
              <w:rPr>
                <w:rFonts w:eastAsiaTheme="minorHAnsi"/>
                <w:sz w:val="18"/>
              </w:rPr>
              <w:t>PFOA data</w:t>
            </w:r>
            <w:r w:rsidRPr="000C4C17">
              <w:rPr>
                <w:rFonts w:eastAsiaTheme="minorHAnsi"/>
                <w:sz w:val="18"/>
              </w:rPr>
              <w:t xml:space="preserve"> only</w:t>
            </w:r>
            <w:r w:rsidR="00F8101A" w:rsidRPr="000C4C17">
              <w:rPr>
                <w:rFonts w:eastAsiaTheme="minorHAnsi"/>
                <w:sz w:val="18"/>
              </w:rPr>
              <w:t>)</w:t>
            </w:r>
          </w:p>
        </w:tc>
        <w:tc>
          <w:tcPr>
            <w:tcW w:w="2693" w:type="dxa"/>
            <w:vAlign w:val="center"/>
          </w:tcPr>
          <w:p w14:paraId="3C0EBB5A" w14:textId="11C4ED08" w:rsidR="00F8101A" w:rsidRPr="000C4C17" w:rsidRDefault="006B6BD6" w:rsidP="00A111E9">
            <w:pPr>
              <w:widowControl/>
              <w:rPr>
                <w:rFonts w:eastAsiaTheme="minorHAnsi"/>
                <w:sz w:val="18"/>
              </w:rPr>
            </w:pPr>
            <w:r w:rsidRPr="000C4C17">
              <w:rPr>
                <w:rFonts w:eastAsiaTheme="minorHAnsi"/>
                <w:sz w:val="18"/>
              </w:rPr>
              <w:t>Kim SK, 2011</w:t>
            </w:r>
          </w:p>
        </w:tc>
        <w:tc>
          <w:tcPr>
            <w:tcW w:w="1665" w:type="dxa"/>
          </w:tcPr>
          <w:p w14:paraId="10056F04" w14:textId="6A7E0609" w:rsidR="006B6BD6" w:rsidRPr="000C4C17" w:rsidRDefault="006B6BD6" w:rsidP="00A111E9">
            <w:pPr>
              <w:widowControl/>
              <w:rPr>
                <w:rFonts w:eastAsiaTheme="minorHAnsi"/>
                <w:sz w:val="18"/>
              </w:rPr>
            </w:pPr>
          </w:p>
        </w:tc>
      </w:tr>
      <w:tr w:rsidR="00F0598F" w:rsidRPr="000C4C17" w14:paraId="69BDB8B4" w14:textId="632B62A7" w:rsidTr="006B6BD6">
        <w:trPr>
          <w:trHeight w:val="227"/>
        </w:trPr>
        <w:tc>
          <w:tcPr>
            <w:tcW w:w="2093" w:type="dxa"/>
            <w:vAlign w:val="center"/>
          </w:tcPr>
          <w:p w14:paraId="570A91C7" w14:textId="266ACE6E" w:rsidR="00F0598F" w:rsidRPr="000C4C17" w:rsidRDefault="00F0598F" w:rsidP="00A111E9">
            <w:pPr>
              <w:widowControl/>
              <w:rPr>
                <w:rFonts w:eastAsiaTheme="minorHAnsi"/>
                <w:sz w:val="18"/>
              </w:rPr>
            </w:pPr>
            <w:r w:rsidRPr="000C4C17">
              <w:rPr>
                <w:rFonts w:eastAsiaTheme="minorHAnsi"/>
                <w:sz w:val="18"/>
              </w:rPr>
              <w:t>Fei</w:t>
            </w:r>
            <w:r w:rsidR="006B6BD6">
              <w:rPr>
                <w:rFonts w:eastAsiaTheme="minorHAnsi"/>
                <w:sz w:val="18"/>
              </w:rPr>
              <w:t>,2007</w:t>
            </w:r>
          </w:p>
        </w:tc>
        <w:tc>
          <w:tcPr>
            <w:tcW w:w="2835" w:type="dxa"/>
            <w:vAlign w:val="center"/>
          </w:tcPr>
          <w:p w14:paraId="4B8750D1" w14:textId="1FEEBF04" w:rsidR="00F0598F" w:rsidRPr="000C4C17" w:rsidRDefault="006B6BD6" w:rsidP="00A111E9">
            <w:pPr>
              <w:widowControl/>
              <w:rPr>
                <w:rFonts w:eastAsiaTheme="minorHAnsi"/>
                <w:sz w:val="18"/>
              </w:rPr>
            </w:pPr>
            <w:r>
              <w:rPr>
                <w:rFonts w:eastAsiaTheme="minorHAnsi"/>
                <w:sz w:val="18"/>
              </w:rPr>
              <w:t>Whitworth, 2012</w:t>
            </w:r>
          </w:p>
        </w:tc>
        <w:tc>
          <w:tcPr>
            <w:tcW w:w="2693" w:type="dxa"/>
            <w:vAlign w:val="center"/>
          </w:tcPr>
          <w:p w14:paraId="21342D61" w14:textId="378C6A78" w:rsidR="00F0598F" w:rsidRPr="000C4C17" w:rsidRDefault="00F0598F" w:rsidP="00A111E9">
            <w:pPr>
              <w:widowControl/>
              <w:rPr>
                <w:rFonts w:eastAsiaTheme="minorHAnsi"/>
                <w:sz w:val="18"/>
              </w:rPr>
            </w:pPr>
          </w:p>
        </w:tc>
        <w:tc>
          <w:tcPr>
            <w:tcW w:w="1665" w:type="dxa"/>
          </w:tcPr>
          <w:p w14:paraId="46343FEE" w14:textId="2911AEC7" w:rsidR="006B6BD6" w:rsidRDefault="006B6BD6" w:rsidP="00A111E9">
            <w:pPr>
              <w:widowControl/>
              <w:rPr>
                <w:rFonts w:eastAsiaTheme="minorHAnsi"/>
                <w:sz w:val="18"/>
              </w:rPr>
            </w:pPr>
          </w:p>
        </w:tc>
      </w:tr>
      <w:tr w:rsidR="00F0598F" w:rsidRPr="000C4C17" w14:paraId="3C685590" w14:textId="5CEB792F" w:rsidTr="006B6BD6">
        <w:trPr>
          <w:trHeight w:val="227"/>
        </w:trPr>
        <w:tc>
          <w:tcPr>
            <w:tcW w:w="2093" w:type="dxa"/>
            <w:vAlign w:val="center"/>
          </w:tcPr>
          <w:p w14:paraId="2BE8F63E" w14:textId="662809ED" w:rsidR="00F0598F" w:rsidRPr="000C4C17" w:rsidRDefault="00F0598F" w:rsidP="00A111E9">
            <w:pPr>
              <w:widowControl/>
              <w:rPr>
                <w:rFonts w:eastAsiaTheme="minorHAnsi"/>
                <w:sz w:val="18"/>
              </w:rPr>
            </w:pPr>
          </w:p>
        </w:tc>
        <w:tc>
          <w:tcPr>
            <w:tcW w:w="2835" w:type="dxa"/>
            <w:vAlign w:val="center"/>
          </w:tcPr>
          <w:p w14:paraId="233B7DCB" w14:textId="1074D2D8" w:rsidR="00F0598F" w:rsidRPr="000C4C17" w:rsidRDefault="006B6BD6" w:rsidP="00A111E9">
            <w:pPr>
              <w:widowControl/>
              <w:rPr>
                <w:rFonts w:eastAsiaTheme="minorHAnsi"/>
                <w:sz w:val="18"/>
              </w:rPr>
            </w:pPr>
            <w:r w:rsidRPr="000C4C17">
              <w:rPr>
                <w:rFonts w:eastAsiaTheme="minorHAnsi"/>
                <w:sz w:val="18"/>
              </w:rPr>
              <w:t>Wu</w:t>
            </w:r>
            <w:r>
              <w:rPr>
                <w:rFonts w:eastAsiaTheme="minorHAnsi"/>
                <w:sz w:val="18"/>
              </w:rPr>
              <w:t xml:space="preserve">, 2012 </w:t>
            </w:r>
            <w:r w:rsidRPr="000C4C17">
              <w:rPr>
                <w:rFonts w:eastAsiaTheme="minorHAnsi"/>
                <w:sz w:val="18"/>
              </w:rPr>
              <w:t>(PFOA data only)</w:t>
            </w:r>
          </w:p>
        </w:tc>
        <w:tc>
          <w:tcPr>
            <w:tcW w:w="2693" w:type="dxa"/>
            <w:vAlign w:val="center"/>
          </w:tcPr>
          <w:p w14:paraId="3C55A359" w14:textId="464A232E" w:rsidR="00F0598F" w:rsidRPr="000C4C17" w:rsidRDefault="00F0598F" w:rsidP="00A111E9">
            <w:pPr>
              <w:widowControl/>
              <w:rPr>
                <w:rFonts w:eastAsiaTheme="minorHAnsi"/>
                <w:sz w:val="18"/>
              </w:rPr>
            </w:pPr>
          </w:p>
        </w:tc>
        <w:tc>
          <w:tcPr>
            <w:tcW w:w="1665" w:type="dxa"/>
          </w:tcPr>
          <w:p w14:paraId="6A16A415" w14:textId="6B9C4C4D" w:rsidR="006B6BD6" w:rsidRDefault="006B6BD6" w:rsidP="00A111E9">
            <w:pPr>
              <w:widowControl/>
              <w:rPr>
                <w:rFonts w:eastAsiaTheme="minorHAnsi"/>
                <w:sz w:val="18"/>
              </w:rPr>
            </w:pPr>
          </w:p>
        </w:tc>
      </w:tr>
    </w:tbl>
    <w:p w14:paraId="67CEB92F" w14:textId="355D9301" w:rsidR="00F8101A" w:rsidRPr="000C4C17" w:rsidRDefault="00F8101A" w:rsidP="00A111E9">
      <w:pPr>
        <w:widowControl/>
        <w:rPr>
          <w:rFonts w:eastAsiaTheme="minorHAnsi" w:cstheme="minorBidi"/>
          <w:szCs w:val="22"/>
          <w:lang w:bidi="ar-SA"/>
        </w:rPr>
      </w:pPr>
    </w:p>
    <w:p w14:paraId="00A322E9" w14:textId="77777777" w:rsidR="00F8101A" w:rsidRPr="000C4C17" w:rsidRDefault="00F8101A" w:rsidP="00A111E9">
      <w:pPr>
        <w:widowControl/>
        <w:rPr>
          <w:rFonts w:eastAsiaTheme="minorHAnsi" w:cstheme="minorBidi"/>
          <w:szCs w:val="22"/>
          <w:lang w:bidi="ar-SA"/>
        </w:rPr>
      </w:pPr>
    </w:p>
    <w:p w14:paraId="0D7EE82A" w14:textId="09566E07" w:rsidR="00F8101A" w:rsidRPr="000C4C17" w:rsidRDefault="00DF5C92" w:rsidP="00A111E9">
      <w:pPr>
        <w:widowControl/>
        <w:rPr>
          <w:rFonts w:eastAsiaTheme="minorHAnsi" w:cstheme="minorBidi"/>
          <w:szCs w:val="22"/>
          <w:lang w:bidi="ar-SA"/>
        </w:rPr>
      </w:pPr>
      <w:r>
        <w:rPr>
          <w:noProof/>
          <w:lang w:eastAsia="en-GB" w:bidi="ar-SA"/>
        </w:rPr>
        <w:drawing>
          <wp:inline distT="0" distB="0" distL="0" distR="0" wp14:anchorId="5656B0AE" wp14:editId="401A5F72">
            <wp:extent cx="5354053" cy="3092316"/>
            <wp:effectExtent l="0" t="0" r="5715" b="6985"/>
            <wp:docPr id="47" name="Picture 47" title="Figure A1.1 Plot of the average concentrations of PFOA and PFOS in studies measuring both compou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7592" t="33668" r="27258" b="24607"/>
                    <a:stretch/>
                  </pic:blipFill>
                  <pic:spPr bwMode="auto">
                    <a:xfrm>
                      <a:off x="0" y="0"/>
                      <a:ext cx="5359319" cy="3095357"/>
                    </a:xfrm>
                    <a:prstGeom prst="rect">
                      <a:avLst/>
                    </a:prstGeom>
                    <a:ln>
                      <a:noFill/>
                    </a:ln>
                    <a:extLst>
                      <a:ext uri="{53640926-AAD7-44D8-BBD7-CCE9431645EC}">
                        <a14:shadowObscured xmlns:a14="http://schemas.microsoft.com/office/drawing/2010/main"/>
                      </a:ext>
                    </a:extLst>
                  </pic:spPr>
                </pic:pic>
              </a:graphicData>
            </a:graphic>
          </wp:inline>
        </w:drawing>
      </w:r>
    </w:p>
    <w:p w14:paraId="0447CD35" w14:textId="23C2037D" w:rsidR="00F8101A" w:rsidRPr="00DF5C92" w:rsidRDefault="00F8101A" w:rsidP="00A111E9">
      <w:pPr>
        <w:pStyle w:val="FSFigureTitle"/>
        <w:rPr>
          <w:rFonts w:eastAsiaTheme="minorHAnsi"/>
        </w:rPr>
      </w:pPr>
      <w:r w:rsidRPr="000C4C17">
        <w:rPr>
          <w:rFonts w:eastAsiaTheme="minorHAnsi"/>
        </w:rPr>
        <w:t xml:space="preserve">Figure </w:t>
      </w:r>
      <w:r w:rsidR="006B1629" w:rsidRPr="00DF5C92">
        <w:rPr>
          <w:rFonts w:eastAsiaTheme="minorHAnsi"/>
        </w:rPr>
        <w:t>A</w:t>
      </w:r>
      <w:r w:rsidRPr="00DF5C92">
        <w:rPr>
          <w:rFonts w:eastAsiaTheme="minorHAnsi"/>
        </w:rPr>
        <w:t>1</w:t>
      </w:r>
      <w:r w:rsidR="006B1629" w:rsidRPr="00DF5C92">
        <w:rPr>
          <w:rFonts w:eastAsiaTheme="minorHAnsi"/>
        </w:rPr>
        <w:t>.</w:t>
      </w:r>
      <w:r w:rsidRPr="00DF5C92">
        <w:rPr>
          <w:rFonts w:eastAsiaTheme="minorHAnsi"/>
        </w:rPr>
        <w:t>1 Plot of the average concentrations of PFOA and PFOS in studies measuring both</w:t>
      </w:r>
      <w:r w:rsidR="006B1629" w:rsidRPr="00DF5C92">
        <w:rPr>
          <w:rFonts w:eastAsiaTheme="minorHAnsi"/>
        </w:rPr>
        <w:t xml:space="preserve"> compounds</w:t>
      </w:r>
    </w:p>
    <w:p w14:paraId="2302C227" w14:textId="77777777" w:rsidR="00F8101A" w:rsidRPr="000C4C17" w:rsidRDefault="00F8101A" w:rsidP="00A366A0">
      <w:pPr>
        <w:pStyle w:val="Heading4"/>
      </w:pPr>
      <w:bookmarkStart w:id="498" w:name="_Toc468712787"/>
      <w:bookmarkStart w:id="499" w:name="_Toc468716479"/>
      <w:bookmarkStart w:id="500" w:name="_Toc468709466"/>
      <w:bookmarkStart w:id="501" w:name="_Toc468717766"/>
      <w:bookmarkStart w:id="502" w:name="_Toc468718410"/>
      <w:r w:rsidRPr="000C4C17">
        <w:t>The association between PFOA and birthweight</w:t>
      </w:r>
      <w:bookmarkEnd w:id="498"/>
      <w:bookmarkEnd w:id="499"/>
      <w:bookmarkEnd w:id="500"/>
      <w:bookmarkEnd w:id="501"/>
      <w:bookmarkEnd w:id="502"/>
    </w:p>
    <w:p w14:paraId="3BDF1E25" w14:textId="2921580B" w:rsidR="00F8101A" w:rsidRPr="000C4C17" w:rsidRDefault="00F8101A" w:rsidP="00A111E9">
      <w:pPr>
        <w:widowControl/>
        <w:rPr>
          <w:rFonts w:eastAsiaTheme="minorHAnsi" w:cstheme="minorBidi"/>
          <w:b/>
          <w:szCs w:val="22"/>
          <w:lang w:bidi="ar-SA"/>
        </w:rPr>
      </w:pPr>
      <w:r w:rsidRPr="000C4C17">
        <w:rPr>
          <w:rFonts w:eastAsiaTheme="minorHAnsi" w:cstheme="minorBidi"/>
          <w:szCs w:val="22"/>
          <w:lang w:bidi="ar-SA"/>
        </w:rPr>
        <w:t xml:space="preserve">The reviews from EFSA </w:t>
      </w:r>
      <w:r w:rsidR="00E640BA">
        <w:rPr>
          <w:rFonts w:eastAsiaTheme="minorHAnsi" w:cstheme="minorBidi"/>
          <w:szCs w:val="22"/>
          <w:lang w:bidi="ar-SA"/>
        </w:rPr>
        <w:t xml:space="preserve">(2008) </w:t>
      </w:r>
      <w:r w:rsidRPr="000C4C17">
        <w:rPr>
          <w:rFonts w:eastAsiaTheme="minorHAnsi" w:cstheme="minorBidi"/>
          <w:szCs w:val="22"/>
          <w:lang w:bidi="ar-SA"/>
        </w:rPr>
        <w:t xml:space="preserve">and the </w:t>
      </w:r>
      <w:r w:rsidR="001371D0">
        <w:rPr>
          <w:rFonts w:eastAsiaTheme="minorHAnsi" w:cstheme="minorBidi"/>
          <w:szCs w:val="22"/>
          <w:lang w:bidi="ar-SA"/>
        </w:rPr>
        <w:t xml:space="preserve">US </w:t>
      </w:r>
      <w:r w:rsidRPr="000C4C17">
        <w:rPr>
          <w:rFonts w:eastAsiaTheme="minorHAnsi" w:cstheme="minorBidi"/>
          <w:szCs w:val="22"/>
          <w:lang w:bidi="ar-SA"/>
        </w:rPr>
        <w:t>EPA</w:t>
      </w:r>
      <w:r w:rsidR="00E640BA">
        <w:rPr>
          <w:rFonts w:eastAsiaTheme="minorHAnsi" w:cstheme="minorBidi"/>
          <w:szCs w:val="22"/>
          <w:lang w:bidi="ar-SA"/>
        </w:rPr>
        <w:t xml:space="preserve"> (2014a, 2014b)</w:t>
      </w:r>
      <w:r w:rsidRPr="000C4C17">
        <w:rPr>
          <w:rFonts w:eastAsiaTheme="minorHAnsi" w:cstheme="minorBidi"/>
          <w:szCs w:val="22"/>
          <w:lang w:bidi="ar-SA"/>
        </w:rPr>
        <w:t xml:space="preserve"> did not describe their strategies for identifying the body of literature and </w:t>
      </w:r>
      <w:r w:rsidR="003E3B74">
        <w:rPr>
          <w:rFonts w:eastAsiaTheme="minorHAnsi" w:cstheme="minorBidi"/>
          <w:szCs w:val="22"/>
          <w:lang w:bidi="ar-SA"/>
        </w:rPr>
        <w:t xml:space="preserve"> </w:t>
      </w:r>
      <w:r w:rsidRPr="000C4C17">
        <w:rPr>
          <w:rFonts w:eastAsiaTheme="minorHAnsi" w:cstheme="minorBidi"/>
          <w:szCs w:val="22"/>
          <w:lang w:bidi="ar-SA"/>
        </w:rPr>
        <w:t>provided narrative descriptions of the studies. Multiple papers from the same study were apparently regarded as independent studies</w:t>
      </w:r>
      <w:r w:rsidR="00E640BA">
        <w:rPr>
          <w:rFonts w:eastAsiaTheme="minorHAnsi" w:cstheme="minorBidi"/>
          <w:szCs w:val="22"/>
          <w:lang w:bidi="ar-SA"/>
        </w:rPr>
        <w:t>.</w:t>
      </w:r>
      <w:r w:rsidRPr="000C4C17">
        <w:rPr>
          <w:rFonts w:eastAsiaTheme="minorHAnsi" w:cstheme="minorBidi"/>
          <w:szCs w:val="22"/>
          <w:lang w:bidi="ar-SA"/>
        </w:rPr>
        <w:t xml:space="preserve"> Their methods will not be considered further.</w:t>
      </w:r>
    </w:p>
    <w:p w14:paraId="79945252" w14:textId="77777777" w:rsidR="00F8101A" w:rsidRPr="000C4C17" w:rsidRDefault="00F8101A" w:rsidP="00A366A0">
      <w:pPr>
        <w:pStyle w:val="Heading5"/>
        <w:rPr>
          <w:rFonts w:eastAsiaTheme="majorEastAsia"/>
          <w:lang w:eastAsia="en-AU"/>
        </w:rPr>
      </w:pPr>
      <w:bookmarkStart w:id="503" w:name="_Toc468712788"/>
      <w:bookmarkStart w:id="504" w:name="_Toc468716480"/>
      <w:bookmarkStart w:id="505" w:name="_Toc468709467"/>
      <w:bookmarkStart w:id="506" w:name="_Toc468717767"/>
      <w:bookmarkStart w:id="507" w:name="_Toc468718411"/>
      <w:r w:rsidRPr="000C4C17">
        <w:rPr>
          <w:rFonts w:eastAsiaTheme="majorEastAsia"/>
          <w:lang w:eastAsia="en-AU"/>
        </w:rPr>
        <w:t>Overview of existing systematic reviews</w:t>
      </w:r>
      <w:bookmarkEnd w:id="503"/>
      <w:bookmarkEnd w:id="504"/>
      <w:bookmarkEnd w:id="505"/>
      <w:bookmarkEnd w:id="506"/>
      <w:bookmarkEnd w:id="507"/>
    </w:p>
    <w:p w14:paraId="27BA4FA2" w14:textId="0315AD62" w:rsidR="003B6E88" w:rsidRDefault="00F8101A" w:rsidP="00A111E9">
      <w:pPr>
        <w:widowControl/>
        <w:rPr>
          <w:rFonts w:eastAsiaTheme="minorHAnsi" w:cstheme="minorBidi"/>
          <w:szCs w:val="22"/>
          <w:lang w:bidi="ar-SA"/>
        </w:rPr>
      </w:pPr>
      <w:r w:rsidRPr="000C4C17">
        <w:rPr>
          <w:rFonts w:eastAsiaTheme="minorHAnsi" w:cstheme="minorBidi"/>
          <w:szCs w:val="22"/>
          <w:lang w:bidi="ar-SA"/>
        </w:rPr>
        <w:t xml:space="preserve">Two systematic reviews are discussed here </w:t>
      </w:r>
      <w:r w:rsidR="003E3B74">
        <w:rPr>
          <w:rFonts w:eastAsiaTheme="minorHAnsi" w:cstheme="minorBidi"/>
          <w:szCs w:val="22"/>
          <w:lang w:bidi="ar-SA"/>
        </w:rPr>
        <w:t xml:space="preserve">(Table A1.6) </w:t>
      </w:r>
      <w:r w:rsidRPr="000C4C17">
        <w:rPr>
          <w:rFonts w:eastAsiaTheme="minorHAnsi" w:cstheme="minorBidi"/>
          <w:szCs w:val="22"/>
          <w:lang w:bidi="ar-SA"/>
        </w:rPr>
        <w:t xml:space="preserve">as the basis </w:t>
      </w:r>
      <w:r w:rsidR="003E3B74">
        <w:rPr>
          <w:rFonts w:eastAsiaTheme="minorHAnsi" w:cstheme="minorBidi"/>
          <w:szCs w:val="22"/>
          <w:lang w:bidi="ar-SA"/>
        </w:rPr>
        <w:t>for considering the question around the effect of PFAS chemicals on birthweight</w:t>
      </w:r>
      <w:r w:rsidR="00F97B75" w:rsidRPr="000C4C17">
        <w:rPr>
          <w:rFonts w:eastAsiaTheme="minorHAnsi" w:cstheme="minorBidi"/>
          <w:szCs w:val="22"/>
          <w:lang w:bidi="ar-SA"/>
        </w:rPr>
        <w:t>.</w:t>
      </w:r>
    </w:p>
    <w:p w14:paraId="53C5F56E" w14:textId="77777777" w:rsidR="003B6E88" w:rsidRDefault="003B6E88" w:rsidP="00A111E9">
      <w:pPr>
        <w:widowControl/>
        <w:rPr>
          <w:rFonts w:eastAsiaTheme="minorHAnsi" w:cstheme="minorBidi"/>
          <w:szCs w:val="22"/>
          <w:lang w:bidi="ar-SA"/>
        </w:rPr>
      </w:pPr>
    </w:p>
    <w:p w14:paraId="7CF18F55" w14:textId="13E28382" w:rsidR="00F97B75" w:rsidRDefault="00F97B75" w:rsidP="00A111E9">
      <w:pPr>
        <w:widowControl/>
        <w:rPr>
          <w:rFonts w:eastAsiaTheme="minorHAnsi" w:cstheme="minorBidi"/>
          <w:szCs w:val="22"/>
          <w:lang w:bidi="ar-SA"/>
        </w:rPr>
      </w:pPr>
      <w:r w:rsidRPr="000C4C17">
        <w:rPr>
          <w:rFonts w:eastAsiaTheme="minorHAnsi" w:cstheme="minorBidi"/>
          <w:szCs w:val="22"/>
          <w:lang w:bidi="ar-SA"/>
        </w:rPr>
        <w:t xml:space="preserve">The design of many studies cannot be unambiguously described as longitudinal or cross-sectional. Some studies collected maternal blood </w:t>
      </w:r>
      <w:r w:rsidR="003B6E88">
        <w:rPr>
          <w:rFonts w:eastAsiaTheme="minorHAnsi" w:cstheme="minorBidi"/>
          <w:szCs w:val="22"/>
          <w:lang w:bidi="ar-SA"/>
        </w:rPr>
        <w:t xml:space="preserve">in late pregnancy </w:t>
      </w:r>
      <w:r w:rsidRPr="000C4C17">
        <w:rPr>
          <w:rFonts w:eastAsiaTheme="minorHAnsi" w:cstheme="minorBidi"/>
          <w:szCs w:val="22"/>
          <w:lang w:bidi="ar-SA"/>
        </w:rPr>
        <w:t>or cord blood samples at delivery and so these are essentially estimates of exposure after f</w:t>
      </w:r>
      <w:r w:rsidR="001B6877">
        <w:rPr>
          <w:rFonts w:eastAsiaTheme="minorHAnsi" w:cstheme="minorBidi"/>
          <w:szCs w:val="22"/>
          <w:lang w:bidi="ar-SA"/>
        </w:rPr>
        <w:t>etal</w:t>
      </w:r>
      <w:r w:rsidRPr="000C4C17">
        <w:rPr>
          <w:rFonts w:eastAsiaTheme="minorHAnsi" w:cstheme="minorBidi"/>
          <w:szCs w:val="22"/>
          <w:lang w:bidi="ar-SA"/>
        </w:rPr>
        <w:t xml:space="preserve"> growth</w:t>
      </w:r>
      <w:r w:rsidR="005C17D6">
        <w:rPr>
          <w:rFonts w:eastAsiaTheme="minorHAnsi" w:cstheme="minorBidi"/>
          <w:szCs w:val="22"/>
          <w:lang w:bidi="ar-SA"/>
        </w:rPr>
        <w:t xml:space="preserve"> has largely occurred</w:t>
      </w:r>
      <w:r w:rsidRPr="000C4C17">
        <w:rPr>
          <w:rFonts w:eastAsiaTheme="minorHAnsi" w:cstheme="minorBidi"/>
          <w:szCs w:val="22"/>
          <w:lang w:bidi="ar-SA"/>
        </w:rPr>
        <w:t>.</w:t>
      </w:r>
      <w:r w:rsidR="003B6E88">
        <w:rPr>
          <w:rFonts w:eastAsiaTheme="minorHAnsi" w:cstheme="minorBidi"/>
          <w:szCs w:val="22"/>
          <w:lang w:bidi="ar-SA"/>
        </w:rPr>
        <w:t xml:space="preserve"> </w:t>
      </w:r>
      <w:r w:rsidRPr="000C4C17">
        <w:rPr>
          <w:rFonts w:eastAsiaTheme="minorHAnsi" w:cstheme="minorBidi"/>
          <w:szCs w:val="22"/>
          <w:lang w:bidi="ar-SA"/>
        </w:rPr>
        <w:t xml:space="preserve">A number of studies show that maternal blood collected at various times during </w:t>
      </w:r>
      <w:r w:rsidRPr="000C4C17">
        <w:rPr>
          <w:rFonts w:eastAsiaTheme="minorHAnsi" w:cstheme="minorBidi"/>
          <w:szCs w:val="22"/>
          <w:lang w:bidi="ar-SA"/>
        </w:rPr>
        <w:lastRenderedPageBreak/>
        <w:t>pregnancy and cord blood are correlated and so it is reasonable to assume that blood collected at any time provides a guide to exposure in people who have not moved their residence. However</w:t>
      </w:r>
      <w:r w:rsidR="007F02A2">
        <w:rPr>
          <w:rFonts w:eastAsiaTheme="minorHAnsi" w:cstheme="minorBidi"/>
          <w:szCs w:val="22"/>
          <w:lang w:bidi="ar-SA"/>
        </w:rPr>
        <w:t>,</w:t>
      </w:r>
      <w:r w:rsidRPr="000C4C17">
        <w:rPr>
          <w:rFonts w:eastAsiaTheme="minorHAnsi" w:cstheme="minorBidi"/>
          <w:szCs w:val="22"/>
          <w:lang w:bidi="ar-SA"/>
        </w:rPr>
        <w:t xml:space="preserve"> the actual concentration of PFAS in the blood changes </w:t>
      </w:r>
      <w:r w:rsidR="003B6E88">
        <w:rPr>
          <w:rFonts w:eastAsiaTheme="minorHAnsi" w:cstheme="minorBidi"/>
          <w:szCs w:val="22"/>
          <w:lang w:bidi="ar-SA"/>
        </w:rPr>
        <w:t>during</w:t>
      </w:r>
      <w:r w:rsidRPr="000C4C17">
        <w:rPr>
          <w:rFonts w:eastAsiaTheme="minorHAnsi" w:cstheme="minorBidi"/>
          <w:szCs w:val="22"/>
          <w:lang w:bidi="ar-SA"/>
        </w:rPr>
        <w:t xml:space="preserve"> pregnancy (possibly partly related to haemodilution) and is different in maternal and cord blood.</w:t>
      </w:r>
    </w:p>
    <w:p w14:paraId="757EA67A" w14:textId="77777777" w:rsidR="00A366A0" w:rsidRPr="000C4C17" w:rsidRDefault="00A366A0" w:rsidP="00A111E9">
      <w:pPr>
        <w:widowControl/>
        <w:rPr>
          <w:rFonts w:eastAsiaTheme="minorHAnsi" w:cstheme="minorBidi"/>
          <w:szCs w:val="22"/>
          <w:lang w:bidi="ar-SA"/>
        </w:rPr>
      </w:pPr>
    </w:p>
    <w:p w14:paraId="48BED12A" w14:textId="40FB0BB5" w:rsidR="00F8101A" w:rsidRPr="000C4C17" w:rsidRDefault="00F8101A" w:rsidP="00A111E9">
      <w:pPr>
        <w:pStyle w:val="FSTableTitle"/>
        <w:rPr>
          <w:rFonts w:eastAsiaTheme="minorHAnsi"/>
        </w:rPr>
      </w:pPr>
      <w:r w:rsidRPr="000C4C17">
        <w:rPr>
          <w:rFonts w:eastAsiaTheme="minorHAnsi"/>
        </w:rPr>
        <w:t xml:space="preserve">Table </w:t>
      </w:r>
      <w:r w:rsidR="006B1629" w:rsidRPr="000C4C17">
        <w:rPr>
          <w:rFonts w:eastAsiaTheme="minorHAnsi"/>
          <w:lang w:bidi="ar-SA"/>
        </w:rPr>
        <w:t>A1.</w:t>
      </w:r>
      <w:r w:rsidRPr="000C4C17">
        <w:rPr>
          <w:rFonts w:eastAsiaTheme="minorHAnsi"/>
        </w:rPr>
        <w:t xml:space="preserve">6 PECO and </w:t>
      </w:r>
      <w:r w:rsidR="005C17D6">
        <w:rPr>
          <w:rFonts w:eastAsiaTheme="minorHAnsi"/>
        </w:rPr>
        <w:t>other</w:t>
      </w:r>
      <w:r w:rsidR="006013C9">
        <w:rPr>
          <w:rFonts w:eastAsiaTheme="minorHAnsi"/>
        </w:rPr>
        <w:t xml:space="preserve"> </w:t>
      </w:r>
      <w:r w:rsidRPr="000C4C17">
        <w:rPr>
          <w:rFonts w:eastAsiaTheme="minorHAnsi"/>
        </w:rPr>
        <w:t>information about two systematic reviews of PFOA and birthweight</w:t>
      </w:r>
    </w:p>
    <w:tbl>
      <w:tblPr>
        <w:tblStyle w:val="TableGrid9"/>
        <w:tblW w:w="0" w:type="auto"/>
        <w:tblLayout w:type="fixed"/>
        <w:tblLook w:val="04A0" w:firstRow="1" w:lastRow="0" w:firstColumn="1" w:lastColumn="0" w:noHBand="0" w:noVBand="1"/>
        <w:tblCaption w:val="Table A1.6 PECO and other information about two systematic reviews of PFOA and birthweight"/>
        <w:tblDescription w:val="This table contains data relating to PECO and other information about two systematic reviews of PFOA and birthweight."/>
      </w:tblPr>
      <w:tblGrid>
        <w:gridCol w:w="1526"/>
        <w:gridCol w:w="3544"/>
        <w:gridCol w:w="4216"/>
      </w:tblGrid>
      <w:tr w:rsidR="00F8101A" w:rsidRPr="000C4C17" w14:paraId="7D06EB84" w14:textId="77777777" w:rsidTr="000830C5">
        <w:trPr>
          <w:trHeight w:val="345"/>
          <w:tblHeader/>
        </w:trPr>
        <w:tc>
          <w:tcPr>
            <w:tcW w:w="1526" w:type="dxa"/>
            <w:shd w:val="clear" w:color="auto" w:fill="F2F2F2" w:themeFill="background1" w:themeFillShade="F2"/>
          </w:tcPr>
          <w:p w14:paraId="367F70CC" w14:textId="77777777" w:rsidR="00F8101A" w:rsidRPr="000C4C17" w:rsidRDefault="00F8101A" w:rsidP="00A111E9">
            <w:pPr>
              <w:widowControl/>
              <w:rPr>
                <w:rFonts w:eastAsiaTheme="minorHAnsi"/>
                <w:sz w:val="18"/>
              </w:rPr>
            </w:pPr>
          </w:p>
        </w:tc>
        <w:tc>
          <w:tcPr>
            <w:tcW w:w="3544" w:type="dxa"/>
            <w:shd w:val="clear" w:color="auto" w:fill="F2F2F2" w:themeFill="background1" w:themeFillShade="F2"/>
            <w:vAlign w:val="center"/>
          </w:tcPr>
          <w:p w14:paraId="52171115" w14:textId="418AA289" w:rsidR="00F8101A" w:rsidRPr="000C4C17" w:rsidRDefault="00B6643B" w:rsidP="00A111E9">
            <w:pPr>
              <w:widowControl/>
              <w:rPr>
                <w:rFonts w:eastAsiaTheme="minorHAnsi"/>
                <w:sz w:val="18"/>
              </w:rPr>
            </w:pPr>
            <w:r w:rsidRPr="000C4C17">
              <w:rPr>
                <w:rFonts w:eastAsiaTheme="minorHAnsi"/>
                <w:sz w:val="18"/>
              </w:rPr>
              <w:t xml:space="preserve">Johnson </w:t>
            </w:r>
            <w:r w:rsidR="00180A32" w:rsidRPr="00180A32">
              <w:rPr>
                <w:rFonts w:eastAsiaTheme="minorHAnsi"/>
                <w:i/>
                <w:sz w:val="18"/>
              </w:rPr>
              <w:t xml:space="preserve">et al. </w:t>
            </w:r>
            <w:r w:rsidR="00CC50B8">
              <w:rPr>
                <w:rFonts w:eastAsiaTheme="minorHAnsi"/>
                <w:sz w:val="18"/>
              </w:rPr>
              <w:t xml:space="preserve"> </w:t>
            </w:r>
            <w:r w:rsidR="00F8101A" w:rsidRPr="000C4C17">
              <w:rPr>
                <w:rFonts w:eastAsiaTheme="minorHAnsi"/>
                <w:sz w:val="18"/>
              </w:rPr>
              <w:t>2014</w:t>
            </w:r>
          </w:p>
        </w:tc>
        <w:tc>
          <w:tcPr>
            <w:tcW w:w="4216" w:type="dxa"/>
            <w:shd w:val="clear" w:color="auto" w:fill="F2F2F2" w:themeFill="background1" w:themeFillShade="F2"/>
            <w:vAlign w:val="center"/>
          </w:tcPr>
          <w:p w14:paraId="59F73DB3" w14:textId="17574A45" w:rsidR="00F8101A" w:rsidRPr="000C4C17" w:rsidRDefault="00B6643B" w:rsidP="00A111E9">
            <w:pPr>
              <w:widowControl/>
              <w:rPr>
                <w:rFonts w:eastAsiaTheme="minorHAnsi"/>
                <w:sz w:val="18"/>
              </w:rPr>
            </w:pPr>
            <w:r w:rsidRPr="000C4C17">
              <w:rPr>
                <w:rFonts w:eastAsiaTheme="minorHAnsi"/>
                <w:sz w:val="18"/>
              </w:rPr>
              <w:t xml:space="preserve">Bach </w:t>
            </w:r>
            <w:r w:rsidR="00180A32" w:rsidRPr="00180A32">
              <w:rPr>
                <w:rFonts w:eastAsiaTheme="minorHAnsi"/>
                <w:i/>
                <w:sz w:val="18"/>
              </w:rPr>
              <w:t xml:space="preserve">et al. </w:t>
            </w:r>
            <w:r w:rsidR="00CC50B8">
              <w:rPr>
                <w:rFonts w:eastAsiaTheme="minorHAnsi"/>
                <w:sz w:val="18"/>
              </w:rPr>
              <w:t xml:space="preserve"> </w:t>
            </w:r>
            <w:r w:rsidR="00F8101A" w:rsidRPr="000C4C17">
              <w:rPr>
                <w:rFonts w:eastAsiaTheme="minorHAnsi"/>
                <w:sz w:val="18"/>
              </w:rPr>
              <w:t>2015</w:t>
            </w:r>
          </w:p>
        </w:tc>
      </w:tr>
      <w:tr w:rsidR="00F8101A" w:rsidRPr="000C4C17" w14:paraId="578EC678" w14:textId="77777777" w:rsidTr="000E7153">
        <w:trPr>
          <w:trHeight w:val="454"/>
        </w:trPr>
        <w:tc>
          <w:tcPr>
            <w:tcW w:w="9286" w:type="dxa"/>
            <w:gridSpan w:val="3"/>
            <w:shd w:val="clear" w:color="auto" w:fill="F2F2F2" w:themeFill="background1" w:themeFillShade="F2"/>
            <w:vAlign w:val="center"/>
          </w:tcPr>
          <w:p w14:paraId="05884369" w14:textId="2281450D" w:rsidR="00F8101A" w:rsidRPr="000C4C17" w:rsidRDefault="00F8101A" w:rsidP="00A111E9">
            <w:pPr>
              <w:widowControl/>
              <w:tabs>
                <w:tab w:val="left" w:pos="1907"/>
              </w:tabs>
              <w:rPr>
                <w:rFonts w:eastAsiaTheme="minorHAnsi"/>
                <w:b/>
                <w:sz w:val="18"/>
              </w:rPr>
            </w:pPr>
            <w:r w:rsidRPr="000E7153">
              <w:rPr>
                <w:rFonts w:eastAsiaTheme="minorHAnsi"/>
                <w:b/>
                <w:sz w:val="18"/>
                <w:shd w:val="clear" w:color="auto" w:fill="F2F2F2" w:themeFill="background1" w:themeFillShade="F2"/>
              </w:rPr>
              <w:t>PECO</w:t>
            </w:r>
            <w:r w:rsidRPr="000C4C17">
              <w:rPr>
                <w:rFonts w:eastAsiaTheme="minorHAnsi"/>
                <w:b/>
                <w:sz w:val="18"/>
              </w:rPr>
              <w:t>(s) criteria</w:t>
            </w:r>
          </w:p>
        </w:tc>
      </w:tr>
      <w:tr w:rsidR="00F8101A" w:rsidRPr="000C4C17" w14:paraId="0BECC0C6" w14:textId="77777777" w:rsidTr="00F6284E">
        <w:tc>
          <w:tcPr>
            <w:tcW w:w="1526" w:type="dxa"/>
            <w:vAlign w:val="center"/>
          </w:tcPr>
          <w:p w14:paraId="1B60D3B2" w14:textId="77777777" w:rsidR="00F8101A" w:rsidRPr="000C4C17" w:rsidRDefault="00F8101A" w:rsidP="00A111E9">
            <w:pPr>
              <w:widowControl/>
              <w:tabs>
                <w:tab w:val="left" w:pos="1455"/>
              </w:tabs>
              <w:rPr>
                <w:rFonts w:eastAsiaTheme="minorHAnsi"/>
                <w:sz w:val="18"/>
              </w:rPr>
            </w:pPr>
            <w:r w:rsidRPr="000C4C17">
              <w:rPr>
                <w:rFonts w:eastAsiaTheme="minorHAnsi"/>
                <w:sz w:val="18"/>
              </w:rPr>
              <w:t>Population</w:t>
            </w:r>
          </w:p>
        </w:tc>
        <w:tc>
          <w:tcPr>
            <w:tcW w:w="3544" w:type="dxa"/>
          </w:tcPr>
          <w:p w14:paraId="6CA60EEE" w14:textId="3D477BC0" w:rsidR="00F8101A" w:rsidRPr="000C4C17" w:rsidRDefault="00F8101A" w:rsidP="00A111E9">
            <w:pPr>
              <w:widowControl/>
              <w:rPr>
                <w:rFonts w:eastAsiaTheme="minorHAnsi"/>
                <w:sz w:val="18"/>
              </w:rPr>
            </w:pPr>
            <w:r w:rsidRPr="000C4C17">
              <w:rPr>
                <w:rFonts w:eastAsiaTheme="minorHAnsi"/>
                <w:sz w:val="18"/>
              </w:rPr>
              <w:t>Humans during reproduction/development (i.e. before &amp; during pregnancy for women, during pregnancy for the f</w:t>
            </w:r>
            <w:r w:rsidR="001B6877">
              <w:rPr>
                <w:rFonts w:eastAsiaTheme="minorHAnsi"/>
                <w:sz w:val="18"/>
              </w:rPr>
              <w:t>etus</w:t>
            </w:r>
            <w:r w:rsidRPr="000C4C17">
              <w:rPr>
                <w:rFonts w:eastAsiaTheme="minorHAnsi"/>
                <w:sz w:val="18"/>
              </w:rPr>
              <w:t>)</w:t>
            </w:r>
          </w:p>
        </w:tc>
        <w:tc>
          <w:tcPr>
            <w:tcW w:w="4216" w:type="dxa"/>
            <w:vAlign w:val="center"/>
          </w:tcPr>
          <w:p w14:paraId="3997B44D" w14:textId="77777777" w:rsidR="00F8101A" w:rsidRPr="000C4C17" w:rsidRDefault="00F8101A" w:rsidP="00A111E9">
            <w:pPr>
              <w:widowControl/>
              <w:rPr>
                <w:rFonts w:eastAsiaTheme="minorHAnsi"/>
                <w:sz w:val="18"/>
              </w:rPr>
            </w:pPr>
            <w:r w:rsidRPr="000C4C17">
              <w:rPr>
                <w:rFonts w:eastAsiaTheme="minorHAnsi"/>
                <w:sz w:val="18"/>
              </w:rPr>
              <w:t>Pregnant women</w:t>
            </w:r>
          </w:p>
        </w:tc>
      </w:tr>
      <w:tr w:rsidR="00F8101A" w:rsidRPr="000C4C17" w14:paraId="13F90AD4" w14:textId="77777777" w:rsidTr="00F6284E">
        <w:tc>
          <w:tcPr>
            <w:tcW w:w="1526" w:type="dxa"/>
            <w:vAlign w:val="center"/>
          </w:tcPr>
          <w:p w14:paraId="14AC1465" w14:textId="77777777" w:rsidR="00F8101A" w:rsidRPr="000C4C17" w:rsidRDefault="00F8101A" w:rsidP="00A111E9">
            <w:pPr>
              <w:widowControl/>
              <w:rPr>
                <w:rFonts w:eastAsiaTheme="minorHAnsi"/>
                <w:sz w:val="18"/>
              </w:rPr>
            </w:pPr>
            <w:r w:rsidRPr="000C4C17">
              <w:rPr>
                <w:rFonts w:eastAsiaTheme="minorHAnsi"/>
                <w:sz w:val="18"/>
              </w:rPr>
              <w:t>Exposure</w:t>
            </w:r>
          </w:p>
        </w:tc>
        <w:tc>
          <w:tcPr>
            <w:tcW w:w="3544" w:type="dxa"/>
          </w:tcPr>
          <w:p w14:paraId="28971D77" w14:textId="7D7B64C5" w:rsidR="00F8101A" w:rsidRPr="000C4C17" w:rsidRDefault="00F8101A" w:rsidP="00A111E9">
            <w:pPr>
              <w:widowControl/>
              <w:autoSpaceDE w:val="0"/>
              <w:autoSpaceDN w:val="0"/>
              <w:adjustRightInd w:val="0"/>
              <w:rPr>
                <w:rFonts w:eastAsiaTheme="minorHAnsi"/>
                <w:sz w:val="18"/>
              </w:rPr>
            </w:pPr>
            <w:r w:rsidRPr="000C4C17">
              <w:rPr>
                <w:rFonts w:eastAsiaTheme="minorHAnsi"/>
                <w:sz w:val="18"/>
              </w:rPr>
              <w:t>PFOA (CAS#335-67-1) or its salts before/during pregnancy – “</w:t>
            </w:r>
            <w:r w:rsidRPr="000C4C17">
              <w:rPr>
                <w:rFonts w:eastAsiaTheme="minorHAnsi"/>
                <w:color w:val="000000"/>
                <w:sz w:val="18"/>
              </w:rPr>
              <w:t>measured or esti</w:t>
            </w:r>
            <w:r w:rsidRPr="000C4C17">
              <w:rPr>
                <w:rFonts w:eastAsiaTheme="minorHAnsi"/>
                <w:color w:val="000000"/>
                <w:sz w:val="18"/>
              </w:rPr>
              <w:softHyphen/>
              <w:t>mated during the reproductive/developmental time period</w:t>
            </w:r>
            <w:r w:rsidR="0094513D">
              <w:rPr>
                <w:rFonts w:eastAsiaTheme="minorHAnsi"/>
                <w:color w:val="000000"/>
                <w:sz w:val="18"/>
              </w:rPr>
              <w:t>”</w:t>
            </w:r>
            <w:r w:rsidRPr="000C4C17">
              <w:rPr>
                <w:rFonts w:eastAsiaTheme="minorHAnsi"/>
                <w:color w:val="000000"/>
                <w:sz w:val="18"/>
              </w:rPr>
              <w:t xml:space="preserve"> (any time before or during pregnancy for women, or directly in </w:t>
            </w:r>
            <w:r w:rsidR="0094513D">
              <w:rPr>
                <w:rFonts w:eastAsiaTheme="minorHAnsi"/>
                <w:color w:val="000000"/>
                <w:sz w:val="18"/>
              </w:rPr>
              <w:t xml:space="preserve">fetuses, including cord blood) </w:t>
            </w:r>
          </w:p>
        </w:tc>
        <w:tc>
          <w:tcPr>
            <w:tcW w:w="4216" w:type="dxa"/>
            <w:vAlign w:val="center"/>
          </w:tcPr>
          <w:p w14:paraId="48522F9A" w14:textId="032F59E8" w:rsidR="00F8101A" w:rsidRPr="000C4C17" w:rsidRDefault="00F8101A" w:rsidP="00A111E9">
            <w:pPr>
              <w:widowControl/>
              <w:rPr>
                <w:rFonts w:eastAsiaTheme="minorHAnsi"/>
                <w:sz w:val="18"/>
              </w:rPr>
            </w:pPr>
            <w:r w:rsidRPr="000C4C17">
              <w:rPr>
                <w:rFonts w:eastAsiaTheme="minorHAnsi"/>
                <w:sz w:val="18"/>
              </w:rPr>
              <w:t>PFOS or PFOA in biological material (blood, cord blood</w:t>
            </w:r>
            <w:r w:rsidR="0007229B">
              <w:rPr>
                <w:rFonts w:eastAsiaTheme="minorHAnsi"/>
                <w:sz w:val="18"/>
              </w:rPr>
              <w:t>)</w:t>
            </w:r>
            <w:r w:rsidRPr="000C4C17">
              <w:rPr>
                <w:rFonts w:eastAsiaTheme="minorHAnsi"/>
                <w:sz w:val="18"/>
              </w:rPr>
              <w:t>; excluded indirect estimates of exposure</w:t>
            </w:r>
          </w:p>
        </w:tc>
      </w:tr>
      <w:tr w:rsidR="00F8101A" w:rsidRPr="000C4C17" w14:paraId="6BBF8D3D" w14:textId="77777777" w:rsidTr="00F6284E">
        <w:trPr>
          <w:trHeight w:val="283"/>
        </w:trPr>
        <w:tc>
          <w:tcPr>
            <w:tcW w:w="1526" w:type="dxa"/>
            <w:vAlign w:val="center"/>
          </w:tcPr>
          <w:p w14:paraId="54211F5C" w14:textId="77777777" w:rsidR="00F8101A" w:rsidRPr="000C4C17" w:rsidRDefault="00F8101A" w:rsidP="00A111E9">
            <w:pPr>
              <w:widowControl/>
              <w:rPr>
                <w:rFonts w:eastAsiaTheme="minorHAnsi"/>
                <w:sz w:val="18"/>
              </w:rPr>
            </w:pPr>
            <w:r w:rsidRPr="000C4C17">
              <w:rPr>
                <w:rFonts w:eastAsiaTheme="minorHAnsi"/>
                <w:sz w:val="18"/>
              </w:rPr>
              <w:t>Comparator</w:t>
            </w:r>
          </w:p>
        </w:tc>
        <w:tc>
          <w:tcPr>
            <w:tcW w:w="3544" w:type="dxa"/>
            <w:vAlign w:val="center"/>
          </w:tcPr>
          <w:p w14:paraId="15BCFD0B" w14:textId="77777777" w:rsidR="00F8101A" w:rsidRPr="000C4C17" w:rsidRDefault="00F8101A" w:rsidP="00A111E9">
            <w:pPr>
              <w:widowControl/>
              <w:rPr>
                <w:rFonts w:eastAsiaTheme="minorHAnsi"/>
                <w:sz w:val="18"/>
              </w:rPr>
            </w:pPr>
            <w:r w:rsidRPr="000C4C17">
              <w:rPr>
                <w:rFonts w:eastAsiaTheme="minorHAnsi"/>
                <w:sz w:val="18"/>
              </w:rPr>
              <w:t>Comparison across a range of exposures</w:t>
            </w:r>
          </w:p>
        </w:tc>
        <w:tc>
          <w:tcPr>
            <w:tcW w:w="4216" w:type="dxa"/>
            <w:vAlign w:val="center"/>
          </w:tcPr>
          <w:p w14:paraId="0E4442B3" w14:textId="77777777" w:rsidR="00F8101A" w:rsidRPr="000C4C17" w:rsidRDefault="00F8101A" w:rsidP="00A111E9">
            <w:pPr>
              <w:widowControl/>
              <w:rPr>
                <w:rFonts w:eastAsiaTheme="minorHAnsi"/>
                <w:sz w:val="18"/>
              </w:rPr>
            </w:pPr>
            <w:r w:rsidRPr="000C4C17">
              <w:rPr>
                <w:rFonts w:eastAsiaTheme="minorHAnsi"/>
                <w:sz w:val="18"/>
              </w:rPr>
              <w:t>Range of exposure</w:t>
            </w:r>
          </w:p>
        </w:tc>
      </w:tr>
      <w:tr w:rsidR="00F8101A" w:rsidRPr="000C4C17" w14:paraId="73CF23BE" w14:textId="77777777" w:rsidTr="00D95A2C">
        <w:tc>
          <w:tcPr>
            <w:tcW w:w="1526" w:type="dxa"/>
          </w:tcPr>
          <w:p w14:paraId="2E9A508D" w14:textId="77777777" w:rsidR="00F8101A" w:rsidRPr="000C4C17" w:rsidRDefault="00F8101A" w:rsidP="00A111E9">
            <w:pPr>
              <w:widowControl/>
              <w:rPr>
                <w:rFonts w:eastAsiaTheme="minorHAnsi"/>
                <w:sz w:val="18"/>
              </w:rPr>
            </w:pPr>
            <w:r w:rsidRPr="000C4C17">
              <w:rPr>
                <w:rFonts w:eastAsiaTheme="minorHAnsi"/>
                <w:sz w:val="18"/>
              </w:rPr>
              <w:t>Outcomes</w:t>
            </w:r>
          </w:p>
        </w:tc>
        <w:tc>
          <w:tcPr>
            <w:tcW w:w="3544" w:type="dxa"/>
          </w:tcPr>
          <w:p w14:paraId="71110092" w14:textId="7A635B53" w:rsidR="00F8101A" w:rsidRPr="000C4C17" w:rsidRDefault="00F8101A" w:rsidP="00A111E9">
            <w:pPr>
              <w:widowControl/>
              <w:rPr>
                <w:rFonts w:eastAsiaTheme="minorHAnsi"/>
                <w:sz w:val="18"/>
              </w:rPr>
            </w:pPr>
            <w:r w:rsidRPr="000C4C17">
              <w:rPr>
                <w:rFonts w:eastAsiaTheme="minorHAnsi"/>
                <w:sz w:val="18"/>
              </w:rPr>
              <w:t>Birthweight; other measures of f</w:t>
            </w:r>
            <w:r w:rsidR="001B6877">
              <w:rPr>
                <w:rFonts w:eastAsiaTheme="minorHAnsi"/>
                <w:sz w:val="18"/>
              </w:rPr>
              <w:t>etal</w:t>
            </w:r>
            <w:r w:rsidRPr="000C4C17">
              <w:rPr>
                <w:rFonts w:eastAsiaTheme="minorHAnsi"/>
                <w:sz w:val="18"/>
              </w:rPr>
              <w:t xml:space="preserve"> or infant growth optional; BW did not have to be the focus of the study</w:t>
            </w:r>
          </w:p>
        </w:tc>
        <w:tc>
          <w:tcPr>
            <w:tcW w:w="4216" w:type="dxa"/>
          </w:tcPr>
          <w:p w14:paraId="344FC897" w14:textId="77777777" w:rsidR="00F8101A" w:rsidRPr="000C4C17" w:rsidRDefault="00F8101A" w:rsidP="00A111E9">
            <w:pPr>
              <w:widowControl/>
              <w:rPr>
                <w:rFonts w:eastAsiaTheme="minorHAnsi"/>
                <w:sz w:val="18"/>
              </w:rPr>
            </w:pPr>
            <w:r w:rsidRPr="000C4C17">
              <w:rPr>
                <w:rFonts w:eastAsiaTheme="minorHAnsi"/>
                <w:sz w:val="18"/>
              </w:rPr>
              <w:t>Developmental growth - birthweight on a continuous scale; other measures also included</w:t>
            </w:r>
          </w:p>
        </w:tc>
      </w:tr>
      <w:tr w:rsidR="00F8101A" w:rsidRPr="000C4C17" w14:paraId="3F73E70E" w14:textId="77777777" w:rsidTr="00D95A2C">
        <w:tc>
          <w:tcPr>
            <w:tcW w:w="1526" w:type="dxa"/>
          </w:tcPr>
          <w:p w14:paraId="6C9B1686" w14:textId="77777777" w:rsidR="00F8101A" w:rsidRPr="000C4C17" w:rsidRDefault="00F8101A" w:rsidP="00A111E9">
            <w:pPr>
              <w:widowControl/>
              <w:rPr>
                <w:rFonts w:eastAsiaTheme="minorHAnsi"/>
                <w:sz w:val="18"/>
              </w:rPr>
            </w:pPr>
            <w:r w:rsidRPr="000C4C17">
              <w:rPr>
                <w:rFonts w:eastAsiaTheme="minorHAnsi"/>
                <w:sz w:val="18"/>
              </w:rPr>
              <w:t>Study design</w:t>
            </w:r>
          </w:p>
        </w:tc>
        <w:tc>
          <w:tcPr>
            <w:tcW w:w="3544" w:type="dxa"/>
          </w:tcPr>
          <w:p w14:paraId="14BBFF1B" w14:textId="50B3728B" w:rsidR="00F8101A" w:rsidRPr="000C4C17" w:rsidRDefault="00F8101A" w:rsidP="00A111E9">
            <w:pPr>
              <w:widowControl/>
              <w:rPr>
                <w:rFonts w:eastAsiaTheme="minorHAnsi"/>
                <w:sz w:val="18"/>
              </w:rPr>
            </w:pPr>
            <w:r w:rsidRPr="000C4C17">
              <w:rPr>
                <w:rFonts w:eastAsiaTheme="minorHAnsi"/>
                <w:sz w:val="18"/>
              </w:rPr>
              <w:t>No design specifications but study had to contain original data or observations</w:t>
            </w:r>
          </w:p>
        </w:tc>
        <w:tc>
          <w:tcPr>
            <w:tcW w:w="4216" w:type="dxa"/>
          </w:tcPr>
          <w:p w14:paraId="0B365BFE" w14:textId="0F3E0DD9" w:rsidR="00F8101A" w:rsidRPr="000C4C17" w:rsidRDefault="00F8101A" w:rsidP="00A111E9">
            <w:pPr>
              <w:widowControl/>
              <w:rPr>
                <w:rFonts w:eastAsiaTheme="minorHAnsi"/>
                <w:sz w:val="18"/>
              </w:rPr>
            </w:pPr>
            <w:r w:rsidRPr="000C4C17">
              <w:rPr>
                <w:rFonts w:eastAsiaTheme="minorHAnsi"/>
                <w:sz w:val="18"/>
              </w:rPr>
              <w:t>Original human cohort, cross</w:t>
            </w:r>
            <w:r w:rsidR="001012A5">
              <w:rPr>
                <w:rFonts w:eastAsiaTheme="minorHAnsi"/>
                <w:sz w:val="18"/>
              </w:rPr>
              <w:t>-</w:t>
            </w:r>
            <w:r w:rsidRPr="000C4C17">
              <w:rPr>
                <w:rFonts w:eastAsiaTheme="minorHAnsi"/>
                <w:sz w:val="18"/>
              </w:rPr>
              <w:t xml:space="preserve">sectional and case-control studies; </w:t>
            </w:r>
          </w:p>
        </w:tc>
      </w:tr>
      <w:tr w:rsidR="00F8101A" w:rsidRPr="000C4C17" w14:paraId="43F29A72" w14:textId="77777777" w:rsidTr="000E7153">
        <w:trPr>
          <w:trHeight w:val="454"/>
        </w:trPr>
        <w:tc>
          <w:tcPr>
            <w:tcW w:w="9286" w:type="dxa"/>
            <w:gridSpan w:val="3"/>
            <w:shd w:val="clear" w:color="auto" w:fill="F2F2F2" w:themeFill="background1" w:themeFillShade="F2"/>
            <w:vAlign w:val="center"/>
          </w:tcPr>
          <w:p w14:paraId="421F404D" w14:textId="2C672FFC" w:rsidR="00F8101A" w:rsidRPr="000C4C17" w:rsidRDefault="00F8101A" w:rsidP="00A111E9">
            <w:pPr>
              <w:widowControl/>
              <w:rPr>
                <w:rFonts w:eastAsiaTheme="minorHAnsi"/>
                <w:b/>
                <w:sz w:val="18"/>
              </w:rPr>
            </w:pPr>
            <w:r w:rsidRPr="000C4C17">
              <w:rPr>
                <w:rFonts w:eastAsiaTheme="minorHAnsi"/>
                <w:b/>
                <w:sz w:val="18"/>
              </w:rPr>
              <w:t>Other items</w:t>
            </w:r>
          </w:p>
        </w:tc>
      </w:tr>
      <w:tr w:rsidR="00F8101A" w:rsidRPr="000C4C17" w14:paraId="5ECB9262" w14:textId="77777777" w:rsidTr="00F6284E">
        <w:tc>
          <w:tcPr>
            <w:tcW w:w="1526" w:type="dxa"/>
            <w:vAlign w:val="center"/>
          </w:tcPr>
          <w:p w14:paraId="4D1BE466" w14:textId="77777777" w:rsidR="00F8101A" w:rsidRPr="000C4C17" w:rsidRDefault="00F8101A" w:rsidP="00A111E9">
            <w:pPr>
              <w:widowControl/>
              <w:rPr>
                <w:rFonts w:eastAsiaTheme="minorHAnsi"/>
                <w:sz w:val="18"/>
              </w:rPr>
            </w:pPr>
            <w:r w:rsidRPr="000C4C17">
              <w:rPr>
                <w:rFonts w:eastAsiaTheme="minorHAnsi"/>
                <w:sz w:val="18"/>
              </w:rPr>
              <w:t>Databases searched</w:t>
            </w:r>
          </w:p>
        </w:tc>
        <w:tc>
          <w:tcPr>
            <w:tcW w:w="3544" w:type="dxa"/>
            <w:vAlign w:val="center"/>
          </w:tcPr>
          <w:p w14:paraId="421606DB" w14:textId="77777777" w:rsidR="00F8101A" w:rsidRPr="000C4C17" w:rsidRDefault="00F8101A" w:rsidP="00A111E9">
            <w:pPr>
              <w:widowControl/>
              <w:rPr>
                <w:rFonts w:eastAsiaTheme="minorHAnsi"/>
                <w:sz w:val="18"/>
              </w:rPr>
            </w:pPr>
            <w:r w:rsidRPr="000C4C17">
              <w:rPr>
                <w:rFonts w:eastAsiaTheme="minorHAnsi"/>
                <w:sz w:val="18"/>
              </w:rPr>
              <w:t>PubMed, EMBASE, Web of Science and other databases</w:t>
            </w:r>
          </w:p>
        </w:tc>
        <w:tc>
          <w:tcPr>
            <w:tcW w:w="4216" w:type="dxa"/>
            <w:vAlign w:val="center"/>
          </w:tcPr>
          <w:p w14:paraId="6211C551" w14:textId="77777777" w:rsidR="00F8101A" w:rsidRPr="000C4C17" w:rsidRDefault="00F8101A" w:rsidP="00A111E9">
            <w:pPr>
              <w:widowControl/>
              <w:rPr>
                <w:rFonts w:eastAsiaTheme="minorHAnsi"/>
                <w:sz w:val="18"/>
              </w:rPr>
            </w:pPr>
            <w:r w:rsidRPr="000C4C17">
              <w:rPr>
                <w:rFonts w:eastAsiaTheme="minorHAnsi"/>
                <w:sz w:val="18"/>
              </w:rPr>
              <w:t>MEDLINE, EMBASE, citation search in Scopus</w:t>
            </w:r>
          </w:p>
        </w:tc>
      </w:tr>
      <w:tr w:rsidR="00F8101A" w:rsidRPr="000C4C17" w14:paraId="21CF1583" w14:textId="77777777" w:rsidTr="00F6284E">
        <w:trPr>
          <w:trHeight w:val="379"/>
        </w:trPr>
        <w:tc>
          <w:tcPr>
            <w:tcW w:w="1526" w:type="dxa"/>
            <w:vAlign w:val="center"/>
          </w:tcPr>
          <w:p w14:paraId="42BBB143" w14:textId="77777777" w:rsidR="00F8101A" w:rsidRPr="000C4C17" w:rsidRDefault="00F8101A" w:rsidP="00A111E9">
            <w:pPr>
              <w:widowControl/>
              <w:rPr>
                <w:rFonts w:eastAsiaTheme="minorHAnsi"/>
                <w:sz w:val="18"/>
              </w:rPr>
            </w:pPr>
            <w:r w:rsidRPr="000C4C17">
              <w:rPr>
                <w:rFonts w:eastAsiaTheme="minorHAnsi"/>
                <w:sz w:val="18"/>
              </w:rPr>
              <w:t>Final date of search</w:t>
            </w:r>
          </w:p>
        </w:tc>
        <w:tc>
          <w:tcPr>
            <w:tcW w:w="3544" w:type="dxa"/>
            <w:vAlign w:val="center"/>
          </w:tcPr>
          <w:p w14:paraId="358C3440" w14:textId="77777777" w:rsidR="00F8101A" w:rsidRPr="000C4C17" w:rsidRDefault="00F8101A" w:rsidP="00A111E9">
            <w:pPr>
              <w:widowControl/>
              <w:rPr>
                <w:rFonts w:eastAsiaTheme="minorHAnsi"/>
                <w:sz w:val="18"/>
              </w:rPr>
            </w:pPr>
            <w:r w:rsidRPr="000C4C17">
              <w:rPr>
                <w:rFonts w:eastAsiaTheme="minorHAnsi"/>
                <w:sz w:val="18"/>
              </w:rPr>
              <w:t>23 April, 2012 - 11 May, 2012</w:t>
            </w:r>
          </w:p>
        </w:tc>
        <w:tc>
          <w:tcPr>
            <w:tcW w:w="4216" w:type="dxa"/>
            <w:vAlign w:val="center"/>
          </w:tcPr>
          <w:p w14:paraId="5EBD5E14" w14:textId="77777777" w:rsidR="00F8101A" w:rsidRPr="000C4C17" w:rsidRDefault="00F8101A" w:rsidP="00A111E9">
            <w:pPr>
              <w:widowControl/>
              <w:tabs>
                <w:tab w:val="left" w:pos="568"/>
              </w:tabs>
              <w:rPr>
                <w:rFonts w:eastAsiaTheme="minorHAnsi"/>
                <w:sz w:val="18"/>
              </w:rPr>
            </w:pPr>
            <w:r w:rsidRPr="000C4C17">
              <w:rPr>
                <w:rFonts w:eastAsiaTheme="minorHAnsi"/>
                <w:sz w:val="18"/>
              </w:rPr>
              <w:t>12 June, 2014</w:t>
            </w:r>
          </w:p>
        </w:tc>
      </w:tr>
      <w:tr w:rsidR="00F8101A" w:rsidRPr="000C4C17" w14:paraId="39B1FC12" w14:textId="77777777" w:rsidTr="00F6284E">
        <w:tc>
          <w:tcPr>
            <w:tcW w:w="1526" w:type="dxa"/>
            <w:vAlign w:val="center"/>
          </w:tcPr>
          <w:p w14:paraId="2078F9D0" w14:textId="77777777" w:rsidR="00F8101A" w:rsidRPr="000C4C17" w:rsidRDefault="00F8101A" w:rsidP="00A111E9">
            <w:pPr>
              <w:widowControl/>
              <w:rPr>
                <w:rFonts w:eastAsiaTheme="minorHAnsi"/>
                <w:sz w:val="18"/>
              </w:rPr>
            </w:pPr>
            <w:r w:rsidRPr="000C4C17">
              <w:rPr>
                <w:rFonts w:eastAsiaTheme="minorHAnsi"/>
                <w:sz w:val="18"/>
              </w:rPr>
              <w:t>Language, publication date</w:t>
            </w:r>
          </w:p>
        </w:tc>
        <w:tc>
          <w:tcPr>
            <w:tcW w:w="3544" w:type="dxa"/>
            <w:vAlign w:val="center"/>
          </w:tcPr>
          <w:p w14:paraId="5C147561" w14:textId="77777777" w:rsidR="00F8101A" w:rsidRPr="000C4C17" w:rsidRDefault="00F8101A" w:rsidP="00A111E9">
            <w:pPr>
              <w:widowControl/>
              <w:rPr>
                <w:rFonts w:eastAsiaTheme="minorHAnsi"/>
                <w:sz w:val="18"/>
              </w:rPr>
            </w:pPr>
            <w:r w:rsidRPr="000C4C17">
              <w:rPr>
                <w:rFonts w:eastAsiaTheme="minorHAnsi"/>
                <w:sz w:val="18"/>
              </w:rPr>
              <w:t>No restrictions</w:t>
            </w:r>
          </w:p>
        </w:tc>
        <w:tc>
          <w:tcPr>
            <w:tcW w:w="4216" w:type="dxa"/>
            <w:vAlign w:val="center"/>
          </w:tcPr>
          <w:p w14:paraId="17E7FBC2" w14:textId="77777777" w:rsidR="00F8101A" w:rsidRPr="000C4C17" w:rsidRDefault="00F8101A" w:rsidP="00A111E9">
            <w:pPr>
              <w:widowControl/>
              <w:rPr>
                <w:rFonts w:eastAsiaTheme="minorHAnsi"/>
                <w:sz w:val="18"/>
              </w:rPr>
            </w:pPr>
            <w:r w:rsidRPr="000C4C17">
              <w:rPr>
                <w:rFonts w:eastAsiaTheme="minorHAnsi"/>
                <w:sz w:val="18"/>
              </w:rPr>
              <w:t>No restrictions</w:t>
            </w:r>
          </w:p>
        </w:tc>
      </w:tr>
      <w:tr w:rsidR="00F8101A" w:rsidRPr="000C4C17" w14:paraId="425B6208" w14:textId="77777777" w:rsidTr="00F6284E">
        <w:tc>
          <w:tcPr>
            <w:tcW w:w="1526" w:type="dxa"/>
            <w:vAlign w:val="center"/>
          </w:tcPr>
          <w:p w14:paraId="7C201A06" w14:textId="77777777" w:rsidR="00F8101A" w:rsidRPr="000C4C17" w:rsidRDefault="00F8101A" w:rsidP="00A111E9">
            <w:pPr>
              <w:widowControl/>
              <w:rPr>
                <w:rFonts w:eastAsiaTheme="minorHAnsi"/>
                <w:sz w:val="18"/>
              </w:rPr>
            </w:pPr>
            <w:r w:rsidRPr="000C4C17">
              <w:rPr>
                <w:rFonts w:eastAsiaTheme="minorHAnsi"/>
                <w:sz w:val="18"/>
              </w:rPr>
              <w:t>Quality assessment of individual studied</w:t>
            </w:r>
          </w:p>
        </w:tc>
        <w:tc>
          <w:tcPr>
            <w:tcW w:w="3544" w:type="dxa"/>
            <w:vAlign w:val="center"/>
          </w:tcPr>
          <w:p w14:paraId="76935010" w14:textId="25EA3001" w:rsidR="00F8101A" w:rsidRPr="000C4C17" w:rsidRDefault="00F8101A" w:rsidP="005C17D6">
            <w:pPr>
              <w:widowControl/>
              <w:rPr>
                <w:rFonts w:eastAsiaTheme="minorHAnsi"/>
                <w:sz w:val="18"/>
              </w:rPr>
            </w:pPr>
            <w:r w:rsidRPr="000C4C17">
              <w:rPr>
                <w:rFonts w:eastAsiaTheme="minorHAnsi"/>
                <w:sz w:val="18"/>
              </w:rPr>
              <w:t xml:space="preserve">Johnson </w:t>
            </w:r>
            <w:r w:rsidR="00180A32" w:rsidRPr="00180A32">
              <w:rPr>
                <w:rFonts w:eastAsiaTheme="minorHAnsi"/>
                <w:i/>
                <w:sz w:val="18"/>
              </w:rPr>
              <w:t xml:space="preserve">et al. </w:t>
            </w:r>
            <w:r w:rsidR="00CC50B8">
              <w:rPr>
                <w:rFonts w:eastAsiaTheme="minorHAnsi"/>
                <w:sz w:val="18"/>
              </w:rPr>
              <w:t xml:space="preserve"> </w:t>
            </w:r>
            <w:r w:rsidRPr="000C4C17">
              <w:rPr>
                <w:rFonts w:eastAsiaTheme="minorHAnsi"/>
                <w:sz w:val="18"/>
              </w:rPr>
              <w:t xml:space="preserve">developed criteria to assess the risk of bias for this set of longitudinal and cross-sectional studies (further described in the </w:t>
            </w:r>
            <w:r w:rsidR="005C17D6">
              <w:rPr>
                <w:rFonts w:eastAsiaTheme="minorHAnsi"/>
                <w:sz w:val="18"/>
              </w:rPr>
              <w:t>online supplement</w:t>
            </w:r>
            <w:r w:rsidRPr="000C4C17">
              <w:rPr>
                <w:rFonts w:eastAsiaTheme="minorHAnsi"/>
                <w:sz w:val="18"/>
              </w:rPr>
              <w:t xml:space="preserve"> to their paper</w:t>
            </w:r>
            <w:r w:rsidR="0007229B">
              <w:rPr>
                <w:rFonts w:eastAsiaTheme="minorHAnsi"/>
                <w:sz w:val="18"/>
              </w:rPr>
              <w:t>)</w:t>
            </w:r>
            <w:r w:rsidRPr="000C4C17">
              <w:rPr>
                <w:rFonts w:eastAsiaTheme="minorHAnsi"/>
                <w:sz w:val="18"/>
              </w:rPr>
              <w:t xml:space="preserve">. They used this to assess the risk of bias of studies </w:t>
            </w:r>
            <w:r w:rsidR="005C17D6">
              <w:rPr>
                <w:rFonts w:eastAsiaTheme="minorHAnsi"/>
                <w:sz w:val="18"/>
              </w:rPr>
              <w:t xml:space="preserve">included in the systematic review, including those </w:t>
            </w:r>
            <w:r w:rsidRPr="000C4C17">
              <w:rPr>
                <w:rFonts w:eastAsiaTheme="minorHAnsi"/>
                <w:sz w:val="18"/>
              </w:rPr>
              <w:t>subsequently excluded from the meta-analysis</w:t>
            </w:r>
          </w:p>
        </w:tc>
        <w:tc>
          <w:tcPr>
            <w:tcW w:w="4216" w:type="dxa"/>
            <w:vAlign w:val="center"/>
          </w:tcPr>
          <w:p w14:paraId="0C7367A2" w14:textId="26DFFC16" w:rsidR="00F8101A" w:rsidRPr="000C4C17" w:rsidRDefault="00F8101A" w:rsidP="00A111E9">
            <w:pPr>
              <w:widowControl/>
              <w:tabs>
                <w:tab w:val="right" w:pos="3575"/>
              </w:tabs>
              <w:autoSpaceDE w:val="0"/>
              <w:autoSpaceDN w:val="0"/>
              <w:adjustRightInd w:val="0"/>
              <w:rPr>
                <w:rFonts w:eastAsiaTheme="minorHAnsi"/>
                <w:sz w:val="18"/>
              </w:rPr>
            </w:pPr>
            <w:r w:rsidRPr="000C4C17">
              <w:rPr>
                <w:rFonts w:eastAsiaTheme="minorHAnsi"/>
                <w:sz w:val="18"/>
              </w:rPr>
              <w:t xml:space="preserve">“The study design, sampling procedure, inclusion and exclusion criteria, distribution of participant characteristics, numbers of participants and response rates, assessment of exposure, ascertainment of outcomes, statistical analysis and quantitative risk estimates with 95% confidence intervals were evaluated. Each of the 9 criteria were assigned a value of 1 if fulfilled and given equal weight. A sum of </w:t>
            </w:r>
            <w:r w:rsidRPr="000C4C17">
              <w:rPr>
                <w:rFonts w:eastAsiaTheme="minorHAnsi"/>
                <w:sz w:val="18"/>
                <w:u w:val="single"/>
              </w:rPr>
              <w:t>&gt;</w:t>
            </w:r>
            <w:r w:rsidRPr="000C4C17">
              <w:rPr>
                <w:rFonts w:eastAsiaTheme="minorHAnsi"/>
                <w:sz w:val="18"/>
              </w:rPr>
              <w:t xml:space="preserve"> 7 was considered sufficient for completeness of reporting (Bonzini </w:t>
            </w:r>
            <w:r w:rsidR="00180A32" w:rsidRPr="00180A32">
              <w:rPr>
                <w:rFonts w:eastAsiaTheme="minorHAnsi"/>
                <w:i/>
                <w:sz w:val="18"/>
              </w:rPr>
              <w:t xml:space="preserve">et al. </w:t>
            </w:r>
            <w:r w:rsidR="00CC50B8">
              <w:rPr>
                <w:rFonts w:eastAsiaTheme="minorHAnsi"/>
                <w:sz w:val="18"/>
              </w:rPr>
              <w:t xml:space="preserve"> </w:t>
            </w:r>
            <w:r w:rsidRPr="000C4C17">
              <w:rPr>
                <w:rFonts w:eastAsiaTheme="minorHAnsi"/>
                <w:sz w:val="18"/>
              </w:rPr>
              <w:t>2007). The risks of selection and information biases as well as confounding were assessed. Potential confounders, primarily covariates from multiple regression analyses of PFOA and PFOS exposure and birth weight variables, were extracted and evaluated”</w:t>
            </w:r>
          </w:p>
        </w:tc>
      </w:tr>
      <w:tr w:rsidR="00F8101A" w:rsidRPr="000C4C17" w14:paraId="562A0686" w14:textId="77777777" w:rsidTr="00F6284E">
        <w:tc>
          <w:tcPr>
            <w:tcW w:w="1526" w:type="dxa"/>
            <w:vAlign w:val="center"/>
          </w:tcPr>
          <w:p w14:paraId="46CC9EE1" w14:textId="77777777" w:rsidR="00F8101A" w:rsidRPr="000C4C17" w:rsidRDefault="00F8101A" w:rsidP="00A111E9">
            <w:pPr>
              <w:widowControl/>
              <w:rPr>
                <w:rFonts w:eastAsiaTheme="minorHAnsi"/>
                <w:sz w:val="18"/>
              </w:rPr>
            </w:pPr>
            <w:r w:rsidRPr="000C4C17">
              <w:rPr>
                <w:rFonts w:eastAsiaTheme="minorHAnsi"/>
                <w:sz w:val="18"/>
              </w:rPr>
              <w:t>N included studies</w:t>
            </w:r>
          </w:p>
        </w:tc>
        <w:tc>
          <w:tcPr>
            <w:tcW w:w="3544" w:type="dxa"/>
            <w:vAlign w:val="center"/>
          </w:tcPr>
          <w:p w14:paraId="32F7ECA4" w14:textId="3AD8DC6A" w:rsidR="00F8101A" w:rsidRPr="000C4C17" w:rsidRDefault="00F8101A" w:rsidP="00A111E9">
            <w:pPr>
              <w:widowControl/>
              <w:rPr>
                <w:rFonts w:eastAsiaTheme="minorHAnsi"/>
                <w:sz w:val="18"/>
              </w:rPr>
            </w:pPr>
            <w:r w:rsidRPr="000C4C17">
              <w:rPr>
                <w:rFonts w:eastAsiaTheme="minorHAnsi"/>
                <w:sz w:val="18"/>
              </w:rPr>
              <w:t>19 data sets from 18 papers reported results for one or more measures of infan</w:t>
            </w:r>
            <w:r w:rsidR="00B6643B" w:rsidRPr="000C4C17">
              <w:rPr>
                <w:rFonts w:eastAsiaTheme="minorHAnsi"/>
                <w:sz w:val="18"/>
              </w:rPr>
              <w:t xml:space="preserve">t size (one of these (Fei </w:t>
            </w:r>
            <w:r w:rsidR="00180A32" w:rsidRPr="00180A32">
              <w:rPr>
                <w:rFonts w:eastAsiaTheme="minorHAnsi"/>
                <w:i/>
                <w:sz w:val="18"/>
              </w:rPr>
              <w:t xml:space="preserve">et al. </w:t>
            </w:r>
            <w:r w:rsidR="00CC50B8">
              <w:rPr>
                <w:rFonts w:eastAsiaTheme="minorHAnsi"/>
                <w:sz w:val="18"/>
              </w:rPr>
              <w:t xml:space="preserve"> </w:t>
            </w:r>
            <w:r w:rsidRPr="000C4C17">
              <w:rPr>
                <w:rFonts w:eastAsiaTheme="minorHAnsi"/>
                <w:sz w:val="18"/>
              </w:rPr>
              <w:t xml:space="preserve">2008) did not describe birthweight). They wrote to authors to request reanalysis of data in a common format (linear regression of untransformed continuous birthweight) but only 9 sets of data were used in the primary meta-analysis for birthweight </w:t>
            </w:r>
          </w:p>
        </w:tc>
        <w:tc>
          <w:tcPr>
            <w:tcW w:w="4216" w:type="dxa"/>
            <w:vAlign w:val="center"/>
          </w:tcPr>
          <w:p w14:paraId="6C3E0D51" w14:textId="57443762" w:rsidR="00F8101A" w:rsidRPr="000C4C17" w:rsidRDefault="00F8101A" w:rsidP="00A111E9">
            <w:pPr>
              <w:widowControl/>
              <w:rPr>
                <w:rFonts w:eastAsiaTheme="minorHAnsi"/>
                <w:sz w:val="18"/>
              </w:rPr>
            </w:pPr>
            <w:r w:rsidRPr="000C4C17">
              <w:rPr>
                <w:rFonts w:eastAsiaTheme="minorHAnsi"/>
                <w:sz w:val="18"/>
              </w:rPr>
              <w:t>14 studies of PFOS, (13 studies of PFOA) published between August 2004 and December 2013 of which 10 reported on birthweight as a continuous variable</w:t>
            </w:r>
          </w:p>
          <w:p w14:paraId="2391D00B" w14:textId="77777777" w:rsidR="00F8101A" w:rsidRPr="000C4C17" w:rsidRDefault="00F8101A" w:rsidP="00A111E9">
            <w:pPr>
              <w:widowControl/>
              <w:rPr>
                <w:rFonts w:eastAsiaTheme="minorHAnsi"/>
                <w:sz w:val="18"/>
              </w:rPr>
            </w:pPr>
          </w:p>
          <w:p w14:paraId="2BE6F3F7" w14:textId="77777777" w:rsidR="00F8101A" w:rsidRPr="000C4C17" w:rsidRDefault="00F8101A" w:rsidP="00A111E9">
            <w:pPr>
              <w:widowControl/>
              <w:rPr>
                <w:rFonts w:eastAsiaTheme="minorHAnsi"/>
                <w:sz w:val="18"/>
              </w:rPr>
            </w:pPr>
          </w:p>
        </w:tc>
      </w:tr>
    </w:tbl>
    <w:p w14:paraId="3B9B3170" w14:textId="77777777" w:rsidR="00383BA0" w:rsidRDefault="00383BA0" w:rsidP="00A111E9">
      <w:pPr>
        <w:widowControl/>
        <w:rPr>
          <w:rFonts w:eastAsiaTheme="minorHAnsi" w:cstheme="minorBidi"/>
          <w:szCs w:val="22"/>
          <w:lang w:bidi="ar-SA"/>
        </w:rPr>
      </w:pPr>
    </w:p>
    <w:p w14:paraId="6C35A67D" w14:textId="2C879FF8" w:rsidR="00F8101A" w:rsidRDefault="00F8101A" w:rsidP="00A111E9">
      <w:pPr>
        <w:widowControl/>
        <w:rPr>
          <w:rFonts w:eastAsiaTheme="majorEastAsia" w:cstheme="majorBidi"/>
          <w:b/>
          <w:bCs/>
          <w:lang w:eastAsia="en-AU" w:bidi="ar-SA"/>
        </w:rPr>
      </w:pPr>
      <w:bookmarkStart w:id="508" w:name="_Toc468712789"/>
      <w:bookmarkStart w:id="509" w:name="_Toc468716481"/>
      <w:bookmarkStart w:id="510" w:name="_Toc468709468"/>
      <w:bookmarkStart w:id="511" w:name="_Toc468717768"/>
      <w:bookmarkStart w:id="512" w:name="_Toc468718412"/>
      <w:r w:rsidRPr="000C4C17">
        <w:rPr>
          <w:rFonts w:eastAsiaTheme="majorEastAsia" w:cstheme="majorBidi"/>
          <w:b/>
          <w:bCs/>
          <w:lang w:eastAsia="en-AU" w:bidi="ar-SA"/>
        </w:rPr>
        <w:lastRenderedPageBreak/>
        <w:t xml:space="preserve">Review by Johnson </w:t>
      </w:r>
      <w:r w:rsidR="00180A32" w:rsidRPr="00180A32">
        <w:rPr>
          <w:rFonts w:eastAsiaTheme="majorEastAsia" w:cstheme="majorBidi"/>
          <w:b/>
          <w:bCs/>
          <w:i/>
          <w:lang w:eastAsia="en-AU" w:bidi="ar-SA"/>
        </w:rPr>
        <w:t xml:space="preserve">et al. </w:t>
      </w:r>
      <w:r w:rsidR="00CC50B8">
        <w:rPr>
          <w:rFonts w:eastAsiaTheme="majorEastAsia" w:cstheme="majorBidi"/>
          <w:b/>
          <w:bCs/>
          <w:lang w:eastAsia="en-AU" w:bidi="ar-SA"/>
        </w:rPr>
        <w:t xml:space="preserve"> </w:t>
      </w:r>
      <w:r w:rsidRPr="000C4C17">
        <w:rPr>
          <w:rFonts w:eastAsiaTheme="majorEastAsia" w:cstheme="majorBidi"/>
          <w:b/>
          <w:bCs/>
          <w:lang w:eastAsia="en-AU" w:bidi="ar-SA"/>
        </w:rPr>
        <w:t>(2014)</w:t>
      </w:r>
      <w:bookmarkEnd w:id="508"/>
      <w:bookmarkEnd w:id="509"/>
      <w:bookmarkEnd w:id="510"/>
      <w:bookmarkEnd w:id="511"/>
      <w:bookmarkEnd w:id="512"/>
    </w:p>
    <w:p w14:paraId="16C59EEB" w14:textId="77777777" w:rsidR="00A366A0" w:rsidRPr="000C4C17" w:rsidRDefault="00A366A0" w:rsidP="00A111E9">
      <w:pPr>
        <w:widowControl/>
        <w:rPr>
          <w:rFonts w:eastAsiaTheme="minorHAnsi"/>
        </w:rPr>
      </w:pPr>
    </w:p>
    <w:p w14:paraId="6140EE56" w14:textId="1EC3E67C" w:rsidR="00F8101A" w:rsidRPr="000C4C17" w:rsidRDefault="00F8101A" w:rsidP="00A111E9">
      <w:pPr>
        <w:widowControl/>
        <w:rPr>
          <w:rFonts w:eastAsiaTheme="minorHAnsi" w:cs="Arial"/>
          <w:szCs w:val="22"/>
          <w:lang w:bidi="ar-SA"/>
        </w:rPr>
      </w:pPr>
      <w:r w:rsidRPr="000C4C17">
        <w:rPr>
          <w:rFonts w:eastAsiaTheme="minorHAnsi" w:cstheme="minorBidi"/>
          <w:szCs w:val="22"/>
          <w:lang w:bidi="ar-SA"/>
        </w:rPr>
        <w:t xml:space="preserve">The Johnson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003B6E88">
        <w:rPr>
          <w:rFonts w:eastAsiaTheme="minorHAnsi" w:cstheme="minorBidi"/>
          <w:szCs w:val="22"/>
          <w:lang w:bidi="ar-SA"/>
        </w:rPr>
        <w:t xml:space="preserve">(2014) review </w:t>
      </w:r>
      <w:r w:rsidRPr="000C4C17">
        <w:rPr>
          <w:rFonts w:eastAsiaTheme="minorHAnsi" w:cstheme="minorBidi"/>
          <w:szCs w:val="22"/>
          <w:lang w:bidi="ar-SA"/>
        </w:rPr>
        <w:t>was</w:t>
      </w:r>
      <w:r w:rsidR="003B6E88">
        <w:rPr>
          <w:rFonts w:eastAsiaTheme="minorHAnsi" w:cstheme="minorBidi"/>
          <w:szCs w:val="22"/>
          <w:lang w:bidi="ar-SA"/>
        </w:rPr>
        <w:t xml:space="preserve"> part of a larger project testing </w:t>
      </w:r>
      <w:r w:rsidRPr="000C4C17">
        <w:rPr>
          <w:rFonts w:eastAsiaTheme="minorHAnsi" w:cstheme="minorBidi"/>
          <w:szCs w:val="22"/>
          <w:lang w:bidi="ar-SA"/>
        </w:rPr>
        <w:t>a methodological approach to assessing evidence from animal and human data in the environmental science area</w:t>
      </w:r>
      <w:r w:rsidR="003B6E88">
        <w:rPr>
          <w:rFonts w:eastAsiaTheme="minorHAnsi" w:cstheme="minorBidi"/>
          <w:szCs w:val="22"/>
          <w:lang w:bidi="ar-SA"/>
        </w:rPr>
        <w:t>. The p</w:t>
      </w:r>
      <w:r w:rsidRPr="000C4C17">
        <w:rPr>
          <w:rFonts w:eastAsiaTheme="minorHAnsi" w:cstheme="minorBidi"/>
          <w:szCs w:val="22"/>
          <w:lang w:bidi="ar-SA"/>
        </w:rPr>
        <w:t xml:space="preserve">ossible association between developmental exposure to PFOA </w:t>
      </w:r>
      <w:r w:rsidR="003B6E88">
        <w:rPr>
          <w:rFonts w:eastAsiaTheme="minorHAnsi" w:cstheme="minorBidi"/>
          <w:szCs w:val="22"/>
          <w:lang w:bidi="ar-SA"/>
        </w:rPr>
        <w:t xml:space="preserve">and various outcomes, including birthweight was used a </w:t>
      </w:r>
      <w:r w:rsidRPr="000C4C17">
        <w:rPr>
          <w:rFonts w:eastAsiaTheme="minorHAnsi" w:cstheme="minorBidi"/>
          <w:szCs w:val="22"/>
          <w:lang w:bidi="ar-SA"/>
        </w:rPr>
        <w:t>case study</w:t>
      </w:r>
      <w:r w:rsidR="003B6E88">
        <w:rPr>
          <w:rFonts w:eastAsiaTheme="minorHAnsi" w:cstheme="minorBidi"/>
          <w:szCs w:val="22"/>
          <w:lang w:bidi="ar-SA"/>
        </w:rPr>
        <w:t xml:space="preserve"> to examine the approach</w:t>
      </w:r>
      <w:r w:rsidRPr="000C4C17">
        <w:rPr>
          <w:rFonts w:eastAsiaTheme="minorHAnsi" w:cstheme="minorBidi"/>
          <w:szCs w:val="22"/>
          <w:lang w:bidi="ar-SA"/>
        </w:rPr>
        <w:t>.</w:t>
      </w:r>
      <w:r w:rsidR="003B6E88">
        <w:rPr>
          <w:rFonts w:eastAsiaTheme="minorHAnsi" w:cstheme="minorBidi"/>
          <w:szCs w:val="22"/>
          <w:lang w:bidi="ar-SA"/>
        </w:rPr>
        <w:t xml:space="preserve"> </w:t>
      </w:r>
      <w:r w:rsidRPr="000C4C17">
        <w:rPr>
          <w:rFonts w:eastAsiaTheme="minorHAnsi" w:cstheme="minorBidi"/>
          <w:szCs w:val="22"/>
          <w:lang w:bidi="ar-SA"/>
        </w:rPr>
        <w:t>They assessed which studies were combinable in a meta-analysis based on whether the study had birthweight data as a continuous variable or a categorical variable (e.g. low birthweight or not low</w:t>
      </w:r>
      <w:r w:rsidR="001012A5">
        <w:rPr>
          <w:rFonts w:eastAsiaTheme="minorHAnsi" w:cstheme="minorBidi"/>
          <w:szCs w:val="22"/>
          <w:lang w:bidi="ar-SA"/>
        </w:rPr>
        <w:t xml:space="preserve"> </w:t>
      </w:r>
      <w:r w:rsidRPr="000C4C17">
        <w:rPr>
          <w:rFonts w:eastAsiaTheme="minorHAnsi" w:cstheme="minorBidi"/>
          <w:szCs w:val="22"/>
          <w:lang w:bidi="ar-SA"/>
        </w:rPr>
        <w:t>birthweight), exposure assessment and data analysis. They examined data to determine whether it was reasonable to combine PFOA concentrations which had been measured at different times in pregnancy or in cord blood</w:t>
      </w:r>
      <w:r w:rsidR="00F205E7">
        <w:rPr>
          <w:rFonts w:eastAsiaTheme="minorHAnsi" w:cstheme="minorBidi"/>
          <w:szCs w:val="22"/>
          <w:lang w:bidi="ar-SA"/>
        </w:rPr>
        <w:t xml:space="preserve"> and concluded that it was</w:t>
      </w:r>
      <w:r w:rsidRPr="000C4C17">
        <w:rPr>
          <w:rFonts w:eastAsiaTheme="minorHAnsi" w:cstheme="minorBidi"/>
          <w:szCs w:val="22"/>
          <w:lang w:bidi="ar-SA"/>
        </w:rPr>
        <w:t>. They contacted study authors to request a re</w:t>
      </w:r>
      <w:r w:rsidR="00032CF6">
        <w:rPr>
          <w:rFonts w:eastAsiaTheme="minorHAnsi" w:cstheme="minorBidi"/>
          <w:szCs w:val="22"/>
          <w:lang w:bidi="ar-SA"/>
        </w:rPr>
        <w:t>analysis</w:t>
      </w:r>
      <w:r w:rsidRPr="000C4C17">
        <w:rPr>
          <w:rFonts w:eastAsiaTheme="minorHAnsi" w:cstheme="minorBidi"/>
          <w:szCs w:val="22"/>
          <w:lang w:bidi="ar-SA"/>
        </w:rPr>
        <w:t xml:space="preserve"> of data that had been log transformed or original data so that all studies could be re</w:t>
      </w:r>
      <w:r w:rsidR="00032CF6">
        <w:rPr>
          <w:rFonts w:eastAsiaTheme="minorHAnsi" w:cstheme="minorBidi"/>
          <w:szCs w:val="22"/>
          <w:lang w:bidi="ar-SA"/>
        </w:rPr>
        <w:t>analysed</w:t>
      </w:r>
      <w:r w:rsidRPr="000C4C17">
        <w:rPr>
          <w:rFonts w:eastAsiaTheme="minorHAnsi" w:cstheme="minorBidi"/>
          <w:szCs w:val="22"/>
          <w:lang w:bidi="ar-SA"/>
        </w:rPr>
        <w:t xml:space="preserve"> without logarithmic transformation. </w:t>
      </w:r>
      <w:r w:rsidR="00B6643B" w:rsidRPr="000C4C17">
        <w:rPr>
          <w:rFonts w:eastAsiaTheme="minorHAnsi" w:cstheme="minorBidi"/>
          <w:szCs w:val="22"/>
          <w:lang w:bidi="ar-SA"/>
        </w:rPr>
        <w:t>T</w:t>
      </w:r>
      <w:r w:rsidRPr="000C4C17">
        <w:rPr>
          <w:rFonts w:eastAsiaTheme="minorHAnsi" w:cstheme="minorBidi"/>
          <w:szCs w:val="22"/>
          <w:lang w:bidi="ar-SA"/>
        </w:rPr>
        <w:t xml:space="preserve">hey also assessed the risk of bias of all studies, including those not included in the quantitative meta-analysis, using a set of criteria they </w:t>
      </w:r>
      <w:r w:rsidR="00F205E7">
        <w:rPr>
          <w:rFonts w:eastAsiaTheme="minorHAnsi" w:cstheme="minorBidi"/>
          <w:szCs w:val="22"/>
          <w:lang w:bidi="ar-SA"/>
        </w:rPr>
        <w:t xml:space="preserve">had </w:t>
      </w:r>
      <w:r w:rsidRPr="000C4C17">
        <w:rPr>
          <w:rFonts w:eastAsiaTheme="minorHAnsi" w:cstheme="minorBidi"/>
          <w:szCs w:val="22"/>
          <w:lang w:bidi="ar-SA"/>
        </w:rPr>
        <w:t>adapted from other</w:t>
      </w:r>
      <w:r w:rsidR="00F205E7">
        <w:rPr>
          <w:rFonts w:eastAsiaTheme="minorHAnsi" w:cstheme="minorBidi"/>
          <w:szCs w:val="22"/>
          <w:lang w:bidi="ar-SA"/>
        </w:rPr>
        <w:t xml:space="preserve"> work</w:t>
      </w:r>
      <w:r w:rsidRPr="000C4C17">
        <w:rPr>
          <w:rFonts w:eastAsiaTheme="minorHAnsi" w:cstheme="minorBidi"/>
          <w:szCs w:val="22"/>
          <w:lang w:bidi="ar-SA"/>
        </w:rPr>
        <w:t>. They used well-known routi</w:t>
      </w:r>
      <w:r w:rsidR="00F205E7">
        <w:rPr>
          <w:rFonts w:eastAsiaTheme="minorHAnsi" w:cstheme="minorBidi"/>
          <w:szCs w:val="22"/>
          <w:lang w:bidi="ar-SA"/>
        </w:rPr>
        <w:t>nes (metan in STATA version 12.</w:t>
      </w:r>
      <w:r w:rsidRPr="000C4C17">
        <w:rPr>
          <w:rFonts w:eastAsiaTheme="minorHAnsi" w:cstheme="minorBidi"/>
          <w:szCs w:val="22"/>
          <w:lang w:bidi="ar-SA"/>
        </w:rPr>
        <w:t xml:space="preserve">1) </w:t>
      </w:r>
      <w:r w:rsidRPr="000C4C17">
        <w:rPr>
          <w:rFonts w:eastAsiaTheme="minorHAnsi" w:cs="Arial"/>
          <w:szCs w:val="22"/>
          <w:lang w:bidi="ar-SA"/>
        </w:rPr>
        <w:t xml:space="preserve">to conduct a random effects model </w:t>
      </w:r>
      <w:r w:rsidR="00F205E7">
        <w:rPr>
          <w:rFonts w:eastAsiaTheme="minorHAnsi" w:cs="Arial"/>
          <w:szCs w:val="22"/>
          <w:lang w:bidi="ar-SA"/>
        </w:rPr>
        <w:t>with</w:t>
      </w:r>
      <w:r w:rsidRPr="000C4C17">
        <w:rPr>
          <w:rFonts w:eastAsiaTheme="minorHAnsi" w:cs="Arial"/>
          <w:szCs w:val="22"/>
          <w:lang w:bidi="ar-SA"/>
        </w:rPr>
        <w:t xml:space="preserve"> DerSimonian-Laird confidence intervals</w:t>
      </w:r>
      <w:r w:rsidR="00F205E7">
        <w:rPr>
          <w:rFonts w:eastAsiaTheme="minorHAnsi" w:cs="Arial"/>
          <w:szCs w:val="22"/>
          <w:lang w:bidi="ar-SA"/>
        </w:rPr>
        <w:t xml:space="preserve"> using the adjusted results (for the most part) from the studies included.</w:t>
      </w:r>
    </w:p>
    <w:p w14:paraId="13044CDC" w14:textId="77777777" w:rsidR="00F8101A" w:rsidRPr="000C4C17" w:rsidRDefault="00F8101A" w:rsidP="00A111E9">
      <w:pPr>
        <w:widowControl/>
        <w:rPr>
          <w:rFonts w:eastAsiaTheme="minorHAnsi" w:cs="Arial"/>
          <w:szCs w:val="22"/>
          <w:lang w:bidi="ar-SA"/>
        </w:rPr>
      </w:pPr>
    </w:p>
    <w:p w14:paraId="270551D1" w14:textId="7E3B93CB" w:rsidR="00F8101A" w:rsidRPr="000C4C17" w:rsidRDefault="00F8101A" w:rsidP="00A111E9">
      <w:pPr>
        <w:widowControl/>
        <w:autoSpaceDE w:val="0"/>
        <w:autoSpaceDN w:val="0"/>
        <w:adjustRightInd w:val="0"/>
        <w:spacing w:line="191" w:lineRule="atLeast"/>
        <w:rPr>
          <w:rFonts w:eastAsiaTheme="minorHAnsi" w:cs="Arial"/>
          <w:color w:val="000000"/>
          <w:szCs w:val="22"/>
          <w:lang w:bidi="ar-SA"/>
        </w:rPr>
      </w:pPr>
      <w:r w:rsidRPr="000C4C17">
        <w:rPr>
          <w:rFonts w:eastAsiaTheme="minorHAnsi" w:cs="Arial"/>
          <w:szCs w:val="22"/>
          <w:lang w:bidi="ar-SA"/>
        </w:rPr>
        <w:t xml:space="preserve">The nine studies with data in the untransformed continuous form yielded an overall estimate that birthweight decreased </w:t>
      </w:r>
      <w:r w:rsidR="00F205E7">
        <w:rPr>
          <w:rFonts w:eastAsiaTheme="minorHAnsi" w:cs="Arial"/>
          <w:color w:val="000000"/>
          <w:szCs w:val="22"/>
          <w:lang w:bidi="ar-SA"/>
        </w:rPr>
        <w:t>by 18.9 g (95% CI</w:t>
      </w:r>
      <w:r w:rsidRPr="000C4C17">
        <w:rPr>
          <w:rFonts w:eastAsiaTheme="minorHAnsi" w:cs="Arial"/>
          <w:color w:val="000000"/>
          <w:szCs w:val="22"/>
          <w:lang w:bidi="ar-SA"/>
        </w:rPr>
        <w:t>: –29.8</w:t>
      </w:r>
      <w:r w:rsidR="00F205E7">
        <w:rPr>
          <w:rFonts w:eastAsiaTheme="minorHAnsi" w:cs="Arial"/>
          <w:color w:val="000000"/>
          <w:szCs w:val="22"/>
          <w:lang w:bidi="ar-SA"/>
        </w:rPr>
        <w:t xml:space="preserve"> to</w:t>
      </w:r>
      <w:r w:rsidRPr="000C4C17">
        <w:rPr>
          <w:rFonts w:eastAsiaTheme="minorHAnsi" w:cs="Arial"/>
          <w:color w:val="000000"/>
          <w:szCs w:val="22"/>
          <w:lang w:bidi="ar-SA"/>
        </w:rPr>
        <w:t xml:space="preserve"> –7.9 g) for every increase of 1 ng/mL serum or plasma PFOA concentration. Heterogeneity was low (</w:t>
      </w:r>
      <w:r w:rsidRPr="000C4C17">
        <w:rPr>
          <w:rFonts w:eastAsiaTheme="minorHAnsi" w:cs="Arial"/>
          <w:i/>
          <w:iCs/>
          <w:color w:val="000000"/>
          <w:szCs w:val="22"/>
          <w:lang w:bidi="ar-SA"/>
        </w:rPr>
        <w:t>I</w:t>
      </w:r>
      <w:r w:rsidRPr="000C4C17">
        <w:rPr>
          <w:rFonts w:eastAsiaTheme="minorHAnsi" w:cs="Arial"/>
          <w:color w:val="000000"/>
          <w:szCs w:val="22"/>
          <w:vertAlign w:val="superscript"/>
          <w:lang w:bidi="ar-SA"/>
        </w:rPr>
        <w:t xml:space="preserve">2 </w:t>
      </w:r>
      <w:r w:rsidRPr="000C4C17">
        <w:rPr>
          <w:rFonts w:eastAsiaTheme="minorHAnsi" w:cs="Arial"/>
          <w:color w:val="000000"/>
          <w:szCs w:val="22"/>
          <w:lang w:bidi="ar-SA"/>
        </w:rPr>
        <w:t xml:space="preserve">= 38%) (see Figure </w:t>
      </w:r>
      <w:r w:rsidR="006B1629" w:rsidRPr="000C4C17">
        <w:rPr>
          <w:rFonts w:eastAsiaTheme="minorHAnsi" w:cs="Arial"/>
          <w:color w:val="000000"/>
          <w:szCs w:val="22"/>
          <w:lang w:bidi="ar-SA"/>
        </w:rPr>
        <w:t>A1.</w:t>
      </w:r>
      <w:r w:rsidRPr="000C4C17">
        <w:rPr>
          <w:rFonts w:eastAsiaTheme="minorHAnsi" w:cs="Arial"/>
          <w:color w:val="000000"/>
          <w:szCs w:val="22"/>
          <w:lang w:bidi="ar-SA"/>
        </w:rPr>
        <w:t xml:space="preserve">2). They </w:t>
      </w:r>
      <w:r w:rsidR="00D64A4B">
        <w:rPr>
          <w:rFonts w:eastAsiaTheme="minorHAnsi" w:cs="Arial"/>
          <w:color w:val="000000"/>
          <w:szCs w:val="22"/>
          <w:lang w:bidi="ar-SA"/>
        </w:rPr>
        <w:t xml:space="preserve">also </w:t>
      </w:r>
      <w:r w:rsidRPr="000C4C17">
        <w:rPr>
          <w:rFonts w:eastAsiaTheme="minorHAnsi" w:cs="Arial"/>
          <w:color w:val="000000"/>
          <w:szCs w:val="22"/>
          <w:lang w:bidi="ar-SA"/>
        </w:rPr>
        <w:t xml:space="preserve">conducted some sensitivity analyses. </w:t>
      </w:r>
      <w:r w:rsidR="00D64A4B">
        <w:rPr>
          <w:rFonts w:eastAsiaTheme="minorHAnsi" w:cs="Arial"/>
          <w:color w:val="000000"/>
          <w:szCs w:val="22"/>
          <w:lang w:bidi="ar-SA"/>
        </w:rPr>
        <w:t xml:space="preserve">First, </w:t>
      </w:r>
      <w:r w:rsidRPr="000C4C17">
        <w:rPr>
          <w:rFonts w:eastAsiaTheme="minorHAnsi" w:cs="Arial"/>
          <w:color w:val="000000"/>
          <w:szCs w:val="22"/>
          <w:lang w:bidi="ar-SA"/>
        </w:rPr>
        <w:t xml:space="preserve">a </w:t>
      </w:r>
      <w:r w:rsidR="00CC26CA">
        <w:rPr>
          <w:rFonts w:eastAsiaTheme="minorHAnsi" w:cs="Arial"/>
          <w:color w:val="000000"/>
          <w:szCs w:val="22"/>
          <w:lang w:bidi="ar-SA"/>
        </w:rPr>
        <w:t>tenth</w:t>
      </w:r>
      <w:r w:rsidRPr="000C4C17">
        <w:rPr>
          <w:rFonts w:eastAsiaTheme="minorHAnsi" w:cs="Arial"/>
          <w:color w:val="000000"/>
          <w:szCs w:val="22"/>
          <w:lang w:bidi="ar-SA"/>
        </w:rPr>
        <w:t xml:space="preserve"> study (Savitz </w:t>
      </w:r>
      <w:r w:rsidR="00180A32" w:rsidRPr="00180A32">
        <w:rPr>
          <w:rFonts w:eastAsiaTheme="minorHAnsi" w:cs="Arial"/>
          <w:i/>
          <w:color w:val="000000"/>
          <w:szCs w:val="22"/>
          <w:lang w:bidi="ar-SA"/>
        </w:rPr>
        <w:t xml:space="preserve">et al. </w:t>
      </w:r>
      <w:r w:rsidR="00CC50B8">
        <w:rPr>
          <w:rFonts w:eastAsiaTheme="minorHAnsi" w:cs="Arial"/>
          <w:color w:val="000000"/>
          <w:szCs w:val="22"/>
          <w:lang w:bidi="ar-SA"/>
        </w:rPr>
        <w:t xml:space="preserve"> </w:t>
      </w:r>
      <w:r w:rsidRPr="000C4C17">
        <w:rPr>
          <w:rFonts w:eastAsiaTheme="minorHAnsi" w:cs="Arial"/>
          <w:color w:val="000000"/>
          <w:szCs w:val="22"/>
          <w:lang w:bidi="ar-SA"/>
        </w:rPr>
        <w:t xml:space="preserve">2012, from the C8 study) which </w:t>
      </w:r>
      <w:r w:rsidR="00D64A4B">
        <w:rPr>
          <w:rFonts w:eastAsiaTheme="minorHAnsi" w:cs="Arial"/>
          <w:color w:val="000000"/>
          <w:szCs w:val="22"/>
          <w:lang w:bidi="ar-SA"/>
        </w:rPr>
        <w:t xml:space="preserve">had been excluded because it was a retrospective analysis, was added. This study </w:t>
      </w:r>
      <w:r w:rsidRPr="000C4C17">
        <w:rPr>
          <w:rFonts w:eastAsiaTheme="minorHAnsi" w:cs="Arial"/>
          <w:color w:val="000000"/>
          <w:szCs w:val="22"/>
          <w:lang w:bidi="ar-SA"/>
        </w:rPr>
        <w:t>had a small effect of less than 0.2 g birthweight per ng/mL</w:t>
      </w:r>
      <w:r w:rsidR="00D64A4B">
        <w:rPr>
          <w:rFonts w:eastAsiaTheme="minorHAnsi" w:cs="Arial"/>
          <w:color w:val="000000"/>
          <w:szCs w:val="22"/>
          <w:lang w:bidi="ar-SA"/>
        </w:rPr>
        <w:t xml:space="preserve"> and so adding it to the meta-anlaysis r</w:t>
      </w:r>
      <w:r w:rsidRPr="000C4C17">
        <w:rPr>
          <w:rFonts w:eastAsiaTheme="minorHAnsi" w:cs="Arial"/>
          <w:color w:val="000000"/>
          <w:szCs w:val="22"/>
          <w:lang w:bidi="ar-SA"/>
        </w:rPr>
        <w:t>educed the overall estimate slightly</w:t>
      </w:r>
      <w:r w:rsidR="00D64A4B">
        <w:rPr>
          <w:rFonts w:eastAsiaTheme="minorHAnsi" w:cs="Arial"/>
          <w:color w:val="000000"/>
          <w:szCs w:val="22"/>
          <w:lang w:bidi="ar-SA"/>
        </w:rPr>
        <w:t xml:space="preserve"> </w:t>
      </w:r>
      <w:r w:rsidRPr="000C4C17">
        <w:rPr>
          <w:rFonts w:eastAsiaTheme="minorHAnsi" w:cs="Arial"/>
          <w:color w:val="000000"/>
          <w:szCs w:val="22"/>
          <w:lang w:bidi="ar-SA"/>
        </w:rPr>
        <w:t>–15.4 g (95% CI: –26.5</w:t>
      </w:r>
      <w:r w:rsidR="00F205E7">
        <w:rPr>
          <w:rFonts w:eastAsiaTheme="minorHAnsi" w:cs="Arial"/>
          <w:color w:val="000000"/>
          <w:szCs w:val="22"/>
          <w:lang w:bidi="ar-SA"/>
        </w:rPr>
        <w:t xml:space="preserve"> to</w:t>
      </w:r>
      <w:r w:rsidRPr="000C4C17">
        <w:rPr>
          <w:rFonts w:eastAsiaTheme="minorHAnsi" w:cs="Arial"/>
          <w:color w:val="000000"/>
          <w:szCs w:val="22"/>
          <w:lang w:bidi="ar-SA"/>
        </w:rPr>
        <w:t xml:space="preserve"> –4.3 g) but the heterogeneity increased. </w:t>
      </w:r>
      <w:r w:rsidR="00D64A4B">
        <w:rPr>
          <w:rFonts w:eastAsiaTheme="minorHAnsi" w:cs="Arial"/>
          <w:color w:val="000000"/>
          <w:szCs w:val="22"/>
          <w:lang w:bidi="ar-SA"/>
        </w:rPr>
        <w:t>Second, they r</w:t>
      </w:r>
      <w:r w:rsidRPr="000C4C17">
        <w:rPr>
          <w:rFonts w:eastAsiaTheme="minorHAnsi" w:cs="Arial"/>
          <w:color w:val="000000"/>
          <w:szCs w:val="22"/>
          <w:lang w:bidi="ar-SA"/>
        </w:rPr>
        <w:t>emov</w:t>
      </w:r>
      <w:r w:rsidR="00D64A4B">
        <w:rPr>
          <w:rFonts w:eastAsiaTheme="minorHAnsi" w:cs="Arial"/>
          <w:color w:val="000000"/>
          <w:szCs w:val="22"/>
          <w:lang w:bidi="ar-SA"/>
        </w:rPr>
        <w:t>e</w:t>
      </w:r>
      <w:r w:rsidRPr="000C4C17">
        <w:rPr>
          <w:rFonts w:eastAsiaTheme="minorHAnsi" w:cs="Arial"/>
          <w:color w:val="000000"/>
          <w:szCs w:val="22"/>
          <w:lang w:bidi="ar-SA"/>
        </w:rPr>
        <w:t xml:space="preserve"> two studies from which were assessed as having </w:t>
      </w:r>
      <w:r w:rsidR="00D64A4B">
        <w:rPr>
          <w:rFonts w:eastAsiaTheme="minorHAnsi" w:cs="Arial"/>
          <w:color w:val="000000"/>
          <w:szCs w:val="22"/>
          <w:lang w:bidi="ar-SA"/>
        </w:rPr>
        <w:t xml:space="preserve">a </w:t>
      </w:r>
      <w:r w:rsidRPr="000C4C17">
        <w:rPr>
          <w:rFonts w:eastAsiaTheme="minorHAnsi" w:cs="Arial"/>
          <w:color w:val="000000"/>
          <w:szCs w:val="22"/>
          <w:lang w:bidi="ar-SA"/>
        </w:rPr>
        <w:t>high risk of bias</w:t>
      </w:r>
      <w:r w:rsidR="00D64A4B">
        <w:rPr>
          <w:rFonts w:eastAsiaTheme="minorHAnsi" w:cs="Arial"/>
          <w:color w:val="000000"/>
          <w:szCs w:val="22"/>
          <w:lang w:bidi="ar-SA"/>
        </w:rPr>
        <w:t>,</w:t>
      </w:r>
      <w:r w:rsidRPr="000C4C17">
        <w:rPr>
          <w:rFonts w:eastAsiaTheme="minorHAnsi" w:cs="Arial"/>
          <w:color w:val="000000"/>
          <w:szCs w:val="22"/>
          <w:lang w:bidi="ar-SA"/>
        </w:rPr>
        <w:t xml:space="preserve"> either singly or together</w:t>
      </w:r>
      <w:r w:rsidR="00D64A4B">
        <w:rPr>
          <w:rFonts w:eastAsiaTheme="minorHAnsi" w:cs="Arial"/>
          <w:color w:val="000000"/>
          <w:szCs w:val="22"/>
          <w:lang w:bidi="ar-SA"/>
        </w:rPr>
        <w:t xml:space="preserve">, but this </w:t>
      </w:r>
      <w:r w:rsidRPr="000C4C17">
        <w:rPr>
          <w:rFonts w:eastAsiaTheme="minorHAnsi" w:cs="Arial"/>
          <w:color w:val="000000"/>
          <w:szCs w:val="22"/>
          <w:lang w:bidi="ar-SA"/>
        </w:rPr>
        <w:t>did not substantially alter the effect.</w:t>
      </w:r>
    </w:p>
    <w:p w14:paraId="122073C1" w14:textId="77777777" w:rsidR="00F8101A" w:rsidRPr="000C4C17" w:rsidRDefault="00F8101A" w:rsidP="00A111E9">
      <w:pPr>
        <w:widowControl/>
        <w:autoSpaceDE w:val="0"/>
        <w:autoSpaceDN w:val="0"/>
        <w:adjustRightInd w:val="0"/>
        <w:spacing w:line="191" w:lineRule="atLeast"/>
        <w:rPr>
          <w:rFonts w:eastAsiaTheme="minorHAnsi" w:cs="Arial"/>
          <w:color w:val="000000"/>
          <w:szCs w:val="22"/>
          <w:lang w:bidi="ar-SA"/>
        </w:rPr>
      </w:pPr>
    </w:p>
    <w:p w14:paraId="64729343" w14:textId="3285363F" w:rsidR="00F8101A" w:rsidRPr="000C4C17" w:rsidRDefault="00F8101A" w:rsidP="00A111E9">
      <w:pPr>
        <w:widowControl/>
        <w:autoSpaceDE w:val="0"/>
        <w:autoSpaceDN w:val="0"/>
        <w:adjustRightInd w:val="0"/>
        <w:spacing w:line="191" w:lineRule="atLeast"/>
        <w:rPr>
          <w:rFonts w:eastAsiaTheme="minorHAnsi" w:cstheme="minorBidi"/>
          <w:szCs w:val="22"/>
          <w:lang w:bidi="ar-SA"/>
        </w:rPr>
      </w:pPr>
      <w:r w:rsidRPr="000C4C17">
        <w:rPr>
          <w:rFonts w:eastAsiaTheme="minorHAnsi" w:cs="Arial"/>
          <w:color w:val="000000"/>
          <w:szCs w:val="22"/>
          <w:lang w:bidi="ar-SA"/>
        </w:rPr>
        <w:t xml:space="preserve">Johnson </w:t>
      </w:r>
      <w:r w:rsidR="00180A32" w:rsidRPr="00180A32">
        <w:rPr>
          <w:rFonts w:eastAsiaTheme="minorHAnsi" w:cs="Arial"/>
          <w:i/>
          <w:color w:val="000000"/>
          <w:szCs w:val="22"/>
          <w:lang w:bidi="ar-SA"/>
        </w:rPr>
        <w:t xml:space="preserve">et al. </w:t>
      </w:r>
      <w:r w:rsidR="00CC50B8">
        <w:rPr>
          <w:rFonts w:eastAsiaTheme="minorHAnsi" w:cs="Arial"/>
          <w:color w:val="000000"/>
          <w:szCs w:val="22"/>
          <w:lang w:bidi="ar-SA"/>
        </w:rPr>
        <w:t xml:space="preserve"> </w:t>
      </w:r>
      <w:r w:rsidRPr="000C4C17">
        <w:rPr>
          <w:rFonts w:eastAsiaTheme="minorHAnsi" w:cs="Arial"/>
          <w:color w:val="000000"/>
          <w:szCs w:val="22"/>
          <w:lang w:bidi="ar-SA"/>
        </w:rPr>
        <w:t>(2014) concluded that there was little possible residual confounding that could explain the finding. They calculated that a new study would have to have a strong opposing effect (</w:t>
      </w:r>
      <w:r w:rsidR="00104C8E" w:rsidRPr="000C4C17">
        <w:rPr>
          <w:rFonts w:eastAsiaTheme="minorHAnsi" w:cs="Arial"/>
          <w:color w:val="000000"/>
          <w:szCs w:val="22"/>
          <w:lang w:bidi="ar-SA"/>
        </w:rPr>
        <w:t>i.e.</w:t>
      </w:r>
      <w:r w:rsidRPr="000C4C17">
        <w:rPr>
          <w:rFonts w:eastAsiaTheme="minorHAnsi" w:cs="Arial"/>
          <w:color w:val="000000"/>
          <w:szCs w:val="22"/>
          <w:lang w:bidi="ar-SA"/>
        </w:rPr>
        <w:t xml:space="preserve">, an increase in birthweight with increasing PFOA concentrations) to overturn the effect. </w:t>
      </w:r>
      <w:r w:rsidRPr="000C4C17">
        <w:rPr>
          <w:rFonts w:eastAsiaTheme="minorHAnsi" w:cstheme="minorBidi"/>
          <w:szCs w:val="22"/>
          <w:lang w:bidi="ar-SA"/>
        </w:rPr>
        <w:t>They concluded that there is sufficient evidence of an association between PFOA exposure and reduced f</w:t>
      </w:r>
      <w:r w:rsidR="001B6877">
        <w:rPr>
          <w:rFonts w:eastAsiaTheme="minorHAnsi" w:cstheme="minorBidi"/>
          <w:szCs w:val="22"/>
          <w:lang w:bidi="ar-SA"/>
        </w:rPr>
        <w:t>etal</w:t>
      </w:r>
      <w:r w:rsidRPr="000C4C17">
        <w:rPr>
          <w:rFonts w:eastAsiaTheme="minorHAnsi" w:cstheme="minorBidi"/>
          <w:szCs w:val="22"/>
          <w:lang w:bidi="ar-SA"/>
        </w:rPr>
        <w:t xml:space="preserve"> growth</w:t>
      </w:r>
      <w:r w:rsidR="00F205E7">
        <w:rPr>
          <w:rFonts w:eastAsiaTheme="minorHAnsi" w:cstheme="minorBidi"/>
          <w:szCs w:val="22"/>
          <w:lang w:bidi="ar-SA"/>
        </w:rPr>
        <w:t xml:space="preserve"> and that this reflected a causal effect</w:t>
      </w:r>
      <w:r w:rsidRPr="000C4C17">
        <w:rPr>
          <w:rFonts w:eastAsiaTheme="minorHAnsi" w:cstheme="minorBidi"/>
          <w:szCs w:val="22"/>
          <w:lang w:bidi="ar-SA"/>
        </w:rPr>
        <w:t>.</w:t>
      </w:r>
    </w:p>
    <w:p w14:paraId="1A88616F" w14:textId="77777777" w:rsidR="00F8101A" w:rsidRPr="000C4C17" w:rsidRDefault="00F8101A" w:rsidP="00A111E9">
      <w:pPr>
        <w:widowControl/>
        <w:rPr>
          <w:rFonts w:eastAsiaTheme="minorHAnsi" w:cstheme="minorBidi"/>
          <w:szCs w:val="22"/>
          <w:lang w:bidi="ar-SA"/>
        </w:rPr>
      </w:pPr>
    </w:p>
    <w:p w14:paraId="375B6385" w14:textId="0F11D4FA" w:rsidR="00F8101A" w:rsidRPr="000C4C17" w:rsidRDefault="00F8101A" w:rsidP="00A111E9">
      <w:pPr>
        <w:widowControl/>
        <w:tabs>
          <w:tab w:val="left" w:pos="1732"/>
        </w:tabs>
        <w:rPr>
          <w:rFonts w:eastAsiaTheme="minorHAnsi"/>
        </w:rPr>
      </w:pPr>
      <w:bookmarkStart w:id="513" w:name="_Toc468712790"/>
      <w:bookmarkStart w:id="514" w:name="_Toc468716482"/>
      <w:bookmarkStart w:id="515" w:name="_Toc468709469"/>
      <w:bookmarkStart w:id="516" w:name="_Toc468717769"/>
      <w:bookmarkStart w:id="517" w:name="_Toc468718413"/>
      <w:r w:rsidRPr="000C4C17">
        <w:rPr>
          <w:rFonts w:eastAsiaTheme="majorEastAsia" w:cstheme="majorBidi"/>
          <w:b/>
          <w:bCs/>
          <w:lang w:eastAsia="en-AU" w:bidi="ar-SA"/>
        </w:rPr>
        <w:t>Commentary</w:t>
      </w:r>
      <w:bookmarkEnd w:id="513"/>
      <w:bookmarkEnd w:id="514"/>
      <w:bookmarkEnd w:id="515"/>
      <w:bookmarkEnd w:id="516"/>
      <w:bookmarkEnd w:id="517"/>
      <w:r w:rsidR="00457930">
        <w:rPr>
          <w:rFonts w:eastAsiaTheme="majorEastAsia" w:cstheme="majorBidi"/>
          <w:b/>
          <w:bCs/>
          <w:lang w:eastAsia="en-AU" w:bidi="ar-SA"/>
        </w:rPr>
        <w:t xml:space="preserve"> on Johnson </w:t>
      </w:r>
      <w:r w:rsidR="00180A32" w:rsidRPr="00180A32">
        <w:rPr>
          <w:rFonts w:eastAsiaTheme="majorEastAsia" w:cstheme="majorBidi"/>
          <w:b/>
          <w:bCs/>
          <w:i/>
          <w:lang w:eastAsia="en-AU" w:bidi="ar-SA"/>
        </w:rPr>
        <w:t xml:space="preserve">et al. </w:t>
      </w:r>
      <w:r w:rsidR="00CC50B8">
        <w:rPr>
          <w:rFonts w:eastAsiaTheme="majorEastAsia" w:cstheme="majorBidi"/>
          <w:b/>
          <w:bCs/>
          <w:lang w:eastAsia="en-AU" w:bidi="ar-SA"/>
        </w:rPr>
        <w:t xml:space="preserve"> </w:t>
      </w:r>
      <w:r w:rsidR="00457930">
        <w:rPr>
          <w:rFonts w:eastAsiaTheme="majorEastAsia" w:cstheme="majorBidi"/>
          <w:b/>
          <w:bCs/>
          <w:lang w:eastAsia="en-AU" w:bidi="ar-SA"/>
        </w:rPr>
        <w:t>(2014)</w:t>
      </w:r>
    </w:p>
    <w:p w14:paraId="4AA6F5CE" w14:textId="77777777" w:rsidR="00F8101A" w:rsidRPr="000C4C17" w:rsidRDefault="00F8101A" w:rsidP="00A111E9">
      <w:pPr>
        <w:widowControl/>
        <w:autoSpaceDE w:val="0"/>
        <w:autoSpaceDN w:val="0"/>
        <w:adjustRightInd w:val="0"/>
        <w:rPr>
          <w:rFonts w:eastAsiaTheme="minorHAnsi" w:cs="Arial"/>
          <w:color w:val="000000"/>
          <w:szCs w:val="22"/>
          <w:lang w:bidi="ar-SA"/>
        </w:rPr>
      </w:pPr>
    </w:p>
    <w:p w14:paraId="15F57650" w14:textId="625CA11C" w:rsidR="00F8101A" w:rsidRPr="000C4C17" w:rsidRDefault="00F8101A" w:rsidP="00A111E9">
      <w:pPr>
        <w:widowControl/>
        <w:autoSpaceDE w:val="0"/>
        <w:autoSpaceDN w:val="0"/>
        <w:adjustRightInd w:val="0"/>
        <w:rPr>
          <w:rFonts w:eastAsiaTheme="minorHAnsi"/>
          <w:color w:val="000000"/>
        </w:rPr>
      </w:pPr>
      <w:r w:rsidRPr="000C4C17">
        <w:rPr>
          <w:rFonts w:eastAsiaTheme="minorHAnsi" w:cs="Arial"/>
          <w:color w:val="000000"/>
          <w:szCs w:val="22"/>
          <w:lang w:bidi="ar-SA"/>
        </w:rPr>
        <w:t xml:space="preserve">It is notable that the Johnson </w:t>
      </w:r>
      <w:r w:rsidR="00180A32" w:rsidRPr="00180A32">
        <w:rPr>
          <w:rFonts w:eastAsiaTheme="minorHAnsi" w:cs="Arial"/>
          <w:i/>
          <w:color w:val="000000"/>
          <w:szCs w:val="22"/>
          <w:lang w:bidi="ar-SA"/>
        </w:rPr>
        <w:t xml:space="preserve">et al. </w:t>
      </w:r>
      <w:r w:rsidR="00CC50B8">
        <w:rPr>
          <w:rFonts w:eastAsiaTheme="minorHAnsi" w:cs="Arial"/>
          <w:color w:val="000000"/>
          <w:szCs w:val="22"/>
          <w:lang w:bidi="ar-SA"/>
        </w:rPr>
        <w:t xml:space="preserve"> </w:t>
      </w:r>
      <w:r w:rsidRPr="000C4C17">
        <w:rPr>
          <w:rFonts w:eastAsiaTheme="minorHAnsi" w:cs="Arial"/>
          <w:color w:val="000000"/>
          <w:szCs w:val="22"/>
          <w:lang w:bidi="ar-SA"/>
        </w:rPr>
        <w:t xml:space="preserve">(2014) meta-analysis assumed that the association between PFOA and birthweight was linear even though many of the studies </w:t>
      </w:r>
      <w:r w:rsidR="002C36B9">
        <w:rPr>
          <w:rFonts w:eastAsiaTheme="minorHAnsi" w:cs="Arial"/>
          <w:color w:val="000000"/>
          <w:szCs w:val="22"/>
          <w:lang w:bidi="ar-SA"/>
        </w:rPr>
        <w:t>had</w:t>
      </w:r>
      <w:r w:rsidRPr="000C4C17">
        <w:rPr>
          <w:rFonts w:eastAsiaTheme="minorHAnsi" w:cs="Arial"/>
          <w:color w:val="000000"/>
          <w:szCs w:val="22"/>
          <w:lang w:bidi="ar-SA"/>
        </w:rPr>
        <w:t xml:space="preserve"> log transformed their data. It is certainly true that the authors of papers do not describe having conducted regression diagnostics to determine if the transformed data yielded a better fit to the data than non-transformed data. However, Johnson </w:t>
      </w:r>
      <w:r w:rsidR="00180A32" w:rsidRPr="00180A32">
        <w:rPr>
          <w:rFonts w:eastAsiaTheme="minorHAnsi" w:cs="Arial"/>
          <w:i/>
          <w:color w:val="000000"/>
          <w:szCs w:val="22"/>
          <w:lang w:bidi="ar-SA"/>
        </w:rPr>
        <w:t xml:space="preserve">et al. </w:t>
      </w:r>
      <w:r w:rsidR="00CC50B8">
        <w:rPr>
          <w:rFonts w:eastAsiaTheme="minorHAnsi" w:cs="Arial"/>
          <w:color w:val="000000"/>
          <w:szCs w:val="22"/>
          <w:lang w:bidi="ar-SA"/>
        </w:rPr>
        <w:t xml:space="preserve"> </w:t>
      </w:r>
      <w:r w:rsidRPr="000C4C17">
        <w:rPr>
          <w:rFonts w:eastAsiaTheme="minorHAnsi" w:cs="Arial"/>
          <w:color w:val="000000"/>
          <w:szCs w:val="22"/>
          <w:lang w:bidi="ar-SA"/>
        </w:rPr>
        <w:t>(2014) do not</w:t>
      </w:r>
    </w:p>
    <w:p w14:paraId="213B85D4" w14:textId="77777777" w:rsidR="00F8101A" w:rsidRPr="000C4C17" w:rsidRDefault="00F8101A" w:rsidP="00A111E9">
      <w:pPr>
        <w:widowControl/>
        <w:rPr>
          <w:rFonts w:eastAsiaTheme="minorHAnsi" w:cs="Arial"/>
          <w:szCs w:val="22"/>
          <w:lang w:bidi="ar-SA"/>
        </w:rPr>
      </w:pPr>
      <w:r w:rsidRPr="000C4C17">
        <w:rPr>
          <w:rFonts w:eastAsiaTheme="minorHAnsi" w:cstheme="minorBidi"/>
          <w:noProof/>
          <w:szCs w:val="22"/>
          <w:lang w:eastAsia="en-GB" w:bidi="ar-SA"/>
        </w:rPr>
        <w:lastRenderedPageBreak/>
        <w:drawing>
          <wp:inline distT="0" distB="0" distL="0" distR="0" wp14:anchorId="5E17B0B0" wp14:editId="310FFBEE">
            <wp:extent cx="5342317" cy="5438775"/>
            <wp:effectExtent l="0" t="0" r="0" b="0"/>
            <wp:docPr id="7" name="Picture 7" title="Figure A1.2 Risk of bias assessment for all studies and meta-analysis of 9 studies from Johnson et al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342759" cy="5439225"/>
                    </a:xfrm>
                    <a:prstGeom prst="rect">
                      <a:avLst/>
                    </a:prstGeom>
                  </pic:spPr>
                </pic:pic>
              </a:graphicData>
            </a:graphic>
          </wp:inline>
        </w:drawing>
      </w:r>
    </w:p>
    <w:p w14:paraId="0389CEAA" w14:textId="77777777" w:rsidR="00F8101A" w:rsidRPr="000C4C17" w:rsidRDefault="00F8101A" w:rsidP="00A111E9">
      <w:pPr>
        <w:widowControl/>
        <w:rPr>
          <w:rFonts w:eastAsiaTheme="minorHAnsi" w:cs="Arial"/>
          <w:szCs w:val="22"/>
          <w:lang w:bidi="ar-SA"/>
        </w:rPr>
      </w:pPr>
      <w:r w:rsidRPr="000C4C17">
        <w:rPr>
          <w:rFonts w:eastAsiaTheme="minorHAnsi" w:cstheme="minorBidi"/>
          <w:noProof/>
          <w:szCs w:val="22"/>
          <w:lang w:eastAsia="en-GB" w:bidi="ar-SA"/>
        </w:rPr>
        <w:drawing>
          <wp:inline distT="0" distB="0" distL="0" distR="0" wp14:anchorId="7B5D86F3" wp14:editId="46F77976">
            <wp:extent cx="5759450" cy="2872341"/>
            <wp:effectExtent l="0" t="0" r="6350" b="0"/>
            <wp:docPr id="8" name="Picture 8" title="Figure A1.2 Risk of bias assessment for all studies and meta-analysis of 9 studies from Johnson et al (2014) Figure A1.2 Risk of bias assessment for all studies and meta-analysis of 9 studies from Johnson et al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759450" cy="2872341"/>
                    </a:xfrm>
                    <a:prstGeom prst="rect">
                      <a:avLst/>
                    </a:prstGeom>
                  </pic:spPr>
                </pic:pic>
              </a:graphicData>
            </a:graphic>
          </wp:inline>
        </w:drawing>
      </w:r>
    </w:p>
    <w:p w14:paraId="58CA0F85" w14:textId="77777777" w:rsidR="00F8101A" w:rsidRPr="000C4C17" w:rsidRDefault="00F8101A" w:rsidP="00A111E9">
      <w:pPr>
        <w:widowControl/>
        <w:rPr>
          <w:rFonts w:eastAsiaTheme="minorHAnsi" w:cs="Arial"/>
          <w:szCs w:val="22"/>
          <w:lang w:bidi="ar-SA"/>
        </w:rPr>
      </w:pPr>
    </w:p>
    <w:p w14:paraId="5AC25142" w14:textId="39300097" w:rsidR="00F8101A" w:rsidRPr="000C4C17" w:rsidRDefault="00F8101A" w:rsidP="00A111E9">
      <w:pPr>
        <w:pStyle w:val="FSFigureTitle"/>
        <w:rPr>
          <w:rFonts w:eastAsiaTheme="minorHAnsi" w:cstheme="minorBidi"/>
          <w:i w:val="0"/>
          <w:szCs w:val="22"/>
          <w:lang w:bidi="ar-SA"/>
        </w:rPr>
      </w:pPr>
      <w:r w:rsidRPr="000C4C17">
        <w:rPr>
          <w:rFonts w:eastAsiaTheme="minorHAnsi"/>
        </w:rPr>
        <w:t xml:space="preserve">Figure </w:t>
      </w:r>
      <w:r w:rsidR="006B1629" w:rsidRPr="00A95AD6">
        <w:rPr>
          <w:rFonts w:eastAsiaTheme="minorHAnsi" w:cstheme="minorBidi"/>
          <w:szCs w:val="22"/>
          <w:lang w:bidi="ar-SA"/>
        </w:rPr>
        <w:t>A1.</w:t>
      </w:r>
      <w:r w:rsidRPr="00A95AD6">
        <w:rPr>
          <w:rFonts w:eastAsiaTheme="minorHAnsi" w:cstheme="minorBidi"/>
          <w:szCs w:val="22"/>
          <w:lang w:bidi="ar-SA"/>
        </w:rPr>
        <w:t xml:space="preserve">2 Risk of bias assessment for all studies and meta-analysis of 9 studies from Johnson </w:t>
      </w:r>
      <w:r w:rsidR="00180A32" w:rsidRPr="00180A32">
        <w:rPr>
          <w:rFonts w:eastAsiaTheme="minorHAnsi" w:cstheme="minorBidi"/>
          <w:szCs w:val="22"/>
          <w:lang w:bidi="ar-SA"/>
        </w:rPr>
        <w:t xml:space="preserve">et al. </w:t>
      </w:r>
      <w:r w:rsidR="00CC50B8" w:rsidRPr="00A95AD6">
        <w:rPr>
          <w:rFonts w:eastAsiaTheme="minorHAnsi" w:cstheme="minorBidi"/>
          <w:szCs w:val="22"/>
          <w:lang w:bidi="ar-SA"/>
        </w:rPr>
        <w:t xml:space="preserve"> </w:t>
      </w:r>
      <w:r w:rsidRPr="00A95AD6">
        <w:rPr>
          <w:rFonts w:eastAsiaTheme="minorHAnsi" w:cstheme="minorBidi"/>
          <w:szCs w:val="22"/>
          <w:lang w:bidi="ar-SA"/>
        </w:rPr>
        <w:t>(2014)</w:t>
      </w:r>
      <w:r w:rsidR="00087957">
        <w:rPr>
          <w:rFonts w:eastAsiaTheme="minorHAnsi" w:cstheme="minorBidi"/>
          <w:szCs w:val="22"/>
          <w:lang w:bidi="ar-SA"/>
        </w:rPr>
        <w:t xml:space="preserve">  </w:t>
      </w:r>
      <w:r w:rsidR="006013C9">
        <w:rPr>
          <w:rFonts w:eastAsiaTheme="minorHAnsi" w:cstheme="minorBidi"/>
          <w:szCs w:val="22"/>
          <w:lang w:bidi="ar-SA"/>
        </w:rPr>
        <w:t>(Reproduced from Environmental Health Perspectives)</w:t>
      </w:r>
    </w:p>
    <w:p w14:paraId="1CD03184" w14:textId="77777777" w:rsidR="00087957" w:rsidRDefault="00087957" w:rsidP="00A111E9">
      <w:pPr>
        <w:widowControl/>
        <w:autoSpaceDE w:val="0"/>
        <w:autoSpaceDN w:val="0"/>
        <w:adjustRightInd w:val="0"/>
        <w:rPr>
          <w:rFonts w:eastAsiaTheme="minorHAnsi" w:cs="Arial"/>
          <w:color w:val="000000"/>
          <w:szCs w:val="22"/>
          <w:lang w:bidi="ar-SA"/>
        </w:rPr>
      </w:pPr>
      <w:bookmarkStart w:id="518" w:name="_Toc468712791"/>
      <w:bookmarkStart w:id="519" w:name="_Toc468716483"/>
      <w:bookmarkStart w:id="520" w:name="_Toc468709470"/>
      <w:bookmarkStart w:id="521" w:name="_Toc468717770"/>
      <w:bookmarkStart w:id="522" w:name="_Toc468718414"/>
      <w:bookmarkStart w:id="523" w:name="_Toc468719398"/>
    </w:p>
    <w:p w14:paraId="7F07A158" w14:textId="77777777" w:rsidR="00064C40" w:rsidRDefault="00F97B75" w:rsidP="00A111E9">
      <w:pPr>
        <w:widowControl/>
        <w:autoSpaceDE w:val="0"/>
        <w:autoSpaceDN w:val="0"/>
        <w:adjustRightInd w:val="0"/>
        <w:rPr>
          <w:rFonts w:eastAsiaTheme="minorHAnsi" w:cs="Arial"/>
          <w:color w:val="000000"/>
          <w:szCs w:val="22"/>
          <w:lang w:bidi="ar-SA"/>
        </w:rPr>
      </w:pPr>
      <w:r w:rsidRPr="000C4C17">
        <w:rPr>
          <w:rFonts w:eastAsiaTheme="minorHAnsi" w:cs="Arial"/>
          <w:color w:val="000000"/>
          <w:szCs w:val="22"/>
          <w:lang w:bidi="ar-SA"/>
        </w:rPr>
        <w:t>provide any justification or comment on the decision that they made to analyse the body of data using a linear assumption.</w:t>
      </w:r>
    </w:p>
    <w:p w14:paraId="39F9A1D5" w14:textId="62C5AA8C" w:rsidR="00F97B75" w:rsidRPr="000C4C17" w:rsidRDefault="00064C40" w:rsidP="00A111E9">
      <w:pPr>
        <w:widowControl/>
        <w:autoSpaceDE w:val="0"/>
        <w:autoSpaceDN w:val="0"/>
        <w:adjustRightInd w:val="0"/>
        <w:rPr>
          <w:rFonts w:eastAsiaTheme="minorHAnsi" w:cs="Arial"/>
          <w:color w:val="000000"/>
          <w:szCs w:val="22"/>
          <w:lang w:bidi="ar-SA"/>
        </w:rPr>
      </w:pPr>
      <w:r w:rsidRPr="000C4C17">
        <w:rPr>
          <w:rFonts w:eastAsiaTheme="minorHAnsi" w:cs="Arial"/>
          <w:color w:val="000000"/>
          <w:szCs w:val="22"/>
          <w:lang w:bidi="ar-SA"/>
        </w:rPr>
        <w:t xml:space="preserve"> </w:t>
      </w:r>
    </w:p>
    <w:p w14:paraId="38C2472A" w14:textId="0D45C373" w:rsidR="00F97B75" w:rsidRPr="000C4C17" w:rsidRDefault="00F97B75" w:rsidP="00A111E9">
      <w:pPr>
        <w:widowControl/>
        <w:rPr>
          <w:rFonts w:eastAsiaTheme="minorHAnsi" w:cs="Arial"/>
          <w:szCs w:val="22"/>
          <w:lang w:bidi="ar-SA"/>
        </w:rPr>
      </w:pPr>
      <w:r w:rsidRPr="00AA575C">
        <w:rPr>
          <w:rFonts w:eastAsiaTheme="minorHAnsi" w:cs="Arial"/>
          <w:szCs w:val="22"/>
          <w:lang w:bidi="ar-SA"/>
        </w:rPr>
        <w:t xml:space="preserve">The meta-analysis only contains studies that FSANZ would include (see above). As noted above, </w:t>
      </w:r>
      <w:r w:rsidR="00AA575C" w:rsidRPr="00AA575C">
        <w:rPr>
          <w:rFonts w:eastAsiaTheme="minorHAnsi" w:cs="Arial"/>
          <w:szCs w:val="22"/>
          <w:lang w:bidi="ar-SA"/>
        </w:rPr>
        <w:t xml:space="preserve">the authors did not consider whether papers contained multiple analyses from the same underlying study, although all the C8 studies (Nolan </w:t>
      </w:r>
      <w:r w:rsidR="00180A32" w:rsidRPr="00180A32">
        <w:rPr>
          <w:rFonts w:eastAsiaTheme="minorHAnsi" w:cs="Arial"/>
          <w:i/>
          <w:szCs w:val="22"/>
          <w:lang w:bidi="ar-SA"/>
        </w:rPr>
        <w:t xml:space="preserve">et al. </w:t>
      </w:r>
      <w:r w:rsidR="00AA575C" w:rsidRPr="00AA575C">
        <w:rPr>
          <w:rFonts w:eastAsiaTheme="minorHAnsi" w:cs="Arial"/>
          <w:szCs w:val="22"/>
          <w:lang w:bidi="ar-SA"/>
        </w:rPr>
        <w:t xml:space="preserve">, 2009, Savitz </w:t>
      </w:r>
      <w:r w:rsidR="00180A32" w:rsidRPr="00180A32">
        <w:rPr>
          <w:rFonts w:eastAsiaTheme="minorHAnsi" w:cs="Arial"/>
          <w:i/>
          <w:szCs w:val="22"/>
          <w:lang w:bidi="ar-SA"/>
        </w:rPr>
        <w:t xml:space="preserve">et al. </w:t>
      </w:r>
      <w:r w:rsidR="00AA575C" w:rsidRPr="00AA575C">
        <w:rPr>
          <w:rFonts w:eastAsiaTheme="minorHAnsi" w:cs="Arial"/>
          <w:szCs w:val="22"/>
          <w:lang w:bidi="ar-SA"/>
        </w:rPr>
        <w:t xml:space="preserve">, 2012a, Savitz, 2102b, Stein </w:t>
      </w:r>
      <w:r w:rsidR="00180A32" w:rsidRPr="00180A32">
        <w:rPr>
          <w:rFonts w:eastAsiaTheme="minorHAnsi" w:cs="Arial"/>
          <w:i/>
          <w:szCs w:val="22"/>
          <w:lang w:bidi="ar-SA"/>
        </w:rPr>
        <w:t xml:space="preserve">et al. </w:t>
      </w:r>
      <w:r w:rsidR="00AA575C" w:rsidRPr="00AA575C">
        <w:rPr>
          <w:rFonts w:eastAsiaTheme="minorHAnsi" w:cs="Arial"/>
          <w:szCs w:val="22"/>
          <w:lang w:bidi="ar-SA"/>
        </w:rPr>
        <w:t xml:space="preserve"> 2009) were excluded from the meta-analysis by Johnson </w:t>
      </w:r>
      <w:r w:rsidR="00180A32" w:rsidRPr="00180A32">
        <w:rPr>
          <w:rFonts w:eastAsiaTheme="minorHAnsi" w:cs="Arial"/>
          <w:i/>
          <w:szCs w:val="22"/>
          <w:lang w:bidi="ar-SA"/>
        </w:rPr>
        <w:t xml:space="preserve">et al. </w:t>
      </w:r>
      <w:r w:rsidR="00AA575C" w:rsidRPr="00AA575C">
        <w:rPr>
          <w:rFonts w:eastAsiaTheme="minorHAnsi" w:cs="Arial"/>
          <w:szCs w:val="22"/>
          <w:lang w:bidi="ar-SA"/>
        </w:rPr>
        <w:t xml:space="preserve"> (2014) for other </w:t>
      </w:r>
      <w:r w:rsidR="00AA575C">
        <w:rPr>
          <w:rFonts w:eastAsiaTheme="minorHAnsi" w:cs="Arial"/>
          <w:szCs w:val="22"/>
          <w:lang w:bidi="ar-SA"/>
        </w:rPr>
        <w:t>reasons.</w:t>
      </w:r>
      <w:r w:rsidR="00AA575C" w:rsidRPr="00AA575C">
        <w:rPr>
          <w:rFonts w:eastAsiaTheme="minorHAnsi" w:cs="Arial"/>
          <w:szCs w:val="22"/>
          <w:lang w:bidi="ar-SA"/>
        </w:rPr>
        <w:t xml:space="preserve"> </w:t>
      </w:r>
    </w:p>
    <w:p w14:paraId="3EFB12D8" w14:textId="77777777" w:rsidR="00F97B75" w:rsidRPr="000C4C17" w:rsidRDefault="00F97B75" w:rsidP="00A111E9">
      <w:pPr>
        <w:widowControl/>
        <w:rPr>
          <w:rFonts w:eastAsiaTheme="minorHAnsi" w:cstheme="minorBidi"/>
          <w:i/>
          <w:szCs w:val="22"/>
          <w:lang w:bidi="ar-SA"/>
        </w:rPr>
      </w:pPr>
    </w:p>
    <w:p w14:paraId="6BB4390D" w14:textId="4DA0FA1C" w:rsidR="00F8101A" w:rsidRPr="000C4C17" w:rsidRDefault="00376729" w:rsidP="00A111E9">
      <w:pPr>
        <w:rPr>
          <w:rFonts w:eastAsiaTheme="majorEastAsia" w:cstheme="majorBidi"/>
          <w:b/>
          <w:bCs/>
          <w:lang w:eastAsia="en-AU" w:bidi="ar-SA"/>
        </w:rPr>
      </w:pPr>
      <w:r w:rsidRPr="000C4C17">
        <w:rPr>
          <w:rFonts w:eastAsiaTheme="majorEastAsia" w:cstheme="majorBidi"/>
          <w:b/>
          <w:bCs/>
          <w:lang w:eastAsia="en-AU" w:bidi="ar-SA"/>
        </w:rPr>
        <w:t xml:space="preserve">Review by Bach </w:t>
      </w:r>
      <w:r w:rsidR="00180A32" w:rsidRPr="00180A32">
        <w:rPr>
          <w:rFonts w:eastAsiaTheme="majorEastAsia" w:cstheme="majorBidi"/>
          <w:b/>
          <w:bCs/>
          <w:i/>
          <w:lang w:eastAsia="en-AU" w:bidi="ar-SA"/>
        </w:rPr>
        <w:t xml:space="preserve">et al. </w:t>
      </w:r>
      <w:r w:rsidR="00CC50B8">
        <w:rPr>
          <w:rFonts w:eastAsiaTheme="majorEastAsia" w:cstheme="majorBidi"/>
          <w:b/>
          <w:bCs/>
          <w:lang w:eastAsia="en-AU" w:bidi="ar-SA"/>
        </w:rPr>
        <w:t xml:space="preserve"> </w:t>
      </w:r>
      <w:r w:rsidR="00F8101A" w:rsidRPr="000C4C17">
        <w:rPr>
          <w:rFonts w:eastAsiaTheme="majorEastAsia" w:cstheme="majorBidi"/>
          <w:b/>
          <w:bCs/>
          <w:lang w:eastAsia="en-AU" w:bidi="ar-SA"/>
        </w:rPr>
        <w:t>(2015)</w:t>
      </w:r>
      <w:bookmarkEnd w:id="518"/>
      <w:bookmarkEnd w:id="519"/>
      <w:bookmarkEnd w:id="520"/>
      <w:bookmarkEnd w:id="521"/>
      <w:bookmarkEnd w:id="522"/>
      <w:bookmarkEnd w:id="523"/>
    </w:p>
    <w:p w14:paraId="73660870" w14:textId="77777777" w:rsidR="005B311C" w:rsidRPr="000C4C17" w:rsidRDefault="005B311C" w:rsidP="00A111E9">
      <w:pPr>
        <w:rPr>
          <w:rFonts w:eastAsiaTheme="majorEastAsia"/>
          <w:b/>
          <w:lang w:eastAsia="en-AU" w:bidi="ar-SA"/>
        </w:rPr>
      </w:pPr>
    </w:p>
    <w:p w14:paraId="7BFD8D06" w14:textId="63EA1F52" w:rsidR="00F8101A" w:rsidRPr="000C4C17" w:rsidRDefault="00F8101A" w:rsidP="00A111E9">
      <w:pPr>
        <w:widowControl/>
        <w:rPr>
          <w:rFonts w:eastAsiaTheme="minorHAnsi" w:cstheme="minorBidi"/>
          <w:szCs w:val="22"/>
          <w:lang w:bidi="ar-SA"/>
        </w:rPr>
      </w:pPr>
      <w:r w:rsidRPr="000C4C17">
        <w:rPr>
          <w:rFonts w:eastAsiaTheme="minorHAnsi" w:cstheme="minorBidi"/>
          <w:szCs w:val="22"/>
          <w:lang w:bidi="ar-SA"/>
        </w:rPr>
        <w:t xml:space="preserve">The inclusion criterion for exposure measurement was different in the review of Bach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 xml:space="preserve">(2015) from that of Johnson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 xml:space="preserve">(2014) in requiring an assessment in biological material such as maternal blood. Consequently some of the C8 studies found by Johnson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 xml:space="preserve">(2014) </w:t>
      </w:r>
      <w:r w:rsidR="00C84A84">
        <w:rPr>
          <w:rFonts w:eastAsiaTheme="minorHAnsi" w:cstheme="minorBidi"/>
          <w:szCs w:val="22"/>
          <w:lang w:bidi="ar-SA"/>
        </w:rPr>
        <w:t xml:space="preserve">which had estimated exposure from, for example occupational history, </w:t>
      </w:r>
      <w:r w:rsidRPr="000C4C17">
        <w:rPr>
          <w:rFonts w:eastAsiaTheme="minorHAnsi" w:cstheme="minorBidi"/>
          <w:szCs w:val="22"/>
          <w:lang w:bidi="ar-SA"/>
        </w:rPr>
        <w:t xml:space="preserve">were not included in the review of Bach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 xml:space="preserve">(2015). </w:t>
      </w:r>
      <w:r w:rsidR="00C84A84">
        <w:rPr>
          <w:rFonts w:eastAsiaTheme="minorHAnsi" w:cstheme="minorBidi"/>
          <w:szCs w:val="22"/>
          <w:lang w:bidi="ar-SA"/>
        </w:rPr>
        <w:t>Papers from the C8 study which analysed blood concentation (</w:t>
      </w:r>
      <w:r w:rsidRPr="000C4C17">
        <w:rPr>
          <w:rFonts w:eastAsiaTheme="minorHAnsi" w:cstheme="minorBidi"/>
          <w:szCs w:val="22"/>
          <w:lang w:bidi="ar-SA"/>
        </w:rPr>
        <w:t xml:space="preserve">Stein </w:t>
      </w:r>
      <w:r w:rsidR="00180A32" w:rsidRPr="00180A32">
        <w:rPr>
          <w:rFonts w:eastAsiaTheme="minorHAnsi" w:cstheme="minorBidi"/>
          <w:i/>
          <w:szCs w:val="22"/>
          <w:lang w:bidi="ar-SA"/>
        </w:rPr>
        <w:t xml:space="preserve">et al. </w:t>
      </w:r>
      <w:r w:rsidR="00C84A84">
        <w:rPr>
          <w:rFonts w:eastAsiaTheme="minorHAnsi" w:cstheme="minorBidi"/>
          <w:szCs w:val="22"/>
          <w:lang w:bidi="ar-SA"/>
        </w:rPr>
        <w:t>,</w:t>
      </w:r>
      <w:r w:rsidRPr="000C4C17">
        <w:rPr>
          <w:rFonts w:eastAsiaTheme="minorHAnsi" w:cstheme="minorBidi"/>
          <w:szCs w:val="22"/>
          <w:lang w:bidi="ar-SA"/>
        </w:rPr>
        <w:t xml:space="preserve"> 2009</w:t>
      </w:r>
      <w:r w:rsidR="00C84A84">
        <w:rPr>
          <w:rFonts w:eastAsiaTheme="minorHAnsi" w:cstheme="minorBidi"/>
          <w:szCs w:val="22"/>
          <w:lang w:bidi="ar-SA"/>
        </w:rPr>
        <w:t xml:space="preserve">; </w:t>
      </w:r>
      <w:r w:rsidRPr="000C4C17">
        <w:rPr>
          <w:rFonts w:eastAsiaTheme="minorHAnsi" w:cstheme="minorBidi"/>
          <w:szCs w:val="22"/>
          <w:lang w:bidi="ar-SA"/>
        </w:rPr>
        <w:t xml:space="preserve">Darrow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 xml:space="preserve">2013) were </w:t>
      </w:r>
      <w:r w:rsidR="00087957">
        <w:rPr>
          <w:rFonts w:eastAsiaTheme="minorHAnsi" w:cstheme="minorBidi"/>
          <w:szCs w:val="22"/>
          <w:lang w:bidi="ar-SA"/>
        </w:rPr>
        <w:t xml:space="preserve">included </w:t>
      </w:r>
      <w:r w:rsidR="00C84A84">
        <w:rPr>
          <w:rFonts w:eastAsiaTheme="minorHAnsi" w:cstheme="minorBidi"/>
          <w:szCs w:val="22"/>
          <w:lang w:bidi="ar-SA"/>
        </w:rPr>
        <w:t xml:space="preserve">by Bach </w:t>
      </w:r>
      <w:r w:rsidR="00180A32" w:rsidRPr="00180A32">
        <w:rPr>
          <w:rFonts w:eastAsiaTheme="minorHAnsi" w:cstheme="minorBidi"/>
          <w:i/>
          <w:szCs w:val="22"/>
          <w:lang w:bidi="ar-SA"/>
        </w:rPr>
        <w:t xml:space="preserve">et al. </w:t>
      </w:r>
      <w:r w:rsidR="00C84A84">
        <w:rPr>
          <w:rFonts w:eastAsiaTheme="minorHAnsi" w:cstheme="minorBidi"/>
          <w:szCs w:val="22"/>
          <w:lang w:bidi="ar-SA"/>
        </w:rPr>
        <w:t xml:space="preserve"> (2015)</w:t>
      </w:r>
      <w:r w:rsidRPr="000C4C17">
        <w:rPr>
          <w:rFonts w:eastAsiaTheme="minorHAnsi" w:cstheme="minorBidi"/>
          <w:szCs w:val="22"/>
          <w:lang w:bidi="ar-SA"/>
        </w:rPr>
        <w:t>.</w:t>
      </w:r>
    </w:p>
    <w:p w14:paraId="49180F32" w14:textId="77777777" w:rsidR="00F8101A" w:rsidRPr="000C4C17" w:rsidRDefault="00F8101A" w:rsidP="00A111E9">
      <w:pPr>
        <w:widowControl/>
        <w:rPr>
          <w:rFonts w:eastAsiaTheme="minorHAnsi" w:cstheme="minorBidi"/>
          <w:szCs w:val="22"/>
          <w:lang w:bidi="ar-SA"/>
        </w:rPr>
      </w:pPr>
    </w:p>
    <w:p w14:paraId="3B0BE049" w14:textId="1BA2B188" w:rsidR="00F8101A" w:rsidRPr="000C4C17" w:rsidRDefault="00F8101A" w:rsidP="00A111E9">
      <w:pPr>
        <w:widowControl/>
        <w:autoSpaceDE w:val="0"/>
        <w:autoSpaceDN w:val="0"/>
        <w:adjustRightInd w:val="0"/>
        <w:rPr>
          <w:rFonts w:eastAsiaTheme="minorHAnsi" w:cstheme="minorBidi"/>
          <w:szCs w:val="22"/>
          <w:lang w:bidi="ar-SA"/>
        </w:rPr>
      </w:pPr>
      <w:r w:rsidRPr="000C4C17">
        <w:rPr>
          <w:rFonts w:eastAsiaTheme="minorHAnsi" w:cstheme="minorBidi"/>
          <w:szCs w:val="22"/>
          <w:lang w:bidi="ar-SA"/>
        </w:rPr>
        <w:t xml:space="preserve">Bach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 xml:space="preserve">(2015) </w:t>
      </w:r>
      <w:r w:rsidR="00C84A84">
        <w:rPr>
          <w:rFonts w:eastAsiaTheme="minorHAnsi" w:cstheme="minorBidi"/>
          <w:szCs w:val="22"/>
          <w:lang w:bidi="ar-SA"/>
        </w:rPr>
        <w:t>tabulated</w:t>
      </w:r>
      <w:r w:rsidRPr="000C4C17">
        <w:rPr>
          <w:rFonts w:eastAsiaTheme="minorHAnsi" w:cstheme="minorBidi"/>
          <w:szCs w:val="22"/>
          <w:lang w:bidi="ar-SA"/>
        </w:rPr>
        <w:t xml:space="preserve"> 14 studies</w:t>
      </w:r>
      <w:r w:rsidR="00376729" w:rsidRPr="000C4C17">
        <w:rPr>
          <w:rFonts w:eastAsiaTheme="minorHAnsi" w:cstheme="minorBidi"/>
          <w:szCs w:val="22"/>
          <w:lang w:bidi="ar-SA"/>
        </w:rPr>
        <w:t>, of which one (Inoue at al.</w:t>
      </w:r>
      <w:r w:rsidRPr="000C4C17">
        <w:rPr>
          <w:rFonts w:eastAsiaTheme="minorHAnsi" w:cstheme="minorBidi"/>
          <w:szCs w:val="22"/>
          <w:lang w:bidi="ar-SA"/>
        </w:rPr>
        <w:t xml:space="preserve"> 2004) reported results measured PFOS only, leaving 13 studies of PFOA. Two of the</w:t>
      </w:r>
      <w:r w:rsidR="00376729" w:rsidRPr="000C4C17">
        <w:rPr>
          <w:rFonts w:eastAsiaTheme="minorHAnsi" w:cstheme="minorBidi"/>
          <w:szCs w:val="22"/>
          <w:lang w:bidi="ar-SA"/>
        </w:rPr>
        <w:t xml:space="preserve"> remaining studies (Stein </w:t>
      </w:r>
      <w:r w:rsidR="00180A32" w:rsidRPr="00180A32">
        <w:rPr>
          <w:rFonts w:eastAsiaTheme="minorHAnsi" w:cstheme="minorBidi"/>
          <w:i/>
          <w:szCs w:val="22"/>
          <w:lang w:bidi="ar-SA"/>
        </w:rPr>
        <w:t xml:space="preserve">et al. </w:t>
      </w:r>
      <w:r w:rsidR="00C84A84">
        <w:rPr>
          <w:rFonts w:eastAsiaTheme="minorHAnsi" w:cstheme="minorBidi"/>
          <w:szCs w:val="22"/>
          <w:lang w:bidi="ar-SA"/>
        </w:rPr>
        <w:t>,</w:t>
      </w:r>
      <w:r w:rsidRPr="000C4C17">
        <w:rPr>
          <w:rFonts w:eastAsiaTheme="minorHAnsi" w:cstheme="minorBidi"/>
          <w:szCs w:val="22"/>
          <w:lang w:bidi="ar-SA"/>
        </w:rPr>
        <w:t xml:space="preserve"> 2009</w:t>
      </w:r>
      <w:r w:rsidR="00C84A84">
        <w:rPr>
          <w:rFonts w:eastAsiaTheme="minorHAnsi" w:cstheme="minorBidi"/>
          <w:szCs w:val="22"/>
          <w:lang w:bidi="ar-SA"/>
        </w:rPr>
        <w:t>; A</w:t>
      </w:r>
      <w:r w:rsidRPr="000C4C17">
        <w:rPr>
          <w:rFonts w:eastAsiaTheme="minorHAnsi" w:cstheme="minorBidi"/>
          <w:szCs w:val="22"/>
          <w:lang w:bidi="ar-SA"/>
        </w:rPr>
        <w:t xml:space="preserve">rbuckle </w:t>
      </w:r>
      <w:r w:rsidR="00180A32" w:rsidRPr="00180A32">
        <w:rPr>
          <w:rFonts w:eastAsiaTheme="minorHAnsi" w:cstheme="minorBidi"/>
          <w:i/>
          <w:szCs w:val="22"/>
          <w:lang w:bidi="ar-SA"/>
        </w:rPr>
        <w:t xml:space="preserve">et al. </w:t>
      </w:r>
      <w:r w:rsidR="00C84A84">
        <w:rPr>
          <w:rFonts w:eastAsiaTheme="minorHAnsi" w:cstheme="minorBidi"/>
          <w:szCs w:val="22"/>
          <w:lang w:bidi="ar-SA"/>
        </w:rPr>
        <w:t xml:space="preserve">, </w:t>
      </w:r>
      <w:r w:rsidRPr="000C4C17">
        <w:rPr>
          <w:rFonts w:eastAsiaTheme="minorHAnsi" w:cstheme="minorBidi"/>
          <w:szCs w:val="22"/>
          <w:lang w:bidi="ar-SA"/>
        </w:rPr>
        <w:t xml:space="preserve">2013) only describe results related to low birthweight; Lee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 xml:space="preserve">(2013) dichotomised birthweight at the median, and Whitworth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(2012) provided results with birthweight expressed as a z-score rather than in kg</w:t>
      </w:r>
      <w:r w:rsidR="00C84A84">
        <w:rPr>
          <w:rFonts w:eastAsiaTheme="minorHAnsi" w:cstheme="minorBidi"/>
          <w:szCs w:val="22"/>
          <w:lang w:bidi="ar-SA"/>
        </w:rPr>
        <w:t>. This left eight</w:t>
      </w:r>
      <w:r w:rsidRPr="000C4C17">
        <w:rPr>
          <w:rFonts w:eastAsiaTheme="minorHAnsi" w:cstheme="minorBidi"/>
          <w:szCs w:val="22"/>
          <w:lang w:bidi="ar-SA"/>
        </w:rPr>
        <w:t xml:space="preserve"> 8 studies of PFOA </w:t>
      </w:r>
      <w:r w:rsidR="00C84A84">
        <w:rPr>
          <w:rFonts w:eastAsiaTheme="minorHAnsi" w:cstheme="minorBidi"/>
          <w:szCs w:val="22"/>
          <w:lang w:bidi="ar-SA"/>
        </w:rPr>
        <w:t>reporting</w:t>
      </w:r>
      <w:r w:rsidRPr="000C4C17">
        <w:rPr>
          <w:rFonts w:eastAsiaTheme="minorHAnsi" w:cstheme="minorBidi"/>
          <w:szCs w:val="22"/>
          <w:lang w:bidi="ar-SA"/>
        </w:rPr>
        <w:t xml:space="preserve"> </w:t>
      </w:r>
      <w:r w:rsidR="00C84A84">
        <w:rPr>
          <w:rFonts w:eastAsiaTheme="minorHAnsi" w:cstheme="minorBidi"/>
          <w:szCs w:val="22"/>
          <w:lang w:bidi="ar-SA"/>
        </w:rPr>
        <w:t xml:space="preserve">results for </w:t>
      </w:r>
      <w:r w:rsidRPr="000C4C17">
        <w:rPr>
          <w:rFonts w:eastAsiaTheme="minorHAnsi" w:cstheme="minorBidi"/>
          <w:szCs w:val="22"/>
          <w:lang w:bidi="ar-SA"/>
        </w:rPr>
        <w:t>birthweight as a continuous variable</w:t>
      </w:r>
      <w:r w:rsidR="00C84A84">
        <w:rPr>
          <w:rFonts w:eastAsiaTheme="minorHAnsi" w:cstheme="minorBidi"/>
          <w:szCs w:val="22"/>
          <w:lang w:bidi="ar-SA"/>
        </w:rPr>
        <w:t xml:space="preserve"> which were graphed</w:t>
      </w:r>
      <w:r w:rsidR="00087957">
        <w:rPr>
          <w:rFonts w:eastAsiaTheme="minorHAnsi" w:cstheme="minorBidi"/>
          <w:szCs w:val="22"/>
          <w:lang w:bidi="ar-SA"/>
        </w:rPr>
        <w:t xml:space="preserve"> by Bach </w:t>
      </w:r>
      <w:r w:rsidR="00180A32" w:rsidRPr="00180A32">
        <w:rPr>
          <w:rFonts w:eastAsiaTheme="minorHAnsi" w:cstheme="minorBidi"/>
          <w:i/>
          <w:szCs w:val="22"/>
          <w:lang w:bidi="ar-SA"/>
        </w:rPr>
        <w:t xml:space="preserve">et al. </w:t>
      </w:r>
      <w:r w:rsidR="00087957">
        <w:rPr>
          <w:rFonts w:eastAsiaTheme="minorHAnsi" w:cstheme="minorBidi"/>
          <w:szCs w:val="22"/>
          <w:lang w:bidi="ar-SA"/>
        </w:rPr>
        <w:t xml:space="preserve"> (2015) </w:t>
      </w:r>
      <w:r w:rsidR="00C84A84">
        <w:rPr>
          <w:rFonts w:eastAsiaTheme="minorHAnsi" w:cstheme="minorBidi"/>
          <w:szCs w:val="22"/>
          <w:lang w:bidi="ar-SA"/>
        </w:rPr>
        <w:t xml:space="preserve"> </w:t>
      </w:r>
      <w:r w:rsidRPr="000C4C17">
        <w:rPr>
          <w:rFonts w:eastAsiaTheme="minorHAnsi" w:cstheme="minorBidi"/>
          <w:szCs w:val="22"/>
          <w:lang w:bidi="ar-SA"/>
        </w:rPr>
        <w:t xml:space="preserve">(Figure </w:t>
      </w:r>
      <w:r w:rsidR="006B1629" w:rsidRPr="000C4C17">
        <w:rPr>
          <w:rFonts w:eastAsiaTheme="minorHAnsi" w:cstheme="minorBidi"/>
          <w:szCs w:val="22"/>
          <w:lang w:bidi="ar-SA"/>
        </w:rPr>
        <w:t>A1.</w:t>
      </w:r>
      <w:r w:rsidRPr="000C4C17">
        <w:rPr>
          <w:rFonts w:eastAsiaTheme="minorHAnsi" w:cstheme="minorBidi"/>
          <w:szCs w:val="22"/>
          <w:lang w:bidi="ar-SA"/>
        </w:rPr>
        <w:t>3).</w:t>
      </w:r>
    </w:p>
    <w:p w14:paraId="51A8124E" w14:textId="2D4B5F22" w:rsidR="006013C9" w:rsidRDefault="006013C9">
      <w:pPr>
        <w:widowControl/>
        <w:rPr>
          <w:rFonts w:eastAsiaTheme="minorHAnsi" w:cstheme="minorBidi"/>
          <w:szCs w:val="22"/>
          <w:lang w:bidi="ar-SA"/>
        </w:rPr>
      </w:pPr>
      <w:r>
        <w:rPr>
          <w:rFonts w:eastAsiaTheme="minorHAnsi" w:cstheme="minorBidi"/>
          <w:szCs w:val="22"/>
          <w:lang w:bidi="ar-SA"/>
        </w:rPr>
        <w:br w:type="page"/>
      </w:r>
    </w:p>
    <w:p w14:paraId="3F8D618F" w14:textId="77777777" w:rsidR="00F8101A" w:rsidRPr="000C4C17" w:rsidRDefault="00F8101A" w:rsidP="00A111E9">
      <w:pPr>
        <w:widowControl/>
        <w:autoSpaceDE w:val="0"/>
        <w:autoSpaceDN w:val="0"/>
        <w:adjustRightInd w:val="0"/>
        <w:rPr>
          <w:rFonts w:eastAsiaTheme="minorHAnsi" w:cstheme="minorBidi"/>
          <w:szCs w:val="22"/>
          <w:lang w:bidi="ar-SA"/>
        </w:rPr>
      </w:pPr>
    </w:p>
    <w:p w14:paraId="3A7CF435" w14:textId="77777777" w:rsidR="00F8101A" w:rsidRPr="000C4C17" w:rsidRDefault="00F8101A" w:rsidP="00A111E9">
      <w:pPr>
        <w:widowControl/>
        <w:autoSpaceDE w:val="0"/>
        <w:autoSpaceDN w:val="0"/>
        <w:adjustRightInd w:val="0"/>
        <w:rPr>
          <w:rFonts w:eastAsiaTheme="minorHAnsi" w:cstheme="minorBidi"/>
          <w:szCs w:val="22"/>
          <w:lang w:bidi="ar-SA"/>
        </w:rPr>
      </w:pPr>
    </w:p>
    <w:p w14:paraId="66B15E4F" w14:textId="7219348E" w:rsidR="00F8101A" w:rsidRPr="000C4C17" w:rsidRDefault="00F8101A" w:rsidP="00A111E9">
      <w:pPr>
        <w:widowControl/>
        <w:autoSpaceDE w:val="0"/>
        <w:autoSpaceDN w:val="0"/>
        <w:adjustRightInd w:val="0"/>
        <w:rPr>
          <w:rFonts w:eastAsiaTheme="minorHAnsi" w:cstheme="minorBidi"/>
          <w:szCs w:val="22"/>
          <w:lang w:bidi="ar-SA"/>
        </w:rPr>
      </w:pPr>
      <w:r w:rsidRPr="000C4C17">
        <w:rPr>
          <w:rFonts w:eastAsiaTheme="minorHAnsi" w:cstheme="minorBidi"/>
          <w:noProof/>
          <w:szCs w:val="22"/>
          <w:lang w:eastAsia="en-GB" w:bidi="ar-SA"/>
        </w:rPr>
        <w:drawing>
          <wp:inline distT="0" distB="0" distL="0" distR="0" wp14:anchorId="3C65D428" wp14:editId="2988E36A">
            <wp:extent cx="4857750" cy="4346026"/>
            <wp:effectExtent l="19050" t="19050" r="19050" b="16510"/>
            <wp:docPr id="9" name="Picture 3" title="Figure A1.3 Graph of studies from Bach et al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857750" cy="4346026"/>
                    </a:xfrm>
                    <a:prstGeom prst="rect">
                      <a:avLst/>
                    </a:prstGeom>
                    <a:ln>
                      <a:solidFill>
                        <a:srgbClr val="4F81BD"/>
                      </a:solidFill>
                    </a:ln>
                  </pic:spPr>
                </pic:pic>
              </a:graphicData>
            </a:graphic>
          </wp:inline>
        </w:drawing>
      </w:r>
    </w:p>
    <w:p w14:paraId="51FFF6F2" w14:textId="77777777" w:rsidR="00B9340A" w:rsidRPr="000C4C17" w:rsidRDefault="00B9340A" w:rsidP="00A111E9">
      <w:pPr>
        <w:widowControl/>
        <w:autoSpaceDE w:val="0"/>
        <w:autoSpaceDN w:val="0"/>
        <w:adjustRightInd w:val="0"/>
        <w:rPr>
          <w:rFonts w:eastAsiaTheme="minorHAnsi" w:cstheme="minorBidi"/>
          <w:szCs w:val="22"/>
          <w:lang w:bidi="ar-SA"/>
        </w:rPr>
      </w:pPr>
    </w:p>
    <w:p w14:paraId="5374D735" w14:textId="42495696" w:rsidR="00F8101A" w:rsidRPr="000C4C17" w:rsidRDefault="00F8101A" w:rsidP="00A111E9">
      <w:pPr>
        <w:pStyle w:val="FSFigureTitle"/>
        <w:rPr>
          <w:rFonts w:eastAsiaTheme="minorHAnsi"/>
        </w:rPr>
      </w:pPr>
      <w:r w:rsidRPr="000C4C17">
        <w:rPr>
          <w:rFonts w:eastAsiaTheme="minorHAnsi"/>
        </w:rPr>
        <w:t xml:space="preserve">Figure </w:t>
      </w:r>
      <w:r w:rsidR="006B1629" w:rsidRPr="000C4C17">
        <w:rPr>
          <w:rFonts w:eastAsiaTheme="minorHAnsi"/>
        </w:rPr>
        <w:t>A1.</w:t>
      </w:r>
      <w:r w:rsidRPr="000C4C17">
        <w:rPr>
          <w:rFonts w:eastAsiaTheme="minorHAnsi"/>
        </w:rPr>
        <w:t xml:space="preserve">3 Graph of studies from Bach </w:t>
      </w:r>
      <w:r w:rsidR="00180A32" w:rsidRPr="00180A32">
        <w:rPr>
          <w:rFonts w:eastAsiaTheme="minorHAnsi"/>
        </w:rPr>
        <w:t xml:space="preserve">et al. </w:t>
      </w:r>
      <w:r w:rsidR="00CC50B8">
        <w:rPr>
          <w:rFonts w:eastAsiaTheme="minorHAnsi"/>
        </w:rPr>
        <w:t xml:space="preserve"> </w:t>
      </w:r>
      <w:r w:rsidRPr="000C4C17">
        <w:rPr>
          <w:rFonts w:eastAsiaTheme="minorHAnsi"/>
        </w:rPr>
        <w:t>(2015)</w:t>
      </w:r>
      <w:r w:rsidR="00BF7834">
        <w:rPr>
          <w:rFonts w:eastAsiaTheme="minorHAnsi"/>
          <w:lang w:bidi="ar-SA"/>
        </w:rPr>
        <w:tab/>
      </w:r>
    </w:p>
    <w:p w14:paraId="1E040B59" w14:textId="77777777" w:rsidR="00087957" w:rsidRDefault="00087957" w:rsidP="00A111E9">
      <w:pPr>
        <w:widowControl/>
        <w:autoSpaceDE w:val="0"/>
        <w:autoSpaceDN w:val="0"/>
        <w:adjustRightInd w:val="0"/>
        <w:rPr>
          <w:rFonts w:eastAsiaTheme="minorHAnsi" w:cstheme="minorBidi"/>
          <w:szCs w:val="22"/>
          <w:lang w:bidi="ar-SA"/>
        </w:rPr>
      </w:pPr>
    </w:p>
    <w:p w14:paraId="2E1595D9" w14:textId="0F59F9FA" w:rsidR="00F97B75" w:rsidRPr="000C4C17" w:rsidRDefault="00C84A84" w:rsidP="00A111E9">
      <w:pPr>
        <w:widowControl/>
        <w:autoSpaceDE w:val="0"/>
        <w:autoSpaceDN w:val="0"/>
        <w:adjustRightInd w:val="0"/>
        <w:rPr>
          <w:rFonts w:eastAsiaTheme="minorHAnsi" w:cstheme="minorBidi"/>
          <w:szCs w:val="22"/>
          <w:lang w:bidi="ar-SA"/>
        </w:rPr>
      </w:pPr>
      <w:r>
        <w:rPr>
          <w:rFonts w:eastAsiaTheme="minorHAnsi" w:cstheme="minorBidi"/>
          <w:szCs w:val="22"/>
          <w:lang w:bidi="ar-SA"/>
        </w:rPr>
        <w:t xml:space="preserve">Bach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Pr>
          <w:rFonts w:eastAsiaTheme="minorHAnsi" w:cstheme="minorBidi"/>
          <w:szCs w:val="22"/>
          <w:lang w:bidi="ar-SA"/>
        </w:rPr>
        <w:t xml:space="preserve">(2015) </w:t>
      </w:r>
      <w:r w:rsidR="00F97B75" w:rsidRPr="000C4C17">
        <w:rPr>
          <w:rFonts w:eastAsiaTheme="minorHAnsi" w:cstheme="minorBidi"/>
          <w:szCs w:val="22"/>
          <w:lang w:bidi="ar-SA"/>
        </w:rPr>
        <w:t>commented on the lack of internal consistency in some studies which assessed birthweight in several ways (such as continuous birthweight or proportion with low birthweight) and that some important confounding variables had not been considered in a number of the existing studies. They also note that other PFAS had not been properly examined and that both lower birthweight and increased PFAS concentrations could be the result of a third process, such as changes in glomerular filtration rate during pregnancy. They concluded that at present, the data are insufficient to confirm or reject the association between PFAS and birthweight.</w:t>
      </w:r>
    </w:p>
    <w:p w14:paraId="488AA13E" w14:textId="77777777" w:rsidR="00F97B75" w:rsidRPr="000C4C17" w:rsidRDefault="00F97B75" w:rsidP="00A111E9">
      <w:pPr>
        <w:widowControl/>
        <w:rPr>
          <w:rFonts w:eastAsiaTheme="minorHAnsi" w:cstheme="minorBidi"/>
          <w:szCs w:val="22"/>
          <w:lang w:bidi="ar-SA"/>
        </w:rPr>
      </w:pPr>
    </w:p>
    <w:p w14:paraId="4470F9A6" w14:textId="31010D08" w:rsidR="00F8101A" w:rsidRPr="000C4C17" w:rsidRDefault="00F8101A" w:rsidP="00A111E9">
      <w:pPr>
        <w:widowControl/>
        <w:autoSpaceDE w:val="0"/>
        <w:autoSpaceDN w:val="0"/>
        <w:adjustRightInd w:val="0"/>
        <w:rPr>
          <w:rFonts w:eastAsiaTheme="minorHAnsi"/>
          <w:b/>
        </w:rPr>
      </w:pPr>
      <w:r w:rsidRPr="000C4C17">
        <w:rPr>
          <w:rFonts w:eastAsiaTheme="minorHAnsi"/>
          <w:b/>
        </w:rPr>
        <w:t>Commentary</w:t>
      </w:r>
      <w:r w:rsidR="00457930">
        <w:rPr>
          <w:rFonts w:eastAsiaTheme="minorHAnsi"/>
          <w:b/>
        </w:rPr>
        <w:t xml:space="preserve"> on Bach </w:t>
      </w:r>
      <w:r w:rsidR="00180A32" w:rsidRPr="00180A32">
        <w:rPr>
          <w:rFonts w:eastAsiaTheme="minorHAnsi"/>
          <w:b/>
          <w:i/>
        </w:rPr>
        <w:t xml:space="preserve">et al. </w:t>
      </w:r>
      <w:r w:rsidR="00CC50B8">
        <w:rPr>
          <w:rFonts w:eastAsiaTheme="minorHAnsi"/>
          <w:b/>
        </w:rPr>
        <w:t xml:space="preserve"> </w:t>
      </w:r>
      <w:r w:rsidR="00457930">
        <w:rPr>
          <w:rFonts w:eastAsiaTheme="minorHAnsi"/>
          <w:b/>
        </w:rPr>
        <w:t>(2015)</w:t>
      </w:r>
    </w:p>
    <w:p w14:paraId="3D2636A3" w14:textId="77777777" w:rsidR="00F8101A" w:rsidRPr="000C4C17" w:rsidRDefault="00F8101A" w:rsidP="00A111E9">
      <w:pPr>
        <w:widowControl/>
        <w:autoSpaceDE w:val="0"/>
        <w:autoSpaceDN w:val="0"/>
        <w:adjustRightInd w:val="0"/>
        <w:rPr>
          <w:rFonts w:eastAsiaTheme="minorHAnsi" w:cstheme="minorBidi"/>
          <w:szCs w:val="22"/>
          <w:lang w:bidi="ar-SA"/>
        </w:rPr>
      </w:pPr>
    </w:p>
    <w:p w14:paraId="7E0AE32D" w14:textId="59922B46" w:rsidR="00F8101A" w:rsidRPr="000C4C17" w:rsidRDefault="00F8101A" w:rsidP="00A111E9">
      <w:pPr>
        <w:widowControl/>
        <w:autoSpaceDE w:val="0"/>
        <w:autoSpaceDN w:val="0"/>
        <w:adjustRightInd w:val="0"/>
        <w:rPr>
          <w:rFonts w:eastAsiaTheme="minorHAnsi" w:cstheme="minorBidi"/>
          <w:szCs w:val="22"/>
          <w:lang w:bidi="ar-SA"/>
        </w:rPr>
      </w:pPr>
      <w:r w:rsidRPr="000C4C17">
        <w:rPr>
          <w:rFonts w:eastAsiaTheme="minorHAnsi" w:cstheme="minorBidi"/>
          <w:szCs w:val="22"/>
          <w:lang w:bidi="ar-SA"/>
        </w:rPr>
        <w:t xml:space="preserve">The timing of the literature search allowed </w:t>
      </w:r>
      <w:r w:rsidR="00C84A84">
        <w:rPr>
          <w:rFonts w:eastAsiaTheme="minorHAnsi" w:cstheme="minorBidi"/>
          <w:szCs w:val="22"/>
          <w:lang w:bidi="ar-SA"/>
        </w:rPr>
        <w:t xml:space="preserve">Bach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00C84A84">
        <w:rPr>
          <w:rFonts w:eastAsiaTheme="minorHAnsi" w:cstheme="minorBidi"/>
          <w:szCs w:val="22"/>
          <w:lang w:bidi="ar-SA"/>
        </w:rPr>
        <w:t>(2015)</w:t>
      </w:r>
      <w:r w:rsidRPr="000C4C17">
        <w:rPr>
          <w:rFonts w:eastAsiaTheme="minorHAnsi" w:cstheme="minorBidi"/>
          <w:szCs w:val="22"/>
          <w:lang w:bidi="ar-SA"/>
        </w:rPr>
        <w:t xml:space="preserve"> to identify Wu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 xml:space="preserve">(2012), Darrow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 xml:space="preserve">(2013) and Lee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 xml:space="preserve">(2013) which were not captured by Johnson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 xml:space="preserve">(2014). </w:t>
      </w:r>
      <w:r w:rsidR="00C84A84">
        <w:rPr>
          <w:rFonts w:eastAsiaTheme="minorHAnsi" w:cstheme="minorBidi"/>
          <w:szCs w:val="22"/>
          <w:lang w:bidi="ar-SA"/>
        </w:rPr>
        <w:t>T</w:t>
      </w:r>
      <w:r w:rsidRPr="000C4C17">
        <w:rPr>
          <w:rFonts w:eastAsiaTheme="minorHAnsi" w:cstheme="minorBidi"/>
          <w:szCs w:val="22"/>
          <w:lang w:bidi="ar-SA"/>
        </w:rPr>
        <w:t xml:space="preserve">hey refer to Johnson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 xml:space="preserve">(2014) but do not comment on certain studies </w:t>
      </w:r>
      <w:r w:rsidR="00C84A84">
        <w:rPr>
          <w:rFonts w:eastAsiaTheme="minorHAnsi" w:cstheme="minorBidi"/>
          <w:szCs w:val="22"/>
          <w:lang w:bidi="ar-SA"/>
        </w:rPr>
        <w:t xml:space="preserve">included </w:t>
      </w:r>
      <w:r w:rsidRPr="000C4C17">
        <w:rPr>
          <w:rFonts w:eastAsiaTheme="minorHAnsi" w:cstheme="minorBidi"/>
          <w:szCs w:val="22"/>
          <w:lang w:bidi="ar-SA"/>
        </w:rPr>
        <w:t xml:space="preserve">by Johnson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 xml:space="preserve">that they did not include. </w:t>
      </w:r>
      <w:r w:rsidR="00815B40">
        <w:rPr>
          <w:rFonts w:eastAsiaTheme="minorHAnsi" w:cstheme="minorBidi"/>
          <w:szCs w:val="22"/>
          <w:lang w:bidi="ar-SA"/>
        </w:rPr>
        <w:t xml:space="preserve">Specficially, Johnson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00815B40">
        <w:rPr>
          <w:rFonts w:eastAsiaTheme="minorHAnsi" w:cstheme="minorBidi"/>
          <w:szCs w:val="22"/>
          <w:lang w:bidi="ar-SA"/>
        </w:rPr>
        <w:t xml:space="preserve">(2014) give linear regression coefficientis for </w:t>
      </w:r>
      <w:r w:rsidRPr="000C4C17">
        <w:rPr>
          <w:rFonts w:eastAsiaTheme="minorHAnsi" w:cstheme="minorBidi"/>
          <w:szCs w:val="22"/>
          <w:lang w:bidi="ar-SA"/>
        </w:rPr>
        <w:t xml:space="preserve">Whitworth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00815B40">
        <w:rPr>
          <w:rFonts w:eastAsiaTheme="minorHAnsi" w:cstheme="minorBidi"/>
          <w:szCs w:val="22"/>
          <w:lang w:bidi="ar-SA"/>
        </w:rPr>
        <w:t xml:space="preserve">(2012), Fromme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00815B40">
        <w:rPr>
          <w:rFonts w:eastAsiaTheme="minorHAnsi" w:cstheme="minorBidi"/>
          <w:szCs w:val="22"/>
          <w:lang w:bidi="ar-SA"/>
        </w:rPr>
        <w:t>(201</w:t>
      </w:r>
      <w:r w:rsidR="005A678D">
        <w:rPr>
          <w:rFonts w:eastAsiaTheme="minorHAnsi" w:cstheme="minorBidi"/>
          <w:szCs w:val="22"/>
          <w:lang w:bidi="ar-SA"/>
        </w:rPr>
        <w:t>0</w:t>
      </w:r>
      <w:r w:rsidR="00815B40">
        <w:rPr>
          <w:rFonts w:eastAsiaTheme="minorHAnsi" w:cstheme="minorBidi"/>
          <w:szCs w:val="22"/>
          <w:lang w:bidi="ar-SA"/>
        </w:rPr>
        <w:t xml:space="preserve">) and Kim S </w:t>
      </w:r>
      <w:r w:rsidR="00180A32" w:rsidRPr="00180A32">
        <w:rPr>
          <w:rFonts w:eastAsiaTheme="minorHAnsi" w:cstheme="minorBidi"/>
          <w:i/>
          <w:szCs w:val="22"/>
          <w:lang w:bidi="ar-SA"/>
        </w:rPr>
        <w:t xml:space="preserve">et al. </w:t>
      </w:r>
      <w:r w:rsidR="00815B40">
        <w:rPr>
          <w:rFonts w:eastAsiaTheme="minorHAnsi" w:cstheme="minorBidi"/>
          <w:szCs w:val="22"/>
          <w:lang w:bidi="ar-SA"/>
        </w:rPr>
        <w:t xml:space="preserve"> (2011) but none of these were graphed by Bach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00815B40">
        <w:rPr>
          <w:rFonts w:eastAsiaTheme="minorHAnsi" w:cstheme="minorBidi"/>
          <w:szCs w:val="22"/>
          <w:lang w:bidi="ar-SA"/>
        </w:rPr>
        <w:t>(2015). Haldor</w:t>
      </w:r>
      <w:r w:rsidRPr="000C4C17">
        <w:rPr>
          <w:rFonts w:eastAsiaTheme="minorHAnsi" w:cstheme="minorBidi"/>
          <w:szCs w:val="22"/>
          <w:lang w:bidi="ar-SA"/>
        </w:rPr>
        <w:t xml:space="preserve">ssen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 xml:space="preserve">(2012) </w:t>
      </w:r>
      <w:r w:rsidR="00815B40">
        <w:rPr>
          <w:rFonts w:eastAsiaTheme="minorHAnsi" w:cstheme="minorBidi"/>
          <w:szCs w:val="22"/>
          <w:lang w:bidi="ar-SA"/>
        </w:rPr>
        <w:t xml:space="preserve">was also retrieved by Johnson </w:t>
      </w:r>
      <w:r w:rsidR="00180A32" w:rsidRPr="00180A32">
        <w:rPr>
          <w:rFonts w:eastAsiaTheme="minorHAnsi" w:cstheme="minorBidi"/>
          <w:i/>
          <w:szCs w:val="22"/>
          <w:lang w:bidi="ar-SA"/>
        </w:rPr>
        <w:t xml:space="preserve">et al. </w:t>
      </w:r>
      <w:r w:rsidR="00815B40">
        <w:rPr>
          <w:rFonts w:eastAsiaTheme="minorHAnsi" w:cstheme="minorBidi"/>
          <w:szCs w:val="22"/>
          <w:lang w:bidi="ar-SA"/>
        </w:rPr>
        <w:t xml:space="preserve"> (2014) </w:t>
      </w:r>
      <w:r w:rsidR="00087957">
        <w:rPr>
          <w:rFonts w:eastAsiaTheme="minorHAnsi" w:cstheme="minorBidi"/>
          <w:szCs w:val="22"/>
          <w:lang w:bidi="ar-SA"/>
        </w:rPr>
        <w:t xml:space="preserve">but not used </w:t>
      </w:r>
      <w:r w:rsidR="00815B40">
        <w:rPr>
          <w:rFonts w:eastAsiaTheme="minorHAnsi" w:cstheme="minorBidi"/>
          <w:szCs w:val="22"/>
          <w:lang w:bidi="ar-SA"/>
        </w:rPr>
        <w:t>because the data were given in qua</w:t>
      </w:r>
      <w:r w:rsidR="00087957">
        <w:rPr>
          <w:rFonts w:eastAsiaTheme="minorHAnsi" w:cstheme="minorBidi"/>
          <w:szCs w:val="22"/>
          <w:lang w:bidi="ar-SA"/>
        </w:rPr>
        <w:t>r</w:t>
      </w:r>
      <w:r w:rsidR="00815B40">
        <w:rPr>
          <w:rFonts w:eastAsiaTheme="minorHAnsi" w:cstheme="minorBidi"/>
          <w:szCs w:val="22"/>
          <w:lang w:bidi="ar-SA"/>
        </w:rPr>
        <w:t>tiles</w:t>
      </w:r>
      <w:r w:rsidR="00087957">
        <w:rPr>
          <w:rFonts w:eastAsiaTheme="minorHAnsi" w:cstheme="minorBidi"/>
          <w:szCs w:val="22"/>
          <w:lang w:bidi="ar-SA"/>
        </w:rPr>
        <w:t xml:space="preserve"> not a linear regression coefficient; however this </w:t>
      </w:r>
      <w:r w:rsidRPr="000C4C17">
        <w:rPr>
          <w:rFonts w:eastAsiaTheme="minorHAnsi" w:cstheme="minorBidi"/>
          <w:szCs w:val="22"/>
          <w:lang w:bidi="ar-SA"/>
        </w:rPr>
        <w:t xml:space="preserve"> could have been </w:t>
      </w:r>
      <w:r w:rsidR="00815B40">
        <w:rPr>
          <w:rFonts w:eastAsiaTheme="minorHAnsi" w:cstheme="minorBidi"/>
          <w:szCs w:val="22"/>
          <w:lang w:bidi="ar-SA"/>
        </w:rPr>
        <w:t xml:space="preserve"> graph</w:t>
      </w:r>
      <w:r w:rsidR="00087957">
        <w:rPr>
          <w:rFonts w:eastAsiaTheme="minorHAnsi" w:cstheme="minorBidi"/>
          <w:szCs w:val="22"/>
          <w:lang w:bidi="ar-SA"/>
        </w:rPr>
        <w:t xml:space="preserve">ed. </w:t>
      </w:r>
      <w:r w:rsidR="00815B40">
        <w:rPr>
          <w:rFonts w:eastAsiaTheme="minorHAnsi" w:cstheme="minorBidi"/>
          <w:szCs w:val="22"/>
          <w:lang w:bidi="ar-SA"/>
        </w:rPr>
        <w:t xml:space="preserve"> </w:t>
      </w:r>
      <w:r w:rsidR="00C84A84" w:rsidRPr="0001306A">
        <w:rPr>
          <w:rFonts w:eastAsiaTheme="minorHAnsi" w:cstheme="minorBidi"/>
          <w:szCs w:val="22"/>
          <w:lang w:bidi="ar-SA"/>
        </w:rPr>
        <w:t xml:space="preserve">Bach </w:t>
      </w:r>
      <w:r w:rsidR="00180A32" w:rsidRPr="00180A32">
        <w:rPr>
          <w:rFonts w:eastAsiaTheme="minorHAnsi" w:cstheme="minorBidi"/>
          <w:i/>
          <w:szCs w:val="22"/>
          <w:lang w:bidi="ar-SA"/>
        </w:rPr>
        <w:t xml:space="preserve">et al. </w:t>
      </w:r>
      <w:r w:rsidR="00CC50B8" w:rsidRPr="0001306A">
        <w:rPr>
          <w:rFonts w:eastAsiaTheme="minorHAnsi" w:cstheme="minorBidi"/>
          <w:szCs w:val="22"/>
          <w:lang w:bidi="ar-SA"/>
        </w:rPr>
        <w:t xml:space="preserve"> </w:t>
      </w:r>
      <w:r w:rsidR="00C84A84" w:rsidRPr="0001306A">
        <w:rPr>
          <w:rFonts w:eastAsiaTheme="minorHAnsi" w:cstheme="minorBidi"/>
          <w:szCs w:val="22"/>
          <w:lang w:bidi="ar-SA"/>
        </w:rPr>
        <w:t xml:space="preserve">(2015) </w:t>
      </w:r>
      <w:r w:rsidRPr="00E12275">
        <w:rPr>
          <w:rFonts w:eastAsiaTheme="minorHAnsi" w:cstheme="minorBidi"/>
          <w:szCs w:val="22"/>
          <w:lang w:bidi="ar-SA"/>
        </w:rPr>
        <w:t>do not comment on wh</w:t>
      </w:r>
      <w:r w:rsidR="00087957" w:rsidRPr="00E12275">
        <w:rPr>
          <w:rFonts w:eastAsiaTheme="minorHAnsi" w:cstheme="minorBidi"/>
          <w:szCs w:val="22"/>
          <w:lang w:bidi="ar-SA"/>
        </w:rPr>
        <w:t xml:space="preserve">y </w:t>
      </w:r>
      <w:r w:rsidRPr="0001306A">
        <w:rPr>
          <w:rFonts w:eastAsiaTheme="minorHAnsi" w:cstheme="minorBidi"/>
          <w:szCs w:val="22"/>
          <w:lang w:bidi="ar-SA"/>
        </w:rPr>
        <w:t xml:space="preserve"> these studies were not </w:t>
      </w:r>
      <w:r w:rsidR="00087957" w:rsidRPr="0001306A">
        <w:rPr>
          <w:rFonts w:eastAsiaTheme="minorHAnsi" w:cstheme="minorBidi"/>
          <w:szCs w:val="22"/>
          <w:lang w:bidi="ar-SA"/>
        </w:rPr>
        <w:t>graphed even though</w:t>
      </w:r>
      <w:r w:rsidR="00087957">
        <w:rPr>
          <w:rFonts w:eastAsiaTheme="minorHAnsi" w:cstheme="minorBidi"/>
          <w:szCs w:val="22"/>
          <w:lang w:bidi="ar-SA"/>
        </w:rPr>
        <w:t xml:space="preserve"> </w:t>
      </w:r>
      <w:r w:rsidRPr="000C4C17">
        <w:rPr>
          <w:rFonts w:eastAsiaTheme="minorHAnsi" w:cstheme="minorBidi"/>
          <w:szCs w:val="22"/>
          <w:lang w:bidi="ar-SA"/>
        </w:rPr>
        <w:t xml:space="preserve"> it is common practice to include studies identified from reference lists of included studies or reviews</w:t>
      </w:r>
      <w:r w:rsidR="00EA0B9F">
        <w:rPr>
          <w:rFonts w:eastAsiaTheme="minorHAnsi" w:cstheme="minorBidi"/>
          <w:szCs w:val="22"/>
          <w:lang w:bidi="ar-SA"/>
        </w:rPr>
        <w:t>.</w:t>
      </w:r>
    </w:p>
    <w:p w14:paraId="02BA3EFF" w14:textId="77777777" w:rsidR="00F8101A" w:rsidRPr="000C4C17" w:rsidRDefault="00F8101A" w:rsidP="00A111E9">
      <w:pPr>
        <w:widowControl/>
        <w:rPr>
          <w:rFonts w:eastAsiaTheme="minorHAnsi" w:cstheme="minorBidi"/>
          <w:szCs w:val="22"/>
          <w:lang w:bidi="ar-SA"/>
        </w:rPr>
      </w:pPr>
    </w:p>
    <w:p w14:paraId="73272EEC" w14:textId="64A6FD77" w:rsidR="004837F1" w:rsidRDefault="004837F1" w:rsidP="00A111E9">
      <w:pPr>
        <w:widowControl/>
        <w:autoSpaceDE w:val="0"/>
        <w:autoSpaceDN w:val="0"/>
        <w:adjustRightInd w:val="0"/>
        <w:rPr>
          <w:rFonts w:eastAsiaTheme="minorHAnsi" w:cs="Arial"/>
          <w:szCs w:val="22"/>
          <w:lang w:bidi="ar-SA"/>
        </w:rPr>
      </w:pPr>
      <w:r>
        <w:rPr>
          <w:rFonts w:eastAsiaTheme="minorHAnsi" w:cs="Arial"/>
          <w:szCs w:val="22"/>
          <w:lang w:bidi="ar-SA"/>
        </w:rPr>
        <w:lastRenderedPageBreak/>
        <w:t xml:space="preserve">Bach </w:t>
      </w:r>
      <w:r w:rsidR="00180A32" w:rsidRPr="00180A32">
        <w:rPr>
          <w:rFonts w:eastAsiaTheme="minorHAnsi" w:cs="Arial"/>
          <w:i/>
          <w:szCs w:val="22"/>
          <w:lang w:bidi="ar-SA"/>
        </w:rPr>
        <w:t xml:space="preserve">et al. </w:t>
      </w:r>
      <w:r w:rsidR="00CC50B8">
        <w:rPr>
          <w:rFonts w:eastAsiaTheme="minorHAnsi" w:cs="Arial"/>
          <w:szCs w:val="22"/>
          <w:lang w:bidi="ar-SA"/>
        </w:rPr>
        <w:t xml:space="preserve"> </w:t>
      </w:r>
      <w:r>
        <w:rPr>
          <w:rFonts w:eastAsiaTheme="minorHAnsi" w:cs="Arial"/>
          <w:szCs w:val="22"/>
          <w:lang w:bidi="ar-SA"/>
        </w:rPr>
        <w:t>(2015)</w:t>
      </w:r>
      <w:r w:rsidR="00F8101A" w:rsidRPr="000C4C17">
        <w:rPr>
          <w:rFonts w:eastAsiaTheme="minorHAnsi" w:cs="Arial"/>
          <w:szCs w:val="22"/>
          <w:lang w:bidi="ar-SA"/>
        </w:rPr>
        <w:t xml:space="preserve"> conclude that</w:t>
      </w:r>
    </w:p>
    <w:p w14:paraId="5058663B" w14:textId="7F713609" w:rsidR="004837F1" w:rsidRDefault="004837F1" w:rsidP="00A111E9">
      <w:pPr>
        <w:widowControl/>
        <w:autoSpaceDE w:val="0"/>
        <w:autoSpaceDN w:val="0"/>
        <w:adjustRightInd w:val="0"/>
        <w:ind w:left="567"/>
        <w:rPr>
          <w:rFonts w:eastAsiaTheme="minorHAnsi" w:cs="Arial"/>
          <w:szCs w:val="22"/>
          <w:lang w:val="en-AU" w:bidi="ar-SA"/>
        </w:rPr>
      </w:pPr>
      <w:r>
        <w:rPr>
          <w:rFonts w:eastAsiaTheme="minorHAnsi" w:cs="Arial"/>
          <w:szCs w:val="22"/>
          <w:lang w:val="en-AU" w:bidi="ar-SA"/>
        </w:rPr>
        <w:t>“</w:t>
      </w:r>
      <w:r w:rsidR="006B1629" w:rsidRPr="000C4C17">
        <w:rPr>
          <w:rFonts w:eastAsiaTheme="minorHAnsi" w:cs="Arial"/>
          <w:szCs w:val="22"/>
          <w:lang w:val="en-AU" w:bidi="ar-SA"/>
        </w:rPr>
        <w:t>higher</w:t>
      </w:r>
      <w:r w:rsidR="00F8101A" w:rsidRPr="000C4C17">
        <w:rPr>
          <w:rFonts w:eastAsiaTheme="minorHAnsi" w:cs="Arial"/>
          <w:szCs w:val="22"/>
          <w:lang w:val="en-AU" w:bidi="ar-SA"/>
        </w:rPr>
        <w:t xml:space="preserve"> PFOA levels were associated with lower average birth weight in eight studies of a total of 5046 pregnancies, even though the magnitude and significance of associations differed. Data are insufficient to determine a safe lower PFOA exposure level, but statistically significant associations were only demonstrated when median serum or plasma levels during pregnancy were above approximately 3 ng/mL (Fei </w:t>
      </w:r>
      <w:r w:rsidR="00180A32" w:rsidRPr="00180A32">
        <w:rPr>
          <w:rFonts w:eastAsiaTheme="minorHAnsi" w:cs="Arial"/>
          <w:i/>
          <w:szCs w:val="22"/>
          <w:lang w:val="en-AU" w:bidi="ar-SA"/>
        </w:rPr>
        <w:t xml:space="preserve">et al. </w:t>
      </w:r>
      <w:r w:rsidR="00CC50B8">
        <w:rPr>
          <w:rFonts w:eastAsiaTheme="minorHAnsi" w:cs="Arial"/>
          <w:szCs w:val="22"/>
          <w:lang w:val="en-AU" w:bidi="ar-SA"/>
        </w:rPr>
        <w:t xml:space="preserve"> </w:t>
      </w:r>
      <w:r w:rsidR="00F8101A" w:rsidRPr="000C4C17">
        <w:rPr>
          <w:rFonts w:eastAsiaTheme="minorHAnsi" w:cs="Arial"/>
          <w:szCs w:val="22"/>
          <w:lang w:val="en-AU" w:bidi="ar-SA"/>
        </w:rPr>
        <w:t xml:space="preserve">2007, Maisonet </w:t>
      </w:r>
      <w:r w:rsidR="00180A32" w:rsidRPr="00180A32">
        <w:rPr>
          <w:rFonts w:eastAsiaTheme="minorHAnsi" w:cs="Arial"/>
          <w:i/>
          <w:szCs w:val="22"/>
          <w:lang w:val="en-AU" w:bidi="ar-SA"/>
        </w:rPr>
        <w:t xml:space="preserve">et al. </w:t>
      </w:r>
      <w:r w:rsidR="00CC50B8">
        <w:rPr>
          <w:rFonts w:eastAsiaTheme="minorHAnsi" w:cs="Arial"/>
          <w:szCs w:val="22"/>
          <w:lang w:val="en-AU" w:bidi="ar-SA"/>
        </w:rPr>
        <w:t xml:space="preserve"> </w:t>
      </w:r>
      <w:r w:rsidR="00F8101A" w:rsidRPr="000C4C17">
        <w:rPr>
          <w:rFonts w:eastAsiaTheme="minorHAnsi" w:cs="Arial"/>
          <w:szCs w:val="22"/>
          <w:lang w:val="en-AU" w:bidi="ar-SA"/>
        </w:rPr>
        <w:t xml:space="preserve">2012, Wu </w:t>
      </w:r>
      <w:r w:rsidR="00180A32" w:rsidRPr="00180A32">
        <w:rPr>
          <w:rFonts w:eastAsiaTheme="minorHAnsi" w:cs="Arial"/>
          <w:i/>
          <w:szCs w:val="22"/>
          <w:lang w:val="en-AU" w:bidi="ar-SA"/>
        </w:rPr>
        <w:t xml:space="preserve">et al. </w:t>
      </w:r>
      <w:r w:rsidR="00CC50B8">
        <w:rPr>
          <w:rFonts w:eastAsiaTheme="minorHAnsi" w:cs="Arial"/>
          <w:szCs w:val="22"/>
          <w:lang w:val="en-AU" w:bidi="ar-SA"/>
        </w:rPr>
        <w:t xml:space="preserve"> </w:t>
      </w:r>
      <w:r w:rsidR="00F8101A" w:rsidRPr="000C4C17">
        <w:rPr>
          <w:rFonts w:eastAsiaTheme="minorHAnsi" w:cs="Arial"/>
          <w:szCs w:val="22"/>
          <w:lang w:val="en-AU" w:bidi="ar-SA"/>
        </w:rPr>
        <w:t xml:space="preserve">2012). However, one study with median levels above this level found no significant association (Darrow </w:t>
      </w:r>
      <w:r w:rsidR="00180A32" w:rsidRPr="00180A32">
        <w:rPr>
          <w:rFonts w:eastAsiaTheme="minorHAnsi" w:cs="Arial"/>
          <w:i/>
          <w:szCs w:val="22"/>
          <w:lang w:val="en-AU" w:bidi="ar-SA"/>
        </w:rPr>
        <w:t xml:space="preserve">et al. </w:t>
      </w:r>
      <w:r w:rsidR="00CC50B8">
        <w:rPr>
          <w:rFonts w:eastAsiaTheme="minorHAnsi" w:cs="Arial"/>
          <w:szCs w:val="22"/>
          <w:lang w:val="en-AU" w:bidi="ar-SA"/>
        </w:rPr>
        <w:t xml:space="preserve"> </w:t>
      </w:r>
      <w:r w:rsidR="00F8101A" w:rsidRPr="000C4C17">
        <w:rPr>
          <w:rFonts w:eastAsiaTheme="minorHAnsi" w:cs="Arial"/>
          <w:szCs w:val="22"/>
          <w:lang w:val="en-AU" w:bidi="ar-SA"/>
        </w:rPr>
        <w:t xml:space="preserve">2013). The value of 3 ng/mL is similar to the present day average PFOA exposure in US women </w:t>
      </w:r>
      <w:r w:rsidR="00104C8E" w:rsidRPr="000C4C17">
        <w:rPr>
          <w:rFonts w:eastAsiaTheme="minorHAnsi" w:cs="Arial"/>
          <w:szCs w:val="22"/>
          <w:lang w:val="en-AU" w:bidi="ar-SA"/>
        </w:rPr>
        <w:t xml:space="preserve">of </w:t>
      </w:r>
      <w:r>
        <w:rPr>
          <w:rFonts w:eastAsiaTheme="minorHAnsi" w:cs="Arial"/>
          <w:szCs w:val="22"/>
          <w:lang w:val="en-AU" w:bidi="ar-SA"/>
        </w:rPr>
        <w:t>fertile age (Jain 2013).”</w:t>
      </w:r>
    </w:p>
    <w:p w14:paraId="2AB369CC" w14:textId="3AB3E70E" w:rsidR="00F8101A" w:rsidRPr="000C4C17" w:rsidRDefault="00F8101A" w:rsidP="00A111E9">
      <w:pPr>
        <w:widowControl/>
        <w:autoSpaceDE w:val="0"/>
        <w:autoSpaceDN w:val="0"/>
        <w:adjustRightInd w:val="0"/>
        <w:rPr>
          <w:rFonts w:eastAsiaTheme="minorHAnsi"/>
          <w:lang w:val="en-AU"/>
        </w:rPr>
      </w:pPr>
      <w:r w:rsidRPr="000C4C17">
        <w:rPr>
          <w:rFonts w:eastAsiaTheme="minorHAnsi" w:cs="Arial"/>
          <w:szCs w:val="22"/>
          <w:lang w:val="en-AU" w:bidi="ar-SA"/>
        </w:rPr>
        <w:t>However, whether or not any concentration is statistically significant depends on the range in the study, the variability and the numbers in the study. The</w:t>
      </w:r>
      <w:r w:rsidR="004837F1">
        <w:rPr>
          <w:rFonts w:eastAsiaTheme="minorHAnsi" w:cs="Arial"/>
          <w:szCs w:val="22"/>
          <w:lang w:val="en-AU" w:bidi="ar-SA"/>
        </w:rPr>
        <w:t xml:space="preserve"> authors were </w:t>
      </w:r>
      <w:r w:rsidRPr="000C4C17">
        <w:rPr>
          <w:rFonts w:eastAsiaTheme="minorHAnsi" w:cs="Arial"/>
          <w:szCs w:val="22"/>
          <w:lang w:val="en-AU" w:bidi="ar-SA"/>
        </w:rPr>
        <w:t>hampered by the inability to combine data with disparate reporting formats.</w:t>
      </w:r>
    </w:p>
    <w:p w14:paraId="3D4FD68E" w14:textId="41E3DDB6" w:rsidR="00F8101A" w:rsidRPr="000C4C17" w:rsidRDefault="00A366A0" w:rsidP="00A366A0">
      <w:pPr>
        <w:pStyle w:val="Heading5"/>
        <w:rPr>
          <w:rFonts w:eastAsiaTheme="majorEastAsia"/>
        </w:rPr>
      </w:pPr>
      <w:bookmarkStart w:id="524" w:name="_Toc468712792"/>
      <w:bookmarkStart w:id="525" w:name="_Toc468716484"/>
      <w:bookmarkStart w:id="526" w:name="_Toc468709471"/>
      <w:bookmarkStart w:id="527" w:name="_Toc468717771"/>
      <w:bookmarkStart w:id="528" w:name="_Toc468718415"/>
      <w:r>
        <w:t>U</w:t>
      </w:r>
      <w:r w:rsidR="00F8101A" w:rsidRPr="000C4C17">
        <w:rPr>
          <w:rFonts w:eastAsiaTheme="majorEastAsia"/>
        </w:rPr>
        <w:t>pdate</w:t>
      </w:r>
      <w:bookmarkEnd w:id="524"/>
      <w:bookmarkEnd w:id="525"/>
      <w:bookmarkEnd w:id="526"/>
      <w:bookmarkEnd w:id="527"/>
      <w:bookmarkEnd w:id="528"/>
    </w:p>
    <w:p w14:paraId="44EB37B8" w14:textId="57930E2B" w:rsidR="00F8101A" w:rsidRPr="000C4C17" w:rsidRDefault="00F8101A" w:rsidP="00A111E9">
      <w:pPr>
        <w:widowControl/>
        <w:rPr>
          <w:rFonts w:eastAsiaTheme="minorHAnsi" w:cstheme="minorBidi"/>
          <w:szCs w:val="22"/>
          <w:lang w:bidi="ar-SA"/>
        </w:rPr>
      </w:pPr>
      <w:r w:rsidRPr="000C4C17">
        <w:rPr>
          <w:rFonts w:eastAsiaTheme="minorHAnsi" w:cstheme="minorBidi"/>
          <w:szCs w:val="22"/>
          <w:lang w:bidi="ar-SA"/>
        </w:rPr>
        <w:t xml:space="preserve">FSANZ has approached </w:t>
      </w:r>
      <w:r w:rsidR="00104C8E" w:rsidRPr="000C4C17">
        <w:rPr>
          <w:rFonts w:eastAsiaTheme="minorHAnsi" w:cstheme="minorBidi"/>
          <w:szCs w:val="22"/>
          <w:lang w:bidi="ar-SA"/>
        </w:rPr>
        <w:t>updating</w:t>
      </w:r>
      <w:r w:rsidRPr="000C4C17">
        <w:rPr>
          <w:rFonts w:eastAsiaTheme="minorHAnsi" w:cstheme="minorBidi"/>
          <w:szCs w:val="22"/>
          <w:lang w:bidi="ar-SA"/>
        </w:rPr>
        <w:t xml:space="preserve"> the literature review in two ways because it is not clear whether the linear assumption </w:t>
      </w:r>
      <w:r w:rsidR="00EA0B9F">
        <w:rPr>
          <w:rFonts w:eastAsiaTheme="minorHAnsi" w:cstheme="minorBidi"/>
          <w:szCs w:val="22"/>
          <w:lang w:bidi="ar-SA"/>
        </w:rPr>
        <w:t xml:space="preserve">made by </w:t>
      </w:r>
      <w:r w:rsidRPr="000C4C17">
        <w:rPr>
          <w:rFonts w:eastAsiaTheme="minorHAnsi" w:cstheme="minorBidi"/>
          <w:szCs w:val="22"/>
          <w:lang w:bidi="ar-SA"/>
        </w:rPr>
        <w:t xml:space="preserve">Johnson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 xml:space="preserve">(2014) can be justified. </w:t>
      </w:r>
      <w:r w:rsidR="00EA0B9F">
        <w:rPr>
          <w:rFonts w:eastAsiaTheme="minorHAnsi" w:cstheme="minorBidi"/>
          <w:szCs w:val="22"/>
          <w:lang w:bidi="ar-SA"/>
        </w:rPr>
        <w:t>First,</w:t>
      </w:r>
      <w:r w:rsidRPr="000C4C17">
        <w:rPr>
          <w:rFonts w:eastAsiaTheme="minorHAnsi" w:cstheme="minorBidi"/>
          <w:szCs w:val="22"/>
          <w:lang w:bidi="ar-SA"/>
        </w:rPr>
        <w:t xml:space="preserve"> the meta-analysis of Johnson </w:t>
      </w:r>
      <w:r w:rsidR="00180A32" w:rsidRPr="00180A32">
        <w:rPr>
          <w:rFonts w:eastAsiaTheme="minorHAnsi" w:cstheme="minorBidi"/>
          <w:i/>
          <w:szCs w:val="22"/>
          <w:lang w:bidi="ar-SA"/>
        </w:rPr>
        <w:t xml:space="preserve">et al. </w:t>
      </w:r>
      <w:r w:rsidR="00EA0B9F">
        <w:rPr>
          <w:rFonts w:eastAsiaTheme="minorHAnsi" w:cstheme="minorBidi"/>
          <w:szCs w:val="22"/>
          <w:lang w:bidi="ar-SA"/>
        </w:rPr>
        <w:t xml:space="preserve"> (2014) </w:t>
      </w:r>
      <w:r w:rsidRPr="000C4C17">
        <w:rPr>
          <w:rFonts w:eastAsiaTheme="minorHAnsi" w:cstheme="minorBidi"/>
          <w:szCs w:val="22"/>
          <w:lang w:bidi="ar-SA"/>
        </w:rPr>
        <w:t xml:space="preserve">has been updated </w:t>
      </w:r>
      <w:r w:rsidR="008741B5">
        <w:rPr>
          <w:rFonts w:eastAsiaTheme="minorHAnsi" w:cstheme="minorBidi"/>
          <w:szCs w:val="22"/>
          <w:lang w:bidi="ar-SA"/>
        </w:rPr>
        <w:t xml:space="preserve">(see Annex) </w:t>
      </w:r>
      <w:r w:rsidRPr="000C4C17">
        <w:rPr>
          <w:rFonts w:eastAsiaTheme="minorHAnsi" w:cstheme="minorBidi"/>
          <w:szCs w:val="22"/>
          <w:lang w:bidi="ar-SA"/>
        </w:rPr>
        <w:t xml:space="preserve">with two studies </w:t>
      </w:r>
      <w:r w:rsidR="008741B5">
        <w:rPr>
          <w:rFonts w:eastAsiaTheme="minorHAnsi" w:cstheme="minorBidi"/>
          <w:szCs w:val="22"/>
          <w:lang w:bidi="ar-SA"/>
        </w:rPr>
        <w:t>that</w:t>
      </w:r>
      <w:r w:rsidRPr="000C4C17">
        <w:rPr>
          <w:rFonts w:eastAsiaTheme="minorHAnsi" w:cstheme="minorBidi"/>
          <w:szCs w:val="22"/>
          <w:lang w:bidi="ar-SA"/>
        </w:rPr>
        <w:t xml:space="preserve"> meet </w:t>
      </w:r>
      <w:r w:rsidR="00EA0B9F">
        <w:rPr>
          <w:rFonts w:eastAsiaTheme="minorHAnsi" w:cstheme="minorBidi"/>
          <w:szCs w:val="22"/>
          <w:lang w:bidi="ar-SA"/>
        </w:rPr>
        <w:t xml:space="preserve">the </w:t>
      </w:r>
      <w:r w:rsidRPr="000C4C17">
        <w:rPr>
          <w:rFonts w:eastAsiaTheme="minorHAnsi" w:cstheme="minorBidi"/>
          <w:szCs w:val="22"/>
          <w:lang w:bidi="ar-SA"/>
        </w:rPr>
        <w:t xml:space="preserve">inclusion </w:t>
      </w:r>
      <w:r w:rsidR="00EA0B9F">
        <w:rPr>
          <w:rFonts w:eastAsiaTheme="minorHAnsi" w:cstheme="minorBidi"/>
          <w:szCs w:val="22"/>
          <w:lang w:bidi="ar-SA"/>
        </w:rPr>
        <w:t xml:space="preserve">and reporting format </w:t>
      </w:r>
      <w:r w:rsidRPr="000C4C17">
        <w:rPr>
          <w:rFonts w:eastAsiaTheme="minorHAnsi" w:cstheme="minorBidi"/>
          <w:szCs w:val="22"/>
          <w:lang w:bidi="ar-SA"/>
        </w:rPr>
        <w:t>criteria</w:t>
      </w:r>
      <w:r w:rsidR="00EA0B9F">
        <w:rPr>
          <w:rFonts w:eastAsiaTheme="minorHAnsi" w:cstheme="minorBidi"/>
          <w:szCs w:val="22"/>
          <w:lang w:bidi="ar-SA"/>
        </w:rPr>
        <w:t xml:space="preserve"> </w:t>
      </w:r>
      <w:r w:rsidR="00160CD9">
        <w:rPr>
          <w:rFonts w:eastAsiaTheme="minorHAnsi" w:cstheme="minorBidi"/>
          <w:szCs w:val="22"/>
          <w:lang w:bidi="ar-SA"/>
        </w:rPr>
        <w:t xml:space="preserve">(a linear regression coefficient) </w:t>
      </w:r>
      <w:r w:rsidR="00EA0B9F">
        <w:rPr>
          <w:rFonts w:eastAsiaTheme="minorHAnsi" w:cstheme="minorBidi"/>
          <w:szCs w:val="22"/>
          <w:lang w:bidi="ar-SA"/>
        </w:rPr>
        <w:t xml:space="preserve">described by Johnson </w:t>
      </w:r>
      <w:r w:rsidR="00180A32" w:rsidRPr="00180A32">
        <w:rPr>
          <w:rFonts w:eastAsiaTheme="minorHAnsi" w:cstheme="minorBidi"/>
          <w:i/>
          <w:szCs w:val="22"/>
          <w:lang w:bidi="ar-SA"/>
        </w:rPr>
        <w:t xml:space="preserve">et al. </w:t>
      </w:r>
      <w:r w:rsidR="00EA0B9F">
        <w:rPr>
          <w:rFonts w:eastAsiaTheme="minorHAnsi" w:cstheme="minorBidi"/>
          <w:szCs w:val="22"/>
          <w:lang w:bidi="ar-SA"/>
        </w:rPr>
        <w:t xml:space="preserve"> (2015)</w:t>
      </w:r>
      <w:r w:rsidRPr="000C4C17">
        <w:rPr>
          <w:rFonts w:eastAsiaTheme="minorHAnsi" w:cstheme="minorBidi"/>
          <w:szCs w:val="22"/>
          <w:lang w:bidi="ar-SA"/>
        </w:rPr>
        <w:t xml:space="preserve">. Secondly, </w:t>
      </w:r>
      <w:r w:rsidR="00EA0B9F">
        <w:rPr>
          <w:rFonts w:eastAsiaTheme="minorHAnsi" w:cstheme="minorBidi"/>
          <w:szCs w:val="22"/>
          <w:lang w:bidi="ar-SA"/>
        </w:rPr>
        <w:t xml:space="preserve">additional studies have been added to </w:t>
      </w:r>
      <w:r w:rsidRPr="000C4C17">
        <w:rPr>
          <w:rFonts w:eastAsiaTheme="minorHAnsi" w:cstheme="minorBidi"/>
          <w:szCs w:val="22"/>
          <w:lang w:bidi="ar-SA"/>
        </w:rPr>
        <w:t xml:space="preserve">the graph of Bach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(2015)</w:t>
      </w:r>
      <w:r w:rsidR="00EA0B9F">
        <w:rPr>
          <w:rFonts w:eastAsiaTheme="minorHAnsi" w:cstheme="minorBidi"/>
          <w:szCs w:val="22"/>
          <w:lang w:bidi="ar-SA"/>
        </w:rPr>
        <w:t>.</w:t>
      </w:r>
      <w:r w:rsidRPr="000C4C17">
        <w:rPr>
          <w:rFonts w:eastAsiaTheme="minorHAnsi" w:cstheme="minorBidi"/>
          <w:szCs w:val="22"/>
          <w:lang w:bidi="ar-SA"/>
        </w:rPr>
        <w:t xml:space="preserve"> New studies identified by FSANZ have been added when they reported </w:t>
      </w:r>
      <w:r w:rsidR="006013C9">
        <w:rPr>
          <w:rFonts w:eastAsiaTheme="minorHAnsi" w:cstheme="minorBidi"/>
          <w:szCs w:val="22"/>
          <w:lang w:bidi="ar-SA"/>
        </w:rPr>
        <w:t>birthweight results</w:t>
      </w:r>
      <w:r w:rsidR="00EA0B9F">
        <w:rPr>
          <w:rFonts w:eastAsiaTheme="minorHAnsi" w:cstheme="minorBidi"/>
          <w:szCs w:val="22"/>
          <w:lang w:bidi="ar-SA"/>
        </w:rPr>
        <w:t xml:space="preserve"> as quantiles or regression coefficients</w:t>
      </w:r>
      <w:r w:rsidR="00160CD9">
        <w:rPr>
          <w:rFonts w:eastAsiaTheme="minorHAnsi" w:cstheme="minorBidi"/>
          <w:szCs w:val="22"/>
          <w:lang w:bidi="ar-SA"/>
        </w:rPr>
        <w:t>, except those published in late 2016 that were identified in the final search (results of these studies are tabulated together with results of studies which can only be included qualitatively)</w:t>
      </w:r>
      <w:r w:rsidR="00EA0B9F">
        <w:rPr>
          <w:rFonts w:eastAsiaTheme="minorHAnsi" w:cstheme="minorBidi"/>
          <w:szCs w:val="22"/>
          <w:lang w:bidi="ar-SA"/>
        </w:rPr>
        <w:t xml:space="preserve">. The </w:t>
      </w:r>
      <w:r w:rsidRPr="000C4C17">
        <w:rPr>
          <w:rFonts w:eastAsiaTheme="minorHAnsi" w:cstheme="minorBidi"/>
          <w:szCs w:val="22"/>
          <w:lang w:bidi="ar-SA"/>
        </w:rPr>
        <w:t xml:space="preserve">studies </w:t>
      </w:r>
      <w:r w:rsidR="00EA0B9F">
        <w:rPr>
          <w:rFonts w:eastAsiaTheme="minorHAnsi" w:cstheme="minorBidi"/>
          <w:szCs w:val="22"/>
          <w:lang w:bidi="ar-SA"/>
        </w:rPr>
        <w:t xml:space="preserve">shown by Johnson </w:t>
      </w:r>
      <w:r w:rsidR="00180A32" w:rsidRPr="00180A32">
        <w:rPr>
          <w:rFonts w:eastAsiaTheme="minorHAnsi" w:cstheme="minorBidi"/>
          <w:i/>
          <w:szCs w:val="22"/>
          <w:lang w:bidi="ar-SA"/>
        </w:rPr>
        <w:t xml:space="preserve">et al. </w:t>
      </w:r>
      <w:r w:rsidR="00EA0B9F">
        <w:rPr>
          <w:rFonts w:eastAsiaTheme="minorHAnsi" w:cstheme="minorBidi"/>
          <w:szCs w:val="22"/>
          <w:lang w:bidi="ar-SA"/>
        </w:rPr>
        <w:t xml:space="preserve"> (2014) but </w:t>
      </w:r>
      <w:r w:rsidRPr="000C4C17">
        <w:rPr>
          <w:rFonts w:eastAsiaTheme="minorHAnsi" w:cstheme="minorBidi"/>
          <w:szCs w:val="22"/>
          <w:lang w:bidi="ar-SA"/>
        </w:rPr>
        <w:t xml:space="preserve">not previously </w:t>
      </w:r>
      <w:r w:rsidR="00EA0B9F">
        <w:rPr>
          <w:rFonts w:eastAsiaTheme="minorHAnsi" w:cstheme="minorBidi"/>
          <w:szCs w:val="22"/>
          <w:lang w:bidi="ar-SA"/>
        </w:rPr>
        <w:t xml:space="preserve">graphed by Bach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00EA0B9F">
        <w:rPr>
          <w:rFonts w:eastAsiaTheme="minorHAnsi" w:cstheme="minorBidi"/>
          <w:szCs w:val="22"/>
          <w:lang w:bidi="ar-SA"/>
        </w:rPr>
        <w:t>(2015)</w:t>
      </w:r>
      <w:r w:rsidRPr="000C4C17">
        <w:rPr>
          <w:rFonts w:eastAsiaTheme="minorHAnsi" w:cstheme="minorBidi"/>
          <w:szCs w:val="22"/>
          <w:lang w:bidi="ar-SA"/>
        </w:rPr>
        <w:t xml:space="preserve"> have </w:t>
      </w:r>
      <w:r w:rsidR="00EA0B9F">
        <w:rPr>
          <w:rFonts w:eastAsiaTheme="minorHAnsi" w:cstheme="minorBidi"/>
          <w:szCs w:val="22"/>
          <w:lang w:bidi="ar-SA"/>
        </w:rPr>
        <w:t xml:space="preserve">also </w:t>
      </w:r>
      <w:r w:rsidRPr="000C4C17">
        <w:rPr>
          <w:rFonts w:eastAsiaTheme="minorHAnsi" w:cstheme="minorBidi"/>
          <w:szCs w:val="22"/>
          <w:lang w:bidi="ar-SA"/>
        </w:rPr>
        <w:t xml:space="preserve">been added. FSANZ notes that Bach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 xml:space="preserve">(2015) plotted the combined retrospective and prospective results of Darrow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(2013) whereas FSANZ would choose the analysis that was restricted to the prospective births</w:t>
      </w:r>
      <w:r w:rsidR="00DF2DBC">
        <w:rPr>
          <w:rFonts w:eastAsiaTheme="minorHAnsi" w:cstheme="minorBidi"/>
          <w:szCs w:val="22"/>
          <w:lang w:bidi="ar-SA"/>
        </w:rPr>
        <w:t xml:space="preserve"> (see Annex).</w:t>
      </w:r>
      <w:r w:rsidRPr="000C4C17">
        <w:rPr>
          <w:rFonts w:eastAsiaTheme="minorHAnsi" w:cstheme="minorBidi"/>
          <w:szCs w:val="22"/>
          <w:lang w:bidi="ar-SA"/>
        </w:rPr>
        <w:t xml:space="preserve"> For the visual presentation, there is not much difference and FSANZ has not re-plotted the </w:t>
      </w:r>
      <w:r w:rsidR="00EA0B9F">
        <w:rPr>
          <w:rFonts w:eastAsiaTheme="minorHAnsi" w:cstheme="minorBidi"/>
          <w:szCs w:val="22"/>
          <w:lang w:bidi="ar-SA"/>
        </w:rPr>
        <w:t xml:space="preserve">entire graph. </w:t>
      </w:r>
      <w:r w:rsidRPr="000C4C17">
        <w:rPr>
          <w:rFonts w:eastAsiaTheme="minorHAnsi" w:cstheme="minorBidi"/>
          <w:szCs w:val="22"/>
          <w:lang w:bidi="ar-SA"/>
        </w:rPr>
        <w:t xml:space="preserve">However, for the update of the meta-analysis, the prospective results from Darrow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 xml:space="preserve">(2013) have been </w:t>
      </w:r>
      <w:r w:rsidR="00DF2DBC">
        <w:rPr>
          <w:rFonts w:eastAsiaTheme="minorHAnsi" w:cstheme="minorBidi"/>
          <w:szCs w:val="22"/>
          <w:lang w:bidi="ar-SA"/>
        </w:rPr>
        <w:t>used</w:t>
      </w:r>
      <w:r w:rsidRPr="000C4C17">
        <w:rPr>
          <w:rFonts w:eastAsiaTheme="minorHAnsi" w:cstheme="minorBidi"/>
          <w:szCs w:val="22"/>
          <w:lang w:bidi="ar-SA"/>
        </w:rPr>
        <w:t>.</w:t>
      </w:r>
    </w:p>
    <w:p w14:paraId="0EC56DD5" w14:textId="77777777" w:rsidR="00F8101A" w:rsidRPr="000C4C17" w:rsidRDefault="00F8101A" w:rsidP="00A111E9">
      <w:pPr>
        <w:widowControl/>
        <w:rPr>
          <w:rFonts w:eastAsiaTheme="minorHAnsi" w:cstheme="minorBidi"/>
          <w:szCs w:val="22"/>
          <w:lang w:bidi="ar-SA"/>
        </w:rPr>
      </w:pPr>
    </w:p>
    <w:p w14:paraId="47132BA4" w14:textId="2F68E3A2" w:rsidR="00F8101A" w:rsidRPr="000C4C17" w:rsidRDefault="00F8101A" w:rsidP="00A111E9">
      <w:pPr>
        <w:widowControl/>
        <w:rPr>
          <w:rFonts w:eastAsiaTheme="minorHAnsi" w:cstheme="minorBidi"/>
          <w:szCs w:val="22"/>
          <w:lang w:bidi="ar-SA"/>
        </w:rPr>
      </w:pPr>
      <w:r w:rsidRPr="000C4C17">
        <w:rPr>
          <w:rFonts w:eastAsiaTheme="minorHAnsi" w:cstheme="minorBidi"/>
          <w:szCs w:val="22"/>
          <w:lang w:bidi="ar-SA"/>
        </w:rPr>
        <w:t xml:space="preserve">Figure </w:t>
      </w:r>
      <w:r w:rsidR="006B1629" w:rsidRPr="000C4C17">
        <w:rPr>
          <w:rFonts w:eastAsiaTheme="minorHAnsi" w:cstheme="minorBidi"/>
          <w:szCs w:val="22"/>
          <w:lang w:bidi="ar-SA"/>
        </w:rPr>
        <w:t>A1.</w:t>
      </w:r>
      <w:r w:rsidRPr="000C4C17">
        <w:rPr>
          <w:rFonts w:eastAsiaTheme="minorHAnsi" w:cstheme="minorBidi"/>
          <w:szCs w:val="22"/>
          <w:lang w:bidi="ar-SA"/>
        </w:rPr>
        <w:t xml:space="preserve">4 shows the updated meta-analysis which contains two additional studies </w:t>
      </w:r>
      <w:r w:rsidR="00376729" w:rsidRPr="000C4C17">
        <w:rPr>
          <w:rFonts w:eastAsiaTheme="minorHAnsi" w:cstheme="minorBidi"/>
          <w:szCs w:val="22"/>
          <w:lang w:bidi="ar-SA"/>
        </w:rPr>
        <w:t xml:space="preserve">(Darrow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00376729" w:rsidRPr="000C4C17">
        <w:rPr>
          <w:rFonts w:eastAsiaTheme="minorHAnsi" w:cstheme="minorBidi"/>
          <w:szCs w:val="22"/>
          <w:lang w:bidi="ar-SA"/>
        </w:rPr>
        <w:t xml:space="preserve">2013; Bach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 xml:space="preserve">2016). </w:t>
      </w:r>
      <w:r w:rsidR="008036AC" w:rsidRPr="000C4C17">
        <w:rPr>
          <w:rFonts w:eastAsiaTheme="minorHAnsi" w:cstheme="minorBidi"/>
          <w:szCs w:val="22"/>
          <w:lang w:bidi="ar-SA"/>
        </w:rPr>
        <w:t>The</w:t>
      </w:r>
      <w:r w:rsidR="008036AC">
        <w:rPr>
          <w:rFonts w:eastAsiaTheme="minorHAnsi" w:cstheme="minorBidi"/>
          <w:szCs w:val="22"/>
          <w:lang w:bidi="ar-SA"/>
        </w:rPr>
        <w:t xml:space="preserve"> Annex</w:t>
      </w:r>
      <w:r w:rsidR="008036AC" w:rsidRPr="000C4C17">
        <w:rPr>
          <w:rFonts w:eastAsiaTheme="minorHAnsi" w:cstheme="minorBidi"/>
          <w:szCs w:val="22"/>
          <w:lang w:bidi="ar-SA"/>
        </w:rPr>
        <w:t xml:space="preserve"> shows </w:t>
      </w:r>
      <w:r w:rsidR="008036AC">
        <w:rPr>
          <w:rFonts w:eastAsiaTheme="minorHAnsi" w:cstheme="minorBidi"/>
          <w:szCs w:val="22"/>
          <w:lang w:bidi="ar-SA"/>
        </w:rPr>
        <w:t xml:space="preserve">a low overall </w:t>
      </w:r>
      <w:r w:rsidR="008036AC" w:rsidRPr="000C4C17">
        <w:rPr>
          <w:rFonts w:eastAsiaTheme="minorHAnsi" w:cstheme="minorBidi"/>
          <w:szCs w:val="22"/>
          <w:lang w:bidi="ar-SA"/>
        </w:rPr>
        <w:t xml:space="preserve">risk of bias </w:t>
      </w:r>
      <w:r w:rsidR="008036AC">
        <w:rPr>
          <w:rFonts w:eastAsiaTheme="minorHAnsi" w:cstheme="minorBidi"/>
          <w:szCs w:val="22"/>
          <w:lang w:bidi="ar-SA"/>
        </w:rPr>
        <w:t xml:space="preserve">for each of </w:t>
      </w:r>
      <w:r w:rsidR="008036AC" w:rsidRPr="000C4C17">
        <w:rPr>
          <w:rFonts w:eastAsiaTheme="minorHAnsi" w:cstheme="minorBidi"/>
          <w:szCs w:val="22"/>
          <w:lang w:bidi="ar-SA"/>
        </w:rPr>
        <w:t xml:space="preserve"> these studies using the criteria of Johnson </w:t>
      </w:r>
      <w:r w:rsidR="00180A32" w:rsidRPr="00180A32">
        <w:rPr>
          <w:rFonts w:eastAsiaTheme="minorHAnsi" w:cstheme="minorBidi"/>
          <w:i/>
          <w:szCs w:val="22"/>
          <w:lang w:bidi="ar-SA"/>
        </w:rPr>
        <w:t xml:space="preserve">et al. </w:t>
      </w:r>
      <w:r w:rsidR="008036AC">
        <w:rPr>
          <w:rFonts w:eastAsiaTheme="minorHAnsi" w:cstheme="minorBidi"/>
          <w:szCs w:val="22"/>
          <w:lang w:bidi="ar-SA"/>
        </w:rPr>
        <w:t xml:space="preserve"> </w:t>
      </w:r>
      <w:r w:rsidR="008036AC" w:rsidRPr="000C4C17">
        <w:rPr>
          <w:rFonts w:eastAsiaTheme="minorHAnsi" w:cstheme="minorBidi"/>
          <w:szCs w:val="22"/>
          <w:lang w:bidi="ar-SA"/>
        </w:rPr>
        <w:t xml:space="preserve">(2014). </w:t>
      </w:r>
      <w:r w:rsidRPr="000C4C17">
        <w:rPr>
          <w:rFonts w:eastAsiaTheme="minorHAnsi" w:cstheme="minorBidi"/>
          <w:szCs w:val="22"/>
          <w:lang w:bidi="ar-SA"/>
        </w:rPr>
        <w:t xml:space="preserve">It is notable that neither of the new studies found an inverse association between PFOA and birthweight. </w:t>
      </w:r>
      <w:r w:rsidR="00C62489">
        <w:rPr>
          <w:rFonts w:eastAsiaTheme="minorHAnsi" w:cstheme="minorBidi"/>
          <w:szCs w:val="22"/>
          <w:lang w:bidi="ar-SA"/>
        </w:rPr>
        <w:t>Both of these had larger sample</w:t>
      </w:r>
      <w:r w:rsidRPr="000C4C17">
        <w:rPr>
          <w:rFonts w:eastAsiaTheme="minorHAnsi" w:cstheme="minorBidi"/>
          <w:szCs w:val="22"/>
          <w:lang w:bidi="ar-SA"/>
        </w:rPr>
        <w:t xml:space="preserve"> sizes than the studies already included in the meta-analysis except for Fei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 xml:space="preserve">(2007) and Whitworth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(2012). Adding these studies has altered the overall estimate of effect to -11.9 g (95% CI: -21.6 to -2.2 g) birthweight per ng/mL but has increased the heterogeneity among the studies I</w:t>
      </w:r>
      <w:r w:rsidRPr="000C4C17">
        <w:rPr>
          <w:rFonts w:eastAsiaTheme="minorHAnsi" w:cstheme="minorBidi"/>
          <w:szCs w:val="22"/>
          <w:vertAlign w:val="superscript"/>
          <w:lang w:bidi="ar-SA"/>
        </w:rPr>
        <w:t>2</w:t>
      </w:r>
      <w:r w:rsidRPr="000C4C17">
        <w:rPr>
          <w:rFonts w:eastAsiaTheme="minorHAnsi" w:cstheme="minorBidi"/>
          <w:szCs w:val="22"/>
          <w:lang w:bidi="ar-SA"/>
        </w:rPr>
        <w:t xml:space="preserve"> = 70%).</w:t>
      </w:r>
    </w:p>
    <w:p w14:paraId="4EA91580" w14:textId="77777777" w:rsidR="004810BF" w:rsidRPr="000C4C17" w:rsidRDefault="004810BF" w:rsidP="00A111E9">
      <w:pPr>
        <w:widowControl/>
        <w:rPr>
          <w:rFonts w:eastAsiaTheme="minorHAnsi" w:cstheme="minorBidi"/>
          <w:szCs w:val="22"/>
          <w:lang w:bidi="ar-SA"/>
        </w:rPr>
      </w:pPr>
    </w:p>
    <w:p w14:paraId="4100B57C" w14:textId="49D4AF2D" w:rsidR="00342801" w:rsidRDefault="00F8101A" w:rsidP="00A111E9">
      <w:pPr>
        <w:widowControl/>
        <w:rPr>
          <w:rFonts w:eastAsiaTheme="minorHAnsi" w:cstheme="minorBidi"/>
          <w:szCs w:val="22"/>
          <w:lang w:bidi="ar-SA"/>
        </w:rPr>
      </w:pPr>
      <w:r w:rsidRPr="000C4C17">
        <w:rPr>
          <w:rFonts w:eastAsiaTheme="minorHAnsi" w:cstheme="minorBidi"/>
          <w:szCs w:val="22"/>
          <w:lang w:bidi="ar-SA"/>
        </w:rPr>
        <w:t xml:space="preserve">Figure </w:t>
      </w:r>
      <w:r w:rsidR="006B1629" w:rsidRPr="000C4C17">
        <w:rPr>
          <w:rFonts w:eastAsiaTheme="minorHAnsi" w:cstheme="minorBidi"/>
          <w:szCs w:val="22"/>
          <w:lang w:bidi="ar-SA"/>
        </w:rPr>
        <w:t>A1.</w:t>
      </w:r>
      <w:r w:rsidRPr="000C4C17">
        <w:rPr>
          <w:rFonts w:eastAsiaTheme="minorHAnsi" w:cstheme="minorBidi"/>
          <w:szCs w:val="22"/>
          <w:lang w:bidi="ar-SA"/>
        </w:rPr>
        <w:t xml:space="preserve">5 shows the update of the graph from Bach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 xml:space="preserve">(2015). It should be noted that Fromme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(201</w:t>
      </w:r>
      <w:r w:rsidR="007577FB">
        <w:rPr>
          <w:rFonts w:eastAsiaTheme="minorHAnsi" w:cstheme="minorBidi"/>
          <w:szCs w:val="22"/>
          <w:lang w:bidi="ar-SA"/>
        </w:rPr>
        <w:t>0</w:t>
      </w:r>
      <w:r w:rsidRPr="000C4C17">
        <w:rPr>
          <w:rFonts w:eastAsiaTheme="minorHAnsi" w:cstheme="minorBidi"/>
          <w:szCs w:val="22"/>
          <w:lang w:bidi="ar-SA"/>
        </w:rPr>
        <w:t xml:space="preserve">) and Haldorsson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 xml:space="preserve">(2012) </w:t>
      </w:r>
      <w:r w:rsidR="00C62489">
        <w:rPr>
          <w:rFonts w:eastAsiaTheme="minorHAnsi" w:cstheme="minorBidi"/>
          <w:szCs w:val="22"/>
          <w:lang w:bidi="ar-SA"/>
        </w:rPr>
        <w:t>show</w:t>
      </w:r>
      <w:r w:rsidRPr="000C4C17">
        <w:rPr>
          <w:rFonts w:eastAsiaTheme="minorHAnsi" w:cstheme="minorBidi"/>
          <w:szCs w:val="22"/>
          <w:lang w:bidi="ar-SA"/>
        </w:rPr>
        <w:t xml:space="preserve"> crude results that have not been adjusted for any confounders. The narrow range over which some of the results have been </w:t>
      </w:r>
      <w:r w:rsidR="008036AC">
        <w:rPr>
          <w:rFonts w:eastAsiaTheme="minorHAnsi" w:cstheme="minorBidi"/>
          <w:szCs w:val="22"/>
          <w:lang w:bidi="ar-SA"/>
        </w:rPr>
        <w:t>analysed</w:t>
      </w:r>
      <w:r w:rsidRPr="000C4C17">
        <w:rPr>
          <w:rFonts w:eastAsiaTheme="minorHAnsi" w:cstheme="minorBidi"/>
          <w:szCs w:val="22"/>
          <w:lang w:bidi="ar-SA"/>
        </w:rPr>
        <w:t xml:space="preserve"> in the various studies is immediately apparent. </w:t>
      </w:r>
      <w:r w:rsidR="007577FB">
        <w:rPr>
          <w:rFonts w:eastAsiaTheme="minorHAnsi" w:cstheme="minorBidi"/>
          <w:szCs w:val="22"/>
          <w:lang w:bidi="ar-SA"/>
        </w:rPr>
        <w:t>For example the interquartile range in</w:t>
      </w:r>
      <w:r w:rsidR="00465BF2">
        <w:rPr>
          <w:rFonts w:eastAsiaTheme="minorHAnsi" w:cstheme="minorBidi"/>
          <w:szCs w:val="22"/>
          <w:lang w:bidi="ar-SA"/>
        </w:rPr>
        <w:t xml:space="preserve"> </w:t>
      </w:r>
      <w:r w:rsidR="00465BF2" w:rsidRPr="00465BF2">
        <w:rPr>
          <w:rFonts w:eastAsiaTheme="minorHAnsi" w:cstheme="minorBidi"/>
          <w:szCs w:val="22"/>
          <w:lang w:bidi="ar-SA"/>
        </w:rPr>
        <w:t xml:space="preserve">Kim S </w:t>
      </w:r>
      <w:r w:rsidR="00180A32" w:rsidRPr="00180A32">
        <w:rPr>
          <w:rFonts w:eastAsiaTheme="minorHAnsi" w:cstheme="minorBidi"/>
          <w:i/>
          <w:szCs w:val="22"/>
          <w:lang w:bidi="ar-SA"/>
        </w:rPr>
        <w:t xml:space="preserve">et al. </w:t>
      </w:r>
      <w:r w:rsidR="00465BF2" w:rsidRPr="00465BF2">
        <w:rPr>
          <w:rFonts w:eastAsiaTheme="minorHAnsi" w:cstheme="minorBidi"/>
          <w:szCs w:val="22"/>
          <w:lang w:bidi="ar-SA"/>
        </w:rPr>
        <w:t xml:space="preserve"> (2010) was less than 1 ng/mL and so the large apparent effect</w:t>
      </w:r>
      <w:r w:rsidR="00465BF2">
        <w:rPr>
          <w:rFonts w:eastAsiaTheme="minorHAnsi" w:cstheme="minorBidi"/>
          <w:szCs w:val="22"/>
          <w:lang w:bidi="ar-SA"/>
        </w:rPr>
        <w:t xml:space="preserve"> on birthweight</w:t>
      </w:r>
      <w:r w:rsidR="00465BF2" w:rsidRPr="00465BF2">
        <w:rPr>
          <w:rFonts w:eastAsiaTheme="minorHAnsi" w:cstheme="minorBidi"/>
          <w:szCs w:val="22"/>
          <w:lang w:bidi="ar-SA"/>
        </w:rPr>
        <w:t xml:space="preserve"> in the meta-analysis is based on a small variation in PFOA concentration.</w:t>
      </w:r>
      <w:r w:rsidR="007577FB">
        <w:rPr>
          <w:rFonts w:eastAsiaTheme="minorHAnsi" w:cstheme="minorBidi"/>
          <w:szCs w:val="22"/>
          <w:lang w:bidi="ar-SA"/>
        </w:rPr>
        <w:t xml:space="preserve"> </w:t>
      </w:r>
      <w:r w:rsidR="007577FB" w:rsidRPr="00465BF2">
        <w:rPr>
          <w:rFonts w:eastAsiaTheme="minorHAnsi" w:cstheme="minorBidi"/>
          <w:szCs w:val="22"/>
          <w:lang w:bidi="ar-SA"/>
        </w:rPr>
        <w:t xml:space="preserve"> </w:t>
      </w:r>
      <w:r w:rsidRPr="000C4C17">
        <w:rPr>
          <w:rFonts w:eastAsiaTheme="minorHAnsi" w:cstheme="minorBidi"/>
          <w:szCs w:val="22"/>
          <w:lang w:bidi="ar-SA"/>
        </w:rPr>
        <w:t xml:space="preserve"> </w:t>
      </w:r>
      <w:r w:rsidR="00465BF2" w:rsidRPr="000C4C17">
        <w:rPr>
          <w:rFonts w:eastAsiaTheme="minorHAnsi" w:cstheme="minorBidi"/>
          <w:szCs w:val="22"/>
          <w:lang w:bidi="ar-SA"/>
        </w:rPr>
        <w:t>Figure</w:t>
      </w:r>
      <w:r w:rsidR="00465BF2">
        <w:rPr>
          <w:rFonts w:eastAsiaTheme="minorHAnsi" w:cstheme="minorBidi"/>
          <w:szCs w:val="22"/>
          <w:lang w:bidi="ar-SA"/>
        </w:rPr>
        <w:t xml:space="preserve"> A1.5 </w:t>
      </w:r>
      <w:r w:rsidRPr="000C4C17">
        <w:rPr>
          <w:rFonts w:eastAsiaTheme="minorHAnsi" w:cstheme="minorBidi"/>
          <w:szCs w:val="22"/>
          <w:lang w:bidi="ar-SA"/>
        </w:rPr>
        <w:t xml:space="preserve">also shows the </w:t>
      </w:r>
      <w:r w:rsidR="008036AC">
        <w:rPr>
          <w:rFonts w:eastAsiaTheme="minorHAnsi" w:cstheme="minorBidi"/>
          <w:szCs w:val="22"/>
          <w:lang w:bidi="ar-SA"/>
        </w:rPr>
        <w:t>variation</w:t>
      </w:r>
      <w:r w:rsidRPr="000C4C17">
        <w:rPr>
          <w:rFonts w:eastAsiaTheme="minorHAnsi" w:cstheme="minorBidi"/>
          <w:szCs w:val="22"/>
          <w:lang w:bidi="ar-SA"/>
        </w:rPr>
        <w:t xml:space="preserve"> in results across studies. </w:t>
      </w:r>
      <w:r w:rsidR="00516D6E" w:rsidRPr="000C4C17">
        <w:rPr>
          <w:rFonts w:eastAsiaTheme="minorHAnsi" w:cstheme="minorBidi"/>
          <w:szCs w:val="22"/>
          <w:lang w:bidi="ar-SA"/>
        </w:rPr>
        <w:t>A</w:t>
      </w:r>
      <w:r w:rsidRPr="000C4C17">
        <w:rPr>
          <w:rFonts w:eastAsiaTheme="minorHAnsi" w:cstheme="minorBidi"/>
          <w:szCs w:val="22"/>
          <w:lang w:bidi="ar-SA"/>
        </w:rPr>
        <w:t>t about 15 ng/mL, the results range from an increase in birthweight of about 100g to a decrease of about 200g.</w:t>
      </w:r>
    </w:p>
    <w:p w14:paraId="25E33757" w14:textId="77777777" w:rsidR="00342801" w:rsidRDefault="00342801" w:rsidP="00A111E9">
      <w:pPr>
        <w:widowControl/>
        <w:rPr>
          <w:rFonts w:eastAsiaTheme="minorHAnsi" w:cstheme="minorBidi"/>
          <w:szCs w:val="22"/>
          <w:lang w:bidi="ar-SA"/>
        </w:rPr>
      </w:pPr>
    </w:p>
    <w:p w14:paraId="1AF4E459" w14:textId="77777777" w:rsidR="00F8101A" w:rsidRPr="000C4C17" w:rsidRDefault="00F8101A" w:rsidP="00A111E9">
      <w:pPr>
        <w:widowControl/>
        <w:rPr>
          <w:rFonts w:eastAsiaTheme="minorHAnsi" w:cstheme="minorBidi"/>
          <w:szCs w:val="22"/>
          <w:lang w:bidi="ar-SA"/>
        </w:rPr>
      </w:pPr>
    </w:p>
    <w:p w14:paraId="64A61374" w14:textId="77777777" w:rsidR="00F8101A" w:rsidRPr="000C4C17" w:rsidRDefault="00F8101A" w:rsidP="00A111E9">
      <w:pPr>
        <w:widowControl/>
        <w:rPr>
          <w:rFonts w:eastAsiaTheme="minorHAnsi" w:cstheme="minorBidi"/>
          <w:szCs w:val="22"/>
          <w:lang w:bidi="ar-SA"/>
        </w:rPr>
      </w:pPr>
      <w:r w:rsidRPr="000C4C17">
        <w:rPr>
          <w:rFonts w:eastAsiaTheme="minorHAnsi" w:cstheme="minorBidi"/>
          <w:noProof/>
          <w:szCs w:val="22"/>
          <w:lang w:eastAsia="en-GB" w:bidi="ar-SA"/>
        </w:rPr>
        <w:lastRenderedPageBreak/>
        <w:drawing>
          <wp:inline distT="0" distB="0" distL="0" distR="0" wp14:anchorId="5BBB82A1" wp14:editId="5E356FB8">
            <wp:extent cx="5561073" cy="4120896"/>
            <wp:effectExtent l="0" t="0" r="1905" b="0"/>
            <wp:docPr id="10" name="Picture 10" title="Figure A1.4 FSANZ’s update of the meta-analysis of Johnson et al (2014) including two additional studies reporting results in the format required by Johnson et al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74874" cy="4131123"/>
                    </a:xfrm>
                    <a:prstGeom prst="rect">
                      <a:avLst/>
                    </a:prstGeom>
                    <a:noFill/>
                    <a:ln>
                      <a:noFill/>
                    </a:ln>
                  </pic:spPr>
                </pic:pic>
              </a:graphicData>
            </a:graphic>
          </wp:inline>
        </w:drawing>
      </w:r>
    </w:p>
    <w:p w14:paraId="52453CE7" w14:textId="057B2D45" w:rsidR="00F8101A" w:rsidRPr="00DF3CEA" w:rsidRDefault="00DF3CEA" w:rsidP="00A111E9">
      <w:pPr>
        <w:widowControl/>
        <w:rPr>
          <w:rFonts w:eastAsiaTheme="minorHAnsi"/>
          <w:sz w:val="16"/>
        </w:rPr>
      </w:pPr>
      <w:r w:rsidRPr="00DF3CEA">
        <w:rPr>
          <w:rFonts w:eastAsiaTheme="minorHAnsi" w:cstheme="minorBidi"/>
          <w:sz w:val="16"/>
          <w:szCs w:val="22"/>
          <w:lang w:bidi="ar-SA"/>
        </w:rPr>
        <w:t>ES: effect size, i.e. increment in birthweight (g) per ng/mL PFOA increment</w:t>
      </w:r>
      <w:r>
        <w:rPr>
          <w:rFonts w:eastAsiaTheme="minorHAnsi" w:cstheme="minorBidi"/>
          <w:sz w:val="16"/>
          <w:szCs w:val="22"/>
          <w:lang w:bidi="ar-SA"/>
        </w:rPr>
        <w:t>, the grey squares show the relative weighting of the studies, the effect size and its 95% confidence interval are also shown</w:t>
      </w:r>
    </w:p>
    <w:p w14:paraId="57AAEACD" w14:textId="77777777" w:rsidR="00DF3CEA" w:rsidRDefault="00DF3CEA" w:rsidP="00A111E9">
      <w:pPr>
        <w:pStyle w:val="FSFigureTitle"/>
        <w:rPr>
          <w:rFonts w:eastAsiaTheme="minorHAnsi"/>
          <w:lang w:bidi="ar-SA"/>
        </w:rPr>
      </w:pPr>
    </w:p>
    <w:p w14:paraId="453E5C1C" w14:textId="4F7580CC" w:rsidR="00F8101A" w:rsidRPr="000C4C17" w:rsidRDefault="00A007BD" w:rsidP="00A111E9">
      <w:pPr>
        <w:pStyle w:val="FSFigureTitle"/>
        <w:rPr>
          <w:rFonts w:eastAsiaTheme="minorHAnsi" w:cstheme="minorBidi"/>
          <w:i w:val="0"/>
          <w:szCs w:val="22"/>
          <w:lang w:bidi="ar-SA"/>
        </w:rPr>
      </w:pPr>
      <w:r>
        <w:rPr>
          <w:rFonts w:eastAsiaTheme="minorHAnsi"/>
        </w:rPr>
        <w:t xml:space="preserve">Figure </w:t>
      </w:r>
      <w:r w:rsidR="006B1629" w:rsidRPr="000C4C17">
        <w:rPr>
          <w:rFonts w:eastAsiaTheme="minorHAnsi"/>
        </w:rPr>
        <w:t>A1.</w:t>
      </w:r>
      <w:r w:rsidR="00F8101A" w:rsidRPr="000C4C17">
        <w:rPr>
          <w:rFonts w:eastAsiaTheme="minorHAnsi"/>
        </w:rPr>
        <w:t xml:space="preserve">4 FSANZ’s update of the meta-analysis of Johnson </w:t>
      </w:r>
      <w:r w:rsidR="00180A32" w:rsidRPr="00180A32">
        <w:rPr>
          <w:rFonts w:eastAsiaTheme="minorHAnsi"/>
        </w:rPr>
        <w:t xml:space="preserve">et al. </w:t>
      </w:r>
      <w:r w:rsidR="00CC50B8">
        <w:rPr>
          <w:rFonts w:eastAsiaTheme="minorHAnsi"/>
        </w:rPr>
        <w:t xml:space="preserve"> </w:t>
      </w:r>
      <w:r w:rsidR="00F8101A" w:rsidRPr="000C4C17">
        <w:rPr>
          <w:rFonts w:eastAsiaTheme="minorHAnsi"/>
        </w:rPr>
        <w:t xml:space="preserve">(2014) including two additional studies reporting </w:t>
      </w:r>
      <w:r w:rsidR="00DF3CEA">
        <w:rPr>
          <w:rFonts w:eastAsiaTheme="minorHAnsi"/>
          <w:lang w:bidi="ar-SA"/>
        </w:rPr>
        <w:t>results</w:t>
      </w:r>
      <w:r w:rsidR="00F8101A" w:rsidRPr="000C4C17">
        <w:rPr>
          <w:rFonts w:eastAsiaTheme="minorHAnsi"/>
        </w:rPr>
        <w:t xml:space="preserve"> in the format required by Johnson </w:t>
      </w:r>
      <w:r w:rsidR="00180A32" w:rsidRPr="00180A32">
        <w:rPr>
          <w:rFonts w:eastAsiaTheme="minorHAnsi"/>
        </w:rPr>
        <w:t xml:space="preserve">et al. </w:t>
      </w:r>
      <w:r w:rsidR="00CC50B8">
        <w:rPr>
          <w:rFonts w:eastAsiaTheme="minorHAnsi"/>
        </w:rPr>
        <w:t xml:space="preserve"> </w:t>
      </w:r>
      <w:r w:rsidR="00F8101A">
        <w:rPr>
          <w:rFonts w:eastAsiaTheme="minorHAnsi"/>
        </w:rPr>
        <w:t>(2014</w:t>
      </w:r>
      <w:r w:rsidR="00BF7834">
        <w:rPr>
          <w:rFonts w:eastAsiaTheme="minorHAnsi"/>
          <w:lang w:bidi="ar-SA"/>
        </w:rPr>
        <w:t>)</w:t>
      </w:r>
    </w:p>
    <w:p w14:paraId="0460711F" w14:textId="3C0A8A64" w:rsidR="00F8101A" w:rsidRPr="000C4C17" w:rsidRDefault="00DE6BCF" w:rsidP="00A111E9">
      <w:pPr>
        <w:widowControl/>
        <w:rPr>
          <w:rFonts w:eastAsiaTheme="minorHAnsi" w:cstheme="minorBidi"/>
          <w:szCs w:val="22"/>
          <w:lang w:bidi="ar-SA"/>
        </w:rPr>
      </w:pPr>
      <w:r w:rsidRPr="000C4C17">
        <w:rPr>
          <w:noProof/>
          <w:lang w:eastAsia="en-GB" w:bidi="ar-SA"/>
        </w:rPr>
        <w:drawing>
          <wp:inline distT="0" distB="0" distL="0" distR="0" wp14:anchorId="4CE3129B" wp14:editId="440278AD">
            <wp:extent cx="5759450" cy="3989158"/>
            <wp:effectExtent l="0" t="0" r="6350" b="0"/>
            <wp:docPr id="5" name="Picture 5" title="Figure A1.5 FSANZ’s update of the graph of Bach et al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59450" cy="3989158"/>
                    </a:xfrm>
                    <a:prstGeom prst="rect">
                      <a:avLst/>
                    </a:prstGeom>
                  </pic:spPr>
                </pic:pic>
              </a:graphicData>
            </a:graphic>
          </wp:inline>
        </w:drawing>
      </w:r>
    </w:p>
    <w:p w14:paraId="239562E3" w14:textId="77777777" w:rsidR="00C62489" w:rsidRDefault="00C62489" w:rsidP="00A111E9">
      <w:pPr>
        <w:widowControl/>
        <w:ind w:firstLine="567"/>
        <w:rPr>
          <w:rFonts w:eastAsiaTheme="minorHAnsi" w:cstheme="minorBidi"/>
          <w:i/>
          <w:szCs w:val="22"/>
          <w:lang w:bidi="ar-SA"/>
        </w:rPr>
      </w:pPr>
    </w:p>
    <w:p w14:paraId="28DE1902" w14:textId="11E7B4EE" w:rsidR="00F8101A" w:rsidRPr="009D3F45" w:rsidRDefault="009D3F45" w:rsidP="00A111E9">
      <w:pPr>
        <w:pStyle w:val="FSFigureTitle"/>
        <w:rPr>
          <w:rFonts w:eastAsiaTheme="minorHAnsi"/>
        </w:rPr>
      </w:pPr>
      <w:r w:rsidRPr="009D3F45">
        <w:rPr>
          <w:rFonts w:eastAsiaTheme="minorHAnsi"/>
        </w:rPr>
        <w:t xml:space="preserve">Figure </w:t>
      </w:r>
      <w:r w:rsidR="006B1629" w:rsidRPr="000C4C17">
        <w:rPr>
          <w:rFonts w:eastAsiaTheme="minorHAnsi"/>
        </w:rPr>
        <w:t>A1.</w:t>
      </w:r>
      <w:r w:rsidR="00F8101A" w:rsidRPr="009D3F45">
        <w:rPr>
          <w:rFonts w:eastAsiaTheme="minorHAnsi"/>
        </w:rPr>
        <w:t xml:space="preserve">5 FSANZ’s update of the graph of Bach </w:t>
      </w:r>
      <w:r w:rsidR="00180A32" w:rsidRPr="00180A32">
        <w:rPr>
          <w:rFonts w:eastAsiaTheme="minorHAnsi"/>
        </w:rPr>
        <w:t xml:space="preserve">et al. </w:t>
      </w:r>
      <w:r w:rsidR="00CC50B8">
        <w:rPr>
          <w:rFonts w:eastAsiaTheme="minorHAnsi"/>
        </w:rPr>
        <w:t xml:space="preserve"> </w:t>
      </w:r>
      <w:r w:rsidR="00F8101A" w:rsidRPr="009D3F45">
        <w:rPr>
          <w:rFonts w:eastAsiaTheme="minorHAnsi"/>
        </w:rPr>
        <w:t>(2015)</w:t>
      </w:r>
    </w:p>
    <w:p w14:paraId="6B722F20" w14:textId="77777777" w:rsidR="00F8101A" w:rsidRPr="000C4C17" w:rsidRDefault="00F8101A" w:rsidP="00A111E9">
      <w:pPr>
        <w:widowControl/>
        <w:rPr>
          <w:rFonts w:eastAsiaTheme="minorHAnsi" w:cstheme="minorBidi"/>
          <w:szCs w:val="22"/>
          <w:lang w:bidi="ar-SA"/>
        </w:rPr>
      </w:pPr>
    </w:p>
    <w:p w14:paraId="4D05B4DF" w14:textId="7EB64CD0" w:rsidR="00F8101A" w:rsidRPr="000C4C17" w:rsidRDefault="00F8101A" w:rsidP="00A111E9">
      <w:pPr>
        <w:pStyle w:val="FSTableTitle"/>
        <w:rPr>
          <w:rFonts w:eastAsiaTheme="minorHAnsi"/>
        </w:rPr>
      </w:pPr>
      <w:r w:rsidRPr="000C4C17">
        <w:rPr>
          <w:rFonts w:eastAsiaTheme="minorHAnsi"/>
        </w:rPr>
        <w:t xml:space="preserve">Table </w:t>
      </w:r>
      <w:r w:rsidR="006B1629" w:rsidRPr="000C4C17">
        <w:rPr>
          <w:rFonts w:eastAsiaTheme="minorHAnsi"/>
          <w:lang w:bidi="ar-SA"/>
        </w:rPr>
        <w:t>A1.</w:t>
      </w:r>
      <w:r w:rsidRPr="000C4C17">
        <w:rPr>
          <w:rFonts w:eastAsiaTheme="minorHAnsi"/>
        </w:rPr>
        <w:t xml:space="preserve">7 Results of studies included in the review which did not report their results in a way that allowed inclusion in either Figure </w:t>
      </w:r>
      <w:r w:rsidR="006B1629" w:rsidRPr="000C4C17">
        <w:rPr>
          <w:rFonts w:eastAsiaTheme="minorHAnsi"/>
          <w:lang w:bidi="ar-SA"/>
        </w:rPr>
        <w:t>A1.</w:t>
      </w:r>
      <w:r w:rsidRPr="000C4C17">
        <w:rPr>
          <w:rFonts w:eastAsiaTheme="minorHAnsi"/>
        </w:rPr>
        <w:t xml:space="preserve">4 and/or Figure </w:t>
      </w:r>
      <w:r w:rsidR="006B1629" w:rsidRPr="000C4C17">
        <w:rPr>
          <w:rFonts w:eastAsiaTheme="minorHAnsi"/>
          <w:lang w:bidi="ar-SA"/>
        </w:rPr>
        <w:t>A1.</w:t>
      </w:r>
      <w:r w:rsidRPr="000C4C17">
        <w:rPr>
          <w:rFonts w:eastAsiaTheme="minorHAnsi"/>
        </w:rPr>
        <w:t>5</w:t>
      </w:r>
      <w:r w:rsidR="009D3F45">
        <w:rPr>
          <w:rFonts w:eastAsiaTheme="minorHAnsi"/>
        </w:rPr>
        <w:t xml:space="preserve"> (or </w:t>
      </w:r>
      <w:r w:rsidR="008036AC">
        <w:rPr>
          <w:rFonts w:eastAsiaTheme="minorHAnsi"/>
        </w:rPr>
        <w:t xml:space="preserve">were </w:t>
      </w:r>
      <w:r w:rsidR="009D3F45">
        <w:rPr>
          <w:rFonts w:eastAsiaTheme="minorHAnsi"/>
        </w:rPr>
        <w:t>published in late 2016)</w:t>
      </w:r>
    </w:p>
    <w:p w14:paraId="6EF8ABC5" w14:textId="77777777" w:rsidR="00F8101A" w:rsidRPr="000C4C17" w:rsidRDefault="00F8101A" w:rsidP="00A111E9">
      <w:pPr>
        <w:widowControl/>
        <w:rPr>
          <w:rFonts w:eastAsiaTheme="minorHAnsi" w:cstheme="minorBidi"/>
          <w:szCs w:val="22"/>
          <w:lang w:bidi="ar-SA"/>
        </w:rPr>
      </w:pPr>
    </w:p>
    <w:tbl>
      <w:tblPr>
        <w:tblStyle w:val="TableGrid9"/>
        <w:tblW w:w="9322" w:type="dxa"/>
        <w:tblLayout w:type="fixed"/>
        <w:tblLook w:val="04A0" w:firstRow="1" w:lastRow="0" w:firstColumn="1" w:lastColumn="0" w:noHBand="0" w:noVBand="1"/>
        <w:tblCaption w:val="Table A1.7 Results of studies included in the review which did not report their results in a way that allowed inclusion in either Figure A1.4 and/or Figure A1.5 (or were published in late 2016)"/>
        <w:tblDescription w:val="This table contains data relating to results of studies included in the review which did not report their results in a way that allowed inclusion in either Figure A1.4 and/or Figure A1.5 (or were published in late 2016)."/>
      </w:tblPr>
      <w:tblGrid>
        <w:gridCol w:w="1101"/>
        <w:gridCol w:w="2409"/>
        <w:gridCol w:w="4490"/>
        <w:gridCol w:w="1322"/>
      </w:tblGrid>
      <w:tr w:rsidR="00F8101A" w:rsidRPr="000C4C17" w14:paraId="5E9CE061" w14:textId="77777777" w:rsidTr="000830C5">
        <w:trPr>
          <w:tblHeader/>
        </w:trPr>
        <w:tc>
          <w:tcPr>
            <w:tcW w:w="1101" w:type="dxa"/>
            <w:shd w:val="clear" w:color="auto" w:fill="F2F2F2" w:themeFill="background1" w:themeFillShade="F2"/>
            <w:vAlign w:val="center"/>
          </w:tcPr>
          <w:p w14:paraId="54E29FD3" w14:textId="77777777" w:rsidR="00F8101A" w:rsidRPr="000C4C17" w:rsidRDefault="00F8101A" w:rsidP="00A111E9">
            <w:pPr>
              <w:widowControl/>
              <w:rPr>
                <w:rFonts w:eastAsiaTheme="minorHAnsi"/>
                <w:b/>
                <w:sz w:val="18"/>
              </w:rPr>
            </w:pPr>
            <w:r w:rsidRPr="000C4C17">
              <w:rPr>
                <w:rFonts w:eastAsiaTheme="minorHAnsi"/>
                <w:b/>
                <w:sz w:val="18"/>
              </w:rPr>
              <w:t>Study</w:t>
            </w:r>
          </w:p>
        </w:tc>
        <w:tc>
          <w:tcPr>
            <w:tcW w:w="2409" w:type="dxa"/>
            <w:shd w:val="clear" w:color="auto" w:fill="F2F2F2" w:themeFill="background1" w:themeFillShade="F2"/>
            <w:vAlign w:val="center"/>
          </w:tcPr>
          <w:p w14:paraId="151A33DA" w14:textId="77777777" w:rsidR="00F8101A" w:rsidRPr="000C4C17" w:rsidRDefault="00F8101A" w:rsidP="00A111E9">
            <w:pPr>
              <w:widowControl/>
              <w:rPr>
                <w:rFonts w:eastAsiaTheme="minorHAnsi"/>
                <w:b/>
                <w:sz w:val="18"/>
              </w:rPr>
            </w:pPr>
            <w:r w:rsidRPr="000C4C17">
              <w:rPr>
                <w:rFonts w:eastAsiaTheme="minorHAnsi"/>
                <w:b/>
                <w:sz w:val="18"/>
              </w:rPr>
              <w:t>PFOA concentration (ng/mL)</w:t>
            </w:r>
          </w:p>
        </w:tc>
        <w:tc>
          <w:tcPr>
            <w:tcW w:w="4490" w:type="dxa"/>
            <w:shd w:val="clear" w:color="auto" w:fill="F2F2F2" w:themeFill="background1" w:themeFillShade="F2"/>
            <w:vAlign w:val="center"/>
          </w:tcPr>
          <w:p w14:paraId="2943EFA3" w14:textId="77777777" w:rsidR="00F8101A" w:rsidRPr="000C4C17" w:rsidRDefault="00F8101A" w:rsidP="00A111E9">
            <w:pPr>
              <w:widowControl/>
              <w:rPr>
                <w:rFonts w:eastAsiaTheme="minorHAnsi"/>
                <w:b/>
                <w:sz w:val="18"/>
              </w:rPr>
            </w:pPr>
            <w:r w:rsidRPr="000C4C17">
              <w:rPr>
                <w:rFonts w:eastAsiaTheme="minorHAnsi"/>
                <w:b/>
                <w:sz w:val="18"/>
              </w:rPr>
              <w:t>Results</w:t>
            </w:r>
          </w:p>
        </w:tc>
        <w:tc>
          <w:tcPr>
            <w:tcW w:w="1322" w:type="dxa"/>
            <w:shd w:val="clear" w:color="auto" w:fill="F2F2F2" w:themeFill="background1" w:themeFillShade="F2"/>
            <w:vAlign w:val="center"/>
          </w:tcPr>
          <w:p w14:paraId="2E4D17F5" w14:textId="77777777" w:rsidR="00F8101A" w:rsidRPr="000C4C17" w:rsidRDefault="00F8101A" w:rsidP="00A111E9">
            <w:pPr>
              <w:widowControl/>
              <w:rPr>
                <w:rFonts w:eastAsiaTheme="minorHAnsi"/>
                <w:b/>
                <w:sz w:val="18"/>
              </w:rPr>
            </w:pPr>
            <w:r w:rsidRPr="000C4C17">
              <w:rPr>
                <w:rFonts w:eastAsiaTheme="minorHAnsi"/>
                <w:b/>
                <w:sz w:val="18"/>
              </w:rPr>
              <w:t>Direction of association</w:t>
            </w:r>
          </w:p>
        </w:tc>
      </w:tr>
      <w:tr w:rsidR="00F8101A" w:rsidRPr="000C4C17" w14:paraId="3138D4E4" w14:textId="77777777" w:rsidTr="00E8022F">
        <w:trPr>
          <w:trHeight w:val="697"/>
        </w:trPr>
        <w:tc>
          <w:tcPr>
            <w:tcW w:w="1101" w:type="dxa"/>
            <w:vAlign w:val="center"/>
          </w:tcPr>
          <w:p w14:paraId="4358C2ED" w14:textId="77777777" w:rsidR="00F8101A" w:rsidRPr="000C4C17" w:rsidRDefault="00F8101A" w:rsidP="00A111E9">
            <w:pPr>
              <w:widowControl/>
              <w:rPr>
                <w:rFonts w:eastAsiaTheme="minorHAnsi"/>
                <w:sz w:val="18"/>
              </w:rPr>
            </w:pPr>
            <w:r w:rsidRPr="000C4C17">
              <w:rPr>
                <w:rFonts w:eastAsiaTheme="minorHAnsi"/>
                <w:sz w:val="18"/>
              </w:rPr>
              <w:t>Arbuckle</w:t>
            </w:r>
          </w:p>
        </w:tc>
        <w:tc>
          <w:tcPr>
            <w:tcW w:w="2409" w:type="dxa"/>
            <w:vAlign w:val="center"/>
          </w:tcPr>
          <w:p w14:paraId="3F3AE832" w14:textId="77777777" w:rsidR="00F8101A" w:rsidRPr="000C4C17" w:rsidRDefault="00F8101A" w:rsidP="00A111E9">
            <w:pPr>
              <w:widowControl/>
              <w:rPr>
                <w:rFonts w:eastAsiaTheme="minorHAnsi"/>
                <w:sz w:val="18"/>
              </w:rPr>
            </w:pPr>
            <w:r w:rsidRPr="000C4C17">
              <w:rPr>
                <w:rFonts w:eastAsiaTheme="minorHAnsi"/>
                <w:sz w:val="18"/>
              </w:rPr>
              <w:t>Minimum 0.3</w:t>
            </w:r>
          </w:p>
          <w:p w14:paraId="51EAA7CB" w14:textId="77777777" w:rsidR="00F8101A" w:rsidRPr="000C4C17" w:rsidRDefault="00F8101A" w:rsidP="00A111E9">
            <w:pPr>
              <w:widowControl/>
              <w:rPr>
                <w:rFonts w:eastAsiaTheme="minorHAnsi"/>
                <w:sz w:val="18"/>
              </w:rPr>
            </w:pPr>
            <w:r w:rsidRPr="000C4C17">
              <w:rPr>
                <w:rFonts w:eastAsiaTheme="minorHAnsi"/>
                <w:sz w:val="18"/>
              </w:rPr>
              <w:t>Median 1.6</w:t>
            </w:r>
          </w:p>
          <w:p w14:paraId="32340A96" w14:textId="77777777" w:rsidR="00F8101A" w:rsidRPr="000C4C17" w:rsidRDefault="00F8101A" w:rsidP="00A111E9">
            <w:pPr>
              <w:widowControl/>
              <w:rPr>
                <w:rFonts w:eastAsiaTheme="minorHAnsi"/>
                <w:sz w:val="18"/>
              </w:rPr>
            </w:pPr>
            <w:r w:rsidRPr="000C4C17">
              <w:rPr>
                <w:rFonts w:eastAsiaTheme="minorHAnsi"/>
                <w:sz w:val="18"/>
              </w:rPr>
              <w:t>Maximum 5.2</w:t>
            </w:r>
          </w:p>
        </w:tc>
        <w:tc>
          <w:tcPr>
            <w:tcW w:w="4490" w:type="dxa"/>
            <w:vAlign w:val="center"/>
          </w:tcPr>
          <w:p w14:paraId="1186EF4B" w14:textId="7F513347" w:rsidR="00F8101A" w:rsidRPr="000C4C17" w:rsidRDefault="008036AC" w:rsidP="008036AC">
            <w:pPr>
              <w:widowControl/>
              <w:rPr>
                <w:rFonts w:eastAsiaTheme="minorHAnsi"/>
                <w:sz w:val="18"/>
              </w:rPr>
            </w:pPr>
            <w:r>
              <w:rPr>
                <w:rFonts w:eastAsiaTheme="minorHAnsi"/>
                <w:sz w:val="18"/>
              </w:rPr>
              <w:t>Inverted m</w:t>
            </w:r>
            <w:r w:rsidR="00F8101A" w:rsidRPr="000C4C17">
              <w:rPr>
                <w:rFonts w:eastAsiaTheme="minorHAnsi"/>
                <w:sz w:val="18"/>
              </w:rPr>
              <w:t>ultivariate</w:t>
            </w:r>
            <w:r w:rsidR="00E8022F" w:rsidRPr="000C4C17">
              <w:rPr>
                <w:rFonts w:eastAsiaTheme="minorHAnsi"/>
                <w:sz w:val="18"/>
              </w:rPr>
              <w:t xml:space="preserve"> analysis</w:t>
            </w:r>
            <w:r w:rsidR="00F8101A" w:rsidRPr="000C4C17">
              <w:rPr>
                <w:rFonts w:eastAsiaTheme="minorHAnsi"/>
                <w:sz w:val="18"/>
              </w:rPr>
              <w:t>: non-low birthweight was a significant inverse predictor of serum PFOA</w:t>
            </w:r>
          </w:p>
        </w:tc>
        <w:tc>
          <w:tcPr>
            <w:tcW w:w="1322" w:type="dxa"/>
            <w:vAlign w:val="center"/>
          </w:tcPr>
          <w:p w14:paraId="6BDD82FE" w14:textId="2B96AF31" w:rsidR="00C833CC" w:rsidRPr="000C4C17" w:rsidRDefault="00A11ACA" w:rsidP="00A111E9">
            <w:pPr>
              <w:widowControl/>
              <w:rPr>
                <w:rFonts w:eastAsiaTheme="minorHAnsi"/>
                <w:sz w:val="18"/>
                <w:szCs w:val="18"/>
              </w:rPr>
            </w:pPr>
            <w:r>
              <w:rPr>
                <w:rFonts w:eastAsiaTheme="minorHAnsi"/>
                <w:sz w:val="18"/>
                <w:szCs w:val="18"/>
              </w:rPr>
              <w:t>Unknown</w:t>
            </w:r>
          </w:p>
          <w:p w14:paraId="3D68F3D6" w14:textId="77777777" w:rsidR="00F8101A" w:rsidRPr="000C4C17" w:rsidRDefault="00F8101A" w:rsidP="00A111E9">
            <w:pPr>
              <w:rPr>
                <w:rFonts w:eastAsiaTheme="minorHAnsi"/>
                <w:sz w:val="18"/>
                <w:szCs w:val="18"/>
              </w:rPr>
            </w:pPr>
          </w:p>
        </w:tc>
      </w:tr>
      <w:tr w:rsidR="00F8101A" w:rsidRPr="000C4C17" w14:paraId="5CF9B1F2" w14:textId="77777777" w:rsidTr="001F61C9">
        <w:tc>
          <w:tcPr>
            <w:tcW w:w="1101" w:type="dxa"/>
            <w:vAlign w:val="center"/>
          </w:tcPr>
          <w:p w14:paraId="6C4C0033" w14:textId="77777777" w:rsidR="00F8101A" w:rsidRPr="000C4C17" w:rsidRDefault="00F8101A" w:rsidP="00A111E9">
            <w:pPr>
              <w:widowControl/>
              <w:rPr>
                <w:rFonts w:eastAsiaTheme="minorHAnsi"/>
                <w:sz w:val="18"/>
              </w:rPr>
            </w:pPr>
            <w:r w:rsidRPr="000C4C17">
              <w:rPr>
                <w:rFonts w:eastAsiaTheme="minorHAnsi"/>
                <w:sz w:val="18"/>
              </w:rPr>
              <w:t>Kim SK</w:t>
            </w:r>
          </w:p>
        </w:tc>
        <w:tc>
          <w:tcPr>
            <w:tcW w:w="2409" w:type="dxa"/>
            <w:vAlign w:val="center"/>
          </w:tcPr>
          <w:p w14:paraId="3AB093E9" w14:textId="5FB8F7BA" w:rsidR="00F8101A" w:rsidRPr="000C4C17" w:rsidRDefault="00F8101A" w:rsidP="00A111E9">
            <w:pPr>
              <w:widowControl/>
              <w:rPr>
                <w:rFonts w:eastAsiaTheme="minorHAnsi"/>
                <w:sz w:val="18"/>
              </w:rPr>
            </w:pPr>
            <w:r w:rsidRPr="000C4C17">
              <w:rPr>
                <w:rFonts w:eastAsiaTheme="minorHAnsi"/>
                <w:sz w:val="18"/>
              </w:rPr>
              <w:t>Mean 1.6</w:t>
            </w:r>
          </w:p>
          <w:p w14:paraId="2327189B" w14:textId="77777777" w:rsidR="00F8101A" w:rsidRPr="000C4C17" w:rsidRDefault="00F8101A" w:rsidP="00A111E9">
            <w:pPr>
              <w:widowControl/>
              <w:rPr>
                <w:rFonts w:eastAsiaTheme="minorHAnsi"/>
                <w:sz w:val="18"/>
              </w:rPr>
            </w:pPr>
            <w:r w:rsidRPr="000C4C17">
              <w:rPr>
                <w:rFonts w:eastAsiaTheme="minorHAnsi"/>
                <w:sz w:val="18"/>
              </w:rPr>
              <w:t>Min: 0.9</w:t>
            </w:r>
          </w:p>
          <w:p w14:paraId="2DE7A64F" w14:textId="77777777" w:rsidR="00F8101A" w:rsidRPr="000C4C17" w:rsidRDefault="00F8101A" w:rsidP="00A111E9">
            <w:pPr>
              <w:widowControl/>
              <w:rPr>
                <w:rFonts w:eastAsiaTheme="minorHAnsi"/>
                <w:sz w:val="18"/>
              </w:rPr>
            </w:pPr>
            <w:r w:rsidRPr="000C4C17">
              <w:rPr>
                <w:rFonts w:eastAsiaTheme="minorHAnsi"/>
                <w:sz w:val="18"/>
              </w:rPr>
              <w:t>Max 3.2</w:t>
            </w:r>
          </w:p>
        </w:tc>
        <w:tc>
          <w:tcPr>
            <w:tcW w:w="4490" w:type="dxa"/>
            <w:vAlign w:val="center"/>
          </w:tcPr>
          <w:p w14:paraId="2AE400CA" w14:textId="77777777" w:rsidR="00F8101A" w:rsidRPr="000C4C17" w:rsidRDefault="00F8101A" w:rsidP="00A111E9">
            <w:pPr>
              <w:widowControl/>
              <w:rPr>
                <w:rFonts w:eastAsiaTheme="minorHAnsi"/>
                <w:sz w:val="18"/>
              </w:rPr>
            </w:pPr>
            <w:r w:rsidRPr="000C4C17">
              <w:rPr>
                <w:rFonts w:eastAsiaTheme="minorHAnsi"/>
                <w:sz w:val="18"/>
              </w:rPr>
              <w:t>Not correlated p&gt;0.2</w:t>
            </w:r>
          </w:p>
        </w:tc>
        <w:tc>
          <w:tcPr>
            <w:tcW w:w="1322" w:type="dxa"/>
            <w:vAlign w:val="center"/>
          </w:tcPr>
          <w:p w14:paraId="07FF01EE" w14:textId="77777777" w:rsidR="00F8101A" w:rsidRPr="000C4C17" w:rsidRDefault="00F8101A" w:rsidP="00A111E9">
            <w:pPr>
              <w:widowControl/>
              <w:rPr>
                <w:rFonts w:eastAsiaTheme="minorHAnsi"/>
                <w:sz w:val="18"/>
              </w:rPr>
            </w:pPr>
            <w:r w:rsidRPr="000C4C17">
              <w:rPr>
                <w:rFonts w:eastAsiaTheme="minorHAnsi"/>
                <w:sz w:val="18"/>
              </w:rPr>
              <w:t>Unclear</w:t>
            </w:r>
          </w:p>
        </w:tc>
      </w:tr>
      <w:tr w:rsidR="00F8101A" w:rsidRPr="000C4C17" w14:paraId="4A645BB1" w14:textId="77777777" w:rsidTr="001F61C9">
        <w:tc>
          <w:tcPr>
            <w:tcW w:w="1101" w:type="dxa"/>
            <w:vAlign w:val="center"/>
          </w:tcPr>
          <w:p w14:paraId="722C6A60" w14:textId="77777777" w:rsidR="00F8101A" w:rsidRPr="000C4C17" w:rsidRDefault="00F8101A" w:rsidP="00A111E9">
            <w:pPr>
              <w:widowControl/>
              <w:rPr>
                <w:rFonts w:eastAsiaTheme="minorHAnsi"/>
                <w:sz w:val="18"/>
              </w:rPr>
            </w:pPr>
            <w:r w:rsidRPr="000C4C17">
              <w:rPr>
                <w:rFonts w:eastAsiaTheme="minorHAnsi"/>
                <w:sz w:val="18"/>
              </w:rPr>
              <w:t>Lee</w:t>
            </w:r>
          </w:p>
        </w:tc>
        <w:tc>
          <w:tcPr>
            <w:tcW w:w="2409" w:type="dxa"/>
            <w:vAlign w:val="center"/>
          </w:tcPr>
          <w:p w14:paraId="2CF9E06F" w14:textId="56048FC2" w:rsidR="00F8101A" w:rsidRPr="000C4C17" w:rsidRDefault="00F8101A" w:rsidP="00A111E9">
            <w:pPr>
              <w:widowControl/>
              <w:rPr>
                <w:rFonts w:eastAsiaTheme="minorHAnsi"/>
                <w:sz w:val="18"/>
              </w:rPr>
            </w:pPr>
            <w:r w:rsidRPr="000C4C17">
              <w:rPr>
                <w:rFonts w:eastAsiaTheme="minorHAnsi"/>
                <w:sz w:val="18"/>
              </w:rPr>
              <w:t>25</w:t>
            </w:r>
            <w:r w:rsidRPr="000C4C17">
              <w:rPr>
                <w:rFonts w:eastAsiaTheme="minorHAnsi"/>
                <w:sz w:val="18"/>
                <w:vertAlign w:val="superscript"/>
              </w:rPr>
              <w:t>th</w:t>
            </w:r>
            <w:r w:rsidRPr="000C4C17">
              <w:rPr>
                <w:rFonts w:eastAsiaTheme="minorHAnsi"/>
                <w:sz w:val="18"/>
              </w:rPr>
              <w:t xml:space="preserve"> centile 2.12</w:t>
            </w:r>
          </w:p>
          <w:p w14:paraId="0923CA09" w14:textId="77777777" w:rsidR="00F8101A" w:rsidRPr="000C4C17" w:rsidRDefault="00F8101A" w:rsidP="00A111E9">
            <w:pPr>
              <w:widowControl/>
              <w:rPr>
                <w:rFonts w:eastAsiaTheme="minorHAnsi"/>
                <w:sz w:val="18"/>
              </w:rPr>
            </w:pPr>
            <w:r w:rsidRPr="000C4C17">
              <w:rPr>
                <w:rFonts w:eastAsiaTheme="minorHAnsi"/>
                <w:sz w:val="18"/>
              </w:rPr>
              <w:t>50th centile 2.62</w:t>
            </w:r>
          </w:p>
          <w:p w14:paraId="3D0A683A" w14:textId="080BE29E" w:rsidR="00F8101A" w:rsidRPr="000C4C17" w:rsidRDefault="00F8101A" w:rsidP="00A111E9">
            <w:pPr>
              <w:widowControl/>
              <w:rPr>
                <w:rFonts w:eastAsiaTheme="minorHAnsi"/>
                <w:sz w:val="18"/>
              </w:rPr>
            </w:pPr>
            <w:r w:rsidRPr="000C4C17">
              <w:rPr>
                <w:rFonts w:eastAsiaTheme="minorHAnsi"/>
                <w:sz w:val="18"/>
              </w:rPr>
              <w:t>75</w:t>
            </w:r>
            <w:r w:rsidRPr="000C4C17">
              <w:rPr>
                <w:rFonts w:eastAsiaTheme="minorHAnsi"/>
                <w:sz w:val="18"/>
                <w:vertAlign w:val="superscript"/>
              </w:rPr>
              <w:t>th</w:t>
            </w:r>
            <w:r w:rsidRPr="000C4C17">
              <w:rPr>
                <w:rFonts w:eastAsiaTheme="minorHAnsi"/>
                <w:sz w:val="18"/>
              </w:rPr>
              <w:t xml:space="preserve"> centile 3.25</w:t>
            </w:r>
          </w:p>
        </w:tc>
        <w:tc>
          <w:tcPr>
            <w:tcW w:w="4490" w:type="dxa"/>
            <w:vAlign w:val="center"/>
          </w:tcPr>
          <w:p w14:paraId="534D524F" w14:textId="118EE3AA" w:rsidR="00F8101A" w:rsidRPr="000C4C17" w:rsidRDefault="00F8101A" w:rsidP="00A111E9">
            <w:pPr>
              <w:widowControl/>
              <w:rPr>
                <w:rFonts w:eastAsiaTheme="minorHAnsi"/>
                <w:sz w:val="18"/>
              </w:rPr>
            </w:pPr>
            <w:r w:rsidRPr="000C4C17">
              <w:rPr>
                <w:rFonts w:eastAsiaTheme="minorHAnsi"/>
                <w:sz w:val="18"/>
              </w:rPr>
              <w:t>Adjusted analysis: Odds of having higher birthweight (above the median of 3.19 kg) decreased if PFOA concentration was greater than the median concentration (OR=0.54</w:t>
            </w:r>
            <w:r w:rsidR="00986779">
              <w:rPr>
                <w:rFonts w:eastAsiaTheme="minorHAnsi"/>
                <w:sz w:val="18"/>
              </w:rPr>
              <w:t>)</w:t>
            </w:r>
            <w:r w:rsidRPr="000C4C17">
              <w:rPr>
                <w:rFonts w:eastAsiaTheme="minorHAnsi"/>
                <w:sz w:val="18"/>
              </w:rPr>
              <w:t xml:space="preserve"> </w:t>
            </w:r>
          </w:p>
        </w:tc>
        <w:tc>
          <w:tcPr>
            <w:tcW w:w="1322" w:type="dxa"/>
            <w:vAlign w:val="center"/>
          </w:tcPr>
          <w:p w14:paraId="585B875A" w14:textId="77777777" w:rsidR="00F8101A" w:rsidRPr="000C4C17" w:rsidRDefault="00F8101A" w:rsidP="00A111E9">
            <w:pPr>
              <w:widowControl/>
              <w:rPr>
                <w:rFonts w:eastAsiaTheme="minorHAnsi"/>
                <w:sz w:val="18"/>
              </w:rPr>
            </w:pPr>
            <w:r w:rsidRPr="000C4C17">
              <w:rPr>
                <w:rFonts w:eastAsiaTheme="minorHAnsi"/>
                <w:sz w:val="18"/>
              </w:rPr>
              <w:t>Inverse</w:t>
            </w:r>
          </w:p>
        </w:tc>
      </w:tr>
      <w:tr w:rsidR="00F8101A" w:rsidRPr="000C4C17" w14:paraId="78E07A22" w14:textId="77777777" w:rsidTr="001F61C9">
        <w:tc>
          <w:tcPr>
            <w:tcW w:w="1101" w:type="dxa"/>
            <w:vAlign w:val="center"/>
          </w:tcPr>
          <w:p w14:paraId="071E6088" w14:textId="77777777" w:rsidR="00F8101A" w:rsidRPr="000C4C17" w:rsidRDefault="00F8101A" w:rsidP="00A111E9">
            <w:pPr>
              <w:widowControl/>
              <w:rPr>
                <w:rFonts w:eastAsiaTheme="minorHAnsi"/>
                <w:sz w:val="18"/>
              </w:rPr>
            </w:pPr>
            <w:r w:rsidRPr="000C4C17">
              <w:rPr>
                <w:rFonts w:eastAsiaTheme="minorHAnsi"/>
                <w:sz w:val="18"/>
              </w:rPr>
              <w:t>Monroy</w:t>
            </w:r>
          </w:p>
        </w:tc>
        <w:tc>
          <w:tcPr>
            <w:tcW w:w="2409" w:type="dxa"/>
            <w:vAlign w:val="center"/>
          </w:tcPr>
          <w:p w14:paraId="336A02F8" w14:textId="07F5EA54" w:rsidR="00F8101A" w:rsidRPr="000C4C17" w:rsidRDefault="00A11ACA" w:rsidP="00A111E9">
            <w:pPr>
              <w:widowControl/>
              <w:rPr>
                <w:rFonts w:eastAsiaTheme="minorHAnsi"/>
                <w:sz w:val="18"/>
              </w:rPr>
            </w:pPr>
            <w:r>
              <w:rPr>
                <w:rFonts w:eastAsiaTheme="minorHAnsi"/>
                <w:sz w:val="18"/>
              </w:rPr>
              <w:t>Mean 2.54 (range 1.46 – 3.14</w:t>
            </w:r>
            <w:r w:rsidR="0007229B">
              <w:rPr>
                <w:rFonts w:eastAsiaTheme="minorHAnsi"/>
                <w:sz w:val="18"/>
              </w:rPr>
              <w:t>)</w:t>
            </w:r>
          </w:p>
        </w:tc>
        <w:tc>
          <w:tcPr>
            <w:tcW w:w="4490" w:type="dxa"/>
            <w:vAlign w:val="center"/>
          </w:tcPr>
          <w:p w14:paraId="0500BB77" w14:textId="47243B10" w:rsidR="00F8101A" w:rsidRPr="000C4C17" w:rsidRDefault="00F8101A" w:rsidP="00A111E9">
            <w:pPr>
              <w:widowControl/>
              <w:rPr>
                <w:rFonts w:eastAsiaTheme="minorHAnsi"/>
                <w:sz w:val="18"/>
              </w:rPr>
            </w:pPr>
            <w:r w:rsidRPr="000C4C17">
              <w:rPr>
                <w:rFonts w:eastAsiaTheme="minorHAnsi"/>
                <w:sz w:val="18"/>
              </w:rPr>
              <w:t>Inverted regression (i.e. prediction of maternal PFOA from birthweight</w:t>
            </w:r>
            <w:r w:rsidR="00986779">
              <w:rPr>
                <w:rFonts w:eastAsiaTheme="minorHAnsi"/>
                <w:sz w:val="18"/>
              </w:rPr>
              <w:t>)</w:t>
            </w:r>
            <w:r w:rsidRPr="000C4C17">
              <w:rPr>
                <w:rFonts w:eastAsiaTheme="minorHAnsi"/>
                <w:sz w:val="18"/>
              </w:rPr>
              <w:t xml:space="preserve"> </w:t>
            </w:r>
          </w:p>
        </w:tc>
        <w:tc>
          <w:tcPr>
            <w:tcW w:w="1322" w:type="dxa"/>
            <w:vAlign w:val="center"/>
          </w:tcPr>
          <w:p w14:paraId="08246FC4" w14:textId="35200028" w:rsidR="00F8101A" w:rsidRPr="000C4C17" w:rsidRDefault="00E8022F" w:rsidP="00A111E9">
            <w:pPr>
              <w:widowControl/>
              <w:rPr>
                <w:rFonts w:eastAsiaTheme="minorHAnsi"/>
                <w:sz w:val="18"/>
              </w:rPr>
            </w:pPr>
            <w:r w:rsidRPr="000C4C17">
              <w:rPr>
                <w:rFonts w:eastAsiaTheme="minorHAnsi"/>
                <w:sz w:val="18"/>
              </w:rPr>
              <w:t>Unknown</w:t>
            </w:r>
          </w:p>
        </w:tc>
      </w:tr>
      <w:tr w:rsidR="00F8101A" w:rsidRPr="000C4C17" w14:paraId="126388D4" w14:textId="77777777" w:rsidTr="001F61C9">
        <w:tc>
          <w:tcPr>
            <w:tcW w:w="1101" w:type="dxa"/>
            <w:vAlign w:val="center"/>
          </w:tcPr>
          <w:p w14:paraId="56BA5293" w14:textId="77777777" w:rsidR="00F8101A" w:rsidRPr="000C4C17" w:rsidRDefault="00F8101A" w:rsidP="00A111E9">
            <w:pPr>
              <w:widowControl/>
              <w:rPr>
                <w:rFonts w:eastAsiaTheme="minorHAnsi"/>
                <w:sz w:val="18"/>
              </w:rPr>
            </w:pPr>
            <w:r w:rsidRPr="000C4C17">
              <w:rPr>
                <w:rFonts w:eastAsiaTheme="minorHAnsi"/>
                <w:sz w:val="18"/>
              </w:rPr>
              <w:t>Robeldo</w:t>
            </w:r>
          </w:p>
        </w:tc>
        <w:tc>
          <w:tcPr>
            <w:tcW w:w="2409" w:type="dxa"/>
            <w:vAlign w:val="center"/>
          </w:tcPr>
          <w:p w14:paraId="44FEC4B8" w14:textId="69291424" w:rsidR="00F8101A" w:rsidRPr="000C4C17" w:rsidRDefault="00F8101A" w:rsidP="008036AC">
            <w:pPr>
              <w:widowControl/>
              <w:rPr>
                <w:rFonts w:eastAsiaTheme="minorHAnsi"/>
                <w:sz w:val="18"/>
              </w:rPr>
            </w:pPr>
            <w:r w:rsidRPr="000C4C17">
              <w:rPr>
                <w:rFonts w:eastAsiaTheme="minorHAnsi"/>
                <w:sz w:val="18"/>
              </w:rPr>
              <w:t>Geometric mean:</w:t>
            </w:r>
            <w:r w:rsidR="008036AC">
              <w:rPr>
                <w:rFonts w:eastAsiaTheme="minorHAnsi"/>
                <w:sz w:val="18"/>
              </w:rPr>
              <w:t xml:space="preserve"> </w:t>
            </w:r>
            <w:r w:rsidRPr="000C4C17">
              <w:rPr>
                <w:rFonts w:eastAsiaTheme="minorHAnsi"/>
                <w:sz w:val="18"/>
              </w:rPr>
              <w:t xml:space="preserve">3.16 </w:t>
            </w:r>
          </w:p>
        </w:tc>
        <w:tc>
          <w:tcPr>
            <w:tcW w:w="4490" w:type="dxa"/>
            <w:vAlign w:val="center"/>
          </w:tcPr>
          <w:p w14:paraId="7CCD8F39" w14:textId="53FAAEE0" w:rsidR="00F8101A" w:rsidRPr="000C4C17" w:rsidRDefault="00F8101A" w:rsidP="00A111E9">
            <w:pPr>
              <w:widowControl/>
              <w:rPr>
                <w:rFonts w:eastAsiaTheme="minorHAnsi"/>
                <w:sz w:val="18"/>
              </w:rPr>
            </w:pPr>
            <w:r w:rsidRPr="000C4C17">
              <w:rPr>
                <w:rFonts w:eastAsiaTheme="minorHAnsi"/>
                <w:sz w:val="18"/>
              </w:rPr>
              <w:t>Girls: -61.64 g, boys: 4.78 g per 1 standard deviation increase in the natural log of maternal PFOA concentration</w:t>
            </w:r>
          </w:p>
        </w:tc>
        <w:tc>
          <w:tcPr>
            <w:tcW w:w="1322" w:type="dxa"/>
            <w:vAlign w:val="center"/>
          </w:tcPr>
          <w:p w14:paraId="74FC6960" w14:textId="77777777" w:rsidR="00F8101A" w:rsidRPr="000C4C17" w:rsidRDefault="00F8101A" w:rsidP="00A111E9">
            <w:pPr>
              <w:widowControl/>
              <w:rPr>
                <w:rFonts w:eastAsiaTheme="minorHAnsi"/>
                <w:sz w:val="18"/>
              </w:rPr>
            </w:pPr>
            <w:r w:rsidRPr="000C4C17">
              <w:rPr>
                <w:rFonts w:eastAsiaTheme="minorHAnsi"/>
                <w:sz w:val="18"/>
              </w:rPr>
              <w:t>Inverse for girls, positive for boys</w:t>
            </w:r>
          </w:p>
        </w:tc>
      </w:tr>
      <w:tr w:rsidR="00C833CC" w:rsidRPr="000C4C17" w14:paraId="7E7CEE5B" w14:textId="77777777" w:rsidTr="001F61C9">
        <w:tc>
          <w:tcPr>
            <w:tcW w:w="1101" w:type="dxa"/>
          </w:tcPr>
          <w:p w14:paraId="792591FE" w14:textId="51A24C7A" w:rsidR="00C833CC" w:rsidRPr="000C4C17" w:rsidRDefault="00C833CC" w:rsidP="00A111E9">
            <w:pPr>
              <w:rPr>
                <w:sz w:val="18"/>
                <w:szCs w:val="18"/>
              </w:rPr>
            </w:pPr>
            <w:r w:rsidRPr="000C4C17">
              <w:rPr>
                <w:sz w:val="18"/>
                <w:szCs w:val="18"/>
              </w:rPr>
              <w:t>Lauritzen</w:t>
            </w:r>
          </w:p>
          <w:p w14:paraId="37E1E392" w14:textId="315EC7D1" w:rsidR="00C833CC" w:rsidRPr="000C4C17" w:rsidRDefault="00C833CC" w:rsidP="00A111E9">
            <w:pPr>
              <w:widowControl/>
              <w:rPr>
                <w:rFonts w:eastAsiaTheme="minorHAnsi"/>
                <w:sz w:val="18"/>
                <w:szCs w:val="18"/>
              </w:rPr>
            </w:pPr>
            <w:r w:rsidRPr="000C4C17">
              <w:rPr>
                <w:sz w:val="18"/>
                <w:szCs w:val="18"/>
              </w:rPr>
              <w:t>(Norway)</w:t>
            </w:r>
          </w:p>
        </w:tc>
        <w:tc>
          <w:tcPr>
            <w:tcW w:w="2409" w:type="dxa"/>
          </w:tcPr>
          <w:p w14:paraId="6FE420A4" w14:textId="1C247139" w:rsidR="00C833CC" w:rsidRPr="000C4C17" w:rsidRDefault="00C833CC" w:rsidP="00A111E9">
            <w:pPr>
              <w:widowControl/>
              <w:rPr>
                <w:rFonts w:eastAsiaTheme="minorHAnsi"/>
                <w:sz w:val="18"/>
                <w:szCs w:val="18"/>
              </w:rPr>
            </w:pPr>
            <w:r w:rsidRPr="000C4C17">
              <w:rPr>
                <w:sz w:val="18"/>
                <w:szCs w:val="18"/>
              </w:rPr>
              <w:t>Median 1.62 (range 0.31 – 7.97)</w:t>
            </w:r>
          </w:p>
        </w:tc>
        <w:tc>
          <w:tcPr>
            <w:tcW w:w="4490" w:type="dxa"/>
          </w:tcPr>
          <w:p w14:paraId="1DC53428" w14:textId="3D185872" w:rsidR="00C833CC" w:rsidRPr="000C4C17" w:rsidRDefault="00C833CC" w:rsidP="00A111E9">
            <w:pPr>
              <w:widowControl/>
              <w:rPr>
                <w:rFonts w:eastAsiaTheme="minorHAnsi"/>
                <w:sz w:val="18"/>
                <w:szCs w:val="18"/>
              </w:rPr>
            </w:pPr>
            <w:r w:rsidRPr="000C4C17">
              <w:rPr>
                <w:sz w:val="18"/>
                <w:szCs w:val="18"/>
              </w:rPr>
              <w:t>37 g per natural log unit</w:t>
            </w:r>
          </w:p>
        </w:tc>
        <w:tc>
          <w:tcPr>
            <w:tcW w:w="1322" w:type="dxa"/>
          </w:tcPr>
          <w:p w14:paraId="316EB0AF" w14:textId="06A3B6A3" w:rsidR="00C833CC" w:rsidRPr="000C4C17" w:rsidRDefault="00C833CC" w:rsidP="00A111E9">
            <w:pPr>
              <w:widowControl/>
              <w:rPr>
                <w:rFonts w:eastAsiaTheme="minorHAnsi"/>
                <w:sz w:val="18"/>
                <w:szCs w:val="18"/>
              </w:rPr>
            </w:pPr>
            <w:r w:rsidRPr="000C4C17">
              <w:rPr>
                <w:sz w:val="18"/>
                <w:szCs w:val="18"/>
              </w:rPr>
              <w:t>Positive</w:t>
            </w:r>
          </w:p>
        </w:tc>
      </w:tr>
      <w:tr w:rsidR="00C833CC" w:rsidRPr="000C4C17" w14:paraId="18CC422F" w14:textId="77777777" w:rsidTr="001F61C9">
        <w:tc>
          <w:tcPr>
            <w:tcW w:w="1101" w:type="dxa"/>
          </w:tcPr>
          <w:p w14:paraId="42036688" w14:textId="52684ECC" w:rsidR="00C833CC" w:rsidRPr="000C4C17" w:rsidRDefault="00C833CC" w:rsidP="00A111E9">
            <w:pPr>
              <w:widowControl/>
              <w:rPr>
                <w:rFonts w:eastAsiaTheme="minorHAnsi"/>
                <w:sz w:val="18"/>
                <w:szCs w:val="18"/>
              </w:rPr>
            </w:pPr>
            <w:r w:rsidRPr="000C4C17">
              <w:rPr>
                <w:sz w:val="18"/>
                <w:szCs w:val="18"/>
              </w:rPr>
              <w:t>Lauritzen (Sweden)</w:t>
            </w:r>
          </w:p>
        </w:tc>
        <w:tc>
          <w:tcPr>
            <w:tcW w:w="2409" w:type="dxa"/>
          </w:tcPr>
          <w:p w14:paraId="178137A4" w14:textId="1040BED9" w:rsidR="00C833CC" w:rsidRPr="000C4C17" w:rsidRDefault="00C833CC" w:rsidP="00A111E9">
            <w:pPr>
              <w:widowControl/>
              <w:rPr>
                <w:rFonts w:eastAsiaTheme="minorHAnsi"/>
                <w:sz w:val="18"/>
                <w:szCs w:val="18"/>
              </w:rPr>
            </w:pPr>
            <w:r w:rsidRPr="000C4C17">
              <w:rPr>
                <w:sz w:val="18"/>
                <w:szCs w:val="18"/>
              </w:rPr>
              <w:t>Median 2.33 (range 9.60 – 6.70)</w:t>
            </w:r>
          </w:p>
        </w:tc>
        <w:tc>
          <w:tcPr>
            <w:tcW w:w="4490" w:type="dxa"/>
          </w:tcPr>
          <w:p w14:paraId="534045F3" w14:textId="1EE64CEC" w:rsidR="00C833CC" w:rsidRPr="000C4C17" w:rsidRDefault="00C833CC" w:rsidP="00A111E9">
            <w:pPr>
              <w:widowControl/>
              <w:rPr>
                <w:rFonts w:eastAsiaTheme="minorHAnsi"/>
                <w:sz w:val="18"/>
                <w:szCs w:val="18"/>
              </w:rPr>
            </w:pPr>
            <w:r w:rsidRPr="000C4C17">
              <w:rPr>
                <w:sz w:val="18"/>
                <w:szCs w:val="18"/>
              </w:rPr>
              <w:t>-359 g per natural log unit</w:t>
            </w:r>
          </w:p>
        </w:tc>
        <w:tc>
          <w:tcPr>
            <w:tcW w:w="1322" w:type="dxa"/>
          </w:tcPr>
          <w:p w14:paraId="63C85E08" w14:textId="63F1E843" w:rsidR="00C833CC" w:rsidRPr="000C4C17" w:rsidRDefault="00C833CC" w:rsidP="00A111E9">
            <w:pPr>
              <w:widowControl/>
              <w:rPr>
                <w:rFonts w:eastAsiaTheme="minorHAnsi"/>
                <w:sz w:val="18"/>
                <w:szCs w:val="18"/>
              </w:rPr>
            </w:pPr>
            <w:r w:rsidRPr="000C4C17">
              <w:rPr>
                <w:sz w:val="18"/>
                <w:szCs w:val="18"/>
              </w:rPr>
              <w:t>Inverse</w:t>
            </w:r>
          </w:p>
        </w:tc>
      </w:tr>
      <w:tr w:rsidR="00C833CC" w:rsidRPr="000C4C17" w14:paraId="78188D65" w14:textId="77777777" w:rsidTr="001F61C9">
        <w:tc>
          <w:tcPr>
            <w:tcW w:w="1101" w:type="dxa"/>
          </w:tcPr>
          <w:p w14:paraId="7EA3175C" w14:textId="67A6B6AC" w:rsidR="00C833CC" w:rsidRPr="000C4C17" w:rsidRDefault="00C833CC" w:rsidP="00A111E9">
            <w:pPr>
              <w:widowControl/>
              <w:rPr>
                <w:rFonts w:eastAsiaTheme="minorHAnsi"/>
                <w:sz w:val="18"/>
                <w:szCs w:val="18"/>
              </w:rPr>
            </w:pPr>
            <w:r w:rsidRPr="000C4C17">
              <w:rPr>
                <w:sz w:val="18"/>
                <w:szCs w:val="18"/>
              </w:rPr>
              <w:t>Alkhalawi</w:t>
            </w:r>
          </w:p>
        </w:tc>
        <w:tc>
          <w:tcPr>
            <w:tcW w:w="2409" w:type="dxa"/>
          </w:tcPr>
          <w:p w14:paraId="7B54C778" w14:textId="77777777" w:rsidR="00C833CC" w:rsidRPr="000C4C17" w:rsidRDefault="00C833CC" w:rsidP="00A111E9">
            <w:pPr>
              <w:rPr>
                <w:sz w:val="18"/>
                <w:szCs w:val="18"/>
              </w:rPr>
            </w:pPr>
            <w:r w:rsidRPr="000C4C17">
              <w:rPr>
                <w:sz w:val="18"/>
                <w:szCs w:val="18"/>
              </w:rPr>
              <w:t>25</w:t>
            </w:r>
            <w:r w:rsidRPr="000C4C17">
              <w:rPr>
                <w:sz w:val="18"/>
                <w:szCs w:val="18"/>
                <w:vertAlign w:val="superscript"/>
              </w:rPr>
              <w:t>th</w:t>
            </w:r>
            <w:r w:rsidRPr="000C4C17">
              <w:rPr>
                <w:sz w:val="18"/>
                <w:szCs w:val="18"/>
              </w:rPr>
              <w:t xml:space="preserve"> centile 1.99</w:t>
            </w:r>
          </w:p>
          <w:p w14:paraId="7E753D34" w14:textId="77777777" w:rsidR="00C833CC" w:rsidRPr="000C4C17" w:rsidRDefault="00C833CC" w:rsidP="00A111E9">
            <w:pPr>
              <w:rPr>
                <w:sz w:val="18"/>
                <w:szCs w:val="18"/>
              </w:rPr>
            </w:pPr>
            <w:r w:rsidRPr="000C4C17">
              <w:rPr>
                <w:sz w:val="18"/>
                <w:szCs w:val="18"/>
              </w:rPr>
              <w:t>50</w:t>
            </w:r>
            <w:r w:rsidRPr="000C4C17">
              <w:rPr>
                <w:sz w:val="18"/>
                <w:szCs w:val="18"/>
                <w:vertAlign w:val="superscript"/>
              </w:rPr>
              <w:t>th</w:t>
            </w:r>
            <w:r w:rsidRPr="000C4C17">
              <w:rPr>
                <w:sz w:val="18"/>
                <w:szCs w:val="18"/>
              </w:rPr>
              <w:t xml:space="preserve"> centile 2.75</w:t>
            </w:r>
          </w:p>
          <w:p w14:paraId="51C410EB" w14:textId="72B9F956" w:rsidR="00C833CC" w:rsidRPr="000C4C17" w:rsidRDefault="00C833CC" w:rsidP="00A111E9">
            <w:pPr>
              <w:widowControl/>
              <w:rPr>
                <w:rFonts w:eastAsiaTheme="minorHAnsi"/>
                <w:sz w:val="18"/>
                <w:szCs w:val="18"/>
              </w:rPr>
            </w:pPr>
            <w:r w:rsidRPr="000C4C17">
              <w:rPr>
                <w:sz w:val="18"/>
                <w:szCs w:val="18"/>
              </w:rPr>
              <w:t>75</w:t>
            </w:r>
            <w:r w:rsidRPr="000C4C17">
              <w:rPr>
                <w:sz w:val="18"/>
                <w:szCs w:val="18"/>
                <w:vertAlign w:val="superscript"/>
              </w:rPr>
              <w:t>th</w:t>
            </w:r>
            <w:r w:rsidRPr="000C4C17">
              <w:rPr>
                <w:sz w:val="18"/>
                <w:szCs w:val="18"/>
              </w:rPr>
              <w:t xml:space="preserve"> centile 3.52</w:t>
            </w:r>
          </w:p>
        </w:tc>
        <w:tc>
          <w:tcPr>
            <w:tcW w:w="4490" w:type="dxa"/>
          </w:tcPr>
          <w:p w14:paraId="69C9E1CF" w14:textId="639F4569" w:rsidR="00C833CC" w:rsidRPr="000C4C17" w:rsidRDefault="00C833CC" w:rsidP="00A111E9">
            <w:pPr>
              <w:widowControl/>
              <w:rPr>
                <w:rFonts w:eastAsiaTheme="minorHAnsi"/>
                <w:sz w:val="18"/>
                <w:szCs w:val="18"/>
              </w:rPr>
            </w:pPr>
            <w:r w:rsidRPr="000C4C17">
              <w:rPr>
                <w:sz w:val="18"/>
                <w:szCs w:val="18"/>
              </w:rPr>
              <w:t>“the correlation coefficient for birthweight was negative”</w:t>
            </w:r>
          </w:p>
        </w:tc>
        <w:tc>
          <w:tcPr>
            <w:tcW w:w="1322" w:type="dxa"/>
          </w:tcPr>
          <w:p w14:paraId="00E8A542" w14:textId="461D287A" w:rsidR="00C833CC" w:rsidRPr="000C4C17" w:rsidRDefault="00C833CC" w:rsidP="00A111E9">
            <w:pPr>
              <w:widowControl/>
              <w:rPr>
                <w:rFonts w:eastAsiaTheme="minorHAnsi"/>
                <w:sz w:val="18"/>
                <w:szCs w:val="18"/>
              </w:rPr>
            </w:pPr>
            <w:r w:rsidRPr="000C4C17">
              <w:rPr>
                <w:sz w:val="18"/>
                <w:szCs w:val="18"/>
              </w:rPr>
              <w:t>Inverse</w:t>
            </w:r>
          </w:p>
        </w:tc>
      </w:tr>
      <w:tr w:rsidR="00C833CC" w:rsidRPr="000C4C17" w14:paraId="7E135562" w14:textId="77777777" w:rsidTr="001F61C9">
        <w:tc>
          <w:tcPr>
            <w:tcW w:w="1101" w:type="dxa"/>
          </w:tcPr>
          <w:p w14:paraId="4A1A258C" w14:textId="29F8BAA6" w:rsidR="00C833CC" w:rsidRPr="000C4C17" w:rsidRDefault="00C833CC" w:rsidP="00A111E9">
            <w:pPr>
              <w:widowControl/>
              <w:rPr>
                <w:rFonts w:eastAsiaTheme="minorHAnsi"/>
                <w:sz w:val="18"/>
                <w:szCs w:val="18"/>
              </w:rPr>
            </w:pPr>
            <w:r w:rsidRPr="000C4C17">
              <w:rPr>
                <w:sz w:val="18"/>
                <w:szCs w:val="18"/>
              </w:rPr>
              <w:t>Shi</w:t>
            </w:r>
          </w:p>
        </w:tc>
        <w:tc>
          <w:tcPr>
            <w:tcW w:w="2409" w:type="dxa"/>
          </w:tcPr>
          <w:p w14:paraId="5D7DE38C" w14:textId="77777777" w:rsidR="00C833CC" w:rsidRPr="000C4C17" w:rsidRDefault="00C833CC" w:rsidP="00A111E9">
            <w:pPr>
              <w:rPr>
                <w:sz w:val="18"/>
                <w:szCs w:val="18"/>
              </w:rPr>
            </w:pPr>
            <w:r w:rsidRPr="000C4C17">
              <w:rPr>
                <w:sz w:val="18"/>
                <w:szCs w:val="18"/>
              </w:rPr>
              <w:t>25</w:t>
            </w:r>
            <w:r w:rsidRPr="000C4C17">
              <w:rPr>
                <w:sz w:val="18"/>
                <w:szCs w:val="18"/>
                <w:vertAlign w:val="superscript"/>
              </w:rPr>
              <w:t>th</w:t>
            </w:r>
            <w:r w:rsidRPr="000C4C17">
              <w:rPr>
                <w:sz w:val="18"/>
                <w:szCs w:val="18"/>
              </w:rPr>
              <w:t xml:space="preserve"> centile 0.82</w:t>
            </w:r>
          </w:p>
          <w:p w14:paraId="418F50F2" w14:textId="77777777" w:rsidR="00C833CC" w:rsidRPr="000C4C17" w:rsidRDefault="00C833CC" w:rsidP="00A111E9">
            <w:pPr>
              <w:rPr>
                <w:sz w:val="18"/>
                <w:szCs w:val="18"/>
              </w:rPr>
            </w:pPr>
            <w:r w:rsidRPr="000C4C17">
              <w:rPr>
                <w:sz w:val="18"/>
                <w:szCs w:val="18"/>
              </w:rPr>
              <w:t>50</w:t>
            </w:r>
            <w:r w:rsidRPr="000C4C17">
              <w:rPr>
                <w:sz w:val="18"/>
                <w:szCs w:val="18"/>
                <w:vertAlign w:val="superscript"/>
              </w:rPr>
              <w:t>th</w:t>
            </w:r>
            <w:r w:rsidRPr="000C4C17">
              <w:rPr>
                <w:sz w:val="18"/>
                <w:szCs w:val="18"/>
              </w:rPr>
              <w:t xml:space="preserve"> centile 1.1</w:t>
            </w:r>
          </w:p>
          <w:p w14:paraId="681F4D90" w14:textId="32211AA6" w:rsidR="00C833CC" w:rsidRPr="000C4C17" w:rsidRDefault="00C833CC" w:rsidP="00A111E9">
            <w:pPr>
              <w:widowControl/>
              <w:rPr>
                <w:rFonts w:eastAsiaTheme="minorHAnsi"/>
                <w:sz w:val="18"/>
                <w:szCs w:val="18"/>
              </w:rPr>
            </w:pPr>
            <w:r w:rsidRPr="000C4C17">
              <w:rPr>
                <w:sz w:val="18"/>
                <w:szCs w:val="18"/>
              </w:rPr>
              <w:t>75</w:t>
            </w:r>
            <w:r w:rsidRPr="000C4C17">
              <w:rPr>
                <w:sz w:val="18"/>
                <w:szCs w:val="18"/>
                <w:vertAlign w:val="superscript"/>
              </w:rPr>
              <w:t>th</w:t>
            </w:r>
            <w:r w:rsidRPr="000C4C17">
              <w:rPr>
                <w:sz w:val="18"/>
                <w:szCs w:val="18"/>
              </w:rPr>
              <w:t xml:space="preserve"> centile 1.4</w:t>
            </w:r>
          </w:p>
        </w:tc>
        <w:tc>
          <w:tcPr>
            <w:tcW w:w="4490" w:type="dxa"/>
          </w:tcPr>
          <w:p w14:paraId="3B0817C4" w14:textId="77777777" w:rsidR="00C833CC" w:rsidRPr="000C4C17" w:rsidRDefault="00C833CC" w:rsidP="00A111E9">
            <w:pPr>
              <w:rPr>
                <w:sz w:val="18"/>
                <w:szCs w:val="18"/>
              </w:rPr>
            </w:pPr>
          </w:p>
          <w:p w14:paraId="13EF881F" w14:textId="40847C4A" w:rsidR="00C833CC" w:rsidRPr="000C4C17" w:rsidRDefault="00C833CC" w:rsidP="00A111E9">
            <w:pPr>
              <w:widowControl/>
              <w:rPr>
                <w:rFonts w:eastAsiaTheme="minorHAnsi"/>
                <w:sz w:val="18"/>
                <w:szCs w:val="18"/>
              </w:rPr>
            </w:pPr>
            <w:r w:rsidRPr="000C4C17">
              <w:rPr>
                <w:sz w:val="18"/>
                <w:szCs w:val="18"/>
              </w:rPr>
              <w:t>163g per log 10 unit PFOA</w:t>
            </w:r>
          </w:p>
        </w:tc>
        <w:tc>
          <w:tcPr>
            <w:tcW w:w="1322" w:type="dxa"/>
          </w:tcPr>
          <w:p w14:paraId="7D3CC92B" w14:textId="77777777" w:rsidR="00C833CC" w:rsidRPr="000C4C17" w:rsidRDefault="00C833CC" w:rsidP="00A111E9">
            <w:pPr>
              <w:rPr>
                <w:sz w:val="18"/>
                <w:szCs w:val="18"/>
              </w:rPr>
            </w:pPr>
          </w:p>
          <w:p w14:paraId="6745DBEF" w14:textId="329F7282" w:rsidR="00C833CC" w:rsidRPr="000C4C17" w:rsidRDefault="00C833CC" w:rsidP="00A111E9">
            <w:pPr>
              <w:widowControl/>
              <w:rPr>
                <w:rFonts w:eastAsiaTheme="minorHAnsi"/>
                <w:sz w:val="18"/>
                <w:szCs w:val="18"/>
              </w:rPr>
            </w:pPr>
            <w:r w:rsidRPr="000C4C17">
              <w:rPr>
                <w:sz w:val="18"/>
                <w:szCs w:val="18"/>
              </w:rPr>
              <w:t>Positive</w:t>
            </w:r>
          </w:p>
        </w:tc>
      </w:tr>
    </w:tbl>
    <w:p w14:paraId="4980E890" w14:textId="3D964FCF" w:rsidR="00930BB6" w:rsidRPr="000C4C17" w:rsidRDefault="00930BB6" w:rsidP="00A111E9">
      <w:pPr>
        <w:widowControl/>
        <w:rPr>
          <w:rFonts w:eastAsiaTheme="minorHAnsi" w:cstheme="minorBidi"/>
          <w:szCs w:val="22"/>
          <w:lang w:bidi="ar-SA"/>
        </w:rPr>
      </w:pPr>
      <w:bookmarkStart w:id="529" w:name="_Toc468712793"/>
      <w:bookmarkStart w:id="530" w:name="_Toc468716485"/>
      <w:bookmarkStart w:id="531" w:name="_Toc468709472"/>
      <w:bookmarkStart w:id="532" w:name="_Toc468717772"/>
      <w:bookmarkStart w:id="533" w:name="_Toc468718416"/>
      <w:bookmarkStart w:id="534" w:name="_Toc468719399"/>
      <w:r w:rsidRPr="00F81989">
        <w:rPr>
          <w:rFonts w:eastAsiaTheme="minorHAnsi" w:cstheme="minorBidi"/>
          <w:szCs w:val="22"/>
          <w:lang w:bidi="ar-SA"/>
        </w:rPr>
        <w:t>The linear analysis that underlies the meta-analysis in Figure A1.4 assumes that the incremental association is not related to PFOA concentration</w:t>
      </w:r>
      <w:r w:rsidR="008036AC">
        <w:rPr>
          <w:rFonts w:eastAsiaTheme="minorHAnsi" w:cstheme="minorBidi"/>
          <w:szCs w:val="22"/>
          <w:lang w:bidi="ar-SA"/>
        </w:rPr>
        <w:t xml:space="preserve"> whereas the graphical presentation (Figure A1.5) challenges this assumption</w:t>
      </w:r>
      <w:r w:rsidRPr="00F81989">
        <w:rPr>
          <w:rFonts w:eastAsiaTheme="minorHAnsi" w:cstheme="minorBidi"/>
          <w:szCs w:val="22"/>
          <w:lang w:bidi="ar-SA"/>
        </w:rPr>
        <w:t>. Comparison of the studies in the updated meta-analysis (Figure A1.4) and the graph (Figure A1.5) shows that most studies in the meta-analysis examined blood PFOA concentrations of &lt;20 ng/mL. Only three studies examined blood PFOA of 40 ng/mL and the meta-analysis results do not align well with the results of these three studies at around 40 ng/L or higher. Extrapolation of the meta-analysis result of -11.9 g birthweight/ng/mL leads to a difference in birthweight -476 g at 40 ng/mL PFOA. By contrast, the three studies with data at 40 ng/mL have results ranging from zero (which is the largest study in the dataset) to -400 g birthweight (Figure A1.5). This discrepancy indicates that the results of the meta-analysis should not be used to extrapolate the association with birthweight above about 20 ng/mL PFOA</w:t>
      </w:r>
      <w:r w:rsidR="00F8378F" w:rsidRPr="00F81989">
        <w:rPr>
          <w:rFonts w:eastAsiaTheme="minorHAnsi" w:cstheme="minorBidi"/>
          <w:szCs w:val="22"/>
          <w:lang w:bidi="ar-SA"/>
        </w:rPr>
        <w:t>.</w:t>
      </w:r>
    </w:p>
    <w:p w14:paraId="7166BA9B" w14:textId="77777777" w:rsidR="00930BB6" w:rsidRPr="000C4C17" w:rsidRDefault="00930BB6" w:rsidP="00A111E9">
      <w:pPr>
        <w:widowControl/>
        <w:rPr>
          <w:rFonts w:eastAsiaTheme="minorHAnsi" w:cstheme="minorBidi"/>
          <w:szCs w:val="22"/>
          <w:lang w:bidi="ar-SA"/>
        </w:rPr>
      </w:pPr>
    </w:p>
    <w:p w14:paraId="0D11D030" w14:textId="238579DA" w:rsidR="00930BB6" w:rsidRPr="000C4C17" w:rsidRDefault="00930BB6" w:rsidP="00A111E9">
      <w:pPr>
        <w:widowControl/>
        <w:rPr>
          <w:rFonts w:eastAsiaTheme="minorHAnsi" w:cstheme="minorBidi"/>
          <w:szCs w:val="22"/>
          <w:lang w:bidi="ar-SA"/>
        </w:rPr>
      </w:pPr>
      <w:r>
        <w:rPr>
          <w:rFonts w:eastAsiaTheme="minorHAnsi" w:cstheme="minorBidi"/>
          <w:szCs w:val="22"/>
          <w:lang w:bidi="ar-SA"/>
        </w:rPr>
        <w:t xml:space="preserve">A number of studies could not be included in either Figure A1.4 or A1.5 owing to their reporting format. Their results are summarised in </w:t>
      </w:r>
      <w:r w:rsidRPr="000C4C17">
        <w:rPr>
          <w:rFonts w:eastAsiaTheme="minorHAnsi" w:cstheme="minorBidi"/>
          <w:szCs w:val="22"/>
          <w:lang w:bidi="ar-SA"/>
        </w:rPr>
        <w:t>Table A1.7</w:t>
      </w:r>
      <w:r>
        <w:rPr>
          <w:rFonts w:eastAsiaTheme="minorHAnsi" w:cstheme="minorBidi"/>
          <w:szCs w:val="22"/>
          <w:lang w:bidi="ar-SA"/>
        </w:rPr>
        <w:t>. Like the other studies, most report an inverse association, but some report a positive association. Some of the studies have very narrow ranges of PFOA concentration.</w:t>
      </w:r>
    </w:p>
    <w:p w14:paraId="0F84F7B9" w14:textId="77777777" w:rsidR="00F8101A" w:rsidRPr="000C4C17" w:rsidRDefault="00F8101A" w:rsidP="00A366A0">
      <w:pPr>
        <w:pStyle w:val="Heading4"/>
      </w:pPr>
      <w:r w:rsidRPr="000C4C17">
        <w:t>The association between PFOS and birthweight</w:t>
      </w:r>
      <w:bookmarkEnd w:id="529"/>
      <w:bookmarkEnd w:id="530"/>
      <w:bookmarkEnd w:id="531"/>
      <w:bookmarkEnd w:id="532"/>
      <w:bookmarkEnd w:id="533"/>
      <w:bookmarkEnd w:id="534"/>
    </w:p>
    <w:p w14:paraId="1C2C0FE9" w14:textId="7856B114" w:rsidR="00F8101A" w:rsidRPr="000C4C17" w:rsidRDefault="00F8101A" w:rsidP="00A111E9">
      <w:pPr>
        <w:widowControl/>
        <w:rPr>
          <w:rFonts w:eastAsiaTheme="minorHAnsi" w:cstheme="minorBidi"/>
          <w:noProof/>
          <w:szCs w:val="22"/>
          <w:lang w:val="en-AU" w:eastAsia="en-AU" w:bidi="ar-SA"/>
        </w:rPr>
      </w:pPr>
      <w:r w:rsidRPr="000C4C17">
        <w:rPr>
          <w:rFonts w:eastAsiaTheme="minorHAnsi" w:cstheme="minorBidi"/>
          <w:noProof/>
          <w:szCs w:val="22"/>
          <w:lang w:val="en-AU" w:eastAsia="en-AU" w:bidi="ar-SA"/>
        </w:rPr>
        <w:t xml:space="preserve">The PFOS analysis follows the same approach as that described above for PFOA, and the set of literature </w:t>
      </w:r>
      <w:r w:rsidR="00C62489">
        <w:rPr>
          <w:rFonts w:eastAsiaTheme="minorHAnsi" w:cstheme="minorBidi"/>
          <w:noProof/>
          <w:szCs w:val="22"/>
          <w:lang w:val="en-AU" w:eastAsia="en-AU" w:bidi="ar-SA"/>
        </w:rPr>
        <w:t>examined</w:t>
      </w:r>
      <w:r w:rsidRPr="000C4C17">
        <w:rPr>
          <w:rFonts w:eastAsiaTheme="minorHAnsi" w:cstheme="minorBidi"/>
          <w:noProof/>
          <w:szCs w:val="22"/>
          <w:lang w:val="en-AU" w:eastAsia="en-AU" w:bidi="ar-SA"/>
        </w:rPr>
        <w:t xml:space="preserve"> is almost identical with the exception that Wu </w:t>
      </w:r>
      <w:r w:rsidR="00180A32" w:rsidRPr="00180A32">
        <w:rPr>
          <w:rFonts w:eastAsiaTheme="minorHAnsi" w:cstheme="minorBidi"/>
          <w:i/>
          <w:noProof/>
          <w:szCs w:val="22"/>
          <w:lang w:val="en-AU" w:eastAsia="en-AU" w:bidi="ar-SA"/>
        </w:rPr>
        <w:t xml:space="preserve">et al. </w:t>
      </w:r>
      <w:r w:rsidR="00CC50B8">
        <w:rPr>
          <w:rFonts w:eastAsiaTheme="minorHAnsi" w:cstheme="minorBidi"/>
          <w:noProof/>
          <w:szCs w:val="22"/>
          <w:lang w:val="en-AU" w:eastAsia="en-AU" w:bidi="ar-SA"/>
        </w:rPr>
        <w:t xml:space="preserve"> </w:t>
      </w:r>
      <w:r w:rsidRPr="000C4C17">
        <w:rPr>
          <w:rFonts w:eastAsiaTheme="minorHAnsi" w:cstheme="minorBidi"/>
          <w:noProof/>
          <w:szCs w:val="22"/>
          <w:lang w:val="en-AU" w:eastAsia="en-AU" w:bidi="ar-SA"/>
        </w:rPr>
        <w:t xml:space="preserve">(2012) </w:t>
      </w:r>
      <w:r w:rsidR="006B6BD6">
        <w:rPr>
          <w:rFonts w:eastAsiaTheme="minorHAnsi" w:cstheme="minorBidi"/>
          <w:noProof/>
          <w:szCs w:val="22"/>
          <w:lang w:val="en-AU" w:eastAsia="en-AU" w:bidi="ar-SA"/>
        </w:rPr>
        <w:t xml:space="preserve">and Wang </w:t>
      </w:r>
      <w:r w:rsidR="00180A32" w:rsidRPr="00180A32">
        <w:rPr>
          <w:rFonts w:eastAsiaTheme="minorHAnsi" w:cstheme="minorBidi"/>
          <w:i/>
          <w:noProof/>
          <w:szCs w:val="22"/>
          <w:lang w:val="en-AU" w:eastAsia="en-AU" w:bidi="ar-SA"/>
        </w:rPr>
        <w:t xml:space="preserve">et al. </w:t>
      </w:r>
      <w:r w:rsidR="00CC50B8">
        <w:rPr>
          <w:rFonts w:eastAsiaTheme="minorHAnsi" w:cstheme="minorBidi"/>
          <w:noProof/>
          <w:szCs w:val="22"/>
          <w:lang w:val="en-AU" w:eastAsia="en-AU" w:bidi="ar-SA"/>
        </w:rPr>
        <w:t xml:space="preserve"> </w:t>
      </w:r>
      <w:r w:rsidR="006B6BD6">
        <w:rPr>
          <w:rFonts w:eastAsiaTheme="minorHAnsi" w:cstheme="minorBidi"/>
          <w:noProof/>
          <w:szCs w:val="22"/>
          <w:lang w:val="en-AU" w:eastAsia="en-AU" w:bidi="ar-SA"/>
        </w:rPr>
        <w:t>(2016</w:t>
      </w:r>
      <w:r w:rsidRPr="000C4C17">
        <w:rPr>
          <w:rFonts w:eastAsiaTheme="minorHAnsi" w:cstheme="minorBidi"/>
          <w:noProof/>
          <w:szCs w:val="22"/>
          <w:lang w:val="en-AU" w:eastAsia="en-AU" w:bidi="ar-SA"/>
        </w:rPr>
        <w:t xml:space="preserve">) only measured PFOA and Grice </w:t>
      </w:r>
      <w:r w:rsidR="00180A32" w:rsidRPr="00180A32">
        <w:rPr>
          <w:rFonts w:eastAsiaTheme="minorHAnsi" w:cstheme="minorBidi"/>
          <w:i/>
          <w:noProof/>
          <w:szCs w:val="22"/>
          <w:lang w:val="en-AU" w:eastAsia="en-AU" w:bidi="ar-SA"/>
        </w:rPr>
        <w:t xml:space="preserve">et al. </w:t>
      </w:r>
      <w:r w:rsidR="00CC50B8">
        <w:rPr>
          <w:rFonts w:eastAsiaTheme="minorHAnsi" w:cstheme="minorBidi"/>
          <w:noProof/>
          <w:szCs w:val="22"/>
          <w:lang w:val="en-AU" w:eastAsia="en-AU" w:bidi="ar-SA"/>
        </w:rPr>
        <w:t xml:space="preserve"> </w:t>
      </w:r>
      <w:r w:rsidR="006B6BD6">
        <w:rPr>
          <w:rFonts w:eastAsiaTheme="minorHAnsi" w:cstheme="minorBidi"/>
          <w:noProof/>
          <w:szCs w:val="22"/>
          <w:lang w:val="en-AU" w:eastAsia="en-AU" w:bidi="ar-SA"/>
        </w:rPr>
        <w:t xml:space="preserve">(2007) </w:t>
      </w:r>
      <w:r w:rsidRPr="000C4C17">
        <w:rPr>
          <w:rFonts w:eastAsiaTheme="minorHAnsi" w:cstheme="minorBidi"/>
          <w:noProof/>
          <w:szCs w:val="22"/>
          <w:lang w:val="en-AU" w:eastAsia="en-AU" w:bidi="ar-SA"/>
        </w:rPr>
        <w:t xml:space="preserve">only measured PFOS. There is no quantitative analysis of PFOS that parallels that provided by Johnson </w:t>
      </w:r>
      <w:r w:rsidR="00180A32" w:rsidRPr="00180A32">
        <w:rPr>
          <w:rFonts w:eastAsiaTheme="minorHAnsi" w:cstheme="minorBidi"/>
          <w:i/>
          <w:noProof/>
          <w:szCs w:val="22"/>
          <w:lang w:val="en-AU" w:eastAsia="en-AU" w:bidi="ar-SA"/>
        </w:rPr>
        <w:t xml:space="preserve">et al. </w:t>
      </w:r>
      <w:r w:rsidR="00CC50B8">
        <w:rPr>
          <w:rFonts w:eastAsiaTheme="minorHAnsi" w:cstheme="minorBidi"/>
          <w:noProof/>
          <w:szCs w:val="22"/>
          <w:lang w:val="en-AU" w:eastAsia="en-AU" w:bidi="ar-SA"/>
        </w:rPr>
        <w:t xml:space="preserve"> </w:t>
      </w:r>
      <w:r w:rsidRPr="000C4C17">
        <w:rPr>
          <w:rFonts w:eastAsiaTheme="minorHAnsi" w:cstheme="minorBidi"/>
          <w:noProof/>
          <w:szCs w:val="22"/>
          <w:lang w:val="en-AU" w:eastAsia="en-AU" w:bidi="ar-SA"/>
        </w:rPr>
        <w:t>(2014) for PFOA.</w:t>
      </w:r>
    </w:p>
    <w:p w14:paraId="616B2CFE" w14:textId="77777777" w:rsidR="00F8101A" w:rsidRPr="000C4C17" w:rsidRDefault="00F8101A" w:rsidP="00A366A0">
      <w:pPr>
        <w:pStyle w:val="Heading5"/>
        <w:rPr>
          <w:rFonts w:eastAsiaTheme="minorHAnsi"/>
          <w:lang w:val="en-AU" w:eastAsia="en-AU"/>
        </w:rPr>
      </w:pPr>
      <w:bookmarkStart w:id="535" w:name="_Toc468712794"/>
      <w:bookmarkStart w:id="536" w:name="_Toc468716486"/>
      <w:bookmarkStart w:id="537" w:name="_Toc468709473"/>
      <w:bookmarkStart w:id="538" w:name="_Toc468717773"/>
      <w:bookmarkStart w:id="539" w:name="_Toc468718417"/>
      <w:r w:rsidRPr="000C4C17">
        <w:rPr>
          <w:rFonts w:eastAsiaTheme="majorEastAsia"/>
          <w:noProof/>
          <w:lang w:val="en-AU" w:eastAsia="en-AU"/>
        </w:rPr>
        <w:lastRenderedPageBreak/>
        <w:t>Existing systematic review</w:t>
      </w:r>
      <w:bookmarkEnd w:id="535"/>
      <w:bookmarkEnd w:id="536"/>
      <w:bookmarkEnd w:id="537"/>
      <w:bookmarkEnd w:id="538"/>
      <w:bookmarkEnd w:id="539"/>
    </w:p>
    <w:p w14:paraId="67A9F3D2" w14:textId="7948292D" w:rsidR="00F8101A" w:rsidRPr="000C4C17" w:rsidRDefault="00F8101A" w:rsidP="00A111E9">
      <w:pPr>
        <w:widowControl/>
        <w:rPr>
          <w:rFonts w:eastAsiaTheme="minorHAnsi" w:cstheme="minorBidi"/>
          <w:noProof/>
          <w:szCs w:val="22"/>
          <w:lang w:val="en-AU" w:eastAsia="en-AU" w:bidi="ar-SA"/>
        </w:rPr>
      </w:pPr>
      <w:r w:rsidRPr="000C4C17">
        <w:rPr>
          <w:rFonts w:eastAsiaTheme="minorHAnsi" w:cstheme="minorBidi"/>
          <w:noProof/>
          <w:szCs w:val="22"/>
          <w:lang w:val="en-AU" w:eastAsia="en-AU" w:bidi="ar-SA"/>
        </w:rPr>
        <w:t xml:space="preserve">Bach </w:t>
      </w:r>
      <w:r w:rsidR="00180A32" w:rsidRPr="00180A32">
        <w:rPr>
          <w:rFonts w:eastAsiaTheme="minorHAnsi" w:cstheme="minorBidi"/>
          <w:i/>
          <w:noProof/>
          <w:szCs w:val="22"/>
          <w:lang w:val="en-AU" w:eastAsia="en-AU" w:bidi="ar-SA"/>
        </w:rPr>
        <w:t xml:space="preserve">et al. </w:t>
      </w:r>
      <w:r w:rsidR="00CC50B8">
        <w:rPr>
          <w:rFonts w:eastAsiaTheme="minorHAnsi" w:cstheme="minorBidi"/>
          <w:noProof/>
          <w:szCs w:val="22"/>
          <w:lang w:val="en-AU" w:eastAsia="en-AU" w:bidi="ar-SA"/>
        </w:rPr>
        <w:t xml:space="preserve"> </w:t>
      </w:r>
      <w:r w:rsidRPr="000C4C17">
        <w:rPr>
          <w:rFonts w:eastAsiaTheme="minorHAnsi" w:cstheme="minorBidi"/>
          <w:noProof/>
          <w:szCs w:val="22"/>
          <w:lang w:val="en-AU" w:eastAsia="en-AU" w:bidi="ar-SA"/>
        </w:rPr>
        <w:t xml:space="preserve">(2015) was the only systematic review of the assocation between PFOS and birthweight. The characteristics of this review have already been described above. As was the case with PFOA, the results of studies were graphed where </w:t>
      </w:r>
      <w:r w:rsidR="0053023C">
        <w:rPr>
          <w:rFonts w:eastAsiaTheme="minorHAnsi" w:cstheme="minorBidi"/>
          <w:noProof/>
          <w:szCs w:val="22"/>
          <w:lang w:val="en-AU" w:eastAsia="en-AU" w:bidi="ar-SA"/>
        </w:rPr>
        <w:t>the effect on birthweigh</w:t>
      </w:r>
      <w:r w:rsidR="005D3FE2">
        <w:rPr>
          <w:rFonts w:eastAsiaTheme="minorHAnsi" w:cstheme="minorBidi"/>
          <w:noProof/>
          <w:szCs w:val="22"/>
          <w:lang w:val="en-AU" w:eastAsia="en-AU" w:bidi="ar-SA"/>
        </w:rPr>
        <w:t>t</w:t>
      </w:r>
      <w:r w:rsidR="0053023C">
        <w:rPr>
          <w:rFonts w:eastAsiaTheme="minorHAnsi" w:cstheme="minorBidi"/>
          <w:noProof/>
          <w:szCs w:val="22"/>
          <w:lang w:val="en-AU" w:eastAsia="en-AU" w:bidi="ar-SA"/>
        </w:rPr>
        <w:t xml:space="preserve"> was</w:t>
      </w:r>
      <w:r w:rsidRPr="000C4C17">
        <w:rPr>
          <w:rFonts w:eastAsiaTheme="minorHAnsi" w:cstheme="minorBidi"/>
          <w:noProof/>
          <w:szCs w:val="22"/>
          <w:lang w:val="en-AU" w:eastAsia="en-AU" w:bidi="ar-SA"/>
        </w:rPr>
        <w:t xml:space="preserve"> presented as continuous data  (see Figure </w:t>
      </w:r>
      <w:r w:rsidR="006B1629" w:rsidRPr="000C4C17">
        <w:rPr>
          <w:rFonts w:eastAsiaTheme="minorHAnsi" w:cstheme="minorBidi"/>
          <w:noProof/>
          <w:szCs w:val="22"/>
          <w:lang w:val="en-AU" w:eastAsia="en-AU" w:bidi="ar-SA"/>
        </w:rPr>
        <w:t>A1.</w:t>
      </w:r>
      <w:r w:rsidRPr="000C4C17">
        <w:rPr>
          <w:rFonts w:eastAsiaTheme="minorHAnsi" w:cstheme="minorBidi"/>
          <w:noProof/>
          <w:szCs w:val="22"/>
          <w:lang w:val="en-AU" w:eastAsia="en-AU" w:bidi="ar-SA"/>
        </w:rPr>
        <w:t>6)</w:t>
      </w:r>
      <w:r w:rsidR="00C62489">
        <w:rPr>
          <w:rFonts w:eastAsiaTheme="minorHAnsi" w:cstheme="minorBidi"/>
          <w:noProof/>
          <w:szCs w:val="22"/>
          <w:lang w:val="en-AU" w:eastAsia="en-AU" w:bidi="ar-SA"/>
        </w:rPr>
        <w:t>.</w:t>
      </w:r>
    </w:p>
    <w:p w14:paraId="15EEE1C8" w14:textId="77777777" w:rsidR="00930BB6" w:rsidRPr="00A366A0" w:rsidRDefault="00930BB6" w:rsidP="00A366A0">
      <w:pPr>
        <w:pStyle w:val="Heading5"/>
        <w:rPr>
          <w:rFonts w:eastAsiaTheme="minorHAnsi"/>
        </w:rPr>
      </w:pPr>
      <w:r w:rsidRPr="00A366A0">
        <w:rPr>
          <w:rFonts w:eastAsiaTheme="majorEastAsia"/>
        </w:rPr>
        <w:t>Update</w:t>
      </w:r>
    </w:p>
    <w:p w14:paraId="44D6F73A" w14:textId="73950AD1" w:rsidR="00930BB6" w:rsidRPr="000C4C17" w:rsidRDefault="00930BB6" w:rsidP="00A111E9">
      <w:pPr>
        <w:widowControl/>
        <w:rPr>
          <w:rFonts w:eastAsiaTheme="minorHAnsi" w:cstheme="minorBidi"/>
          <w:noProof/>
          <w:szCs w:val="22"/>
          <w:lang w:val="en-AU" w:eastAsia="en-AU" w:bidi="ar-SA"/>
        </w:rPr>
      </w:pPr>
      <w:r w:rsidRPr="000C4C17">
        <w:rPr>
          <w:rFonts w:eastAsiaTheme="minorHAnsi" w:cstheme="minorBidi"/>
          <w:noProof/>
          <w:szCs w:val="22"/>
          <w:lang w:val="en-AU" w:eastAsia="en-AU" w:bidi="ar-SA"/>
        </w:rPr>
        <w:t xml:space="preserve">FSANZ updated the graph from Bach </w:t>
      </w:r>
      <w:r w:rsidR="00180A32" w:rsidRPr="00180A32">
        <w:rPr>
          <w:rFonts w:eastAsiaTheme="minorHAnsi" w:cstheme="minorBidi"/>
          <w:i/>
          <w:noProof/>
          <w:szCs w:val="22"/>
          <w:lang w:val="en-AU" w:eastAsia="en-AU" w:bidi="ar-SA"/>
        </w:rPr>
        <w:t xml:space="preserve">et al. </w:t>
      </w:r>
      <w:r w:rsidR="00CC50B8">
        <w:rPr>
          <w:rFonts w:eastAsiaTheme="minorHAnsi" w:cstheme="minorBidi"/>
          <w:noProof/>
          <w:szCs w:val="22"/>
          <w:lang w:val="en-AU" w:eastAsia="en-AU" w:bidi="ar-SA"/>
        </w:rPr>
        <w:t xml:space="preserve"> </w:t>
      </w:r>
      <w:r w:rsidRPr="000C4C17">
        <w:rPr>
          <w:rFonts w:eastAsiaTheme="minorHAnsi" w:cstheme="minorBidi"/>
          <w:noProof/>
          <w:szCs w:val="22"/>
          <w:lang w:val="en-AU" w:eastAsia="en-AU" w:bidi="ar-SA"/>
        </w:rPr>
        <w:t>(2015) (Figure A1.7). However</w:t>
      </w:r>
      <w:r w:rsidR="007F02A2">
        <w:rPr>
          <w:rFonts w:eastAsiaTheme="minorHAnsi" w:cstheme="minorBidi"/>
          <w:noProof/>
          <w:szCs w:val="22"/>
          <w:lang w:val="en-AU" w:eastAsia="en-AU" w:bidi="ar-SA"/>
        </w:rPr>
        <w:t>,</w:t>
      </w:r>
      <w:r w:rsidRPr="000C4C17">
        <w:rPr>
          <w:rFonts w:eastAsiaTheme="minorHAnsi" w:cstheme="minorBidi"/>
          <w:noProof/>
          <w:szCs w:val="22"/>
          <w:lang w:val="en-AU" w:eastAsia="en-AU" w:bidi="ar-SA"/>
        </w:rPr>
        <w:t xml:space="preserve"> fewer studies could be included in this update compare</w:t>
      </w:r>
      <w:r>
        <w:rPr>
          <w:rFonts w:eastAsiaTheme="minorHAnsi" w:cstheme="minorBidi"/>
          <w:noProof/>
          <w:szCs w:val="22"/>
          <w:lang w:val="en-AU" w:eastAsia="en-AU" w:bidi="ar-SA"/>
        </w:rPr>
        <w:t>d</w:t>
      </w:r>
      <w:r w:rsidRPr="000C4C17">
        <w:rPr>
          <w:rFonts w:eastAsiaTheme="minorHAnsi" w:cstheme="minorBidi"/>
          <w:noProof/>
          <w:szCs w:val="22"/>
          <w:lang w:val="en-AU" w:eastAsia="en-AU" w:bidi="ar-SA"/>
        </w:rPr>
        <w:t xml:space="preserve"> to PFOA because there was no</w:t>
      </w:r>
      <w:r>
        <w:rPr>
          <w:rFonts w:eastAsiaTheme="minorHAnsi" w:cstheme="minorBidi"/>
          <w:noProof/>
          <w:szCs w:val="22"/>
          <w:lang w:val="en-AU" w:eastAsia="en-AU" w:bidi="ar-SA"/>
        </w:rPr>
        <w:t xml:space="preserve"> review</w:t>
      </w:r>
      <w:r w:rsidRPr="000C4C17">
        <w:rPr>
          <w:rFonts w:eastAsiaTheme="minorHAnsi" w:cstheme="minorBidi"/>
          <w:noProof/>
          <w:szCs w:val="22"/>
          <w:lang w:val="en-AU" w:eastAsia="en-AU" w:bidi="ar-SA"/>
        </w:rPr>
        <w:t xml:space="preserve"> that had obtained additional information from authors as Johnson </w:t>
      </w:r>
      <w:r w:rsidR="00180A32" w:rsidRPr="00180A32">
        <w:rPr>
          <w:rFonts w:eastAsiaTheme="minorHAnsi" w:cstheme="minorBidi"/>
          <w:i/>
          <w:noProof/>
          <w:szCs w:val="22"/>
          <w:lang w:val="en-AU" w:eastAsia="en-AU" w:bidi="ar-SA"/>
        </w:rPr>
        <w:t xml:space="preserve">et al. </w:t>
      </w:r>
      <w:r w:rsidR="00CC50B8">
        <w:rPr>
          <w:rFonts w:eastAsiaTheme="minorHAnsi" w:cstheme="minorBidi"/>
          <w:noProof/>
          <w:szCs w:val="22"/>
          <w:lang w:val="en-AU" w:eastAsia="en-AU" w:bidi="ar-SA"/>
        </w:rPr>
        <w:t xml:space="preserve"> </w:t>
      </w:r>
      <w:r w:rsidRPr="000C4C17">
        <w:rPr>
          <w:rFonts w:eastAsiaTheme="minorHAnsi" w:cstheme="minorBidi"/>
          <w:noProof/>
          <w:szCs w:val="22"/>
          <w:lang w:val="en-AU" w:eastAsia="en-AU" w:bidi="ar-SA"/>
        </w:rPr>
        <w:t xml:space="preserve">(2014) had done. </w:t>
      </w:r>
      <w:r>
        <w:rPr>
          <w:rFonts w:eastAsiaTheme="minorHAnsi" w:cstheme="minorBidi"/>
          <w:noProof/>
          <w:szCs w:val="22"/>
          <w:lang w:val="en-AU" w:eastAsia="en-AU" w:bidi="ar-SA"/>
        </w:rPr>
        <w:t xml:space="preserve">The study by de Cock </w:t>
      </w:r>
      <w:r w:rsidR="00180A32" w:rsidRPr="00180A32">
        <w:rPr>
          <w:rFonts w:eastAsiaTheme="minorHAnsi" w:cstheme="minorBidi"/>
          <w:i/>
          <w:noProof/>
          <w:szCs w:val="22"/>
          <w:lang w:val="en-AU" w:eastAsia="en-AU" w:bidi="ar-SA"/>
        </w:rPr>
        <w:t xml:space="preserve">et al. </w:t>
      </w:r>
      <w:r>
        <w:rPr>
          <w:rFonts w:eastAsiaTheme="minorHAnsi" w:cstheme="minorBidi"/>
          <w:noProof/>
          <w:szCs w:val="22"/>
          <w:lang w:val="en-AU" w:eastAsia="en-AU" w:bidi="ar-SA"/>
        </w:rPr>
        <w:t xml:space="preserve"> (2016) was not graphed b</w:t>
      </w:r>
      <w:r w:rsidR="0053023C">
        <w:rPr>
          <w:rFonts w:eastAsiaTheme="minorHAnsi" w:cstheme="minorBidi"/>
          <w:noProof/>
          <w:szCs w:val="22"/>
          <w:lang w:val="en-AU" w:eastAsia="en-AU" w:bidi="ar-SA"/>
        </w:rPr>
        <w:t>ut</w:t>
      </w:r>
      <w:r>
        <w:rPr>
          <w:rFonts w:eastAsiaTheme="minorHAnsi" w:cstheme="minorBidi"/>
          <w:noProof/>
          <w:szCs w:val="22"/>
          <w:lang w:val="en-AU" w:eastAsia="en-AU" w:bidi="ar-SA"/>
        </w:rPr>
        <w:t xml:space="preserve"> listed in the table because the underlying graph by Bach </w:t>
      </w:r>
      <w:r w:rsidR="00180A32" w:rsidRPr="00180A32">
        <w:rPr>
          <w:rFonts w:eastAsiaTheme="minorHAnsi" w:cstheme="minorBidi"/>
          <w:i/>
          <w:noProof/>
          <w:szCs w:val="22"/>
          <w:lang w:val="en-AU" w:eastAsia="en-AU" w:bidi="ar-SA"/>
        </w:rPr>
        <w:t xml:space="preserve">et al. </w:t>
      </w:r>
      <w:r>
        <w:rPr>
          <w:rFonts w:eastAsiaTheme="minorHAnsi" w:cstheme="minorBidi"/>
          <w:noProof/>
          <w:szCs w:val="22"/>
          <w:lang w:val="en-AU" w:eastAsia="en-AU" w:bidi="ar-SA"/>
        </w:rPr>
        <w:t xml:space="preserve"> (2016) centred the results of all studies on 7 ng/mL and the population studied by de Cock </w:t>
      </w:r>
      <w:r w:rsidR="00180A32" w:rsidRPr="00180A32">
        <w:rPr>
          <w:rFonts w:eastAsiaTheme="minorHAnsi" w:cstheme="minorBidi"/>
          <w:i/>
          <w:noProof/>
          <w:szCs w:val="22"/>
          <w:lang w:val="en-AU" w:eastAsia="en-AU" w:bidi="ar-SA"/>
        </w:rPr>
        <w:t xml:space="preserve">et al. </w:t>
      </w:r>
      <w:r>
        <w:rPr>
          <w:rFonts w:eastAsiaTheme="minorHAnsi" w:cstheme="minorBidi"/>
          <w:noProof/>
          <w:szCs w:val="22"/>
          <w:lang w:val="en-AU" w:eastAsia="en-AU" w:bidi="ar-SA"/>
        </w:rPr>
        <w:t xml:space="preserve"> (2016) had no concentrations of this magnitude. (By contrast, for PFOA the graph was centred on 2 ng/mL which lay in the range of </w:t>
      </w:r>
      <w:r w:rsidR="007F02A2">
        <w:rPr>
          <w:rFonts w:eastAsiaTheme="minorHAnsi" w:cstheme="minorBidi"/>
          <w:noProof/>
          <w:szCs w:val="22"/>
          <w:lang w:val="en-AU" w:eastAsia="en-AU" w:bidi="ar-SA"/>
        </w:rPr>
        <w:t xml:space="preserve">the population of </w:t>
      </w:r>
      <w:r>
        <w:rPr>
          <w:rFonts w:eastAsiaTheme="minorHAnsi" w:cstheme="minorBidi"/>
          <w:noProof/>
          <w:szCs w:val="22"/>
          <w:lang w:val="en-AU" w:eastAsia="en-AU" w:bidi="ar-SA"/>
        </w:rPr>
        <w:t xml:space="preserve">de Cock </w:t>
      </w:r>
      <w:r w:rsidR="00180A32" w:rsidRPr="00180A32">
        <w:rPr>
          <w:rFonts w:eastAsiaTheme="minorHAnsi" w:cstheme="minorBidi"/>
          <w:i/>
          <w:noProof/>
          <w:szCs w:val="22"/>
          <w:lang w:val="en-AU" w:eastAsia="en-AU" w:bidi="ar-SA"/>
        </w:rPr>
        <w:t xml:space="preserve">et al. </w:t>
      </w:r>
      <w:r>
        <w:rPr>
          <w:rFonts w:eastAsiaTheme="minorHAnsi" w:cstheme="minorBidi"/>
          <w:noProof/>
          <w:szCs w:val="22"/>
          <w:lang w:val="en-AU" w:eastAsia="en-AU" w:bidi="ar-SA"/>
        </w:rPr>
        <w:t>).</w:t>
      </w:r>
    </w:p>
    <w:p w14:paraId="3E1654A3" w14:textId="77777777" w:rsidR="00F8101A" w:rsidRPr="000C4C17" w:rsidRDefault="00F8101A" w:rsidP="00A111E9">
      <w:pPr>
        <w:widowControl/>
        <w:rPr>
          <w:rFonts w:eastAsiaTheme="minorHAnsi" w:cstheme="minorBidi"/>
          <w:noProof/>
          <w:szCs w:val="22"/>
          <w:lang w:val="en-AU" w:eastAsia="en-AU" w:bidi="ar-SA"/>
        </w:rPr>
      </w:pPr>
    </w:p>
    <w:p w14:paraId="4ADCCED8" w14:textId="1207A015" w:rsidR="001B6877" w:rsidRDefault="00930BB6" w:rsidP="00A111E9">
      <w:pPr>
        <w:widowControl/>
        <w:rPr>
          <w:rFonts w:eastAsiaTheme="minorHAnsi" w:cstheme="minorBidi"/>
          <w:noProof/>
          <w:szCs w:val="22"/>
          <w:lang w:val="en-AU" w:eastAsia="en-AU" w:bidi="ar-SA"/>
        </w:rPr>
      </w:pPr>
      <w:r w:rsidRPr="000C4C17">
        <w:rPr>
          <w:rFonts w:eastAsiaTheme="minorHAnsi" w:cstheme="minorBidi"/>
          <w:noProof/>
          <w:szCs w:val="22"/>
          <w:lang w:val="en-AU" w:eastAsia="en-AU" w:bidi="ar-SA"/>
        </w:rPr>
        <w:t>Most studies show that birthweight is lower when PFO</w:t>
      </w:r>
      <w:r w:rsidR="00580863">
        <w:rPr>
          <w:rFonts w:eastAsiaTheme="minorHAnsi" w:cstheme="minorBidi"/>
          <w:noProof/>
          <w:szCs w:val="22"/>
          <w:lang w:val="en-AU" w:eastAsia="en-AU" w:bidi="ar-SA"/>
        </w:rPr>
        <w:t>S</w:t>
      </w:r>
      <w:r w:rsidRPr="000C4C17">
        <w:rPr>
          <w:rFonts w:eastAsiaTheme="minorHAnsi" w:cstheme="minorBidi"/>
          <w:noProof/>
          <w:szCs w:val="22"/>
          <w:lang w:val="en-AU" w:eastAsia="en-AU" w:bidi="ar-SA"/>
        </w:rPr>
        <w:t xml:space="preserve"> concentrations are higher, however, the extent of the decline varies greatly among the studies </w:t>
      </w:r>
      <w:r>
        <w:rPr>
          <w:rFonts w:eastAsiaTheme="minorHAnsi" w:cstheme="minorBidi"/>
          <w:noProof/>
          <w:szCs w:val="22"/>
          <w:lang w:val="en-AU" w:eastAsia="en-AU" w:bidi="ar-SA"/>
        </w:rPr>
        <w:t xml:space="preserve">ranging </w:t>
      </w:r>
      <w:r w:rsidRPr="000C4C17">
        <w:rPr>
          <w:rFonts w:eastAsiaTheme="minorHAnsi" w:cstheme="minorBidi"/>
          <w:noProof/>
          <w:szCs w:val="22"/>
          <w:lang w:val="en-AU" w:eastAsia="en-AU" w:bidi="ar-SA"/>
        </w:rPr>
        <w:t>from almost 0 to about</w:t>
      </w:r>
    </w:p>
    <w:p w14:paraId="1BC9A8EA" w14:textId="1CCE1B5B" w:rsidR="00930BB6" w:rsidRPr="000C4C17" w:rsidRDefault="00930BB6" w:rsidP="00A111E9">
      <w:pPr>
        <w:widowControl/>
        <w:rPr>
          <w:rFonts w:eastAsiaTheme="minorHAnsi" w:cstheme="minorBidi"/>
          <w:noProof/>
          <w:szCs w:val="22"/>
          <w:lang w:val="en-AU" w:eastAsia="en-AU" w:bidi="ar-SA"/>
        </w:rPr>
      </w:pPr>
      <w:r w:rsidRPr="000C4C17">
        <w:rPr>
          <w:rFonts w:eastAsiaTheme="minorHAnsi" w:cstheme="minorBidi"/>
          <w:noProof/>
          <w:szCs w:val="22"/>
          <w:lang w:val="en-AU" w:eastAsia="en-AU" w:bidi="ar-SA"/>
        </w:rPr>
        <w:t>100</w:t>
      </w:r>
      <w:r w:rsidR="001B6877">
        <w:rPr>
          <w:rFonts w:eastAsiaTheme="minorHAnsi" w:cstheme="minorBidi"/>
          <w:noProof/>
          <w:szCs w:val="22"/>
          <w:lang w:val="en-AU" w:eastAsia="en-AU" w:bidi="ar-SA"/>
        </w:rPr>
        <w:t xml:space="preserve"> </w:t>
      </w:r>
      <w:r w:rsidRPr="000C4C17">
        <w:rPr>
          <w:rFonts w:eastAsiaTheme="minorHAnsi" w:cstheme="minorBidi"/>
          <w:noProof/>
          <w:szCs w:val="22"/>
          <w:lang w:val="en-AU" w:eastAsia="en-AU" w:bidi="ar-SA"/>
        </w:rPr>
        <w:t>g lower. There is one study which found that birthweight increases as PFOS concentration increases.</w:t>
      </w:r>
    </w:p>
    <w:p w14:paraId="2BA99D5A" w14:textId="77777777" w:rsidR="00930BB6" w:rsidRDefault="00930BB6" w:rsidP="00A111E9">
      <w:pPr>
        <w:widowControl/>
        <w:rPr>
          <w:rFonts w:eastAsiaTheme="minorHAnsi" w:cstheme="minorBidi"/>
          <w:noProof/>
          <w:szCs w:val="22"/>
          <w:lang w:val="en-AU" w:eastAsia="en-AU" w:bidi="ar-SA"/>
        </w:rPr>
      </w:pPr>
    </w:p>
    <w:p w14:paraId="077B4D34" w14:textId="3A06C09B" w:rsidR="00930BB6" w:rsidRPr="000C4C17" w:rsidRDefault="00930BB6" w:rsidP="00A111E9">
      <w:pPr>
        <w:widowControl/>
        <w:rPr>
          <w:rFonts w:eastAsiaTheme="minorHAnsi" w:cstheme="minorBidi"/>
          <w:noProof/>
          <w:szCs w:val="22"/>
          <w:lang w:val="en-AU" w:eastAsia="en-AU" w:bidi="ar-SA"/>
        </w:rPr>
      </w:pPr>
      <w:r w:rsidRPr="000C4C17">
        <w:rPr>
          <w:rFonts w:eastAsiaTheme="minorHAnsi" w:cstheme="minorBidi"/>
          <w:noProof/>
          <w:szCs w:val="22"/>
          <w:lang w:val="en-AU" w:eastAsia="en-AU" w:bidi="ar-SA"/>
        </w:rPr>
        <w:t xml:space="preserve">The direction of association in studies which did not report results in a form that could be included on the graph was different (Table A1.8). These studies mostly reported no association, or in one case, a positive association (Robeldo </w:t>
      </w:r>
      <w:r w:rsidR="00180A32" w:rsidRPr="00180A32">
        <w:rPr>
          <w:rFonts w:eastAsiaTheme="minorHAnsi" w:cstheme="minorBidi"/>
          <w:i/>
          <w:noProof/>
          <w:szCs w:val="22"/>
          <w:lang w:val="en-AU" w:eastAsia="en-AU" w:bidi="ar-SA"/>
        </w:rPr>
        <w:t xml:space="preserve">et al. </w:t>
      </w:r>
      <w:r w:rsidR="00CC50B8">
        <w:rPr>
          <w:rFonts w:eastAsiaTheme="minorHAnsi" w:cstheme="minorBidi"/>
          <w:noProof/>
          <w:szCs w:val="22"/>
          <w:lang w:val="en-AU" w:eastAsia="en-AU" w:bidi="ar-SA"/>
        </w:rPr>
        <w:t xml:space="preserve"> </w:t>
      </w:r>
      <w:r w:rsidRPr="000C4C17">
        <w:rPr>
          <w:rFonts w:eastAsiaTheme="minorHAnsi" w:cstheme="minorBidi"/>
          <w:noProof/>
          <w:szCs w:val="22"/>
          <w:lang w:val="en-AU" w:eastAsia="en-AU" w:bidi="ar-SA"/>
        </w:rPr>
        <w:t xml:space="preserve">2015). However, it is not possible to determine the real direction of association from studies </w:t>
      </w:r>
      <w:r>
        <w:rPr>
          <w:rFonts w:eastAsiaTheme="minorHAnsi" w:cstheme="minorBidi"/>
          <w:noProof/>
          <w:szCs w:val="22"/>
          <w:lang w:val="en-AU" w:eastAsia="en-AU" w:bidi="ar-SA"/>
        </w:rPr>
        <w:t xml:space="preserve">in which the </w:t>
      </w:r>
      <w:r w:rsidRPr="000C4C17">
        <w:rPr>
          <w:rFonts w:eastAsiaTheme="minorHAnsi" w:cstheme="minorBidi"/>
          <w:noProof/>
          <w:szCs w:val="22"/>
          <w:lang w:val="en-AU" w:eastAsia="en-AU" w:bidi="ar-SA"/>
        </w:rPr>
        <w:t xml:space="preserve">authors </w:t>
      </w:r>
      <w:r>
        <w:rPr>
          <w:rFonts w:eastAsiaTheme="minorHAnsi" w:cstheme="minorBidi"/>
          <w:noProof/>
          <w:szCs w:val="22"/>
          <w:lang w:val="en-AU" w:eastAsia="en-AU" w:bidi="ar-SA"/>
        </w:rPr>
        <w:t>did not report the actual result but only stated that it was not statistically significant</w:t>
      </w:r>
      <w:r w:rsidRPr="000C4C17">
        <w:rPr>
          <w:rFonts w:eastAsiaTheme="minorHAnsi" w:cstheme="minorBidi"/>
          <w:noProof/>
          <w:szCs w:val="22"/>
          <w:lang w:val="en-AU" w:eastAsia="en-AU" w:bidi="ar-SA"/>
        </w:rPr>
        <w:t>.</w:t>
      </w:r>
    </w:p>
    <w:p w14:paraId="79B9B745" w14:textId="77777777" w:rsidR="00F8101A" w:rsidRPr="000C4C17" w:rsidRDefault="00F8101A" w:rsidP="00A111E9">
      <w:pPr>
        <w:widowControl/>
        <w:rPr>
          <w:rFonts w:eastAsiaTheme="minorHAnsi" w:cstheme="minorBidi"/>
          <w:noProof/>
          <w:szCs w:val="22"/>
          <w:lang w:val="en-AU" w:eastAsia="en-AU" w:bidi="ar-SA"/>
        </w:rPr>
      </w:pPr>
      <w:r w:rsidRPr="000C4C17">
        <w:rPr>
          <w:rFonts w:eastAsiaTheme="minorHAnsi" w:cstheme="minorBidi"/>
          <w:noProof/>
          <w:szCs w:val="22"/>
          <w:lang w:eastAsia="en-GB" w:bidi="ar-SA"/>
        </w:rPr>
        <w:lastRenderedPageBreak/>
        <w:drawing>
          <wp:inline distT="0" distB="0" distL="0" distR="0" wp14:anchorId="44F6F3E0" wp14:editId="5326F77F">
            <wp:extent cx="5541350" cy="5864352"/>
            <wp:effectExtent l="25400" t="25400" r="21590" b="28575"/>
            <wp:docPr id="12" name="Picture 4" title="Figure A1.6 Graph of studies from Bach et al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srcRect l="4205"/>
                    <a:stretch/>
                  </pic:blipFill>
                  <pic:spPr bwMode="auto">
                    <a:xfrm>
                      <a:off x="0" y="0"/>
                      <a:ext cx="5572017" cy="5896806"/>
                    </a:xfrm>
                    <a:prstGeom prst="rect">
                      <a:avLst/>
                    </a:prstGeom>
                    <a:ln>
                      <a:solidFill>
                        <a:srgbClr val="4F81BD"/>
                      </a:solidFill>
                    </a:ln>
                    <a:extLst>
                      <a:ext uri="{53640926-AAD7-44D8-BBD7-CCE9431645EC}">
                        <a14:shadowObscured xmlns:a14="http://schemas.microsoft.com/office/drawing/2010/main"/>
                      </a:ext>
                    </a:extLst>
                  </pic:spPr>
                </pic:pic>
              </a:graphicData>
            </a:graphic>
          </wp:inline>
        </w:drawing>
      </w:r>
    </w:p>
    <w:p w14:paraId="64B8CBE6" w14:textId="77777777" w:rsidR="00F8101A" w:rsidRPr="000C4C17" w:rsidRDefault="00F8101A" w:rsidP="00A111E9">
      <w:pPr>
        <w:widowControl/>
        <w:rPr>
          <w:rFonts w:eastAsiaTheme="minorHAnsi" w:cstheme="minorBidi"/>
          <w:noProof/>
          <w:szCs w:val="22"/>
          <w:lang w:val="en-AU" w:eastAsia="en-AU" w:bidi="ar-SA"/>
        </w:rPr>
      </w:pPr>
    </w:p>
    <w:p w14:paraId="135856F1" w14:textId="73767103" w:rsidR="00F8101A" w:rsidRPr="000C4C17" w:rsidRDefault="00F8101A" w:rsidP="00064C40">
      <w:pPr>
        <w:pStyle w:val="FSFigureTitle"/>
        <w:rPr>
          <w:rFonts w:eastAsiaTheme="minorHAnsi" w:cstheme="minorBidi"/>
          <w:noProof/>
          <w:szCs w:val="22"/>
          <w:lang w:val="en-AU" w:eastAsia="en-AU" w:bidi="ar-SA"/>
        </w:rPr>
      </w:pPr>
      <w:r w:rsidRPr="000C4C17">
        <w:rPr>
          <w:rFonts w:eastAsiaTheme="minorHAnsi"/>
        </w:rPr>
        <w:t xml:space="preserve">Figure </w:t>
      </w:r>
      <w:r w:rsidR="006B1629" w:rsidRPr="000C4C17">
        <w:rPr>
          <w:rFonts w:eastAsiaTheme="minorHAnsi"/>
        </w:rPr>
        <w:t>A1.</w:t>
      </w:r>
      <w:r w:rsidRPr="000C4C17">
        <w:rPr>
          <w:rFonts w:eastAsiaTheme="minorHAnsi"/>
        </w:rPr>
        <w:t xml:space="preserve">6 Graph of studies from Bach </w:t>
      </w:r>
      <w:r w:rsidR="00180A32" w:rsidRPr="00180A32">
        <w:rPr>
          <w:rFonts w:eastAsiaTheme="minorHAnsi"/>
        </w:rPr>
        <w:t xml:space="preserve">et al. </w:t>
      </w:r>
      <w:r w:rsidR="00CC50B8">
        <w:rPr>
          <w:rFonts w:eastAsiaTheme="minorHAnsi"/>
        </w:rPr>
        <w:t xml:space="preserve"> </w:t>
      </w:r>
      <w:r w:rsidRPr="000C4C17">
        <w:rPr>
          <w:rFonts w:eastAsiaTheme="minorHAnsi"/>
        </w:rPr>
        <w:t>(2015)</w:t>
      </w:r>
      <w:r w:rsidR="00064C40" w:rsidRPr="000C4C17">
        <w:rPr>
          <w:rFonts w:eastAsiaTheme="minorHAnsi" w:cstheme="minorBidi"/>
          <w:noProof/>
          <w:szCs w:val="22"/>
          <w:lang w:val="en-AU" w:eastAsia="en-AU" w:bidi="ar-SA"/>
        </w:rPr>
        <w:t xml:space="preserve"> </w:t>
      </w:r>
    </w:p>
    <w:p w14:paraId="3F0C1AA4" w14:textId="7A0DA4EB" w:rsidR="00F8101A" w:rsidRPr="000C4C17" w:rsidRDefault="00A4394E" w:rsidP="00A111E9">
      <w:pPr>
        <w:widowControl/>
        <w:rPr>
          <w:rFonts w:eastAsiaTheme="minorHAnsi" w:cstheme="minorBidi"/>
          <w:noProof/>
          <w:szCs w:val="22"/>
          <w:lang w:val="en-AU" w:eastAsia="en-AU" w:bidi="ar-SA"/>
        </w:rPr>
      </w:pPr>
      <w:r w:rsidRPr="000C4C17">
        <w:rPr>
          <w:noProof/>
          <w:lang w:eastAsia="en-GB" w:bidi="ar-SA"/>
        </w:rPr>
        <w:lastRenderedPageBreak/>
        <w:drawing>
          <wp:inline distT="0" distB="0" distL="0" distR="0" wp14:anchorId="7A7E830B" wp14:editId="55FB40F6">
            <wp:extent cx="5462897" cy="4523232"/>
            <wp:effectExtent l="0" t="0" r="0" b="0"/>
            <wp:docPr id="11" name="Picture 11" title="Figure A1.7 FSANZ’s update of the graph of Bach et al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71763" cy="4530573"/>
                    </a:xfrm>
                    <a:prstGeom prst="rect">
                      <a:avLst/>
                    </a:prstGeom>
                  </pic:spPr>
                </pic:pic>
              </a:graphicData>
            </a:graphic>
          </wp:inline>
        </w:drawing>
      </w:r>
    </w:p>
    <w:p w14:paraId="4E66DD2B" w14:textId="77777777" w:rsidR="00F8101A" w:rsidRPr="000C4C17" w:rsidRDefault="00F8101A" w:rsidP="00A111E9">
      <w:pPr>
        <w:widowControl/>
        <w:rPr>
          <w:rFonts w:eastAsiaTheme="minorHAnsi" w:cstheme="minorBidi"/>
          <w:noProof/>
          <w:szCs w:val="22"/>
          <w:lang w:val="en-AU" w:eastAsia="en-AU" w:bidi="ar-SA"/>
        </w:rPr>
      </w:pPr>
    </w:p>
    <w:p w14:paraId="5B3FA16C" w14:textId="4D96DC82" w:rsidR="00F8101A" w:rsidRPr="00930BB6" w:rsidRDefault="00F8101A" w:rsidP="00A111E9">
      <w:pPr>
        <w:pStyle w:val="FSFigureTitle"/>
        <w:rPr>
          <w:rFonts w:eastAsiaTheme="minorHAnsi"/>
        </w:rPr>
      </w:pPr>
      <w:r w:rsidRPr="000C4C17">
        <w:rPr>
          <w:rFonts w:eastAsiaTheme="minorHAnsi"/>
        </w:rPr>
        <w:t xml:space="preserve">Figure </w:t>
      </w:r>
      <w:r w:rsidR="006B1629" w:rsidRPr="00930BB6">
        <w:rPr>
          <w:rFonts w:eastAsiaTheme="minorHAnsi"/>
        </w:rPr>
        <w:t>A1.</w:t>
      </w:r>
      <w:r w:rsidRPr="00930BB6">
        <w:rPr>
          <w:rFonts w:eastAsiaTheme="minorHAnsi"/>
        </w:rPr>
        <w:t xml:space="preserve">7 FSANZ’s update of the graph of Bach </w:t>
      </w:r>
      <w:r w:rsidR="00180A32" w:rsidRPr="00180A32">
        <w:rPr>
          <w:rFonts w:eastAsiaTheme="minorHAnsi"/>
        </w:rPr>
        <w:t xml:space="preserve">et al. </w:t>
      </w:r>
      <w:r w:rsidR="00CC50B8">
        <w:rPr>
          <w:rFonts w:eastAsiaTheme="minorHAnsi"/>
        </w:rPr>
        <w:t xml:space="preserve"> </w:t>
      </w:r>
      <w:r w:rsidRPr="00930BB6">
        <w:rPr>
          <w:rFonts w:eastAsiaTheme="minorHAnsi"/>
        </w:rPr>
        <w:t>(2015)</w:t>
      </w:r>
    </w:p>
    <w:p w14:paraId="33208E2B" w14:textId="7D7CB476" w:rsidR="00F8101A" w:rsidRPr="000C4C17" w:rsidRDefault="006B0514" w:rsidP="00A111E9">
      <w:pPr>
        <w:widowControl/>
        <w:rPr>
          <w:rFonts w:eastAsiaTheme="minorHAnsi" w:cstheme="minorBidi"/>
          <w:noProof/>
          <w:szCs w:val="22"/>
          <w:lang w:val="en-AU" w:eastAsia="en-AU" w:bidi="ar-SA"/>
        </w:rPr>
      </w:pPr>
      <w:r>
        <w:rPr>
          <w:rFonts w:eastAsiaTheme="minorHAnsi" w:cstheme="minorBidi"/>
          <w:noProof/>
          <w:szCs w:val="22"/>
          <w:lang w:val="en-AU" w:eastAsia="en-AU" w:bidi="ar-SA"/>
        </w:rPr>
        <w:br w:type="page"/>
      </w:r>
    </w:p>
    <w:p w14:paraId="34240AC1" w14:textId="77777777" w:rsidR="00F8101A" w:rsidRPr="000C4C17" w:rsidRDefault="00F8101A" w:rsidP="00A111E9">
      <w:pPr>
        <w:widowControl/>
        <w:rPr>
          <w:rFonts w:eastAsiaTheme="minorHAnsi" w:cstheme="minorBidi"/>
          <w:noProof/>
          <w:szCs w:val="22"/>
          <w:lang w:val="en-AU" w:eastAsia="en-AU" w:bidi="ar-SA"/>
        </w:rPr>
      </w:pPr>
    </w:p>
    <w:p w14:paraId="086987E0" w14:textId="5E692351" w:rsidR="00F8101A" w:rsidRPr="000C4C17" w:rsidRDefault="00F8101A" w:rsidP="00A111E9">
      <w:pPr>
        <w:pStyle w:val="FSTableTitle"/>
        <w:rPr>
          <w:rFonts w:eastAsiaTheme="minorHAnsi" w:cstheme="minorBidi"/>
          <w:szCs w:val="22"/>
          <w:lang w:bidi="ar-SA"/>
        </w:rPr>
      </w:pPr>
      <w:r w:rsidRPr="000C4C17">
        <w:rPr>
          <w:rFonts w:eastAsiaTheme="minorHAnsi"/>
        </w:rPr>
        <w:t xml:space="preserve">Table </w:t>
      </w:r>
      <w:r w:rsidR="006B1629" w:rsidRPr="000C4C17">
        <w:rPr>
          <w:rFonts w:eastAsiaTheme="minorHAnsi"/>
          <w:lang w:bidi="ar-SA"/>
        </w:rPr>
        <w:t>A1.</w:t>
      </w:r>
      <w:r w:rsidRPr="000C4C17">
        <w:rPr>
          <w:rFonts w:eastAsiaTheme="minorHAnsi"/>
        </w:rPr>
        <w:t xml:space="preserve">8 Results of studies included in the review which did not report their results in a way that allowed inclusion in Figure </w:t>
      </w:r>
      <w:r w:rsidR="006B1629" w:rsidRPr="000C4C17">
        <w:rPr>
          <w:rFonts w:eastAsiaTheme="minorHAnsi"/>
          <w:lang w:bidi="ar-SA"/>
        </w:rPr>
        <w:t>A1.</w:t>
      </w:r>
      <w:r w:rsidRPr="000C4C17">
        <w:rPr>
          <w:rFonts w:eastAsiaTheme="minorHAnsi"/>
        </w:rPr>
        <w:t>7</w:t>
      </w:r>
      <w:r w:rsidR="009D3F45">
        <w:rPr>
          <w:rFonts w:eastAsiaTheme="minorHAnsi"/>
        </w:rPr>
        <w:t xml:space="preserve"> (or </w:t>
      </w:r>
      <w:r w:rsidR="005D3FE2">
        <w:rPr>
          <w:rFonts w:eastAsiaTheme="minorHAnsi"/>
        </w:rPr>
        <w:t xml:space="preserve"> were </w:t>
      </w:r>
      <w:r w:rsidR="009D3F45">
        <w:rPr>
          <w:rFonts w:eastAsiaTheme="minorHAnsi"/>
        </w:rPr>
        <w:t>published in late 2016)</w:t>
      </w:r>
    </w:p>
    <w:tbl>
      <w:tblPr>
        <w:tblStyle w:val="TableGrid9"/>
        <w:tblW w:w="9180" w:type="dxa"/>
        <w:tblLayout w:type="fixed"/>
        <w:tblLook w:val="04A0" w:firstRow="1" w:lastRow="0" w:firstColumn="1" w:lastColumn="0" w:noHBand="0" w:noVBand="1"/>
        <w:tblCaption w:val="Table A1.8 Results of studies included in the review which did not report their results in a way that allowed inclusion in Figure A1.7 (or were published in late 2016)"/>
        <w:tblDescription w:val="This table contains data relating to results of studies included in the review which did not report their results in a way that allowed inclusion in Figure A1.7 (or  were published in late 2016)."/>
      </w:tblPr>
      <w:tblGrid>
        <w:gridCol w:w="1242"/>
        <w:gridCol w:w="2552"/>
        <w:gridCol w:w="3620"/>
        <w:gridCol w:w="1766"/>
      </w:tblGrid>
      <w:tr w:rsidR="00F8101A" w:rsidRPr="000C4C17" w14:paraId="2A4D56D3" w14:textId="77777777" w:rsidTr="000830C5">
        <w:trPr>
          <w:tblHeader/>
        </w:trPr>
        <w:tc>
          <w:tcPr>
            <w:tcW w:w="1242" w:type="dxa"/>
            <w:shd w:val="clear" w:color="auto" w:fill="F2F2F2" w:themeFill="background1" w:themeFillShade="F2"/>
          </w:tcPr>
          <w:p w14:paraId="538E5C10" w14:textId="08D4E1B1" w:rsidR="00F8101A" w:rsidRPr="000E7153" w:rsidRDefault="000E7153" w:rsidP="00A111E9">
            <w:pPr>
              <w:widowControl/>
              <w:rPr>
                <w:rFonts w:eastAsiaTheme="minorHAnsi"/>
                <w:b/>
              </w:rPr>
            </w:pPr>
            <w:r w:rsidRPr="000E7153">
              <w:rPr>
                <w:rFonts w:eastAsiaTheme="minorHAnsi" w:cstheme="minorBidi"/>
                <w:b/>
                <w:szCs w:val="22"/>
                <w:lang w:bidi="ar-SA"/>
              </w:rPr>
              <w:t xml:space="preserve">First </w:t>
            </w:r>
            <w:r w:rsidR="00986779">
              <w:rPr>
                <w:rFonts w:eastAsiaTheme="minorHAnsi" w:cstheme="minorBidi"/>
                <w:b/>
                <w:szCs w:val="22"/>
                <w:lang w:bidi="ar-SA"/>
              </w:rPr>
              <w:t>a</w:t>
            </w:r>
            <w:r w:rsidRPr="000E7153">
              <w:rPr>
                <w:rFonts w:eastAsiaTheme="minorHAnsi" w:cstheme="minorBidi"/>
                <w:b/>
                <w:szCs w:val="22"/>
                <w:lang w:bidi="ar-SA"/>
              </w:rPr>
              <w:t>uthor</w:t>
            </w:r>
          </w:p>
        </w:tc>
        <w:tc>
          <w:tcPr>
            <w:tcW w:w="2552" w:type="dxa"/>
            <w:shd w:val="clear" w:color="auto" w:fill="F2F2F2" w:themeFill="background1" w:themeFillShade="F2"/>
          </w:tcPr>
          <w:p w14:paraId="176EBACA" w14:textId="77777777" w:rsidR="00F8101A" w:rsidRPr="000C4C17" w:rsidRDefault="00F8101A" w:rsidP="00A111E9">
            <w:pPr>
              <w:widowControl/>
              <w:rPr>
                <w:rFonts w:eastAsiaTheme="minorHAnsi"/>
                <w:b/>
                <w:sz w:val="20"/>
              </w:rPr>
            </w:pPr>
            <w:r w:rsidRPr="000C4C17">
              <w:rPr>
                <w:rFonts w:eastAsiaTheme="minorHAnsi"/>
                <w:b/>
                <w:sz w:val="20"/>
              </w:rPr>
              <w:t>PFOS concentration</w:t>
            </w:r>
          </w:p>
        </w:tc>
        <w:tc>
          <w:tcPr>
            <w:tcW w:w="3620" w:type="dxa"/>
            <w:shd w:val="clear" w:color="auto" w:fill="F2F2F2" w:themeFill="background1" w:themeFillShade="F2"/>
          </w:tcPr>
          <w:p w14:paraId="0E009D38" w14:textId="77777777" w:rsidR="00F8101A" w:rsidRPr="000C4C17" w:rsidRDefault="00F8101A" w:rsidP="00A111E9">
            <w:pPr>
              <w:widowControl/>
              <w:rPr>
                <w:rFonts w:eastAsiaTheme="minorHAnsi"/>
                <w:b/>
                <w:sz w:val="20"/>
              </w:rPr>
            </w:pPr>
            <w:r w:rsidRPr="000C4C17">
              <w:rPr>
                <w:rFonts w:eastAsiaTheme="minorHAnsi"/>
                <w:b/>
                <w:sz w:val="20"/>
              </w:rPr>
              <w:t>Results</w:t>
            </w:r>
          </w:p>
        </w:tc>
        <w:tc>
          <w:tcPr>
            <w:tcW w:w="1766" w:type="dxa"/>
            <w:shd w:val="clear" w:color="auto" w:fill="F2F2F2" w:themeFill="background1" w:themeFillShade="F2"/>
          </w:tcPr>
          <w:p w14:paraId="489C2BE9" w14:textId="77777777" w:rsidR="00F8101A" w:rsidRPr="000C4C17" w:rsidRDefault="00F8101A" w:rsidP="00A111E9">
            <w:pPr>
              <w:widowControl/>
              <w:rPr>
                <w:rFonts w:eastAsiaTheme="minorHAnsi"/>
                <w:b/>
                <w:sz w:val="20"/>
              </w:rPr>
            </w:pPr>
            <w:r w:rsidRPr="000C4C17">
              <w:rPr>
                <w:rFonts w:eastAsiaTheme="minorHAnsi"/>
                <w:b/>
                <w:sz w:val="20"/>
              </w:rPr>
              <w:t>Direction of association</w:t>
            </w:r>
          </w:p>
        </w:tc>
      </w:tr>
      <w:tr w:rsidR="00F8101A" w:rsidRPr="000C4C17" w14:paraId="40A37293" w14:textId="77777777" w:rsidTr="00E8022F">
        <w:tc>
          <w:tcPr>
            <w:tcW w:w="1242" w:type="dxa"/>
            <w:vAlign w:val="center"/>
          </w:tcPr>
          <w:p w14:paraId="74089392" w14:textId="77777777" w:rsidR="00F8101A" w:rsidRPr="000C4C17" w:rsidRDefault="00F8101A" w:rsidP="00A111E9">
            <w:pPr>
              <w:widowControl/>
              <w:rPr>
                <w:rFonts w:eastAsiaTheme="minorHAnsi"/>
                <w:sz w:val="18"/>
              </w:rPr>
            </w:pPr>
            <w:r w:rsidRPr="000C4C17">
              <w:rPr>
                <w:rFonts w:eastAsiaTheme="minorHAnsi"/>
                <w:sz w:val="18"/>
              </w:rPr>
              <w:t>Arbuckle</w:t>
            </w:r>
          </w:p>
        </w:tc>
        <w:tc>
          <w:tcPr>
            <w:tcW w:w="2552" w:type="dxa"/>
            <w:vAlign w:val="center"/>
          </w:tcPr>
          <w:p w14:paraId="08124DB7" w14:textId="77777777" w:rsidR="00F8101A" w:rsidRPr="000C4C17" w:rsidRDefault="00F8101A" w:rsidP="00A111E9">
            <w:pPr>
              <w:widowControl/>
              <w:rPr>
                <w:rFonts w:eastAsiaTheme="minorHAnsi"/>
                <w:sz w:val="18"/>
              </w:rPr>
            </w:pPr>
            <w:r w:rsidRPr="000C4C17">
              <w:rPr>
                <w:rFonts w:eastAsiaTheme="minorHAnsi"/>
                <w:sz w:val="18"/>
              </w:rPr>
              <w:t>Minimum &lt; detection</w:t>
            </w:r>
          </w:p>
          <w:p w14:paraId="413C1AC1" w14:textId="77777777" w:rsidR="00F8101A" w:rsidRPr="000C4C17" w:rsidRDefault="00F8101A" w:rsidP="00A111E9">
            <w:pPr>
              <w:widowControl/>
              <w:rPr>
                <w:rFonts w:eastAsiaTheme="minorHAnsi"/>
                <w:sz w:val="18"/>
              </w:rPr>
            </w:pPr>
            <w:r w:rsidRPr="000C4C17">
              <w:rPr>
                <w:rFonts w:eastAsiaTheme="minorHAnsi"/>
                <w:sz w:val="18"/>
              </w:rPr>
              <w:t>Median 5.0</w:t>
            </w:r>
          </w:p>
          <w:p w14:paraId="39DB3D93" w14:textId="77777777" w:rsidR="00F8101A" w:rsidRPr="000C4C17" w:rsidRDefault="00F8101A" w:rsidP="00A111E9">
            <w:pPr>
              <w:widowControl/>
              <w:rPr>
                <w:rFonts w:eastAsiaTheme="minorHAnsi"/>
                <w:sz w:val="18"/>
              </w:rPr>
            </w:pPr>
            <w:r w:rsidRPr="000C4C17">
              <w:rPr>
                <w:rFonts w:eastAsiaTheme="minorHAnsi"/>
                <w:sz w:val="18"/>
              </w:rPr>
              <w:t>Maximum21</w:t>
            </w:r>
          </w:p>
        </w:tc>
        <w:tc>
          <w:tcPr>
            <w:tcW w:w="3620" w:type="dxa"/>
            <w:vAlign w:val="center"/>
          </w:tcPr>
          <w:p w14:paraId="2AD5F39D" w14:textId="37CCDF39" w:rsidR="00F8101A" w:rsidRPr="000C4C17" w:rsidRDefault="0053023C" w:rsidP="0053023C">
            <w:pPr>
              <w:widowControl/>
              <w:rPr>
                <w:rFonts w:eastAsiaTheme="minorHAnsi"/>
                <w:sz w:val="18"/>
              </w:rPr>
            </w:pPr>
            <w:r>
              <w:rPr>
                <w:rFonts w:eastAsiaTheme="minorHAnsi"/>
                <w:sz w:val="18"/>
              </w:rPr>
              <w:t>Inverted m</w:t>
            </w:r>
            <w:r w:rsidR="00F8101A" w:rsidRPr="000C4C17">
              <w:rPr>
                <w:rFonts w:eastAsiaTheme="minorHAnsi"/>
                <w:sz w:val="18"/>
              </w:rPr>
              <w:t>ultivariate</w:t>
            </w:r>
            <w:r w:rsidR="00E8022F" w:rsidRPr="000C4C17">
              <w:rPr>
                <w:rFonts w:eastAsiaTheme="minorHAnsi"/>
                <w:sz w:val="18"/>
              </w:rPr>
              <w:t xml:space="preserve"> analysis</w:t>
            </w:r>
            <w:r w:rsidR="00F8101A" w:rsidRPr="000C4C17">
              <w:rPr>
                <w:rFonts w:eastAsiaTheme="minorHAnsi"/>
                <w:sz w:val="18"/>
              </w:rPr>
              <w:t xml:space="preserve"> birthweight not a significant predictor of PFOS</w:t>
            </w:r>
          </w:p>
        </w:tc>
        <w:tc>
          <w:tcPr>
            <w:tcW w:w="1766" w:type="dxa"/>
            <w:vAlign w:val="center"/>
          </w:tcPr>
          <w:p w14:paraId="6CEFA540" w14:textId="77777777" w:rsidR="00F8101A" w:rsidRPr="000C4C17" w:rsidRDefault="00F8101A" w:rsidP="00A111E9">
            <w:pPr>
              <w:widowControl/>
              <w:rPr>
                <w:rFonts w:eastAsiaTheme="minorHAnsi"/>
                <w:sz w:val="18"/>
              </w:rPr>
            </w:pPr>
            <w:r w:rsidRPr="000C4C17">
              <w:rPr>
                <w:rFonts w:eastAsiaTheme="minorHAnsi"/>
                <w:sz w:val="18"/>
              </w:rPr>
              <w:t>Unknown</w:t>
            </w:r>
          </w:p>
        </w:tc>
      </w:tr>
      <w:tr w:rsidR="00F8101A" w:rsidRPr="000C4C17" w14:paraId="71CAFF15" w14:textId="77777777" w:rsidTr="00E8022F">
        <w:tc>
          <w:tcPr>
            <w:tcW w:w="1242" w:type="dxa"/>
            <w:vAlign w:val="center"/>
          </w:tcPr>
          <w:p w14:paraId="596F41A6" w14:textId="77777777" w:rsidR="00F8101A" w:rsidRPr="000C4C17" w:rsidRDefault="00F8101A" w:rsidP="00A111E9">
            <w:pPr>
              <w:widowControl/>
              <w:rPr>
                <w:rFonts w:eastAsiaTheme="minorHAnsi"/>
                <w:sz w:val="18"/>
              </w:rPr>
            </w:pPr>
            <w:r w:rsidRPr="000C4C17">
              <w:rPr>
                <w:rFonts w:eastAsiaTheme="minorHAnsi"/>
                <w:sz w:val="18"/>
              </w:rPr>
              <w:t>Grice</w:t>
            </w:r>
          </w:p>
        </w:tc>
        <w:tc>
          <w:tcPr>
            <w:tcW w:w="2552" w:type="dxa"/>
            <w:vAlign w:val="center"/>
          </w:tcPr>
          <w:p w14:paraId="1C366BC0" w14:textId="77777777" w:rsidR="00F8101A" w:rsidRPr="000C4C17" w:rsidRDefault="00F8101A" w:rsidP="00A111E9">
            <w:pPr>
              <w:widowControl/>
              <w:rPr>
                <w:rFonts w:eastAsiaTheme="minorHAnsi"/>
                <w:sz w:val="18"/>
              </w:rPr>
            </w:pPr>
            <w:r w:rsidRPr="000C4C17">
              <w:rPr>
                <w:rFonts w:eastAsiaTheme="minorHAnsi"/>
                <w:sz w:val="18"/>
              </w:rPr>
              <w:t>Unquantified description based on work history</w:t>
            </w:r>
          </w:p>
        </w:tc>
        <w:tc>
          <w:tcPr>
            <w:tcW w:w="3620" w:type="dxa"/>
            <w:vAlign w:val="center"/>
          </w:tcPr>
          <w:p w14:paraId="2864AA3F" w14:textId="462CFEEB" w:rsidR="001E03AD" w:rsidRDefault="00F8101A" w:rsidP="00A111E9">
            <w:pPr>
              <w:widowControl/>
              <w:rPr>
                <w:rFonts w:eastAsiaTheme="minorHAnsi"/>
                <w:sz w:val="18"/>
              </w:rPr>
            </w:pPr>
            <w:r w:rsidRPr="000C4C17">
              <w:rPr>
                <w:rFonts w:eastAsiaTheme="minorHAnsi"/>
                <w:sz w:val="18"/>
              </w:rPr>
              <w:t>Compared to never exposed pregnancies, ever low exposure was associated with</w:t>
            </w:r>
          </w:p>
          <w:p w14:paraId="6ED0748C" w14:textId="38E4035C" w:rsidR="00F8101A" w:rsidRPr="000C4C17" w:rsidRDefault="001E03AD" w:rsidP="00A111E9">
            <w:pPr>
              <w:widowControl/>
              <w:rPr>
                <w:rFonts w:eastAsiaTheme="minorHAnsi"/>
                <w:sz w:val="18"/>
              </w:rPr>
            </w:pPr>
            <w:r>
              <w:rPr>
                <w:rFonts w:eastAsiaTheme="minorHAnsi"/>
                <w:sz w:val="18"/>
              </w:rPr>
              <w:t>-</w:t>
            </w:r>
            <w:r w:rsidR="00F8101A" w:rsidRPr="000C4C17">
              <w:rPr>
                <w:rFonts w:eastAsiaTheme="minorHAnsi"/>
                <w:sz w:val="18"/>
              </w:rPr>
              <w:t xml:space="preserve">60 g; ever high exposure with + 70 g </w:t>
            </w:r>
            <w:r w:rsidR="00104C8E" w:rsidRPr="000C4C17">
              <w:rPr>
                <w:rFonts w:eastAsiaTheme="minorHAnsi"/>
                <w:sz w:val="18"/>
              </w:rPr>
              <w:t>etc.</w:t>
            </w:r>
          </w:p>
        </w:tc>
        <w:tc>
          <w:tcPr>
            <w:tcW w:w="1766" w:type="dxa"/>
            <w:vAlign w:val="center"/>
          </w:tcPr>
          <w:p w14:paraId="4E1409DB" w14:textId="77777777" w:rsidR="00F8101A" w:rsidRPr="000C4C17" w:rsidRDefault="00F8101A" w:rsidP="00A111E9">
            <w:pPr>
              <w:widowControl/>
              <w:rPr>
                <w:rFonts w:eastAsiaTheme="minorHAnsi"/>
                <w:sz w:val="18"/>
              </w:rPr>
            </w:pPr>
            <w:r w:rsidRPr="000C4C17">
              <w:rPr>
                <w:rFonts w:eastAsiaTheme="minorHAnsi"/>
                <w:sz w:val="18"/>
              </w:rPr>
              <w:t>Inconsistent</w:t>
            </w:r>
          </w:p>
        </w:tc>
      </w:tr>
      <w:tr w:rsidR="00F8101A" w:rsidRPr="000C4C17" w14:paraId="50C5C4C7" w14:textId="77777777" w:rsidTr="00E8022F">
        <w:tc>
          <w:tcPr>
            <w:tcW w:w="1242" w:type="dxa"/>
            <w:vAlign w:val="center"/>
          </w:tcPr>
          <w:p w14:paraId="13A8B162" w14:textId="77777777" w:rsidR="00F8101A" w:rsidRPr="000C4C17" w:rsidRDefault="00F8101A" w:rsidP="00A111E9">
            <w:pPr>
              <w:widowControl/>
              <w:rPr>
                <w:rFonts w:eastAsiaTheme="minorHAnsi"/>
                <w:sz w:val="18"/>
              </w:rPr>
            </w:pPr>
            <w:r w:rsidRPr="000C4C17">
              <w:rPr>
                <w:rFonts w:eastAsiaTheme="minorHAnsi"/>
                <w:sz w:val="18"/>
              </w:rPr>
              <w:t>Kim SK</w:t>
            </w:r>
          </w:p>
        </w:tc>
        <w:tc>
          <w:tcPr>
            <w:tcW w:w="2552" w:type="dxa"/>
            <w:vAlign w:val="center"/>
          </w:tcPr>
          <w:p w14:paraId="49A9AD88" w14:textId="499C6BBE" w:rsidR="00F8101A" w:rsidRPr="00E8435A" w:rsidRDefault="00F8101A" w:rsidP="00A111E9">
            <w:pPr>
              <w:widowControl/>
              <w:rPr>
                <w:rFonts w:eastAsiaTheme="minorHAnsi"/>
                <w:sz w:val="18"/>
              </w:rPr>
            </w:pPr>
            <w:r w:rsidRPr="00E8435A">
              <w:rPr>
                <w:rFonts w:eastAsiaTheme="minorHAnsi"/>
                <w:sz w:val="18"/>
              </w:rPr>
              <w:t xml:space="preserve">Mean </w:t>
            </w:r>
            <w:r w:rsidR="00E8435A">
              <w:rPr>
                <w:rFonts w:eastAsiaTheme="minorHAnsi"/>
                <w:sz w:val="18"/>
              </w:rPr>
              <w:t>5.6</w:t>
            </w:r>
          </w:p>
          <w:p w14:paraId="0D730557" w14:textId="10DE304B" w:rsidR="00F8101A" w:rsidRPr="00E8435A" w:rsidRDefault="00F8101A" w:rsidP="00A111E9">
            <w:pPr>
              <w:widowControl/>
              <w:rPr>
                <w:rFonts w:eastAsiaTheme="minorHAnsi"/>
                <w:sz w:val="18"/>
              </w:rPr>
            </w:pPr>
            <w:r w:rsidRPr="00E8435A">
              <w:rPr>
                <w:rFonts w:eastAsiaTheme="minorHAnsi"/>
                <w:sz w:val="18"/>
              </w:rPr>
              <w:t xml:space="preserve">Min: </w:t>
            </w:r>
            <w:r w:rsidR="00E8435A">
              <w:rPr>
                <w:rFonts w:eastAsiaTheme="minorHAnsi"/>
                <w:sz w:val="18"/>
              </w:rPr>
              <w:t>3.3</w:t>
            </w:r>
          </w:p>
          <w:p w14:paraId="10A0804C" w14:textId="36EF5FAC" w:rsidR="00F8101A" w:rsidRPr="00E8435A" w:rsidRDefault="00F8101A" w:rsidP="00A111E9">
            <w:pPr>
              <w:widowControl/>
              <w:rPr>
                <w:rFonts w:eastAsiaTheme="minorHAnsi"/>
                <w:sz w:val="18"/>
              </w:rPr>
            </w:pPr>
            <w:r w:rsidRPr="00E8435A">
              <w:rPr>
                <w:rFonts w:eastAsiaTheme="minorHAnsi"/>
                <w:sz w:val="18"/>
              </w:rPr>
              <w:t xml:space="preserve">Max </w:t>
            </w:r>
            <w:r w:rsidR="00E8435A">
              <w:rPr>
                <w:rFonts w:eastAsiaTheme="minorHAnsi"/>
                <w:sz w:val="18"/>
              </w:rPr>
              <w:t>9.4</w:t>
            </w:r>
          </w:p>
        </w:tc>
        <w:tc>
          <w:tcPr>
            <w:tcW w:w="3620" w:type="dxa"/>
            <w:vAlign w:val="center"/>
          </w:tcPr>
          <w:p w14:paraId="7866A518" w14:textId="77777777" w:rsidR="00F8101A" w:rsidRPr="00E8435A" w:rsidRDefault="00F8101A" w:rsidP="00A111E9">
            <w:pPr>
              <w:widowControl/>
              <w:rPr>
                <w:rFonts w:eastAsiaTheme="minorHAnsi"/>
                <w:sz w:val="18"/>
              </w:rPr>
            </w:pPr>
            <w:r w:rsidRPr="00E8435A">
              <w:rPr>
                <w:rFonts w:eastAsiaTheme="minorHAnsi"/>
                <w:sz w:val="18"/>
              </w:rPr>
              <w:t>Not correlated p&gt;0.2</w:t>
            </w:r>
          </w:p>
        </w:tc>
        <w:tc>
          <w:tcPr>
            <w:tcW w:w="1766" w:type="dxa"/>
            <w:vAlign w:val="center"/>
          </w:tcPr>
          <w:p w14:paraId="14D8807C" w14:textId="77777777" w:rsidR="00F8101A" w:rsidRPr="000C4C17" w:rsidRDefault="00F8101A" w:rsidP="00A111E9">
            <w:pPr>
              <w:widowControl/>
              <w:rPr>
                <w:rFonts w:eastAsiaTheme="minorHAnsi"/>
                <w:sz w:val="18"/>
              </w:rPr>
            </w:pPr>
            <w:r w:rsidRPr="000C4C17">
              <w:rPr>
                <w:rFonts w:eastAsiaTheme="minorHAnsi"/>
                <w:sz w:val="18"/>
              </w:rPr>
              <w:t>Unknown</w:t>
            </w:r>
          </w:p>
        </w:tc>
      </w:tr>
      <w:tr w:rsidR="00F8101A" w:rsidRPr="000C4C17" w14:paraId="10D3EFBE" w14:textId="77777777" w:rsidTr="00E8022F">
        <w:tc>
          <w:tcPr>
            <w:tcW w:w="1242" w:type="dxa"/>
            <w:vAlign w:val="center"/>
          </w:tcPr>
          <w:p w14:paraId="4E1AD4D1" w14:textId="77777777" w:rsidR="00F8101A" w:rsidRPr="000C4C17" w:rsidRDefault="00F8101A" w:rsidP="00A111E9">
            <w:pPr>
              <w:widowControl/>
              <w:rPr>
                <w:rFonts w:eastAsiaTheme="minorHAnsi"/>
                <w:sz w:val="18"/>
              </w:rPr>
            </w:pPr>
            <w:r w:rsidRPr="000C4C17">
              <w:rPr>
                <w:rFonts w:eastAsiaTheme="minorHAnsi"/>
                <w:sz w:val="18"/>
              </w:rPr>
              <w:t>Monroy</w:t>
            </w:r>
          </w:p>
        </w:tc>
        <w:tc>
          <w:tcPr>
            <w:tcW w:w="2552" w:type="dxa"/>
            <w:vAlign w:val="center"/>
          </w:tcPr>
          <w:p w14:paraId="76633D8C" w14:textId="5A8C69C7" w:rsidR="00F8101A" w:rsidRPr="000C4C17" w:rsidRDefault="001E03AD" w:rsidP="00A111E9">
            <w:pPr>
              <w:widowControl/>
              <w:rPr>
                <w:rFonts w:eastAsiaTheme="minorHAnsi"/>
                <w:sz w:val="18"/>
              </w:rPr>
            </w:pPr>
            <w:r>
              <w:rPr>
                <w:rFonts w:eastAsiaTheme="minorHAnsi"/>
                <w:sz w:val="18"/>
              </w:rPr>
              <w:t>Mean 18.31 (range 10.8 – 22.9</w:t>
            </w:r>
            <w:r w:rsidR="0007229B">
              <w:rPr>
                <w:rFonts w:eastAsiaTheme="minorHAnsi"/>
                <w:sz w:val="18"/>
              </w:rPr>
              <w:t>)</w:t>
            </w:r>
          </w:p>
        </w:tc>
        <w:tc>
          <w:tcPr>
            <w:tcW w:w="3620" w:type="dxa"/>
            <w:vAlign w:val="center"/>
          </w:tcPr>
          <w:p w14:paraId="583D2C14" w14:textId="4C8DD529" w:rsidR="00F8101A" w:rsidRPr="000C4C17" w:rsidRDefault="00F8101A" w:rsidP="00A111E9">
            <w:pPr>
              <w:widowControl/>
              <w:rPr>
                <w:rFonts w:eastAsiaTheme="minorHAnsi"/>
                <w:sz w:val="18"/>
              </w:rPr>
            </w:pPr>
            <w:r w:rsidRPr="000C4C17">
              <w:rPr>
                <w:rFonts w:eastAsiaTheme="minorHAnsi"/>
                <w:sz w:val="18"/>
              </w:rPr>
              <w:t>Inverted regression (i.e. prediction of maternal PFOS from birthweight</w:t>
            </w:r>
            <w:r w:rsidR="00986779">
              <w:rPr>
                <w:rFonts w:eastAsiaTheme="minorHAnsi"/>
                <w:sz w:val="18"/>
              </w:rPr>
              <w:t>)</w:t>
            </w:r>
            <w:r w:rsidRPr="000C4C17">
              <w:rPr>
                <w:rFonts w:eastAsiaTheme="minorHAnsi"/>
                <w:sz w:val="18"/>
              </w:rPr>
              <w:t xml:space="preserve"> </w:t>
            </w:r>
          </w:p>
        </w:tc>
        <w:tc>
          <w:tcPr>
            <w:tcW w:w="1766" w:type="dxa"/>
            <w:vAlign w:val="center"/>
          </w:tcPr>
          <w:p w14:paraId="3DD0DDA6" w14:textId="2E6188DC" w:rsidR="00F8101A" w:rsidRPr="000C4C17" w:rsidRDefault="00E8022F" w:rsidP="00A111E9">
            <w:pPr>
              <w:widowControl/>
              <w:rPr>
                <w:rFonts w:eastAsiaTheme="minorHAnsi"/>
                <w:sz w:val="18"/>
              </w:rPr>
            </w:pPr>
            <w:r w:rsidRPr="000C4C17">
              <w:rPr>
                <w:rFonts w:eastAsiaTheme="minorHAnsi"/>
                <w:sz w:val="18"/>
              </w:rPr>
              <w:t>Unknown</w:t>
            </w:r>
          </w:p>
        </w:tc>
      </w:tr>
      <w:tr w:rsidR="00F8101A" w:rsidRPr="000C4C17" w14:paraId="36F0E75C" w14:textId="77777777" w:rsidTr="00E8022F">
        <w:tc>
          <w:tcPr>
            <w:tcW w:w="1242" w:type="dxa"/>
            <w:vAlign w:val="center"/>
          </w:tcPr>
          <w:p w14:paraId="2DA0F59C" w14:textId="77777777" w:rsidR="00F8101A" w:rsidRPr="000C4C17" w:rsidRDefault="00F8101A" w:rsidP="00A111E9">
            <w:pPr>
              <w:widowControl/>
              <w:rPr>
                <w:rFonts w:eastAsiaTheme="minorHAnsi"/>
                <w:sz w:val="18"/>
              </w:rPr>
            </w:pPr>
            <w:r w:rsidRPr="000C4C17">
              <w:rPr>
                <w:rFonts w:eastAsiaTheme="minorHAnsi"/>
                <w:sz w:val="18"/>
              </w:rPr>
              <w:t>Lee</w:t>
            </w:r>
          </w:p>
        </w:tc>
        <w:tc>
          <w:tcPr>
            <w:tcW w:w="2552" w:type="dxa"/>
            <w:vAlign w:val="center"/>
          </w:tcPr>
          <w:p w14:paraId="12FB343F" w14:textId="78376307" w:rsidR="00F8101A" w:rsidRPr="000C4C17" w:rsidRDefault="00F8101A" w:rsidP="00A111E9">
            <w:pPr>
              <w:widowControl/>
              <w:rPr>
                <w:rFonts w:eastAsiaTheme="minorHAnsi"/>
                <w:sz w:val="18"/>
              </w:rPr>
            </w:pPr>
            <w:r w:rsidRPr="000C4C17">
              <w:rPr>
                <w:rFonts w:eastAsiaTheme="minorHAnsi"/>
                <w:sz w:val="18"/>
              </w:rPr>
              <w:t>25</w:t>
            </w:r>
            <w:r w:rsidRPr="000C4C17">
              <w:rPr>
                <w:rFonts w:eastAsiaTheme="minorHAnsi"/>
                <w:sz w:val="18"/>
                <w:vertAlign w:val="superscript"/>
              </w:rPr>
              <w:t>th</w:t>
            </w:r>
            <w:r w:rsidRPr="000C4C17">
              <w:rPr>
                <w:rFonts w:eastAsiaTheme="minorHAnsi"/>
                <w:sz w:val="18"/>
              </w:rPr>
              <w:t xml:space="preserve"> centile 7.31</w:t>
            </w:r>
          </w:p>
          <w:p w14:paraId="4A100ECE" w14:textId="77777777" w:rsidR="00F8101A" w:rsidRPr="000C4C17" w:rsidRDefault="00F8101A" w:rsidP="00A111E9">
            <w:pPr>
              <w:widowControl/>
              <w:rPr>
                <w:rFonts w:eastAsiaTheme="minorHAnsi"/>
                <w:sz w:val="18"/>
              </w:rPr>
            </w:pPr>
            <w:r w:rsidRPr="000C4C17">
              <w:rPr>
                <w:rFonts w:eastAsiaTheme="minorHAnsi"/>
                <w:sz w:val="18"/>
              </w:rPr>
              <w:t>50th centile 9.37</w:t>
            </w:r>
          </w:p>
          <w:p w14:paraId="6514DE55" w14:textId="7FDEFB46" w:rsidR="00F8101A" w:rsidRPr="000C4C17" w:rsidRDefault="00F8101A" w:rsidP="00A111E9">
            <w:pPr>
              <w:widowControl/>
              <w:rPr>
                <w:rFonts w:eastAsiaTheme="minorHAnsi"/>
                <w:sz w:val="18"/>
              </w:rPr>
            </w:pPr>
            <w:r w:rsidRPr="000C4C17">
              <w:rPr>
                <w:rFonts w:eastAsiaTheme="minorHAnsi"/>
                <w:sz w:val="18"/>
              </w:rPr>
              <w:t>75</w:t>
            </w:r>
            <w:r w:rsidRPr="000C4C17">
              <w:rPr>
                <w:rFonts w:eastAsiaTheme="minorHAnsi"/>
                <w:sz w:val="18"/>
                <w:vertAlign w:val="superscript"/>
              </w:rPr>
              <w:t>th</w:t>
            </w:r>
            <w:r w:rsidRPr="000C4C17">
              <w:rPr>
                <w:rFonts w:eastAsiaTheme="minorHAnsi"/>
                <w:sz w:val="18"/>
              </w:rPr>
              <w:t xml:space="preserve"> centile 12.36</w:t>
            </w:r>
          </w:p>
        </w:tc>
        <w:tc>
          <w:tcPr>
            <w:tcW w:w="3620" w:type="dxa"/>
            <w:vAlign w:val="center"/>
          </w:tcPr>
          <w:p w14:paraId="6CA2597D" w14:textId="18362CB1" w:rsidR="00F8101A" w:rsidRPr="000C4C17" w:rsidRDefault="00F8101A" w:rsidP="00A111E9">
            <w:pPr>
              <w:widowControl/>
              <w:rPr>
                <w:rFonts w:eastAsiaTheme="minorHAnsi"/>
                <w:sz w:val="18"/>
              </w:rPr>
            </w:pPr>
            <w:r w:rsidRPr="000C4C17">
              <w:rPr>
                <w:rFonts w:eastAsiaTheme="minorHAnsi"/>
                <w:sz w:val="18"/>
              </w:rPr>
              <w:t xml:space="preserve">Adjusted analysis: </w:t>
            </w:r>
            <w:r w:rsidR="0053023C">
              <w:rPr>
                <w:rFonts w:eastAsiaTheme="minorHAnsi"/>
                <w:sz w:val="18"/>
              </w:rPr>
              <w:t>o</w:t>
            </w:r>
            <w:r w:rsidRPr="000C4C17">
              <w:rPr>
                <w:rFonts w:eastAsiaTheme="minorHAnsi"/>
                <w:sz w:val="18"/>
              </w:rPr>
              <w:t>dds of having higher birthweight (above the median of 3.19 kg) not associated with PFOS concentration was greater than the median concentration (OR=0.98</w:t>
            </w:r>
            <w:r w:rsidR="00986779">
              <w:rPr>
                <w:rFonts w:eastAsiaTheme="minorHAnsi"/>
                <w:sz w:val="18"/>
              </w:rPr>
              <w:t>)</w:t>
            </w:r>
            <w:r w:rsidRPr="000C4C17">
              <w:rPr>
                <w:rFonts w:eastAsiaTheme="minorHAnsi"/>
                <w:sz w:val="18"/>
              </w:rPr>
              <w:t xml:space="preserve"> </w:t>
            </w:r>
          </w:p>
        </w:tc>
        <w:tc>
          <w:tcPr>
            <w:tcW w:w="1766" w:type="dxa"/>
            <w:vAlign w:val="center"/>
          </w:tcPr>
          <w:p w14:paraId="2B4FFEDB" w14:textId="77777777" w:rsidR="00F8101A" w:rsidRPr="000C4C17" w:rsidRDefault="00F8101A" w:rsidP="00A111E9">
            <w:pPr>
              <w:widowControl/>
              <w:rPr>
                <w:rFonts w:eastAsiaTheme="minorHAnsi"/>
                <w:sz w:val="18"/>
              </w:rPr>
            </w:pPr>
            <w:r w:rsidRPr="000C4C17">
              <w:rPr>
                <w:rFonts w:eastAsiaTheme="minorHAnsi"/>
                <w:sz w:val="18"/>
              </w:rPr>
              <w:t>Little or no association</w:t>
            </w:r>
          </w:p>
        </w:tc>
      </w:tr>
      <w:tr w:rsidR="00F8101A" w:rsidRPr="000C4C17" w14:paraId="3F7F52F9" w14:textId="77777777" w:rsidTr="00E8022F">
        <w:tc>
          <w:tcPr>
            <w:tcW w:w="1242" w:type="dxa"/>
            <w:vAlign w:val="center"/>
          </w:tcPr>
          <w:p w14:paraId="52E8790E" w14:textId="77777777" w:rsidR="00F8101A" w:rsidRPr="000C4C17" w:rsidRDefault="00F8101A" w:rsidP="00A111E9">
            <w:pPr>
              <w:widowControl/>
              <w:rPr>
                <w:rFonts w:eastAsiaTheme="minorHAnsi"/>
                <w:sz w:val="18"/>
              </w:rPr>
            </w:pPr>
            <w:r w:rsidRPr="000C4C17">
              <w:rPr>
                <w:rFonts w:eastAsiaTheme="minorHAnsi"/>
                <w:sz w:val="18"/>
              </w:rPr>
              <w:t>Robeldo</w:t>
            </w:r>
          </w:p>
        </w:tc>
        <w:tc>
          <w:tcPr>
            <w:tcW w:w="2552" w:type="dxa"/>
            <w:vAlign w:val="center"/>
          </w:tcPr>
          <w:p w14:paraId="3B78F69D" w14:textId="715D48A8" w:rsidR="00F8101A" w:rsidRPr="000C4C17" w:rsidRDefault="00F8101A" w:rsidP="005D3FE2">
            <w:pPr>
              <w:widowControl/>
              <w:rPr>
                <w:rFonts w:eastAsiaTheme="minorHAnsi"/>
                <w:sz w:val="18"/>
              </w:rPr>
            </w:pPr>
            <w:r w:rsidRPr="000C4C17">
              <w:rPr>
                <w:rFonts w:eastAsiaTheme="minorHAnsi"/>
                <w:sz w:val="18"/>
              </w:rPr>
              <w:t>Geometric mean</w:t>
            </w:r>
            <w:r w:rsidRPr="00E8435A">
              <w:rPr>
                <w:rFonts w:eastAsiaTheme="minorHAnsi"/>
                <w:sz w:val="18"/>
              </w:rPr>
              <w:t>:</w:t>
            </w:r>
            <w:r w:rsidR="005D3FE2" w:rsidRPr="00E8435A">
              <w:rPr>
                <w:rFonts w:eastAsiaTheme="minorHAnsi"/>
                <w:sz w:val="18"/>
              </w:rPr>
              <w:t xml:space="preserve"> </w:t>
            </w:r>
            <w:r w:rsidR="00E8435A" w:rsidRPr="0001306A">
              <w:rPr>
                <w:rFonts w:eastAsiaTheme="minorHAnsi"/>
                <w:sz w:val="18"/>
              </w:rPr>
              <w:t>12.5</w:t>
            </w:r>
            <w:r w:rsidRPr="0001306A">
              <w:rPr>
                <w:rFonts w:eastAsiaTheme="minorHAnsi"/>
                <w:sz w:val="18"/>
              </w:rPr>
              <w:t>3.</w:t>
            </w:r>
            <w:r w:rsidRPr="00E8435A">
              <w:rPr>
                <w:rFonts w:eastAsiaTheme="minorHAnsi"/>
                <w:sz w:val="18"/>
              </w:rPr>
              <w:t>16</w:t>
            </w:r>
          </w:p>
        </w:tc>
        <w:tc>
          <w:tcPr>
            <w:tcW w:w="3620" w:type="dxa"/>
            <w:vAlign w:val="center"/>
          </w:tcPr>
          <w:p w14:paraId="2A99A76C" w14:textId="22B94460" w:rsidR="00F8101A" w:rsidRPr="000C4C17" w:rsidRDefault="00F8101A" w:rsidP="00A111E9">
            <w:pPr>
              <w:widowControl/>
              <w:rPr>
                <w:rFonts w:eastAsiaTheme="minorHAnsi"/>
                <w:sz w:val="18"/>
              </w:rPr>
            </w:pPr>
            <w:r w:rsidRPr="000C4C17">
              <w:rPr>
                <w:rFonts w:eastAsiaTheme="minorHAnsi"/>
                <w:sz w:val="18"/>
              </w:rPr>
              <w:t xml:space="preserve">Girls: 14.16 g, </w:t>
            </w:r>
            <w:r w:rsidR="0053023C">
              <w:rPr>
                <w:rFonts w:eastAsiaTheme="minorHAnsi"/>
                <w:sz w:val="18"/>
              </w:rPr>
              <w:t>b</w:t>
            </w:r>
            <w:r w:rsidRPr="000C4C17">
              <w:rPr>
                <w:rFonts w:eastAsiaTheme="minorHAnsi"/>
                <w:sz w:val="18"/>
              </w:rPr>
              <w:t>oys 37.5 g per 1 standard deviation increase in the natural logarithm of maternal PFOA concentration</w:t>
            </w:r>
          </w:p>
        </w:tc>
        <w:tc>
          <w:tcPr>
            <w:tcW w:w="1766" w:type="dxa"/>
            <w:vAlign w:val="center"/>
          </w:tcPr>
          <w:p w14:paraId="63B8B186" w14:textId="77777777" w:rsidR="00F8101A" w:rsidRPr="000C4C17" w:rsidRDefault="00F8101A" w:rsidP="00A111E9">
            <w:pPr>
              <w:widowControl/>
              <w:rPr>
                <w:rFonts w:eastAsiaTheme="minorHAnsi"/>
                <w:sz w:val="18"/>
              </w:rPr>
            </w:pPr>
            <w:r w:rsidRPr="000C4C17">
              <w:rPr>
                <w:rFonts w:eastAsiaTheme="minorHAnsi"/>
                <w:sz w:val="18"/>
              </w:rPr>
              <w:t>Positive</w:t>
            </w:r>
          </w:p>
        </w:tc>
      </w:tr>
      <w:tr w:rsidR="00813B54" w:rsidRPr="000C4C17" w14:paraId="5B02FF91" w14:textId="77777777" w:rsidTr="00E8022F">
        <w:tc>
          <w:tcPr>
            <w:tcW w:w="1242" w:type="dxa"/>
          </w:tcPr>
          <w:p w14:paraId="7727E119" w14:textId="1D28DBD7" w:rsidR="00813B54" w:rsidRPr="00813B54" w:rsidRDefault="00813B54" w:rsidP="00A111E9">
            <w:pPr>
              <w:rPr>
                <w:sz w:val="18"/>
                <w:szCs w:val="18"/>
              </w:rPr>
            </w:pPr>
            <w:r w:rsidRPr="00813B54">
              <w:rPr>
                <w:sz w:val="18"/>
                <w:szCs w:val="18"/>
              </w:rPr>
              <w:t>De Cock</w:t>
            </w:r>
          </w:p>
        </w:tc>
        <w:tc>
          <w:tcPr>
            <w:tcW w:w="2552" w:type="dxa"/>
          </w:tcPr>
          <w:p w14:paraId="52430A06" w14:textId="0728303C" w:rsidR="00813B54" w:rsidRPr="00813B54" w:rsidRDefault="00813B54" w:rsidP="00A111E9">
            <w:pPr>
              <w:rPr>
                <w:sz w:val="18"/>
                <w:szCs w:val="18"/>
              </w:rPr>
            </w:pPr>
            <w:r w:rsidRPr="00813B54">
              <w:rPr>
                <w:sz w:val="18"/>
                <w:szCs w:val="18"/>
              </w:rPr>
              <w:t>Lowest tertile of cord blood: 0.57 – 1.2 ng/mL</w:t>
            </w:r>
          </w:p>
          <w:p w14:paraId="4FF36FEC" w14:textId="70E47619" w:rsidR="00813B54" w:rsidRPr="00813B54" w:rsidRDefault="00813B54" w:rsidP="00A111E9">
            <w:pPr>
              <w:widowControl/>
              <w:rPr>
                <w:sz w:val="18"/>
                <w:szCs w:val="18"/>
              </w:rPr>
            </w:pPr>
            <w:r w:rsidRPr="00813B54">
              <w:rPr>
                <w:sz w:val="18"/>
                <w:szCs w:val="18"/>
              </w:rPr>
              <w:t>Highest tertile: 1.9 – 3.2 ng/mL</w:t>
            </w:r>
          </w:p>
        </w:tc>
        <w:tc>
          <w:tcPr>
            <w:tcW w:w="3620" w:type="dxa"/>
          </w:tcPr>
          <w:p w14:paraId="49198388" w14:textId="713A0409" w:rsidR="00813B54" w:rsidRPr="00813B54" w:rsidRDefault="00813B54" w:rsidP="00A111E9">
            <w:pPr>
              <w:widowControl/>
              <w:rPr>
                <w:sz w:val="18"/>
                <w:szCs w:val="18"/>
              </w:rPr>
            </w:pPr>
            <w:r w:rsidRPr="00813B54">
              <w:rPr>
                <w:sz w:val="18"/>
                <w:szCs w:val="18"/>
              </w:rPr>
              <w:t>438 g higher birthweight in the highest tertile of cord blood than the lowest tertile</w:t>
            </w:r>
          </w:p>
        </w:tc>
        <w:tc>
          <w:tcPr>
            <w:tcW w:w="1766" w:type="dxa"/>
          </w:tcPr>
          <w:p w14:paraId="72D7C73A" w14:textId="5175541E" w:rsidR="00813B54" w:rsidRPr="00813B54" w:rsidRDefault="00813B54" w:rsidP="00A111E9">
            <w:pPr>
              <w:widowControl/>
              <w:rPr>
                <w:sz w:val="18"/>
                <w:szCs w:val="18"/>
              </w:rPr>
            </w:pPr>
            <w:r w:rsidRPr="00813B54">
              <w:rPr>
                <w:sz w:val="18"/>
                <w:szCs w:val="18"/>
              </w:rPr>
              <w:t>Positive</w:t>
            </w:r>
          </w:p>
        </w:tc>
      </w:tr>
      <w:tr w:rsidR="0063023D" w:rsidRPr="000C4C17" w14:paraId="5CDED865" w14:textId="77777777" w:rsidTr="00E8022F">
        <w:tc>
          <w:tcPr>
            <w:tcW w:w="1242" w:type="dxa"/>
          </w:tcPr>
          <w:p w14:paraId="68C8DB8C" w14:textId="27F0762D" w:rsidR="0063023D" w:rsidRPr="000C4C17" w:rsidRDefault="0063023D" w:rsidP="00A111E9">
            <w:pPr>
              <w:rPr>
                <w:sz w:val="18"/>
                <w:szCs w:val="18"/>
              </w:rPr>
            </w:pPr>
            <w:r w:rsidRPr="000C4C17">
              <w:rPr>
                <w:sz w:val="18"/>
                <w:szCs w:val="18"/>
              </w:rPr>
              <w:t>Lauritzen</w:t>
            </w:r>
          </w:p>
          <w:p w14:paraId="131D6947" w14:textId="7C9B8A5C" w:rsidR="0063023D" w:rsidRPr="000C4C17" w:rsidRDefault="0063023D" w:rsidP="00A111E9">
            <w:pPr>
              <w:widowControl/>
              <w:rPr>
                <w:rFonts w:eastAsiaTheme="minorHAnsi"/>
                <w:sz w:val="18"/>
                <w:szCs w:val="18"/>
              </w:rPr>
            </w:pPr>
            <w:r w:rsidRPr="000C4C17">
              <w:rPr>
                <w:sz w:val="18"/>
                <w:szCs w:val="18"/>
              </w:rPr>
              <w:t>(Norway)</w:t>
            </w:r>
          </w:p>
        </w:tc>
        <w:tc>
          <w:tcPr>
            <w:tcW w:w="2552" w:type="dxa"/>
          </w:tcPr>
          <w:p w14:paraId="6A5C96A4" w14:textId="7617D8F7" w:rsidR="0063023D" w:rsidRPr="000C4C17" w:rsidRDefault="0063023D" w:rsidP="00A111E9">
            <w:pPr>
              <w:widowControl/>
              <w:rPr>
                <w:rFonts w:eastAsiaTheme="minorHAnsi"/>
                <w:sz w:val="18"/>
                <w:szCs w:val="18"/>
              </w:rPr>
            </w:pPr>
            <w:r w:rsidRPr="000C4C17">
              <w:rPr>
                <w:sz w:val="18"/>
                <w:szCs w:val="18"/>
              </w:rPr>
              <w:t>Median 9.74 (range 0.95 – 59.6)</w:t>
            </w:r>
          </w:p>
        </w:tc>
        <w:tc>
          <w:tcPr>
            <w:tcW w:w="3620" w:type="dxa"/>
          </w:tcPr>
          <w:p w14:paraId="7D0C0736" w14:textId="0BEB6B01" w:rsidR="0063023D" w:rsidRPr="000C4C17" w:rsidRDefault="0063023D" w:rsidP="00A111E9">
            <w:pPr>
              <w:widowControl/>
              <w:rPr>
                <w:rFonts w:eastAsiaTheme="minorHAnsi"/>
                <w:sz w:val="18"/>
                <w:szCs w:val="18"/>
              </w:rPr>
            </w:pPr>
            <w:r w:rsidRPr="000C4C17">
              <w:rPr>
                <w:sz w:val="18"/>
                <w:szCs w:val="18"/>
              </w:rPr>
              <w:t>74 g per natural log unit</w:t>
            </w:r>
          </w:p>
        </w:tc>
        <w:tc>
          <w:tcPr>
            <w:tcW w:w="1766" w:type="dxa"/>
          </w:tcPr>
          <w:p w14:paraId="517DA990" w14:textId="370DCFFA" w:rsidR="0063023D" w:rsidRPr="000C4C17" w:rsidRDefault="0063023D" w:rsidP="00A111E9">
            <w:pPr>
              <w:widowControl/>
              <w:rPr>
                <w:rFonts w:eastAsiaTheme="minorHAnsi"/>
                <w:sz w:val="18"/>
                <w:szCs w:val="18"/>
              </w:rPr>
            </w:pPr>
            <w:r w:rsidRPr="000C4C17">
              <w:rPr>
                <w:sz w:val="18"/>
                <w:szCs w:val="18"/>
              </w:rPr>
              <w:t>Positive</w:t>
            </w:r>
          </w:p>
        </w:tc>
      </w:tr>
      <w:tr w:rsidR="0063023D" w:rsidRPr="000C4C17" w14:paraId="3AA4E354" w14:textId="77777777" w:rsidTr="00E8022F">
        <w:tc>
          <w:tcPr>
            <w:tcW w:w="1242" w:type="dxa"/>
          </w:tcPr>
          <w:p w14:paraId="3D69C676" w14:textId="6B5F0348" w:rsidR="0063023D" w:rsidRPr="000C4C17" w:rsidRDefault="0063023D" w:rsidP="00A111E9">
            <w:pPr>
              <w:widowControl/>
              <w:rPr>
                <w:rFonts w:eastAsiaTheme="minorHAnsi"/>
                <w:sz w:val="18"/>
                <w:szCs w:val="18"/>
              </w:rPr>
            </w:pPr>
            <w:r w:rsidRPr="000C4C17">
              <w:rPr>
                <w:sz w:val="18"/>
                <w:szCs w:val="18"/>
              </w:rPr>
              <w:t>Lauritzen (Sweden)</w:t>
            </w:r>
          </w:p>
        </w:tc>
        <w:tc>
          <w:tcPr>
            <w:tcW w:w="2552" w:type="dxa"/>
          </w:tcPr>
          <w:p w14:paraId="1DEF7BF4" w14:textId="5D2CFBC7" w:rsidR="0063023D" w:rsidRPr="000C4C17" w:rsidRDefault="0063023D" w:rsidP="00A111E9">
            <w:pPr>
              <w:widowControl/>
              <w:rPr>
                <w:rFonts w:eastAsiaTheme="minorHAnsi"/>
                <w:sz w:val="18"/>
                <w:szCs w:val="18"/>
              </w:rPr>
            </w:pPr>
            <w:r w:rsidRPr="000C4C17">
              <w:rPr>
                <w:sz w:val="18"/>
                <w:szCs w:val="18"/>
              </w:rPr>
              <w:t>Median 16.4 (range 2.28 – 55.2)</w:t>
            </w:r>
          </w:p>
        </w:tc>
        <w:tc>
          <w:tcPr>
            <w:tcW w:w="3620" w:type="dxa"/>
          </w:tcPr>
          <w:p w14:paraId="07730660" w14:textId="21C3F296" w:rsidR="0063023D" w:rsidRPr="000C4C17" w:rsidRDefault="0063023D" w:rsidP="00A111E9">
            <w:pPr>
              <w:widowControl/>
              <w:rPr>
                <w:rFonts w:eastAsiaTheme="minorHAnsi"/>
                <w:sz w:val="18"/>
                <w:szCs w:val="18"/>
              </w:rPr>
            </w:pPr>
            <w:r w:rsidRPr="000C4C17">
              <w:rPr>
                <w:sz w:val="18"/>
                <w:szCs w:val="18"/>
              </w:rPr>
              <w:t>-292 g per natural log unit</w:t>
            </w:r>
          </w:p>
        </w:tc>
        <w:tc>
          <w:tcPr>
            <w:tcW w:w="1766" w:type="dxa"/>
          </w:tcPr>
          <w:p w14:paraId="62C85655" w14:textId="4A745148" w:rsidR="0063023D" w:rsidRPr="000C4C17" w:rsidRDefault="0063023D" w:rsidP="00A111E9">
            <w:pPr>
              <w:widowControl/>
              <w:rPr>
                <w:rFonts w:eastAsiaTheme="minorHAnsi"/>
                <w:sz w:val="18"/>
                <w:szCs w:val="18"/>
              </w:rPr>
            </w:pPr>
            <w:r w:rsidRPr="000C4C17">
              <w:rPr>
                <w:sz w:val="18"/>
                <w:szCs w:val="18"/>
              </w:rPr>
              <w:t>Inverse</w:t>
            </w:r>
          </w:p>
        </w:tc>
      </w:tr>
      <w:tr w:rsidR="0063023D" w:rsidRPr="000C4C17" w14:paraId="5DEA0E8E" w14:textId="77777777" w:rsidTr="00E8022F">
        <w:tc>
          <w:tcPr>
            <w:tcW w:w="1242" w:type="dxa"/>
          </w:tcPr>
          <w:p w14:paraId="641DF9B0" w14:textId="085A38C3" w:rsidR="0063023D" w:rsidRPr="000C4C17" w:rsidRDefault="0063023D" w:rsidP="00A111E9">
            <w:pPr>
              <w:widowControl/>
              <w:rPr>
                <w:rFonts w:eastAsiaTheme="minorHAnsi"/>
                <w:sz w:val="18"/>
                <w:szCs w:val="18"/>
              </w:rPr>
            </w:pPr>
            <w:r w:rsidRPr="000C4C17">
              <w:rPr>
                <w:sz w:val="18"/>
                <w:szCs w:val="18"/>
              </w:rPr>
              <w:t>Alkhalawi</w:t>
            </w:r>
          </w:p>
        </w:tc>
        <w:tc>
          <w:tcPr>
            <w:tcW w:w="2552" w:type="dxa"/>
          </w:tcPr>
          <w:p w14:paraId="720604DB" w14:textId="77777777" w:rsidR="0063023D" w:rsidRPr="000C4C17" w:rsidRDefault="0063023D" w:rsidP="00A111E9">
            <w:pPr>
              <w:rPr>
                <w:sz w:val="18"/>
                <w:szCs w:val="18"/>
              </w:rPr>
            </w:pPr>
            <w:r w:rsidRPr="000C4C17">
              <w:rPr>
                <w:sz w:val="18"/>
                <w:szCs w:val="18"/>
              </w:rPr>
              <w:t>25</w:t>
            </w:r>
            <w:r w:rsidRPr="000C4C17">
              <w:rPr>
                <w:sz w:val="18"/>
                <w:szCs w:val="18"/>
                <w:vertAlign w:val="superscript"/>
              </w:rPr>
              <w:t>th</w:t>
            </w:r>
            <w:r w:rsidRPr="000C4C17">
              <w:rPr>
                <w:sz w:val="18"/>
                <w:szCs w:val="18"/>
              </w:rPr>
              <w:t xml:space="preserve"> centile 7.02</w:t>
            </w:r>
          </w:p>
          <w:p w14:paraId="6BF53E91" w14:textId="77777777" w:rsidR="0063023D" w:rsidRPr="000C4C17" w:rsidRDefault="0063023D" w:rsidP="00A111E9">
            <w:pPr>
              <w:rPr>
                <w:sz w:val="18"/>
                <w:szCs w:val="18"/>
              </w:rPr>
            </w:pPr>
            <w:r w:rsidRPr="000C4C17">
              <w:rPr>
                <w:sz w:val="18"/>
                <w:szCs w:val="18"/>
              </w:rPr>
              <w:t>50</w:t>
            </w:r>
            <w:r w:rsidRPr="000C4C17">
              <w:rPr>
                <w:sz w:val="18"/>
                <w:szCs w:val="18"/>
                <w:vertAlign w:val="superscript"/>
              </w:rPr>
              <w:t>th</w:t>
            </w:r>
            <w:r w:rsidRPr="000C4C17">
              <w:rPr>
                <w:sz w:val="18"/>
                <w:szCs w:val="18"/>
              </w:rPr>
              <w:t xml:space="preserve"> centile 9.33</w:t>
            </w:r>
          </w:p>
          <w:p w14:paraId="6D00CF38" w14:textId="3A6E2801" w:rsidR="0063023D" w:rsidRPr="000C4C17" w:rsidRDefault="0063023D" w:rsidP="00A111E9">
            <w:pPr>
              <w:widowControl/>
              <w:rPr>
                <w:rFonts w:eastAsiaTheme="minorHAnsi"/>
                <w:sz w:val="18"/>
                <w:szCs w:val="18"/>
              </w:rPr>
            </w:pPr>
            <w:r w:rsidRPr="000C4C17">
              <w:rPr>
                <w:sz w:val="18"/>
                <w:szCs w:val="18"/>
              </w:rPr>
              <w:t>75</w:t>
            </w:r>
            <w:r w:rsidRPr="000C4C17">
              <w:rPr>
                <w:sz w:val="18"/>
                <w:szCs w:val="18"/>
                <w:vertAlign w:val="superscript"/>
              </w:rPr>
              <w:t>th</w:t>
            </w:r>
            <w:r w:rsidRPr="000C4C17">
              <w:rPr>
                <w:sz w:val="18"/>
                <w:szCs w:val="18"/>
              </w:rPr>
              <w:t xml:space="preserve"> centile 11.86</w:t>
            </w:r>
          </w:p>
        </w:tc>
        <w:tc>
          <w:tcPr>
            <w:tcW w:w="3620" w:type="dxa"/>
          </w:tcPr>
          <w:p w14:paraId="531A8D6E" w14:textId="2F01746C" w:rsidR="0063023D" w:rsidRPr="000C4C17" w:rsidRDefault="0063023D" w:rsidP="00A111E9">
            <w:pPr>
              <w:widowControl/>
              <w:rPr>
                <w:rFonts w:eastAsiaTheme="minorHAnsi"/>
                <w:sz w:val="18"/>
                <w:szCs w:val="18"/>
              </w:rPr>
            </w:pPr>
            <w:r w:rsidRPr="000C4C17">
              <w:rPr>
                <w:sz w:val="18"/>
                <w:szCs w:val="18"/>
              </w:rPr>
              <w:t>“the correlation coefficient for birthweight was negative”</w:t>
            </w:r>
          </w:p>
        </w:tc>
        <w:tc>
          <w:tcPr>
            <w:tcW w:w="1766" w:type="dxa"/>
          </w:tcPr>
          <w:p w14:paraId="49C5AE91" w14:textId="77777777" w:rsidR="0063023D" w:rsidRPr="000C4C17" w:rsidRDefault="0063023D" w:rsidP="00A111E9">
            <w:pPr>
              <w:rPr>
                <w:sz w:val="18"/>
                <w:szCs w:val="18"/>
              </w:rPr>
            </w:pPr>
          </w:p>
          <w:p w14:paraId="3CB098FE" w14:textId="26B1A6D6" w:rsidR="0063023D" w:rsidRPr="000C4C17" w:rsidRDefault="0063023D" w:rsidP="00A111E9">
            <w:pPr>
              <w:widowControl/>
              <w:rPr>
                <w:rFonts w:eastAsiaTheme="minorHAnsi"/>
                <w:sz w:val="18"/>
                <w:szCs w:val="18"/>
              </w:rPr>
            </w:pPr>
            <w:r w:rsidRPr="000C4C17">
              <w:rPr>
                <w:sz w:val="18"/>
                <w:szCs w:val="18"/>
              </w:rPr>
              <w:t>Inverse</w:t>
            </w:r>
          </w:p>
        </w:tc>
      </w:tr>
      <w:tr w:rsidR="0063023D" w:rsidRPr="000C4C17" w14:paraId="2380EEFF" w14:textId="77777777" w:rsidTr="00E8022F">
        <w:tc>
          <w:tcPr>
            <w:tcW w:w="1242" w:type="dxa"/>
          </w:tcPr>
          <w:p w14:paraId="2CA83F86" w14:textId="245D78D7" w:rsidR="0063023D" w:rsidRPr="000C4C17" w:rsidRDefault="0063023D" w:rsidP="00A111E9">
            <w:pPr>
              <w:widowControl/>
              <w:rPr>
                <w:sz w:val="18"/>
                <w:szCs w:val="18"/>
              </w:rPr>
            </w:pPr>
            <w:r w:rsidRPr="000C4C17">
              <w:rPr>
                <w:sz w:val="18"/>
                <w:szCs w:val="18"/>
              </w:rPr>
              <w:t>Shi</w:t>
            </w:r>
          </w:p>
        </w:tc>
        <w:tc>
          <w:tcPr>
            <w:tcW w:w="2552" w:type="dxa"/>
          </w:tcPr>
          <w:p w14:paraId="30F19F88" w14:textId="77777777" w:rsidR="0063023D" w:rsidRPr="000C4C17" w:rsidRDefault="0063023D" w:rsidP="00A111E9">
            <w:pPr>
              <w:rPr>
                <w:sz w:val="18"/>
                <w:szCs w:val="18"/>
              </w:rPr>
            </w:pPr>
            <w:r w:rsidRPr="000C4C17">
              <w:rPr>
                <w:sz w:val="18"/>
                <w:szCs w:val="18"/>
              </w:rPr>
              <w:t>25</w:t>
            </w:r>
            <w:r w:rsidRPr="000C4C17">
              <w:rPr>
                <w:sz w:val="18"/>
                <w:szCs w:val="18"/>
                <w:vertAlign w:val="superscript"/>
              </w:rPr>
              <w:t>th</w:t>
            </w:r>
            <w:r w:rsidRPr="000C4C17">
              <w:rPr>
                <w:sz w:val="18"/>
                <w:szCs w:val="18"/>
              </w:rPr>
              <w:t xml:space="preserve"> centile 0.63</w:t>
            </w:r>
          </w:p>
          <w:p w14:paraId="4081EC90" w14:textId="77777777" w:rsidR="0063023D" w:rsidRPr="000C4C17" w:rsidRDefault="0063023D" w:rsidP="00A111E9">
            <w:pPr>
              <w:rPr>
                <w:sz w:val="18"/>
                <w:szCs w:val="18"/>
              </w:rPr>
            </w:pPr>
            <w:r w:rsidRPr="000C4C17">
              <w:rPr>
                <w:sz w:val="18"/>
                <w:szCs w:val="18"/>
              </w:rPr>
              <w:t>50</w:t>
            </w:r>
            <w:r w:rsidRPr="000C4C17">
              <w:rPr>
                <w:sz w:val="18"/>
                <w:szCs w:val="18"/>
                <w:vertAlign w:val="superscript"/>
              </w:rPr>
              <w:t>th</w:t>
            </w:r>
            <w:r w:rsidRPr="000C4C17">
              <w:rPr>
                <w:sz w:val="18"/>
                <w:szCs w:val="18"/>
              </w:rPr>
              <w:t xml:space="preserve"> centile 1.0</w:t>
            </w:r>
          </w:p>
          <w:p w14:paraId="4D99C12F" w14:textId="535D2714" w:rsidR="0063023D" w:rsidRPr="000C4C17" w:rsidRDefault="0063023D" w:rsidP="00A111E9">
            <w:pPr>
              <w:rPr>
                <w:sz w:val="18"/>
                <w:szCs w:val="18"/>
              </w:rPr>
            </w:pPr>
            <w:r w:rsidRPr="000C4C17">
              <w:rPr>
                <w:sz w:val="18"/>
                <w:szCs w:val="18"/>
              </w:rPr>
              <w:t>75</w:t>
            </w:r>
            <w:r w:rsidRPr="000C4C17">
              <w:rPr>
                <w:sz w:val="18"/>
                <w:szCs w:val="18"/>
                <w:vertAlign w:val="superscript"/>
              </w:rPr>
              <w:t>th</w:t>
            </w:r>
            <w:r w:rsidRPr="000C4C17">
              <w:rPr>
                <w:sz w:val="18"/>
                <w:szCs w:val="18"/>
              </w:rPr>
              <w:t xml:space="preserve"> centile 1.58</w:t>
            </w:r>
          </w:p>
        </w:tc>
        <w:tc>
          <w:tcPr>
            <w:tcW w:w="3620" w:type="dxa"/>
          </w:tcPr>
          <w:p w14:paraId="37B11125" w14:textId="77777777" w:rsidR="0063023D" w:rsidRPr="000C4C17" w:rsidRDefault="0063023D" w:rsidP="00A111E9">
            <w:pPr>
              <w:rPr>
                <w:sz w:val="18"/>
                <w:szCs w:val="18"/>
              </w:rPr>
            </w:pPr>
          </w:p>
          <w:p w14:paraId="1E95092F" w14:textId="1EEB7AFB" w:rsidR="0063023D" w:rsidRPr="000C4C17" w:rsidRDefault="0063023D" w:rsidP="00A111E9">
            <w:pPr>
              <w:widowControl/>
              <w:rPr>
                <w:sz w:val="18"/>
                <w:szCs w:val="18"/>
              </w:rPr>
            </w:pPr>
            <w:r w:rsidRPr="000C4C17">
              <w:rPr>
                <w:sz w:val="18"/>
                <w:szCs w:val="18"/>
              </w:rPr>
              <w:t>160 g per log 10 unit PFOS</w:t>
            </w:r>
          </w:p>
        </w:tc>
        <w:tc>
          <w:tcPr>
            <w:tcW w:w="1766" w:type="dxa"/>
          </w:tcPr>
          <w:p w14:paraId="4AD9AE0C" w14:textId="77777777" w:rsidR="0063023D" w:rsidRPr="000C4C17" w:rsidRDefault="0063023D" w:rsidP="00A111E9">
            <w:pPr>
              <w:rPr>
                <w:sz w:val="18"/>
                <w:szCs w:val="18"/>
              </w:rPr>
            </w:pPr>
          </w:p>
          <w:p w14:paraId="568E1322" w14:textId="1BF6EB69" w:rsidR="0063023D" w:rsidRPr="000C4C17" w:rsidRDefault="0063023D" w:rsidP="00A111E9">
            <w:pPr>
              <w:rPr>
                <w:sz w:val="18"/>
                <w:szCs w:val="18"/>
              </w:rPr>
            </w:pPr>
            <w:r w:rsidRPr="000C4C17">
              <w:rPr>
                <w:sz w:val="18"/>
                <w:szCs w:val="18"/>
              </w:rPr>
              <w:t>Positive</w:t>
            </w:r>
          </w:p>
        </w:tc>
      </w:tr>
    </w:tbl>
    <w:p w14:paraId="3A385F2E" w14:textId="77777777" w:rsidR="00F8101A" w:rsidRPr="000C4C17" w:rsidRDefault="00F8101A" w:rsidP="00A111E9">
      <w:pPr>
        <w:rPr>
          <w:rFonts w:eastAsiaTheme="majorEastAsia"/>
          <w:b/>
          <w:sz w:val="18"/>
        </w:rPr>
      </w:pPr>
      <w:bookmarkStart w:id="540" w:name="_Toc468716488"/>
      <w:bookmarkStart w:id="541" w:name="_Toc468709475"/>
      <w:bookmarkStart w:id="542" w:name="_Toc468717775"/>
      <w:bookmarkStart w:id="543" w:name="_Toc468718419"/>
      <w:bookmarkStart w:id="544" w:name="_Toc468719400"/>
    </w:p>
    <w:p w14:paraId="4D165CAA" w14:textId="77777777" w:rsidR="00F8101A" w:rsidRPr="00457930" w:rsidRDefault="00F8101A" w:rsidP="00A366A0">
      <w:pPr>
        <w:pStyle w:val="Heading4"/>
      </w:pPr>
      <w:bookmarkStart w:id="545" w:name="_Toc468712796"/>
      <w:r w:rsidRPr="00457930">
        <w:t>Commentary</w:t>
      </w:r>
      <w:bookmarkEnd w:id="540"/>
      <w:bookmarkEnd w:id="541"/>
      <w:bookmarkEnd w:id="542"/>
      <w:bookmarkEnd w:id="543"/>
      <w:bookmarkEnd w:id="544"/>
      <w:bookmarkEnd w:id="545"/>
    </w:p>
    <w:p w14:paraId="6DEDBBD9" w14:textId="77777777" w:rsidR="00F8101A" w:rsidRPr="000C4C17" w:rsidRDefault="00F8101A" w:rsidP="00A366A0">
      <w:pPr>
        <w:pStyle w:val="Heading5"/>
        <w:rPr>
          <w:rFonts w:eastAsiaTheme="majorEastAsia"/>
          <w:lang w:eastAsia="en-AU"/>
        </w:rPr>
      </w:pPr>
      <w:bookmarkStart w:id="546" w:name="_Toc468712797"/>
      <w:bookmarkStart w:id="547" w:name="_Toc468716489"/>
      <w:bookmarkStart w:id="548" w:name="_Toc468709476"/>
      <w:bookmarkStart w:id="549" w:name="_Toc468717776"/>
      <w:bookmarkStart w:id="550" w:name="_Toc468718420"/>
      <w:bookmarkStart w:id="551" w:name="_Toc468719401"/>
      <w:r w:rsidRPr="000C4C17">
        <w:rPr>
          <w:rFonts w:eastAsiaTheme="majorEastAsia"/>
          <w:lang w:eastAsia="en-AU"/>
        </w:rPr>
        <w:t>Residual confounding</w:t>
      </w:r>
      <w:bookmarkEnd w:id="546"/>
      <w:bookmarkEnd w:id="547"/>
      <w:bookmarkEnd w:id="548"/>
      <w:bookmarkEnd w:id="549"/>
      <w:bookmarkEnd w:id="550"/>
      <w:bookmarkEnd w:id="551"/>
    </w:p>
    <w:p w14:paraId="544C68B8" w14:textId="2BCF2759" w:rsidR="00F8101A" w:rsidRPr="000C4C17" w:rsidRDefault="00F8101A" w:rsidP="00A111E9">
      <w:pPr>
        <w:widowControl/>
        <w:rPr>
          <w:rFonts w:eastAsiaTheme="minorHAnsi" w:cstheme="minorBidi"/>
          <w:szCs w:val="22"/>
          <w:lang w:bidi="ar-SA"/>
        </w:rPr>
      </w:pPr>
      <w:r w:rsidRPr="000C4C17">
        <w:rPr>
          <w:rFonts w:eastAsiaTheme="minorHAnsi" w:cstheme="minorBidi"/>
          <w:szCs w:val="22"/>
          <w:lang w:bidi="ar-SA"/>
        </w:rPr>
        <w:t>In addition to the usual considerations about residual confounding, such as whether smoking has been adequately measured and adjusted for, there are several specific gaps in the analyses examined.</w:t>
      </w:r>
    </w:p>
    <w:p w14:paraId="125A4279" w14:textId="77777777" w:rsidR="00F8101A" w:rsidRPr="000C4C17" w:rsidRDefault="00F8101A" w:rsidP="00A111E9">
      <w:pPr>
        <w:widowControl/>
        <w:rPr>
          <w:rFonts w:eastAsiaTheme="minorHAnsi" w:cstheme="minorBidi"/>
          <w:szCs w:val="22"/>
          <w:lang w:bidi="ar-SA"/>
        </w:rPr>
      </w:pPr>
    </w:p>
    <w:p w14:paraId="2BB4D774" w14:textId="1BD433F1" w:rsidR="00F8101A" w:rsidRPr="000C4C17" w:rsidRDefault="00F8101A" w:rsidP="00A111E9">
      <w:pPr>
        <w:widowControl/>
        <w:rPr>
          <w:rFonts w:eastAsiaTheme="minorHAnsi" w:cstheme="minorBidi"/>
          <w:szCs w:val="22"/>
          <w:lang w:bidi="ar-SA"/>
        </w:rPr>
      </w:pPr>
      <w:r w:rsidRPr="000C4C17">
        <w:rPr>
          <w:rFonts w:eastAsiaTheme="minorHAnsi" w:cstheme="minorBidi"/>
          <w:szCs w:val="22"/>
          <w:lang w:bidi="ar-SA"/>
        </w:rPr>
        <w:t xml:space="preserve">One notable feature in the papers is that many authors describe the effect of PFOA and PFOS on birthweight after adjusting for various factors which might confound the relationships, such as gestational age, parity, maternal smoking of body habitus. These analyses are performed </w:t>
      </w:r>
      <w:r w:rsidR="0053023C">
        <w:rPr>
          <w:rFonts w:eastAsiaTheme="minorHAnsi" w:cstheme="minorBidi"/>
          <w:szCs w:val="22"/>
          <w:lang w:bidi="ar-SA"/>
        </w:rPr>
        <w:t>separately for PFOS and PFOA</w:t>
      </w:r>
      <w:r w:rsidRPr="000C4C17">
        <w:rPr>
          <w:rFonts w:eastAsiaTheme="minorHAnsi" w:cstheme="minorBidi"/>
          <w:szCs w:val="22"/>
          <w:lang w:bidi="ar-SA"/>
        </w:rPr>
        <w:t>. Authors sometimes describe the correlation between PF</w:t>
      </w:r>
      <w:r w:rsidR="009D71F9" w:rsidRPr="000C4C17">
        <w:rPr>
          <w:rFonts w:eastAsiaTheme="minorHAnsi" w:cstheme="minorBidi"/>
          <w:szCs w:val="22"/>
          <w:lang w:bidi="ar-SA"/>
        </w:rPr>
        <w:t>OS and PFOA in their data sets</w:t>
      </w:r>
      <w:r w:rsidR="00FB2FCE">
        <w:rPr>
          <w:rFonts w:eastAsiaTheme="minorHAnsi" w:cstheme="minorBidi"/>
          <w:szCs w:val="22"/>
          <w:lang w:bidi="ar-SA"/>
        </w:rPr>
        <w:t xml:space="preserve"> (Table A1.9)</w:t>
      </w:r>
      <w:r w:rsidRPr="000C4C17">
        <w:rPr>
          <w:rFonts w:eastAsiaTheme="minorHAnsi" w:cstheme="minorBidi"/>
          <w:szCs w:val="22"/>
          <w:lang w:bidi="ar-SA"/>
        </w:rPr>
        <w:t xml:space="preserve">. However, there does not seem to have been any consideration </w:t>
      </w:r>
      <w:r w:rsidR="0053023C">
        <w:rPr>
          <w:rFonts w:eastAsiaTheme="minorHAnsi" w:cstheme="minorBidi"/>
          <w:szCs w:val="22"/>
          <w:lang w:bidi="ar-SA"/>
        </w:rPr>
        <w:t>of</w:t>
      </w:r>
      <w:r w:rsidRPr="000C4C17">
        <w:rPr>
          <w:rFonts w:eastAsiaTheme="minorHAnsi" w:cstheme="minorBidi"/>
          <w:szCs w:val="22"/>
          <w:lang w:bidi="ar-SA"/>
        </w:rPr>
        <w:t xml:space="preserve"> whether the analysis examining PFOA should be adjusted for PFOS concentrations, and vice versa. For exam</w:t>
      </w:r>
      <w:r w:rsidR="00376729" w:rsidRPr="000C4C17">
        <w:rPr>
          <w:rFonts w:eastAsiaTheme="minorHAnsi" w:cstheme="minorBidi"/>
          <w:szCs w:val="22"/>
          <w:lang w:bidi="ar-SA"/>
        </w:rPr>
        <w:t xml:space="preserve">ple, in the study of Chen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001E03AD">
        <w:rPr>
          <w:rFonts w:eastAsiaTheme="minorHAnsi" w:cstheme="minorBidi"/>
          <w:szCs w:val="22"/>
          <w:lang w:bidi="ar-SA"/>
        </w:rPr>
        <w:t>(2012)</w:t>
      </w:r>
      <w:r w:rsidRPr="000C4C17">
        <w:rPr>
          <w:rFonts w:eastAsiaTheme="minorHAnsi" w:cstheme="minorBidi"/>
          <w:szCs w:val="22"/>
          <w:lang w:bidi="ar-SA"/>
        </w:rPr>
        <w:t xml:space="preserve"> PFOS has a much larger co</w:t>
      </w:r>
      <w:r w:rsidR="00032CF6">
        <w:rPr>
          <w:rFonts w:eastAsiaTheme="minorHAnsi" w:cstheme="minorBidi"/>
          <w:szCs w:val="22"/>
          <w:lang w:bidi="ar-SA"/>
        </w:rPr>
        <w:t>efficient</w:t>
      </w:r>
      <w:r w:rsidRPr="000C4C17">
        <w:rPr>
          <w:rFonts w:eastAsiaTheme="minorHAnsi" w:cstheme="minorBidi"/>
          <w:szCs w:val="22"/>
          <w:lang w:bidi="ar-SA"/>
        </w:rPr>
        <w:t xml:space="preserve"> than PFOA and so it is possible that the PFOA result might be confounded by PFOS.</w:t>
      </w:r>
    </w:p>
    <w:p w14:paraId="53BA3928" w14:textId="77777777" w:rsidR="00F8101A" w:rsidRPr="000C4C17" w:rsidRDefault="00F8101A" w:rsidP="00A111E9">
      <w:pPr>
        <w:widowControl/>
        <w:rPr>
          <w:rFonts w:eastAsiaTheme="minorHAnsi" w:cstheme="minorBidi"/>
          <w:szCs w:val="22"/>
          <w:lang w:bidi="ar-SA"/>
        </w:rPr>
      </w:pPr>
    </w:p>
    <w:p w14:paraId="2A2FA054" w14:textId="36D9607F" w:rsidR="00F8101A" w:rsidRPr="000C4C17" w:rsidRDefault="00F8101A" w:rsidP="00A111E9">
      <w:pPr>
        <w:widowControl/>
        <w:rPr>
          <w:rFonts w:eastAsiaTheme="minorHAnsi" w:cstheme="minorBidi"/>
          <w:szCs w:val="22"/>
          <w:lang w:bidi="ar-SA"/>
        </w:rPr>
      </w:pPr>
      <w:r w:rsidRPr="000C4C17">
        <w:rPr>
          <w:rFonts w:eastAsiaTheme="minorHAnsi" w:cstheme="minorBidi"/>
          <w:szCs w:val="22"/>
          <w:lang w:bidi="ar-SA"/>
        </w:rPr>
        <w:t xml:space="preserve">An exception is the analysis of the C8 cohort by Darrow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0C4C17">
        <w:rPr>
          <w:rFonts w:eastAsiaTheme="minorHAnsi" w:cstheme="minorBidi"/>
          <w:szCs w:val="22"/>
          <w:lang w:bidi="ar-SA"/>
        </w:rPr>
        <w:t xml:space="preserve">(2013) who found that simultaneously including both PFOS and PFOA in the same model halved the small effect on </w:t>
      </w:r>
      <w:r w:rsidRPr="000C4C17">
        <w:rPr>
          <w:rFonts w:eastAsiaTheme="minorHAnsi" w:cstheme="minorBidi"/>
          <w:szCs w:val="22"/>
          <w:lang w:bidi="ar-SA"/>
        </w:rPr>
        <w:lastRenderedPageBreak/>
        <w:t xml:space="preserve">birthweight observed for PFOA </w:t>
      </w:r>
      <w:r w:rsidR="00FB2FCE">
        <w:rPr>
          <w:rFonts w:eastAsiaTheme="minorHAnsi" w:cstheme="minorBidi"/>
          <w:szCs w:val="22"/>
          <w:lang w:bidi="ar-SA"/>
        </w:rPr>
        <w:t xml:space="preserve">did not change the effect for </w:t>
      </w:r>
      <w:r w:rsidRPr="000C4C17">
        <w:rPr>
          <w:rFonts w:eastAsiaTheme="minorHAnsi" w:cstheme="minorBidi"/>
          <w:szCs w:val="22"/>
          <w:lang w:bidi="ar-SA"/>
        </w:rPr>
        <w:t>PFOS</w:t>
      </w:r>
      <w:r w:rsidR="00FB2FCE">
        <w:rPr>
          <w:rFonts w:eastAsiaTheme="minorHAnsi" w:cstheme="minorBidi"/>
          <w:szCs w:val="22"/>
          <w:lang w:bidi="ar-SA"/>
        </w:rPr>
        <w:t xml:space="preserve"> importantly (Table A1.10)</w:t>
      </w:r>
      <w:r w:rsidRPr="000C4C17">
        <w:rPr>
          <w:rFonts w:eastAsiaTheme="minorHAnsi" w:cstheme="minorBidi"/>
          <w:szCs w:val="22"/>
          <w:lang w:bidi="ar-SA"/>
        </w:rPr>
        <w:t xml:space="preserve">. </w:t>
      </w:r>
      <w:r w:rsidR="00FB2FCE">
        <w:rPr>
          <w:rFonts w:eastAsiaTheme="minorHAnsi" w:cstheme="minorBidi"/>
          <w:szCs w:val="22"/>
          <w:lang w:bidi="ar-SA"/>
        </w:rPr>
        <w:t xml:space="preserve">In other words, the effect seen for PFOA was partly due to PFOA acting as a surrogate for PFOS. </w:t>
      </w:r>
      <w:r w:rsidRPr="000C4C17">
        <w:rPr>
          <w:rFonts w:eastAsiaTheme="minorHAnsi" w:cstheme="minorBidi"/>
          <w:szCs w:val="22"/>
          <w:lang w:bidi="ar-SA"/>
        </w:rPr>
        <w:t xml:space="preserve">The correlation between the two PFAS in this study was lower than any other shown in </w:t>
      </w:r>
      <w:r w:rsidR="00FB2FCE">
        <w:rPr>
          <w:rFonts w:eastAsiaTheme="minorHAnsi" w:cstheme="minorBidi"/>
          <w:szCs w:val="22"/>
          <w:lang w:bidi="ar-SA"/>
        </w:rPr>
        <w:t>Table A1.9</w:t>
      </w:r>
      <w:r w:rsidRPr="000C4C17">
        <w:rPr>
          <w:rFonts w:eastAsiaTheme="minorHAnsi" w:cstheme="minorBidi"/>
          <w:szCs w:val="22"/>
          <w:lang w:bidi="ar-SA"/>
        </w:rPr>
        <w:t xml:space="preserve"> and </w:t>
      </w:r>
      <w:r w:rsidR="0053023C">
        <w:rPr>
          <w:rFonts w:eastAsiaTheme="minorHAnsi" w:cstheme="minorBidi"/>
          <w:szCs w:val="22"/>
          <w:lang w:bidi="ar-SA"/>
        </w:rPr>
        <w:t>raises questions about whether</w:t>
      </w:r>
      <w:r w:rsidRPr="000C4C17">
        <w:rPr>
          <w:rFonts w:eastAsiaTheme="minorHAnsi" w:cstheme="minorBidi"/>
          <w:szCs w:val="22"/>
          <w:lang w:bidi="ar-SA"/>
        </w:rPr>
        <w:t xml:space="preserve"> there may be confounding of the PFOA result shown in the Johnson meta-analysis. This study is unusual among the available studies in that the median concentration of PFOS and PFOA was almost the same in their subjects and </w:t>
      </w:r>
      <w:r w:rsidR="0053023C">
        <w:rPr>
          <w:rFonts w:eastAsiaTheme="minorHAnsi" w:cstheme="minorBidi"/>
          <w:szCs w:val="22"/>
          <w:lang w:bidi="ar-SA"/>
        </w:rPr>
        <w:t xml:space="preserve">it </w:t>
      </w:r>
      <w:r w:rsidRPr="000C4C17">
        <w:rPr>
          <w:rFonts w:eastAsiaTheme="minorHAnsi" w:cstheme="minorBidi"/>
          <w:szCs w:val="22"/>
          <w:lang w:bidi="ar-SA"/>
        </w:rPr>
        <w:t>has a larger sample size than any study included in the meta-analysis</w:t>
      </w:r>
      <w:r w:rsidR="00CB2CA0">
        <w:rPr>
          <w:rFonts w:eastAsiaTheme="minorHAnsi" w:cstheme="minorBidi"/>
          <w:szCs w:val="22"/>
          <w:lang w:bidi="ar-SA"/>
        </w:rPr>
        <w:t xml:space="preserve"> of Johnson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00CB2CA0">
        <w:rPr>
          <w:rFonts w:eastAsiaTheme="minorHAnsi" w:cstheme="minorBidi"/>
          <w:szCs w:val="22"/>
          <w:lang w:bidi="ar-SA"/>
        </w:rPr>
        <w:t>(2014)</w:t>
      </w:r>
      <w:r w:rsidRPr="000C4C17">
        <w:rPr>
          <w:rFonts w:eastAsiaTheme="minorHAnsi" w:cstheme="minorBidi"/>
          <w:szCs w:val="22"/>
          <w:lang w:bidi="ar-SA"/>
        </w:rPr>
        <w:t>.</w:t>
      </w:r>
    </w:p>
    <w:p w14:paraId="00268678" w14:textId="77777777" w:rsidR="00F8101A" w:rsidRPr="000C4C17" w:rsidRDefault="00F8101A" w:rsidP="00A111E9">
      <w:pPr>
        <w:widowControl/>
        <w:rPr>
          <w:rFonts w:eastAsiaTheme="minorHAnsi" w:cstheme="minorBidi"/>
          <w:szCs w:val="22"/>
          <w:lang w:bidi="ar-SA"/>
        </w:rPr>
      </w:pPr>
    </w:p>
    <w:p w14:paraId="0B4579C3" w14:textId="24C2FDE2" w:rsidR="00F8101A" w:rsidRPr="000C4C17" w:rsidRDefault="00F8101A" w:rsidP="00A111E9">
      <w:pPr>
        <w:widowControl/>
        <w:rPr>
          <w:rFonts w:eastAsiaTheme="minorHAnsi" w:cstheme="minorBidi"/>
          <w:szCs w:val="22"/>
          <w:lang w:bidi="ar-SA"/>
        </w:rPr>
      </w:pPr>
      <w:r w:rsidRPr="000C4C17">
        <w:rPr>
          <w:rFonts w:eastAsiaTheme="minorHAnsi" w:cstheme="minorBidi"/>
          <w:szCs w:val="22"/>
          <w:lang w:bidi="ar-SA"/>
        </w:rPr>
        <w:t xml:space="preserve">Furthermore, some authors have measured other PFAS and sometimes other chemicals such as PCBs in the same blood sample and these may or may not have associations with birthweight. </w:t>
      </w:r>
      <w:r w:rsidR="00936179">
        <w:rPr>
          <w:rFonts w:eastAsiaTheme="minorHAnsi" w:cstheme="minorBidi"/>
          <w:szCs w:val="22"/>
          <w:lang w:bidi="ar-SA"/>
        </w:rPr>
        <w:t>Only rarely do authors</w:t>
      </w:r>
      <w:r w:rsidRPr="000C4C17">
        <w:rPr>
          <w:rFonts w:eastAsiaTheme="minorHAnsi" w:cstheme="minorBidi"/>
          <w:szCs w:val="22"/>
          <w:lang w:bidi="ar-SA"/>
        </w:rPr>
        <w:t xml:space="preserve"> comment </w:t>
      </w:r>
      <w:r w:rsidR="00936179">
        <w:rPr>
          <w:rFonts w:eastAsiaTheme="minorHAnsi" w:cstheme="minorBidi"/>
          <w:szCs w:val="22"/>
          <w:lang w:bidi="ar-SA"/>
        </w:rPr>
        <w:t>on</w:t>
      </w:r>
      <w:r w:rsidRPr="000C4C17">
        <w:rPr>
          <w:rFonts w:eastAsiaTheme="minorHAnsi" w:cstheme="minorBidi"/>
          <w:szCs w:val="22"/>
          <w:lang w:bidi="ar-SA"/>
        </w:rPr>
        <w:t xml:space="preserve"> whether any of these other contaminants confound the relationships of PFOS and PFOA with birthweight.</w:t>
      </w:r>
      <w:r w:rsidR="00936179">
        <w:rPr>
          <w:rFonts w:eastAsiaTheme="minorHAnsi" w:cstheme="minorBidi"/>
          <w:szCs w:val="22"/>
          <w:lang w:bidi="ar-SA"/>
        </w:rPr>
        <w:t xml:space="preserve"> For example, Lauritzen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00936179">
        <w:rPr>
          <w:rFonts w:eastAsiaTheme="minorHAnsi" w:cstheme="minorBidi"/>
          <w:szCs w:val="22"/>
          <w:lang w:bidi="ar-SA"/>
        </w:rPr>
        <w:t xml:space="preserve">(2016) state that only the odds ratio for </w:t>
      </w:r>
      <w:r w:rsidR="00B1115B">
        <w:rPr>
          <w:rFonts w:eastAsiaTheme="minorHAnsi" w:cstheme="minorBidi"/>
          <w:szCs w:val="22"/>
          <w:lang w:bidi="ar-SA"/>
        </w:rPr>
        <w:t xml:space="preserve">the </w:t>
      </w:r>
      <w:r w:rsidR="00936179">
        <w:rPr>
          <w:rFonts w:eastAsiaTheme="minorHAnsi" w:cstheme="minorBidi"/>
          <w:szCs w:val="22"/>
          <w:lang w:bidi="ar-SA"/>
        </w:rPr>
        <w:t>association between PFOA and being born small-for-gestational age remained statistically significant when PFOA, PFOS and five organo-cholorine chemicals were included in the same model.</w:t>
      </w:r>
    </w:p>
    <w:p w14:paraId="1BFDA075" w14:textId="77777777" w:rsidR="00F8101A" w:rsidRPr="000C4C17" w:rsidRDefault="00F8101A" w:rsidP="00A111E9">
      <w:pPr>
        <w:widowControl/>
        <w:rPr>
          <w:rFonts w:eastAsiaTheme="minorHAnsi" w:cstheme="minorBidi"/>
          <w:szCs w:val="22"/>
          <w:lang w:bidi="ar-SA"/>
        </w:rPr>
      </w:pPr>
    </w:p>
    <w:p w14:paraId="6C01589B" w14:textId="54AAD6E3" w:rsidR="00F8101A" w:rsidRPr="000C4C17" w:rsidRDefault="00F8101A" w:rsidP="00A111E9">
      <w:pPr>
        <w:pStyle w:val="FSTableTitle"/>
        <w:rPr>
          <w:rFonts w:eastAsiaTheme="minorHAnsi"/>
        </w:rPr>
      </w:pPr>
      <w:r w:rsidRPr="000C4C17">
        <w:rPr>
          <w:rFonts w:eastAsiaTheme="minorHAnsi"/>
        </w:rPr>
        <w:t xml:space="preserve">Table </w:t>
      </w:r>
      <w:r w:rsidR="0022618C" w:rsidRPr="000C4C17">
        <w:rPr>
          <w:rFonts w:eastAsiaTheme="minorHAnsi"/>
          <w:lang w:bidi="ar-SA"/>
        </w:rPr>
        <w:t>A1.9</w:t>
      </w:r>
      <w:r w:rsidRPr="000C4C17">
        <w:rPr>
          <w:rFonts w:eastAsiaTheme="minorHAnsi"/>
        </w:rPr>
        <w:t xml:space="preserve"> Correlations between PFOS and PFOA concentrations in the same blood sample reported by various authors</w:t>
      </w:r>
    </w:p>
    <w:tbl>
      <w:tblPr>
        <w:tblW w:w="8624" w:type="dxa"/>
        <w:tblInd w:w="93" w:type="dxa"/>
        <w:tblLook w:val="04A0" w:firstRow="1" w:lastRow="0" w:firstColumn="1" w:lastColumn="0" w:noHBand="0" w:noVBand="1"/>
      </w:tblPr>
      <w:tblGrid>
        <w:gridCol w:w="2283"/>
        <w:gridCol w:w="5032"/>
        <w:gridCol w:w="1309"/>
      </w:tblGrid>
      <w:tr w:rsidR="00F8101A" w:rsidRPr="000C4C17" w14:paraId="2252F1E7" w14:textId="77777777" w:rsidTr="000830C5">
        <w:trPr>
          <w:trHeight w:val="268"/>
          <w:tblHeader/>
        </w:trPr>
        <w:tc>
          <w:tcPr>
            <w:tcW w:w="2283" w:type="dxa"/>
            <w:tcBorders>
              <w:top w:val="single" w:sz="4" w:space="0" w:color="auto"/>
              <w:left w:val="nil"/>
              <w:bottom w:val="single" w:sz="4" w:space="0" w:color="auto"/>
              <w:right w:val="nil"/>
            </w:tcBorders>
            <w:shd w:val="clear" w:color="auto" w:fill="F2F2F2" w:themeFill="background1" w:themeFillShade="F2"/>
            <w:noWrap/>
            <w:vAlign w:val="center"/>
          </w:tcPr>
          <w:p w14:paraId="0AB123AE" w14:textId="77777777" w:rsidR="00F8101A" w:rsidRPr="000C4C17" w:rsidRDefault="00F8101A" w:rsidP="00A111E9">
            <w:pPr>
              <w:widowControl/>
              <w:rPr>
                <w:b/>
                <w:color w:val="000000"/>
                <w:sz w:val="18"/>
                <w:lang w:eastAsia="en-GB"/>
              </w:rPr>
            </w:pPr>
            <w:r w:rsidRPr="000C4C17">
              <w:rPr>
                <w:b/>
                <w:color w:val="000000"/>
                <w:sz w:val="18"/>
                <w:lang w:eastAsia="en-GB"/>
              </w:rPr>
              <w:t>First author, year</w:t>
            </w:r>
          </w:p>
        </w:tc>
        <w:tc>
          <w:tcPr>
            <w:tcW w:w="5032" w:type="dxa"/>
            <w:tcBorders>
              <w:top w:val="single" w:sz="4" w:space="0" w:color="auto"/>
              <w:left w:val="nil"/>
              <w:bottom w:val="single" w:sz="4" w:space="0" w:color="auto"/>
              <w:right w:val="nil"/>
            </w:tcBorders>
            <w:shd w:val="clear" w:color="auto" w:fill="F2F2F2" w:themeFill="background1" w:themeFillShade="F2"/>
            <w:noWrap/>
            <w:vAlign w:val="center"/>
          </w:tcPr>
          <w:p w14:paraId="48B276F1" w14:textId="77777777" w:rsidR="00F8101A" w:rsidRPr="000C4C17" w:rsidRDefault="00F8101A" w:rsidP="00A111E9">
            <w:pPr>
              <w:widowControl/>
              <w:rPr>
                <w:b/>
                <w:color w:val="000000"/>
                <w:sz w:val="18"/>
                <w:lang w:eastAsia="en-GB"/>
              </w:rPr>
            </w:pPr>
            <w:r w:rsidRPr="000C4C17">
              <w:rPr>
                <w:b/>
                <w:color w:val="000000"/>
                <w:sz w:val="18"/>
                <w:lang w:eastAsia="en-GB"/>
              </w:rPr>
              <w:t>Type of correlation reported</w:t>
            </w:r>
          </w:p>
        </w:tc>
        <w:tc>
          <w:tcPr>
            <w:tcW w:w="1309" w:type="dxa"/>
            <w:tcBorders>
              <w:top w:val="single" w:sz="4" w:space="0" w:color="auto"/>
              <w:left w:val="nil"/>
              <w:bottom w:val="single" w:sz="4" w:space="0" w:color="auto"/>
              <w:right w:val="nil"/>
            </w:tcBorders>
            <w:shd w:val="clear" w:color="auto" w:fill="F2F2F2" w:themeFill="background1" w:themeFillShade="F2"/>
            <w:noWrap/>
            <w:vAlign w:val="center"/>
          </w:tcPr>
          <w:p w14:paraId="0189E641" w14:textId="77777777" w:rsidR="00F8101A" w:rsidRPr="000C4C17" w:rsidRDefault="00F8101A" w:rsidP="00647943">
            <w:pPr>
              <w:widowControl/>
              <w:jc w:val="right"/>
              <w:rPr>
                <w:b/>
                <w:color w:val="000000"/>
                <w:sz w:val="18"/>
                <w:lang w:eastAsia="en-GB"/>
              </w:rPr>
            </w:pPr>
            <w:r w:rsidRPr="000C4C17">
              <w:rPr>
                <w:b/>
                <w:color w:val="000000"/>
                <w:sz w:val="18"/>
                <w:lang w:eastAsia="en-GB"/>
              </w:rPr>
              <w:t>r</w:t>
            </w:r>
          </w:p>
        </w:tc>
      </w:tr>
      <w:tr w:rsidR="00F8101A" w:rsidRPr="000C4C17" w14:paraId="31BEAEAF" w14:textId="77777777" w:rsidTr="00F6284E">
        <w:trPr>
          <w:trHeight w:val="268"/>
        </w:trPr>
        <w:tc>
          <w:tcPr>
            <w:tcW w:w="2283" w:type="dxa"/>
            <w:tcBorders>
              <w:top w:val="single" w:sz="4" w:space="0" w:color="auto"/>
              <w:left w:val="nil"/>
              <w:bottom w:val="nil"/>
              <w:right w:val="nil"/>
            </w:tcBorders>
            <w:shd w:val="clear" w:color="auto" w:fill="auto"/>
            <w:noWrap/>
            <w:vAlign w:val="center"/>
            <w:hideMark/>
          </w:tcPr>
          <w:p w14:paraId="6316FDCA" w14:textId="77777777" w:rsidR="00F8101A" w:rsidRPr="000C4C17" w:rsidRDefault="00F8101A" w:rsidP="00A111E9">
            <w:pPr>
              <w:widowControl/>
              <w:rPr>
                <w:color w:val="000000"/>
                <w:sz w:val="18"/>
                <w:lang w:eastAsia="en-GB"/>
              </w:rPr>
            </w:pPr>
            <w:r w:rsidRPr="000C4C17">
              <w:rPr>
                <w:color w:val="000000"/>
                <w:sz w:val="18"/>
                <w:lang w:eastAsia="en-GB"/>
              </w:rPr>
              <w:t>Apelberg, 2007</w:t>
            </w:r>
          </w:p>
        </w:tc>
        <w:tc>
          <w:tcPr>
            <w:tcW w:w="5032" w:type="dxa"/>
            <w:tcBorders>
              <w:top w:val="single" w:sz="4" w:space="0" w:color="auto"/>
              <w:left w:val="nil"/>
              <w:bottom w:val="nil"/>
              <w:right w:val="nil"/>
            </w:tcBorders>
            <w:shd w:val="clear" w:color="auto" w:fill="auto"/>
            <w:noWrap/>
            <w:vAlign w:val="center"/>
            <w:hideMark/>
          </w:tcPr>
          <w:p w14:paraId="04130FAE" w14:textId="77777777" w:rsidR="00F8101A" w:rsidRPr="000C4C17" w:rsidRDefault="00F8101A" w:rsidP="00A111E9">
            <w:pPr>
              <w:widowControl/>
              <w:rPr>
                <w:color w:val="000000"/>
                <w:sz w:val="18"/>
                <w:lang w:eastAsia="en-GB"/>
              </w:rPr>
            </w:pPr>
            <w:r w:rsidRPr="000C4C17">
              <w:rPr>
                <w:color w:val="000000"/>
                <w:sz w:val="18"/>
                <w:lang w:eastAsia="en-GB"/>
              </w:rPr>
              <w:t>Spearman’s rank correlation</w:t>
            </w:r>
          </w:p>
        </w:tc>
        <w:tc>
          <w:tcPr>
            <w:tcW w:w="1309" w:type="dxa"/>
            <w:tcBorders>
              <w:top w:val="single" w:sz="4" w:space="0" w:color="auto"/>
              <w:left w:val="nil"/>
              <w:bottom w:val="nil"/>
              <w:right w:val="nil"/>
            </w:tcBorders>
            <w:shd w:val="clear" w:color="auto" w:fill="auto"/>
            <w:noWrap/>
            <w:vAlign w:val="center"/>
            <w:hideMark/>
          </w:tcPr>
          <w:p w14:paraId="6A4D478C" w14:textId="77777777" w:rsidR="00F8101A" w:rsidRPr="000C4C17" w:rsidRDefault="00F8101A" w:rsidP="00647943">
            <w:pPr>
              <w:widowControl/>
              <w:jc w:val="right"/>
              <w:rPr>
                <w:color w:val="000000"/>
                <w:sz w:val="18"/>
                <w:lang w:eastAsia="en-GB"/>
              </w:rPr>
            </w:pPr>
            <w:r w:rsidRPr="000C4C17">
              <w:rPr>
                <w:color w:val="000000"/>
                <w:sz w:val="18"/>
                <w:lang w:eastAsia="en-GB"/>
              </w:rPr>
              <w:t>0.58</w:t>
            </w:r>
          </w:p>
        </w:tc>
      </w:tr>
      <w:tr w:rsidR="00F8101A" w:rsidRPr="000C4C17" w14:paraId="34C0D695" w14:textId="77777777" w:rsidTr="00F6284E">
        <w:trPr>
          <w:trHeight w:val="268"/>
        </w:trPr>
        <w:tc>
          <w:tcPr>
            <w:tcW w:w="2283" w:type="dxa"/>
            <w:tcBorders>
              <w:top w:val="nil"/>
              <w:left w:val="nil"/>
              <w:bottom w:val="nil"/>
              <w:right w:val="nil"/>
            </w:tcBorders>
            <w:shd w:val="clear" w:color="auto" w:fill="auto"/>
            <w:noWrap/>
            <w:vAlign w:val="center"/>
            <w:hideMark/>
          </w:tcPr>
          <w:p w14:paraId="7B404DD5" w14:textId="77777777" w:rsidR="00F8101A" w:rsidRPr="000C4C17" w:rsidRDefault="00F8101A" w:rsidP="00A111E9">
            <w:pPr>
              <w:widowControl/>
              <w:rPr>
                <w:color w:val="000000"/>
                <w:sz w:val="18"/>
                <w:lang w:eastAsia="en-GB"/>
              </w:rPr>
            </w:pPr>
            <w:r w:rsidRPr="000C4C17">
              <w:rPr>
                <w:color w:val="000000"/>
                <w:sz w:val="18"/>
                <w:lang w:eastAsia="en-GB"/>
              </w:rPr>
              <w:t>Bach, 2016</w:t>
            </w:r>
          </w:p>
        </w:tc>
        <w:tc>
          <w:tcPr>
            <w:tcW w:w="5032" w:type="dxa"/>
            <w:tcBorders>
              <w:top w:val="nil"/>
              <w:left w:val="nil"/>
              <w:bottom w:val="nil"/>
              <w:right w:val="nil"/>
            </w:tcBorders>
            <w:shd w:val="clear" w:color="auto" w:fill="auto"/>
            <w:noWrap/>
            <w:vAlign w:val="center"/>
            <w:hideMark/>
          </w:tcPr>
          <w:p w14:paraId="6CF6D18C" w14:textId="77777777" w:rsidR="00F8101A" w:rsidRPr="000C4C17" w:rsidRDefault="00F8101A" w:rsidP="00A111E9">
            <w:pPr>
              <w:widowControl/>
              <w:rPr>
                <w:color w:val="000000"/>
                <w:sz w:val="18"/>
                <w:lang w:eastAsia="en-GB"/>
              </w:rPr>
            </w:pPr>
            <w:r w:rsidRPr="000C4C17">
              <w:rPr>
                <w:color w:val="000000"/>
                <w:sz w:val="18"/>
                <w:lang w:eastAsia="en-GB"/>
              </w:rPr>
              <w:t>Pearson’s correlation</w:t>
            </w:r>
          </w:p>
        </w:tc>
        <w:tc>
          <w:tcPr>
            <w:tcW w:w="1309" w:type="dxa"/>
            <w:tcBorders>
              <w:top w:val="nil"/>
              <w:left w:val="nil"/>
              <w:bottom w:val="nil"/>
              <w:right w:val="nil"/>
            </w:tcBorders>
            <w:shd w:val="clear" w:color="auto" w:fill="auto"/>
            <w:noWrap/>
            <w:vAlign w:val="center"/>
            <w:hideMark/>
          </w:tcPr>
          <w:p w14:paraId="53D1DAB9" w14:textId="77777777" w:rsidR="00F8101A" w:rsidRPr="000C4C17" w:rsidRDefault="00F8101A" w:rsidP="00647943">
            <w:pPr>
              <w:widowControl/>
              <w:jc w:val="right"/>
              <w:rPr>
                <w:color w:val="000000"/>
                <w:sz w:val="18"/>
                <w:lang w:eastAsia="en-GB"/>
              </w:rPr>
            </w:pPr>
            <w:r w:rsidRPr="000C4C17">
              <w:rPr>
                <w:color w:val="000000"/>
                <w:sz w:val="18"/>
                <w:lang w:eastAsia="en-GB"/>
              </w:rPr>
              <w:t>0.4</w:t>
            </w:r>
          </w:p>
        </w:tc>
      </w:tr>
      <w:tr w:rsidR="00F8101A" w:rsidRPr="000C4C17" w14:paraId="1781DDD8" w14:textId="77777777" w:rsidTr="00F6284E">
        <w:trPr>
          <w:trHeight w:val="268"/>
        </w:trPr>
        <w:tc>
          <w:tcPr>
            <w:tcW w:w="2283" w:type="dxa"/>
            <w:tcBorders>
              <w:top w:val="nil"/>
              <w:left w:val="nil"/>
              <w:bottom w:val="nil"/>
              <w:right w:val="nil"/>
            </w:tcBorders>
            <w:shd w:val="clear" w:color="auto" w:fill="auto"/>
            <w:noWrap/>
            <w:vAlign w:val="center"/>
            <w:hideMark/>
          </w:tcPr>
          <w:p w14:paraId="64F4D0C4" w14:textId="4D5BB3AA" w:rsidR="00F8101A" w:rsidRPr="000C4C17" w:rsidRDefault="00F8101A" w:rsidP="00A111E9">
            <w:pPr>
              <w:widowControl/>
              <w:rPr>
                <w:color w:val="000000"/>
                <w:sz w:val="18"/>
                <w:lang w:eastAsia="en-GB"/>
              </w:rPr>
            </w:pPr>
            <w:r w:rsidRPr="000C4C17">
              <w:rPr>
                <w:color w:val="000000"/>
                <w:sz w:val="18"/>
                <w:lang w:eastAsia="en-GB"/>
              </w:rPr>
              <w:t>Chen</w:t>
            </w:r>
            <w:r w:rsidR="00CB2CA0">
              <w:rPr>
                <w:color w:val="000000"/>
                <w:sz w:val="18"/>
                <w:lang w:eastAsia="en-GB"/>
              </w:rPr>
              <w:t>, 2012</w:t>
            </w:r>
          </w:p>
        </w:tc>
        <w:tc>
          <w:tcPr>
            <w:tcW w:w="5032" w:type="dxa"/>
            <w:tcBorders>
              <w:top w:val="nil"/>
              <w:left w:val="nil"/>
              <w:bottom w:val="nil"/>
              <w:right w:val="nil"/>
            </w:tcBorders>
            <w:shd w:val="clear" w:color="auto" w:fill="auto"/>
            <w:noWrap/>
            <w:vAlign w:val="center"/>
            <w:hideMark/>
          </w:tcPr>
          <w:p w14:paraId="1EF9E9B7" w14:textId="77777777" w:rsidR="00F8101A" w:rsidRPr="000C4C17" w:rsidRDefault="00F8101A" w:rsidP="00A111E9">
            <w:pPr>
              <w:widowControl/>
              <w:rPr>
                <w:color w:val="000000"/>
                <w:sz w:val="18"/>
                <w:lang w:eastAsia="en-GB"/>
              </w:rPr>
            </w:pPr>
            <w:r w:rsidRPr="000C4C17">
              <w:rPr>
                <w:color w:val="000000"/>
                <w:sz w:val="18"/>
                <w:lang w:eastAsia="en-GB"/>
              </w:rPr>
              <w:t>Not stated</w:t>
            </w:r>
          </w:p>
        </w:tc>
        <w:tc>
          <w:tcPr>
            <w:tcW w:w="1309" w:type="dxa"/>
            <w:tcBorders>
              <w:top w:val="nil"/>
              <w:left w:val="nil"/>
              <w:bottom w:val="nil"/>
              <w:right w:val="nil"/>
            </w:tcBorders>
            <w:shd w:val="clear" w:color="auto" w:fill="auto"/>
            <w:noWrap/>
            <w:vAlign w:val="center"/>
            <w:hideMark/>
          </w:tcPr>
          <w:p w14:paraId="7487C447" w14:textId="77777777" w:rsidR="00F8101A" w:rsidRPr="000C4C17" w:rsidRDefault="00F8101A" w:rsidP="00647943">
            <w:pPr>
              <w:widowControl/>
              <w:jc w:val="right"/>
              <w:rPr>
                <w:color w:val="000000"/>
                <w:sz w:val="18"/>
                <w:lang w:eastAsia="en-GB"/>
              </w:rPr>
            </w:pPr>
            <w:r w:rsidRPr="000C4C17">
              <w:rPr>
                <w:color w:val="000000"/>
                <w:sz w:val="18"/>
                <w:lang w:eastAsia="en-GB"/>
              </w:rPr>
              <w:t>&lt;0.45</w:t>
            </w:r>
          </w:p>
        </w:tc>
      </w:tr>
      <w:tr w:rsidR="00F8101A" w:rsidRPr="000C4C17" w14:paraId="7EEB2DDD" w14:textId="77777777" w:rsidTr="00F6284E">
        <w:trPr>
          <w:trHeight w:val="268"/>
        </w:trPr>
        <w:tc>
          <w:tcPr>
            <w:tcW w:w="2283" w:type="dxa"/>
            <w:tcBorders>
              <w:top w:val="nil"/>
              <w:left w:val="nil"/>
              <w:bottom w:val="nil"/>
              <w:right w:val="nil"/>
            </w:tcBorders>
            <w:shd w:val="clear" w:color="auto" w:fill="auto"/>
            <w:noWrap/>
            <w:vAlign w:val="center"/>
          </w:tcPr>
          <w:p w14:paraId="6C28594B" w14:textId="77777777" w:rsidR="00F8101A" w:rsidRPr="000C4C17" w:rsidRDefault="00F8101A" w:rsidP="00A111E9">
            <w:pPr>
              <w:widowControl/>
              <w:rPr>
                <w:color w:val="000000"/>
                <w:sz w:val="18"/>
                <w:lang w:eastAsia="en-GB"/>
              </w:rPr>
            </w:pPr>
            <w:r w:rsidRPr="000C4C17">
              <w:rPr>
                <w:color w:val="000000"/>
                <w:sz w:val="18"/>
                <w:lang w:eastAsia="en-GB"/>
              </w:rPr>
              <w:t>Darrow, 2013</w:t>
            </w:r>
          </w:p>
        </w:tc>
        <w:tc>
          <w:tcPr>
            <w:tcW w:w="5032" w:type="dxa"/>
            <w:tcBorders>
              <w:top w:val="nil"/>
              <w:left w:val="nil"/>
              <w:bottom w:val="nil"/>
              <w:right w:val="nil"/>
            </w:tcBorders>
            <w:shd w:val="clear" w:color="auto" w:fill="auto"/>
            <w:noWrap/>
            <w:vAlign w:val="center"/>
          </w:tcPr>
          <w:p w14:paraId="62F68A6E" w14:textId="77777777" w:rsidR="00F8101A" w:rsidRPr="000C4C17" w:rsidRDefault="00F8101A" w:rsidP="00A111E9">
            <w:pPr>
              <w:widowControl/>
              <w:rPr>
                <w:color w:val="000000"/>
                <w:sz w:val="18"/>
                <w:lang w:eastAsia="en-GB"/>
              </w:rPr>
            </w:pPr>
            <w:r w:rsidRPr="000C4C17">
              <w:rPr>
                <w:color w:val="000000"/>
                <w:sz w:val="18"/>
                <w:lang w:eastAsia="en-GB"/>
              </w:rPr>
              <w:t>Not stated</w:t>
            </w:r>
          </w:p>
        </w:tc>
        <w:tc>
          <w:tcPr>
            <w:tcW w:w="1309" w:type="dxa"/>
            <w:tcBorders>
              <w:top w:val="nil"/>
              <w:left w:val="nil"/>
              <w:bottom w:val="nil"/>
              <w:right w:val="nil"/>
            </w:tcBorders>
            <w:shd w:val="clear" w:color="auto" w:fill="auto"/>
            <w:noWrap/>
            <w:vAlign w:val="center"/>
          </w:tcPr>
          <w:p w14:paraId="2729854A" w14:textId="77777777" w:rsidR="00F8101A" w:rsidRPr="000C4C17" w:rsidRDefault="00F8101A" w:rsidP="00647943">
            <w:pPr>
              <w:widowControl/>
              <w:jc w:val="right"/>
              <w:rPr>
                <w:color w:val="000000"/>
                <w:sz w:val="18"/>
                <w:lang w:eastAsia="en-GB"/>
              </w:rPr>
            </w:pPr>
            <w:r w:rsidRPr="000C4C17">
              <w:rPr>
                <w:color w:val="000000"/>
                <w:sz w:val="18"/>
                <w:lang w:eastAsia="en-GB"/>
              </w:rPr>
              <w:t>0.30</w:t>
            </w:r>
          </w:p>
        </w:tc>
      </w:tr>
      <w:tr w:rsidR="00F8101A" w:rsidRPr="000C4C17" w14:paraId="633DDED7" w14:textId="77777777" w:rsidTr="00F6284E">
        <w:trPr>
          <w:trHeight w:val="268"/>
        </w:trPr>
        <w:tc>
          <w:tcPr>
            <w:tcW w:w="2283" w:type="dxa"/>
            <w:tcBorders>
              <w:top w:val="nil"/>
              <w:left w:val="nil"/>
              <w:bottom w:val="nil"/>
              <w:right w:val="nil"/>
            </w:tcBorders>
            <w:shd w:val="clear" w:color="auto" w:fill="auto"/>
            <w:noWrap/>
            <w:vAlign w:val="center"/>
            <w:hideMark/>
          </w:tcPr>
          <w:p w14:paraId="1F4B6A27" w14:textId="450E8AC7" w:rsidR="00F8101A" w:rsidRPr="000C4C17" w:rsidRDefault="00F8101A" w:rsidP="00A111E9">
            <w:pPr>
              <w:widowControl/>
              <w:rPr>
                <w:color w:val="000000"/>
                <w:sz w:val="18"/>
                <w:lang w:eastAsia="en-GB"/>
              </w:rPr>
            </w:pPr>
            <w:r w:rsidRPr="000C4C17">
              <w:rPr>
                <w:color w:val="000000"/>
                <w:sz w:val="18"/>
                <w:lang w:eastAsia="en-GB"/>
              </w:rPr>
              <w:t xml:space="preserve">Kim </w:t>
            </w:r>
            <w:r w:rsidR="00CB2CA0">
              <w:rPr>
                <w:color w:val="000000"/>
                <w:sz w:val="18"/>
                <w:lang w:eastAsia="en-GB"/>
              </w:rPr>
              <w:t>SK, 2011</w:t>
            </w:r>
          </w:p>
        </w:tc>
        <w:tc>
          <w:tcPr>
            <w:tcW w:w="5032" w:type="dxa"/>
            <w:tcBorders>
              <w:top w:val="nil"/>
              <w:left w:val="nil"/>
              <w:bottom w:val="nil"/>
              <w:right w:val="nil"/>
            </w:tcBorders>
            <w:shd w:val="clear" w:color="auto" w:fill="auto"/>
            <w:noWrap/>
            <w:vAlign w:val="center"/>
            <w:hideMark/>
          </w:tcPr>
          <w:p w14:paraId="2B341F2E" w14:textId="77777777" w:rsidR="00F8101A" w:rsidRPr="000C4C17" w:rsidRDefault="00F8101A" w:rsidP="00A111E9">
            <w:pPr>
              <w:widowControl/>
              <w:rPr>
                <w:color w:val="000000"/>
                <w:sz w:val="18"/>
                <w:lang w:eastAsia="en-GB"/>
              </w:rPr>
            </w:pPr>
            <w:r w:rsidRPr="000C4C17">
              <w:rPr>
                <w:color w:val="000000"/>
                <w:sz w:val="18"/>
                <w:lang w:eastAsia="en-GB"/>
              </w:rPr>
              <w:t xml:space="preserve">Spearman’s rank </w:t>
            </w:r>
          </w:p>
        </w:tc>
        <w:tc>
          <w:tcPr>
            <w:tcW w:w="1309" w:type="dxa"/>
            <w:tcBorders>
              <w:top w:val="nil"/>
              <w:left w:val="nil"/>
              <w:bottom w:val="nil"/>
              <w:right w:val="nil"/>
            </w:tcBorders>
            <w:shd w:val="clear" w:color="auto" w:fill="auto"/>
            <w:noWrap/>
            <w:vAlign w:val="center"/>
            <w:hideMark/>
          </w:tcPr>
          <w:p w14:paraId="099CE65B" w14:textId="77777777" w:rsidR="00F8101A" w:rsidRPr="000C4C17" w:rsidRDefault="00F8101A" w:rsidP="00647943">
            <w:pPr>
              <w:widowControl/>
              <w:jc w:val="right"/>
              <w:rPr>
                <w:color w:val="000000"/>
                <w:sz w:val="18"/>
                <w:lang w:eastAsia="en-GB"/>
              </w:rPr>
            </w:pPr>
            <w:r w:rsidRPr="000C4C17">
              <w:rPr>
                <w:color w:val="000000"/>
                <w:sz w:val="18"/>
                <w:lang w:eastAsia="en-GB"/>
              </w:rPr>
              <w:t>0.33</w:t>
            </w:r>
          </w:p>
        </w:tc>
      </w:tr>
      <w:tr w:rsidR="00F8101A" w:rsidRPr="000C4C17" w14:paraId="42AF1181" w14:textId="77777777" w:rsidTr="00F6284E">
        <w:trPr>
          <w:trHeight w:val="268"/>
        </w:trPr>
        <w:tc>
          <w:tcPr>
            <w:tcW w:w="2283" w:type="dxa"/>
            <w:tcBorders>
              <w:top w:val="nil"/>
              <w:left w:val="nil"/>
              <w:right w:val="nil"/>
            </w:tcBorders>
            <w:shd w:val="clear" w:color="auto" w:fill="auto"/>
            <w:noWrap/>
            <w:vAlign w:val="center"/>
            <w:hideMark/>
          </w:tcPr>
          <w:p w14:paraId="579AB745" w14:textId="77777777" w:rsidR="00F8101A" w:rsidRPr="000C4C17" w:rsidRDefault="00F8101A" w:rsidP="00A111E9">
            <w:pPr>
              <w:widowControl/>
              <w:rPr>
                <w:color w:val="000000"/>
                <w:sz w:val="18"/>
                <w:lang w:eastAsia="en-GB"/>
              </w:rPr>
            </w:pPr>
            <w:r w:rsidRPr="000C4C17">
              <w:rPr>
                <w:color w:val="000000"/>
                <w:sz w:val="18"/>
                <w:lang w:eastAsia="en-GB"/>
              </w:rPr>
              <w:t>Hamm, 2010</w:t>
            </w:r>
          </w:p>
        </w:tc>
        <w:tc>
          <w:tcPr>
            <w:tcW w:w="5032" w:type="dxa"/>
            <w:tcBorders>
              <w:top w:val="nil"/>
              <w:left w:val="nil"/>
              <w:right w:val="nil"/>
            </w:tcBorders>
            <w:shd w:val="clear" w:color="auto" w:fill="auto"/>
            <w:noWrap/>
            <w:vAlign w:val="center"/>
            <w:hideMark/>
          </w:tcPr>
          <w:p w14:paraId="6575B1BF" w14:textId="77777777" w:rsidR="00F8101A" w:rsidRPr="000C4C17" w:rsidRDefault="00F8101A" w:rsidP="00A111E9">
            <w:pPr>
              <w:widowControl/>
              <w:rPr>
                <w:color w:val="000000"/>
                <w:sz w:val="18"/>
                <w:lang w:eastAsia="en-GB"/>
              </w:rPr>
            </w:pPr>
            <w:r w:rsidRPr="000C4C17">
              <w:rPr>
                <w:color w:val="000000"/>
                <w:sz w:val="18"/>
                <w:lang w:eastAsia="en-GB"/>
              </w:rPr>
              <w:t>Pearson’s correlation for the natural logarithm of the PFAS</w:t>
            </w:r>
          </w:p>
        </w:tc>
        <w:tc>
          <w:tcPr>
            <w:tcW w:w="1309" w:type="dxa"/>
            <w:tcBorders>
              <w:top w:val="nil"/>
              <w:left w:val="nil"/>
              <w:right w:val="nil"/>
            </w:tcBorders>
            <w:shd w:val="clear" w:color="auto" w:fill="auto"/>
            <w:noWrap/>
            <w:vAlign w:val="center"/>
            <w:hideMark/>
          </w:tcPr>
          <w:p w14:paraId="6F30EADD" w14:textId="77777777" w:rsidR="00F8101A" w:rsidRPr="000C4C17" w:rsidRDefault="00F8101A" w:rsidP="00647943">
            <w:pPr>
              <w:widowControl/>
              <w:jc w:val="right"/>
              <w:rPr>
                <w:color w:val="000000"/>
                <w:sz w:val="18"/>
                <w:lang w:eastAsia="en-GB"/>
              </w:rPr>
            </w:pPr>
            <w:r w:rsidRPr="000C4C17">
              <w:rPr>
                <w:color w:val="000000"/>
                <w:sz w:val="18"/>
                <w:lang w:eastAsia="en-GB"/>
              </w:rPr>
              <w:t>0.51</w:t>
            </w:r>
          </w:p>
        </w:tc>
      </w:tr>
      <w:tr w:rsidR="00F8101A" w:rsidRPr="000C4C17" w14:paraId="63242E27" w14:textId="77777777" w:rsidTr="003F63BC">
        <w:trPr>
          <w:trHeight w:val="268"/>
        </w:trPr>
        <w:tc>
          <w:tcPr>
            <w:tcW w:w="2283" w:type="dxa"/>
            <w:tcBorders>
              <w:top w:val="nil"/>
              <w:left w:val="nil"/>
              <w:bottom w:val="nil"/>
              <w:right w:val="nil"/>
            </w:tcBorders>
            <w:shd w:val="clear" w:color="auto" w:fill="auto"/>
            <w:noWrap/>
            <w:vAlign w:val="center"/>
            <w:hideMark/>
          </w:tcPr>
          <w:p w14:paraId="513F4705" w14:textId="77777777" w:rsidR="00F8101A" w:rsidRPr="000C4C17" w:rsidRDefault="00F8101A" w:rsidP="00A111E9">
            <w:pPr>
              <w:widowControl/>
              <w:rPr>
                <w:color w:val="000000"/>
                <w:sz w:val="18"/>
                <w:lang w:eastAsia="en-GB"/>
              </w:rPr>
            </w:pPr>
            <w:r w:rsidRPr="000C4C17">
              <w:rPr>
                <w:color w:val="000000"/>
                <w:sz w:val="18"/>
                <w:lang w:eastAsia="en-GB"/>
              </w:rPr>
              <w:t>Maisonet, 2012</w:t>
            </w:r>
          </w:p>
        </w:tc>
        <w:tc>
          <w:tcPr>
            <w:tcW w:w="5032" w:type="dxa"/>
            <w:tcBorders>
              <w:top w:val="nil"/>
              <w:left w:val="nil"/>
              <w:bottom w:val="nil"/>
              <w:right w:val="nil"/>
            </w:tcBorders>
            <w:shd w:val="clear" w:color="auto" w:fill="auto"/>
            <w:noWrap/>
            <w:vAlign w:val="center"/>
            <w:hideMark/>
          </w:tcPr>
          <w:p w14:paraId="03947DC3" w14:textId="77777777" w:rsidR="00F8101A" w:rsidRPr="000C4C17" w:rsidRDefault="00F8101A" w:rsidP="00A111E9">
            <w:pPr>
              <w:widowControl/>
              <w:rPr>
                <w:color w:val="000000"/>
                <w:sz w:val="18"/>
                <w:lang w:eastAsia="en-GB"/>
              </w:rPr>
            </w:pPr>
            <w:r w:rsidRPr="000C4C17">
              <w:rPr>
                <w:color w:val="000000"/>
                <w:sz w:val="18"/>
                <w:lang w:eastAsia="en-GB"/>
              </w:rPr>
              <w:t>Spearman’s rank correlation</w:t>
            </w:r>
          </w:p>
        </w:tc>
        <w:tc>
          <w:tcPr>
            <w:tcW w:w="1309" w:type="dxa"/>
            <w:tcBorders>
              <w:top w:val="nil"/>
              <w:left w:val="nil"/>
              <w:bottom w:val="nil"/>
              <w:right w:val="nil"/>
            </w:tcBorders>
            <w:shd w:val="clear" w:color="auto" w:fill="auto"/>
            <w:noWrap/>
            <w:vAlign w:val="center"/>
            <w:hideMark/>
          </w:tcPr>
          <w:p w14:paraId="72A94760" w14:textId="77777777" w:rsidR="00F8101A" w:rsidRPr="000C4C17" w:rsidRDefault="00F8101A" w:rsidP="00647943">
            <w:pPr>
              <w:widowControl/>
              <w:jc w:val="right"/>
              <w:rPr>
                <w:color w:val="000000"/>
                <w:sz w:val="18"/>
                <w:lang w:eastAsia="en-GB"/>
              </w:rPr>
            </w:pPr>
            <w:r w:rsidRPr="000C4C17">
              <w:rPr>
                <w:color w:val="000000"/>
                <w:sz w:val="18"/>
                <w:lang w:eastAsia="en-GB"/>
              </w:rPr>
              <w:t>0.72</w:t>
            </w:r>
          </w:p>
        </w:tc>
      </w:tr>
      <w:tr w:rsidR="003F63BC" w:rsidRPr="000C4C17" w14:paraId="743D6995" w14:textId="77777777" w:rsidTr="00F6284E">
        <w:trPr>
          <w:trHeight w:val="268"/>
        </w:trPr>
        <w:tc>
          <w:tcPr>
            <w:tcW w:w="2283" w:type="dxa"/>
            <w:tcBorders>
              <w:top w:val="nil"/>
              <w:left w:val="nil"/>
              <w:bottom w:val="single" w:sz="4" w:space="0" w:color="auto"/>
              <w:right w:val="nil"/>
            </w:tcBorders>
            <w:shd w:val="clear" w:color="auto" w:fill="auto"/>
            <w:noWrap/>
            <w:vAlign w:val="center"/>
          </w:tcPr>
          <w:p w14:paraId="7E70BD6E" w14:textId="5E676DB4" w:rsidR="003F63BC" w:rsidRPr="000C4C17" w:rsidRDefault="003F63BC" w:rsidP="00A111E9">
            <w:pPr>
              <w:widowControl/>
              <w:rPr>
                <w:color w:val="000000"/>
                <w:sz w:val="18"/>
                <w:lang w:eastAsia="en-GB"/>
              </w:rPr>
            </w:pPr>
            <w:r>
              <w:rPr>
                <w:color w:val="000000"/>
                <w:sz w:val="18"/>
                <w:lang w:eastAsia="en-GB"/>
              </w:rPr>
              <w:t>Lauritzen, 2016</w:t>
            </w:r>
          </w:p>
        </w:tc>
        <w:tc>
          <w:tcPr>
            <w:tcW w:w="5032" w:type="dxa"/>
            <w:tcBorders>
              <w:top w:val="nil"/>
              <w:left w:val="nil"/>
              <w:bottom w:val="single" w:sz="4" w:space="0" w:color="auto"/>
              <w:right w:val="nil"/>
            </w:tcBorders>
            <w:shd w:val="clear" w:color="auto" w:fill="auto"/>
            <w:noWrap/>
            <w:vAlign w:val="center"/>
          </w:tcPr>
          <w:p w14:paraId="46201162" w14:textId="40E88CC0" w:rsidR="003F63BC" w:rsidRPr="000C4C17" w:rsidRDefault="003F63BC" w:rsidP="00A111E9">
            <w:pPr>
              <w:widowControl/>
              <w:rPr>
                <w:color w:val="000000"/>
                <w:sz w:val="18"/>
                <w:lang w:eastAsia="en-GB"/>
              </w:rPr>
            </w:pPr>
            <w:r>
              <w:rPr>
                <w:color w:val="000000"/>
                <w:sz w:val="18"/>
                <w:lang w:eastAsia="en-GB"/>
              </w:rPr>
              <w:t>Not stated</w:t>
            </w:r>
          </w:p>
        </w:tc>
        <w:tc>
          <w:tcPr>
            <w:tcW w:w="1309" w:type="dxa"/>
            <w:tcBorders>
              <w:top w:val="nil"/>
              <w:left w:val="nil"/>
              <w:bottom w:val="single" w:sz="4" w:space="0" w:color="auto"/>
              <w:right w:val="nil"/>
            </w:tcBorders>
            <w:shd w:val="clear" w:color="auto" w:fill="auto"/>
            <w:noWrap/>
            <w:vAlign w:val="center"/>
          </w:tcPr>
          <w:p w14:paraId="5747B025" w14:textId="346C6CFB" w:rsidR="003F63BC" w:rsidRPr="000C4C17" w:rsidRDefault="003F63BC" w:rsidP="00647943">
            <w:pPr>
              <w:widowControl/>
              <w:jc w:val="right"/>
              <w:rPr>
                <w:color w:val="000000"/>
                <w:sz w:val="18"/>
                <w:lang w:eastAsia="en-GB"/>
              </w:rPr>
            </w:pPr>
            <w:r>
              <w:rPr>
                <w:color w:val="000000"/>
                <w:sz w:val="18"/>
                <w:lang w:eastAsia="en-GB"/>
              </w:rPr>
              <w:t>0.56-0.73</w:t>
            </w:r>
          </w:p>
        </w:tc>
      </w:tr>
    </w:tbl>
    <w:p w14:paraId="7E0B66CE" w14:textId="77777777" w:rsidR="00F8101A" w:rsidRPr="000C4C17" w:rsidRDefault="00F8101A" w:rsidP="00A111E9">
      <w:pPr>
        <w:widowControl/>
        <w:rPr>
          <w:rFonts w:eastAsiaTheme="minorHAnsi" w:cstheme="minorBidi"/>
          <w:szCs w:val="22"/>
          <w:lang w:bidi="ar-SA"/>
        </w:rPr>
      </w:pPr>
    </w:p>
    <w:p w14:paraId="1673E878" w14:textId="77777777" w:rsidR="00F8101A" w:rsidRPr="000C4C17" w:rsidRDefault="00F8101A" w:rsidP="00A111E9">
      <w:pPr>
        <w:widowControl/>
        <w:rPr>
          <w:rFonts w:eastAsiaTheme="minorHAnsi" w:cstheme="minorBidi"/>
          <w:szCs w:val="22"/>
          <w:lang w:bidi="ar-SA"/>
        </w:rPr>
      </w:pPr>
    </w:p>
    <w:p w14:paraId="77AA1231" w14:textId="798C5066" w:rsidR="00F8101A" w:rsidRPr="000C4C17" w:rsidRDefault="00F8101A" w:rsidP="00A111E9">
      <w:pPr>
        <w:pStyle w:val="FSTableTitle"/>
        <w:rPr>
          <w:rFonts w:eastAsiaTheme="minorHAnsi"/>
        </w:rPr>
      </w:pPr>
      <w:r w:rsidRPr="000C4C17">
        <w:rPr>
          <w:rFonts w:eastAsiaTheme="minorHAnsi"/>
        </w:rPr>
        <w:t>Table</w:t>
      </w:r>
      <w:r w:rsidR="0022618C" w:rsidRPr="000C4C17">
        <w:rPr>
          <w:rFonts w:eastAsiaTheme="minorHAnsi"/>
          <w:lang w:bidi="ar-SA"/>
        </w:rPr>
        <w:t xml:space="preserve"> A1.10</w:t>
      </w:r>
      <w:r w:rsidRPr="000C4C17">
        <w:rPr>
          <w:rFonts w:eastAsiaTheme="minorHAnsi"/>
        </w:rPr>
        <w:t xml:space="preserve"> Adjusted association for PFOS or PFOA, separately, and birthweight and a model which included PFOS and PFOA si</w:t>
      </w:r>
      <w:r w:rsidR="00376729" w:rsidRPr="000C4C17">
        <w:rPr>
          <w:rFonts w:eastAsiaTheme="minorHAnsi"/>
        </w:rPr>
        <w:t xml:space="preserve">multaneously (from Darrow </w:t>
      </w:r>
      <w:r w:rsidR="00180A32" w:rsidRPr="00180A32">
        <w:rPr>
          <w:rFonts w:eastAsiaTheme="minorHAnsi"/>
          <w:i/>
        </w:rPr>
        <w:t xml:space="preserve">et al. </w:t>
      </w:r>
      <w:r w:rsidR="00CC50B8">
        <w:rPr>
          <w:rFonts w:eastAsiaTheme="minorHAnsi"/>
        </w:rPr>
        <w:t xml:space="preserve"> </w:t>
      </w:r>
      <w:r w:rsidRPr="000C4C17">
        <w:rPr>
          <w:rFonts w:eastAsiaTheme="minorHAnsi"/>
        </w:rPr>
        <w:t>2013, supplementary material)</w:t>
      </w:r>
    </w:p>
    <w:p w14:paraId="5288D065" w14:textId="77777777" w:rsidR="00F8101A" w:rsidRPr="000C4C17" w:rsidRDefault="00F8101A" w:rsidP="00A111E9">
      <w:pPr>
        <w:widowControl/>
        <w:rPr>
          <w:rFonts w:eastAsiaTheme="minorHAnsi" w:cstheme="minorBidi"/>
          <w:szCs w:val="22"/>
          <w:lang w:bidi="ar-SA"/>
        </w:rPr>
      </w:pPr>
      <w:r w:rsidRPr="000C4C17">
        <w:rPr>
          <w:rFonts w:eastAsiaTheme="minorHAnsi" w:cstheme="minorBidi"/>
          <w:szCs w:val="22"/>
          <w:lang w:bidi="ar-SA"/>
        </w:rPr>
        <w:t>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157"/>
        <w:gridCol w:w="2050"/>
        <w:gridCol w:w="2322"/>
      </w:tblGrid>
      <w:tr w:rsidR="00F8101A" w:rsidRPr="000C4C17" w14:paraId="10C43BCE" w14:textId="77777777" w:rsidTr="000830C5">
        <w:trPr>
          <w:trHeight w:val="343"/>
          <w:tblHeader/>
        </w:trPr>
        <w:tc>
          <w:tcPr>
            <w:tcW w:w="2943" w:type="dxa"/>
            <w:vMerge w:val="restart"/>
            <w:tcBorders>
              <w:top w:val="nil"/>
            </w:tcBorders>
            <w:shd w:val="clear" w:color="auto" w:fill="F2F2F2" w:themeFill="background1" w:themeFillShade="F2"/>
          </w:tcPr>
          <w:p w14:paraId="7AAE4BD9" w14:textId="3601519B" w:rsidR="00095DDC" w:rsidRPr="000C4C17" w:rsidRDefault="00F8101A" w:rsidP="00A111E9">
            <w:pPr>
              <w:widowControl/>
              <w:autoSpaceDE w:val="0"/>
              <w:autoSpaceDN w:val="0"/>
              <w:adjustRightInd w:val="0"/>
              <w:rPr>
                <w:rFonts w:eastAsiaTheme="minorHAnsi"/>
                <w:color w:val="000000"/>
                <w:sz w:val="18"/>
              </w:rPr>
            </w:pPr>
            <w:r w:rsidRPr="000C4C17">
              <w:rPr>
                <w:rFonts w:eastAsiaTheme="minorHAnsi"/>
                <w:b/>
                <w:color w:val="000000"/>
                <w:sz w:val="18"/>
              </w:rPr>
              <w:t xml:space="preserve">Model </w:t>
            </w:r>
            <w:r w:rsidR="00986779">
              <w:rPr>
                <w:rFonts w:eastAsiaTheme="minorHAnsi"/>
                <w:b/>
                <w:color w:val="000000"/>
                <w:sz w:val="18"/>
              </w:rPr>
              <w:t>v</w:t>
            </w:r>
            <w:r w:rsidRPr="000C4C17">
              <w:rPr>
                <w:rFonts w:eastAsiaTheme="minorHAnsi"/>
                <w:b/>
                <w:color w:val="000000"/>
                <w:sz w:val="18"/>
              </w:rPr>
              <w:t>ariant</w:t>
            </w:r>
          </w:p>
          <w:p w14:paraId="65AF906D" w14:textId="1A1FE7E3" w:rsidR="00F8101A" w:rsidRPr="000C4C17" w:rsidRDefault="00F8101A" w:rsidP="00A111E9">
            <w:pPr>
              <w:autoSpaceDE w:val="0"/>
              <w:autoSpaceDN w:val="0"/>
              <w:adjustRightInd w:val="0"/>
              <w:rPr>
                <w:rFonts w:eastAsiaTheme="minorHAnsi"/>
                <w:color w:val="000000"/>
                <w:sz w:val="18"/>
              </w:rPr>
            </w:pPr>
          </w:p>
        </w:tc>
        <w:tc>
          <w:tcPr>
            <w:tcW w:w="1157" w:type="dxa"/>
            <w:vMerge w:val="restart"/>
            <w:tcBorders>
              <w:top w:val="nil"/>
            </w:tcBorders>
            <w:shd w:val="clear" w:color="auto" w:fill="F2F2F2" w:themeFill="background1" w:themeFillShade="F2"/>
          </w:tcPr>
          <w:p w14:paraId="1B44885B" w14:textId="6BA487BD" w:rsidR="00F8101A" w:rsidRPr="000C4C17" w:rsidRDefault="00F8101A" w:rsidP="00647943">
            <w:pPr>
              <w:widowControl/>
              <w:autoSpaceDE w:val="0"/>
              <w:autoSpaceDN w:val="0"/>
              <w:adjustRightInd w:val="0"/>
              <w:jc w:val="right"/>
              <w:rPr>
                <w:rFonts w:eastAsiaTheme="minorHAnsi"/>
                <w:color w:val="000000"/>
                <w:sz w:val="18"/>
              </w:rPr>
            </w:pPr>
            <w:r w:rsidRPr="000C4C17">
              <w:rPr>
                <w:rFonts w:eastAsiaTheme="minorHAnsi"/>
                <w:b/>
                <w:color w:val="000000"/>
                <w:sz w:val="18"/>
              </w:rPr>
              <w:t>N</w:t>
            </w:r>
          </w:p>
          <w:p w14:paraId="43AB5C37" w14:textId="21F85519" w:rsidR="00095DDC" w:rsidRPr="000C4C17" w:rsidRDefault="00F8101A" w:rsidP="00647943">
            <w:pPr>
              <w:widowControl/>
              <w:autoSpaceDE w:val="0"/>
              <w:autoSpaceDN w:val="0"/>
              <w:adjustRightInd w:val="0"/>
              <w:jc w:val="right"/>
              <w:rPr>
                <w:rFonts w:eastAsiaTheme="minorHAnsi"/>
                <w:color w:val="000000"/>
                <w:sz w:val="18"/>
              </w:rPr>
            </w:pPr>
            <w:r w:rsidRPr="000C4C17">
              <w:rPr>
                <w:rFonts w:eastAsiaTheme="minorHAnsi"/>
                <w:b/>
                <w:color w:val="000000"/>
                <w:sz w:val="18"/>
              </w:rPr>
              <w:t>births</w:t>
            </w:r>
          </w:p>
          <w:p w14:paraId="2F2FCDF9" w14:textId="2748760E" w:rsidR="00F8101A" w:rsidRPr="000C4C17" w:rsidRDefault="00F8101A" w:rsidP="00647943">
            <w:pPr>
              <w:autoSpaceDE w:val="0"/>
              <w:autoSpaceDN w:val="0"/>
              <w:adjustRightInd w:val="0"/>
              <w:jc w:val="right"/>
              <w:rPr>
                <w:rFonts w:eastAsiaTheme="minorHAnsi"/>
                <w:color w:val="000000"/>
                <w:sz w:val="18"/>
              </w:rPr>
            </w:pPr>
          </w:p>
        </w:tc>
        <w:tc>
          <w:tcPr>
            <w:tcW w:w="4372" w:type="dxa"/>
            <w:gridSpan w:val="2"/>
            <w:tcBorders>
              <w:top w:val="nil"/>
            </w:tcBorders>
            <w:shd w:val="clear" w:color="auto" w:fill="F2F2F2" w:themeFill="background1" w:themeFillShade="F2"/>
          </w:tcPr>
          <w:p w14:paraId="108E36E4" w14:textId="4EE5683D" w:rsidR="00095DDC" w:rsidRPr="000C4C17" w:rsidRDefault="00095DDC" w:rsidP="00A111E9">
            <w:pPr>
              <w:widowControl/>
              <w:autoSpaceDE w:val="0"/>
              <w:autoSpaceDN w:val="0"/>
              <w:adjustRightInd w:val="0"/>
              <w:rPr>
                <w:rFonts w:eastAsiaTheme="minorHAnsi"/>
                <w:color w:val="000000"/>
                <w:sz w:val="18"/>
              </w:rPr>
            </w:pPr>
            <w:r w:rsidRPr="000C4C17">
              <w:rPr>
                <w:rFonts w:eastAsiaTheme="minorHAnsi"/>
                <w:b/>
                <w:color w:val="000000"/>
                <w:sz w:val="18"/>
              </w:rPr>
              <w:t>Change in birthweight (grams) (95% CI)</w:t>
            </w:r>
          </w:p>
          <w:p w14:paraId="37AACD3C" w14:textId="0C7CE873" w:rsidR="00095DDC" w:rsidRPr="000C4C17" w:rsidRDefault="00095DDC" w:rsidP="00A111E9">
            <w:pPr>
              <w:widowControl/>
              <w:autoSpaceDE w:val="0"/>
              <w:autoSpaceDN w:val="0"/>
              <w:adjustRightInd w:val="0"/>
              <w:rPr>
                <w:rFonts w:eastAsiaTheme="minorHAnsi"/>
                <w:color w:val="000000"/>
                <w:sz w:val="18"/>
              </w:rPr>
            </w:pPr>
            <w:r w:rsidRPr="000C4C17">
              <w:rPr>
                <w:rFonts w:eastAsiaTheme="minorHAnsi"/>
                <w:b/>
                <w:color w:val="000000"/>
                <w:sz w:val="18"/>
              </w:rPr>
              <w:t>per 1 unit natural log increase in PFAS</w:t>
            </w:r>
          </w:p>
          <w:p w14:paraId="462B9371" w14:textId="2FD1F18E" w:rsidR="00F8101A" w:rsidRPr="000C4C17" w:rsidRDefault="00095DDC" w:rsidP="00A111E9">
            <w:pPr>
              <w:widowControl/>
              <w:autoSpaceDE w:val="0"/>
              <w:autoSpaceDN w:val="0"/>
              <w:adjustRightInd w:val="0"/>
              <w:rPr>
                <w:rFonts w:eastAsiaTheme="minorHAnsi"/>
                <w:b/>
                <w:color w:val="000000"/>
                <w:sz w:val="18"/>
              </w:rPr>
            </w:pPr>
            <w:r w:rsidRPr="000C4C17">
              <w:rPr>
                <w:rFonts w:eastAsiaTheme="minorHAnsi"/>
                <w:b/>
                <w:color w:val="000000"/>
                <w:sz w:val="18"/>
              </w:rPr>
              <w:t xml:space="preserve"> </w:t>
            </w:r>
          </w:p>
        </w:tc>
      </w:tr>
      <w:tr w:rsidR="00A40F75" w:rsidRPr="000C4C17" w14:paraId="3B4E041A" w14:textId="77777777" w:rsidTr="000830C5">
        <w:trPr>
          <w:trHeight w:val="343"/>
          <w:tblHeader/>
        </w:trPr>
        <w:tc>
          <w:tcPr>
            <w:tcW w:w="2943" w:type="dxa"/>
            <w:vMerge/>
            <w:shd w:val="clear" w:color="auto" w:fill="F2F2F2" w:themeFill="background1" w:themeFillShade="F2"/>
          </w:tcPr>
          <w:p w14:paraId="7357B857" w14:textId="78521963" w:rsidR="00A40F75" w:rsidRPr="000C4C17" w:rsidRDefault="00A40F75" w:rsidP="00A111E9">
            <w:pPr>
              <w:widowControl/>
              <w:autoSpaceDE w:val="0"/>
              <w:autoSpaceDN w:val="0"/>
              <w:adjustRightInd w:val="0"/>
              <w:rPr>
                <w:rFonts w:eastAsiaTheme="minorHAnsi"/>
                <w:b/>
                <w:color w:val="000000"/>
                <w:sz w:val="18"/>
              </w:rPr>
            </w:pPr>
          </w:p>
        </w:tc>
        <w:tc>
          <w:tcPr>
            <w:tcW w:w="1157" w:type="dxa"/>
            <w:vMerge/>
            <w:shd w:val="clear" w:color="auto" w:fill="F2F2F2" w:themeFill="background1" w:themeFillShade="F2"/>
          </w:tcPr>
          <w:p w14:paraId="0747E0EA" w14:textId="438E4F3B" w:rsidR="00A40F75" w:rsidRPr="000C4C17" w:rsidRDefault="00A40F75" w:rsidP="00647943">
            <w:pPr>
              <w:widowControl/>
              <w:autoSpaceDE w:val="0"/>
              <w:autoSpaceDN w:val="0"/>
              <w:adjustRightInd w:val="0"/>
              <w:jc w:val="right"/>
              <w:rPr>
                <w:rFonts w:eastAsiaTheme="minorHAnsi"/>
                <w:b/>
                <w:color w:val="000000"/>
                <w:sz w:val="18"/>
              </w:rPr>
            </w:pPr>
          </w:p>
        </w:tc>
        <w:tc>
          <w:tcPr>
            <w:tcW w:w="2050" w:type="dxa"/>
            <w:tcBorders>
              <w:top w:val="nil"/>
            </w:tcBorders>
            <w:shd w:val="clear" w:color="auto" w:fill="F2F2F2" w:themeFill="background1" w:themeFillShade="F2"/>
          </w:tcPr>
          <w:p w14:paraId="6B8C157F" w14:textId="7C40B513" w:rsidR="00A40F75" w:rsidRPr="000C4C17" w:rsidRDefault="00A40F75" w:rsidP="00647943">
            <w:pPr>
              <w:widowControl/>
              <w:autoSpaceDE w:val="0"/>
              <w:autoSpaceDN w:val="0"/>
              <w:adjustRightInd w:val="0"/>
              <w:jc w:val="right"/>
              <w:rPr>
                <w:rFonts w:eastAsiaTheme="minorHAnsi"/>
                <w:b/>
                <w:color w:val="000000"/>
                <w:sz w:val="18"/>
              </w:rPr>
            </w:pPr>
            <w:r w:rsidRPr="000C4C17">
              <w:rPr>
                <w:rFonts w:eastAsiaTheme="minorHAnsi"/>
                <w:b/>
                <w:color w:val="000000"/>
                <w:sz w:val="18"/>
              </w:rPr>
              <w:t>PFOA</w:t>
            </w:r>
          </w:p>
        </w:tc>
        <w:tc>
          <w:tcPr>
            <w:tcW w:w="2322" w:type="dxa"/>
            <w:tcBorders>
              <w:top w:val="nil"/>
            </w:tcBorders>
            <w:shd w:val="clear" w:color="auto" w:fill="F2F2F2" w:themeFill="background1" w:themeFillShade="F2"/>
          </w:tcPr>
          <w:p w14:paraId="78219495" w14:textId="596FA3B2" w:rsidR="00A40F75" w:rsidRPr="000C4C17" w:rsidRDefault="00A40F75" w:rsidP="00647943">
            <w:pPr>
              <w:widowControl/>
              <w:autoSpaceDE w:val="0"/>
              <w:autoSpaceDN w:val="0"/>
              <w:adjustRightInd w:val="0"/>
              <w:jc w:val="right"/>
              <w:rPr>
                <w:rFonts w:eastAsiaTheme="minorHAnsi"/>
                <w:b/>
                <w:color w:val="000000"/>
                <w:sz w:val="18"/>
              </w:rPr>
            </w:pPr>
            <w:r w:rsidRPr="000C4C17">
              <w:rPr>
                <w:rFonts w:eastAsiaTheme="minorHAnsi"/>
                <w:b/>
                <w:color w:val="000000"/>
                <w:sz w:val="18"/>
              </w:rPr>
              <w:t>PFOS</w:t>
            </w:r>
          </w:p>
        </w:tc>
      </w:tr>
      <w:tr w:rsidR="00F8101A" w:rsidRPr="000C4C17" w14:paraId="5EA34935" w14:textId="77777777" w:rsidTr="00A40F75">
        <w:trPr>
          <w:trHeight w:val="283"/>
        </w:trPr>
        <w:tc>
          <w:tcPr>
            <w:tcW w:w="2943" w:type="dxa"/>
            <w:vAlign w:val="center"/>
          </w:tcPr>
          <w:p w14:paraId="53371AF0" w14:textId="77777777" w:rsidR="00F8101A" w:rsidRPr="000C4C17" w:rsidRDefault="00F8101A" w:rsidP="00A111E9">
            <w:pPr>
              <w:widowControl/>
              <w:autoSpaceDE w:val="0"/>
              <w:autoSpaceDN w:val="0"/>
              <w:adjustRightInd w:val="0"/>
              <w:rPr>
                <w:rFonts w:eastAsiaTheme="minorHAnsi"/>
                <w:color w:val="000000"/>
                <w:sz w:val="18"/>
              </w:rPr>
            </w:pPr>
            <w:r w:rsidRPr="000C4C17">
              <w:rPr>
                <w:rFonts w:eastAsiaTheme="minorHAnsi"/>
                <w:color w:val="000000"/>
                <w:sz w:val="18"/>
              </w:rPr>
              <w:t>1. Primary model – PFOA</w:t>
            </w:r>
          </w:p>
        </w:tc>
        <w:tc>
          <w:tcPr>
            <w:tcW w:w="1157" w:type="dxa"/>
            <w:vAlign w:val="center"/>
          </w:tcPr>
          <w:p w14:paraId="04113F82" w14:textId="77777777" w:rsidR="00F8101A" w:rsidRPr="000C4C17" w:rsidRDefault="00F8101A" w:rsidP="00647943">
            <w:pPr>
              <w:widowControl/>
              <w:autoSpaceDE w:val="0"/>
              <w:autoSpaceDN w:val="0"/>
              <w:adjustRightInd w:val="0"/>
              <w:jc w:val="right"/>
              <w:rPr>
                <w:rFonts w:eastAsiaTheme="minorHAnsi"/>
                <w:color w:val="000000"/>
                <w:sz w:val="18"/>
              </w:rPr>
            </w:pPr>
            <w:r w:rsidRPr="000C4C17">
              <w:rPr>
                <w:rFonts w:eastAsiaTheme="minorHAnsi"/>
                <w:color w:val="000000"/>
                <w:sz w:val="18"/>
              </w:rPr>
              <w:t xml:space="preserve">1470 </w:t>
            </w:r>
          </w:p>
        </w:tc>
        <w:tc>
          <w:tcPr>
            <w:tcW w:w="2050" w:type="dxa"/>
            <w:vAlign w:val="center"/>
          </w:tcPr>
          <w:p w14:paraId="24BE1B4C" w14:textId="47D37019" w:rsidR="00F8101A" w:rsidRPr="000C4C17" w:rsidRDefault="00F8101A" w:rsidP="00647943">
            <w:pPr>
              <w:widowControl/>
              <w:autoSpaceDE w:val="0"/>
              <w:autoSpaceDN w:val="0"/>
              <w:adjustRightInd w:val="0"/>
              <w:jc w:val="right"/>
              <w:rPr>
                <w:rFonts w:eastAsiaTheme="minorHAnsi"/>
                <w:color w:val="000000"/>
                <w:sz w:val="18"/>
              </w:rPr>
            </w:pPr>
            <w:r w:rsidRPr="000C4C17">
              <w:rPr>
                <w:rFonts w:eastAsiaTheme="minorHAnsi"/>
                <w:color w:val="000000"/>
                <w:sz w:val="18"/>
              </w:rPr>
              <w:t>-8 (-28, 12)</w:t>
            </w:r>
          </w:p>
        </w:tc>
        <w:tc>
          <w:tcPr>
            <w:tcW w:w="2322" w:type="dxa"/>
            <w:vAlign w:val="center"/>
          </w:tcPr>
          <w:p w14:paraId="2C29E783" w14:textId="77777777" w:rsidR="00F8101A" w:rsidRPr="000C4C17" w:rsidRDefault="00F8101A" w:rsidP="00647943">
            <w:pPr>
              <w:widowControl/>
              <w:autoSpaceDE w:val="0"/>
              <w:autoSpaceDN w:val="0"/>
              <w:adjustRightInd w:val="0"/>
              <w:jc w:val="right"/>
              <w:rPr>
                <w:rFonts w:eastAsiaTheme="minorHAnsi"/>
                <w:color w:val="000000"/>
                <w:sz w:val="18"/>
              </w:rPr>
            </w:pPr>
            <w:r w:rsidRPr="000C4C17">
              <w:rPr>
                <w:rFonts w:eastAsiaTheme="minorHAnsi"/>
                <w:color w:val="000000"/>
                <w:sz w:val="18"/>
              </w:rPr>
              <w:t>-</w:t>
            </w:r>
          </w:p>
        </w:tc>
      </w:tr>
      <w:tr w:rsidR="00F8101A" w:rsidRPr="000C4C17" w14:paraId="3AD4A354" w14:textId="77777777" w:rsidTr="00A40F75">
        <w:trPr>
          <w:trHeight w:val="283"/>
        </w:trPr>
        <w:tc>
          <w:tcPr>
            <w:tcW w:w="2943" w:type="dxa"/>
            <w:vAlign w:val="center"/>
          </w:tcPr>
          <w:p w14:paraId="393C4E12" w14:textId="77777777" w:rsidR="00F8101A" w:rsidRPr="000C4C17" w:rsidRDefault="00F8101A" w:rsidP="00A111E9">
            <w:pPr>
              <w:widowControl/>
              <w:autoSpaceDE w:val="0"/>
              <w:autoSpaceDN w:val="0"/>
              <w:adjustRightInd w:val="0"/>
              <w:rPr>
                <w:rFonts w:eastAsiaTheme="minorHAnsi"/>
                <w:color w:val="000000"/>
                <w:sz w:val="18"/>
              </w:rPr>
            </w:pPr>
            <w:r w:rsidRPr="000C4C17">
              <w:rPr>
                <w:rFonts w:eastAsiaTheme="minorHAnsi"/>
                <w:color w:val="000000"/>
                <w:sz w:val="18"/>
              </w:rPr>
              <w:t>2. Primary model – PFOS</w:t>
            </w:r>
          </w:p>
        </w:tc>
        <w:tc>
          <w:tcPr>
            <w:tcW w:w="1157" w:type="dxa"/>
            <w:vAlign w:val="center"/>
          </w:tcPr>
          <w:p w14:paraId="598BDDE2" w14:textId="77777777" w:rsidR="00F8101A" w:rsidRPr="000C4C17" w:rsidRDefault="00F8101A" w:rsidP="00647943">
            <w:pPr>
              <w:widowControl/>
              <w:autoSpaceDE w:val="0"/>
              <w:autoSpaceDN w:val="0"/>
              <w:adjustRightInd w:val="0"/>
              <w:jc w:val="right"/>
              <w:rPr>
                <w:rFonts w:eastAsiaTheme="minorHAnsi"/>
                <w:color w:val="000000"/>
                <w:sz w:val="18"/>
              </w:rPr>
            </w:pPr>
            <w:r w:rsidRPr="000C4C17">
              <w:rPr>
                <w:rFonts w:eastAsiaTheme="minorHAnsi"/>
                <w:color w:val="000000"/>
                <w:sz w:val="18"/>
              </w:rPr>
              <w:t>1470</w:t>
            </w:r>
          </w:p>
        </w:tc>
        <w:tc>
          <w:tcPr>
            <w:tcW w:w="2050" w:type="dxa"/>
            <w:vAlign w:val="center"/>
          </w:tcPr>
          <w:p w14:paraId="65CBFCAB" w14:textId="77777777" w:rsidR="00F8101A" w:rsidRPr="000C4C17" w:rsidRDefault="00F8101A" w:rsidP="00647943">
            <w:pPr>
              <w:widowControl/>
              <w:autoSpaceDE w:val="0"/>
              <w:autoSpaceDN w:val="0"/>
              <w:adjustRightInd w:val="0"/>
              <w:jc w:val="right"/>
              <w:rPr>
                <w:rFonts w:eastAsiaTheme="minorHAnsi"/>
                <w:color w:val="000000"/>
                <w:sz w:val="18"/>
              </w:rPr>
            </w:pPr>
            <w:r w:rsidRPr="000C4C17">
              <w:rPr>
                <w:rFonts w:eastAsiaTheme="minorHAnsi"/>
                <w:color w:val="000000"/>
                <w:sz w:val="18"/>
              </w:rPr>
              <w:t>-</w:t>
            </w:r>
          </w:p>
        </w:tc>
        <w:tc>
          <w:tcPr>
            <w:tcW w:w="2322" w:type="dxa"/>
            <w:vAlign w:val="center"/>
          </w:tcPr>
          <w:p w14:paraId="5DA91698" w14:textId="158047CD" w:rsidR="00F8101A" w:rsidRPr="000C4C17" w:rsidRDefault="00F8101A" w:rsidP="00647943">
            <w:pPr>
              <w:widowControl/>
              <w:autoSpaceDE w:val="0"/>
              <w:autoSpaceDN w:val="0"/>
              <w:adjustRightInd w:val="0"/>
              <w:jc w:val="right"/>
              <w:rPr>
                <w:rFonts w:eastAsiaTheme="minorHAnsi"/>
                <w:color w:val="000000"/>
                <w:sz w:val="18"/>
              </w:rPr>
            </w:pPr>
            <w:r w:rsidRPr="000C4C17">
              <w:rPr>
                <w:rFonts w:eastAsiaTheme="minorHAnsi"/>
                <w:color w:val="000000"/>
                <w:sz w:val="18"/>
              </w:rPr>
              <w:t>-29 (-66, 7)</w:t>
            </w:r>
          </w:p>
        </w:tc>
      </w:tr>
      <w:tr w:rsidR="00F8101A" w:rsidRPr="000C4C17" w14:paraId="02F91F90" w14:textId="77777777" w:rsidTr="00A40F75">
        <w:trPr>
          <w:trHeight w:val="283"/>
        </w:trPr>
        <w:tc>
          <w:tcPr>
            <w:tcW w:w="2943" w:type="dxa"/>
            <w:vAlign w:val="center"/>
          </w:tcPr>
          <w:p w14:paraId="0A8AACC1" w14:textId="77777777" w:rsidR="00F8101A" w:rsidRPr="000C4C17" w:rsidRDefault="00F8101A" w:rsidP="00A111E9">
            <w:pPr>
              <w:widowControl/>
              <w:autoSpaceDE w:val="0"/>
              <w:autoSpaceDN w:val="0"/>
              <w:adjustRightInd w:val="0"/>
              <w:rPr>
                <w:rFonts w:eastAsiaTheme="minorHAnsi"/>
                <w:color w:val="000000"/>
                <w:sz w:val="18"/>
              </w:rPr>
            </w:pPr>
            <w:r w:rsidRPr="000C4C17">
              <w:rPr>
                <w:rFonts w:eastAsiaTheme="minorHAnsi"/>
                <w:color w:val="000000"/>
                <w:sz w:val="18"/>
              </w:rPr>
              <w:t xml:space="preserve">3. PFOA and PFOS in same model </w:t>
            </w:r>
          </w:p>
        </w:tc>
        <w:tc>
          <w:tcPr>
            <w:tcW w:w="1157" w:type="dxa"/>
            <w:vAlign w:val="center"/>
          </w:tcPr>
          <w:p w14:paraId="0512166C" w14:textId="77777777" w:rsidR="00F8101A" w:rsidRPr="000C4C17" w:rsidRDefault="00F8101A" w:rsidP="00647943">
            <w:pPr>
              <w:widowControl/>
              <w:autoSpaceDE w:val="0"/>
              <w:autoSpaceDN w:val="0"/>
              <w:adjustRightInd w:val="0"/>
              <w:jc w:val="right"/>
              <w:rPr>
                <w:rFonts w:eastAsiaTheme="minorHAnsi"/>
                <w:color w:val="000000"/>
                <w:sz w:val="18"/>
              </w:rPr>
            </w:pPr>
            <w:r w:rsidRPr="000C4C17">
              <w:rPr>
                <w:rFonts w:eastAsiaTheme="minorHAnsi"/>
                <w:color w:val="000000"/>
                <w:sz w:val="18"/>
              </w:rPr>
              <w:t xml:space="preserve">1470 </w:t>
            </w:r>
          </w:p>
        </w:tc>
        <w:tc>
          <w:tcPr>
            <w:tcW w:w="2050" w:type="dxa"/>
            <w:vAlign w:val="center"/>
          </w:tcPr>
          <w:p w14:paraId="21F2EA74" w14:textId="754F3958" w:rsidR="00F8101A" w:rsidRPr="000C4C17" w:rsidRDefault="00F8101A" w:rsidP="00647943">
            <w:pPr>
              <w:widowControl/>
              <w:autoSpaceDE w:val="0"/>
              <w:autoSpaceDN w:val="0"/>
              <w:adjustRightInd w:val="0"/>
              <w:jc w:val="right"/>
              <w:rPr>
                <w:rFonts w:eastAsiaTheme="minorHAnsi"/>
                <w:color w:val="000000"/>
                <w:sz w:val="18"/>
              </w:rPr>
            </w:pPr>
            <w:r w:rsidRPr="000C4C17">
              <w:rPr>
                <w:rFonts w:eastAsiaTheme="minorHAnsi"/>
                <w:color w:val="000000"/>
                <w:sz w:val="18"/>
              </w:rPr>
              <w:t>-4 (-25, 17)</w:t>
            </w:r>
          </w:p>
        </w:tc>
        <w:tc>
          <w:tcPr>
            <w:tcW w:w="2322" w:type="dxa"/>
            <w:vAlign w:val="center"/>
          </w:tcPr>
          <w:p w14:paraId="7F1926F9" w14:textId="7B57D5CF" w:rsidR="00F8101A" w:rsidRPr="000C4C17" w:rsidRDefault="00F8101A" w:rsidP="00647943">
            <w:pPr>
              <w:widowControl/>
              <w:autoSpaceDE w:val="0"/>
              <w:autoSpaceDN w:val="0"/>
              <w:adjustRightInd w:val="0"/>
              <w:jc w:val="right"/>
              <w:rPr>
                <w:rFonts w:eastAsiaTheme="minorHAnsi"/>
                <w:color w:val="000000"/>
                <w:sz w:val="18"/>
              </w:rPr>
            </w:pPr>
            <w:r w:rsidRPr="000C4C17">
              <w:rPr>
                <w:rFonts w:eastAsiaTheme="minorHAnsi"/>
                <w:color w:val="000000"/>
                <w:sz w:val="18"/>
              </w:rPr>
              <w:t>-27 (-65, 10)</w:t>
            </w:r>
          </w:p>
        </w:tc>
      </w:tr>
    </w:tbl>
    <w:p w14:paraId="6F773B20" w14:textId="77777777" w:rsidR="00F8101A" w:rsidRPr="000C4C17" w:rsidRDefault="00F8101A" w:rsidP="00A111E9">
      <w:pPr>
        <w:widowControl/>
        <w:spacing w:before="120"/>
        <w:rPr>
          <w:rFonts w:eastAsiaTheme="minorHAnsi"/>
          <w:sz w:val="16"/>
        </w:rPr>
      </w:pPr>
      <w:r w:rsidRPr="000C4C17">
        <w:rPr>
          <w:rFonts w:eastAsiaTheme="minorHAnsi"/>
          <w:sz w:val="16"/>
        </w:rPr>
        <w:t>adjusted for maternal age (cubic terms), educational level (&lt;12 years,12,13-15,16+), smoking status (current, former, non), parity (0,1+), BMI (underweight, normal, overweight, obese), self-reported diabetes, time between conception and serum measurement (year strata)</w:t>
      </w:r>
    </w:p>
    <w:p w14:paraId="4C24203A" w14:textId="77777777" w:rsidR="00F8101A" w:rsidRPr="000C4C17" w:rsidRDefault="00F8101A" w:rsidP="00A111E9">
      <w:pPr>
        <w:widowControl/>
        <w:rPr>
          <w:rFonts w:eastAsiaTheme="minorHAnsi" w:cstheme="minorBidi"/>
          <w:szCs w:val="22"/>
          <w:lang w:bidi="ar-SA"/>
        </w:rPr>
      </w:pPr>
    </w:p>
    <w:p w14:paraId="20F5369A" w14:textId="77777777" w:rsidR="00F8101A" w:rsidRPr="000C4C17" w:rsidRDefault="00F8101A" w:rsidP="00A111E9">
      <w:pPr>
        <w:widowControl/>
        <w:rPr>
          <w:rFonts w:eastAsiaTheme="minorHAnsi" w:cstheme="minorBidi"/>
          <w:szCs w:val="22"/>
          <w:lang w:bidi="ar-SA"/>
        </w:rPr>
      </w:pPr>
    </w:p>
    <w:p w14:paraId="4BCFD9E1" w14:textId="6C7E1B2C" w:rsidR="00F8101A" w:rsidRPr="00FB2FCE" w:rsidRDefault="00F8101A" w:rsidP="00A111E9">
      <w:pPr>
        <w:widowControl/>
        <w:rPr>
          <w:rFonts w:eastAsiaTheme="majorEastAsia"/>
          <w:b/>
          <w:szCs w:val="22"/>
        </w:rPr>
      </w:pPr>
      <w:bookmarkStart w:id="552" w:name="_Toc468712798"/>
      <w:bookmarkStart w:id="553" w:name="_Toc468716490"/>
      <w:bookmarkStart w:id="554" w:name="_Toc468709477"/>
      <w:bookmarkStart w:id="555" w:name="_Toc468717777"/>
      <w:bookmarkStart w:id="556" w:name="_Toc468718421"/>
      <w:r w:rsidRPr="00FB2FCE">
        <w:rPr>
          <w:rFonts w:eastAsiaTheme="majorEastAsia" w:cs="Arial"/>
          <w:b/>
          <w:bCs/>
          <w:szCs w:val="22"/>
          <w:lang w:bidi="ar-SA"/>
        </w:rPr>
        <w:t>Birthweight in Australia</w:t>
      </w:r>
      <w:bookmarkEnd w:id="552"/>
      <w:bookmarkEnd w:id="553"/>
      <w:bookmarkEnd w:id="554"/>
      <w:bookmarkEnd w:id="555"/>
      <w:bookmarkEnd w:id="556"/>
    </w:p>
    <w:p w14:paraId="07EDEDF7" w14:textId="77777777" w:rsidR="00280227" w:rsidRPr="000C4C17" w:rsidRDefault="00280227" w:rsidP="00A111E9">
      <w:pPr>
        <w:widowControl/>
        <w:rPr>
          <w:rFonts w:eastAsiaTheme="minorHAnsi" w:cstheme="minorBidi"/>
          <w:szCs w:val="22"/>
          <w:lang w:bidi="ar-SA"/>
        </w:rPr>
      </w:pPr>
    </w:p>
    <w:p w14:paraId="0BDD5513" w14:textId="77777777" w:rsidR="00FB2FCE" w:rsidRDefault="00FB2FCE" w:rsidP="00A111E9">
      <w:pPr>
        <w:widowControl/>
        <w:rPr>
          <w:rFonts w:eastAsiaTheme="minorHAnsi" w:cstheme="minorBidi"/>
          <w:szCs w:val="22"/>
          <w:lang w:bidi="ar-SA"/>
        </w:rPr>
      </w:pPr>
      <w:r>
        <w:rPr>
          <w:rFonts w:eastAsiaTheme="minorHAnsi" w:cstheme="minorBidi"/>
          <w:szCs w:val="22"/>
          <w:lang w:bidi="ar-SA"/>
        </w:rPr>
        <w:t>A brief summary of the birthweight of Australian infants is provided to give a context for interpreting the results relating to the association with birthweight from the reviews.</w:t>
      </w:r>
    </w:p>
    <w:p w14:paraId="602F09A3" w14:textId="77777777" w:rsidR="00FB2FCE" w:rsidRDefault="00FB2FCE" w:rsidP="00A111E9">
      <w:pPr>
        <w:widowControl/>
        <w:rPr>
          <w:rFonts w:eastAsiaTheme="minorHAnsi" w:cstheme="minorBidi"/>
          <w:szCs w:val="22"/>
          <w:lang w:bidi="ar-SA"/>
        </w:rPr>
      </w:pPr>
    </w:p>
    <w:p w14:paraId="26390F02" w14:textId="4C57A79A" w:rsidR="00FB2FCE" w:rsidRDefault="00F8101A" w:rsidP="00A111E9">
      <w:pPr>
        <w:widowControl/>
        <w:rPr>
          <w:rFonts w:eastAsiaTheme="minorHAnsi" w:cstheme="minorBidi"/>
          <w:szCs w:val="22"/>
          <w:lang w:bidi="ar-SA"/>
        </w:rPr>
      </w:pPr>
      <w:r w:rsidRPr="000C4C17">
        <w:rPr>
          <w:rFonts w:eastAsiaTheme="minorHAnsi" w:cstheme="minorBidi"/>
          <w:szCs w:val="22"/>
          <w:lang w:bidi="ar-SA"/>
        </w:rPr>
        <w:t xml:space="preserve">There is a national agreement for a minimum set of information to be recorded for all births in Australia. The various States and Territories might collect additional information within their </w:t>
      </w:r>
      <w:r w:rsidRPr="000C4C17">
        <w:rPr>
          <w:rFonts w:eastAsiaTheme="minorHAnsi" w:cstheme="minorBidi"/>
          <w:szCs w:val="22"/>
          <w:lang w:bidi="ar-SA"/>
        </w:rPr>
        <w:lastRenderedPageBreak/>
        <w:t xml:space="preserve">jurisdictional systems. These data are compiled and reported on periodically by the Australian Institute of Health and Welfare, by the State and Territory health departments and </w:t>
      </w:r>
      <w:r w:rsidR="00B1115B">
        <w:rPr>
          <w:rFonts w:eastAsiaTheme="minorHAnsi" w:cstheme="minorBidi"/>
          <w:szCs w:val="22"/>
          <w:lang w:bidi="ar-SA"/>
        </w:rPr>
        <w:t>are</w:t>
      </w:r>
      <w:r w:rsidRPr="000C4C17">
        <w:rPr>
          <w:rFonts w:eastAsiaTheme="minorHAnsi" w:cstheme="minorBidi"/>
          <w:szCs w:val="22"/>
          <w:lang w:bidi="ar-SA"/>
        </w:rPr>
        <w:t xml:space="preserve"> also analysed and published by researchers. The reports focus on different information in different years and so Table </w:t>
      </w:r>
      <w:r w:rsidR="00B1115B">
        <w:rPr>
          <w:rFonts w:eastAsiaTheme="minorHAnsi" w:cstheme="minorBidi"/>
          <w:szCs w:val="22"/>
          <w:lang w:bidi="ar-SA"/>
        </w:rPr>
        <w:t xml:space="preserve">A1.11 </w:t>
      </w:r>
      <w:r w:rsidRPr="000C4C17">
        <w:rPr>
          <w:rFonts w:eastAsiaTheme="minorHAnsi" w:cstheme="minorBidi"/>
          <w:szCs w:val="22"/>
          <w:lang w:bidi="ar-SA"/>
        </w:rPr>
        <w:t>was compiled from several sources.</w:t>
      </w:r>
    </w:p>
    <w:p w14:paraId="351C8CA1" w14:textId="77777777" w:rsidR="00936179" w:rsidRDefault="00936179" w:rsidP="00A111E9">
      <w:pPr>
        <w:widowControl/>
        <w:rPr>
          <w:rFonts w:eastAsiaTheme="minorHAnsi" w:cstheme="minorBidi"/>
          <w:szCs w:val="22"/>
          <w:lang w:bidi="ar-SA"/>
        </w:rPr>
      </w:pPr>
    </w:p>
    <w:p w14:paraId="093ADB1B" w14:textId="521D1FEA" w:rsidR="00936179" w:rsidRDefault="00936179" w:rsidP="00A111E9">
      <w:pPr>
        <w:widowControl/>
        <w:rPr>
          <w:rFonts w:eastAsiaTheme="minorHAnsi" w:cstheme="minorBidi"/>
          <w:szCs w:val="22"/>
          <w:lang w:bidi="ar-SA"/>
        </w:rPr>
      </w:pPr>
      <w:r w:rsidRPr="000C4C17">
        <w:rPr>
          <w:rFonts w:eastAsiaTheme="minorHAnsi" w:cstheme="minorBidi"/>
          <w:szCs w:val="22"/>
          <w:lang w:bidi="ar-SA"/>
        </w:rPr>
        <w:t>T</w:t>
      </w:r>
      <w:r>
        <w:rPr>
          <w:rFonts w:eastAsiaTheme="minorHAnsi" w:cstheme="minorBidi"/>
          <w:szCs w:val="22"/>
          <w:lang w:bidi="ar-SA"/>
        </w:rPr>
        <w:t xml:space="preserve">able A1.11 shows that boys are about 200 g heavier than girls at any gestational age. Moreover, birthweight increases by nearly one kilogram across the range of gestational ages that are regarded as full term (greater than 36 weeks and less than 42 weeks) and between the mean birthweight of singleton and twin babies. Consequently, small variations in proportion of boys and girls or gestational ages or the presence of twins in the groups being compared could potentially have lead to the small difference in birthweight found in some of the </w:t>
      </w:r>
      <w:r w:rsidRPr="003861B4">
        <w:rPr>
          <w:rFonts w:eastAsiaTheme="minorHAnsi" w:cstheme="minorBidi"/>
          <w:szCs w:val="22"/>
          <w:lang w:bidi="ar-SA"/>
        </w:rPr>
        <w:t>studies. The meta-analysis result of -11.9 g per ng/mL PFOA predicts -238 g birthweight for a concentration of 20 ng/mL PFOA compared to zero concentration. It is equivalent to a shift of more than half a standard deviation in the birthweight distribution. This is a similar order of magnitude as the difference in birthweight between boys and girls or between the babies born to Indigenous and non-Indigenous in the Northern Territory. As noted elsewhere, the data on which the</w:t>
      </w:r>
      <w:r w:rsidR="00B1115B">
        <w:rPr>
          <w:rFonts w:eastAsiaTheme="minorHAnsi" w:cstheme="minorBidi"/>
          <w:szCs w:val="22"/>
          <w:lang w:bidi="ar-SA"/>
        </w:rPr>
        <w:t xml:space="preserve"> calculation is based do not necessarily </w:t>
      </w:r>
      <w:r w:rsidR="005D3FE2">
        <w:rPr>
          <w:rFonts w:eastAsiaTheme="minorHAnsi" w:cstheme="minorBidi"/>
          <w:szCs w:val="22"/>
          <w:lang w:bidi="ar-SA"/>
        </w:rPr>
        <w:t xml:space="preserve">allow </w:t>
      </w:r>
      <w:r w:rsidRPr="003861B4">
        <w:rPr>
          <w:rFonts w:eastAsiaTheme="minorHAnsi" w:cstheme="minorBidi"/>
          <w:szCs w:val="22"/>
          <w:lang w:bidi="ar-SA"/>
        </w:rPr>
        <w:t xml:space="preserve">  a causal association</w:t>
      </w:r>
      <w:r w:rsidR="005D3FE2">
        <w:rPr>
          <w:rFonts w:eastAsiaTheme="minorHAnsi" w:cstheme="minorBidi"/>
          <w:szCs w:val="22"/>
          <w:lang w:bidi="ar-SA"/>
        </w:rPr>
        <w:t xml:space="preserve"> to be drawn</w:t>
      </w:r>
      <w:r w:rsidRPr="003861B4">
        <w:rPr>
          <w:rFonts w:eastAsiaTheme="minorHAnsi" w:cstheme="minorBidi"/>
          <w:szCs w:val="22"/>
          <w:lang w:bidi="ar-SA"/>
        </w:rPr>
        <w:t>.</w:t>
      </w:r>
    </w:p>
    <w:p w14:paraId="329A5D62" w14:textId="77777777" w:rsidR="00FB2FCE" w:rsidRDefault="00FB2FCE" w:rsidP="00A111E9">
      <w:pPr>
        <w:widowControl/>
        <w:rPr>
          <w:rFonts w:eastAsiaTheme="minorHAnsi" w:cstheme="minorBidi"/>
          <w:szCs w:val="22"/>
          <w:lang w:bidi="ar-SA"/>
        </w:rPr>
      </w:pPr>
    </w:p>
    <w:p w14:paraId="5B24C9FF" w14:textId="54042DA1" w:rsidR="000830C5" w:rsidRDefault="00F8101A" w:rsidP="000830C5">
      <w:pPr>
        <w:pStyle w:val="FSTableTitle"/>
        <w:rPr>
          <w:rFonts w:eastAsiaTheme="minorHAnsi"/>
        </w:rPr>
      </w:pPr>
      <w:r w:rsidRPr="00FB2FCE">
        <w:rPr>
          <w:rFonts w:eastAsiaTheme="minorHAnsi"/>
        </w:rPr>
        <w:t xml:space="preserve">Table </w:t>
      </w:r>
      <w:r w:rsidR="00FB2FCE">
        <w:rPr>
          <w:rFonts w:eastAsiaTheme="minorHAnsi"/>
        </w:rPr>
        <w:t xml:space="preserve">A1.11 </w:t>
      </w:r>
      <w:r>
        <w:rPr>
          <w:rFonts w:eastAsiaTheme="minorHAnsi"/>
        </w:rPr>
        <w:t xml:space="preserve">Mean birthweight of </w:t>
      </w:r>
      <w:r w:rsidR="00BE6D45">
        <w:rPr>
          <w:rFonts w:eastAsiaTheme="minorHAnsi"/>
          <w:lang w:bidi="ar-SA"/>
        </w:rPr>
        <w:t>live</w:t>
      </w:r>
      <w:r w:rsidR="003861B4">
        <w:rPr>
          <w:rFonts w:eastAsiaTheme="minorHAnsi"/>
          <w:lang w:bidi="ar-SA"/>
        </w:rPr>
        <w:t>-born</w:t>
      </w:r>
      <w:r w:rsidRPr="00FB2FCE">
        <w:rPr>
          <w:rFonts w:eastAsiaTheme="minorHAnsi"/>
        </w:rPr>
        <w:t xml:space="preserve"> Australian babies</w:t>
      </w:r>
    </w:p>
    <w:tbl>
      <w:tblPr>
        <w:tblW w:w="5000" w:type="pct"/>
        <w:tblCellMar>
          <w:left w:w="0" w:type="dxa"/>
          <w:right w:w="0" w:type="dxa"/>
        </w:tblCellMar>
        <w:tblLook w:val="0000" w:firstRow="0" w:lastRow="0" w:firstColumn="0" w:lastColumn="0" w:noHBand="0" w:noVBand="0"/>
      </w:tblPr>
      <w:tblGrid>
        <w:gridCol w:w="1841"/>
        <w:gridCol w:w="3677"/>
        <w:gridCol w:w="1473"/>
        <w:gridCol w:w="2239"/>
      </w:tblGrid>
      <w:tr w:rsidR="000830C5" w:rsidRPr="000830C5" w14:paraId="26280B70" w14:textId="77777777" w:rsidTr="000830C5">
        <w:trPr>
          <w:trHeight w:val="491"/>
          <w:tblHeader/>
        </w:trPr>
        <w:tc>
          <w:tcPr>
            <w:tcW w:w="997" w:type="pct"/>
            <w:tcBorders>
              <w:top w:val="single" w:sz="6" w:space="0" w:color="auto"/>
              <w:left w:val="single" w:sz="6" w:space="0" w:color="auto"/>
              <w:bottom w:val="single" w:sz="6" w:space="0" w:color="000000"/>
              <w:right w:val="single" w:sz="6" w:space="0" w:color="auto"/>
            </w:tcBorders>
            <w:shd w:val="clear" w:color="9BBC00" w:fill="D9D9D9" w:themeFill="background1" w:themeFillShade="D9"/>
            <w:tcMar>
              <w:top w:w="80" w:type="dxa"/>
              <w:left w:w="80" w:type="dxa"/>
              <w:bottom w:w="80" w:type="dxa"/>
              <w:right w:w="80" w:type="dxa"/>
            </w:tcMar>
          </w:tcPr>
          <w:p w14:paraId="1DAECCE1" w14:textId="047400FD" w:rsidR="000830C5" w:rsidRPr="000830C5" w:rsidRDefault="000830C5" w:rsidP="000830C5">
            <w:pPr>
              <w:suppressAutoHyphens/>
              <w:autoSpaceDE w:val="0"/>
              <w:autoSpaceDN w:val="0"/>
              <w:adjustRightInd w:val="0"/>
              <w:spacing w:after="170" w:line="200" w:lineRule="atLeast"/>
              <w:textAlignment w:val="center"/>
              <w:rPr>
                <w:rFonts w:eastAsiaTheme="minorHAnsi" w:cs="Arial"/>
                <w:b/>
                <w:bCs/>
                <w:sz w:val="18"/>
                <w:szCs w:val="18"/>
                <w:lang w:bidi="ar-SA"/>
              </w:rPr>
            </w:pPr>
            <w:r w:rsidRPr="000830C5">
              <w:rPr>
                <w:rFonts w:eastAsiaTheme="minorHAnsi" w:cs="Arial"/>
                <w:b/>
                <w:bCs/>
                <w:sz w:val="18"/>
                <w:szCs w:val="18"/>
                <w:lang w:bidi="ar-SA"/>
              </w:rPr>
              <w:t>Year(s) that data</w:t>
            </w:r>
            <w:r w:rsidRPr="000830C5">
              <w:rPr>
                <w:rFonts w:eastAsiaTheme="minorHAnsi" w:cs="Arial"/>
                <w:b/>
                <w:bCs/>
                <w:sz w:val="18"/>
                <w:szCs w:val="18"/>
                <w:lang w:bidi="ar-SA"/>
              </w:rPr>
              <w:br/>
              <w:t>refer to</w:t>
            </w:r>
          </w:p>
        </w:tc>
        <w:tc>
          <w:tcPr>
            <w:tcW w:w="1992" w:type="pct"/>
            <w:tcBorders>
              <w:top w:val="single" w:sz="6" w:space="0" w:color="auto"/>
              <w:left w:val="single" w:sz="6" w:space="0" w:color="auto"/>
              <w:bottom w:val="single" w:sz="6" w:space="0" w:color="000000"/>
              <w:right w:val="single" w:sz="6" w:space="0" w:color="auto"/>
            </w:tcBorders>
            <w:shd w:val="clear" w:color="9BBC00" w:fill="D9D9D9" w:themeFill="background1" w:themeFillShade="D9"/>
            <w:tcMar>
              <w:top w:w="80" w:type="dxa"/>
              <w:left w:w="80" w:type="dxa"/>
              <w:bottom w:w="80" w:type="dxa"/>
              <w:right w:w="80" w:type="dxa"/>
            </w:tcMar>
          </w:tcPr>
          <w:p w14:paraId="55F69171" w14:textId="77777777" w:rsidR="000830C5" w:rsidRPr="000830C5" w:rsidRDefault="000830C5" w:rsidP="000830C5">
            <w:pPr>
              <w:suppressAutoHyphens/>
              <w:autoSpaceDE w:val="0"/>
              <w:autoSpaceDN w:val="0"/>
              <w:adjustRightInd w:val="0"/>
              <w:spacing w:after="170" w:line="200" w:lineRule="atLeast"/>
              <w:textAlignment w:val="center"/>
              <w:rPr>
                <w:rFonts w:eastAsiaTheme="minorHAnsi" w:cs="Arial"/>
                <w:b/>
                <w:bCs/>
                <w:sz w:val="18"/>
                <w:szCs w:val="18"/>
                <w:lang w:bidi="ar-SA"/>
              </w:rPr>
            </w:pPr>
            <w:r w:rsidRPr="000830C5">
              <w:rPr>
                <w:rFonts w:eastAsiaTheme="minorHAnsi" w:cs="Arial"/>
                <w:b/>
                <w:bCs/>
                <w:sz w:val="18"/>
                <w:szCs w:val="18"/>
                <w:lang w:bidi="ar-SA"/>
              </w:rPr>
              <w:t>Group</w:t>
            </w:r>
          </w:p>
        </w:tc>
        <w:tc>
          <w:tcPr>
            <w:tcW w:w="798" w:type="pct"/>
            <w:tcBorders>
              <w:top w:val="single" w:sz="6" w:space="0" w:color="auto"/>
              <w:left w:val="single" w:sz="6" w:space="0" w:color="auto"/>
              <w:bottom w:val="single" w:sz="6" w:space="0" w:color="000000"/>
              <w:right w:val="single" w:sz="6" w:space="0" w:color="auto"/>
            </w:tcBorders>
            <w:shd w:val="clear" w:color="9BBC00" w:fill="D9D9D9" w:themeFill="background1" w:themeFillShade="D9"/>
            <w:tcMar>
              <w:top w:w="80" w:type="dxa"/>
              <w:left w:w="80" w:type="dxa"/>
              <w:bottom w:w="80" w:type="dxa"/>
              <w:right w:w="80" w:type="dxa"/>
            </w:tcMar>
          </w:tcPr>
          <w:p w14:paraId="6F3678FF" w14:textId="24E3397D" w:rsidR="000830C5" w:rsidRPr="000830C5" w:rsidRDefault="000830C5" w:rsidP="000830C5">
            <w:pPr>
              <w:suppressAutoHyphens/>
              <w:autoSpaceDE w:val="0"/>
              <w:autoSpaceDN w:val="0"/>
              <w:adjustRightInd w:val="0"/>
              <w:spacing w:after="170" w:line="200" w:lineRule="atLeast"/>
              <w:jc w:val="right"/>
              <w:textAlignment w:val="center"/>
              <w:rPr>
                <w:rFonts w:eastAsiaTheme="minorHAnsi" w:cs="Arial"/>
                <w:b/>
                <w:bCs/>
                <w:sz w:val="18"/>
                <w:szCs w:val="18"/>
                <w:lang w:bidi="ar-SA"/>
              </w:rPr>
            </w:pPr>
            <w:r w:rsidRPr="000830C5">
              <w:rPr>
                <w:rFonts w:eastAsiaTheme="minorHAnsi" w:cs="Arial"/>
                <w:b/>
                <w:bCs/>
                <w:sz w:val="18"/>
                <w:szCs w:val="18"/>
                <w:lang w:bidi="ar-SA"/>
              </w:rPr>
              <w:t>Mean</w:t>
            </w:r>
            <w:r w:rsidRPr="000830C5">
              <w:rPr>
                <w:rFonts w:eastAsiaTheme="minorHAnsi" w:cs="Arial"/>
                <w:b/>
                <w:bCs/>
                <w:sz w:val="18"/>
                <w:szCs w:val="18"/>
                <w:lang w:bidi="ar-SA"/>
              </w:rPr>
              <w:br/>
              <w:t>birthweight (g)</w:t>
            </w:r>
          </w:p>
        </w:tc>
        <w:tc>
          <w:tcPr>
            <w:tcW w:w="1213" w:type="pct"/>
            <w:tcBorders>
              <w:top w:val="single" w:sz="6" w:space="0" w:color="auto"/>
              <w:left w:val="single" w:sz="6" w:space="0" w:color="auto"/>
              <w:bottom w:val="single" w:sz="6" w:space="0" w:color="000000"/>
              <w:right w:val="single" w:sz="6" w:space="0" w:color="auto"/>
            </w:tcBorders>
            <w:shd w:val="clear" w:color="9BBC00" w:fill="D9D9D9" w:themeFill="background1" w:themeFillShade="D9"/>
            <w:tcMar>
              <w:top w:w="80" w:type="dxa"/>
              <w:left w:w="80" w:type="dxa"/>
              <w:bottom w:w="80" w:type="dxa"/>
              <w:right w:w="80" w:type="dxa"/>
            </w:tcMar>
          </w:tcPr>
          <w:p w14:paraId="17CCC82C" w14:textId="77777777" w:rsidR="000830C5" w:rsidRPr="000830C5" w:rsidRDefault="000830C5" w:rsidP="000830C5">
            <w:pPr>
              <w:suppressAutoHyphens/>
              <w:autoSpaceDE w:val="0"/>
              <w:autoSpaceDN w:val="0"/>
              <w:adjustRightInd w:val="0"/>
              <w:spacing w:after="170" w:line="200" w:lineRule="atLeast"/>
              <w:jc w:val="right"/>
              <w:textAlignment w:val="center"/>
              <w:rPr>
                <w:rFonts w:eastAsiaTheme="minorHAnsi" w:cs="Arial"/>
                <w:b/>
                <w:bCs/>
                <w:sz w:val="18"/>
                <w:szCs w:val="18"/>
                <w:lang w:bidi="ar-SA"/>
              </w:rPr>
            </w:pPr>
            <w:r w:rsidRPr="000830C5">
              <w:rPr>
                <w:rFonts w:eastAsiaTheme="minorHAnsi" w:cs="Arial"/>
                <w:b/>
                <w:bCs/>
                <w:sz w:val="18"/>
                <w:szCs w:val="18"/>
                <w:lang w:bidi="ar-SA"/>
              </w:rPr>
              <w:t>Reference</w:t>
            </w:r>
          </w:p>
        </w:tc>
      </w:tr>
      <w:tr w:rsidR="000830C5" w:rsidRPr="000830C5" w14:paraId="772AA34E" w14:textId="77777777" w:rsidTr="000830C5">
        <w:trPr>
          <w:trHeight w:val="60"/>
        </w:trPr>
        <w:tc>
          <w:tcPr>
            <w:tcW w:w="997" w:type="pct"/>
            <w:tcBorders>
              <w:top w:val="single" w:sz="6" w:space="0" w:color="000000"/>
              <w:left w:val="single" w:sz="6" w:space="0" w:color="auto"/>
              <w:bottom w:val="single" w:sz="2" w:space="0" w:color="000000"/>
              <w:right w:val="single" w:sz="6" w:space="0" w:color="auto"/>
            </w:tcBorders>
            <w:tcMar>
              <w:top w:w="80" w:type="dxa"/>
              <w:left w:w="80" w:type="dxa"/>
              <w:bottom w:w="80" w:type="dxa"/>
              <w:right w:w="80" w:type="dxa"/>
            </w:tcMar>
          </w:tcPr>
          <w:p w14:paraId="694B9E27" w14:textId="77777777" w:rsidR="000830C5" w:rsidRPr="000830C5" w:rsidRDefault="000830C5" w:rsidP="000830C5">
            <w:pPr>
              <w:suppressAutoHyphens/>
              <w:autoSpaceDE w:val="0"/>
              <w:autoSpaceDN w:val="0"/>
              <w:adjustRightInd w:val="0"/>
              <w:spacing w:after="28" w:line="200" w:lineRule="atLeast"/>
              <w:textAlignment w:val="center"/>
              <w:rPr>
                <w:rFonts w:eastAsiaTheme="minorHAnsi" w:cs="Arial"/>
                <w:color w:val="000000"/>
                <w:sz w:val="18"/>
                <w:szCs w:val="18"/>
                <w:lang w:bidi="ar-SA"/>
              </w:rPr>
            </w:pPr>
            <w:r w:rsidRPr="000830C5">
              <w:rPr>
                <w:rFonts w:eastAsiaTheme="minorHAnsi" w:cs="Arial"/>
                <w:color w:val="000000"/>
                <w:sz w:val="18"/>
                <w:szCs w:val="18"/>
                <w:lang w:bidi="ar-SA"/>
              </w:rPr>
              <w:t>2012</w:t>
            </w:r>
          </w:p>
        </w:tc>
        <w:tc>
          <w:tcPr>
            <w:tcW w:w="1992" w:type="pct"/>
            <w:tcBorders>
              <w:top w:val="single" w:sz="6" w:space="0" w:color="000000"/>
              <w:left w:val="single" w:sz="6" w:space="0" w:color="auto"/>
              <w:bottom w:val="single" w:sz="2" w:space="0" w:color="000000"/>
              <w:right w:val="single" w:sz="6" w:space="0" w:color="auto"/>
            </w:tcBorders>
            <w:tcMar>
              <w:top w:w="80" w:type="dxa"/>
              <w:left w:w="80" w:type="dxa"/>
              <w:bottom w:w="80" w:type="dxa"/>
              <w:right w:w="80" w:type="dxa"/>
            </w:tcMar>
          </w:tcPr>
          <w:p w14:paraId="14FF2F8A" w14:textId="77777777" w:rsidR="000830C5" w:rsidRPr="000830C5" w:rsidRDefault="000830C5" w:rsidP="000830C5">
            <w:pPr>
              <w:suppressAutoHyphens/>
              <w:autoSpaceDE w:val="0"/>
              <w:autoSpaceDN w:val="0"/>
              <w:adjustRightInd w:val="0"/>
              <w:spacing w:after="28" w:line="200" w:lineRule="atLeast"/>
              <w:textAlignment w:val="center"/>
              <w:rPr>
                <w:rFonts w:eastAsiaTheme="minorHAnsi" w:cs="Arial"/>
                <w:color w:val="000000"/>
                <w:sz w:val="18"/>
                <w:szCs w:val="18"/>
                <w:lang w:bidi="ar-SA"/>
              </w:rPr>
            </w:pPr>
            <w:r w:rsidRPr="000830C5">
              <w:rPr>
                <w:rFonts w:eastAsiaTheme="minorHAnsi" w:cs="Arial"/>
                <w:color w:val="000000"/>
                <w:sz w:val="18"/>
                <w:szCs w:val="18"/>
                <w:lang w:bidi="ar-SA"/>
              </w:rPr>
              <w:t>All live births</w:t>
            </w:r>
          </w:p>
        </w:tc>
        <w:tc>
          <w:tcPr>
            <w:tcW w:w="798" w:type="pct"/>
            <w:tcBorders>
              <w:top w:val="single" w:sz="6" w:space="0" w:color="000000"/>
              <w:left w:val="single" w:sz="6" w:space="0" w:color="auto"/>
              <w:bottom w:val="single" w:sz="2" w:space="0" w:color="000000"/>
              <w:right w:val="single" w:sz="6" w:space="0" w:color="auto"/>
            </w:tcBorders>
            <w:tcMar>
              <w:top w:w="80" w:type="dxa"/>
              <w:left w:w="80" w:type="dxa"/>
              <w:bottom w:w="80" w:type="dxa"/>
              <w:right w:w="80" w:type="dxa"/>
            </w:tcMar>
          </w:tcPr>
          <w:p w14:paraId="1CCF6DCB" w14:textId="77777777" w:rsidR="000830C5" w:rsidRPr="000830C5" w:rsidRDefault="000830C5" w:rsidP="000830C5">
            <w:pPr>
              <w:suppressAutoHyphens/>
              <w:autoSpaceDE w:val="0"/>
              <w:autoSpaceDN w:val="0"/>
              <w:adjustRightInd w:val="0"/>
              <w:spacing w:after="28" w:line="200" w:lineRule="atLeast"/>
              <w:jc w:val="right"/>
              <w:textAlignment w:val="center"/>
              <w:rPr>
                <w:rFonts w:eastAsiaTheme="minorHAnsi" w:cs="Arial"/>
                <w:color w:val="000000"/>
                <w:sz w:val="18"/>
                <w:szCs w:val="18"/>
                <w:lang w:bidi="ar-SA"/>
              </w:rPr>
            </w:pPr>
            <w:r w:rsidRPr="000830C5">
              <w:rPr>
                <w:rFonts w:eastAsiaTheme="minorHAnsi" w:cs="Arial"/>
                <w:color w:val="000000"/>
                <w:sz w:val="18"/>
                <w:szCs w:val="18"/>
                <w:lang w:bidi="ar-SA"/>
              </w:rPr>
              <w:t>3367</w:t>
            </w:r>
          </w:p>
        </w:tc>
        <w:tc>
          <w:tcPr>
            <w:tcW w:w="1213" w:type="pct"/>
            <w:tcBorders>
              <w:top w:val="single" w:sz="6" w:space="0" w:color="000000"/>
              <w:left w:val="single" w:sz="6" w:space="0" w:color="auto"/>
              <w:bottom w:val="single" w:sz="2" w:space="0" w:color="000000"/>
              <w:right w:val="single" w:sz="6" w:space="0" w:color="auto"/>
            </w:tcBorders>
            <w:tcMar>
              <w:top w:w="80" w:type="dxa"/>
              <w:left w:w="80" w:type="dxa"/>
              <w:bottom w:w="80" w:type="dxa"/>
              <w:right w:w="80" w:type="dxa"/>
            </w:tcMar>
          </w:tcPr>
          <w:p w14:paraId="5CB3C21C" w14:textId="5E2BC230" w:rsidR="000830C5" w:rsidRPr="000830C5" w:rsidRDefault="000830C5" w:rsidP="000830C5">
            <w:pPr>
              <w:suppressAutoHyphens/>
              <w:autoSpaceDE w:val="0"/>
              <w:autoSpaceDN w:val="0"/>
              <w:adjustRightInd w:val="0"/>
              <w:spacing w:after="28" w:line="200" w:lineRule="atLeast"/>
              <w:jc w:val="right"/>
              <w:textAlignment w:val="center"/>
              <w:rPr>
                <w:rFonts w:eastAsiaTheme="minorHAnsi" w:cs="Arial"/>
                <w:color w:val="000000"/>
                <w:sz w:val="18"/>
                <w:szCs w:val="18"/>
                <w:lang w:bidi="ar-SA"/>
              </w:rPr>
            </w:pPr>
            <w:r w:rsidRPr="000830C5">
              <w:rPr>
                <w:rFonts w:eastAsiaTheme="minorHAnsi" w:cs="Arial"/>
                <w:color w:val="000000"/>
                <w:sz w:val="18"/>
                <w:szCs w:val="18"/>
                <w:lang w:bidi="ar-SA"/>
              </w:rPr>
              <w:t xml:space="preserve">Hilder </w:t>
            </w:r>
            <w:r w:rsidR="00180A32" w:rsidRPr="00180A32">
              <w:rPr>
                <w:rFonts w:eastAsiaTheme="minorHAnsi" w:cs="Arial"/>
                <w:i/>
                <w:iCs/>
                <w:color w:val="000000"/>
                <w:sz w:val="18"/>
                <w:szCs w:val="18"/>
                <w:lang w:bidi="ar-SA"/>
              </w:rPr>
              <w:t xml:space="preserve">et al. </w:t>
            </w:r>
            <w:r w:rsidRPr="000830C5">
              <w:rPr>
                <w:rFonts w:eastAsiaTheme="minorHAnsi" w:cs="Arial"/>
                <w:color w:val="000000"/>
                <w:sz w:val="18"/>
                <w:szCs w:val="18"/>
                <w:lang w:bidi="ar-SA"/>
              </w:rPr>
              <w:t xml:space="preserve"> 2014</w:t>
            </w:r>
          </w:p>
        </w:tc>
      </w:tr>
      <w:tr w:rsidR="000830C5" w:rsidRPr="000830C5" w14:paraId="7CE8EF5B" w14:textId="77777777" w:rsidTr="000830C5">
        <w:trPr>
          <w:trHeight w:val="60"/>
        </w:trPr>
        <w:tc>
          <w:tcPr>
            <w:tcW w:w="997"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31830A54" w14:textId="77777777" w:rsidR="000830C5" w:rsidRPr="000830C5" w:rsidRDefault="000830C5" w:rsidP="000830C5">
            <w:pPr>
              <w:autoSpaceDE w:val="0"/>
              <w:autoSpaceDN w:val="0"/>
              <w:adjustRightInd w:val="0"/>
              <w:rPr>
                <w:rFonts w:eastAsiaTheme="minorHAnsi" w:cs="Arial"/>
                <w:sz w:val="18"/>
                <w:szCs w:val="18"/>
                <w:lang w:val="en-US" w:bidi="ar-SA"/>
              </w:rPr>
            </w:pPr>
          </w:p>
        </w:tc>
        <w:tc>
          <w:tcPr>
            <w:tcW w:w="1992"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0B300C70" w14:textId="644E76EE" w:rsidR="000830C5" w:rsidRPr="000830C5" w:rsidRDefault="000830C5" w:rsidP="000830C5">
            <w:pPr>
              <w:suppressAutoHyphens/>
              <w:autoSpaceDE w:val="0"/>
              <w:autoSpaceDN w:val="0"/>
              <w:adjustRightInd w:val="0"/>
              <w:spacing w:after="28" w:line="200" w:lineRule="atLeast"/>
              <w:ind w:left="170"/>
              <w:textAlignment w:val="center"/>
              <w:rPr>
                <w:rFonts w:eastAsiaTheme="minorHAnsi" w:cs="Arial"/>
                <w:color w:val="000000"/>
                <w:sz w:val="18"/>
                <w:szCs w:val="18"/>
                <w:lang w:bidi="ar-SA"/>
              </w:rPr>
            </w:pPr>
            <w:r w:rsidRPr="000830C5">
              <w:rPr>
                <w:rFonts w:eastAsiaTheme="minorHAnsi" w:cs="Arial"/>
                <w:color w:val="000000"/>
                <w:sz w:val="18"/>
                <w:szCs w:val="18"/>
                <w:lang w:bidi="ar-SA"/>
              </w:rPr>
              <w:t>Live births by plurality</w:t>
            </w:r>
          </w:p>
        </w:tc>
        <w:tc>
          <w:tcPr>
            <w:tcW w:w="798"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4D59E8F2" w14:textId="77777777" w:rsidR="000830C5" w:rsidRPr="000830C5" w:rsidRDefault="000830C5" w:rsidP="000830C5">
            <w:pPr>
              <w:suppressAutoHyphens/>
              <w:autoSpaceDE w:val="0"/>
              <w:autoSpaceDN w:val="0"/>
              <w:adjustRightInd w:val="0"/>
              <w:spacing w:after="28" w:line="200" w:lineRule="atLeast"/>
              <w:jc w:val="right"/>
              <w:textAlignment w:val="center"/>
              <w:rPr>
                <w:rFonts w:eastAsiaTheme="minorHAnsi" w:cs="Arial"/>
                <w:color w:val="000000"/>
                <w:sz w:val="18"/>
                <w:szCs w:val="18"/>
                <w:lang w:bidi="ar-SA"/>
              </w:rPr>
            </w:pPr>
          </w:p>
        </w:tc>
        <w:tc>
          <w:tcPr>
            <w:tcW w:w="1213"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0D4A77F7" w14:textId="77777777" w:rsidR="000830C5" w:rsidRPr="000830C5" w:rsidRDefault="000830C5" w:rsidP="000830C5">
            <w:pPr>
              <w:autoSpaceDE w:val="0"/>
              <w:autoSpaceDN w:val="0"/>
              <w:adjustRightInd w:val="0"/>
              <w:jc w:val="right"/>
              <w:rPr>
                <w:rFonts w:eastAsiaTheme="minorHAnsi" w:cs="Arial"/>
                <w:sz w:val="18"/>
                <w:szCs w:val="18"/>
                <w:lang w:val="en-US" w:bidi="ar-SA"/>
              </w:rPr>
            </w:pPr>
          </w:p>
        </w:tc>
      </w:tr>
      <w:tr w:rsidR="000830C5" w:rsidRPr="000830C5" w14:paraId="65DE4F6A" w14:textId="77777777" w:rsidTr="000830C5">
        <w:trPr>
          <w:trHeight w:val="60"/>
        </w:trPr>
        <w:tc>
          <w:tcPr>
            <w:tcW w:w="997"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1DC64751" w14:textId="77777777" w:rsidR="000830C5" w:rsidRPr="000830C5" w:rsidRDefault="000830C5" w:rsidP="000830C5">
            <w:pPr>
              <w:autoSpaceDE w:val="0"/>
              <w:autoSpaceDN w:val="0"/>
              <w:adjustRightInd w:val="0"/>
              <w:rPr>
                <w:rFonts w:eastAsiaTheme="minorHAnsi" w:cs="Arial"/>
                <w:sz w:val="18"/>
                <w:szCs w:val="18"/>
                <w:lang w:val="en-US" w:bidi="ar-SA"/>
              </w:rPr>
            </w:pPr>
          </w:p>
        </w:tc>
        <w:tc>
          <w:tcPr>
            <w:tcW w:w="1992"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5AAABA67" w14:textId="77777777" w:rsidR="000830C5" w:rsidRPr="000830C5" w:rsidRDefault="000830C5" w:rsidP="000830C5">
            <w:pPr>
              <w:suppressAutoHyphens/>
              <w:autoSpaceDE w:val="0"/>
              <w:autoSpaceDN w:val="0"/>
              <w:adjustRightInd w:val="0"/>
              <w:spacing w:after="28" w:line="200" w:lineRule="atLeast"/>
              <w:ind w:left="170"/>
              <w:textAlignment w:val="center"/>
              <w:rPr>
                <w:rFonts w:eastAsiaTheme="minorHAnsi" w:cs="Arial"/>
                <w:color w:val="000000"/>
                <w:sz w:val="18"/>
                <w:szCs w:val="18"/>
                <w:lang w:bidi="ar-SA"/>
              </w:rPr>
            </w:pPr>
            <w:r w:rsidRPr="000830C5">
              <w:rPr>
                <w:rFonts w:eastAsiaTheme="minorHAnsi" w:cs="Arial"/>
                <w:color w:val="000000"/>
                <w:sz w:val="18"/>
                <w:szCs w:val="18"/>
                <w:lang w:bidi="ar-SA"/>
              </w:rPr>
              <w:t>Singletons</w:t>
            </w:r>
          </w:p>
        </w:tc>
        <w:tc>
          <w:tcPr>
            <w:tcW w:w="798"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62BDE24C" w14:textId="77777777" w:rsidR="000830C5" w:rsidRPr="000830C5" w:rsidRDefault="000830C5" w:rsidP="000830C5">
            <w:pPr>
              <w:suppressAutoHyphens/>
              <w:autoSpaceDE w:val="0"/>
              <w:autoSpaceDN w:val="0"/>
              <w:adjustRightInd w:val="0"/>
              <w:spacing w:after="28" w:line="200" w:lineRule="atLeast"/>
              <w:jc w:val="right"/>
              <w:textAlignment w:val="center"/>
              <w:rPr>
                <w:rFonts w:eastAsiaTheme="minorHAnsi" w:cs="Arial"/>
                <w:color w:val="000000"/>
                <w:sz w:val="18"/>
                <w:szCs w:val="18"/>
                <w:lang w:bidi="ar-SA"/>
              </w:rPr>
            </w:pPr>
            <w:r w:rsidRPr="000830C5">
              <w:rPr>
                <w:rFonts w:eastAsiaTheme="minorHAnsi" w:cs="Arial"/>
                <w:color w:val="000000"/>
                <w:sz w:val="18"/>
                <w:szCs w:val="18"/>
                <w:lang w:bidi="ar-SA"/>
              </w:rPr>
              <w:t>3397</w:t>
            </w:r>
          </w:p>
        </w:tc>
        <w:tc>
          <w:tcPr>
            <w:tcW w:w="1213"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299F787E" w14:textId="77777777" w:rsidR="000830C5" w:rsidRPr="000830C5" w:rsidRDefault="000830C5" w:rsidP="000830C5">
            <w:pPr>
              <w:autoSpaceDE w:val="0"/>
              <w:autoSpaceDN w:val="0"/>
              <w:adjustRightInd w:val="0"/>
              <w:jc w:val="right"/>
              <w:rPr>
                <w:rFonts w:eastAsiaTheme="minorHAnsi" w:cs="Arial"/>
                <w:sz w:val="18"/>
                <w:szCs w:val="18"/>
                <w:lang w:val="en-US" w:bidi="ar-SA"/>
              </w:rPr>
            </w:pPr>
          </w:p>
        </w:tc>
      </w:tr>
      <w:tr w:rsidR="000830C5" w:rsidRPr="000830C5" w14:paraId="4CEE0697" w14:textId="77777777" w:rsidTr="000830C5">
        <w:trPr>
          <w:trHeight w:val="60"/>
        </w:trPr>
        <w:tc>
          <w:tcPr>
            <w:tcW w:w="997"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1C9986F4" w14:textId="77777777" w:rsidR="000830C5" w:rsidRPr="000830C5" w:rsidRDefault="000830C5" w:rsidP="000830C5">
            <w:pPr>
              <w:autoSpaceDE w:val="0"/>
              <w:autoSpaceDN w:val="0"/>
              <w:adjustRightInd w:val="0"/>
              <w:rPr>
                <w:rFonts w:eastAsiaTheme="minorHAnsi" w:cs="Arial"/>
                <w:sz w:val="18"/>
                <w:szCs w:val="18"/>
                <w:lang w:val="en-US" w:bidi="ar-SA"/>
              </w:rPr>
            </w:pPr>
          </w:p>
        </w:tc>
        <w:tc>
          <w:tcPr>
            <w:tcW w:w="1992"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48DAF244" w14:textId="77777777" w:rsidR="000830C5" w:rsidRPr="000830C5" w:rsidRDefault="000830C5" w:rsidP="000830C5">
            <w:pPr>
              <w:suppressAutoHyphens/>
              <w:autoSpaceDE w:val="0"/>
              <w:autoSpaceDN w:val="0"/>
              <w:adjustRightInd w:val="0"/>
              <w:spacing w:after="28" w:line="200" w:lineRule="atLeast"/>
              <w:ind w:left="170"/>
              <w:textAlignment w:val="center"/>
              <w:rPr>
                <w:rFonts w:eastAsiaTheme="minorHAnsi" w:cs="Arial"/>
                <w:color w:val="000000"/>
                <w:sz w:val="18"/>
                <w:szCs w:val="18"/>
                <w:lang w:bidi="ar-SA"/>
              </w:rPr>
            </w:pPr>
            <w:r w:rsidRPr="000830C5">
              <w:rPr>
                <w:rFonts w:eastAsiaTheme="minorHAnsi" w:cs="Arial"/>
                <w:color w:val="000000"/>
                <w:sz w:val="18"/>
                <w:szCs w:val="18"/>
                <w:lang w:bidi="ar-SA"/>
              </w:rPr>
              <w:t>Twins</w:t>
            </w:r>
          </w:p>
        </w:tc>
        <w:tc>
          <w:tcPr>
            <w:tcW w:w="798"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128CFA51" w14:textId="77777777" w:rsidR="000830C5" w:rsidRPr="000830C5" w:rsidRDefault="000830C5" w:rsidP="000830C5">
            <w:pPr>
              <w:suppressAutoHyphens/>
              <w:autoSpaceDE w:val="0"/>
              <w:autoSpaceDN w:val="0"/>
              <w:adjustRightInd w:val="0"/>
              <w:spacing w:after="28" w:line="200" w:lineRule="atLeast"/>
              <w:jc w:val="right"/>
              <w:textAlignment w:val="center"/>
              <w:rPr>
                <w:rFonts w:eastAsiaTheme="minorHAnsi" w:cs="Arial"/>
                <w:color w:val="000000"/>
                <w:sz w:val="18"/>
                <w:szCs w:val="18"/>
                <w:lang w:bidi="ar-SA"/>
              </w:rPr>
            </w:pPr>
            <w:r w:rsidRPr="000830C5">
              <w:rPr>
                <w:rFonts w:eastAsiaTheme="minorHAnsi" w:cs="Arial"/>
                <w:color w:val="000000"/>
                <w:sz w:val="18"/>
                <w:szCs w:val="18"/>
                <w:lang w:bidi="ar-SA"/>
              </w:rPr>
              <w:t>2379</w:t>
            </w:r>
          </w:p>
        </w:tc>
        <w:tc>
          <w:tcPr>
            <w:tcW w:w="1213"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456BA036" w14:textId="77777777" w:rsidR="000830C5" w:rsidRPr="000830C5" w:rsidRDefault="000830C5" w:rsidP="000830C5">
            <w:pPr>
              <w:autoSpaceDE w:val="0"/>
              <w:autoSpaceDN w:val="0"/>
              <w:adjustRightInd w:val="0"/>
              <w:jc w:val="right"/>
              <w:rPr>
                <w:rFonts w:eastAsiaTheme="minorHAnsi" w:cs="Arial"/>
                <w:sz w:val="18"/>
                <w:szCs w:val="18"/>
                <w:lang w:val="en-US" w:bidi="ar-SA"/>
              </w:rPr>
            </w:pPr>
          </w:p>
        </w:tc>
      </w:tr>
      <w:tr w:rsidR="000830C5" w:rsidRPr="000830C5" w14:paraId="7B2E24E2" w14:textId="77777777" w:rsidTr="000830C5">
        <w:trPr>
          <w:trHeight w:val="60"/>
        </w:trPr>
        <w:tc>
          <w:tcPr>
            <w:tcW w:w="997"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627FB9ED" w14:textId="77777777" w:rsidR="000830C5" w:rsidRPr="000830C5" w:rsidRDefault="000830C5" w:rsidP="000830C5">
            <w:pPr>
              <w:autoSpaceDE w:val="0"/>
              <w:autoSpaceDN w:val="0"/>
              <w:adjustRightInd w:val="0"/>
              <w:rPr>
                <w:rFonts w:eastAsiaTheme="minorHAnsi" w:cs="Arial"/>
                <w:sz w:val="18"/>
                <w:szCs w:val="18"/>
                <w:lang w:val="en-US" w:bidi="ar-SA"/>
              </w:rPr>
            </w:pPr>
          </w:p>
        </w:tc>
        <w:tc>
          <w:tcPr>
            <w:tcW w:w="1992"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590CA897" w14:textId="77777777" w:rsidR="000830C5" w:rsidRPr="000830C5" w:rsidRDefault="000830C5" w:rsidP="000830C5">
            <w:pPr>
              <w:suppressAutoHyphens/>
              <w:autoSpaceDE w:val="0"/>
              <w:autoSpaceDN w:val="0"/>
              <w:adjustRightInd w:val="0"/>
              <w:spacing w:after="28" w:line="200" w:lineRule="atLeast"/>
              <w:ind w:left="170"/>
              <w:textAlignment w:val="center"/>
              <w:rPr>
                <w:rFonts w:eastAsiaTheme="minorHAnsi" w:cs="Arial"/>
                <w:color w:val="000000"/>
                <w:sz w:val="18"/>
                <w:szCs w:val="18"/>
                <w:lang w:bidi="ar-SA"/>
              </w:rPr>
            </w:pPr>
            <w:r w:rsidRPr="000830C5">
              <w:rPr>
                <w:rFonts w:eastAsiaTheme="minorHAnsi" w:cs="Arial"/>
                <w:color w:val="000000"/>
                <w:sz w:val="18"/>
                <w:szCs w:val="18"/>
                <w:lang w:bidi="ar-SA"/>
              </w:rPr>
              <w:t>Other multiple births</w:t>
            </w:r>
          </w:p>
        </w:tc>
        <w:tc>
          <w:tcPr>
            <w:tcW w:w="798"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55AC8D7C" w14:textId="77777777" w:rsidR="000830C5" w:rsidRPr="000830C5" w:rsidRDefault="000830C5" w:rsidP="000830C5">
            <w:pPr>
              <w:suppressAutoHyphens/>
              <w:autoSpaceDE w:val="0"/>
              <w:autoSpaceDN w:val="0"/>
              <w:adjustRightInd w:val="0"/>
              <w:spacing w:after="28" w:line="200" w:lineRule="atLeast"/>
              <w:jc w:val="right"/>
              <w:textAlignment w:val="center"/>
              <w:rPr>
                <w:rFonts w:eastAsiaTheme="minorHAnsi" w:cs="Arial"/>
                <w:color w:val="000000"/>
                <w:sz w:val="18"/>
                <w:szCs w:val="18"/>
                <w:lang w:bidi="ar-SA"/>
              </w:rPr>
            </w:pPr>
            <w:r w:rsidRPr="000830C5">
              <w:rPr>
                <w:rFonts w:eastAsiaTheme="minorHAnsi" w:cs="Arial"/>
                <w:color w:val="000000"/>
                <w:sz w:val="18"/>
                <w:szCs w:val="18"/>
                <w:lang w:bidi="ar-SA"/>
              </w:rPr>
              <w:t>1633</w:t>
            </w:r>
          </w:p>
        </w:tc>
        <w:tc>
          <w:tcPr>
            <w:tcW w:w="1213"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57BCA5B6" w14:textId="77777777" w:rsidR="000830C5" w:rsidRPr="000830C5" w:rsidRDefault="000830C5" w:rsidP="000830C5">
            <w:pPr>
              <w:autoSpaceDE w:val="0"/>
              <w:autoSpaceDN w:val="0"/>
              <w:adjustRightInd w:val="0"/>
              <w:jc w:val="right"/>
              <w:rPr>
                <w:rFonts w:eastAsiaTheme="minorHAnsi" w:cs="Arial"/>
                <w:sz w:val="18"/>
                <w:szCs w:val="18"/>
                <w:lang w:val="en-US" w:bidi="ar-SA"/>
              </w:rPr>
            </w:pPr>
          </w:p>
        </w:tc>
      </w:tr>
      <w:tr w:rsidR="000830C5" w:rsidRPr="000830C5" w14:paraId="313D18EF" w14:textId="77777777" w:rsidTr="000830C5">
        <w:trPr>
          <w:trHeight w:val="60"/>
        </w:trPr>
        <w:tc>
          <w:tcPr>
            <w:tcW w:w="997"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3449F647" w14:textId="77777777" w:rsidR="000830C5" w:rsidRPr="000830C5" w:rsidRDefault="000830C5" w:rsidP="000830C5">
            <w:pPr>
              <w:suppressAutoHyphens/>
              <w:autoSpaceDE w:val="0"/>
              <w:autoSpaceDN w:val="0"/>
              <w:adjustRightInd w:val="0"/>
              <w:spacing w:after="28" w:line="200" w:lineRule="atLeast"/>
              <w:textAlignment w:val="center"/>
              <w:rPr>
                <w:rFonts w:eastAsiaTheme="minorHAnsi" w:cs="Arial"/>
                <w:color w:val="000000"/>
                <w:sz w:val="18"/>
                <w:szCs w:val="18"/>
                <w:lang w:bidi="ar-SA"/>
              </w:rPr>
            </w:pPr>
            <w:r w:rsidRPr="000830C5">
              <w:rPr>
                <w:rFonts w:eastAsiaTheme="minorHAnsi" w:cs="Arial"/>
                <w:color w:val="000000"/>
                <w:sz w:val="18"/>
                <w:szCs w:val="18"/>
                <w:lang w:bidi="ar-SA"/>
              </w:rPr>
              <w:t>1998-2007</w:t>
            </w:r>
          </w:p>
        </w:tc>
        <w:tc>
          <w:tcPr>
            <w:tcW w:w="1992"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1479C528" w14:textId="77777777" w:rsidR="000830C5" w:rsidRPr="000830C5" w:rsidRDefault="000830C5" w:rsidP="000830C5">
            <w:pPr>
              <w:suppressAutoHyphens/>
              <w:autoSpaceDE w:val="0"/>
              <w:autoSpaceDN w:val="0"/>
              <w:adjustRightInd w:val="0"/>
              <w:spacing w:after="28" w:line="200" w:lineRule="atLeast"/>
              <w:textAlignment w:val="center"/>
              <w:rPr>
                <w:rFonts w:eastAsiaTheme="minorHAnsi" w:cs="Arial"/>
                <w:color w:val="000000"/>
                <w:sz w:val="18"/>
                <w:szCs w:val="18"/>
                <w:lang w:bidi="ar-SA"/>
              </w:rPr>
            </w:pPr>
            <w:r w:rsidRPr="000830C5">
              <w:rPr>
                <w:rFonts w:eastAsiaTheme="minorHAnsi" w:cs="Arial"/>
                <w:color w:val="000000"/>
                <w:sz w:val="18"/>
                <w:szCs w:val="18"/>
                <w:lang w:bidi="ar-SA"/>
              </w:rPr>
              <w:t>Live-born singletons by sex and gestation</w:t>
            </w:r>
          </w:p>
        </w:tc>
        <w:tc>
          <w:tcPr>
            <w:tcW w:w="798"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1E8D4E53" w14:textId="77777777" w:rsidR="000830C5" w:rsidRPr="000830C5" w:rsidRDefault="000830C5" w:rsidP="000830C5">
            <w:pPr>
              <w:autoSpaceDE w:val="0"/>
              <w:autoSpaceDN w:val="0"/>
              <w:adjustRightInd w:val="0"/>
              <w:jc w:val="right"/>
              <w:rPr>
                <w:rFonts w:eastAsiaTheme="minorHAnsi" w:cs="Arial"/>
                <w:sz w:val="18"/>
                <w:szCs w:val="18"/>
                <w:lang w:val="en-US" w:bidi="ar-SA"/>
              </w:rPr>
            </w:pPr>
          </w:p>
        </w:tc>
        <w:tc>
          <w:tcPr>
            <w:tcW w:w="1213"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2E0281DF" w14:textId="680CA129" w:rsidR="000830C5" w:rsidRPr="000830C5" w:rsidRDefault="000830C5" w:rsidP="000830C5">
            <w:pPr>
              <w:suppressAutoHyphens/>
              <w:autoSpaceDE w:val="0"/>
              <w:autoSpaceDN w:val="0"/>
              <w:adjustRightInd w:val="0"/>
              <w:spacing w:after="28" w:line="200" w:lineRule="atLeast"/>
              <w:jc w:val="right"/>
              <w:textAlignment w:val="center"/>
              <w:rPr>
                <w:rFonts w:eastAsiaTheme="minorHAnsi" w:cs="Arial"/>
                <w:color w:val="000000"/>
                <w:sz w:val="18"/>
                <w:szCs w:val="18"/>
                <w:lang w:bidi="ar-SA"/>
              </w:rPr>
            </w:pPr>
            <w:r w:rsidRPr="000830C5">
              <w:rPr>
                <w:rFonts w:eastAsiaTheme="minorHAnsi" w:cs="Arial"/>
                <w:color w:val="000000"/>
                <w:sz w:val="18"/>
                <w:szCs w:val="18"/>
                <w:lang w:bidi="ar-SA"/>
              </w:rPr>
              <w:t xml:space="preserve">Dobbins </w:t>
            </w:r>
            <w:r w:rsidR="00180A32" w:rsidRPr="00180A32">
              <w:rPr>
                <w:rFonts w:eastAsiaTheme="minorHAnsi" w:cs="Arial"/>
                <w:i/>
                <w:iCs/>
                <w:color w:val="000000"/>
                <w:sz w:val="18"/>
                <w:szCs w:val="18"/>
                <w:lang w:bidi="ar-SA"/>
              </w:rPr>
              <w:t xml:space="preserve">et al. </w:t>
            </w:r>
            <w:r w:rsidRPr="000830C5">
              <w:rPr>
                <w:rFonts w:eastAsiaTheme="minorHAnsi" w:cs="Arial"/>
                <w:color w:val="000000"/>
                <w:sz w:val="18"/>
                <w:szCs w:val="18"/>
                <w:lang w:bidi="ar-SA"/>
              </w:rPr>
              <w:t>. 2012</w:t>
            </w:r>
          </w:p>
        </w:tc>
      </w:tr>
      <w:tr w:rsidR="000830C5" w:rsidRPr="000830C5" w14:paraId="0C7349F6" w14:textId="77777777" w:rsidTr="000830C5">
        <w:trPr>
          <w:trHeight w:val="60"/>
        </w:trPr>
        <w:tc>
          <w:tcPr>
            <w:tcW w:w="997"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0FF26943" w14:textId="77777777" w:rsidR="000830C5" w:rsidRPr="000830C5" w:rsidRDefault="000830C5" w:rsidP="000830C5">
            <w:pPr>
              <w:autoSpaceDE w:val="0"/>
              <w:autoSpaceDN w:val="0"/>
              <w:adjustRightInd w:val="0"/>
              <w:rPr>
                <w:rFonts w:eastAsiaTheme="minorHAnsi" w:cs="Arial"/>
                <w:sz w:val="18"/>
                <w:szCs w:val="18"/>
                <w:lang w:val="en-US" w:bidi="ar-SA"/>
              </w:rPr>
            </w:pPr>
          </w:p>
        </w:tc>
        <w:tc>
          <w:tcPr>
            <w:tcW w:w="1992"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61BCDA0C" w14:textId="77777777" w:rsidR="000830C5" w:rsidRPr="000830C5" w:rsidRDefault="000830C5" w:rsidP="000830C5">
            <w:pPr>
              <w:suppressAutoHyphens/>
              <w:autoSpaceDE w:val="0"/>
              <w:autoSpaceDN w:val="0"/>
              <w:adjustRightInd w:val="0"/>
              <w:spacing w:after="28" w:line="200" w:lineRule="atLeast"/>
              <w:ind w:left="170"/>
              <w:textAlignment w:val="center"/>
              <w:rPr>
                <w:rFonts w:eastAsiaTheme="minorHAnsi" w:cs="Arial"/>
                <w:color w:val="000000"/>
                <w:sz w:val="18"/>
                <w:szCs w:val="18"/>
                <w:lang w:bidi="ar-SA"/>
              </w:rPr>
            </w:pPr>
            <w:r w:rsidRPr="000830C5">
              <w:rPr>
                <w:rFonts w:eastAsiaTheme="minorHAnsi" w:cs="Arial"/>
                <w:color w:val="000000"/>
                <w:sz w:val="18"/>
                <w:szCs w:val="18"/>
                <w:lang w:bidi="ar-SA"/>
              </w:rPr>
              <w:t>Male</w:t>
            </w:r>
          </w:p>
        </w:tc>
        <w:tc>
          <w:tcPr>
            <w:tcW w:w="798"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2505ECBB" w14:textId="77777777" w:rsidR="000830C5" w:rsidRPr="000830C5" w:rsidRDefault="000830C5" w:rsidP="000830C5">
            <w:pPr>
              <w:autoSpaceDE w:val="0"/>
              <w:autoSpaceDN w:val="0"/>
              <w:adjustRightInd w:val="0"/>
              <w:jc w:val="right"/>
              <w:rPr>
                <w:rFonts w:eastAsiaTheme="minorHAnsi" w:cs="Arial"/>
                <w:sz w:val="18"/>
                <w:szCs w:val="18"/>
                <w:lang w:val="en-US" w:bidi="ar-SA"/>
              </w:rPr>
            </w:pPr>
          </w:p>
        </w:tc>
        <w:tc>
          <w:tcPr>
            <w:tcW w:w="1213"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6F578AC3" w14:textId="77777777" w:rsidR="000830C5" w:rsidRPr="000830C5" w:rsidRDefault="000830C5" w:rsidP="000830C5">
            <w:pPr>
              <w:autoSpaceDE w:val="0"/>
              <w:autoSpaceDN w:val="0"/>
              <w:adjustRightInd w:val="0"/>
              <w:jc w:val="right"/>
              <w:rPr>
                <w:rFonts w:eastAsiaTheme="minorHAnsi" w:cs="Arial"/>
                <w:sz w:val="18"/>
                <w:szCs w:val="18"/>
                <w:lang w:val="en-US" w:bidi="ar-SA"/>
              </w:rPr>
            </w:pPr>
          </w:p>
        </w:tc>
      </w:tr>
      <w:tr w:rsidR="000830C5" w:rsidRPr="000830C5" w14:paraId="530A92E3" w14:textId="77777777" w:rsidTr="000830C5">
        <w:trPr>
          <w:trHeight w:val="60"/>
        </w:trPr>
        <w:tc>
          <w:tcPr>
            <w:tcW w:w="997"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3DE9243B" w14:textId="77777777" w:rsidR="000830C5" w:rsidRPr="000830C5" w:rsidRDefault="000830C5" w:rsidP="000830C5">
            <w:pPr>
              <w:autoSpaceDE w:val="0"/>
              <w:autoSpaceDN w:val="0"/>
              <w:adjustRightInd w:val="0"/>
              <w:rPr>
                <w:rFonts w:eastAsiaTheme="minorHAnsi" w:cs="Arial"/>
                <w:sz w:val="18"/>
                <w:szCs w:val="18"/>
                <w:lang w:val="en-US" w:bidi="ar-SA"/>
              </w:rPr>
            </w:pPr>
          </w:p>
        </w:tc>
        <w:tc>
          <w:tcPr>
            <w:tcW w:w="1992"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341FB850" w14:textId="77777777" w:rsidR="000830C5" w:rsidRPr="000830C5" w:rsidRDefault="000830C5" w:rsidP="000830C5">
            <w:pPr>
              <w:suppressAutoHyphens/>
              <w:autoSpaceDE w:val="0"/>
              <w:autoSpaceDN w:val="0"/>
              <w:adjustRightInd w:val="0"/>
              <w:spacing w:after="28" w:line="200" w:lineRule="atLeast"/>
              <w:ind w:left="340"/>
              <w:textAlignment w:val="center"/>
              <w:rPr>
                <w:rFonts w:eastAsiaTheme="minorHAnsi" w:cs="Arial"/>
                <w:color w:val="000000"/>
                <w:sz w:val="18"/>
                <w:szCs w:val="18"/>
                <w:lang w:bidi="ar-SA"/>
              </w:rPr>
            </w:pPr>
            <w:r w:rsidRPr="000830C5">
              <w:rPr>
                <w:rFonts w:eastAsiaTheme="minorHAnsi" w:cs="Arial"/>
                <w:color w:val="000000"/>
                <w:sz w:val="18"/>
                <w:szCs w:val="18"/>
                <w:lang w:bidi="ar-SA"/>
              </w:rPr>
              <w:t>36 completed weeks</w:t>
            </w:r>
          </w:p>
        </w:tc>
        <w:tc>
          <w:tcPr>
            <w:tcW w:w="798"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3FEE967A" w14:textId="77777777" w:rsidR="000830C5" w:rsidRPr="000830C5" w:rsidRDefault="000830C5" w:rsidP="000830C5">
            <w:pPr>
              <w:suppressAutoHyphens/>
              <w:autoSpaceDE w:val="0"/>
              <w:autoSpaceDN w:val="0"/>
              <w:adjustRightInd w:val="0"/>
              <w:spacing w:after="28" w:line="200" w:lineRule="atLeast"/>
              <w:jc w:val="right"/>
              <w:textAlignment w:val="center"/>
              <w:rPr>
                <w:rFonts w:eastAsiaTheme="minorHAnsi" w:cs="Arial"/>
                <w:color w:val="000000"/>
                <w:sz w:val="18"/>
                <w:szCs w:val="18"/>
                <w:lang w:bidi="ar-SA"/>
              </w:rPr>
            </w:pPr>
            <w:r w:rsidRPr="000830C5">
              <w:rPr>
                <w:rFonts w:eastAsiaTheme="minorHAnsi" w:cs="Arial"/>
                <w:color w:val="000000"/>
                <w:sz w:val="18"/>
                <w:szCs w:val="18"/>
                <w:lang w:bidi="ar-SA"/>
              </w:rPr>
              <w:t>2826 (SD: 428)</w:t>
            </w:r>
          </w:p>
        </w:tc>
        <w:tc>
          <w:tcPr>
            <w:tcW w:w="1213"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3F0F8FC0" w14:textId="77777777" w:rsidR="000830C5" w:rsidRPr="000830C5" w:rsidRDefault="000830C5" w:rsidP="000830C5">
            <w:pPr>
              <w:autoSpaceDE w:val="0"/>
              <w:autoSpaceDN w:val="0"/>
              <w:adjustRightInd w:val="0"/>
              <w:jc w:val="right"/>
              <w:rPr>
                <w:rFonts w:eastAsiaTheme="minorHAnsi" w:cs="Arial"/>
                <w:sz w:val="18"/>
                <w:szCs w:val="18"/>
                <w:lang w:val="en-US" w:bidi="ar-SA"/>
              </w:rPr>
            </w:pPr>
          </w:p>
        </w:tc>
      </w:tr>
      <w:tr w:rsidR="000830C5" w:rsidRPr="000830C5" w14:paraId="1D079A6D" w14:textId="77777777" w:rsidTr="000830C5">
        <w:trPr>
          <w:trHeight w:val="60"/>
        </w:trPr>
        <w:tc>
          <w:tcPr>
            <w:tcW w:w="997"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57B1FC02" w14:textId="77777777" w:rsidR="000830C5" w:rsidRPr="000830C5" w:rsidRDefault="000830C5" w:rsidP="000830C5">
            <w:pPr>
              <w:autoSpaceDE w:val="0"/>
              <w:autoSpaceDN w:val="0"/>
              <w:adjustRightInd w:val="0"/>
              <w:rPr>
                <w:rFonts w:eastAsiaTheme="minorHAnsi" w:cs="Arial"/>
                <w:sz w:val="18"/>
                <w:szCs w:val="18"/>
                <w:lang w:val="en-US" w:bidi="ar-SA"/>
              </w:rPr>
            </w:pPr>
          </w:p>
        </w:tc>
        <w:tc>
          <w:tcPr>
            <w:tcW w:w="1992"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621DC7FE" w14:textId="77777777" w:rsidR="000830C5" w:rsidRPr="000830C5" w:rsidRDefault="000830C5" w:rsidP="000830C5">
            <w:pPr>
              <w:suppressAutoHyphens/>
              <w:autoSpaceDE w:val="0"/>
              <w:autoSpaceDN w:val="0"/>
              <w:adjustRightInd w:val="0"/>
              <w:spacing w:after="28" w:line="200" w:lineRule="atLeast"/>
              <w:ind w:left="340"/>
              <w:textAlignment w:val="center"/>
              <w:rPr>
                <w:rFonts w:eastAsiaTheme="minorHAnsi" w:cs="Arial"/>
                <w:color w:val="000000"/>
                <w:sz w:val="18"/>
                <w:szCs w:val="18"/>
                <w:lang w:bidi="ar-SA"/>
              </w:rPr>
            </w:pPr>
            <w:r w:rsidRPr="000830C5">
              <w:rPr>
                <w:rFonts w:eastAsiaTheme="minorHAnsi" w:cs="Arial"/>
                <w:color w:val="000000"/>
                <w:sz w:val="18"/>
                <w:szCs w:val="18"/>
                <w:lang w:bidi="ar-SA"/>
              </w:rPr>
              <w:t>38 weeks</w:t>
            </w:r>
          </w:p>
        </w:tc>
        <w:tc>
          <w:tcPr>
            <w:tcW w:w="798"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2B8E515D" w14:textId="77777777" w:rsidR="000830C5" w:rsidRPr="000830C5" w:rsidRDefault="000830C5" w:rsidP="000830C5">
            <w:pPr>
              <w:suppressAutoHyphens/>
              <w:autoSpaceDE w:val="0"/>
              <w:autoSpaceDN w:val="0"/>
              <w:adjustRightInd w:val="0"/>
              <w:spacing w:after="28" w:line="200" w:lineRule="atLeast"/>
              <w:jc w:val="right"/>
              <w:textAlignment w:val="center"/>
              <w:rPr>
                <w:rFonts w:eastAsiaTheme="minorHAnsi" w:cs="Arial"/>
                <w:color w:val="000000"/>
                <w:sz w:val="18"/>
                <w:szCs w:val="18"/>
                <w:lang w:bidi="ar-SA"/>
              </w:rPr>
            </w:pPr>
            <w:r w:rsidRPr="000830C5">
              <w:rPr>
                <w:rFonts w:eastAsiaTheme="minorHAnsi" w:cs="Arial"/>
                <w:color w:val="000000"/>
                <w:sz w:val="18"/>
                <w:szCs w:val="18"/>
                <w:lang w:bidi="ar-SA"/>
              </w:rPr>
              <w:t>3344 (SD: 439)</w:t>
            </w:r>
          </w:p>
        </w:tc>
        <w:tc>
          <w:tcPr>
            <w:tcW w:w="1213"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0DD41A74" w14:textId="77777777" w:rsidR="000830C5" w:rsidRPr="000830C5" w:rsidRDefault="000830C5" w:rsidP="000830C5">
            <w:pPr>
              <w:autoSpaceDE w:val="0"/>
              <w:autoSpaceDN w:val="0"/>
              <w:adjustRightInd w:val="0"/>
              <w:jc w:val="right"/>
              <w:rPr>
                <w:rFonts w:eastAsiaTheme="minorHAnsi" w:cs="Arial"/>
                <w:sz w:val="18"/>
                <w:szCs w:val="18"/>
                <w:lang w:val="en-US" w:bidi="ar-SA"/>
              </w:rPr>
            </w:pPr>
          </w:p>
        </w:tc>
      </w:tr>
      <w:tr w:rsidR="000830C5" w:rsidRPr="000830C5" w14:paraId="0C9423CC" w14:textId="77777777" w:rsidTr="000830C5">
        <w:trPr>
          <w:trHeight w:val="60"/>
        </w:trPr>
        <w:tc>
          <w:tcPr>
            <w:tcW w:w="997"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47BC099C" w14:textId="77777777" w:rsidR="000830C5" w:rsidRPr="000830C5" w:rsidRDefault="000830C5" w:rsidP="000830C5">
            <w:pPr>
              <w:autoSpaceDE w:val="0"/>
              <w:autoSpaceDN w:val="0"/>
              <w:adjustRightInd w:val="0"/>
              <w:rPr>
                <w:rFonts w:eastAsiaTheme="minorHAnsi" w:cs="Arial"/>
                <w:sz w:val="18"/>
                <w:szCs w:val="18"/>
                <w:lang w:val="en-US" w:bidi="ar-SA"/>
              </w:rPr>
            </w:pPr>
          </w:p>
        </w:tc>
        <w:tc>
          <w:tcPr>
            <w:tcW w:w="1992"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13C9807D" w14:textId="77777777" w:rsidR="000830C5" w:rsidRPr="000830C5" w:rsidRDefault="000830C5" w:rsidP="000830C5">
            <w:pPr>
              <w:suppressAutoHyphens/>
              <w:autoSpaceDE w:val="0"/>
              <w:autoSpaceDN w:val="0"/>
              <w:adjustRightInd w:val="0"/>
              <w:spacing w:after="28" w:line="200" w:lineRule="atLeast"/>
              <w:ind w:left="340"/>
              <w:textAlignment w:val="center"/>
              <w:rPr>
                <w:rFonts w:eastAsiaTheme="minorHAnsi" w:cs="Arial"/>
                <w:color w:val="000000"/>
                <w:sz w:val="18"/>
                <w:szCs w:val="18"/>
                <w:lang w:bidi="ar-SA"/>
              </w:rPr>
            </w:pPr>
            <w:r w:rsidRPr="000830C5">
              <w:rPr>
                <w:rFonts w:eastAsiaTheme="minorHAnsi" w:cs="Arial"/>
                <w:color w:val="000000"/>
                <w:sz w:val="18"/>
                <w:szCs w:val="18"/>
                <w:lang w:bidi="ar-SA"/>
              </w:rPr>
              <w:t xml:space="preserve">40 weeks </w:t>
            </w:r>
          </w:p>
        </w:tc>
        <w:tc>
          <w:tcPr>
            <w:tcW w:w="798"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3452F495" w14:textId="77777777" w:rsidR="000830C5" w:rsidRPr="000830C5" w:rsidRDefault="000830C5" w:rsidP="000830C5">
            <w:pPr>
              <w:suppressAutoHyphens/>
              <w:autoSpaceDE w:val="0"/>
              <w:autoSpaceDN w:val="0"/>
              <w:adjustRightInd w:val="0"/>
              <w:spacing w:after="28" w:line="200" w:lineRule="atLeast"/>
              <w:jc w:val="right"/>
              <w:textAlignment w:val="center"/>
              <w:rPr>
                <w:rFonts w:eastAsiaTheme="minorHAnsi" w:cs="Arial"/>
                <w:color w:val="000000"/>
                <w:sz w:val="18"/>
                <w:szCs w:val="18"/>
                <w:lang w:bidi="ar-SA"/>
              </w:rPr>
            </w:pPr>
            <w:r w:rsidRPr="000830C5">
              <w:rPr>
                <w:rFonts w:eastAsiaTheme="minorHAnsi" w:cs="Arial"/>
                <w:color w:val="000000"/>
                <w:sz w:val="18"/>
                <w:szCs w:val="18"/>
                <w:lang w:bidi="ar-SA"/>
              </w:rPr>
              <w:t>3632 (SD: 434)</w:t>
            </w:r>
          </w:p>
        </w:tc>
        <w:tc>
          <w:tcPr>
            <w:tcW w:w="1213"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6D7DC24E" w14:textId="77777777" w:rsidR="000830C5" w:rsidRPr="000830C5" w:rsidRDefault="000830C5" w:rsidP="000830C5">
            <w:pPr>
              <w:autoSpaceDE w:val="0"/>
              <w:autoSpaceDN w:val="0"/>
              <w:adjustRightInd w:val="0"/>
              <w:jc w:val="right"/>
              <w:rPr>
                <w:rFonts w:eastAsiaTheme="minorHAnsi" w:cs="Arial"/>
                <w:sz w:val="18"/>
                <w:szCs w:val="18"/>
                <w:lang w:val="en-US" w:bidi="ar-SA"/>
              </w:rPr>
            </w:pPr>
          </w:p>
        </w:tc>
      </w:tr>
      <w:tr w:rsidR="000830C5" w:rsidRPr="000830C5" w14:paraId="583E008D" w14:textId="77777777" w:rsidTr="000830C5">
        <w:trPr>
          <w:trHeight w:val="60"/>
        </w:trPr>
        <w:tc>
          <w:tcPr>
            <w:tcW w:w="997"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2A2E0D85" w14:textId="77777777" w:rsidR="000830C5" w:rsidRPr="000830C5" w:rsidRDefault="000830C5" w:rsidP="000830C5">
            <w:pPr>
              <w:autoSpaceDE w:val="0"/>
              <w:autoSpaceDN w:val="0"/>
              <w:adjustRightInd w:val="0"/>
              <w:rPr>
                <w:rFonts w:eastAsiaTheme="minorHAnsi" w:cs="Arial"/>
                <w:sz w:val="18"/>
                <w:szCs w:val="18"/>
                <w:lang w:val="en-US" w:bidi="ar-SA"/>
              </w:rPr>
            </w:pPr>
          </w:p>
        </w:tc>
        <w:tc>
          <w:tcPr>
            <w:tcW w:w="1992"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43C97AF0" w14:textId="77777777" w:rsidR="000830C5" w:rsidRPr="000830C5" w:rsidRDefault="000830C5" w:rsidP="000830C5">
            <w:pPr>
              <w:suppressAutoHyphens/>
              <w:autoSpaceDE w:val="0"/>
              <w:autoSpaceDN w:val="0"/>
              <w:adjustRightInd w:val="0"/>
              <w:spacing w:after="28" w:line="200" w:lineRule="atLeast"/>
              <w:ind w:left="340"/>
              <w:textAlignment w:val="center"/>
              <w:rPr>
                <w:rFonts w:eastAsiaTheme="minorHAnsi" w:cs="Arial"/>
                <w:color w:val="000000"/>
                <w:sz w:val="18"/>
                <w:szCs w:val="18"/>
                <w:lang w:bidi="ar-SA"/>
              </w:rPr>
            </w:pPr>
            <w:r w:rsidRPr="000830C5">
              <w:rPr>
                <w:rFonts w:eastAsiaTheme="minorHAnsi" w:cs="Arial"/>
                <w:color w:val="000000"/>
                <w:sz w:val="18"/>
                <w:szCs w:val="18"/>
                <w:lang w:bidi="ar-SA"/>
              </w:rPr>
              <w:t xml:space="preserve">42 weeks </w:t>
            </w:r>
          </w:p>
        </w:tc>
        <w:tc>
          <w:tcPr>
            <w:tcW w:w="798"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237E17F0" w14:textId="77777777" w:rsidR="000830C5" w:rsidRPr="000830C5" w:rsidRDefault="000830C5" w:rsidP="000830C5">
            <w:pPr>
              <w:suppressAutoHyphens/>
              <w:autoSpaceDE w:val="0"/>
              <w:autoSpaceDN w:val="0"/>
              <w:adjustRightInd w:val="0"/>
              <w:spacing w:after="28" w:line="200" w:lineRule="atLeast"/>
              <w:jc w:val="right"/>
              <w:textAlignment w:val="center"/>
              <w:rPr>
                <w:rFonts w:eastAsiaTheme="minorHAnsi" w:cs="Arial"/>
                <w:color w:val="000000"/>
                <w:sz w:val="18"/>
                <w:szCs w:val="18"/>
                <w:lang w:bidi="ar-SA"/>
              </w:rPr>
            </w:pPr>
            <w:r w:rsidRPr="000830C5">
              <w:rPr>
                <w:rFonts w:eastAsiaTheme="minorHAnsi" w:cs="Arial"/>
                <w:color w:val="000000"/>
                <w:sz w:val="18"/>
                <w:szCs w:val="18"/>
                <w:lang w:bidi="ar-SA"/>
              </w:rPr>
              <w:t>3832 (SD: 462)</w:t>
            </w:r>
          </w:p>
        </w:tc>
        <w:tc>
          <w:tcPr>
            <w:tcW w:w="1213"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3769285B" w14:textId="77777777" w:rsidR="000830C5" w:rsidRPr="000830C5" w:rsidRDefault="000830C5" w:rsidP="000830C5">
            <w:pPr>
              <w:autoSpaceDE w:val="0"/>
              <w:autoSpaceDN w:val="0"/>
              <w:adjustRightInd w:val="0"/>
              <w:jc w:val="right"/>
              <w:rPr>
                <w:rFonts w:eastAsiaTheme="minorHAnsi" w:cs="Arial"/>
                <w:sz w:val="18"/>
                <w:szCs w:val="18"/>
                <w:lang w:val="en-US" w:bidi="ar-SA"/>
              </w:rPr>
            </w:pPr>
          </w:p>
        </w:tc>
      </w:tr>
      <w:tr w:rsidR="000830C5" w:rsidRPr="000830C5" w14:paraId="6D883D5C" w14:textId="77777777" w:rsidTr="000830C5">
        <w:trPr>
          <w:trHeight w:val="60"/>
        </w:trPr>
        <w:tc>
          <w:tcPr>
            <w:tcW w:w="997"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5DA804BA" w14:textId="77777777" w:rsidR="000830C5" w:rsidRPr="000830C5" w:rsidRDefault="000830C5" w:rsidP="000830C5">
            <w:pPr>
              <w:autoSpaceDE w:val="0"/>
              <w:autoSpaceDN w:val="0"/>
              <w:adjustRightInd w:val="0"/>
              <w:rPr>
                <w:rFonts w:eastAsiaTheme="minorHAnsi" w:cs="Arial"/>
                <w:sz w:val="18"/>
                <w:szCs w:val="18"/>
                <w:lang w:val="en-US" w:bidi="ar-SA"/>
              </w:rPr>
            </w:pPr>
          </w:p>
        </w:tc>
        <w:tc>
          <w:tcPr>
            <w:tcW w:w="1992"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11CA35CE" w14:textId="77777777" w:rsidR="000830C5" w:rsidRPr="000830C5" w:rsidRDefault="000830C5" w:rsidP="000830C5">
            <w:pPr>
              <w:suppressAutoHyphens/>
              <w:autoSpaceDE w:val="0"/>
              <w:autoSpaceDN w:val="0"/>
              <w:adjustRightInd w:val="0"/>
              <w:spacing w:after="28" w:line="200" w:lineRule="atLeast"/>
              <w:ind w:left="170"/>
              <w:textAlignment w:val="center"/>
              <w:rPr>
                <w:rFonts w:eastAsiaTheme="minorHAnsi" w:cs="Arial"/>
                <w:color w:val="000000"/>
                <w:sz w:val="18"/>
                <w:szCs w:val="18"/>
                <w:lang w:bidi="ar-SA"/>
              </w:rPr>
            </w:pPr>
            <w:r w:rsidRPr="000830C5">
              <w:rPr>
                <w:rFonts w:eastAsiaTheme="minorHAnsi" w:cs="Arial"/>
                <w:color w:val="000000"/>
                <w:sz w:val="18"/>
                <w:szCs w:val="18"/>
                <w:lang w:bidi="ar-SA"/>
              </w:rPr>
              <w:t>Female</w:t>
            </w:r>
          </w:p>
        </w:tc>
        <w:tc>
          <w:tcPr>
            <w:tcW w:w="798"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157ED856" w14:textId="77777777" w:rsidR="000830C5" w:rsidRPr="000830C5" w:rsidRDefault="000830C5" w:rsidP="000830C5">
            <w:pPr>
              <w:autoSpaceDE w:val="0"/>
              <w:autoSpaceDN w:val="0"/>
              <w:adjustRightInd w:val="0"/>
              <w:jc w:val="right"/>
              <w:rPr>
                <w:rFonts w:eastAsiaTheme="minorHAnsi" w:cs="Arial"/>
                <w:sz w:val="18"/>
                <w:szCs w:val="18"/>
                <w:lang w:val="en-US" w:bidi="ar-SA"/>
              </w:rPr>
            </w:pPr>
          </w:p>
        </w:tc>
        <w:tc>
          <w:tcPr>
            <w:tcW w:w="1213"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3E3E0D12" w14:textId="77777777" w:rsidR="000830C5" w:rsidRPr="000830C5" w:rsidRDefault="000830C5" w:rsidP="000830C5">
            <w:pPr>
              <w:autoSpaceDE w:val="0"/>
              <w:autoSpaceDN w:val="0"/>
              <w:adjustRightInd w:val="0"/>
              <w:jc w:val="right"/>
              <w:rPr>
                <w:rFonts w:eastAsiaTheme="minorHAnsi" w:cs="Arial"/>
                <w:sz w:val="18"/>
                <w:szCs w:val="18"/>
                <w:lang w:val="en-US" w:bidi="ar-SA"/>
              </w:rPr>
            </w:pPr>
          </w:p>
        </w:tc>
      </w:tr>
      <w:tr w:rsidR="000830C5" w:rsidRPr="000830C5" w14:paraId="60F3DC05" w14:textId="77777777" w:rsidTr="000830C5">
        <w:trPr>
          <w:trHeight w:val="60"/>
        </w:trPr>
        <w:tc>
          <w:tcPr>
            <w:tcW w:w="997"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1EA6D9C0" w14:textId="77777777" w:rsidR="000830C5" w:rsidRPr="000830C5" w:rsidRDefault="000830C5" w:rsidP="000830C5">
            <w:pPr>
              <w:autoSpaceDE w:val="0"/>
              <w:autoSpaceDN w:val="0"/>
              <w:adjustRightInd w:val="0"/>
              <w:rPr>
                <w:rFonts w:eastAsiaTheme="minorHAnsi" w:cs="Arial"/>
                <w:sz w:val="18"/>
                <w:szCs w:val="18"/>
                <w:lang w:val="en-US" w:bidi="ar-SA"/>
              </w:rPr>
            </w:pPr>
          </w:p>
        </w:tc>
        <w:tc>
          <w:tcPr>
            <w:tcW w:w="1992"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01FC60D0" w14:textId="77777777" w:rsidR="000830C5" w:rsidRPr="000830C5" w:rsidRDefault="000830C5" w:rsidP="000830C5">
            <w:pPr>
              <w:suppressAutoHyphens/>
              <w:autoSpaceDE w:val="0"/>
              <w:autoSpaceDN w:val="0"/>
              <w:adjustRightInd w:val="0"/>
              <w:spacing w:after="28" w:line="200" w:lineRule="atLeast"/>
              <w:ind w:left="340"/>
              <w:textAlignment w:val="center"/>
              <w:rPr>
                <w:rFonts w:eastAsiaTheme="minorHAnsi" w:cs="Arial"/>
                <w:color w:val="000000"/>
                <w:sz w:val="18"/>
                <w:szCs w:val="18"/>
                <w:lang w:bidi="ar-SA"/>
              </w:rPr>
            </w:pPr>
            <w:r w:rsidRPr="000830C5">
              <w:rPr>
                <w:rFonts w:eastAsiaTheme="minorHAnsi" w:cs="Arial"/>
                <w:color w:val="000000"/>
                <w:sz w:val="18"/>
                <w:szCs w:val="18"/>
                <w:lang w:bidi="ar-SA"/>
              </w:rPr>
              <w:t xml:space="preserve">36 completed weeks </w:t>
            </w:r>
          </w:p>
        </w:tc>
        <w:tc>
          <w:tcPr>
            <w:tcW w:w="798"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4A1AB8AB" w14:textId="77777777" w:rsidR="000830C5" w:rsidRPr="000830C5" w:rsidRDefault="000830C5" w:rsidP="000830C5">
            <w:pPr>
              <w:suppressAutoHyphens/>
              <w:autoSpaceDE w:val="0"/>
              <w:autoSpaceDN w:val="0"/>
              <w:adjustRightInd w:val="0"/>
              <w:spacing w:after="28" w:line="200" w:lineRule="atLeast"/>
              <w:jc w:val="right"/>
              <w:textAlignment w:val="center"/>
              <w:rPr>
                <w:rFonts w:eastAsiaTheme="minorHAnsi" w:cs="Arial"/>
                <w:color w:val="000000"/>
                <w:sz w:val="18"/>
                <w:szCs w:val="18"/>
                <w:lang w:bidi="ar-SA"/>
              </w:rPr>
            </w:pPr>
            <w:r w:rsidRPr="000830C5">
              <w:rPr>
                <w:rFonts w:eastAsiaTheme="minorHAnsi" w:cs="Arial"/>
                <w:color w:val="000000"/>
                <w:sz w:val="18"/>
                <w:szCs w:val="18"/>
                <w:lang w:bidi="ar-SA"/>
              </w:rPr>
              <w:t>2720 (SD: 420)</w:t>
            </w:r>
          </w:p>
        </w:tc>
        <w:tc>
          <w:tcPr>
            <w:tcW w:w="1213"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7E2B5F4C" w14:textId="77777777" w:rsidR="000830C5" w:rsidRPr="000830C5" w:rsidRDefault="000830C5" w:rsidP="000830C5">
            <w:pPr>
              <w:autoSpaceDE w:val="0"/>
              <w:autoSpaceDN w:val="0"/>
              <w:adjustRightInd w:val="0"/>
              <w:jc w:val="right"/>
              <w:rPr>
                <w:rFonts w:eastAsiaTheme="minorHAnsi" w:cs="Arial"/>
                <w:sz w:val="18"/>
                <w:szCs w:val="18"/>
                <w:lang w:val="en-US" w:bidi="ar-SA"/>
              </w:rPr>
            </w:pPr>
          </w:p>
        </w:tc>
      </w:tr>
      <w:tr w:rsidR="000830C5" w:rsidRPr="000830C5" w14:paraId="3B249869" w14:textId="77777777" w:rsidTr="000830C5">
        <w:trPr>
          <w:trHeight w:val="60"/>
        </w:trPr>
        <w:tc>
          <w:tcPr>
            <w:tcW w:w="997"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064C9DF0" w14:textId="77777777" w:rsidR="000830C5" w:rsidRPr="000830C5" w:rsidRDefault="000830C5" w:rsidP="000830C5">
            <w:pPr>
              <w:autoSpaceDE w:val="0"/>
              <w:autoSpaceDN w:val="0"/>
              <w:adjustRightInd w:val="0"/>
              <w:rPr>
                <w:rFonts w:eastAsiaTheme="minorHAnsi" w:cs="Arial"/>
                <w:sz w:val="18"/>
                <w:szCs w:val="18"/>
                <w:lang w:val="en-US" w:bidi="ar-SA"/>
              </w:rPr>
            </w:pPr>
          </w:p>
        </w:tc>
        <w:tc>
          <w:tcPr>
            <w:tcW w:w="1992"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4453A5CD" w14:textId="77777777" w:rsidR="000830C5" w:rsidRPr="000830C5" w:rsidRDefault="000830C5" w:rsidP="000830C5">
            <w:pPr>
              <w:suppressAutoHyphens/>
              <w:autoSpaceDE w:val="0"/>
              <w:autoSpaceDN w:val="0"/>
              <w:adjustRightInd w:val="0"/>
              <w:spacing w:after="28" w:line="200" w:lineRule="atLeast"/>
              <w:ind w:left="340"/>
              <w:textAlignment w:val="center"/>
              <w:rPr>
                <w:rFonts w:eastAsiaTheme="minorHAnsi" w:cs="Arial"/>
                <w:color w:val="000000"/>
                <w:sz w:val="18"/>
                <w:szCs w:val="18"/>
                <w:lang w:bidi="ar-SA"/>
              </w:rPr>
            </w:pPr>
            <w:r w:rsidRPr="000830C5">
              <w:rPr>
                <w:rFonts w:eastAsiaTheme="minorHAnsi" w:cs="Arial"/>
                <w:color w:val="000000"/>
                <w:sz w:val="18"/>
                <w:szCs w:val="18"/>
                <w:lang w:bidi="ar-SA"/>
              </w:rPr>
              <w:t xml:space="preserve">38 weeks </w:t>
            </w:r>
          </w:p>
        </w:tc>
        <w:tc>
          <w:tcPr>
            <w:tcW w:w="798"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580C8A5B" w14:textId="77777777" w:rsidR="000830C5" w:rsidRPr="000830C5" w:rsidRDefault="000830C5" w:rsidP="000830C5">
            <w:pPr>
              <w:suppressAutoHyphens/>
              <w:autoSpaceDE w:val="0"/>
              <w:autoSpaceDN w:val="0"/>
              <w:adjustRightInd w:val="0"/>
              <w:spacing w:after="28" w:line="200" w:lineRule="atLeast"/>
              <w:jc w:val="right"/>
              <w:textAlignment w:val="center"/>
              <w:rPr>
                <w:rFonts w:eastAsiaTheme="minorHAnsi" w:cs="Arial"/>
                <w:color w:val="000000"/>
                <w:sz w:val="18"/>
                <w:szCs w:val="18"/>
                <w:lang w:bidi="ar-SA"/>
              </w:rPr>
            </w:pPr>
            <w:r w:rsidRPr="000830C5">
              <w:rPr>
                <w:rFonts w:eastAsiaTheme="minorHAnsi" w:cs="Arial"/>
                <w:color w:val="000000"/>
                <w:sz w:val="18"/>
                <w:szCs w:val="18"/>
                <w:lang w:bidi="ar-SA"/>
              </w:rPr>
              <w:t>3215 (SD: 425)</w:t>
            </w:r>
          </w:p>
        </w:tc>
        <w:tc>
          <w:tcPr>
            <w:tcW w:w="1213"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74249993" w14:textId="77777777" w:rsidR="000830C5" w:rsidRPr="000830C5" w:rsidRDefault="000830C5" w:rsidP="000830C5">
            <w:pPr>
              <w:autoSpaceDE w:val="0"/>
              <w:autoSpaceDN w:val="0"/>
              <w:adjustRightInd w:val="0"/>
              <w:jc w:val="right"/>
              <w:rPr>
                <w:rFonts w:eastAsiaTheme="minorHAnsi" w:cs="Arial"/>
                <w:sz w:val="18"/>
                <w:szCs w:val="18"/>
                <w:lang w:val="en-US" w:bidi="ar-SA"/>
              </w:rPr>
            </w:pPr>
          </w:p>
        </w:tc>
      </w:tr>
      <w:tr w:rsidR="000830C5" w:rsidRPr="000830C5" w14:paraId="7DDEF91B" w14:textId="77777777" w:rsidTr="000830C5">
        <w:trPr>
          <w:trHeight w:val="60"/>
        </w:trPr>
        <w:tc>
          <w:tcPr>
            <w:tcW w:w="997"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05F7BF4D" w14:textId="77777777" w:rsidR="000830C5" w:rsidRPr="000830C5" w:rsidRDefault="000830C5" w:rsidP="000830C5">
            <w:pPr>
              <w:autoSpaceDE w:val="0"/>
              <w:autoSpaceDN w:val="0"/>
              <w:adjustRightInd w:val="0"/>
              <w:rPr>
                <w:rFonts w:eastAsiaTheme="minorHAnsi" w:cs="Arial"/>
                <w:sz w:val="18"/>
                <w:szCs w:val="18"/>
                <w:lang w:val="en-US" w:bidi="ar-SA"/>
              </w:rPr>
            </w:pPr>
          </w:p>
        </w:tc>
        <w:tc>
          <w:tcPr>
            <w:tcW w:w="1992"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0C72A792" w14:textId="77777777" w:rsidR="000830C5" w:rsidRPr="000830C5" w:rsidRDefault="000830C5" w:rsidP="000830C5">
            <w:pPr>
              <w:suppressAutoHyphens/>
              <w:autoSpaceDE w:val="0"/>
              <w:autoSpaceDN w:val="0"/>
              <w:adjustRightInd w:val="0"/>
              <w:spacing w:after="28" w:line="200" w:lineRule="atLeast"/>
              <w:ind w:left="340"/>
              <w:textAlignment w:val="center"/>
              <w:rPr>
                <w:rFonts w:eastAsiaTheme="minorHAnsi" w:cs="Arial"/>
                <w:color w:val="000000"/>
                <w:sz w:val="18"/>
                <w:szCs w:val="18"/>
                <w:lang w:bidi="ar-SA"/>
              </w:rPr>
            </w:pPr>
            <w:r w:rsidRPr="000830C5">
              <w:rPr>
                <w:rFonts w:eastAsiaTheme="minorHAnsi" w:cs="Arial"/>
                <w:color w:val="000000"/>
                <w:sz w:val="18"/>
                <w:szCs w:val="18"/>
                <w:lang w:bidi="ar-SA"/>
              </w:rPr>
              <w:t xml:space="preserve">40 weeks </w:t>
            </w:r>
          </w:p>
        </w:tc>
        <w:tc>
          <w:tcPr>
            <w:tcW w:w="798"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2593412A" w14:textId="77777777" w:rsidR="000830C5" w:rsidRPr="000830C5" w:rsidRDefault="000830C5" w:rsidP="000830C5">
            <w:pPr>
              <w:suppressAutoHyphens/>
              <w:autoSpaceDE w:val="0"/>
              <w:autoSpaceDN w:val="0"/>
              <w:adjustRightInd w:val="0"/>
              <w:spacing w:after="28" w:line="200" w:lineRule="atLeast"/>
              <w:jc w:val="right"/>
              <w:textAlignment w:val="center"/>
              <w:rPr>
                <w:rFonts w:eastAsiaTheme="minorHAnsi" w:cs="Arial"/>
                <w:color w:val="000000"/>
                <w:sz w:val="18"/>
                <w:szCs w:val="18"/>
                <w:lang w:bidi="ar-SA"/>
              </w:rPr>
            </w:pPr>
            <w:r w:rsidRPr="000830C5">
              <w:rPr>
                <w:rFonts w:eastAsiaTheme="minorHAnsi" w:cs="Arial"/>
                <w:color w:val="000000"/>
                <w:sz w:val="18"/>
                <w:szCs w:val="18"/>
                <w:lang w:bidi="ar-SA"/>
              </w:rPr>
              <w:t>3493 (SD: 416)</w:t>
            </w:r>
          </w:p>
        </w:tc>
        <w:tc>
          <w:tcPr>
            <w:tcW w:w="1213"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1D37B9C8" w14:textId="77777777" w:rsidR="000830C5" w:rsidRPr="000830C5" w:rsidRDefault="000830C5" w:rsidP="000830C5">
            <w:pPr>
              <w:autoSpaceDE w:val="0"/>
              <w:autoSpaceDN w:val="0"/>
              <w:adjustRightInd w:val="0"/>
              <w:jc w:val="right"/>
              <w:rPr>
                <w:rFonts w:eastAsiaTheme="minorHAnsi" w:cs="Arial"/>
                <w:sz w:val="18"/>
                <w:szCs w:val="18"/>
                <w:lang w:val="en-US" w:bidi="ar-SA"/>
              </w:rPr>
            </w:pPr>
          </w:p>
        </w:tc>
      </w:tr>
      <w:tr w:rsidR="000830C5" w:rsidRPr="000830C5" w14:paraId="2DD605D7" w14:textId="77777777" w:rsidTr="000830C5">
        <w:trPr>
          <w:trHeight w:val="60"/>
        </w:trPr>
        <w:tc>
          <w:tcPr>
            <w:tcW w:w="997"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6E077DA3" w14:textId="77777777" w:rsidR="000830C5" w:rsidRPr="000830C5" w:rsidRDefault="000830C5" w:rsidP="000830C5">
            <w:pPr>
              <w:autoSpaceDE w:val="0"/>
              <w:autoSpaceDN w:val="0"/>
              <w:adjustRightInd w:val="0"/>
              <w:rPr>
                <w:rFonts w:eastAsiaTheme="minorHAnsi" w:cs="Arial"/>
                <w:sz w:val="18"/>
                <w:szCs w:val="18"/>
                <w:lang w:val="en-US" w:bidi="ar-SA"/>
              </w:rPr>
            </w:pPr>
          </w:p>
        </w:tc>
        <w:tc>
          <w:tcPr>
            <w:tcW w:w="1992"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306BC7BC" w14:textId="77777777" w:rsidR="000830C5" w:rsidRPr="000830C5" w:rsidRDefault="000830C5" w:rsidP="000830C5">
            <w:pPr>
              <w:suppressAutoHyphens/>
              <w:autoSpaceDE w:val="0"/>
              <w:autoSpaceDN w:val="0"/>
              <w:adjustRightInd w:val="0"/>
              <w:spacing w:after="28" w:line="200" w:lineRule="atLeast"/>
              <w:ind w:left="340"/>
              <w:textAlignment w:val="center"/>
              <w:rPr>
                <w:rFonts w:eastAsiaTheme="minorHAnsi" w:cs="Arial"/>
                <w:color w:val="000000"/>
                <w:sz w:val="18"/>
                <w:szCs w:val="18"/>
                <w:lang w:bidi="ar-SA"/>
              </w:rPr>
            </w:pPr>
            <w:r w:rsidRPr="000830C5">
              <w:rPr>
                <w:rFonts w:eastAsiaTheme="minorHAnsi" w:cs="Arial"/>
                <w:color w:val="000000"/>
                <w:sz w:val="18"/>
                <w:szCs w:val="18"/>
                <w:lang w:bidi="ar-SA"/>
              </w:rPr>
              <w:t>42 weeks</w:t>
            </w:r>
          </w:p>
        </w:tc>
        <w:tc>
          <w:tcPr>
            <w:tcW w:w="798"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31DA31F8" w14:textId="77777777" w:rsidR="000830C5" w:rsidRPr="000830C5" w:rsidRDefault="000830C5" w:rsidP="000830C5">
            <w:pPr>
              <w:suppressAutoHyphens/>
              <w:autoSpaceDE w:val="0"/>
              <w:autoSpaceDN w:val="0"/>
              <w:adjustRightInd w:val="0"/>
              <w:spacing w:after="28" w:line="200" w:lineRule="atLeast"/>
              <w:jc w:val="right"/>
              <w:textAlignment w:val="center"/>
              <w:rPr>
                <w:rFonts w:eastAsiaTheme="minorHAnsi" w:cs="Arial"/>
                <w:color w:val="000000"/>
                <w:sz w:val="18"/>
                <w:szCs w:val="18"/>
                <w:lang w:bidi="ar-SA"/>
              </w:rPr>
            </w:pPr>
            <w:r w:rsidRPr="000830C5">
              <w:rPr>
                <w:rFonts w:eastAsiaTheme="minorHAnsi" w:cs="Arial"/>
                <w:color w:val="000000"/>
                <w:sz w:val="18"/>
                <w:szCs w:val="18"/>
                <w:lang w:bidi="ar-SA"/>
              </w:rPr>
              <w:t>3665 (SD: 445)</w:t>
            </w:r>
          </w:p>
        </w:tc>
        <w:tc>
          <w:tcPr>
            <w:tcW w:w="1213"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1ABBB330" w14:textId="77777777" w:rsidR="000830C5" w:rsidRPr="000830C5" w:rsidRDefault="000830C5" w:rsidP="000830C5">
            <w:pPr>
              <w:autoSpaceDE w:val="0"/>
              <w:autoSpaceDN w:val="0"/>
              <w:adjustRightInd w:val="0"/>
              <w:jc w:val="right"/>
              <w:rPr>
                <w:rFonts w:eastAsiaTheme="minorHAnsi" w:cs="Arial"/>
                <w:sz w:val="18"/>
                <w:szCs w:val="18"/>
                <w:lang w:val="en-US" w:bidi="ar-SA"/>
              </w:rPr>
            </w:pPr>
          </w:p>
        </w:tc>
      </w:tr>
      <w:tr w:rsidR="000830C5" w:rsidRPr="000830C5" w14:paraId="02E9A245" w14:textId="77777777" w:rsidTr="000830C5">
        <w:trPr>
          <w:trHeight w:val="60"/>
        </w:trPr>
        <w:tc>
          <w:tcPr>
            <w:tcW w:w="997"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06AAD4F0" w14:textId="77777777" w:rsidR="000830C5" w:rsidRPr="000830C5" w:rsidRDefault="000830C5" w:rsidP="000830C5">
            <w:pPr>
              <w:suppressAutoHyphens/>
              <w:autoSpaceDE w:val="0"/>
              <w:autoSpaceDN w:val="0"/>
              <w:adjustRightInd w:val="0"/>
              <w:spacing w:after="28" w:line="200" w:lineRule="atLeast"/>
              <w:textAlignment w:val="center"/>
              <w:rPr>
                <w:rFonts w:eastAsiaTheme="minorHAnsi" w:cs="Arial"/>
                <w:color w:val="000000"/>
                <w:sz w:val="18"/>
                <w:szCs w:val="18"/>
                <w:lang w:bidi="ar-SA"/>
              </w:rPr>
            </w:pPr>
            <w:r w:rsidRPr="000830C5">
              <w:rPr>
                <w:rFonts w:eastAsiaTheme="minorHAnsi" w:cs="Arial"/>
                <w:color w:val="000000"/>
                <w:sz w:val="18"/>
                <w:szCs w:val="18"/>
                <w:lang w:bidi="ar-SA"/>
              </w:rPr>
              <w:t>2013</w:t>
            </w:r>
          </w:p>
        </w:tc>
        <w:tc>
          <w:tcPr>
            <w:tcW w:w="1992"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62B7A7C5" w14:textId="77777777" w:rsidR="000830C5" w:rsidRPr="000830C5" w:rsidRDefault="000830C5" w:rsidP="000830C5">
            <w:pPr>
              <w:suppressAutoHyphens/>
              <w:autoSpaceDE w:val="0"/>
              <w:autoSpaceDN w:val="0"/>
              <w:adjustRightInd w:val="0"/>
              <w:spacing w:after="28" w:line="200" w:lineRule="atLeast"/>
              <w:textAlignment w:val="center"/>
              <w:rPr>
                <w:rFonts w:eastAsiaTheme="minorHAnsi" w:cs="Arial"/>
                <w:color w:val="000000"/>
                <w:sz w:val="18"/>
                <w:szCs w:val="18"/>
                <w:lang w:bidi="ar-SA"/>
              </w:rPr>
            </w:pPr>
            <w:r w:rsidRPr="000830C5">
              <w:rPr>
                <w:rFonts w:eastAsiaTheme="minorHAnsi" w:cs="Arial"/>
                <w:color w:val="000000"/>
                <w:sz w:val="18"/>
                <w:szCs w:val="18"/>
                <w:lang w:bidi="ar-SA"/>
              </w:rPr>
              <w:t>Northern Territory: live births by maternal Indigenous identification</w:t>
            </w:r>
          </w:p>
        </w:tc>
        <w:tc>
          <w:tcPr>
            <w:tcW w:w="798"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3AAC0D54" w14:textId="77777777" w:rsidR="000830C5" w:rsidRPr="000830C5" w:rsidRDefault="000830C5" w:rsidP="000830C5">
            <w:pPr>
              <w:autoSpaceDE w:val="0"/>
              <w:autoSpaceDN w:val="0"/>
              <w:adjustRightInd w:val="0"/>
              <w:jc w:val="right"/>
              <w:rPr>
                <w:rFonts w:eastAsiaTheme="minorHAnsi" w:cs="Arial"/>
                <w:sz w:val="18"/>
                <w:szCs w:val="18"/>
                <w:lang w:val="en-US" w:bidi="ar-SA"/>
              </w:rPr>
            </w:pPr>
          </w:p>
        </w:tc>
        <w:tc>
          <w:tcPr>
            <w:tcW w:w="1213"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75882468" w14:textId="69E6264C" w:rsidR="000830C5" w:rsidRPr="000830C5" w:rsidRDefault="000830C5" w:rsidP="000830C5">
            <w:pPr>
              <w:suppressAutoHyphens/>
              <w:autoSpaceDE w:val="0"/>
              <w:autoSpaceDN w:val="0"/>
              <w:adjustRightInd w:val="0"/>
              <w:spacing w:after="28" w:line="200" w:lineRule="atLeast"/>
              <w:jc w:val="right"/>
              <w:textAlignment w:val="center"/>
              <w:rPr>
                <w:rFonts w:eastAsiaTheme="minorHAnsi" w:cs="Arial"/>
                <w:color w:val="000000"/>
                <w:sz w:val="18"/>
                <w:szCs w:val="18"/>
                <w:lang w:bidi="ar-SA"/>
              </w:rPr>
            </w:pPr>
            <w:r w:rsidRPr="000830C5">
              <w:rPr>
                <w:rFonts w:eastAsiaTheme="minorHAnsi" w:cs="Arial"/>
                <w:color w:val="000000"/>
                <w:sz w:val="18"/>
                <w:szCs w:val="18"/>
                <w:lang w:bidi="ar-SA"/>
              </w:rPr>
              <w:t xml:space="preserve">Hall </w:t>
            </w:r>
            <w:r w:rsidR="00180A32" w:rsidRPr="00180A32">
              <w:rPr>
                <w:rFonts w:eastAsiaTheme="minorHAnsi" w:cs="Arial"/>
                <w:i/>
                <w:iCs/>
                <w:color w:val="000000"/>
                <w:sz w:val="18"/>
                <w:szCs w:val="18"/>
                <w:lang w:bidi="ar-SA"/>
              </w:rPr>
              <w:t xml:space="preserve">et al. </w:t>
            </w:r>
            <w:r w:rsidRPr="000830C5">
              <w:rPr>
                <w:rFonts w:eastAsiaTheme="minorHAnsi" w:cs="Arial"/>
                <w:color w:val="000000"/>
                <w:sz w:val="18"/>
                <w:szCs w:val="18"/>
                <w:lang w:bidi="ar-SA"/>
              </w:rPr>
              <w:t xml:space="preserve"> 2015</w:t>
            </w:r>
          </w:p>
        </w:tc>
      </w:tr>
      <w:tr w:rsidR="000830C5" w:rsidRPr="000830C5" w14:paraId="4B178B5D" w14:textId="77777777" w:rsidTr="000830C5">
        <w:trPr>
          <w:trHeight w:val="60"/>
        </w:trPr>
        <w:tc>
          <w:tcPr>
            <w:tcW w:w="997"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5802E78A" w14:textId="77777777" w:rsidR="000830C5" w:rsidRPr="000830C5" w:rsidRDefault="000830C5" w:rsidP="000830C5">
            <w:pPr>
              <w:autoSpaceDE w:val="0"/>
              <w:autoSpaceDN w:val="0"/>
              <w:adjustRightInd w:val="0"/>
              <w:rPr>
                <w:rFonts w:eastAsiaTheme="minorHAnsi" w:cs="Arial"/>
                <w:sz w:val="18"/>
                <w:szCs w:val="18"/>
                <w:lang w:val="en-US" w:bidi="ar-SA"/>
              </w:rPr>
            </w:pPr>
          </w:p>
        </w:tc>
        <w:tc>
          <w:tcPr>
            <w:tcW w:w="1992"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02797500" w14:textId="77777777" w:rsidR="000830C5" w:rsidRPr="000830C5" w:rsidRDefault="000830C5" w:rsidP="000830C5">
            <w:pPr>
              <w:suppressAutoHyphens/>
              <w:autoSpaceDE w:val="0"/>
              <w:autoSpaceDN w:val="0"/>
              <w:adjustRightInd w:val="0"/>
              <w:spacing w:after="28" w:line="200" w:lineRule="atLeast"/>
              <w:ind w:left="170"/>
              <w:textAlignment w:val="center"/>
              <w:rPr>
                <w:rFonts w:eastAsiaTheme="minorHAnsi" w:cs="Arial"/>
                <w:color w:val="000000"/>
                <w:sz w:val="18"/>
                <w:szCs w:val="18"/>
                <w:lang w:bidi="ar-SA"/>
              </w:rPr>
            </w:pPr>
            <w:r w:rsidRPr="000830C5">
              <w:rPr>
                <w:rFonts w:eastAsiaTheme="minorHAnsi" w:cs="Arial"/>
                <w:color w:val="000000"/>
                <w:sz w:val="18"/>
                <w:szCs w:val="18"/>
                <w:lang w:bidi="ar-SA"/>
              </w:rPr>
              <w:t>Indigenous</w:t>
            </w:r>
          </w:p>
        </w:tc>
        <w:tc>
          <w:tcPr>
            <w:tcW w:w="798"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088A3FA5" w14:textId="77777777" w:rsidR="000830C5" w:rsidRPr="000830C5" w:rsidRDefault="000830C5" w:rsidP="000830C5">
            <w:pPr>
              <w:suppressAutoHyphens/>
              <w:autoSpaceDE w:val="0"/>
              <w:autoSpaceDN w:val="0"/>
              <w:adjustRightInd w:val="0"/>
              <w:spacing w:after="28" w:line="200" w:lineRule="atLeast"/>
              <w:jc w:val="right"/>
              <w:textAlignment w:val="center"/>
              <w:rPr>
                <w:rFonts w:eastAsiaTheme="minorHAnsi" w:cs="Arial"/>
                <w:color w:val="000000"/>
                <w:sz w:val="18"/>
                <w:szCs w:val="18"/>
                <w:lang w:bidi="ar-SA"/>
              </w:rPr>
            </w:pPr>
            <w:r w:rsidRPr="000830C5">
              <w:rPr>
                <w:rFonts w:eastAsiaTheme="minorHAnsi" w:cs="Arial"/>
                <w:color w:val="000000"/>
                <w:sz w:val="18"/>
                <w:szCs w:val="18"/>
                <w:lang w:bidi="ar-SA"/>
              </w:rPr>
              <w:t>3092</w:t>
            </w:r>
          </w:p>
        </w:tc>
        <w:tc>
          <w:tcPr>
            <w:tcW w:w="1213"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3AB84ABA" w14:textId="77777777" w:rsidR="000830C5" w:rsidRPr="000830C5" w:rsidRDefault="000830C5" w:rsidP="000830C5">
            <w:pPr>
              <w:autoSpaceDE w:val="0"/>
              <w:autoSpaceDN w:val="0"/>
              <w:adjustRightInd w:val="0"/>
              <w:jc w:val="right"/>
              <w:rPr>
                <w:rFonts w:eastAsiaTheme="minorHAnsi" w:cs="Arial"/>
                <w:sz w:val="18"/>
                <w:szCs w:val="18"/>
                <w:lang w:val="en-US" w:bidi="ar-SA"/>
              </w:rPr>
            </w:pPr>
          </w:p>
        </w:tc>
      </w:tr>
      <w:tr w:rsidR="000830C5" w:rsidRPr="000830C5" w14:paraId="31B6A9D9" w14:textId="77777777" w:rsidTr="000830C5">
        <w:trPr>
          <w:trHeight w:val="60"/>
        </w:trPr>
        <w:tc>
          <w:tcPr>
            <w:tcW w:w="997"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614A5C7A" w14:textId="77777777" w:rsidR="000830C5" w:rsidRPr="000830C5" w:rsidRDefault="000830C5" w:rsidP="000830C5">
            <w:pPr>
              <w:autoSpaceDE w:val="0"/>
              <w:autoSpaceDN w:val="0"/>
              <w:adjustRightInd w:val="0"/>
              <w:rPr>
                <w:rFonts w:eastAsiaTheme="minorHAnsi" w:cs="Arial"/>
                <w:sz w:val="18"/>
                <w:szCs w:val="18"/>
                <w:lang w:val="en-US" w:bidi="ar-SA"/>
              </w:rPr>
            </w:pPr>
          </w:p>
        </w:tc>
        <w:tc>
          <w:tcPr>
            <w:tcW w:w="1992"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7CCAB186" w14:textId="77777777" w:rsidR="000830C5" w:rsidRPr="000830C5" w:rsidRDefault="000830C5" w:rsidP="000830C5">
            <w:pPr>
              <w:suppressAutoHyphens/>
              <w:autoSpaceDE w:val="0"/>
              <w:autoSpaceDN w:val="0"/>
              <w:adjustRightInd w:val="0"/>
              <w:spacing w:after="28" w:line="200" w:lineRule="atLeast"/>
              <w:ind w:left="170"/>
              <w:textAlignment w:val="center"/>
              <w:rPr>
                <w:rFonts w:eastAsiaTheme="minorHAnsi" w:cs="Arial"/>
                <w:color w:val="000000"/>
                <w:sz w:val="18"/>
                <w:szCs w:val="18"/>
                <w:lang w:bidi="ar-SA"/>
              </w:rPr>
            </w:pPr>
            <w:r w:rsidRPr="000830C5">
              <w:rPr>
                <w:rFonts w:eastAsiaTheme="minorHAnsi" w:cs="Arial"/>
                <w:color w:val="000000"/>
                <w:sz w:val="18"/>
                <w:szCs w:val="18"/>
                <w:lang w:bidi="ar-SA"/>
              </w:rPr>
              <w:t xml:space="preserve">Not indigenous </w:t>
            </w:r>
          </w:p>
        </w:tc>
        <w:tc>
          <w:tcPr>
            <w:tcW w:w="798"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07094F87" w14:textId="77777777" w:rsidR="000830C5" w:rsidRPr="000830C5" w:rsidRDefault="000830C5" w:rsidP="000830C5">
            <w:pPr>
              <w:suppressAutoHyphens/>
              <w:autoSpaceDE w:val="0"/>
              <w:autoSpaceDN w:val="0"/>
              <w:adjustRightInd w:val="0"/>
              <w:spacing w:after="28" w:line="200" w:lineRule="atLeast"/>
              <w:jc w:val="right"/>
              <w:textAlignment w:val="center"/>
              <w:rPr>
                <w:rFonts w:eastAsiaTheme="minorHAnsi" w:cs="Arial"/>
                <w:color w:val="000000"/>
                <w:sz w:val="18"/>
                <w:szCs w:val="18"/>
                <w:lang w:bidi="ar-SA"/>
              </w:rPr>
            </w:pPr>
            <w:r w:rsidRPr="000830C5">
              <w:rPr>
                <w:rFonts w:eastAsiaTheme="minorHAnsi" w:cs="Arial"/>
                <w:color w:val="000000"/>
                <w:sz w:val="18"/>
                <w:szCs w:val="18"/>
                <w:lang w:bidi="ar-SA"/>
              </w:rPr>
              <w:t>3358</w:t>
            </w:r>
          </w:p>
        </w:tc>
        <w:tc>
          <w:tcPr>
            <w:tcW w:w="1213" w:type="pct"/>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0B3CAC9D" w14:textId="77777777" w:rsidR="000830C5" w:rsidRPr="000830C5" w:rsidRDefault="000830C5" w:rsidP="000830C5">
            <w:pPr>
              <w:autoSpaceDE w:val="0"/>
              <w:autoSpaceDN w:val="0"/>
              <w:adjustRightInd w:val="0"/>
              <w:jc w:val="right"/>
              <w:rPr>
                <w:rFonts w:eastAsiaTheme="minorHAnsi" w:cs="Arial"/>
                <w:sz w:val="18"/>
                <w:szCs w:val="18"/>
                <w:lang w:val="en-US" w:bidi="ar-SA"/>
              </w:rPr>
            </w:pPr>
          </w:p>
        </w:tc>
      </w:tr>
    </w:tbl>
    <w:p w14:paraId="54FA9012" w14:textId="0C83EF8A" w:rsidR="00D57216" w:rsidRPr="00D01373" w:rsidRDefault="00A366A0" w:rsidP="00A366A0">
      <w:pPr>
        <w:pStyle w:val="Heading4"/>
      </w:pPr>
      <w:r>
        <w:lastRenderedPageBreak/>
        <w:t>Su</w:t>
      </w:r>
      <w:r w:rsidR="00D57216" w:rsidRPr="00D01373">
        <w:t>mmary</w:t>
      </w:r>
    </w:p>
    <w:p w14:paraId="03F4FBBF" w14:textId="77777777" w:rsidR="00F8101A" w:rsidRPr="00F8101A" w:rsidRDefault="00F8101A" w:rsidP="00A111E9">
      <w:pPr>
        <w:widowControl/>
        <w:rPr>
          <w:rFonts w:eastAsiaTheme="minorHAnsi" w:cstheme="minorBidi"/>
          <w:szCs w:val="22"/>
          <w:lang w:bidi="ar-SA"/>
        </w:rPr>
      </w:pPr>
    </w:p>
    <w:p w14:paraId="73933C55" w14:textId="305CC32A" w:rsidR="008B353D" w:rsidRPr="000C4C17" w:rsidRDefault="008B353D" w:rsidP="00A111E9">
      <w:pPr>
        <w:widowControl/>
        <w:rPr>
          <w:rFonts w:eastAsiaTheme="minorHAnsi" w:cstheme="minorBidi"/>
          <w:szCs w:val="22"/>
          <w:lang w:bidi="ar-SA"/>
        </w:rPr>
      </w:pPr>
      <w:r w:rsidRPr="00F81989">
        <w:rPr>
          <w:rFonts w:eastAsiaTheme="minorHAnsi" w:cstheme="minorBidi"/>
          <w:szCs w:val="22"/>
          <w:lang w:bidi="ar-SA"/>
        </w:rPr>
        <w:t xml:space="preserve">FSANZ’s update of an existing meta-analysis found that a 1ng/mL increment in PFOA was associated with a decrease of 11.9 g in birthweight. </w:t>
      </w:r>
      <w:r w:rsidR="00F8378F" w:rsidRPr="00F81989">
        <w:rPr>
          <w:rFonts w:eastAsiaTheme="minorHAnsi" w:cstheme="minorBidi"/>
          <w:szCs w:val="22"/>
          <w:lang w:bidi="ar-SA"/>
        </w:rPr>
        <w:t>Most studies contributing to the analysis examined populations with PFOA concetrations &lt;20 ng/mL and FSANZ does not believe the result should be extrapolated to higher PFOA concentrations</w:t>
      </w:r>
      <w:r w:rsidR="00BE6D45" w:rsidRPr="00F81989">
        <w:rPr>
          <w:rFonts w:eastAsiaTheme="minorHAnsi" w:cstheme="minorBidi"/>
          <w:szCs w:val="22"/>
          <w:lang w:bidi="ar-SA"/>
        </w:rPr>
        <w:t xml:space="preserve"> on a per ng/mL basis</w:t>
      </w:r>
      <w:r w:rsidR="00F8378F" w:rsidRPr="00F81989">
        <w:rPr>
          <w:rFonts w:eastAsiaTheme="minorHAnsi" w:cstheme="minorBidi"/>
          <w:szCs w:val="22"/>
          <w:lang w:bidi="ar-SA"/>
        </w:rPr>
        <w:t xml:space="preserve">. </w:t>
      </w:r>
      <w:r w:rsidR="00B1115B">
        <w:rPr>
          <w:rFonts w:eastAsiaTheme="minorHAnsi" w:cstheme="minorBidi"/>
          <w:szCs w:val="22"/>
          <w:lang w:bidi="ar-SA"/>
        </w:rPr>
        <w:t>The graphical data indicate that the association of birthweight both PFOA and PFOS may attenuat</w:t>
      </w:r>
      <w:r w:rsidR="005D3FE2">
        <w:rPr>
          <w:rFonts w:eastAsiaTheme="minorHAnsi" w:cstheme="minorBidi"/>
          <w:szCs w:val="22"/>
          <w:lang w:bidi="ar-SA"/>
        </w:rPr>
        <w:t>e at higher blood concentations.</w:t>
      </w:r>
      <w:r w:rsidR="00B1115B">
        <w:rPr>
          <w:rFonts w:eastAsiaTheme="minorHAnsi" w:cstheme="minorBidi"/>
          <w:szCs w:val="22"/>
          <w:lang w:bidi="ar-SA"/>
        </w:rPr>
        <w:t xml:space="preserve"> </w:t>
      </w:r>
      <w:r w:rsidRPr="00F81989">
        <w:rPr>
          <w:rFonts w:eastAsiaTheme="minorHAnsi" w:cstheme="minorBidi"/>
          <w:szCs w:val="22"/>
          <w:lang w:bidi="ar-SA"/>
        </w:rPr>
        <w:t>This analysis excludes a number of studies which did not report their results in a suitable format for inclusion. It also assumes that the relationship is linear whereas many of the authors of the underlying paper used a logarithmic transformation when analysing their data. It is possible that the body of evidence contains selective reporting</w:t>
      </w:r>
      <w:r w:rsidRPr="000C4C17">
        <w:rPr>
          <w:rFonts w:eastAsiaTheme="minorHAnsi" w:cstheme="minorBidi"/>
          <w:szCs w:val="22"/>
          <w:lang w:bidi="ar-SA"/>
        </w:rPr>
        <w:t xml:space="preserve"> or publication bias in the body of literature leading to an over-representation of studies reporting significant adverse effects</w:t>
      </w:r>
      <w:r w:rsidR="005D3FE2">
        <w:rPr>
          <w:rFonts w:eastAsiaTheme="minorHAnsi" w:cstheme="minorBidi"/>
          <w:szCs w:val="22"/>
          <w:lang w:bidi="ar-SA"/>
        </w:rPr>
        <w:t xml:space="preserve"> on birthweight</w:t>
      </w:r>
      <w:r w:rsidRPr="000C4C17">
        <w:rPr>
          <w:rFonts w:eastAsiaTheme="minorHAnsi" w:cstheme="minorBidi"/>
          <w:szCs w:val="22"/>
          <w:lang w:bidi="ar-SA"/>
        </w:rPr>
        <w:t xml:space="preserve">. Furthermore most studies examined associations for PFOA and PFOS separately and did not conduct a mutually-adjusted analysis despite often noting a substantial correlation between PFOA and PFOS. </w:t>
      </w:r>
      <w:r w:rsidR="000A4BE3">
        <w:rPr>
          <w:rFonts w:eastAsiaTheme="minorHAnsi" w:cstheme="minorBidi"/>
          <w:szCs w:val="22"/>
          <w:lang w:bidi="ar-SA"/>
        </w:rPr>
        <w:t>Other explanations of the association are also possible, such as the presence of a physiological change leading to increases in blood PFAS and decreases in birthweight.</w:t>
      </w:r>
    </w:p>
    <w:p w14:paraId="027C52EA" w14:textId="79384054" w:rsidR="00457930" w:rsidRDefault="00F8101A" w:rsidP="00A111E9">
      <w:pPr>
        <w:widowControl/>
        <w:tabs>
          <w:tab w:val="left" w:pos="1129"/>
          <w:tab w:val="left" w:pos="5030"/>
        </w:tabs>
        <w:rPr>
          <w:rFonts w:eastAsiaTheme="minorHAnsi" w:cstheme="minorBidi"/>
          <w:szCs w:val="22"/>
          <w:lang w:bidi="ar-SA"/>
        </w:rPr>
      </w:pPr>
      <w:r w:rsidRPr="00F8101A">
        <w:rPr>
          <w:rFonts w:eastAsiaTheme="minorHAnsi" w:cstheme="minorBidi"/>
          <w:szCs w:val="22"/>
          <w:lang w:bidi="ar-SA"/>
        </w:rPr>
        <w:tab/>
      </w:r>
      <w:r w:rsidR="00457930">
        <w:rPr>
          <w:rFonts w:eastAsiaTheme="minorHAnsi" w:cstheme="minorBidi"/>
          <w:szCs w:val="22"/>
          <w:lang w:bidi="ar-SA"/>
        </w:rPr>
        <w:tab/>
      </w:r>
      <w:r w:rsidR="00457930">
        <w:rPr>
          <w:rFonts w:eastAsiaTheme="minorHAnsi" w:cstheme="minorBidi"/>
          <w:szCs w:val="22"/>
          <w:lang w:bidi="ar-SA"/>
        </w:rPr>
        <w:br w:type="page"/>
      </w:r>
    </w:p>
    <w:p w14:paraId="66606ED7" w14:textId="7F9F6E3F" w:rsidR="00457930" w:rsidRPr="00457930" w:rsidRDefault="00457930" w:rsidP="00A366A0">
      <w:pPr>
        <w:pStyle w:val="Heading4"/>
      </w:pPr>
      <w:r w:rsidRPr="00457930">
        <w:lastRenderedPageBreak/>
        <w:t>Annex</w:t>
      </w:r>
    </w:p>
    <w:p w14:paraId="5269C4E9" w14:textId="22555E66" w:rsidR="00457930" w:rsidRPr="00D01373" w:rsidRDefault="00457930" w:rsidP="00A366A0">
      <w:pPr>
        <w:pStyle w:val="Heading5"/>
        <w:rPr>
          <w:rFonts w:eastAsiaTheme="minorHAnsi"/>
        </w:rPr>
      </w:pPr>
      <w:r w:rsidRPr="00D01373">
        <w:rPr>
          <w:rFonts w:eastAsiaTheme="minorHAnsi"/>
        </w:rPr>
        <w:t>Literature search</w:t>
      </w:r>
    </w:p>
    <w:p w14:paraId="19507EB9" w14:textId="71B7E1DF" w:rsidR="00457930" w:rsidRPr="00D01373" w:rsidRDefault="00457930" w:rsidP="00A111E9">
      <w:r w:rsidRPr="00D01373">
        <w:t xml:space="preserve">Several additional studies were noted from an informal search in PubMed. Then, one of the search strategies given by Johnson </w:t>
      </w:r>
      <w:r w:rsidR="00180A32" w:rsidRPr="00180A32">
        <w:rPr>
          <w:i/>
        </w:rPr>
        <w:t xml:space="preserve">et al. </w:t>
      </w:r>
      <w:r w:rsidRPr="00D01373">
        <w:t xml:space="preserve"> (2014) was selected in run in PubMed. </w:t>
      </w:r>
      <w:r w:rsidR="005D3FE2">
        <w:t xml:space="preserve">Annex </w:t>
      </w:r>
      <w:r w:rsidRPr="00D01373">
        <w:t xml:space="preserve">Table 1 shows the search terms and retrieved results as at December 15, 2016. Although Johnson </w:t>
      </w:r>
      <w:r w:rsidR="00180A32" w:rsidRPr="00180A32">
        <w:rPr>
          <w:i/>
        </w:rPr>
        <w:t xml:space="preserve">et al. </w:t>
      </w:r>
      <w:r w:rsidRPr="00D01373">
        <w:t xml:space="preserve"> (2014) had run this on 30</w:t>
      </w:r>
      <w:r w:rsidRPr="00D01373">
        <w:rPr>
          <w:vertAlign w:val="superscript"/>
        </w:rPr>
        <w:t>th</w:t>
      </w:r>
      <w:r w:rsidRPr="00D01373">
        <w:t xml:space="preserve"> April 2012, FSANZ selected a start date of ‘5 years ago’ which started the search at the end of 2011 to allow for possible delays in cataloguing papers in PubMed. Given the wide-ranging search strategy used by Johnson </w:t>
      </w:r>
      <w:r w:rsidR="00180A32" w:rsidRPr="00180A32">
        <w:rPr>
          <w:i/>
        </w:rPr>
        <w:t xml:space="preserve">et al. </w:t>
      </w:r>
      <w:r w:rsidRPr="00D01373">
        <w:t xml:space="preserve"> (2014), most of the papers were ruled out based on their titles. The search strategy identified four papers which were listed in Johnson </w:t>
      </w:r>
      <w:r w:rsidR="00180A32" w:rsidRPr="00180A32">
        <w:rPr>
          <w:i/>
        </w:rPr>
        <w:t xml:space="preserve">et al. </w:t>
      </w:r>
      <w:r w:rsidRPr="00D01373">
        <w:t xml:space="preserve"> (2014) and four papers subsequently identified by Bach </w:t>
      </w:r>
      <w:r w:rsidR="00180A32" w:rsidRPr="00180A32">
        <w:rPr>
          <w:i/>
        </w:rPr>
        <w:t xml:space="preserve">et al. </w:t>
      </w:r>
      <w:r w:rsidRPr="00D01373">
        <w:t xml:space="preserve"> (2015) in their later systematic review. Therefore it was decided not to replicate the search strategy of Bach </w:t>
      </w:r>
      <w:r w:rsidR="00180A32" w:rsidRPr="00180A32">
        <w:rPr>
          <w:i/>
        </w:rPr>
        <w:t xml:space="preserve">et al. </w:t>
      </w:r>
      <w:r w:rsidRPr="00D01373">
        <w:t xml:space="preserve"> (2015). Since the search conducted by Bach </w:t>
      </w:r>
      <w:r w:rsidR="00180A32" w:rsidRPr="00180A32">
        <w:rPr>
          <w:i/>
        </w:rPr>
        <w:t xml:space="preserve">et al. </w:t>
      </w:r>
      <w:r w:rsidRPr="00D01373">
        <w:t xml:space="preserve"> (2015), eight additional papers have been published</w:t>
      </w:r>
      <w:r w:rsidR="005D3FE2">
        <w:t xml:space="preserve"> (Annex Figure 1)</w:t>
      </w:r>
      <w:r w:rsidRPr="00D01373">
        <w:t>. The decision about whether these and other papers described in the two existing reviews should be included in the FSANZ review is given in the body of this report.</w:t>
      </w:r>
    </w:p>
    <w:p w14:paraId="4805F606" w14:textId="77777777" w:rsidR="00457930" w:rsidRPr="00D01373" w:rsidRDefault="00457930" w:rsidP="00A111E9"/>
    <w:p w14:paraId="27BC0FEF" w14:textId="43CA2BC5" w:rsidR="00457930" w:rsidRDefault="00457930" w:rsidP="00A111E9">
      <w:pPr>
        <w:pStyle w:val="FSTableTitle"/>
      </w:pPr>
      <w:r w:rsidRPr="00D01373">
        <w:t>Annex Table 1 Search strategy in PubMed, with re</w:t>
      </w:r>
      <w:r w:rsidR="005D3FE2">
        <w:t>sults</w:t>
      </w:r>
      <w:r w:rsidRPr="00D01373">
        <w:t xml:space="preserve"> </w:t>
      </w:r>
      <w:r w:rsidR="008741B5">
        <w:t>retrieved</w:t>
      </w:r>
      <w:r w:rsidRPr="00D01373">
        <w:t xml:space="preserve"> </w:t>
      </w:r>
      <w:r w:rsidR="005D3FE2">
        <w:t xml:space="preserve">for the final search </w:t>
      </w:r>
      <w:r w:rsidRPr="00D01373">
        <w:t>on 15 December, 2016</w:t>
      </w:r>
    </w:p>
    <w:tbl>
      <w:tblPr>
        <w:tblW w:w="4966" w:type="pct"/>
        <w:tblCellSpacing w:w="15" w:type="dxa"/>
        <w:tblCellMar>
          <w:top w:w="15" w:type="dxa"/>
          <w:left w:w="15" w:type="dxa"/>
          <w:bottom w:w="15" w:type="dxa"/>
          <w:right w:w="15" w:type="dxa"/>
        </w:tblCellMar>
        <w:tblLook w:val="06A0" w:firstRow="1" w:lastRow="0" w:firstColumn="1" w:lastColumn="0" w:noHBand="1" w:noVBand="1"/>
      </w:tblPr>
      <w:tblGrid>
        <w:gridCol w:w="869"/>
        <w:gridCol w:w="7174"/>
        <w:gridCol w:w="1150"/>
      </w:tblGrid>
      <w:tr w:rsidR="00457930" w:rsidRPr="00D01373" w14:paraId="3C2592FC" w14:textId="77777777" w:rsidTr="000830C5">
        <w:trPr>
          <w:tblHeader/>
          <w:tblCellSpacing w:w="15" w:type="dxa"/>
        </w:trPr>
        <w:tc>
          <w:tcPr>
            <w:tcW w:w="448"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14:paraId="6DB70C5A" w14:textId="77777777" w:rsidR="00457930" w:rsidRPr="00D01373" w:rsidRDefault="00457930" w:rsidP="00A111E9">
            <w:pPr>
              <w:rPr>
                <w:rFonts w:cs="Arial"/>
                <w:lang w:eastAsia="en-GB"/>
              </w:rPr>
            </w:pPr>
            <w:r w:rsidRPr="00D01373">
              <w:rPr>
                <w:rFonts w:cs="Arial"/>
                <w:lang w:eastAsia="en-GB"/>
              </w:rPr>
              <w:t>Search</w:t>
            </w:r>
          </w:p>
        </w:tc>
        <w:tc>
          <w:tcPr>
            <w:tcW w:w="3886"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14:paraId="2261D3A8" w14:textId="77777777" w:rsidR="00457930" w:rsidRPr="00D01373" w:rsidRDefault="00457930" w:rsidP="00A111E9">
            <w:pPr>
              <w:rPr>
                <w:rFonts w:cs="Arial"/>
                <w:lang w:eastAsia="en-GB"/>
              </w:rPr>
            </w:pPr>
            <w:r w:rsidRPr="00D01373">
              <w:rPr>
                <w:rFonts w:cs="Arial"/>
                <w:lang w:eastAsia="en-GB"/>
              </w:rPr>
              <w:t>Query</w:t>
            </w:r>
          </w:p>
        </w:tc>
        <w:tc>
          <w:tcPr>
            <w:tcW w:w="601"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14:paraId="1E018A5B" w14:textId="77777777" w:rsidR="00457930" w:rsidRPr="00D01373" w:rsidRDefault="00457930" w:rsidP="00A111E9">
            <w:pPr>
              <w:rPr>
                <w:rFonts w:cs="Arial"/>
                <w:lang w:eastAsia="en-GB"/>
              </w:rPr>
            </w:pPr>
            <w:r w:rsidRPr="00D01373">
              <w:rPr>
                <w:rFonts w:cs="Arial"/>
                <w:lang w:eastAsia="en-GB"/>
              </w:rPr>
              <w:t>Items found</w:t>
            </w:r>
          </w:p>
        </w:tc>
      </w:tr>
      <w:tr w:rsidR="00457930" w:rsidRPr="00D01373" w14:paraId="1FD3CECE" w14:textId="77777777" w:rsidTr="000830C5">
        <w:trPr>
          <w:tblCellSpacing w:w="15" w:type="dxa"/>
        </w:trPr>
        <w:tc>
          <w:tcPr>
            <w:tcW w:w="448" w:type="pct"/>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884A3CB" w14:textId="77777777" w:rsidR="00457930" w:rsidRPr="00D01373" w:rsidRDefault="00FA183D" w:rsidP="00A111E9">
            <w:pPr>
              <w:rPr>
                <w:rFonts w:cs="Arial"/>
                <w:lang w:eastAsia="en-GB"/>
              </w:rPr>
            </w:pPr>
            <w:hyperlink r:id="rId49" w:tooltip="Perform actions on search" w:history="1">
              <w:r w:rsidR="00457930" w:rsidRPr="00D01373">
                <w:rPr>
                  <w:rFonts w:cs="Arial"/>
                  <w:lang w:eastAsia="en-GB"/>
                </w:rPr>
                <w:t>#5</w:t>
              </w:r>
            </w:hyperlink>
          </w:p>
        </w:tc>
        <w:tc>
          <w:tcPr>
            <w:tcW w:w="3886" w:type="pct"/>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38C58D8" w14:textId="77777777" w:rsidR="00457930" w:rsidRPr="00D01373" w:rsidRDefault="00457930" w:rsidP="00A111E9">
            <w:pPr>
              <w:rPr>
                <w:rFonts w:cs="Arial"/>
                <w:lang w:eastAsia="en-GB"/>
              </w:rPr>
            </w:pPr>
            <w:r w:rsidRPr="00D01373">
              <w:rPr>
                <w:rFonts w:cs="Arial"/>
              </w:rPr>
              <w:t xml:space="preserve">Search </w:t>
            </w:r>
            <w:r w:rsidRPr="00D01373">
              <w:rPr>
                <w:rFonts w:cs="Arial"/>
                <w:bCs/>
              </w:rPr>
              <w:t>#4</w:t>
            </w:r>
            <w:r w:rsidRPr="00D01373">
              <w:rPr>
                <w:rFonts w:cs="Arial"/>
              </w:rPr>
              <w:t xml:space="preserve"> Filters: </w:t>
            </w:r>
            <w:r w:rsidRPr="00D01373">
              <w:rPr>
                <w:rFonts w:cs="Arial"/>
                <w:bCs/>
              </w:rPr>
              <w:t>published in the last 5 years</w:t>
            </w:r>
          </w:p>
        </w:tc>
        <w:tc>
          <w:tcPr>
            <w:tcW w:w="601" w:type="pct"/>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A3935DB" w14:textId="77777777" w:rsidR="00457930" w:rsidRPr="00D01373" w:rsidRDefault="00FA183D" w:rsidP="00A111E9">
            <w:pPr>
              <w:rPr>
                <w:rFonts w:cs="Arial"/>
                <w:lang w:eastAsia="en-GB"/>
              </w:rPr>
            </w:pPr>
            <w:hyperlink r:id="rId50" w:tooltip="Show search results" w:history="1">
              <w:r w:rsidR="00457930" w:rsidRPr="00D01373">
                <w:rPr>
                  <w:rFonts w:cs="Arial"/>
                  <w:lang w:eastAsia="en-GB"/>
                </w:rPr>
                <w:t>493</w:t>
              </w:r>
            </w:hyperlink>
          </w:p>
        </w:tc>
      </w:tr>
      <w:tr w:rsidR="00457930" w:rsidRPr="00D01373" w14:paraId="76090937" w14:textId="77777777" w:rsidTr="000830C5">
        <w:trPr>
          <w:tblCellSpacing w:w="15" w:type="dxa"/>
        </w:trPr>
        <w:tc>
          <w:tcPr>
            <w:tcW w:w="448" w:type="pct"/>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BB169D0" w14:textId="77777777" w:rsidR="00457930" w:rsidRPr="00D01373" w:rsidRDefault="00FA183D" w:rsidP="00A111E9">
            <w:pPr>
              <w:rPr>
                <w:rFonts w:cs="Arial"/>
                <w:lang w:eastAsia="en-GB"/>
              </w:rPr>
            </w:pPr>
            <w:hyperlink r:id="rId51" w:tooltip="Perform actions on search" w:history="1">
              <w:r w:rsidR="00457930" w:rsidRPr="00D01373">
                <w:rPr>
                  <w:rFonts w:cs="Arial"/>
                  <w:lang w:eastAsia="en-GB"/>
                </w:rPr>
                <w:t>#4</w:t>
              </w:r>
            </w:hyperlink>
          </w:p>
        </w:tc>
        <w:tc>
          <w:tcPr>
            <w:tcW w:w="3886" w:type="pct"/>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0351427" w14:textId="77777777" w:rsidR="00457930" w:rsidRPr="00D01373" w:rsidRDefault="00457930" w:rsidP="00A111E9">
            <w:pPr>
              <w:rPr>
                <w:rFonts w:cs="Arial"/>
                <w:lang w:eastAsia="en-GB"/>
              </w:rPr>
            </w:pPr>
            <w:r w:rsidRPr="00D01373">
              <w:rPr>
                <w:rFonts w:cs="Arial"/>
                <w:lang w:eastAsia="en-GB"/>
              </w:rPr>
              <w:t xml:space="preserve">Search </w:t>
            </w:r>
            <w:r w:rsidRPr="00D01373">
              <w:rPr>
                <w:rFonts w:cs="Arial"/>
                <w:bCs/>
                <w:lang w:eastAsia="en-GB"/>
              </w:rPr>
              <w:t>(#1 AND #2 AND #3)</w:t>
            </w:r>
          </w:p>
        </w:tc>
        <w:tc>
          <w:tcPr>
            <w:tcW w:w="601" w:type="pct"/>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F52C981" w14:textId="77777777" w:rsidR="00457930" w:rsidRPr="00D01373" w:rsidRDefault="00FA183D" w:rsidP="00A111E9">
            <w:pPr>
              <w:rPr>
                <w:rFonts w:cs="Arial"/>
                <w:lang w:eastAsia="en-GB"/>
              </w:rPr>
            </w:pPr>
            <w:hyperlink r:id="rId52" w:tooltip="Show search results" w:history="1">
              <w:r w:rsidR="00457930" w:rsidRPr="00D01373">
                <w:rPr>
                  <w:rFonts w:cs="Arial"/>
                  <w:lang w:eastAsia="en-GB"/>
                </w:rPr>
                <w:t>1437</w:t>
              </w:r>
            </w:hyperlink>
          </w:p>
        </w:tc>
      </w:tr>
      <w:tr w:rsidR="00457930" w:rsidRPr="00D01373" w14:paraId="27E29BC9" w14:textId="77777777" w:rsidTr="000830C5">
        <w:trPr>
          <w:tblCellSpacing w:w="15" w:type="dxa"/>
        </w:trPr>
        <w:tc>
          <w:tcPr>
            <w:tcW w:w="448" w:type="pct"/>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3B389C2" w14:textId="77777777" w:rsidR="00457930" w:rsidRPr="00D01373" w:rsidRDefault="00FA183D" w:rsidP="00A111E9">
            <w:pPr>
              <w:rPr>
                <w:rFonts w:cs="Arial"/>
                <w:lang w:eastAsia="en-GB"/>
              </w:rPr>
            </w:pPr>
            <w:hyperlink r:id="rId53" w:tooltip="Perform actions on search" w:history="1">
              <w:r w:rsidR="00457930" w:rsidRPr="00D01373">
                <w:rPr>
                  <w:rFonts w:cs="Arial"/>
                  <w:lang w:eastAsia="en-GB"/>
                </w:rPr>
                <w:t>#3</w:t>
              </w:r>
            </w:hyperlink>
          </w:p>
        </w:tc>
        <w:tc>
          <w:tcPr>
            <w:tcW w:w="3886" w:type="pct"/>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9B8B06B" w14:textId="77777777" w:rsidR="00457930" w:rsidRPr="00D01373" w:rsidRDefault="00457930" w:rsidP="00A111E9">
            <w:pPr>
              <w:rPr>
                <w:rFonts w:cs="Arial"/>
                <w:lang w:eastAsia="en-GB"/>
              </w:rPr>
            </w:pPr>
            <w:r w:rsidRPr="00D01373">
              <w:rPr>
                <w:rFonts w:cs="Arial"/>
                <w:lang w:eastAsia="en-GB"/>
              </w:rPr>
              <w:t xml:space="preserve">Search </w:t>
            </w:r>
            <w:r w:rsidRPr="00D01373">
              <w:rPr>
                <w:rFonts w:cs="Arial"/>
                <w:bCs/>
                <w:lang w:eastAsia="en-GB"/>
              </w:rPr>
              <w:t>(epidemio* OR cohort OR participant* OR questionnaire)</w:t>
            </w:r>
          </w:p>
        </w:tc>
        <w:tc>
          <w:tcPr>
            <w:tcW w:w="601" w:type="pct"/>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D54C3A7" w14:textId="77777777" w:rsidR="00457930" w:rsidRPr="00D01373" w:rsidRDefault="00FA183D" w:rsidP="00A111E9">
            <w:pPr>
              <w:rPr>
                <w:rFonts w:cs="Arial"/>
                <w:lang w:eastAsia="en-GB"/>
              </w:rPr>
            </w:pPr>
            <w:hyperlink r:id="rId54" w:tooltip="Show search results" w:history="1">
              <w:r w:rsidR="00457930" w:rsidRPr="00D01373">
                <w:rPr>
                  <w:rFonts w:cs="Arial"/>
                  <w:lang w:eastAsia="en-GB"/>
                </w:rPr>
                <w:t>2899423</w:t>
              </w:r>
            </w:hyperlink>
          </w:p>
        </w:tc>
      </w:tr>
      <w:tr w:rsidR="00457930" w:rsidRPr="00D01373" w14:paraId="350A274E" w14:textId="77777777" w:rsidTr="000830C5">
        <w:trPr>
          <w:tblCellSpacing w:w="15" w:type="dxa"/>
        </w:trPr>
        <w:tc>
          <w:tcPr>
            <w:tcW w:w="448" w:type="pct"/>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B7F37C0" w14:textId="77777777" w:rsidR="00457930" w:rsidRPr="00D01373" w:rsidRDefault="00FA183D" w:rsidP="00A111E9">
            <w:pPr>
              <w:rPr>
                <w:rFonts w:cs="Arial"/>
                <w:lang w:eastAsia="en-GB"/>
              </w:rPr>
            </w:pPr>
            <w:hyperlink r:id="rId55" w:tooltip="Perform actions on search" w:history="1">
              <w:r w:rsidR="00457930" w:rsidRPr="00D01373">
                <w:rPr>
                  <w:rFonts w:cs="Arial"/>
                  <w:lang w:eastAsia="en-GB"/>
                </w:rPr>
                <w:t>#2</w:t>
              </w:r>
            </w:hyperlink>
          </w:p>
        </w:tc>
        <w:tc>
          <w:tcPr>
            <w:tcW w:w="3886" w:type="pct"/>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A8A9067" w14:textId="77777777" w:rsidR="00457930" w:rsidRPr="00D01373" w:rsidRDefault="00457930" w:rsidP="00A111E9">
            <w:pPr>
              <w:rPr>
                <w:rFonts w:cs="Arial"/>
                <w:lang w:eastAsia="en-GB"/>
              </w:rPr>
            </w:pPr>
            <w:r w:rsidRPr="00D01373">
              <w:rPr>
                <w:rFonts w:cs="Arial"/>
                <w:lang w:eastAsia="en-GB"/>
              </w:rPr>
              <w:t xml:space="preserve">Search </w:t>
            </w:r>
            <w:r w:rsidRPr="00D01373">
              <w:rPr>
                <w:rFonts w:cs="Arial"/>
                <w:bCs/>
                <w:lang w:eastAsia="en-GB"/>
              </w:rPr>
              <w:t>(developmental biology OR embryonic fetal development OR embryonic* OR fetal development OR growth and development OR development* OR embryology OR ecotoxicology OR ecolog* OR toxic* OR toxicol* OR toxicogenetic* OR growth OR environment and public health OR body weight OR body weights OR birth weight OR birth weights OR birthweight* OR infant, low birth weight OR embryo loss OR embryo losses OR gestational age OR gestational ages OR endocrine disruption OR endocrine disrupting OR reproduction)</w:t>
            </w:r>
          </w:p>
        </w:tc>
        <w:tc>
          <w:tcPr>
            <w:tcW w:w="601" w:type="pct"/>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0D2761D" w14:textId="77777777" w:rsidR="00457930" w:rsidRPr="00D01373" w:rsidRDefault="00FA183D" w:rsidP="00A111E9">
            <w:pPr>
              <w:rPr>
                <w:rFonts w:cs="Arial"/>
                <w:lang w:eastAsia="en-GB"/>
              </w:rPr>
            </w:pPr>
            <w:hyperlink r:id="rId56" w:tooltip="Show search results" w:history="1">
              <w:r w:rsidR="00457930" w:rsidRPr="00D01373">
                <w:rPr>
                  <w:rFonts w:cs="Arial"/>
                  <w:lang w:eastAsia="en-GB"/>
                </w:rPr>
                <w:t>11250338</w:t>
              </w:r>
            </w:hyperlink>
          </w:p>
        </w:tc>
      </w:tr>
      <w:tr w:rsidR="00457930" w:rsidRPr="00D01373" w14:paraId="2263BBFD" w14:textId="77777777" w:rsidTr="000830C5">
        <w:trPr>
          <w:tblCellSpacing w:w="15" w:type="dxa"/>
        </w:trPr>
        <w:tc>
          <w:tcPr>
            <w:tcW w:w="448" w:type="pct"/>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1929CF9" w14:textId="77777777" w:rsidR="00457930" w:rsidRPr="00D01373" w:rsidRDefault="00457930" w:rsidP="00A111E9">
            <w:pPr>
              <w:rPr>
                <w:rFonts w:cs="Arial"/>
                <w:lang w:eastAsia="en-GB"/>
              </w:rPr>
            </w:pPr>
            <w:r w:rsidRPr="00D01373">
              <w:rPr>
                <w:rFonts w:cs="Arial"/>
                <w:lang w:eastAsia="en-GB"/>
              </w:rPr>
              <w:t>#1</w:t>
            </w:r>
          </w:p>
        </w:tc>
        <w:tc>
          <w:tcPr>
            <w:tcW w:w="3886" w:type="pct"/>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09CDACB" w14:textId="77777777" w:rsidR="00457930" w:rsidRPr="00D01373" w:rsidRDefault="00457930" w:rsidP="00A111E9">
            <w:pPr>
              <w:rPr>
                <w:rFonts w:cs="Arial"/>
                <w:lang w:eastAsia="en-GB"/>
              </w:rPr>
            </w:pPr>
            <w:r w:rsidRPr="00D01373">
              <w:rPr>
                <w:rFonts w:cs="Arial"/>
                <w:lang w:eastAsia="en-GB"/>
              </w:rPr>
              <w:t xml:space="preserve">Search </w:t>
            </w:r>
            <w:r w:rsidRPr="00D01373">
              <w:rPr>
                <w:rFonts w:cs="Arial"/>
                <w:bCs/>
                <w:lang w:eastAsia="en-GB"/>
              </w:rPr>
              <w:t>(perfluorooctanoic acid OR perfluoro n octanoic acid OR pentadecafluorooctanoic acid OR apfo OR perfluorinated octanoic acid OR perfluorooctanoate OR perfluorooctanoyl chloride OR pfoa OR fluorinated telomer alcohol OR fluorinated telomer alcohols OR fluorotelomer alcohol OR fluorotelomer alcohols OR fluorocarbon emulsion OR perfluorocarbon* OR fluorocarbon polymer OR fluorocarbon polymers OR fluorinated polymer OR fluorinated polymers OR polyfluoroalkyl* OR pfaa OR perfluoroalkyl chemical OR perfluoroalkyl chemicals OR c8 OR perfluorochemical* OR pfcs OR perfluoroalkyl carboxylate OR perfluorocarboxylates OR pfca OR perfluorinated carboxylic acid OR pentadecafluorooctanoate)</w:t>
            </w:r>
          </w:p>
        </w:tc>
        <w:tc>
          <w:tcPr>
            <w:tcW w:w="601" w:type="pct"/>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C826B86" w14:textId="77777777" w:rsidR="00457930" w:rsidRPr="00D01373" w:rsidRDefault="00FA183D" w:rsidP="00A111E9">
            <w:pPr>
              <w:rPr>
                <w:rFonts w:cs="Arial"/>
                <w:lang w:eastAsia="en-GB"/>
              </w:rPr>
            </w:pPr>
            <w:hyperlink r:id="rId57" w:tooltip="Show search results" w:history="1">
              <w:r w:rsidR="00457930" w:rsidRPr="00D01373">
                <w:rPr>
                  <w:rFonts w:cs="Arial"/>
                  <w:lang w:eastAsia="en-GB"/>
                </w:rPr>
                <w:t>33342</w:t>
              </w:r>
            </w:hyperlink>
          </w:p>
        </w:tc>
      </w:tr>
    </w:tbl>
    <w:p w14:paraId="469BBD07" w14:textId="493B6A49" w:rsidR="00457930" w:rsidRPr="00D01373" w:rsidRDefault="00033E38" w:rsidP="00A111E9">
      <w:pPr>
        <w:pStyle w:val="FSFigureTitle"/>
      </w:pPr>
      <w:r>
        <w:rPr>
          <w:noProof/>
          <w:lang w:eastAsia="en-GB" w:bidi="ar-SA"/>
        </w:rPr>
        <w:lastRenderedPageBreak/>
        <w:drawing>
          <wp:inline distT="0" distB="0" distL="0" distR="0" wp14:anchorId="07695BA6" wp14:editId="6B7ADB00">
            <wp:extent cx="5759450" cy="4218674"/>
            <wp:effectExtent l="0" t="0" r="6350" b="0"/>
            <wp:docPr id="13" name="Picture 13" title="Annex Figure 1 Screening outcome of the 493 items retrieved from the PubMe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59450" cy="4218674"/>
                    </a:xfrm>
                    <a:prstGeom prst="rect">
                      <a:avLst/>
                    </a:prstGeom>
                  </pic:spPr>
                </pic:pic>
              </a:graphicData>
            </a:graphic>
          </wp:inline>
        </w:drawing>
      </w:r>
      <w:r w:rsidR="00457930" w:rsidRPr="00D01373">
        <w:rPr>
          <w:rFonts w:eastAsiaTheme="minorHAnsi"/>
          <w:szCs w:val="22"/>
          <w:lang w:bidi="ar-SA"/>
        </w:rPr>
        <w:t>Annex Figure 1</w:t>
      </w:r>
      <w:r w:rsidR="00457930" w:rsidRPr="00D01373">
        <w:t xml:space="preserve"> Screening outcome of the 493 items retrieved from the PubMed search</w:t>
      </w:r>
    </w:p>
    <w:p w14:paraId="0D8A3061" w14:textId="77777777" w:rsidR="00457930" w:rsidRPr="00D01373" w:rsidRDefault="00457930" w:rsidP="00A366A0">
      <w:pPr>
        <w:pStyle w:val="Heading5"/>
        <w:rPr>
          <w:rFonts w:eastAsiaTheme="minorHAnsi"/>
        </w:rPr>
      </w:pPr>
      <w:r w:rsidRPr="00D01373">
        <w:rPr>
          <w:rFonts w:eastAsiaTheme="minorHAnsi"/>
        </w:rPr>
        <w:t>Updated meta-analysis of PFOA and birthweight</w:t>
      </w:r>
    </w:p>
    <w:p w14:paraId="78B359D1" w14:textId="77777777" w:rsidR="00457930" w:rsidRDefault="00457930" w:rsidP="00A111E9">
      <w:pPr>
        <w:widowControl/>
        <w:numPr>
          <w:ilvl w:val="0"/>
          <w:numId w:val="46"/>
        </w:numPr>
        <w:autoSpaceDE w:val="0"/>
        <w:autoSpaceDN w:val="0"/>
        <w:adjustRightInd w:val="0"/>
        <w:contextualSpacing/>
        <w:rPr>
          <w:rFonts w:eastAsiaTheme="minorHAnsi" w:cs="Arial"/>
          <w:szCs w:val="22"/>
          <w:lang w:bidi="ar-SA"/>
        </w:rPr>
      </w:pPr>
      <w:r w:rsidRPr="00D01373">
        <w:rPr>
          <w:rFonts w:eastAsiaTheme="minorHAnsi" w:cs="Arial"/>
          <w:szCs w:val="22"/>
          <w:lang w:bidi="ar-SA"/>
        </w:rPr>
        <w:t>Demonstration that identical results are obtained</w:t>
      </w:r>
    </w:p>
    <w:p w14:paraId="701EF320" w14:textId="77777777" w:rsidR="00A366A0" w:rsidRPr="00D01373" w:rsidRDefault="00A366A0" w:rsidP="00A366A0">
      <w:pPr>
        <w:widowControl/>
        <w:autoSpaceDE w:val="0"/>
        <w:autoSpaceDN w:val="0"/>
        <w:adjustRightInd w:val="0"/>
        <w:contextualSpacing/>
        <w:rPr>
          <w:rFonts w:eastAsiaTheme="minorHAnsi" w:cs="Arial"/>
          <w:szCs w:val="22"/>
          <w:lang w:bidi="ar-SA"/>
        </w:rPr>
      </w:pPr>
    </w:p>
    <w:p w14:paraId="23A0E5F1" w14:textId="4C43EC88" w:rsidR="00457930" w:rsidRPr="00D01373" w:rsidRDefault="00457930" w:rsidP="00A111E9">
      <w:pPr>
        <w:widowControl/>
        <w:autoSpaceDE w:val="0"/>
        <w:autoSpaceDN w:val="0"/>
        <w:adjustRightInd w:val="0"/>
        <w:rPr>
          <w:rFonts w:eastAsiaTheme="minorHAnsi" w:cs="Arial"/>
          <w:szCs w:val="22"/>
          <w:lang w:bidi="ar-SA"/>
        </w:rPr>
      </w:pPr>
      <w:r w:rsidRPr="00D01373">
        <w:rPr>
          <w:rFonts w:eastAsiaTheme="minorHAnsi" w:cs="Arial"/>
          <w:szCs w:val="22"/>
          <w:lang w:bidi="ar-SA"/>
        </w:rPr>
        <w:t xml:space="preserve">FSANZ abstracted the effect sizes and 95% CI from Figure 5 of Johnson </w:t>
      </w:r>
      <w:r w:rsidR="00180A32" w:rsidRPr="00180A32">
        <w:rPr>
          <w:rFonts w:eastAsiaTheme="minorHAnsi" w:cs="Arial"/>
          <w:i/>
          <w:szCs w:val="22"/>
          <w:lang w:bidi="ar-SA"/>
        </w:rPr>
        <w:t xml:space="preserve">et al. </w:t>
      </w:r>
      <w:r w:rsidR="00CC50B8">
        <w:rPr>
          <w:rFonts w:eastAsiaTheme="minorHAnsi" w:cs="Arial"/>
          <w:szCs w:val="22"/>
          <w:lang w:bidi="ar-SA"/>
        </w:rPr>
        <w:t xml:space="preserve"> </w:t>
      </w:r>
      <w:r w:rsidRPr="00D01373">
        <w:rPr>
          <w:rFonts w:eastAsiaTheme="minorHAnsi" w:cs="Arial"/>
          <w:szCs w:val="22"/>
          <w:lang w:bidi="ar-SA"/>
        </w:rPr>
        <w:t xml:space="preserve">(2014) </w:t>
      </w:r>
      <w:r w:rsidR="00DF3CEA">
        <w:rPr>
          <w:rFonts w:eastAsiaTheme="minorHAnsi" w:cs="Arial"/>
          <w:szCs w:val="22"/>
          <w:lang w:bidi="ar-SA"/>
        </w:rPr>
        <w:t xml:space="preserve">(which is reproduced in Figure A1.2 of this report) </w:t>
      </w:r>
      <w:r w:rsidRPr="00D01373">
        <w:rPr>
          <w:rFonts w:eastAsiaTheme="minorHAnsi" w:cs="Arial"/>
          <w:szCs w:val="22"/>
          <w:lang w:bidi="ar-SA"/>
        </w:rPr>
        <w:t xml:space="preserve">and </w:t>
      </w:r>
      <w:r w:rsidR="008741B5">
        <w:rPr>
          <w:rFonts w:eastAsiaTheme="minorHAnsi" w:cs="Arial"/>
          <w:szCs w:val="22"/>
          <w:lang w:bidi="ar-SA"/>
        </w:rPr>
        <w:t xml:space="preserve">analysed these in </w:t>
      </w:r>
      <w:r w:rsidRPr="00D01373">
        <w:rPr>
          <w:rFonts w:eastAsiaTheme="minorHAnsi" w:cs="Arial"/>
          <w:szCs w:val="22"/>
          <w:lang w:bidi="ar-SA"/>
        </w:rPr>
        <w:t xml:space="preserve">STATA </w:t>
      </w:r>
      <w:r w:rsidR="008741B5">
        <w:rPr>
          <w:rFonts w:eastAsiaTheme="minorHAnsi" w:cs="Arial"/>
          <w:szCs w:val="22"/>
          <w:lang w:bidi="ar-SA"/>
        </w:rPr>
        <w:t>13.1 (Intercooled, College Station, TX)</w:t>
      </w:r>
      <w:r w:rsidRPr="00D01373">
        <w:rPr>
          <w:rFonts w:eastAsiaTheme="minorHAnsi" w:cs="Arial"/>
          <w:szCs w:val="22"/>
          <w:lang w:bidi="ar-SA"/>
        </w:rPr>
        <w:t xml:space="preserve"> using the command</w:t>
      </w:r>
    </w:p>
    <w:p w14:paraId="6EA22338" w14:textId="77777777" w:rsidR="00457930" w:rsidRPr="00D01373" w:rsidRDefault="00457930" w:rsidP="00A111E9">
      <w:pPr>
        <w:widowControl/>
        <w:autoSpaceDE w:val="0"/>
        <w:autoSpaceDN w:val="0"/>
        <w:adjustRightInd w:val="0"/>
        <w:rPr>
          <w:rFonts w:eastAsiaTheme="minorHAnsi" w:cs="Arial"/>
          <w:szCs w:val="22"/>
          <w:lang w:bidi="ar-SA"/>
        </w:rPr>
      </w:pPr>
    </w:p>
    <w:p w14:paraId="5D2DFEEC" w14:textId="77777777" w:rsidR="00457930" w:rsidRPr="00D01373" w:rsidRDefault="00457930" w:rsidP="00A111E9">
      <w:pPr>
        <w:widowControl/>
        <w:autoSpaceDE w:val="0"/>
        <w:autoSpaceDN w:val="0"/>
        <w:adjustRightInd w:val="0"/>
        <w:rPr>
          <w:rFonts w:eastAsiaTheme="minorHAnsi" w:cs="Arial"/>
          <w:szCs w:val="22"/>
          <w:lang w:bidi="ar-SA"/>
        </w:rPr>
      </w:pPr>
      <w:r w:rsidRPr="00D01373">
        <w:rPr>
          <w:rFonts w:eastAsiaTheme="minorHAnsi" w:cs="Arial"/>
          <w:szCs w:val="22"/>
          <w:lang w:bidi="ar-SA"/>
        </w:rPr>
        <w:t>metan meandiff lci uci, random label(namevar=authors)</w:t>
      </w:r>
    </w:p>
    <w:p w14:paraId="48998D02" w14:textId="77777777" w:rsidR="00457930" w:rsidRPr="00D01373" w:rsidRDefault="00457930" w:rsidP="00A111E9">
      <w:pPr>
        <w:widowControl/>
        <w:autoSpaceDE w:val="0"/>
        <w:autoSpaceDN w:val="0"/>
        <w:adjustRightInd w:val="0"/>
        <w:rPr>
          <w:rFonts w:eastAsiaTheme="minorHAnsi" w:cs="Arial"/>
          <w:szCs w:val="22"/>
          <w:lang w:bidi="ar-SA"/>
        </w:rPr>
      </w:pPr>
    </w:p>
    <w:p w14:paraId="45C3676F" w14:textId="78EBF244" w:rsidR="00457930" w:rsidRPr="00D01373" w:rsidRDefault="00457930" w:rsidP="00A111E9">
      <w:pPr>
        <w:widowControl/>
        <w:autoSpaceDE w:val="0"/>
        <w:autoSpaceDN w:val="0"/>
        <w:adjustRightInd w:val="0"/>
        <w:rPr>
          <w:rFonts w:eastAsiaTheme="minorHAnsi" w:cs="Arial"/>
          <w:szCs w:val="22"/>
          <w:lang w:bidi="ar-SA"/>
        </w:rPr>
      </w:pPr>
      <w:r w:rsidRPr="00D01373">
        <w:rPr>
          <w:rFonts w:eastAsiaTheme="minorHAnsi" w:cs="Arial"/>
          <w:szCs w:val="22"/>
          <w:lang w:bidi="ar-SA"/>
        </w:rPr>
        <w:t>where meandiff, lci and uci were the names of columns containing the data for the effect size, lower bound and upper bound of the confidence interval</w:t>
      </w:r>
      <w:r w:rsidR="00BE6D45">
        <w:rPr>
          <w:rFonts w:eastAsiaTheme="minorHAnsi" w:cs="Arial"/>
          <w:szCs w:val="22"/>
          <w:lang w:bidi="ar-SA"/>
        </w:rPr>
        <w:t xml:space="preserve"> respectively</w:t>
      </w:r>
      <w:r w:rsidRPr="00D01373">
        <w:rPr>
          <w:rFonts w:eastAsiaTheme="minorHAnsi" w:cs="Arial"/>
          <w:szCs w:val="22"/>
          <w:lang w:bidi="ar-SA"/>
        </w:rPr>
        <w:t xml:space="preserve">. This command generates a random effects model using the DerSimonian-Laird </w:t>
      </w:r>
      <w:r w:rsidR="00B1115B">
        <w:rPr>
          <w:rFonts w:eastAsiaTheme="minorHAnsi" w:cs="Arial"/>
          <w:szCs w:val="22"/>
          <w:lang w:bidi="ar-SA"/>
        </w:rPr>
        <w:t xml:space="preserve">method </w:t>
      </w:r>
      <w:r w:rsidRPr="00D01373">
        <w:rPr>
          <w:rFonts w:eastAsiaTheme="minorHAnsi" w:cs="Arial"/>
          <w:szCs w:val="22"/>
          <w:lang w:bidi="ar-SA"/>
        </w:rPr>
        <w:t xml:space="preserve">as was done by Johnson </w:t>
      </w:r>
      <w:r w:rsidR="00180A32" w:rsidRPr="00180A32">
        <w:rPr>
          <w:rFonts w:eastAsiaTheme="minorHAnsi" w:cs="Arial"/>
          <w:i/>
          <w:szCs w:val="22"/>
          <w:lang w:bidi="ar-SA"/>
        </w:rPr>
        <w:t xml:space="preserve">et al. </w:t>
      </w:r>
      <w:r w:rsidR="00CC50B8">
        <w:rPr>
          <w:rFonts w:eastAsiaTheme="minorHAnsi" w:cs="Arial"/>
          <w:szCs w:val="22"/>
          <w:lang w:bidi="ar-SA"/>
        </w:rPr>
        <w:t xml:space="preserve"> </w:t>
      </w:r>
      <w:r w:rsidRPr="00D01373">
        <w:rPr>
          <w:rFonts w:eastAsiaTheme="minorHAnsi" w:cs="Arial"/>
          <w:szCs w:val="22"/>
          <w:lang w:bidi="ar-SA"/>
        </w:rPr>
        <w:t xml:space="preserve">(2014). </w:t>
      </w:r>
      <w:r w:rsidR="008741B5">
        <w:rPr>
          <w:rFonts w:eastAsiaTheme="minorHAnsi" w:cs="Arial"/>
          <w:szCs w:val="22"/>
          <w:lang w:bidi="ar-SA"/>
        </w:rPr>
        <w:t xml:space="preserve">The forest plot generated is </w:t>
      </w:r>
      <w:r w:rsidRPr="00D01373">
        <w:rPr>
          <w:rFonts w:eastAsiaTheme="minorHAnsi" w:cs="Arial"/>
          <w:szCs w:val="22"/>
          <w:lang w:bidi="ar-SA"/>
        </w:rPr>
        <w:t>shown below</w:t>
      </w:r>
      <w:r w:rsidR="00DF3CEA">
        <w:rPr>
          <w:rFonts w:eastAsiaTheme="minorHAnsi" w:cs="Arial"/>
          <w:szCs w:val="22"/>
          <w:lang w:bidi="ar-SA"/>
        </w:rPr>
        <w:t xml:space="preserve"> </w:t>
      </w:r>
      <w:r w:rsidR="008741B5">
        <w:rPr>
          <w:rFonts w:eastAsiaTheme="minorHAnsi" w:cs="Arial"/>
          <w:szCs w:val="22"/>
          <w:lang w:bidi="ar-SA"/>
        </w:rPr>
        <w:t>in Annex Figure 2. T</w:t>
      </w:r>
      <w:r w:rsidRPr="00D01373">
        <w:rPr>
          <w:rFonts w:eastAsiaTheme="minorHAnsi" w:cs="Arial"/>
          <w:szCs w:val="22"/>
          <w:lang w:bidi="ar-SA"/>
        </w:rPr>
        <w:t xml:space="preserve">he overall effect is identical to that reported by Johnson </w:t>
      </w:r>
      <w:r w:rsidR="00180A32" w:rsidRPr="00180A32">
        <w:rPr>
          <w:rFonts w:eastAsiaTheme="minorHAnsi" w:cs="Arial"/>
          <w:i/>
          <w:szCs w:val="22"/>
          <w:lang w:bidi="ar-SA"/>
        </w:rPr>
        <w:t xml:space="preserve">et al. </w:t>
      </w:r>
      <w:r w:rsidR="00CC50B8">
        <w:rPr>
          <w:rFonts w:eastAsiaTheme="minorHAnsi" w:cs="Arial"/>
          <w:szCs w:val="22"/>
          <w:lang w:bidi="ar-SA"/>
        </w:rPr>
        <w:t xml:space="preserve"> </w:t>
      </w:r>
      <w:r w:rsidRPr="00D01373">
        <w:rPr>
          <w:rFonts w:eastAsiaTheme="minorHAnsi" w:cs="Arial"/>
          <w:szCs w:val="22"/>
          <w:lang w:bidi="ar-SA"/>
        </w:rPr>
        <w:t xml:space="preserve">(2014) and the weight for each study is identical to that shown in Figure </w:t>
      </w:r>
      <w:r w:rsidR="00DF3CEA">
        <w:rPr>
          <w:rFonts w:eastAsiaTheme="minorHAnsi" w:cs="Arial"/>
          <w:szCs w:val="22"/>
          <w:lang w:bidi="ar-SA"/>
        </w:rPr>
        <w:t>A1.2</w:t>
      </w:r>
      <w:r w:rsidRPr="00D01373">
        <w:rPr>
          <w:rFonts w:eastAsiaTheme="minorHAnsi" w:cs="Arial"/>
          <w:szCs w:val="22"/>
          <w:lang w:bidi="ar-SA"/>
        </w:rPr>
        <w:t xml:space="preserve"> except that Johnson </w:t>
      </w:r>
      <w:r w:rsidR="00180A32" w:rsidRPr="00180A32">
        <w:rPr>
          <w:rFonts w:eastAsiaTheme="minorHAnsi" w:cs="Arial"/>
          <w:i/>
          <w:szCs w:val="22"/>
          <w:lang w:bidi="ar-SA"/>
        </w:rPr>
        <w:t xml:space="preserve">et al. </w:t>
      </w:r>
      <w:r w:rsidR="008741B5">
        <w:rPr>
          <w:rFonts w:eastAsiaTheme="minorHAnsi" w:cs="Arial"/>
          <w:szCs w:val="22"/>
          <w:lang w:bidi="ar-SA"/>
        </w:rPr>
        <w:t xml:space="preserve"> (2014) has</w:t>
      </w:r>
      <w:r w:rsidRPr="00D01373">
        <w:rPr>
          <w:rFonts w:eastAsiaTheme="minorHAnsi" w:cs="Arial"/>
          <w:szCs w:val="22"/>
          <w:lang w:bidi="ar-SA"/>
        </w:rPr>
        <w:t xml:space="preserve"> rounded to 1 decimal. </w:t>
      </w:r>
      <w:r w:rsidR="008741B5">
        <w:rPr>
          <w:rFonts w:eastAsiaTheme="minorHAnsi" w:cs="Arial"/>
          <w:szCs w:val="22"/>
          <w:lang w:bidi="ar-SA"/>
        </w:rPr>
        <w:t xml:space="preserve">The overall effect and its confidence interval are </w:t>
      </w:r>
      <w:r w:rsidR="00DF3CEA">
        <w:rPr>
          <w:rFonts w:eastAsiaTheme="minorHAnsi" w:cs="Arial"/>
          <w:szCs w:val="22"/>
          <w:lang w:bidi="ar-SA"/>
        </w:rPr>
        <w:t xml:space="preserve">also </w:t>
      </w:r>
      <w:r w:rsidR="008741B5">
        <w:rPr>
          <w:rFonts w:eastAsiaTheme="minorHAnsi" w:cs="Arial"/>
          <w:szCs w:val="22"/>
          <w:lang w:bidi="ar-SA"/>
        </w:rPr>
        <w:t>the same ex</w:t>
      </w:r>
      <w:r w:rsidRPr="00D01373">
        <w:rPr>
          <w:rFonts w:eastAsiaTheme="minorHAnsi" w:cs="Arial"/>
          <w:szCs w:val="22"/>
          <w:lang w:bidi="ar-SA"/>
        </w:rPr>
        <w:t xml:space="preserve">cept that </w:t>
      </w:r>
      <w:r w:rsidR="008741B5">
        <w:rPr>
          <w:rFonts w:eastAsiaTheme="minorHAnsi" w:cs="Arial"/>
          <w:szCs w:val="22"/>
          <w:lang w:bidi="ar-SA"/>
        </w:rPr>
        <w:t xml:space="preserve">Johnson </w:t>
      </w:r>
      <w:r w:rsidR="00180A32" w:rsidRPr="00180A32">
        <w:rPr>
          <w:rFonts w:eastAsiaTheme="minorHAnsi" w:cs="Arial"/>
          <w:i/>
          <w:szCs w:val="22"/>
          <w:lang w:bidi="ar-SA"/>
        </w:rPr>
        <w:t xml:space="preserve">et al. </w:t>
      </w:r>
      <w:r w:rsidR="008741B5">
        <w:rPr>
          <w:rFonts w:eastAsiaTheme="minorHAnsi" w:cs="Arial"/>
          <w:szCs w:val="22"/>
          <w:lang w:bidi="ar-SA"/>
        </w:rPr>
        <w:t xml:space="preserve"> (2014) show the </w:t>
      </w:r>
      <w:r w:rsidRPr="00D01373">
        <w:rPr>
          <w:rFonts w:eastAsiaTheme="minorHAnsi" w:cs="Arial"/>
          <w:szCs w:val="22"/>
          <w:lang w:bidi="ar-SA"/>
        </w:rPr>
        <w:t xml:space="preserve">lower bound </w:t>
      </w:r>
      <w:r w:rsidR="008741B5">
        <w:rPr>
          <w:rFonts w:eastAsiaTheme="minorHAnsi" w:cs="Arial"/>
          <w:szCs w:val="22"/>
          <w:lang w:bidi="ar-SA"/>
        </w:rPr>
        <w:t xml:space="preserve">of the confidence interval as 29.8 </w:t>
      </w:r>
      <w:r w:rsidR="00DF3CEA">
        <w:rPr>
          <w:rFonts w:eastAsiaTheme="minorHAnsi" w:cs="Arial"/>
          <w:szCs w:val="22"/>
          <w:lang w:bidi="ar-SA"/>
        </w:rPr>
        <w:t xml:space="preserve">(Figure A1.2) </w:t>
      </w:r>
      <w:r w:rsidR="008741B5">
        <w:rPr>
          <w:rFonts w:eastAsiaTheme="minorHAnsi" w:cs="Arial"/>
          <w:szCs w:val="22"/>
          <w:lang w:bidi="ar-SA"/>
        </w:rPr>
        <w:t xml:space="preserve">whereas Annex Figure 2 shows the lower bound as </w:t>
      </w:r>
      <w:r w:rsidRPr="00D01373">
        <w:rPr>
          <w:rFonts w:eastAsiaTheme="minorHAnsi" w:cs="Arial"/>
          <w:szCs w:val="22"/>
          <w:lang w:bidi="ar-SA"/>
        </w:rPr>
        <w:t>-29.85</w:t>
      </w:r>
      <w:r w:rsidR="008741B5">
        <w:rPr>
          <w:rFonts w:eastAsiaTheme="minorHAnsi" w:cs="Arial"/>
          <w:szCs w:val="22"/>
          <w:lang w:bidi="ar-SA"/>
        </w:rPr>
        <w:t>.</w:t>
      </w:r>
    </w:p>
    <w:p w14:paraId="36D9113E" w14:textId="77777777" w:rsidR="00457930" w:rsidRPr="00D01373" w:rsidRDefault="00457930" w:rsidP="00A111E9">
      <w:pPr>
        <w:widowControl/>
        <w:autoSpaceDE w:val="0"/>
        <w:autoSpaceDN w:val="0"/>
        <w:adjustRightInd w:val="0"/>
        <w:ind w:firstLine="567"/>
        <w:rPr>
          <w:rFonts w:eastAsiaTheme="minorHAnsi" w:cs="Arial"/>
          <w:szCs w:val="22"/>
          <w:lang w:bidi="ar-SA"/>
        </w:rPr>
      </w:pPr>
      <w:r w:rsidRPr="00D01373">
        <w:rPr>
          <w:rFonts w:eastAsiaTheme="minorHAnsi" w:cs="Arial"/>
          <w:noProof/>
          <w:szCs w:val="22"/>
          <w:lang w:eastAsia="en-GB" w:bidi="ar-SA"/>
        </w:rPr>
        <w:lastRenderedPageBreak/>
        <w:drawing>
          <wp:inline distT="0" distB="0" distL="0" distR="0" wp14:anchorId="18C5F19C" wp14:editId="630108BF">
            <wp:extent cx="5132717" cy="3685893"/>
            <wp:effectExtent l="0" t="0" r="0" b="0"/>
            <wp:docPr id="14" name="Picture 14" title="Annex Figure 2 FSANZ’s replication of the forest plot from Figure 5 of Johnson et al (2014) prior to adding new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37571" cy="3689379"/>
                    </a:xfrm>
                    <a:prstGeom prst="rect">
                      <a:avLst/>
                    </a:prstGeom>
                    <a:noFill/>
                    <a:ln>
                      <a:noFill/>
                    </a:ln>
                  </pic:spPr>
                </pic:pic>
              </a:graphicData>
            </a:graphic>
          </wp:inline>
        </w:drawing>
      </w:r>
    </w:p>
    <w:p w14:paraId="34BC2D81" w14:textId="1145CF09" w:rsidR="008741B5" w:rsidRDefault="008741B5" w:rsidP="00A111E9">
      <w:pPr>
        <w:pStyle w:val="FSFigureTitle"/>
        <w:rPr>
          <w:rFonts w:eastAsiaTheme="minorHAnsi"/>
          <w:lang w:bidi="ar-SA"/>
        </w:rPr>
      </w:pPr>
      <w:r w:rsidRPr="00D01373">
        <w:rPr>
          <w:rFonts w:eastAsiaTheme="minorHAnsi"/>
          <w:lang w:bidi="ar-SA"/>
        </w:rPr>
        <w:t xml:space="preserve">Annex Figure </w:t>
      </w:r>
      <w:r>
        <w:rPr>
          <w:rFonts w:eastAsiaTheme="minorHAnsi"/>
          <w:lang w:bidi="ar-SA"/>
        </w:rPr>
        <w:t xml:space="preserve">2 FSANZ’s replication of the forest plot from Figure 5 of Johnson </w:t>
      </w:r>
      <w:r w:rsidR="00180A32" w:rsidRPr="00180A32">
        <w:rPr>
          <w:rFonts w:eastAsiaTheme="minorHAnsi"/>
          <w:lang w:bidi="ar-SA"/>
        </w:rPr>
        <w:t xml:space="preserve">et al. </w:t>
      </w:r>
      <w:r>
        <w:rPr>
          <w:rFonts w:eastAsiaTheme="minorHAnsi"/>
          <w:lang w:bidi="ar-SA"/>
        </w:rPr>
        <w:t xml:space="preserve"> (2014) prior to adding new studies</w:t>
      </w:r>
    </w:p>
    <w:p w14:paraId="21A55898" w14:textId="77777777" w:rsidR="008741B5" w:rsidRDefault="008741B5" w:rsidP="00A111E9">
      <w:pPr>
        <w:widowControl/>
        <w:autoSpaceDE w:val="0"/>
        <w:autoSpaceDN w:val="0"/>
        <w:adjustRightInd w:val="0"/>
        <w:rPr>
          <w:rFonts w:eastAsiaTheme="minorHAnsi"/>
          <w:szCs w:val="22"/>
          <w:lang w:bidi="ar-SA"/>
        </w:rPr>
      </w:pPr>
    </w:p>
    <w:p w14:paraId="7B450405" w14:textId="44F75170" w:rsidR="00DF3CEA" w:rsidRDefault="00DF3CEA" w:rsidP="00A111E9">
      <w:pPr>
        <w:pStyle w:val="ListParagraph"/>
        <w:widowControl/>
        <w:numPr>
          <w:ilvl w:val="0"/>
          <w:numId w:val="46"/>
        </w:numPr>
        <w:autoSpaceDE w:val="0"/>
        <w:autoSpaceDN w:val="0"/>
        <w:adjustRightInd w:val="0"/>
      </w:pPr>
      <w:r>
        <w:t>Updating the meta-analysis</w:t>
      </w:r>
    </w:p>
    <w:p w14:paraId="11E979EE" w14:textId="77777777" w:rsidR="00DF3CEA" w:rsidRDefault="00DF3CEA" w:rsidP="00A111E9">
      <w:pPr>
        <w:widowControl/>
        <w:autoSpaceDE w:val="0"/>
        <w:autoSpaceDN w:val="0"/>
        <w:adjustRightInd w:val="0"/>
      </w:pPr>
    </w:p>
    <w:p w14:paraId="146E1E99" w14:textId="4E3D28E4" w:rsidR="00DF3CEA" w:rsidRDefault="00DF3CEA" w:rsidP="00A111E9">
      <w:pPr>
        <w:widowControl/>
        <w:autoSpaceDE w:val="0"/>
        <w:autoSpaceDN w:val="0"/>
        <w:adjustRightInd w:val="0"/>
      </w:pPr>
      <w:r>
        <w:t xml:space="preserve">As described, FSANZ added information for two studies </w:t>
      </w:r>
      <w:r w:rsidR="00DF2DBC">
        <w:t xml:space="preserve">(Darrow </w:t>
      </w:r>
      <w:r w:rsidR="00180A32" w:rsidRPr="00180A32">
        <w:rPr>
          <w:i/>
        </w:rPr>
        <w:t xml:space="preserve">et al. </w:t>
      </w:r>
      <w:r w:rsidR="00CC50B8">
        <w:t xml:space="preserve"> </w:t>
      </w:r>
      <w:r w:rsidR="00DF2DBC">
        <w:t xml:space="preserve">2013; Bach </w:t>
      </w:r>
      <w:r w:rsidR="00180A32" w:rsidRPr="00180A32">
        <w:rPr>
          <w:i/>
        </w:rPr>
        <w:t xml:space="preserve">et al. </w:t>
      </w:r>
      <w:r w:rsidR="00CC50B8">
        <w:t xml:space="preserve"> </w:t>
      </w:r>
      <w:r w:rsidR="00DF2DBC">
        <w:t xml:space="preserve">2016) </w:t>
      </w:r>
      <w:r>
        <w:t xml:space="preserve">which reported results from a linear regression model. </w:t>
      </w:r>
      <w:r w:rsidR="008310B7">
        <w:t xml:space="preserve">Annex Tables 2 and 3 </w:t>
      </w:r>
      <w:r w:rsidR="00A91C63">
        <w:t>and Annex Figure 2 show</w:t>
      </w:r>
      <w:r w:rsidR="008310B7">
        <w:t xml:space="preserve"> the risk of bias for these two studies using the criteria </w:t>
      </w:r>
      <w:r w:rsidR="00DF2DBC">
        <w:t xml:space="preserve">described by Johnson </w:t>
      </w:r>
      <w:r w:rsidR="00180A32" w:rsidRPr="00180A32">
        <w:rPr>
          <w:i/>
        </w:rPr>
        <w:t xml:space="preserve">et al. </w:t>
      </w:r>
      <w:r w:rsidR="00CC50B8">
        <w:t xml:space="preserve"> </w:t>
      </w:r>
      <w:r w:rsidR="00DF2DBC">
        <w:t>(2014)</w:t>
      </w:r>
      <w:r w:rsidR="008310B7">
        <w:t xml:space="preserve"> in the online supplementary material</w:t>
      </w:r>
      <w:r w:rsidR="00DF2DBC">
        <w:t>.</w:t>
      </w:r>
    </w:p>
    <w:p w14:paraId="21B838F7" w14:textId="77777777" w:rsidR="00DF3CEA" w:rsidRDefault="00DF3CEA" w:rsidP="00A111E9">
      <w:pPr>
        <w:widowControl/>
        <w:autoSpaceDE w:val="0"/>
        <w:autoSpaceDN w:val="0"/>
        <w:adjustRightInd w:val="0"/>
      </w:pPr>
    </w:p>
    <w:p w14:paraId="298F3A51" w14:textId="3DFE091F" w:rsidR="00DF2DBC" w:rsidRPr="00D01373" w:rsidRDefault="00DF2DBC" w:rsidP="00A111E9">
      <w:pPr>
        <w:widowControl/>
        <w:rPr>
          <w:rFonts w:eastAsiaTheme="minorHAnsi" w:cs="Arial"/>
          <w:szCs w:val="22"/>
          <w:lang w:bidi="ar-SA"/>
        </w:rPr>
      </w:pPr>
      <w:r w:rsidRPr="00D01373">
        <w:rPr>
          <w:rFonts w:eastAsiaTheme="minorHAnsi" w:cs="Arial"/>
          <w:szCs w:val="22"/>
          <w:lang w:bidi="ar-SA"/>
        </w:rPr>
        <w:t xml:space="preserve">Darrow </w:t>
      </w:r>
      <w:r w:rsidR="00180A32" w:rsidRPr="00180A32">
        <w:rPr>
          <w:rFonts w:eastAsiaTheme="minorHAnsi" w:cs="Arial"/>
          <w:i/>
          <w:szCs w:val="22"/>
          <w:lang w:bidi="ar-SA"/>
        </w:rPr>
        <w:t xml:space="preserve">et al. </w:t>
      </w:r>
      <w:r w:rsidR="00CC50B8">
        <w:rPr>
          <w:rFonts w:eastAsiaTheme="minorHAnsi" w:cs="Arial"/>
          <w:szCs w:val="22"/>
          <w:lang w:bidi="ar-SA"/>
        </w:rPr>
        <w:t xml:space="preserve"> </w:t>
      </w:r>
      <w:r w:rsidRPr="00D01373">
        <w:rPr>
          <w:rFonts w:eastAsiaTheme="minorHAnsi" w:cs="Arial"/>
          <w:szCs w:val="22"/>
          <w:lang w:bidi="ar-SA"/>
        </w:rPr>
        <w:t xml:space="preserve">(2013) presented results from a multivariate regression in which PFOA was entered as its natural logarithm and also from a multivariate linear regression in which PFOA was not transformed. The latter is consistent with the calculations used by Johnson </w:t>
      </w:r>
      <w:r w:rsidR="00180A32" w:rsidRPr="00180A32">
        <w:rPr>
          <w:rFonts w:eastAsiaTheme="minorHAnsi" w:cs="Arial"/>
          <w:i/>
          <w:szCs w:val="22"/>
          <w:lang w:bidi="ar-SA"/>
        </w:rPr>
        <w:t xml:space="preserve">et al. </w:t>
      </w:r>
      <w:r w:rsidR="00CC50B8">
        <w:rPr>
          <w:rFonts w:eastAsiaTheme="minorHAnsi" w:cs="Arial"/>
          <w:szCs w:val="22"/>
          <w:lang w:bidi="ar-SA"/>
        </w:rPr>
        <w:t xml:space="preserve"> </w:t>
      </w:r>
      <w:r w:rsidRPr="00D01373">
        <w:rPr>
          <w:rFonts w:eastAsiaTheme="minorHAnsi" w:cs="Arial"/>
          <w:szCs w:val="22"/>
          <w:lang w:bidi="ar-SA"/>
        </w:rPr>
        <w:t xml:space="preserve">(2014) in the meta-analysis being updated. Darrow </w:t>
      </w:r>
      <w:r w:rsidR="00180A32" w:rsidRPr="00180A32">
        <w:rPr>
          <w:rFonts w:eastAsiaTheme="minorHAnsi" w:cs="Arial"/>
          <w:i/>
          <w:szCs w:val="22"/>
          <w:lang w:bidi="ar-SA"/>
        </w:rPr>
        <w:t xml:space="preserve">et al. </w:t>
      </w:r>
      <w:r w:rsidR="00CC50B8">
        <w:rPr>
          <w:rFonts w:eastAsiaTheme="minorHAnsi" w:cs="Arial"/>
          <w:szCs w:val="22"/>
          <w:lang w:bidi="ar-SA"/>
        </w:rPr>
        <w:t xml:space="preserve"> </w:t>
      </w:r>
      <w:r w:rsidRPr="00D01373">
        <w:rPr>
          <w:rFonts w:eastAsiaTheme="minorHAnsi" w:cs="Arial"/>
          <w:szCs w:val="22"/>
          <w:lang w:bidi="ar-SA"/>
        </w:rPr>
        <w:t xml:space="preserve">(2013) expressed the linear result for the interquartile range in their population which was 22 ng/mL (This is an analysis from the C8 study and so the range of exposures are wider than might be seen in other studies). The effect per ng/mL, and its confidence interval was calculated by dividing by 22. Darrow </w:t>
      </w:r>
      <w:r w:rsidR="00180A32" w:rsidRPr="00180A32">
        <w:rPr>
          <w:rFonts w:eastAsiaTheme="minorHAnsi" w:cs="Arial"/>
          <w:i/>
          <w:szCs w:val="22"/>
          <w:lang w:bidi="ar-SA"/>
        </w:rPr>
        <w:t xml:space="preserve">et al. </w:t>
      </w:r>
      <w:r w:rsidR="00CC50B8">
        <w:rPr>
          <w:rFonts w:eastAsiaTheme="minorHAnsi" w:cs="Arial"/>
          <w:szCs w:val="22"/>
          <w:lang w:bidi="ar-SA"/>
        </w:rPr>
        <w:t xml:space="preserve"> </w:t>
      </w:r>
      <w:r w:rsidRPr="00D01373">
        <w:rPr>
          <w:rFonts w:eastAsiaTheme="minorHAnsi" w:cs="Arial"/>
          <w:szCs w:val="22"/>
          <w:lang w:bidi="ar-SA"/>
        </w:rPr>
        <w:t xml:space="preserve">(2013) analysed their population in two ways. One analysis included all births occurring from 2005 onwards, even though many of these occurred before the woman had her blood sampled, and included multiple pregnancies per woman if these had occurred. The second analysis was included only the first birth that was conceived after the blood sample was drawn. FSANZ has used the second result </w:t>
      </w:r>
      <w:r>
        <w:rPr>
          <w:rFonts w:eastAsiaTheme="minorHAnsi" w:cs="Arial"/>
          <w:szCs w:val="22"/>
          <w:lang w:bidi="ar-SA"/>
        </w:rPr>
        <w:t xml:space="preserve">because it aligns with </w:t>
      </w:r>
      <w:r w:rsidRPr="00D01373">
        <w:rPr>
          <w:rFonts w:eastAsiaTheme="minorHAnsi" w:cs="Arial"/>
          <w:szCs w:val="22"/>
          <w:lang w:bidi="ar-SA"/>
        </w:rPr>
        <w:t xml:space="preserve">Johnson </w:t>
      </w:r>
      <w:r w:rsidR="00180A32" w:rsidRPr="00180A32">
        <w:rPr>
          <w:rFonts w:eastAsiaTheme="minorHAnsi" w:cs="Arial"/>
          <w:i/>
          <w:szCs w:val="22"/>
          <w:lang w:bidi="ar-SA"/>
        </w:rPr>
        <w:t xml:space="preserve">et al. </w:t>
      </w:r>
      <w:r w:rsidR="00CC50B8">
        <w:rPr>
          <w:rFonts w:eastAsiaTheme="minorHAnsi" w:cs="Arial"/>
          <w:szCs w:val="22"/>
          <w:lang w:bidi="ar-SA"/>
        </w:rPr>
        <w:t xml:space="preserve"> </w:t>
      </w:r>
      <w:r w:rsidRPr="00D01373">
        <w:rPr>
          <w:rFonts w:eastAsiaTheme="minorHAnsi" w:cs="Arial"/>
          <w:szCs w:val="22"/>
          <w:lang w:bidi="ar-SA"/>
        </w:rPr>
        <w:t>(2014)</w:t>
      </w:r>
      <w:r>
        <w:rPr>
          <w:rFonts w:eastAsiaTheme="minorHAnsi" w:cs="Arial"/>
          <w:szCs w:val="22"/>
          <w:lang w:bidi="ar-SA"/>
        </w:rPr>
        <w:t xml:space="preserve"> who had excluded prior results from the C8 study from their main analysis on the grounds that the C8 results were based on retrospective assessment. </w:t>
      </w:r>
      <w:r w:rsidR="008310B7">
        <w:rPr>
          <w:rFonts w:eastAsiaTheme="minorHAnsi" w:cs="Arial"/>
          <w:szCs w:val="22"/>
          <w:lang w:bidi="ar-SA"/>
        </w:rPr>
        <w:t>As shown in Annex Table 2, this analysis achieves a ‘low risk of bias’ rating whereas the analysis of all births achieves a ‘probably low risk of bias’ rating.</w:t>
      </w:r>
    </w:p>
    <w:p w14:paraId="25538652" w14:textId="77777777" w:rsidR="00DF2DBC" w:rsidRDefault="00DF2DBC" w:rsidP="00A111E9">
      <w:pPr>
        <w:widowControl/>
        <w:autoSpaceDE w:val="0"/>
        <w:autoSpaceDN w:val="0"/>
        <w:adjustRightInd w:val="0"/>
      </w:pPr>
    </w:p>
    <w:p w14:paraId="7F3E3460" w14:textId="1AAB968A" w:rsidR="00DF2DBC" w:rsidRPr="00D01373" w:rsidRDefault="00DF2DBC" w:rsidP="00A111E9">
      <w:pPr>
        <w:widowControl/>
        <w:rPr>
          <w:rFonts w:eastAsiaTheme="minorHAnsi" w:cs="Arial"/>
          <w:szCs w:val="22"/>
          <w:lang w:bidi="ar-SA"/>
        </w:rPr>
      </w:pPr>
      <w:r w:rsidRPr="00D01373">
        <w:rPr>
          <w:rFonts w:eastAsiaTheme="minorHAnsi" w:cs="Arial"/>
          <w:szCs w:val="22"/>
          <w:lang w:bidi="ar-SA"/>
        </w:rPr>
        <w:t xml:space="preserve">Bach </w:t>
      </w:r>
      <w:r w:rsidR="00180A32" w:rsidRPr="00180A32">
        <w:rPr>
          <w:rFonts w:eastAsiaTheme="minorHAnsi" w:cs="Arial"/>
          <w:i/>
          <w:szCs w:val="22"/>
          <w:lang w:bidi="ar-SA"/>
        </w:rPr>
        <w:t xml:space="preserve">et al. </w:t>
      </w:r>
      <w:r w:rsidR="00CC50B8">
        <w:rPr>
          <w:rFonts w:eastAsiaTheme="minorHAnsi" w:cs="Arial"/>
          <w:szCs w:val="22"/>
          <w:lang w:bidi="ar-SA"/>
        </w:rPr>
        <w:t xml:space="preserve"> </w:t>
      </w:r>
      <w:r w:rsidRPr="00D01373">
        <w:rPr>
          <w:rFonts w:eastAsiaTheme="minorHAnsi" w:cs="Arial"/>
          <w:szCs w:val="22"/>
          <w:lang w:bidi="ar-SA"/>
        </w:rPr>
        <w:t xml:space="preserve">(2016) analysed their data to consider the effect on all births and on the subset of term births. For both groups, they presented the results in two ways; both per 0.1 ng/mL PFOA and per interquartile range </w:t>
      </w:r>
      <w:r>
        <w:rPr>
          <w:rFonts w:eastAsiaTheme="minorHAnsi" w:cs="Arial"/>
          <w:szCs w:val="22"/>
          <w:lang w:bidi="ar-SA"/>
        </w:rPr>
        <w:t xml:space="preserve">(IQR) </w:t>
      </w:r>
      <w:r w:rsidRPr="00D01373">
        <w:rPr>
          <w:rFonts w:eastAsiaTheme="minorHAnsi" w:cs="Arial"/>
          <w:szCs w:val="22"/>
          <w:lang w:bidi="ar-SA"/>
        </w:rPr>
        <w:t xml:space="preserve">in their population, which was 1.1 ng/mL PFOA from a multivariate linear regression. The change per 1 ng/mL, and its confidence interval was calculated for both modes of presentation. FSANZ based its primary analysis on all births </w:t>
      </w:r>
      <w:r w:rsidRPr="00D01373">
        <w:rPr>
          <w:rFonts w:eastAsiaTheme="minorHAnsi" w:cs="Arial"/>
          <w:szCs w:val="22"/>
          <w:lang w:bidi="ar-SA"/>
        </w:rPr>
        <w:lastRenderedPageBreak/>
        <w:t xml:space="preserve">because most studies included in Johnson </w:t>
      </w:r>
      <w:r w:rsidR="00180A32" w:rsidRPr="00180A32">
        <w:rPr>
          <w:rFonts w:eastAsiaTheme="minorHAnsi" w:cs="Arial"/>
          <w:i/>
          <w:szCs w:val="22"/>
          <w:lang w:bidi="ar-SA"/>
        </w:rPr>
        <w:t xml:space="preserve">et al. </w:t>
      </w:r>
      <w:r w:rsidR="00CC50B8">
        <w:rPr>
          <w:rFonts w:eastAsiaTheme="minorHAnsi" w:cs="Arial"/>
          <w:szCs w:val="22"/>
          <w:lang w:bidi="ar-SA"/>
        </w:rPr>
        <w:t xml:space="preserve"> </w:t>
      </w:r>
      <w:r w:rsidRPr="00D01373">
        <w:rPr>
          <w:rFonts w:eastAsiaTheme="minorHAnsi" w:cs="Arial"/>
          <w:szCs w:val="22"/>
          <w:lang w:bidi="ar-SA"/>
        </w:rPr>
        <w:t>(2014) were based on all births, not term births and the calculated result based on the IQR as this was regarded as less influenced by rounding for reporting purposes.</w:t>
      </w:r>
    </w:p>
    <w:p w14:paraId="4BF2AB3E" w14:textId="77777777" w:rsidR="00DF2DBC" w:rsidRDefault="00DF2DBC" w:rsidP="00A111E9">
      <w:pPr>
        <w:widowControl/>
        <w:autoSpaceDE w:val="0"/>
        <w:autoSpaceDN w:val="0"/>
        <w:adjustRightInd w:val="0"/>
      </w:pPr>
    </w:p>
    <w:p w14:paraId="51C2319E" w14:textId="537351B5" w:rsidR="00457930" w:rsidRPr="00D01373" w:rsidRDefault="00DF2DBC" w:rsidP="00064C40">
      <w:pPr>
        <w:widowControl/>
        <w:autoSpaceDE w:val="0"/>
        <w:autoSpaceDN w:val="0"/>
        <w:adjustRightInd w:val="0"/>
        <w:rPr>
          <w:lang w:bidi="ar-SA"/>
        </w:rPr>
      </w:pPr>
      <w:r>
        <w:t>The forest plot generated after adding these two studies is showin in Figure A1.4. It reduces the association between PFOA and birthweight</w:t>
      </w:r>
      <w:r w:rsidR="000F38AA">
        <w:t xml:space="preserve"> to </w:t>
      </w:r>
      <w:r w:rsidR="000F38AA" w:rsidRPr="000F38AA">
        <w:t>-11.9</w:t>
      </w:r>
      <w:r w:rsidR="000F38AA">
        <w:t xml:space="preserve"> g birthweight (95% CI: </w:t>
      </w:r>
      <w:r w:rsidR="000F38AA" w:rsidRPr="000F38AA">
        <w:t>-21.6</w:t>
      </w:r>
      <w:r w:rsidR="000F38AA">
        <w:t xml:space="preserve"> to </w:t>
      </w:r>
      <w:r w:rsidR="000F38AA" w:rsidRPr="000F38AA">
        <w:t>-2.2</w:t>
      </w:r>
      <w:r w:rsidR="000F38AA">
        <w:t>; p</w:t>
      </w:r>
      <w:r w:rsidR="00813B54">
        <w:t>=0.001</w:t>
      </w:r>
      <w:r w:rsidR="000F38AA">
        <w:t>)</w:t>
      </w:r>
      <w:r w:rsidR="00813B54">
        <w:t>. The I</w:t>
      </w:r>
      <w:r w:rsidR="00813B54" w:rsidRPr="00813B54">
        <w:rPr>
          <w:vertAlign w:val="superscript"/>
        </w:rPr>
        <w:t>2</w:t>
      </w:r>
      <w:r w:rsidR="00813B54">
        <w:t xml:space="preserve"> i</w:t>
      </w:r>
      <w:r w:rsidR="00B20217">
        <w:t>ncreased from</w:t>
      </w:r>
      <w:r w:rsidR="00813B54">
        <w:t xml:space="preserve"> 38.2% </w:t>
      </w:r>
      <w:r w:rsidR="00B20217">
        <w:t xml:space="preserve">to 70% </w:t>
      </w:r>
      <w:r w:rsidR="000E4B62">
        <w:t>indica</w:t>
      </w:r>
      <w:r w:rsidR="00813B54">
        <w:t xml:space="preserve">ting that there is </w:t>
      </w:r>
      <w:r w:rsidR="00B20217">
        <w:t>substantial</w:t>
      </w:r>
      <w:r w:rsidR="00813B54">
        <w:t xml:space="preserve"> heterogeneity (Higgins </w:t>
      </w:r>
      <w:r w:rsidR="00180A32" w:rsidRPr="00180A32">
        <w:rPr>
          <w:i/>
        </w:rPr>
        <w:t xml:space="preserve">et al. </w:t>
      </w:r>
      <w:r w:rsidR="00CC50B8">
        <w:t xml:space="preserve"> </w:t>
      </w:r>
      <w:r w:rsidR="00813B54">
        <w:t>2003) among the studies</w:t>
      </w:r>
      <w:r w:rsidR="00B20217">
        <w:t xml:space="preserve"> in the updated analysis</w:t>
      </w:r>
      <w:r w:rsidR="00813B54">
        <w:t>.</w:t>
      </w:r>
      <w:r w:rsidR="00064C40" w:rsidRPr="00D01373">
        <w:rPr>
          <w:lang w:bidi="ar-SA"/>
        </w:rPr>
        <w:t xml:space="preserve"> </w:t>
      </w:r>
    </w:p>
    <w:p w14:paraId="21F6579D" w14:textId="77777777" w:rsidR="00457930" w:rsidRPr="00D01373" w:rsidRDefault="00A91C63" w:rsidP="00A111E9">
      <w:pPr>
        <w:rPr>
          <w:lang w:bidi="ar-SA"/>
        </w:rPr>
      </w:pPr>
      <w:r>
        <w:rPr>
          <w:noProof/>
          <w:lang w:eastAsia="en-GB" w:bidi="ar-SA"/>
        </w:rPr>
        <w:drawing>
          <wp:inline distT="0" distB="0" distL="0" distR="0" wp14:anchorId="169322B3" wp14:editId="4A3BA650">
            <wp:extent cx="5759450" cy="3109242"/>
            <wp:effectExtent l="0" t="0" r="6350" b="0"/>
            <wp:docPr id="38" name="Picture 38" title="Annex Figure 2 Summary of the risk of bias assessment of studies added to the meta-analy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59450" cy="3109242"/>
                    </a:xfrm>
                    <a:prstGeom prst="rect">
                      <a:avLst/>
                    </a:prstGeom>
                  </pic:spPr>
                </pic:pic>
              </a:graphicData>
            </a:graphic>
          </wp:inline>
        </w:drawing>
      </w:r>
    </w:p>
    <w:p w14:paraId="028BD404" w14:textId="77777777" w:rsidR="00457930" w:rsidRPr="00D01373" w:rsidRDefault="00457930" w:rsidP="00A111E9">
      <w:pPr>
        <w:rPr>
          <w:lang w:bidi="ar-SA"/>
        </w:rPr>
      </w:pPr>
    </w:p>
    <w:p w14:paraId="4EA05DC4" w14:textId="185BE6AB" w:rsidR="00457930" w:rsidRPr="00D01373" w:rsidRDefault="00A91C63" w:rsidP="00A111E9">
      <w:pPr>
        <w:rPr>
          <w:lang w:bidi="ar-SA"/>
        </w:rPr>
      </w:pPr>
      <w:r w:rsidRPr="00A91C63">
        <w:rPr>
          <w:rFonts w:eastAsiaTheme="minorHAnsi"/>
          <w:i/>
          <w:lang w:bidi="ar-SA"/>
        </w:rPr>
        <w:t>Annex Figure 2 Summary of the risk of bias assessment of studies added to the meta-analysis</w:t>
      </w:r>
    </w:p>
    <w:p w14:paraId="5A078151" w14:textId="62C6DF95" w:rsidR="00F8101A" w:rsidRPr="00F8101A" w:rsidRDefault="00F8101A" w:rsidP="00A111E9">
      <w:pPr>
        <w:widowControl/>
        <w:rPr>
          <w:rFonts w:eastAsiaTheme="minorHAnsi" w:cstheme="minorBidi"/>
          <w:szCs w:val="22"/>
          <w:lang w:bidi="ar-SA"/>
        </w:rPr>
      </w:pPr>
      <w:r w:rsidRPr="00F8101A">
        <w:rPr>
          <w:rFonts w:eastAsiaTheme="minorHAnsi" w:cstheme="minorBidi"/>
          <w:szCs w:val="22"/>
          <w:lang w:bidi="ar-SA"/>
        </w:rPr>
        <w:br w:type="page"/>
      </w:r>
    </w:p>
    <w:p w14:paraId="2C64DD3A" w14:textId="77777777" w:rsidR="00F8101A" w:rsidRPr="00F8101A" w:rsidRDefault="00F8101A" w:rsidP="00A111E9">
      <w:pPr>
        <w:widowControl/>
        <w:autoSpaceDE w:val="0"/>
        <w:autoSpaceDN w:val="0"/>
        <w:adjustRightInd w:val="0"/>
        <w:rPr>
          <w:rFonts w:eastAsiaTheme="minorHAnsi" w:cs="Arial"/>
          <w:szCs w:val="22"/>
          <w:lang w:bidi="ar-SA"/>
        </w:rPr>
        <w:sectPr w:rsidR="00F8101A" w:rsidRPr="00F8101A" w:rsidSect="00D95A2C">
          <w:pgSz w:w="11906" w:h="16838"/>
          <w:pgMar w:top="1418" w:right="1418" w:bottom="1418" w:left="1418" w:header="709" w:footer="709" w:gutter="0"/>
          <w:cols w:space="708"/>
          <w:docGrid w:linePitch="360"/>
        </w:sectPr>
      </w:pPr>
    </w:p>
    <w:p w14:paraId="6AAD07A9" w14:textId="2572EF4C" w:rsidR="00F8101A" w:rsidRPr="00F8101A" w:rsidRDefault="00F8101A" w:rsidP="00A111E9">
      <w:pPr>
        <w:pStyle w:val="FSTableTitle"/>
        <w:rPr>
          <w:rFonts w:eastAsiaTheme="minorHAnsi"/>
        </w:rPr>
      </w:pPr>
      <w:r w:rsidRPr="00F8101A">
        <w:rPr>
          <w:rFonts w:eastAsiaTheme="minorHAnsi"/>
        </w:rPr>
        <w:lastRenderedPageBreak/>
        <w:tab/>
      </w:r>
      <w:r w:rsidR="00DF2DBC">
        <w:rPr>
          <w:rFonts w:eastAsiaTheme="minorHAnsi"/>
        </w:rPr>
        <w:t>Annex Table 2</w:t>
      </w:r>
      <w:r w:rsidRPr="00F8101A">
        <w:rPr>
          <w:rFonts w:eastAsiaTheme="minorHAnsi"/>
          <w:szCs w:val="22"/>
          <w:lang w:bidi="ar-SA"/>
        </w:rPr>
        <w:t xml:space="preserve"> Risk of bias </w:t>
      </w:r>
      <w:r w:rsidR="008310B7">
        <w:rPr>
          <w:rFonts w:eastAsiaTheme="minorHAnsi"/>
        </w:rPr>
        <w:t xml:space="preserve">assessment </w:t>
      </w:r>
      <w:r w:rsidR="00DF2DBC">
        <w:rPr>
          <w:rFonts w:eastAsiaTheme="minorHAnsi"/>
        </w:rPr>
        <w:t xml:space="preserve">of </w:t>
      </w:r>
      <w:r w:rsidR="00AC51E8">
        <w:rPr>
          <w:rFonts w:eastAsiaTheme="minorHAnsi"/>
        </w:rPr>
        <w:t xml:space="preserve">Darrow </w:t>
      </w:r>
      <w:r w:rsidR="00180A32" w:rsidRPr="00180A32">
        <w:rPr>
          <w:rFonts w:eastAsiaTheme="minorHAnsi"/>
          <w:i/>
        </w:rPr>
        <w:t xml:space="preserve">et al. </w:t>
      </w:r>
      <w:r w:rsidR="00CC50B8">
        <w:rPr>
          <w:rFonts w:eastAsiaTheme="minorHAnsi"/>
        </w:rPr>
        <w:t xml:space="preserve"> </w:t>
      </w:r>
      <w:r w:rsidR="00DF2DBC">
        <w:rPr>
          <w:rFonts w:eastAsiaTheme="minorHAnsi"/>
        </w:rPr>
        <w:t>(</w:t>
      </w:r>
      <w:r w:rsidRPr="00F8101A">
        <w:rPr>
          <w:rFonts w:eastAsiaTheme="minorHAnsi"/>
        </w:rPr>
        <w:t>2013</w:t>
      </w:r>
      <w:r w:rsidR="00DF2DBC">
        <w:rPr>
          <w:rFonts w:eastAsiaTheme="minorHAnsi"/>
        </w:rPr>
        <w:t>)</w:t>
      </w:r>
      <w:r w:rsidRPr="00F8101A">
        <w:rPr>
          <w:rFonts w:eastAsiaTheme="minorHAnsi"/>
          <w:szCs w:val="22"/>
          <w:lang w:bidi="ar-SA"/>
        </w:rPr>
        <w:t xml:space="preserve"> using the criteria of Johnson </w:t>
      </w:r>
      <w:r w:rsidR="00180A32" w:rsidRPr="00180A32">
        <w:rPr>
          <w:rFonts w:eastAsiaTheme="minorHAnsi"/>
          <w:i/>
          <w:szCs w:val="22"/>
          <w:lang w:bidi="ar-SA"/>
        </w:rPr>
        <w:t xml:space="preserve">et al. </w:t>
      </w:r>
      <w:r w:rsidR="00CC50B8">
        <w:rPr>
          <w:rFonts w:eastAsiaTheme="minorHAnsi"/>
          <w:szCs w:val="22"/>
          <w:lang w:bidi="ar-SA"/>
        </w:rPr>
        <w:t xml:space="preserve"> </w:t>
      </w:r>
      <w:r w:rsidR="00DF2DBC">
        <w:rPr>
          <w:rFonts w:eastAsiaTheme="minorHAnsi"/>
          <w:szCs w:val="22"/>
          <w:lang w:bidi="ar-SA"/>
        </w:rPr>
        <w:t>(</w:t>
      </w:r>
      <w:r w:rsidRPr="00F8101A">
        <w:rPr>
          <w:rFonts w:eastAsiaTheme="minorHAnsi"/>
          <w:szCs w:val="22"/>
          <w:lang w:bidi="ar-SA"/>
        </w:rPr>
        <w:t>2014</w:t>
      </w:r>
      <w:r w:rsidR="00DF2DBC">
        <w:rPr>
          <w:rFonts w:eastAsiaTheme="minorHAnsi"/>
          <w:szCs w:val="22"/>
          <w:lang w:bidi="ar-SA"/>
        </w:rPr>
        <w:t>)</w:t>
      </w:r>
    </w:p>
    <w:tbl>
      <w:tblPr>
        <w:tblW w:w="13202" w:type="dxa"/>
        <w:tblBorders>
          <w:top w:val="nil"/>
          <w:left w:val="nil"/>
          <w:bottom w:val="nil"/>
          <w:right w:val="nil"/>
        </w:tblBorders>
        <w:tblLayout w:type="fixed"/>
        <w:tblLook w:val="0000" w:firstRow="0" w:lastRow="0" w:firstColumn="0" w:lastColumn="0" w:noHBand="0" w:noVBand="0"/>
      </w:tblPr>
      <w:tblGrid>
        <w:gridCol w:w="2093"/>
        <w:gridCol w:w="3118"/>
        <w:gridCol w:w="7991"/>
      </w:tblGrid>
      <w:tr w:rsidR="00F8101A" w:rsidRPr="00F8101A" w14:paraId="2C301FD6" w14:textId="77777777" w:rsidTr="000830C5">
        <w:trPr>
          <w:trHeight w:val="151"/>
          <w:tblHeader/>
        </w:trPr>
        <w:tc>
          <w:tcPr>
            <w:tcW w:w="2093" w:type="dxa"/>
            <w:tcBorders>
              <w:top w:val="single" w:sz="6" w:space="0" w:color="000000"/>
              <w:left w:val="single" w:sz="4" w:space="0" w:color="000000"/>
              <w:bottom w:val="single" w:sz="6" w:space="0" w:color="000000"/>
              <w:right w:val="single" w:sz="4" w:space="0" w:color="000000"/>
            </w:tcBorders>
            <w:shd w:val="clear" w:color="auto" w:fill="F2F2F2" w:themeFill="background1" w:themeFillShade="F2"/>
          </w:tcPr>
          <w:p w14:paraId="0B0BDFCD" w14:textId="77777777" w:rsidR="00F8101A" w:rsidRPr="00F8101A" w:rsidRDefault="00F8101A" w:rsidP="00A111E9">
            <w:pPr>
              <w:pStyle w:val="FSTableHeading"/>
              <w:jc w:val="left"/>
              <w:rPr>
                <w:rFonts w:eastAsiaTheme="minorHAnsi"/>
              </w:rPr>
            </w:pPr>
            <w:r w:rsidRPr="00F8101A">
              <w:rPr>
                <w:rFonts w:eastAsiaTheme="minorHAnsi"/>
              </w:rPr>
              <w:t xml:space="preserve">Bias </w:t>
            </w:r>
          </w:p>
        </w:tc>
        <w:tc>
          <w:tcPr>
            <w:tcW w:w="3118" w:type="dxa"/>
            <w:tcBorders>
              <w:top w:val="single" w:sz="6" w:space="0" w:color="000000"/>
              <w:left w:val="single" w:sz="4" w:space="0" w:color="000000"/>
              <w:bottom w:val="single" w:sz="6" w:space="0" w:color="000000"/>
              <w:right w:val="single" w:sz="4" w:space="0" w:color="000000"/>
            </w:tcBorders>
            <w:shd w:val="clear" w:color="auto" w:fill="F2F2F2" w:themeFill="background1" w:themeFillShade="F2"/>
          </w:tcPr>
          <w:p w14:paraId="6195632F" w14:textId="77777777" w:rsidR="00F8101A" w:rsidRPr="00F8101A" w:rsidRDefault="00F8101A" w:rsidP="00A111E9">
            <w:pPr>
              <w:pStyle w:val="FSTableHeading"/>
              <w:jc w:val="left"/>
              <w:rPr>
                <w:rFonts w:eastAsiaTheme="minorHAnsi"/>
              </w:rPr>
            </w:pPr>
            <w:r w:rsidRPr="00F8101A">
              <w:rPr>
                <w:rFonts w:eastAsiaTheme="minorHAnsi"/>
              </w:rPr>
              <w:t xml:space="preserve">Rating </w:t>
            </w:r>
          </w:p>
        </w:tc>
        <w:tc>
          <w:tcPr>
            <w:tcW w:w="7991" w:type="dxa"/>
            <w:tcBorders>
              <w:top w:val="single" w:sz="6" w:space="0" w:color="000000"/>
              <w:left w:val="single" w:sz="4" w:space="0" w:color="000000"/>
              <w:bottom w:val="single" w:sz="6" w:space="0" w:color="000000"/>
              <w:right w:val="single" w:sz="4" w:space="0" w:color="000000"/>
            </w:tcBorders>
            <w:shd w:val="clear" w:color="auto" w:fill="F2F2F2" w:themeFill="background1" w:themeFillShade="F2"/>
          </w:tcPr>
          <w:p w14:paraId="3B0AE641" w14:textId="7F4891E2" w:rsidR="00F8101A" w:rsidRPr="00F8101A" w:rsidRDefault="00F8101A" w:rsidP="00A111E9">
            <w:pPr>
              <w:pStyle w:val="FSTableHeading"/>
              <w:jc w:val="left"/>
              <w:rPr>
                <w:rFonts w:eastAsiaTheme="minorHAnsi"/>
              </w:rPr>
            </w:pPr>
            <w:r w:rsidRPr="00F8101A">
              <w:rPr>
                <w:rFonts w:eastAsiaTheme="minorHAnsi"/>
              </w:rPr>
              <w:t>Support for judg</w:t>
            </w:r>
            <w:r w:rsidR="001B6877">
              <w:rPr>
                <w:rFonts w:eastAsiaTheme="minorHAnsi"/>
              </w:rPr>
              <w:t>ement</w:t>
            </w:r>
            <w:r w:rsidRPr="00F8101A">
              <w:rPr>
                <w:rFonts w:eastAsiaTheme="minorHAnsi"/>
              </w:rPr>
              <w:t xml:space="preserve"> </w:t>
            </w:r>
          </w:p>
        </w:tc>
      </w:tr>
      <w:tr w:rsidR="00F8101A" w:rsidRPr="00F8101A" w14:paraId="6A1575CD" w14:textId="77777777" w:rsidTr="00D95A2C">
        <w:trPr>
          <w:trHeight w:val="141"/>
        </w:trPr>
        <w:tc>
          <w:tcPr>
            <w:tcW w:w="2093" w:type="dxa"/>
            <w:tcBorders>
              <w:top w:val="single" w:sz="6" w:space="0" w:color="000000"/>
              <w:left w:val="single" w:sz="4" w:space="0" w:color="000000"/>
              <w:bottom w:val="single" w:sz="6" w:space="0" w:color="000000"/>
              <w:right w:val="single" w:sz="4" w:space="0" w:color="000000"/>
            </w:tcBorders>
            <w:vAlign w:val="center"/>
          </w:tcPr>
          <w:p w14:paraId="4D420E83" w14:textId="77777777" w:rsidR="00F8101A" w:rsidRPr="00F8101A" w:rsidRDefault="00F8101A" w:rsidP="00A111E9">
            <w:pPr>
              <w:pStyle w:val="FSTableText"/>
              <w:rPr>
                <w:rFonts w:eastAsiaTheme="minorHAnsi"/>
              </w:rPr>
            </w:pPr>
            <w:r w:rsidRPr="00F8101A">
              <w:rPr>
                <w:rFonts w:eastAsiaTheme="minorHAnsi"/>
              </w:rPr>
              <w:t xml:space="preserve">Recruitment </w:t>
            </w:r>
          </w:p>
        </w:tc>
        <w:tc>
          <w:tcPr>
            <w:tcW w:w="3118" w:type="dxa"/>
            <w:tcBorders>
              <w:top w:val="single" w:sz="6" w:space="0" w:color="000000"/>
              <w:left w:val="single" w:sz="4" w:space="0" w:color="000000"/>
              <w:bottom w:val="single" w:sz="6" w:space="0" w:color="000000"/>
              <w:right w:val="single" w:sz="4" w:space="0" w:color="000000"/>
            </w:tcBorders>
            <w:vAlign w:val="center"/>
          </w:tcPr>
          <w:p w14:paraId="7A339326" w14:textId="77777777" w:rsidR="00F8101A" w:rsidRPr="00F8101A" w:rsidRDefault="00F8101A" w:rsidP="00A111E9">
            <w:pPr>
              <w:pStyle w:val="FSTableText"/>
              <w:rPr>
                <w:rFonts w:eastAsiaTheme="minorHAnsi"/>
              </w:rPr>
            </w:pPr>
            <w:r w:rsidRPr="00F8101A">
              <w:rPr>
                <w:rFonts w:eastAsiaTheme="minorHAnsi"/>
              </w:rPr>
              <w:t xml:space="preserve">Low risk </w:t>
            </w:r>
          </w:p>
        </w:tc>
        <w:tc>
          <w:tcPr>
            <w:tcW w:w="7991" w:type="dxa"/>
            <w:tcBorders>
              <w:top w:val="single" w:sz="6" w:space="0" w:color="000000"/>
              <w:left w:val="single" w:sz="4" w:space="0" w:color="000000"/>
              <w:bottom w:val="single" w:sz="6" w:space="0" w:color="000000"/>
              <w:right w:val="single" w:sz="4" w:space="0" w:color="000000"/>
            </w:tcBorders>
            <w:vAlign w:val="center"/>
          </w:tcPr>
          <w:p w14:paraId="27A117A9" w14:textId="77777777" w:rsidR="00F8101A" w:rsidRPr="00F8101A" w:rsidRDefault="00F8101A" w:rsidP="00A111E9">
            <w:pPr>
              <w:pStyle w:val="FSTableText"/>
              <w:rPr>
                <w:rFonts w:eastAsiaTheme="minorHAnsi"/>
              </w:rPr>
            </w:pPr>
            <w:r w:rsidRPr="00F8101A">
              <w:rPr>
                <w:rFonts w:eastAsiaTheme="minorHAnsi"/>
              </w:rPr>
              <w:t xml:space="preserve">The strategy for recruiting participants was consistent across study groups. </w:t>
            </w:r>
          </w:p>
        </w:tc>
      </w:tr>
      <w:tr w:rsidR="00F8101A" w:rsidRPr="00F8101A" w14:paraId="4CA9B6E9" w14:textId="77777777" w:rsidTr="00D95A2C">
        <w:trPr>
          <w:trHeight w:val="281"/>
        </w:trPr>
        <w:tc>
          <w:tcPr>
            <w:tcW w:w="2093" w:type="dxa"/>
            <w:tcBorders>
              <w:top w:val="single" w:sz="6" w:space="0" w:color="000000"/>
              <w:left w:val="single" w:sz="4" w:space="0" w:color="000000"/>
              <w:bottom w:val="single" w:sz="6" w:space="0" w:color="000000"/>
              <w:right w:val="single" w:sz="4" w:space="0" w:color="000000"/>
            </w:tcBorders>
          </w:tcPr>
          <w:p w14:paraId="54551748" w14:textId="77777777" w:rsidR="00F8101A" w:rsidRPr="00F8101A" w:rsidRDefault="00F8101A" w:rsidP="00A111E9">
            <w:pPr>
              <w:pStyle w:val="FSTableText"/>
              <w:rPr>
                <w:rFonts w:eastAsiaTheme="minorHAnsi"/>
              </w:rPr>
            </w:pPr>
            <w:r w:rsidRPr="00F8101A">
              <w:rPr>
                <w:rFonts w:eastAsiaTheme="minorHAnsi"/>
              </w:rPr>
              <w:t xml:space="preserve">Blinding </w:t>
            </w:r>
          </w:p>
        </w:tc>
        <w:tc>
          <w:tcPr>
            <w:tcW w:w="3118" w:type="dxa"/>
            <w:tcBorders>
              <w:top w:val="single" w:sz="6" w:space="0" w:color="000000"/>
              <w:left w:val="single" w:sz="4" w:space="0" w:color="000000"/>
              <w:bottom w:val="single" w:sz="6" w:space="0" w:color="000000"/>
              <w:right w:val="single" w:sz="4" w:space="0" w:color="000000"/>
            </w:tcBorders>
          </w:tcPr>
          <w:p w14:paraId="5F6B0EE1" w14:textId="77777777" w:rsidR="00F8101A" w:rsidRPr="00F8101A" w:rsidRDefault="00F8101A" w:rsidP="00A111E9">
            <w:pPr>
              <w:pStyle w:val="FSTableText"/>
              <w:rPr>
                <w:rFonts w:eastAsiaTheme="minorHAnsi"/>
              </w:rPr>
            </w:pPr>
            <w:r w:rsidRPr="00F8101A">
              <w:rPr>
                <w:rFonts w:eastAsiaTheme="minorHAnsi"/>
              </w:rPr>
              <w:t xml:space="preserve">Probably low risk </w:t>
            </w:r>
          </w:p>
        </w:tc>
        <w:tc>
          <w:tcPr>
            <w:tcW w:w="7991" w:type="dxa"/>
            <w:tcBorders>
              <w:top w:val="single" w:sz="6" w:space="0" w:color="000000"/>
              <w:left w:val="single" w:sz="4" w:space="0" w:color="000000"/>
              <w:bottom w:val="single" w:sz="6" w:space="0" w:color="000000"/>
              <w:right w:val="single" w:sz="4" w:space="0" w:color="000000"/>
            </w:tcBorders>
          </w:tcPr>
          <w:p w14:paraId="2926B2E5" w14:textId="77777777" w:rsidR="00F8101A" w:rsidRPr="00F8101A" w:rsidRDefault="00F8101A" w:rsidP="00A111E9">
            <w:pPr>
              <w:pStyle w:val="FSTableText"/>
              <w:rPr>
                <w:rFonts w:eastAsiaTheme="minorHAnsi"/>
              </w:rPr>
            </w:pPr>
            <w:r w:rsidRPr="00F8101A">
              <w:rPr>
                <w:rFonts w:eastAsiaTheme="minorHAnsi"/>
              </w:rPr>
              <w:t xml:space="preserve">The authors did not discuss blinding but the study design prevents knowledge of exposure groups. </w:t>
            </w:r>
          </w:p>
        </w:tc>
      </w:tr>
      <w:tr w:rsidR="00F8101A" w:rsidRPr="00F8101A" w14:paraId="081F3FE6" w14:textId="77777777" w:rsidTr="00D95A2C">
        <w:trPr>
          <w:trHeight w:val="143"/>
        </w:trPr>
        <w:tc>
          <w:tcPr>
            <w:tcW w:w="2093" w:type="dxa"/>
            <w:tcBorders>
              <w:top w:val="single" w:sz="6" w:space="0" w:color="000000"/>
              <w:left w:val="single" w:sz="4" w:space="0" w:color="000000"/>
              <w:bottom w:val="single" w:sz="6" w:space="0" w:color="000000"/>
              <w:right w:val="single" w:sz="4" w:space="0" w:color="000000"/>
            </w:tcBorders>
            <w:vAlign w:val="center"/>
          </w:tcPr>
          <w:p w14:paraId="25DAD992" w14:textId="77777777" w:rsidR="00F8101A" w:rsidRPr="00F8101A" w:rsidRDefault="00F8101A" w:rsidP="00A111E9">
            <w:pPr>
              <w:pStyle w:val="FSTableText"/>
              <w:rPr>
                <w:rFonts w:eastAsiaTheme="minorHAnsi"/>
              </w:rPr>
            </w:pPr>
            <w:r w:rsidRPr="00F8101A">
              <w:rPr>
                <w:rFonts w:eastAsiaTheme="minorHAnsi"/>
              </w:rPr>
              <w:t xml:space="preserve">Confounding </w:t>
            </w:r>
          </w:p>
        </w:tc>
        <w:tc>
          <w:tcPr>
            <w:tcW w:w="3118" w:type="dxa"/>
            <w:tcBorders>
              <w:top w:val="single" w:sz="6" w:space="0" w:color="000000"/>
              <w:left w:val="single" w:sz="4" w:space="0" w:color="000000"/>
              <w:bottom w:val="single" w:sz="6" w:space="0" w:color="000000"/>
              <w:right w:val="single" w:sz="4" w:space="0" w:color="000000"/>
            </w:tcBorders>
            <w:vAlign w:val="center"/>
          </w:tcPr>
          <w:p w14:paraId="57D9701B" w14:textId="77777777" w:rsidR="00F8101A" w:rsidRPr="00F8101A" w:rsidRDefault="00F8101A" w:rsidP="00A111E9">
            <w:pPr>
              <w:pStyle w:val="FSTableText"/>
              <w:rPr>
                <w:rFonts w:eastAsiaTheme="minorHAnsi"/>
              </w:rPr>
            </w:pPr>
            <w:r w:rsidRPr="00F8101A">
              <w:rPr>
                <w:rFonts w:eastAsiaTheme="minorHAnsi"/>
              </w:rPr>
              <w:t xml:space="preserve">Low risk </w:t>
            </w:r>
          </w:p>
        </w:tc>
        <w:tc>
          <w:tcPr>
            <w:tcW w:w="7991" w:type="dxa"/>
            <w:tcBorders>
              <w:top w:val="single" w:sz="6" w:space="0" w:color="000000"/>
              <w:left w:val="single" w:sz="4" w:space="0" w:color="000000"/>
              <w:bottom w:val="single" w:sz="6" w:space="0" w:color="000000"/>
              <w:right w:val="single" w:sz="4" w:space="0" w:color="000000"/>
            </w:tcBorders>
            <w:vAlign w:val="center"/>
          </w:tcPr>
          <w:p w14:paraId="4BAEB33E" w14:textId="1E1196B2" w:rsidR="00F8101A" w:rsidRPr="00F8101A" w:rsidRDefault="00F8101A" w:rsidP="00A111E9">
            <w:pPr>
              <w:pStyle w:val="FSTableText"/>
              <w:rPr>
                <w:rFonts w:eastAsiaTheme="minorHAnsi"/>
              </w:rPr>
            </w:pPr>
            <w:r w:rsidRPr="000F38AA">
              <w:rPr>
                <w:rFonts w:eastAsiaTheme="minorHAnsi"/>
              </w:rPr>
              <w:t>Adjusted for maternal age; restricted the analysis of birth weight to term births but used indicator variables to adjust for week of gestation up to 41+ in the analysis</w:t>
            </w:r>
            <w:r w:rsidR="00986779">
              <w:rPr>
                <w:rFonts w:eastAsiaTheme="minorHAnsi"/>
              </w:rPr>
              <w:t>.</w:t>
            </w:r>
          </w:p>
        </w:tc>
      </w:tr>
      <w:tr w:rsidR="00F8101A" w:rsidRPr="00F8101A" w14:paraId="434AC6B8" w14:textId="77777777" w:rsidTr="00D95A2C">
        <w:trPr>
          <w:trHeight w:val="556"/>
        </w:trPr>
        <w:tc>
          <w:tcPr>
            <w:tcW w:w="2093" w:type="dxa"/>
            <w:tcBorders>
              <w:top w:val="single" w:sz="6" w:space="0" w:color="000000"/>
              <w:left w:val="single" w:sz="4" w:space="0" w:color="000000"/>
              <w:bottom w:val="single" w:sz="6" w:space="0" w:color="000000"/>
              <w:right w:val="single" w:sz="4" w:space="0" w:color="000000"/>
            </w:tcBorders>
          </w:tcPr>
          <w:p w14:paraId="31E2FD06" w14:textId="77777777" w:rsidR="00F8101A" w:rsidRPr="00F8101A" w:rsidRDefault="00F8101A" w:rsidP="00A111E9">
            <w:pPr>
              <w:pStyle w:val="FSTableText"/>
              <w:rPr>
                <w:rFonts w:eastAsiaTheme="minorHAnsi"/>
              </w:rPr>
            </w:pPr>
            <w:r w:rsidRPr="00F8101A">
              <w:rPr>
                <w:rFonts w:eastAsiaTheme="minorHAnsi"/>
              </w:rPr>
              <w:t xml:space="preserve">Exposure assessment </w:t>
            </w:r>
          </w:p>
        </w:tc>
        <w:tc>
          <w:tcPr>
            <w:tcW w:w="3118" w:type="dxa"/>
            <w:tcBorders>
              <w:top w:val="single" w:sz="6" w:space="0" w:color="000000"/>
              <w:left w:val="single" w:sz="4" w:space="0" w:color="000000"/>
              <w:bottom w:val="single" w:sz="6" w:space="0" w:color="000000"/>
              <w:right w:val="single" w:sz="4" w:space="0" w:color="000000"/>
            </w:tcBorders>
          </w:tcPr>
          <w:p w14:paraId="48C32865" w14:textId="77777777" w:rsidR="00F8101A" w:rsidRDefault="00F8101A" w:rsidP="00A111E9">
            <w:pPr>
              <w:pStyle w:val="FSTableText"/>
              <w:rPr>
                <w:rFonts w:eastAsiaTheme="minorHAnsi"/>
              </w:rPr>
            </w:pPr>
            <w:r w:rsidRPr="00F8101A">
              <w:rPr>
                <w:rFonts w:eastAsiaTheme="minorHAnsi"/>
              </w:rPr>
              <w:t>Low risk for ‘first prospective birth analysis’</w:t>
            </w:r>
          </w:p>
          <w:p w14:paraId="01F17B65" w14:textId="77777777" w:rsidR="00AA15F6" w:rsidRDefault="00AA15F6" w:rsidP="00A111E9">
            <w:pPr>
              <w:pStyle w:val="FSTableText"/>
              <w:rPr>
                <w:rFonts w:eastAsiaTheme="minorHAnsi"/>
              </w:rPr>
            </w:pPr>
          </w:p>
          <w:p w14:paraId="367FA3BB" w14:textId="15481BCA" w:rsidR="00F8101A" w:rsidRPr="00F8101A" w:rsidRDefault="00877D22" w:rsidP="00A111E9">
            <w:pPr>
              <w:pStyle w:val="FSTableText"/>
              <w:rPr>
                <w:rFonts w:eastAsiaTheme="minorHAnsi"/>
              </w:rPr>
            </w:pPr>
            <w:r>
              <w:rPr>
                <w:rFonts w:eastAsiaTheme="minorHAnsi"/>
              </w:rPr>
              <w:t>(</w:t>
            </w:r>
            <w:r w:rsidR="00AA15F6" w:rsidRPr="00F8101A">
              <w:rPr>
                <w:rFonts w:eastAsiaTheme="minorHAnsi"/>
              </w:rPr>
              <w:t>Probably low risk for ‘all births’ analysis</w:t>
            </w:r>
            <w:r>
              <w:rPr>
                <w:rFonts w:eastAsiaTheme="minorHAnsi"/>
              </w:rPr>
              <w:t>)</w:t>
            </w:r>
          </w:p>
        </w:tc>
        <w:tc>
          <w:tcPr>
            <w:tcW w:w="7991" w:type="dxa"/>
            <w:tcBorders>
              <w:top w:val="single" w:sz="6" w:space="0" w:color="000000"/>
              <w:left w:val="single" w:sz="4" w:space="0" w:color="000000"/>
              <w:bottom w:val="single" w:sz="6" w:space="0" w:color="000000"/>
              <w:right w:val="single" w:sz="4" w:space="0" w:color="000000"/>
            </w:tcBorders>
          </w:tcPr>
          <w:p w14:paraId="59B9028A" w14:textId="23CEED6D" w:rsidR="00F8101A" w:rsidRPr="000F38AA" w:rsidRDefault="00F8101A" w:rsidP="00A111E9">
            <w:pPr>
              <w:pStyle w:val="FSTableText"/>
              <w:rPr>
                <w:rFonts w:eastAsiaTheme="minorHAnsi"/>
                <w:sz w:val="22"/>
              </w:rPr>
            </w:pPr>
            <w:r w:rsidRPr="000F38AA">
              <w:rPr>
                <w:rFonts w:eastAsiaTheme="minorHAnsi"/>
                <w:sz w:val="22"/>
              </w:rPr>
              <w:t>Exposure was measured in blood, 26% before blood drawn, but quite close in time.</w:t>
            </w:r>
          </w:p>
          <w:p w14:paraId="29A35E85" w14:textId="5477425E" w:rsidR="00F8101A" w:rsidRPr="000F38AA" w:rsidRDefault="00F8101A" w:rsidP="00A111E9">
            <w:pPr>
              <w:pStyle w:val="FSTableText"/>
              <w:rPr>
                <w:rFonts w:eastAsiaTheme="minorHAnsi"/>
                <w:sz w:val="22"/>
              </w:rPr>
            </w:pPr>
            <w:r w:rsidRPr="000F38AA">
              <w:rPr>
                <w:rFonts w:eastAsiaTheme="minorHAnsi"/>
                <w:sz w:val="22"/>
              </w:rPr>
              <w:t xml:space="preserve">The exposure assessment methods were robust and included a detailed description of </w:t>
            </w:r>
            <w:r w:rsidR="000F38AA">
              <w:rPr>
                <w:rFonts w:eastAsiaTheme="minorHAnsi"/>
                <w:sz w:val="22"/>
                <w:szCs w:val="22"/>
              </w:rPr>
              <w:t>quality assurance/control</w:t>
            </w:r>
            <w:r w:rsidRPr="000F38AA">
              <w:rPr>
                <w:rFonts w:eastAsiaTheme="minorHAnsi"/>
                <w:sz w:val="22"/>
              </w:rPr>
              <w:t>.</w:t>
            </w:r>
          </w:p>
          <w:p w14:paraId="7B6DEDDA" w14:textId="77777777" w:rsidR="00F8101A" w:rsidRPr="000F38AA" w:rsidRDefault="00F8101A" w:rsidP="00A111E9">
            <w:pPr>
              <w:pStyle w:val="FSTableText"/>
              <w:rPr>
                <w:rFonts w:eastAsiaTheme="minorHAnsi"/>
                <w:sz w:val="22"/>
              </w:rPr>
            </w:pPr>
          </w:p>
        </w:tc>
      </w:tr>
      <w:tr w:rsidR="00F8101A" w:rsidRPr="00F8101A" w14:paraId="429DC469" w14:textId="77777777" w:rsidTr="00D95A2C">
        <w:trPr>
          <w:trHeight w:val="143"/>
        </w:trPr>
        <w:tc>
          <w:tcPr>
            <w:tcW w:w="2093" w:type="dxa"/>
            <w:tcBorders>
              <w:top w:val="single" w:sz="6" w:space="0" w:color="000000"/>
              <w:left w:val="single" w:sz="4" w:space="0" w:color="000000"/>
              <w:bottom w:val="single" w:sz="6" w:space="0" w:color="000000"/>
              <w:right w:val="single" w:sz="4" w:space="0" w:color="000000"/>
            </w:tcBorders>
            <w:vAlign w:val="center"/>
          </w:tcPr>
          <w:p w14:paraId="26B66AB8" w14:textId="77777777" w:rsidR="00F8101A" w:rsidRPr="00F8101A" w:rsidRDefault="00F8101A" w:rsidP="00A111E9">
            <w:pPr>
              <w:pStyle w:val="FSTableText"/>
              <w:rPr>
                <w:rFonts w:eastAsiaTheme="minorHAnsi"/>
              </w:rPr>
            </w:pPr>
            <w:r w:rsidRPr="00F8101A">
              <w:rPr>
                <w:rFonts w:eastAsiaTheme="minorHAnsi"/>
              </w:rPr>
              <w:t xml:space="preserve">Incomplete outcome data </w:t>
            </w:r>
          </w:p>
        </w:tc>
        <w:tc>
          <w:tcPr>
            <w:tcW w:w="3118" w:type="dxa"/>
            <w:tcBorders>
              <w:top w:val="single" w:sz="6" w:space="0" w:color="000000"/>
              <w:left w:val="single" w:sz="4" w:space="0" w:color="000000"/>
              <w:bottom w:val="single" w:sz="6" w:space="0" w:color="000000"/>
              <w:right w:val="single" w:sz="4" w:space="0" w:color="000000"/>
            </w:tcBorders>
            <w:vAlign w:val="center"/>
          </w:tcPr>
          <w:p w14:paraId="3F28E192" w14:textId="77777777" w:rsidR="00F8101A" w:rsidRPr="00F8101A" w:rsidRDefault="00F8101A" w:rsidP="00A111E9">
            <w:pPr>
              <w:pStyle w:val="FSTableText"/>
              <w:rPr>
                <w:rFonts w:eastAsiaTheme="minorHAnsi"/>
              </w:rPr>
            </w:pPr>
            <w:r w:rsidRPr="00F8101A">
              <w:rPr>
                <w:rFonts w:eastAsiaTheme="minorHAnsi"/>
              </w:rPr>
              <w:t xml:space="preserve">Probably Low risk </w:t>
            </w:r>
          </w:p>
        </w:tc>
        <w:tc>
          <w:tcPr>
            <w:tcW w:w="7991" w:type="dxa"/>
            <w:tcBorders>
              <w:top w:val="single" w:sz="6" w:space="0" w:color="000000"/>
              <w:left w:val="single" w:sz="4" w:space="0" w:color="000000"/>
              <w:bottom w:val="single" w:sz="6" w:space="0" w:color="000000"/>
              <w:right w:val="single" w:sz="4" w:space="0" w:color="000000"/>
            </w:tcBorders>
            <w:vAlign w:val="center"/>
          </w:tcPr>
          <w:p w14:paraId="1E6277E1" w14:textId="77777777" w:rsidR="00F8101A" w:rsidRPr="00AA15F6" w:rsidRDefault="00F8101A" w:rsidP="00A111E9">
            <w:pPr>
              <w:pStyle w:val="FSTableText"/>
              <w:rPr>
                <w:rFonts w:eastAsiaTheme="minorHAnsi"/>
                <w:sz w:val="22"/>
              </w:rPr>
            </w:pPr>
            <w:r w:rsidRPr="00AA15F6">
              <w:rPr>
                <w:rFonts w:eastAsiaTheme="minorHAnsi"/>
                <w:sz w:val="22"/>
              </w:rPr>
              <w:t>17% could not be matched to birth records, tended to be better educated, other factors including median PFOA and PFOS same in matched and not matched groups</w:t>
            </w:r>
            <w:r w:rsidRPr="00AA15F6" w:rsidDel="00FD44FB">
              <w:rPr>
                <w:rFonts w:eastAsiaTheme="minorHAnsi"/>
                <w:sz w:val="22"/>
              </w:rPr>
              <w:t xml:space="preserve"> </w:t>
            </w:r>
          </w:p>
        </w:tc>
      </w:tr>
      <w:tr w:rsidR="00F8101A" w:rsidRPr="00F8101A" w14:paraId="6A7C2C4E" w14:textId="77777777" w:rsidTr="00D95A2C">
        <w:trPr>
          <w:trHeight w:val="281"/>
        </w:trPr>
        <w:tc>
          <w:tcPr>
            <w:tcW w:w="2093" w:type="dxa"/>
            <w:tcBorders>
              <w:top w:val="single" w:sz="6" w:space="0" w:color="000000"/>
              <w:left w:val="single" w:sz="4" w:space="0" w:color="000000"/>
              <w:bottom w:val="single" w:sz="6" w:space="0" w:color="000000"/>
              <w:right w:val="single" w:sz="4" w:space="0" w:color="000000"/>
            </w:tcBorders>
          </w:tcPr>
          <w:p w14:paraId="3984C989" w14:textId="77777777" w:rsidR="00F8101A" w:rsidRPr="00F8101A" w:rsidRDefault="00F8101A" w:rsidP="00A111E9">
            <w:pPr>
              <w:pStyle w:val="FSTableText"/>
              <w:rPr>
                <w:rFonts w:eastAsiaTheme="minorHAnsi"/>
              </w:rPr>
            </w:pPr>
            <w:r w:rsidRPr="00F8101A">
              <w:rPr>
                <w:rFonts w:eastAsiaTheme="minorHAnsi"/>
              </w:rPr>
              <w:t xml:space="preserve">Selective reporting </w:t>
            </w:r>
          </w:p>
        </w:tc>
        <w:tc>
          <w:tcPr>
            <w:tcW w:w="3118" w:type="dxa"/>
            <w:tcBorders>
              <w:top w:val="single" w:sz="6" w:space="0" w:color="000000"/>
              <w:left w:val="single" w:sz="4" w:space="0" w:color="000000"/>
              <w:bottom w:val="single" w:sz="6" w:space="0" w:color="000000"/>
              <w:right w:val="single" w:sz="4" w:space="0" w:color="000000"/>
            </w:tcBorders>
          </w:tcPr>
          <w:p w14:paraId="36345AFF" w14:textId="77777777" w:rsidR="00F8101A" w:rsidRPr="00F8101A" w:rsidRDefault="00F8101A" w:rsidP="00A111E9">
            <w:pPr>
              <w:pStyle w:val="FSTableText"/>
              <w:rPr>
                <w:rFonts w:eastAsiaTheme="minorHAnsi"/>
              </w:rPr>
            </w:pPr>
            <w:r w:rsidRPr="00F8101A">
              <w:rPr>
                <w:rFonts w:eastAsiaTheme="minorHAnsi"/>
              </w:rPr>
              <w:t xml:space="preserve">Low risk </w:t>
            </w:r>
          </w:p>
        </w:tc>
        <w:tc>
          <w:tcPr>
            <w:tcW w:w="7991" w:type="dxa"/>
            <w:tcBorders>
              <w:top w:val="single" w:sz="6" w:space="0" w:color="000000"/>
              <w:left w:val="single" w:sz="4" w:space="0" w:color="000000"/>
              <w:bottom w:val="single" w:sz="6" w:space="0" w:color="000000"/>
              <w:right w:val="single" w:sz="4" w:space="0" w:color="000000"/>
            </w:tcBorders>
          </w:tcPr>
          <w:p w14:paraId="1193B464" w14:textId="77777777" w:rsidR="00F8101A" w:rsidRPr="00DF2DBC" w:rsidRDefault="00F8101A" w:rsidP="00A111E9">
            <w:pPr>
              <w:pStyle w:val="FSTableText"/>
              <w:rPr>
                <w:rFonts w:eastAsiaTheme="minorHAnsi"/>
                <w:sz w:val="22"/>
              </w:rPr>
            </w:pPr>
            <w:r w:rsidRPr="00DF2DBC">
              <w:rPr>
                <w:rFonts w:eastAsiaTheme="minorHAnsi"/>
                <w:sz w:val="22"/>
              </w:rPr>
              <w:t xml:space="preserve">The study is free of suggestion of selective outcome reporting. All of the study’s specified outcomes were adequately reported. </w:t>
            </w:r>
          </w:p>
        </w:tc>
      </w:tr>
      <w:tr w:rsidR="00F8101A" w:rsidRPr="00F8101A" w14:paraId="23CB758B" w14:textId="77777777" w:rsidTr="00D95A2C">
        <w:trPr>
          <w:trHeight w:val="141"/>
        </w:trPr>
        <w:tc>
          <w:tcPr>
            <w:tcW w:w="2093" w:type="dxa"/>
            <w:tcBorders>
              <w:top w:val="single" w:sz="6" w:space="0" w:color="000000"/>
              <w:left w:val="single" w:sz="4" w:space="0" w:color="000000"/>
              <w:bottom w:val="single" w:sz="6" w:space="0" w:color="000000"/>
              <w:right w:val="single" w:sz="4" w:space="0" w:color="000000"/>
            </w:tcBorders>
            <w:vAlign w:val="center"/>
          </w:tcPr>
          <w:p w14:paraId="38BC8D38" w14:textId="77777777" w:rsidR="00F8101A" w:rsidRPr="00F8101A" w:rsidRDefault="00F8101A" w:rsidP="00A111E9">
            <w:pPr>
              <w:pStyle w:val="FSTableText"/>
              <w:rPr>
                <w:rFonts w:eastAsiaTheme="minorHAnsi"/>
              </w:rPr>
            </w:pPr>
            <w:r w:rsidRPr="00F8101A">
              <w:rPr>
                <w:rFonts w:eastAsiaTheme="minorHAnsi"/>
              </w:rPr>
              <w:t xml:space="preserve">Other bias </w:t>
            </w:r>
          </w:p>
        </w:tc>
        <w:tc>
          <w:tcPr>
            <w:tcW w:w="3118" w:type="dxa"/>
            <w:tcBorders>
              <w:top w:val="single" w:sz="6" w:space="0" w:color="000000"/>
              <w:left w:val="single" w:sz="4" w:space="0" w:color="000000"/>
              <w:bottom w:val="single" w:sz="6" w:space="0" w:color="000000"/>
              <w:right w:val="single" w:sz="4" w:space="0" w:color="000000"/>
            </w:tcBorders>
            <w:vAlign w:val="center"/>
          </w:tcPr>
          <w:p w14:paraId="348271DD" w14:textId="77777777" w:rsidR="00F8101A" w:rsidRPr="00F8101A" w:rsidRDefault="00F8101A" w:rsidP="00A111E9">
            <w:pPr>
              <w:pStyle w:val="FSTableText"/>
              <w:rPr>
                <w:rFonts w:eastAsiaTheme="minorHAnsi"/>
              </w:rPr>
            </w:pPr>
            <w:r w:rsidRPr="00F8101A">
              <w:rPr>
                <w:rFonts w:eastAsiaTheme="minorHAnsi"/>
              </w:rPr>
              <w:t xml:space="preserve">Low risk </w:t>
            </w:r>
          </w:p>
        </w:tc>
        <w:tc>
          <w:tcPr>
            <w:tcW w:w="7991" w:type="dxa"/>
            <w:tcBorders>
              <w:top w:val="single" w:sz="6" w:space="0" w:color="000000"/>
              <w:left w:val="single" w:sz="4" w:space="0" w:color="000000"/>
              <w:bottom w:val="single" w:sz="6" w:space="0" w:color="000000"/>
              <w:right w:val="single" w:sz="4" w:space="0" w:color="000000"/>
            </w:tcBorders>
            <w:vAlign w:val="center"/>
          </w:tcPr>
          <w:p w14:paraId="0B5700EF" w14:textId="77777777" w:rsidR="00F8101A" w:rsidRPr="00DF2DBC" w:rsidRDefault="00F8101A" w:rsidP="00A111E9">
            <w:pPr>
              <w:pStyle w:val="FSTableText"/>
              <w:rPr>
                <w:rFonts w:eastAsiaTheme="minorHAnsi"/>
                <w:sz w:val="22"/>
              </w:rPr>
            </w:pPr>
            <w:r w:rsidRPr="00DF2DBC">
              <w:rPr>
                <w:rFonts w:eastAsiaTheme="minorHAnsi"/>
                <w:sz w:val="22"/>
              </w:rPr>
              <w:t xml:space="preserve">No other potential biases are suspected. </w:t>
            </w:r>
          </w:p>
        </w:tc>
      </w:tr>
      <w:tr w:rsidR="00F8101A" w:rsidRPr="00F8101A" w14:paraId="0A1090DF" w14:textId="77777777" w:rsidTr="00D95A2C">
        <w:trPr>
          <w:trHeight w:val="283"/>
        </w:trPr>
        <w:tc>
          <w:tcPr>
            <w:tcW w:w="2093" w:type="dxa"/>
            <w:tcBorders>
              <w:top w:val="single" w:sz="6" w:space="0" w:color="000000"/>
              <w:left w:val="single" w:sz="4" w:space="0" w:color="000000"/>
              <w:bottom w:val="single" w:sz="6" w:space="0" w:color="000000"/>
              <w:right w:val="single" w:sz="4" w:space="0" w:color="000000"/>
            </w:tcBorders>
          </w:tcPr>
          <w:p w14:paraId="4F69091F" w14:textId="77777777" w:rsidR="00F8101A" w:rsidRPr="00F8101A" w:rsidRDefault="00F8101A" w:rsidP="00A111E9">
            <w:pPr>
              <w:pStyle w:val="FSTableText"/>
              <w:rPr>
                <w:rFonts w:eastAsiaTheme="minorHAnsi"/>
              </w:rPr>
            </w:pPr>
            <w:r w:rsidRPr="00F8101A">
              <w:rPr>
                <w:rFonts w:eastAsiaTheme="minorHAnsi"/>
              </w:rPr>
              <w:t xml:space="preserve">Conflict of interest </w:t>
            </w:r>
          </w:p>
        </w:tc>
        <w:tc>
          <w:tcPr>
            <w:tcW w:w="3118" w:type="dxa"/>
            <w:tcBorders>
              <w:top w:val="single" w:sz="6" w:space="0" w:color="000000"/>
              <w:left w:val="single" w:sz="4" w:space="0" w:color="000000"/>
              <w:bottom w:val="single" w:sz="6" w:space="0" w:color="000000"/>
              <w:right w:val="single" w:sz="4" w:space="0" w:color="000000"/>
            </w:tcBorders>
          </w:tcPr>
          <w:p w14:paraId="0B8FC9E0" w14:textId="77777777" w:rsidR="00F8101A" w:rsidRPr="00F8101A" w:rsidRDefault="00F8101A" w:rsidP="00A111E9">
            <w:pPr>
              <w:pStyle w:val="FSTableText"/>
              <w:rPr>
                <w:rFonts w:eastAsiaTheme="minorHAnsi"/>
              </w:rPr>
            </w:pPr>
            <w:r w:rsidRPr="00F8101A">
              <w:rPr>
                <w:rFonts w:eastAsiaTheme="minorHAnsi"/>
              </w:rPr>
              <w:t xml:space="preserve">Low risk </w:t>
            </w:r>
          </w:p>
        </w:tc>
        <w:tc>
          <w:tcPr>
            <w:tcW w:w="7991" w:type="dxa"/>
            <w:tcBorders>
              <w:top w:val="single" w:sz="6" w:space="0" w:color="000000"/>
              <w:left w:val="single" w:sz="4" w:space="0" w:color="000000"/>
              <w:bottom w:val="single" w:sz="6" w:space="0" w:color="000000"/>
              <w:right w:val="single" w:sz="4" w:space="0" w:color="000000"/>
            </w:tcBorders>
          </w:tcPr>
          <w:p w14:paraId="26404129" w14:textId="77777777" w:rsidR="00F8101A" w:rsidRPr="00DF2DBC" w:rsidRDefault="00F8101A" w:rsidP="00A111E9">
            <w:pPr>
              <w:pStyle w:val="FSTableText"/>
              <w:rPr>
                <w:rFonts w:eastAsiaTheme="minorHAnsi"/>
                <w:sz w:val="22"/>
              </w:rPr>
            </w:pPr>
            <w:r w:rsidRPr="00DF2DBC">
              <w:rPr>
                <w:rFonts w:eastAsiaTheme="minorHAnsi"/>
                <w:sz w:val="22"/>
              </w:rPr>
              <w:t xml:space="preserve">The authors report no conflict of interest, and associated funds and persons appear to be from government and/or academia only. </w:t>
            </w:r>
          </w:p>
        </w:tc>
      </w:tr>
    </w:tbl>
    <w:p w14:paraId="38927FB9" w14:textId="77777777" w:rsidR="00F8101A" w:rsidRPr="00F8101A" w:rsidRDefault="00F8101A" w:rsidP="00A111E9">
      <w:pPr>
        <w:widowControl/>
        <w:autoSpaceDE w:val="0"/>
        <w:autoSpaceDN w:val="0"/>
        <w:adjustRightInd w:val="0"/>
        <w:rPr>
          <w:rFonts w:ascii="PDVMKM+TimesNewRomanPSMT" w:eastAsiaTheme="minorHAnsi" w:hAnsi="PDVMKM+TimesNewRomanPSMT" w:cs="PDVMKM+TimesNewRomanPSMT"/>
          <w:color w:val="000000"/>
          <w:sz w:val="24"/>
          <w:lang w:bidi="ar-SA"/>
        </w:rPr>
      </w:pPr>
    </w:p>
    <w:p w14:paraId="673AA556" w14:textId="7E39ECD5" w:rsidR="00F8101A" w:rsidRPr="00F8101A" w:rsidRDefault="00F8101A" w:rsidP="00A111E9">
      <w:pPr>
        <w:pStyle w:val="FSBullet1"/>
        <w:rPr>
          <w:rFonts w:eastAsiaTheme="minorHAnsi"/>
        </w:rPr>
      </w:pPr>
      <w:r w:rsidRPr="00F8101A">
        <w:rPr>
          <w:rFonts w:eastAsiaTheme="minorHAnsi"/>
        </w:rPr>
        <w:t>Design: Mostly prospective cohort study.</w:t>
      </w:r>
    </w:p>
    <w:p w14:paraId="4FE5B8DF" w14:textId="0F3F9BAC" w:rsidR="00F8101A" w:rsidRPr="00F8101A" w:rsidRDefault="00F8101A" w:rsidP="00A111E9">
      <w:pPr>
        <w:pStyle w:val="FSBullet1"/>
        <w:rPr>
          <w:rFonts w:eastAsiaTheme="minorHAnsi"/>
        </w:rPr>
      </w:pPr>
      <w:r w:rsidRPr="00F8101A">
        <w:rPr>
          <w:rFonts w:eastAsiaTheme="minorHAnsi"/>
        </w:rPr>
        <w:t>Participants: Singleton term pregnancies of white women between 2005-2010 in the Mid-Ohio Valley. Participants are part of the much larger C8 Health Project. In women having blood draw 2005-6 and pregnancy questionnaire 2008-</w:t>
      </w:r>
      <w:r w:rsidR="0007229B">
        <w:rPr>
          <w:rFonts w:eastAsiaTheme="minorHAnsi"/>
        </w:rPr>
        <w:t>11.</w:t>
      </w:r>
    </w:p>
    <w:p w14:paraId="3AF21AAE" w14:textId="40F75D3F" w:rsidR="00F8101A" w:rsidRPr="00F8101A" w:rsidRDefault="00F8101A" w:rsidP="00A111E9">
      <w:pPr>
        <w:pStyle w:val="FSBullet1"/>
        <w:rPr>
          <w:rFonts w:eastAsiaTheme="minorHAnsi"/>
        </w:rPr>
      </w:pPr>
      <w:r w:rsidRPr="00F8101A">
        <w:rPr>
          <w:rFonts w:eastAsiaTheme="minorHAnsi"/>
        </w:rPr>
        <w:t>Exposure: Serum PFOA measured 2005-</w:t>
      </w:r>
      <w:r w:rsidR="0007229B">
        <w:rPr>
          <w:rFonts w:eastAsiaTheme="minorHAnsi"/>
        </w:rPr>
        <w:t>6.</w:t>
      </w:r>
    </w:p>
    <w:p w14:paraId="74F64C9D" w14:textId="46F34EAC" w:rsidR="00F8101A" w:rsidRPr="00F8101A" w:rsidRDefault="00F8101A" w:rsidP="00A111E9">
      <w:pPr>
        <w:pStyle w:val="FSBullet1"/>
        <w:rPr>
          <w:rFonts w:eastAsiaTheme="minorHAnsi"/>
        </w:rPr>
      </w:pPr>
      <w:r w:rsidRPr="00F8101A">
        <w:rPr>
          <w:rFonts w:eastAsiaTheme="minorHAnsi"/>
        </w:rPr>
        <w:t>Outcomes: Preterm, PIH, low birthweight; Birth weight (continuous) in term infants</w:t>
      </w:r>
      <w:r w:rsidR="000F38AA">
        <w:rPr>
          <w:rFonts w:eastAsiaTheme="minorHAnsi"/>
        </w:rPr>
        <w:t>.</w:t>
      </w:r>
      <w:r w:rsidRPr="00F8101A">
        <w:rPr>
          <w:rFonts w:eastAsiaTheme="minorHAnsi"/>
        </w:rPr>
        <w:t xml:space="preserve"> All reported per ln unit increase, per IQR increase and quantiles.</w:t>
      </w:r>
    </w:p>
    <w:p w14:paraId="27E62736" w14:textId="3BB91D3D" w:rsidR="00F8101A" w:rsidRPr="00F8101A" w:rsidRDefault="00F8101A" w:rsidP="00A111E9">
      <w:pPr>
        <w:pStyle w:val="FSBullet1"/>
        <w:rPr>
          <w:rFonts w:eastAsiaTheme="minorHAnsi"/>
        </w:rPr>
      </w:pPr>
      <w:r w:rsidRPr="00F8101A">
        <w:rPr>
          <w:rFonts w:eastAsiaTheme="minorHAnsi"/>
        </w:rPr>
        <w:t>Notes: Although excluded from analysis of PFOA and term low birth weight, the relationship between PFOA and pre</w:t>
      </w:r>
      <w:r w:rsidR="00CC26CA">
        <w:rPr>
          <w:rFonts w:eastAsiaTheme="minorHAnsi"/>
        </w:rPr>
        <w:t>term</w:t>
      </w:r>
      <w:r w:rsidRPr="00F8101A">
        <w:rPr>
          <w:rFonts w:eastAsiaTheme="minorHAnsi"/>
        </w:rPr>
        <w:t xml:space="preserve"> birth was examined separately (findings: non-significant adjusted OR for both all births and when restricted to first prospective birth).</w:t>
      </w:r>
    </w:p>
    <w:p w14:paraId="437B05FA" w14:textId="77777777" w:rsidR="00F8101A" w:rsidRPr="00F8101A" w:rsidRDefault="00F8101A" w:rsidP="00A111E9">
      <w:pPr>
        <w:widowControl/>
        <w:tabs>
          <w:tab w:val="left" w:pos="8072"/>
        </w:tabs>
        <w:autoSpaceDE w:val="0"/>
        <w:autoSpaceDN w:val="0"/>
        <w:adjustRightInd w:val="0"/>
        <w:ind w:firstLine="567"/>
        <w:rPr>
          <w:rFonts w:eastAsiaTheme="minorHAnsi" w:cs="Arial"/>
          <w:szCs w:val="22"/>
          <w:lang w:bidi="ar-SA"/>
        </w:rPr>
      </w:pPr>
      <w:r w:rsidRPr="00F8101A">
        <w:rPr>
          <w:rFonts w:eastAsiaTheme="minorHAnsi" w:cs="Arial"/>
          <w:szCs w:val="22"/>
          <w:lang w:bidi="ar-SA"/>
        </w:rPr>
        <w:tab/>
      </w:r>
    </w:p>
    <w:p w14:paraId="295F5187" w14:textId="77777777" w:rsidR="00E06592" w:rsidRDefault="00E06592" w:rsidP="00A111E9">
      <w:pPr>
        <w:widowControl/>
        <w:rPr>
          <w:rFonts w:eastAsiaTheme="minorHAnsi"/>
        </w:rPr>
      </w:pPr>
      <w:r>
        <w:rPr>
          <w:rFonts w:eastAsiaTheme="minorHAnsi"/>
        </w:rPr>
        <w:br w:type="page"/>
      </w:r>
    </w:p>
    <w:p w14:paraId="4FB5774B" w14:textId="59A2CB19" w:rsidR="008310B7" w:rsidRPr="00F8101A" w:rsidRDefault="008310B7" w:rsidP="00A111E9">
      <w:pPr>
        <w:pStyle w:val="FSTableTitle"/>
        <w:rPr>
          <w:rFonts w:eastAsiaTheme="minorHAnsi"/>
        </w:rPr>
      </w:pPr>
      <w:r>
        <w:rPr>
          <w:rFonts w:eastAsiaTheme="minorHAnsi"/>
        </w:rPr>
        <w:lastRenderedPageBreak/>
        <w:t xml:space="preserve">Annex Table 3 Risk of bias assessment of Bach </w:t>
      </w:r>
      <w:r w:rsidR="00180A32" w:rsidRPr="00180A32">
        <w:rPr>
          <w:rFonts w:eastAsiaTheme="minorHAnsi"/>
          <w:i/>
        </w:rPr>
        <w:t xml:space="preserve">et al. </w:t>
      </w:r>
      <w:r w:rsidR="00CC50B8">
        <w:rPr>
          <w:rFonts w:eastAsiaTheme="minorHAnsi"/>
        </w:rPr>
        <w:t xml:space="preserve"> </w:t>
      </w:r>
      <w:r>
        <w:rPr>
          <w:rFonts w:eastAsiaTheme="minorHAnsi"/>
        </w:rPr>
        <w:t xml:space="preserve">(2016) </w:t>
      </w:r>
      <w:r w:rsidRPr="00F8101A">
        <w:rPr>
          <w:rFonts w:eastAsiaTheme="minorHAnsi"/>
          <w:szCs w:val="22"/>
          <w:lang w:bidi="ar-SA"/>
        </w:rPr>
        <w:t xml:space="preserve">using the criteria of Johnson </w:t>
      </w:r>
      <w:r w:rsidR="00180A32" w:rsidRPr="00180A32">
        <w:rPr>
          <w:rFonts w:eastAsiaTheme="minorHAnsi"/>
          <w:i/>
          <w:szCs w:val="22"/>
          <w:lang w:bidi="ar-SA"/>
        </w:rPr>
        <w:t xml:space="preserve">et al. </w:t>
      </w:r>
      <w:r w:rsidR="00CC50B8">
        <w:rPr>
          <w:rFonts w:eastAsiaTheme="minorHAnsi"/>
          <w:szCs w:val="22"/>
          <w:lang w:bidi="ar-SA"/>
        </w:rPr>
        <w:t xml:space="preserve"> </w:t>
      </w:r>
      <w:r>
        <w:rPr>
          <w:rFonts w:eastAsiaTheme="minorHAnsi"/>
          <w:szCs w:val="22"/>
          <w:lang w:bidi="ar-SA"/>
        </w:rPr>
        <w:t>(</w:t>
      </w:r>
      <w:r w:rsidRPr="00F8101A">
        <w:rPr>
          <w:rFonts w:eastAsiaTheme="minorHAnsi"/>
          <w:szCs w:val="22"/>
          <w:lang w:bidi="ar-SA"/>
        </w:rPr>
        <w:t>2014</w:t>
      </w:r>
      <w:r>
        <w:rPr>
          <w:rFonts w:eastAsiaTheme="minorHAnsi"/>
          <w:szCs w:val="22"/>
          <w:lang w:bidi="ar-SA"/>
        </w:rPr>
        <w:t>)</w:t>
      </w:r>
    </w:p>
    <w:tbl>
      <w:tblPr>
        <w:tblW w:w="0" w:type="auto"/>
        <w:tblBorders>
          <w:top w:val="nil"/>
          <w:left w:val="nil"/>
          <w:bottom w:val="nil"/>
          <w:right w:val="nil"/>
        </w:tblBorders>
        <w:tblLayout w:type="fixed"/>
        <w:tblLook w:val="0000" w:firstRow="0" w:lastRow="0" w:firstColumn="0" w:lastColumn="0" w:noHBand="0" w:noVBand="0"/>
      </w:tblPr>
      <w:tblGrid>
        <w:gridCol w:w="2732"/>
        <w:gridCol w:w="2247"/>
        <w:gridCol w:w="8215"/>
      </w:tblGrid>
      <w:tr w:rsidR="00F8101A" w:rsidRPr="00F8101A" w14:paraId="73EAD163" w14:textId="77777777" w:rsidTr="000830C5">
        <w:trPr>
          <w:trHeight w:val="151"/>
          <w:tblHeader/>
        </w:trPr>
        <w:tc>
          <w:tcPr>
            <w:tcW w:w="2732" w:type="dxa"/>
            <w:tcBorders>
              <w:top w:val="single" w:sz="6" w:space="0" w:color="000000"/>
              <w:left w:val="single" w:sz="4" w:space="0" w:color="000000"/>
              <w:bottom w:val="single" w:sz="6" w:space="0" w:color="000000"/>
              <w:right w:val="single" w:sz="4" w:space="0" w:color="000000"/>
            </w:tcBorders>
          </w:tcPr>
          <w:p w14:paraId="7F472E89" w14:textId="77777777" w:rsidR="00F8101A" w:rsidRPr="00F8101A" w:rsidRDefault="00F8101A" w:rsidP="00A111E9">
            <w:pPr>
              <w:pStyle w:val="FSTableHeading"/>
              <w:jc w:val="left"/>
              <w:rPr>
                <w:rFonts w:eastAsiaTheme="minorHAnsi"/>
              </w:rPr>
            </w:pPr>
            <w:r w:rsidRPr="00F8101A">
              <w:rPr>
                <w:rFonts w:eastAsiaTheme="minorHAnsi"/>
              </w:rPr>
              <w:t xml:space="preserve">Bias </w:t>
            </w:r>
          </w:p>
        </w:tc>
        <w:tc>
          <w:tcPr>
            <w:tcW w:w="2247" w:type="dxa"/>
            <w:tcBorders>
              <w:top w:val="single" w:sz="6" w:space="0" w:color="000000"/>
              <w:left w:val="single" w:sz="4" w:space="0" w:color="000000"/>
              <w:bottom w:val="single" w:sz="6" w:space="0" w:color="000000"/>
              <w:right w:val="single" w:sz="4" w:space="0" w:color="000000"/>
            </w:tcBorders>
          </w:tcPr>
          <w:p w14:paraId="68D1350E" w14:textId="77777777" w:rsidR="00F8101A" w:rsidRPr="00F8101A" w:rsidRDefault="00F8101A" w:rsidP="00A111E9">
            <w:pPr>
              <w:pStyle w:val="FSTableHeading"/>
              <w:jc w:val="left"/>
              <w:rPr>
                <w:rFonts w:eastAsiaTheme="minorHAnsi"/>
              </w:rPr>
            </w:pPr>
            <w:r w:rsidRPr="00F8101A">
              <w:rPr>
                <w:rFonts w:eastAsiaTheme="minorHAnsi"/>
              </w:rPr>
              <w:t xml:space="preserve">Rating </w:t>
            </w:r>
          </w:p>
        </w:tc>
        <w:tc>
          <w:tcPr>
            <w:tcW w:w="8215" w:type="dxa"/>
            <w:tcBorders>
              <w:top w:val="single" w:sz="6" w:space="0" w:color="000000"/>
              <w:left w:val="single" w:sz="4" w:space="0" w:color="000000"/>
              <w:bottom w:val="single" w:sz="6" w:space="0" w:color="000000"/>
              <w:right w:val="single" w:sz="4" w:space="0" w:color="000000"/>
            </w:tcBorders>
          </w:tcPr>
          <w:p w14:paraId="3CED3A85" w14:textId="47A38101" w:rsidR="00F8101A" w:rsidRPr="00F8101A" w:rsidRDefault="00F8101A" w:rsidP="00A111E9">
            <w:pPr>
              <w:pStyle w:val="FSTableHeading"/>
              <w:jc w:val="left"/>
              <w:rPr>
                <w:rFonts w:eastAsiaTheme="minorHAnsi"/>
              </w:rPr>
            </w:pPr>
            <w:r w:rsidRPr="00F8101A">
              <w:rPr>
                <w:rFonts w:eastAsiaTheme="minorHAnsi"/>
              </w:rPr>
              <w:t>Support for judg</w:t>
            </w:r>
            <w:r w:rsidR="001B6877">
              <w:rPr>
                <w:rFonts w:eastAsiaTheme="minorHAnsi"/>
              </w:rPr>
              <w:t>ement</w:t>
            </w:r>
            <w:r w:rsidRPr="00F8101A">
              <w:rPr>
                <w:rFonts w:eastAsiaTheme="minorHAnsi"/>
              </w:rPr>
              <w:t xml:space="preserve"> </w:t>
            </w:r>
          </w:p>
        </w:tc>
      </w:tr>
      <w:tr w:rsidR="00F8101A" w:rsidRPr="00F8101A" w14:paraId="409A7D13" w14:textId="77777777" w:rsidTr="00D95A2C">
        <w:trPr>
          <w:trHeight w:val="141"/>
        </w:trPr>
        <w:tc>
          <w:tcPr>
            <w:tcW w:w="2732" w:type="dxa"/>
            <w:tcBorders>
              <w:top w:val="single" w:sz="6" w:space="0" w:color="000000"/>
              <w:left w:val="single" w:sz="4" w:space="0" w:color="000000"/>
              <w:bottom w:val="single" w:sz="6" w:space="0" w:color="000000"/>
              <w:right w:val="single" w:sz="4" w:space="0" w:color="000000"/>
            </w:tcBorders>
            <w:vAlign w:val="center"/>
          </w:tcPr>
          <w:p w14:paraId="126FB156" w14:textId="77777777" w:rsidR="00F8101A" w:rsidRPr="00F8101A" w:rsidRDefault="00F8101A" w:rsidP="00A111E9">
            <w:pPr>
              <w:pStyle w:val="FSTableText"/>
              <w:rPr>
                <w:rFonts w:eastAsiaTheme="minorHAnsi"/>
              </w:rPr>
            </w:pPr>
            <w:r w:rsidRPr="00F8101A">
              <w:rPr>
                <w:rFonts w:eastAsiaTheme="minorHAnsi"/>
              </w:rPr>
              <w:t xml:space="preserve">Recruitment </w:t>
            </w:r>
          </w:p>
        </w:tc>
        <w:tc>
          <w:tcPr>
            <w:tcW w:w="2247" w:type="dxa"/>
            <w:tcBorders>
              <w:top w:val="single" w:sz="6" w:space="0" w:color="000000"/>
              <w:left w:val="single" w:sz="4" w:space="0" w:color="000000"/>
              <w:bottom w:val="single" w:sz="6" w:space="0" w:color="000000"/>
              <w:right w:val="single" w:sz="4" w:space="0" w:color="000000"/>
            </w:tcBorders>
            <w:vAlign w:val="center"/>
          </w:tcPr>
          <w:p w14:paraId="61F2F925" w14:textId="77777777" w:rsidR="00F8101A" w:rsidRPr="00F8101A" w:rsidRDefault="00F8101A" w:rsidP="00A111E9">
            <w:pPr>
              <w:pStyle w:val="FSTableText"/>
              <w:rPr>
                <w:rFonts w:eastAsiaTheme="minorHAnsi"/>
              </w:rPr>
            </w:pPr>
            <w:r w:rsidRPr="00F8101A">
              <w:rPr>
                <w:rFonts w:eastAsiaTheme="minorHAnsi"/>
              </w:rPr>
              <w:t xml:space="preserve">Low risk </w:t>
            </w:r>
          </w:p>
        </w:tc>
        <w:tc>
          <w:tcPr>
            <w:tcW w:w="8215" w:type="dxa"/>
            <w:tcBorders>
              <w:top w:val="single" w:sz="6" w:space="0" w:color="000000"/>
              <w:left w:val="single" w:sz="4" w:space="0" w:color="000000"/>
              <w:bottom w:val="single" w:sz="6" w:space="0" w:color="000000"/>
              <w:right w:val="single" w:sz="4" w:space="0" w:color="000000"/>
            </w:tcBorders>
            <w:vAlign w:val="center"/>
          </w:tcPr>
          <w:p w14:paraId="414CF687" w14:textId="77777777" w:rsidR="00F8101A" w:rsidRPr="00F8101A" w:rsidRDefault="00F8101A" w:rsidP="00A111E9">
            <w:pPr>
              <w:pStyle w:val="FSTableText"/>
              <w:rPr>
                <w:rFonts w:eastAsiaTheme="minorHAnsi"/>
              </w:rPr>
            </w:pPr>
            <w:r w:rsidRPr="00F8101A">
              <w:rPr>
                <w:rFonts w:eastAsiaTheme="minorHAnsi"/>
              </w:rPr>
              <w:t xml:space="preserve">Random sampling of participants in a cohort study in each year of recruitment therefore strategy for recruiting participants was consistent across study groups. </w:t>
            </w:r>
          </w:p>
        </w:tc>
      </w:tr>
      <w:tr w:rsidR="00F8101A" w:rsidRPr="00F8101A" w14:paraId="05578865" w14:textId="77777777" w:rsidTr="00D95A2C">
        <w:trPr>
          <w:trHeight w:val="143"/>
        </w:trPr>
        <w:tc>
          <w:tcPr>
            <w:tcW w:w="2732" w:type="dxa"/>
            <w:tcBorders>
              <w:top w:val="single" w:sz="6" w:space="0" w:color="000000"/>
              <w:left w:val="single" w:sz="4" w:space="0" w:color="000000"/>
              <w:bottom w:val="single" w:sz="6" w:space="0" w:color="000000"/>
              <w:right w:val="single" w:sz="4" w:space="0" w:color="000000"/>
            </w:tcBorders>
            <w:vAlign w:val="center"/>
          </w:tcPr>
          <w:p w14:paraId="01BD0830" w14:textId="77777777" w:rsidR="00F8101A" w:rsidRPr="00F8101A" w:rsidRDefault="00F8101A" w:rsidP="00A111E9">
            <w:pPr>
              <w:pStyle w:val="FSTableText"/>
              <w:rPr>
                <w:rFonts w:eastAsiaTheme="minorHAnsi"/>
              </w:rPr>
            </w:pPr>
            <w:r w:rsidRPr="00F8101A">
              <w:rPr>
                <w:rFonts w:eastAsiaTheme="minorHAnsi"/>
              </w:rPr>
              <w:t xml:space="preserve">Blinding </w:t>
            </w:r>
          </w:p>
        </w:tc>
        <w:tc>
          <w:tcPr>
            <w:tcW w:w="2247" w:type="dxa"/>
            <w:tcBorders>
              <w:top w:val="single" w:sz="6" w:space="0" w:color="000000"/>
              <w:left w:val="single" w:sz="4" w:space="0" w:color="000000"/>
              <w:bottom w:val="single" w:sz="6" w:space="0" w:color="000000"/>
              <w:right w:val="single" w:sz="4" w:space="0" w:color="000000"/>
            </w:tcBorders>
            <w:vAlign w:val="center"/>
          </w:tcPr>
          <w:p w14:paraId="4BEFDB73" w14:textId="77777777" w:rsidR="00F8101A" w:rsidRPr="00F8101A" w:rsidRDefault="00F8101A" w:rsidP="00A111E9">
            <w:pPr>
              <w:pStyle w:val="FSTableText"/>
              <w:rPr>
                <w:rFonts w:eastAsiaTheme="minorHAnsi"/>
              </w:rPr>
            </w:pPr>
            <w:r w:rsidRPr="00F8101A">
              <w:rPr>
                <w:rFonts w:eastAsiaTheme="minorHAnsi"/>
              </w:rPr>
              <w:t xml:space="preserve">Low risk </w:t>
            </w:r>
          </w:p>
        </w:tc>
        <w:tc>
          <w:tcPr>
            <w:tcW w:w="8215" w:type="dxa"/>
            <w:tcBorders>
              <w:top w:val="single" w:sz="6" w:space="0" w:color="000000"/>
              <w:left w:val="single" w:sz="4" w:space="0" w:color="000000"/>
              <w:bottom w:val="single" w:sz="6" w:space="0" w:color="000000"/>
              <w:right w:val="single" w:sz="4" w:space="0" w:color="000000"/>
            </w:tcBorders>
            <w:vAlign w:val="center"/>
          </w:tcPr>
          <w:p w14:paraId="4BC2A598" w14:textId="77777777" w:rsidR="00F8101A" w:rsidRPr="00F8101A" w:rsidRDefault="00F8101A" w:rsidP="00A111E9">
            <w:pPr>
              <w:pStyle w:val="FSTableText"/>
              <w:rPr>
                <w:rFonts w:eastAsiaTheme="minorHAnsi"/>
              </w:rPr>
            </w:pPr>
            <w:r w:rsidRPr="00F8101A">
              <w:rPr>
                <w:rFonts w:eastAsiaTheme="minorHAnsi"/>
              </w:rPr>
              <w:t xml:space="preserve">Knowledge of the exposure groups was adequately prevented during the study. </w:t>
            </w:r>
          </w:p>
        </w:tc>
      </w:tr>
      <w:tr w:rsidR="00F8101A" w:rsidRPr="00F8101A" w14:paraId="12EA0F59" w14:textId="77777777" w:rsidTr="00D95A2C">
        <w:trPr>
          <w:trHeight w:val="143"/>
        </w:trPr>
        <w:tc>
          <w:tcPr>
            <w:tcW w:w="2732" w:type="dxa"/>
            <w:tcBorders>
              <w:top w:val="single" w:sz="6" w:space="0" w:color="000000"/>
              <w:left w:val="single" w:sz="4" w:space="0" w:color="000000"/>
              <w:bottom w:val="single" w:sz="6" w:space="0" w:color="000000"/>
              <w:right w:val="single" w:sz="4" w:space="0" w:color="000000"/>
            </w:tcBorders>
            <w:vAlign w:val="center"/>
          </w:tcPr>
          <w:p w14:paraId="0A184BCF" w14:textId="77777777" w:rsidR="00F8101A" w:rsidRPr="00F8101A" w:rsidRDefault="00F8101A" w:rsidP="00A111E9">
            <w:pPr>
              <w:pStyle w:val="FSTableText"/>
              <w:rPr>
                <w:rFonts w:eastAsiaTheme="minorHAnsi"/>
              </w:rPr>
            </w:pPr>
            <w:r w:rsidRPr="00F8101A">
              <w:rPr>
                <w:rFonts w:eastAsiaTheme="minorHAnsi"/>
              </w:rPr>
              <w:t xml:space="preserve">Confounding </w:t>
            </w:r>
          </w:p>
        </w:tc>
        <w:tc>
          <w:tcPr>
            <w:tcW w:w="2247" w:type="dxa"/>
            <w:tcBorders>
              <w:top w:val="single" w:sz="6" w:space="0" w:color="000000"/>
              <w:left w:val="single" w:sz="4" w:space="0" w:color="000000"/>
              <w:bottom w:val="single" w:sz="6" w:space="0" w:color="000000"/>
              <w:right w:val="single" w:sz="4" w:space="0" w:color="000000"/>
            </w:tcBorders>
            <w:vAlign w:val="center"/>
          </w:tcPr>
          <w:p w14:paraId="6120F1C1" w14:textId="77777777" w:rsidR="00F8101A" w:rsidRPr="00F8101A" w:rsidRDefault="00F8101A" w:rsidP="00A111E9">
            <w:pPr>
              <w:pStyle w:val="FSTableText"/>
              <w:rPr>
                <w:rFonts w:eastAsiaTheme="minorHAnsi"/>
              </w:rPr>
            </w:pPr>
            <w:r w:rsidRPr="00F8101A">
              <w:rPr>
                <w:rFonts w:eastAsiaTheme="minorHAnsi"/>
              </w:rPr>
              <w:t xml:space="preserve">Low risk </w:t>
            </w:r>
          </w:p>
        </w:tc>
        <w:tc>
          <w:tcPr>
            <w:tcW w:w="8215" w:type="dxa"/>
            <w:tcBorders>
              <w:top w:val="single" w:sz="6" w:space="0" w:color="000000"/>
              <w:left w:val="single" w:sz="4" w:space="0" w:color="000000"/>
              <w:bottom w:val="single" w:sz="6" w:space="0" w:color="000000"/>
              <w:right w:val="single" w:sz="4" w:space="0" w:color="000000"/>
            </w:tcBorders>
            <w:vAlign w:val="center"/>
          </w:tcPr>
          <w:p w14:paraId="47E763BC" w14:textId="77777777" w:rsidR="00F8101A" w:rsidRPr="00F8101A" w:rsidRDefault="00F8101A" w:rsidP="00A111E9">
            <w:pPr>
              <w:pStyle w:val="FSTableText"/>
              <w:rPr>
                <w:rFonts w:eastAsiaTheme="minorHAnsi"/>
              </w:rPr>
            </w:pPr>
            <w:r w:rsidRPr="00F8101A">
              <w:rPr>
                <w:rFonts w:eastAsiaTheme="minorHAnsi"/>
              </w:rPr>
              <w:t xml:space="preserve">The authors adjusted for both maternal age and gestational age in their analysis. </w:t>
            </w:r>
          </w:p>
        </w:tc>
      </w:tr>
      <w:tr w:rsidR="00F8101A" w:rsidRPr="00F8101A" w14:paraId="7EC17BEF" w14:textId="77777777" w:rsidTr="00D95A2C">
        <w:trPr>
          <w:trHeight w:val="281"/>
        </w:trPr>
        <w:tc>
          <w:tcPr>
            <w:tcW w:w="2732" w:type="dxa"/>
            <w:tcBorders>
              <w:top w:val="single" w:sz="6" w:space="0" w:color="000000"/>
              <w:left w:val="single" w:sz="4" w:space="0" w:color="000000"/>
              <w:bottom w:val="single" w:sz="6" w:space="0" w:color="000000"/>
              <w:right w:val="single" w:sz="4" w:space="0" w:color="000000"/>
            </w:tcBorders>
          </w:tcPr>
          <w:p w14:paraId="385B79F6" w14:textId="77777777" w:rsidR="00F8101A" w:rsidRPr="00F8101A" w:rsidRDefault="00F8101A" w:rsidP="00A111E9">
            <w:pPr>
              <w:pStyle w:val="FSTableText"/>
              <w:rPr>
                <w:rFonts w:eastAsiaTheme="minorHAnsi"/>
              </w:rPr>
            </w:pPr>
            <w:r w:rsidRPr="00F8101A">
              <w:rPr>
                <w:rFonts w:eastAsiaTheme="minorHAnsi"/>
              </w:rPr>
              <w:t xml:space="preserve">Exposure assessment </w:t>
            </w:r>
          </w:p>
        </w:tc>
        <w:tc>
          <w:tcPr>
            <w:tcW w:w="2247" w:type="dxa"/>
            <w:tcBorders>
              <w:top w:val="single" w:sz="6" w:space="0" w:color="000000"/>
              <w:left w:val="single" w:sz="4" w:space="0" w:color="000000"/>
              <w:bottom w:val="single" w:sz="6" w:space="0" w:color="000000"/>
              <w:right w:val="single" w:sz="4" w:space="0" w:color="000000"/>
            </w:tcBorders>
          </w:tcPr>
          <w:p w14:paraId="2862A7CA" w14:textId="77777777" w:rsidR="00F8101A" w:rsidRPr="00F8101A" w:rsidRDefault="00F8101A" w:rsidP="00A111E9">
            <w:pPr>
              <w:pStyle w:val="FSTableText"/>
              <w:rPr>
                <w:rFonts w:eastAsiaTheme="minorHAnsi"/>
              </w:rPr>
            </w:pPr>
            <w:r w:rsidRPr="00F8101A">
              <w:rPr>
                <w:rFonts w:eastAsiaTheme="minorHAnsi"/>
              </w:rPr>
              <w:t xml:space="preserve">Probably low risk </w:t>
            </w:r>
          </w:p>
        </w:tc>
        <w:tc>
          <w:tcPr>
            <w:tcW w:w="8215" w:type="dxa"/>
            <w:tcBorders>
              <w:top w:val="single" w:sz="6" w:space="0" w:color="000000"/>
              <w:left w:val="single" w:sz="4" w:space="0" w:color="000000"/>
              <w:bottom w:val="single" w:sz="6" w:space="0" w:color="000000"/>
              <w:right w:val="single" w:sz="4" w:space="0" w:color="000000"/>
            </w:tcBorders>
          </w:tcPr>
          <w:p w14:paraId="6BCBA68E" w14:textId="6698E704" w:rsidR="00F8101A" w:rsidRPr="00F8101A" w:rsidRDefault="00F8101A" w:rsidP="00A111E9">
            <w:pPr>
              <w:pStyle w:val="FSTableText"/>
              <w:rPr>
                <w:rFonts w:eastAsiaTheme="minorHAnsi"/>
              </w:rPr>
            </w:pPr>
            <w:r w:rsidRPr="00F8101A">
              <w:rPr>
                <w:rFonts w:eastAsiaTheme="minorHAnsi"/>
              </w:rPr>
              <w:t>Not much detail but cross</w:t>
            </w:r>
            <w:r w:rsidR="001012A5">
              <w:rPr>
                <w:rFonts w:eastAsiaTheme="minorHAnsi"/>
              </w:rPr>
              <w:t>-</w:t>
            </w:r>
            <w:r w:rsidRPr="00F8101A">
              <w:rPr>
                <w:rFonts w:eastAsiaTheme="minorHAnsi"/>
              </w:rPr>
              <w:t>references another study</w:t>
            </w:r>
            <w:r w:rsidR="00986779">
              <w:rPr>
                <w:rFonts w:eastAsiaTheme="minorHAnsi"/>
              </w:rPr>
              <w:t>.</w:t>
            </w:r>
          </w:p>
        </w:tc>
      </w:tr>
      <w:tr w:rsidR="00F8101A" w:rsidRPr="00F8101A" w14:paraId="0D680A34" w14:textId="77777777" w:rsidTr="00D95A2C">
        <w:trPr>
          <w:trHeight w:val="141"/>
        </w:trPr>
        <w:tc>
          <w:tcPr>
            <w:tcW w:w="2732" w:type="dxa"/>
            <w:tcBorders>
              <w:top w:val="single" w:sz="6" w:space="0" w:color="000000"/>
              <w:left w:val="single" w:sz="4" w:space="0" w:color="000000"/>
              <w:bottom w:val="single" w:sz="6" w:space="0" w:color="000000"/>
              <w:right w:val="single" w:sz="4" w:space="0" w:color="000000"/>
            </w:tcBorders>
            <w:vAlign w:val="center"/>
          </w:tcPr>
          <w:p w14:paraId="5FBC84AC" w14:textId="77777777" w:rsidR="00F8101A" w:rsidRPr="00F8101A" w:rsidRDefault="00F8101A" w:rsidP="00A111E9">
            <w:pPr>
              <w:pStyle w:val="FSTableText"/>
              <w:rPr>
                <w:rFonts w:eastAsiaTheme="minorHAnsi"/>
              </w:rPr>
            </w:pPr>
            <w:r w:rsidRPr="00F8101A">
              <w:rPr>
                <w:rFonts w:eastAsiaTheme="minorHAnsi"/>
              </w:rPr>
              <w:t xml:space="preserve">Incomplete outcome data </w:t>
            </w:r>
          </w:p>
        </w:tc>
        <w:tc>
          <w:tcPr>
            <w:tcW w:w="2247" w:type="dxa"/>
            <w:tcBorders>
              <w:top w:val="single" w:sz="6" w:space="0" w:color="000000"/>
              <w:left w:val="single" w:sz="4" w:space="0" w:color="000000"/>
              <w:bottom w:val="single" w:sz="6" w:space="0" w:color="000000"/>
              <w:right w:val="single" w:sz="4" w:space="0" w:color="000000"/>
            </w:tcBorders>
            <w:vAlign w:val="center"/>
          </w:tcPr>
          <w:p w14:paraId="5E3A9645" w14:textId="77777777" w:rsidR="00F8101A" w:rsidRPr="00F8101A" w:rsidRDefault="00F8101A" w:rsidP="00A111E9">
            <w:pPr>
              <w:pStyle w:val="FSTableText"/>
              <w:rPr>
                <w:rFonts w:eastAsiaTheme="minorHAnsi"/>
              </w:rPr>
            </w:pPr>
            <w:r w:rsidRPr="00F8101A">
              <w:rPr>
                <w:rFonts w:eastAsiaTheme="minorHAnsi"/>
              </w:rPr>
              <w:t xml:space="preserve">Low risk </w:t>
            </w:r>
          </w:p>
        </w:tc>
        <w:tc>
          <w:tcPr>
            <w:tcW w:w="8215" w:type="dxa"/>
            <w:tcBorders>
              <w:top w:val="single" w:sz="6" w:space="0" w:color="000000"/>
              <w:left w:val="single" w:sz="4" w:space="0" w:color="000000"/>
              <w:bottom w:val="single" w:sz="6" w:space="0" w:color="000000"/>
              <w:right w:val="single" w:sz="4" w:space="0" w:color="000000"/>
            </w:tcBorders>
            <w:vAlign w:val="center"/>
          </w:tcPr>
          <w:p w14:paraId="08A3C277" w14:textId="77777777" w:rsidR="00F8101A" w:rsidRPr="00F8101A" w:rsidRDefault="00F8101A" w:rsidP="00A111E9">
            <w:pPr>
              <w:pStyle w:val="FSTableText"/>
              <w:rPr>
                <w:rFonts w:eastAsiaTheme="minorHAnsi"/>
              </w:rPr>
            </w:pPr>
            <w:r w:rsidRPr="00F8101A">
              <w:rPr>
                <w:rFonts w:eastAsiaTheme="minorHAnsi"/>
              </w:rPr>
              <w:t xml:space="preserve">The study did not have incomplete outcome data. </w:t>
            </w:r>
          </w:p>
        </w:tc>
      </w:tr>
      <w:tr w:rsidR="00F8101A" w:rsidRPr="00F8101A" w14:paraId="2B4C583D" w14:textId="77777777" w:rsidTr="00D95A2C">
        <w:trPr>
          <w:trHeight w:val="281"/>
        </w:trPr>
        <w:tc>
          <w:tcPr>
            <w:tcW w:w="2732" w:type="dxa"/>
            <w:tcBorders>
              <w:top w:val="single" w:sz="6" w:space="0" w:color="000000"/>
              <w:left w:val="single" w:sz="4" w:space="0" w:color="000000"/>
              <w:bottom w:val="single" w:sz="6" w:space="0" w:color="000000"/>
              <w:right w:val="single" w:sz="4" w:space="0" w:color="000000"/>
            </w:tcBorders>
          </w:tcPr>
          <w:p w14:paraId="6B5C1E7E" w14:textId="77777777" w:rsidR="00F8101A" w:rsidRPr="00F8101A" w:rsidRDefault="00F8101A" w:rsidP="00A111E9">
            <w:pPr>
              <w:pStyle w:val="FSTableText"/>
              <w:rPr>
                <w:rFonts w:eastAsiaTheme="minorHAnsi"/>
              </w:rPr>
            </w:pPr>
            <w:r w:rsidRPr="00F8101A">
              <w:rPr>
                <w:rFonts w:eastAsiaTheme="minorHAnsi"/>
              </w:rPr>
              <w:t xml:space="preserve">Selective reporting </w:t>
            </w:r>
          </w:p>
        </w:tc>
        <w:tc>
          <w:tcPr>
            <w:tcW w:w="2247" w:type="dxa"/>
            <w:tcBorders>
              <w:top w:val="single" w:sz="6" w:space="0" w:color="000000"/>
              <w:left w:val="single" w:sz="4" w:space="0" w:color="000000"/>
              <w:bottom w:val="single" w:sz="6" w:space="0" w:color="000000"/>
              <w:right w:val="single" w:sz="4" w:space="0" w:color="000000"/>
            </w:tcBorders>
          </w:tcPr>
          <w:p w14:paraId="480AAB0E" w14:textId="77777777" w:rsidR="00F8101A" w:rsidRPr="00F8101A" w:rsidRDefault="00F8101A" w:rsidP="00A111E9">
            <w:pPr>
              <w:pStyle w:val="FSTableText"/>
              <w:rPr>
                <w:rFonts w:eastAsiaTheme="minorHAnsi"/>
              </w:rPr>
            </w:pPr>
            <w:r w:rsidRPr="00F8101A">
              <w:rPr>
                <w:rFonts w:eastAsiaTheme="minorHAnsi"/>
              </w:rPr>
              <w:t xml:space="preserve">Low risk </w:t>
            </w:r>
          </w:p>
        </w:tc>
        <w:tc>
          <w:tcPr>
            <w:tcW w:w="8215" w:type="dxa"/>
            <w:tcBorders>
              <w:top w:val="single" w:sz="6" w:space="0" w:color="000000"/>
              <w:left w:val="single" w:sz="4" w:space="0" w:color="000000"/>
              <w:bottom w:val="single" w:sz="6" w:space="0" w:color="000000"/>
              <w:right w:val="single" w:sz="4" w:space="0" w:color="000000"/>
            </w:tcBorders>
          </w:tcPr>
          <w:p w14:paraId="5C51057C" w14:textId="77777777" w:rsidR="00F8101A" w:rsidRPr="00F8101A" w:rsidRDefault="00F8101A" w:rsidP="00A111E9">
            <w:pPr>
              <w:pStyle w:val="FSTableText"/>
              <w:rPr>
                <w:rFonts w:eastAsiaTheme="minorHAnsi"/>
              </w:rPr>
            </w:pPr>
            <w:r w:rsidRPr="00F8101A">
              <w:rPr>
                <w:rFonts w:eastAsiaTheme="minorHAnsi"/>
              </w:rPr>
              <w:t xml:space="preserve">The study is free of suggestion of selective outcome reporting. All of the study’s specified outcomes were adequately reported. </w:t>
            </w:r>
          </w:p>
        </w:tc>
      </w:tr>
      <w:tr w:rsidR="00F8101A" w:rsidRPr="00F8101A" w14:paraId="475A36F2" w14:textId="77777777" w:rsidTr="00D95A2C">
        <w:trPr>
          <w:trHeight w:val="420"/>
        </w:trPr>
        <w:tc>
          <w:tcPr>
            <w:tcW w:w="2732" w:type="dxa"/>
            <w:tcBorders>
              <w:top w:val="single" w:sz="6" w:space="0" w:color="000000"/>
              <w:left w:val="single" w:sz="4" w:space="0" w:color="000000"/>
              <w:bottom w:val="single" w:sz="6" w:space="0" w:color="000000"/>
              <w:right w:val="single" w:sz="4" w:space="0" w:color="000000"/>
            </w:tcBorders>
          </w:tcPr>
          <w:p w14:paraId="2AE1EF1B" w14:textId="77777777" w:rsidR="00F8101A" w:rsidRPr="00F8101A" w:rsidRDefault="00F8101A" w:rsidP="00A111E9">
            <w:pPr>
              <w:pStyle w:val="FSTableText"/>
              <w:rPr>
                <w:rFonts w:eastAsiaTheme="minorHAnsi"/>
              </w:rPr>
            </w:pPr>
            <w:r w:rsidRPr="00F8101A">
              <w:rPr>
                <w:rFonts w:eastAsiaTheme="minorHAnsi"/>
              </w:rPr>
              <w:t xml:space="preserve">Other bias </w:t>
            </w:r>
          </w:p>
        </w:tc>
        <w:tc>
          <w:tcPr>
            <w:tcW w:w="2247" w:type="dxa"/>
            <w:tcBorders>
              <w:top w:val="single" w:sz="6" w:space="0" w:color="000000"/>
              <w:left w:val="single" w:sz="4" w:space="0" w:color="000000"/>
              <w:bottom w:val="single" w:sz="6" w:space="0" w:color="000000"/>
              <w:right w:val="single" w:sz="4" w:space="0" w:color="000000"/>
            </w:tcBorders>
          </w:tcPr>
          <w:p w14:paraId="389EBB92" w14:textId="77777777" w:rsidR="00F8101A" w:rsidRPr="00F8101A" w:rsidRDefault="00F8101A" w:rsidP="00A111E9">
            <w:pPr>
              <w:pStyle w:val="FSTableText"/>
              <w:rPr>
                <w:rFonts w:eastAsiaTheme="minorHAnsi"/>
              </w:rPr>
            </w:pPr>
            <w:r w:rsidRPr="00F8101A">
              <w:rPr>
                <w:rFonts w:eastAsiaTheme="minorHAnsi"/>
              </w:rPr>
              <w:t xml:space="preserve">Low risk </w:t>
            </w:r>
          </w:p>
        </w:tc>
        <w:tc>
          <w:tcPr>
            <w:tcW w:w="8215" w:type="dxa"/>
            <w:tcBorders>
              <w:top w:val="single" w:sz="6" w:space="0" w:color="000000"/>
              <w:left w:val="single" w:sz="4" w:space="0" w:color="000000"/>
              <w:bottom w:val="single" w:sz="6" w:space="0" w:color="000000"/>
              <w:right w:val="single" w:sz="4" w:space="0" w:color="000000"/>
            </w:tcBorders>
          </w:tcPr>
          <w:p w14:paraId="3C8EA4EF" w14:textId="4EE107EB" w:rsidR="00F8101A" w:rsidRPr="00F8101A" w:rsidRDefault="00F8101A" w:rsidP="00A111E9">
            <w:pPr>
              <w:pStyle w:val="FSTableText"/>
              <w:rPr>
                <w:rFonts w:eastAsiaTheme="minorHAnsi"/>
              </w:rPr>
            </w:pPr>
            <w:r w:rsidRPr="00F8101A">
              <w:rPr>
                <w:rFonts w:eastAsiaTheme="minorHAnsi"/>
              </w:rPr>
              <w:t>No other potential biases are suspected</w:t>
            </w:r>
            <w:r w:rsidR="00986779">
              <w:rPr>
                <w:rFonts w:eastAsiaTheme="minorHAnsi"/>
              </w:rPr>
              <w:t>.</w:t>
            </w:r>
            <w:r w:rsidRPr="00F8101A" w:rsidDel="00DC18C4">
              <w:rPr>
                <w:rFonts w:eastAsiaTheme="minorHAnsi"/>
              </w:rPr>
              <w:t xml:space="preserve"> </w:t>
            </w:r>
          </w:p>
        </w:tc>
      </w:tr>
      <w:tr w:rsidR="00F8101A" w:rsidRPr="00F8101A" w14:paraId="1FC1367C" w14:textId="77777777" w:rsidTr="00D95A2C">
        <w:trPr>
          <w:trHeight w:val="281"/>
        </w:trPr>
        <w:tc>
          <w:tcPr>
            <w:tcW w:w="2732" w:type="dxa"/>
            <w:tcBorders>
              <w:top w:val="single" w:sz="6" w:space="0" w:color="000000"/>
              <w:left w:val="single" w:sz="4" w:space="0" w:color="000000"/>
              <w:bottom w:val="single" w:sz="6" w:space="0" w:color="000000"/>
              <w:right w:val="single" w:sz="4" w:space="0" w:color="000000"/>
            </w:tcBorders>
          </w:tcPr>
          <w:p w14:paraId="6AFABEBF" w14:textId="77777777" w:rsidR="00F8101A" w:rsidRPr="00F8101A" w:rsidRDefault="00F8101A" w:rsidP="00A111E9">
            <w:pPr>
              <w:pStyle w:val="FSTableText"/>
              <w:rPr>
                <w:rFonts w:eastAsiaTheme="minorHAnsi"/>
              </w:rPr>
            </w:pPr>
            <w:r w:rsidRPr="00F8101A">
              <w:rPr>
                <w:rFonts w:eastAsiaTheme="minorHAnsi"/>
              </w:rPr>
              <w:t xml:space="preserve">Conflict of interest </w:t>
            </w:r>
          </w:p>
        </w:tc>
        <w:tc>
          <w:tcPr>
            <w:tcW w:w="2247" w:type="dxa"/>
            <w:tcBorders>
              <w:top w:val="single" w:sz="6" w:space="0" w:color="000000"/>
              <w:left w:val="single" w:sz="4" w:space="0" w:color="000000"/>
              <w:bottom w:val="single" w:sz="6" w:space="0" w:color="000000"/>
              <w:right w:val="single" w:sz="4" w:space="0" w:color="000000"/>
            </w:tcBorders>
          </w:tcPr>
          <w:p w14:paraId="3074A79D" w14:textId="77777777" w:rsidR="00F8101A" w:rsidRPr="00F8101A" w:rsidRDefault="00F8101A" w:rsidP="00A111E9">
            <w:pPr>
              <w:pStyle w:val="FSTableText"/>
              <w:rPr>
                <w:rFonts w:eastAsiaTheme="minorHAnsi"/>
              </w:rPr>
            </w:pPr>
            <w:r w:rsidRPr="00F8101A">
              <w:rPr>
                <w:rFonts w:eastAsiaTheme="minorHAnsi"/>
              </w:rPr>
              <w:t xml:space="preserve">Low risk </w:t>
            </w:r>
          </w:p>
        </w:tc>
        <w:tc>
          <w:tcPr>
            <w:tcW w:w="8215" w:type="dxa"/>
            <w:tcBorders>
              <w:top w:val="single" w:sz="6" w:space="0" w:color="000000"/>
              <w:left w:val="single" w:sz="4" w:space="0" w:color="000000"/>
              <w:bottom w:val="single" w:sz="6" w:space="0" w:color="000000"/>
              <w:right w:val="single" w:sz="4" w:space="0" w:color="000000"/>
            </w:tcBorders>
          </w:tcPr>
          <w:p w14:paraId="064F000A" w14:textId="77777777" w:rsidR="00F8101A" w:rsidRPr="00F8101A" w:rsidRDefault="00F8101A" w:rsidP="00A111E9">
            <w:pPr>
              <w:pStyle w:val="FSTableText"/>
              <w:rPr>
                <w:rFonts w:eastAsiaTheme="minorHAnsi"/>
              </w:rPr>
            </w:pPr>
            <w:r w:rsidRPr="00F8101A">
              <w:rPr>
                <w:rFonts w:eastAsiaTheme="minorHAnsi"/>
              </w:rPr>
              <w:t xml:space="preserve">The authors report no conflict of interest, and associated funds and persons appear to be from government and/or academia only. </w:t>
            </w:r>
          </w:p>
        </w:tc>
      </w:tr>
    </w:tbl>
    <w:p w14:paraId="7785F6EF" w14:textId="77777777" w:rsidR="00F8101A" w:rsidRPr="00F8101A" w:rsidRDefault="00F8101A" w:rsidP="00A111E9">
      <w:pPr>
        <w:widowControl/>
        <w:autoSpaceDE w:val="0"/>
        <w:autoSpaceDN w:val="0"/>
        <w:adjustRightInd w:val="0"/>
        <w:rPr>
          <w:rFonts w:ascii="PDVMKM+TimesNewRomanPSMT" w:eastAsiaTheme="minorHAnsi" w:hAnsi="PDVMKM+TimesNewRomanPSMT" w:cs="PDVMKM+TimesNewRomanPSMT"/>
          <w:color w:val="000000"/>
          <w:sz w:val="24"/>
          <w:lang w:bidi="ar-SA"/>
        </w:rPr>
      </w:pPr>
    </w:p>
    <w:p w14:paraId="695F3445" w14:textId="3AFDCE61" w:rsidR="00F8101A" w:rsidRPr="00F8101A" w:rsidRDefault="00986779" w:rsidP="00A111E9">
      <w:pPr>
        <w:pStyle w:val="FSBullet1"/>
        <w:rPr>
          <w:rFonts w:eastAsiaTheme="minorHAnsi"/>
        </w:rPr>
      </w:pPr>
      <w:r>
        <w:rPr>
          <w:rFonts w:eastAsiaTheme="minorHAnsi"/>
        </w:rPr>
        <w:t>Design</w:t>
      </w:r>
      <w:r w:rsidR="00F8101A" w:rsidRPr="00F8101A">
        <w:rPr>
          <w:rFonts w:eastAsiaTheme="minorHAnsi"/>
        </w:rPr>
        <w:t>: Cross-sectional study</w:t>
      </w:r>
    </w:p>
    <w:p w14:paraId="0465283E" w14:textId="3C1D368F" w:rsidR="00F8101A" w:rsidRPr="00F8101A" w:rsidRDefault="00986779" w:rsidP="00A111E9">
      <w:pPr>
        <w:pStyle w:val="FSBullet1"/>
        <w:rPr>
          <w:rFonts w:eastAsiaTheme="minorHAnsi"/>
        </w:rPr>
      </w:pPr>
      <w:r>
        <w:rPr>
          <w:rFonts w:eastAsiaTheme="minorHAnsi"/>
        </w:rPr>
        <w:t>Participants</w:t>
      </w:r>
      <w:r w:rsidR="00F8101A" w:rsidRPr="00F8101A">
        <w:rPr>
          <w:rFonts w:eastAsiaTheme="minorHAnsi"/>
        </w:rPr>
        <w:t>: Live</w:t>
      </w:r>
      <w:r w:rsidR="001012A5">
        <w:rPr>
          <w:rFonts w:eastAsiaTheme="minorHAnsi"/>
        </w:rPr>
        <w:t>-</w:t>
      </w:r>
      <w:r w:rsidR="00F8101A" w:rsidRPr="00F8101A">
        <w:rPr>
          <w:rFonts w:eastAsiaTheme="minorHAnsi"/>
        </w:rPr>
        <w:t>born singleton deliveries to nulliparous women, Denmark</w:t>
      </w:r>
    </w:p>
    <w:p w14:paraId="37C57896" w14:textId="1D74ECF9" w:rsidR="00F8101A" w:rsidRPr="00F8101A" w:rsidRDefault="00986779" w:rsidP="00A111E9">
      <w:pPr>
        <w:pStyle w:val="FSBullet1"/>
        <w:rPr>
          <w:rFonts w:eastAsiaTheme="minorHAnsi"/>
        </w:rPr>
      </w:pPr>
      <w:r>
        <w:rPr>
          <w:rFonts w:eastAsiaTheme="minorHAnsi"/>
        </w:rPr>
        <w:t>Exposure</w:t>
      </w:r>
      <w:r w:rsidR="00F8101A" w:rsidRPr="00F8101A">
        <w:rPr>
          <w:rFonts w:eastAsiaTheme="minorHAnsi"/>
        </w:rPr>
        <w:t>: PFOA concentrations in maternal serum if collected between 9-20 weeks (continuous), apparently blood was frozen after collection n=1</w:t>
      </w:r>
      <w:r w:rsidR="0007229B">
        <w:rPr>
          <w:rFonts w:eastAsiaTheme="minorHAnsi"/>
        </w:rPr>
        <w:t>507</w:t>
      </w:r>
    </w:p>
    <w:p w14:paraId="0C54F542" w14:textId="77777777" w:rsidR="00F35AE8" w:rsidRPr="00F35AE8" w:rsidRDefault="00986779" w:rsidP="00F35AE8">
      <w:pPr>
        <w:pStyle w:val="FSBullet1"/>
        <w:rPr>
          <w:rFonts w:eastAsiaTheme="minorHAnsi"/>
          <w:szCs w:val="22"/>
        </w:rPr>
      </w:pPr>
      <w:r>
        <w:rPr>
          <w:rFonts w:eastAsiaTheme="minorHAnsi"/>
        </w:rPr>
        <w:t>Outcomes</w:t>
      </w:r>
      <w:r w:rsidR="00F8101A" w:rsidRPr="00F8101A">
        <w:rPr>
          <w:rFonts w:eastAsiaTheme="minorHAnsi"/>
        </w:rPr>
        <w:t>: Birth weight (continuous; z-score standardised by gestational age), head circumference, length, gestational age (preterm delivery)</w:t>
      </w:r>
    </w:p>
    <w:p w14:paraId="6588422C" w14:textId="32519981" w:rsidR="00F8101A" w:rsidRPr="00F8101A" w:rsidRDefault="00F35AE8" w:rsidP="00F35AE8">
      <w:pPr>
        <w:pStyle w:val="FSBullet1"/>
        <w:rPr>
          <w:rFonts w:eastAsiaTheme="minorHAnsi"/>
          <w:szCs w:val="22"/>
        </w:rPr>
        <w:sectPr w:rsidR="00F8101A" w:rsidRPr="00F8101A" w:rsidSect="00D95A2C">
          <w:pgSz w:w="16838" w:h="11906" w:orient="landscape"/>
          <w:pgMar w:top="1418" w:right="1418" w:bottom="1418" w:left="1418" w:header="709" w:footer="709" w:gutter="0"/>
          <w:cols w:space="708"/>
          <w:docGrid w:linePitch="360"/>
        </w:sectPr>
      </w:pPr>
      <w:r w:rsidRPr="00F8101A">
        <w:rPr>
          <w:rFonts w:eastAsiaTheme="minorHAnsi"/>
          <w:szCs w:val="22"/>
        </w:rPr>
        <w:t xml:space="preserve"> </w:t>
      </w:r>
    </w:p>
    <w:p w14:paraId="54CD6262" w14:textId="77777777" w:rsidR="00D73EB2" w:rsidRPr="00D73EB2" w:rsidRDefault="00D73EB2" w:rsidP="00DE222C">
      <w:pPr>
        <w:pStyle w:val="Heading4"/>
      </w:pPr>
      <w:bookmarkStart w:id="557" w:name="_Toc468722203"/>
      <w:bookmarkStart w:id="558" w:name="_Toc468799272"/>
      <w:bookmarkStart w:id="559" w:name="_Toc468806595"/>
      <w:bookmarkStart w:id="560" w:name="_Toc468981009"/>
      <w:r w:rsidRPr="00D73EB2">
        <w:lastRenderedPageBreak/>
        <w:t>References</w:t>
      </w:r>
    </w:p>
    <w:p w14:paraId="5DBA671C" w14:textId="77777777" w:rsidR="00D73EB2" w:rsidRDefault="00D73EB2" w:rsidP="00A111E9">
      <w:pPr>
        <w:widowControl/>
      </w:pPr>
    </w:p>
    <w:p w14:paraId="5312949B" w14:textId="77777777" w:rsidR="00D73EB2" w:rsidRPr="000C4C17" w:rsidRDefault="00D73EB2" w:rsidP="00A111E9">
      <w:pPr>
        <w:rPr>
          <w:rFonts w:cs="Arial"/>
          <w:color w:val="000000"/>
          <w:szCs w:val="22"/>
          <w:lang w:eastAsia="en-GB"/>
        </w:rPr>
      </w:pPr>
      <w:r w:rsidRPr="000C4C17">
        <w:rPr>
          <w:rFonts w:cs="Arial"/>
          <w:color w:val="000000"/>
          <w:szCs w:val="22"/>
          <w:lang w:eastAsia="en-GB"/>
        </w:rPr>
        <w:t xml:space="preserve">Alkhalawi E, Kasper-Sonnenberg M, Wilhelm M, Volkel W, Wittsiepe J. (2016) Perfluoroalkyl acids (PFAAs) and anthropometric measures in the first year of life: Results from the Duisburg Birth Cohort. </w:t>
      </w:r>
      <w:r w:rsidRPr="000C4C17">
        <w:rPr>
          <w:rStyle w:val="jrnl"/>
          <w:rFonts w:cs="Arial"/>
          <w:szCs w:val="22"/>
        </w:rPr>
        <w:t xml:space="preserve">J Toxicol Environ Health A </w:t>
      </w:r>
      <w:r w:rsidRPr="000C4C17">
        <w:rPr>
          <w:rFonts w:cs="Arial"/>
          <w:szCs w:val="22"/>
        </w:rPr>
        <w:t xml:space="preserve">79(22-23):1041-1049. </w:t>
      </w:r>
      <w:r w:rsidRPr="000C4C17">
        <w:rPr>
          <w:rFonts w:cs="Arial"/>
          <w:color w:val="000000"/>
          <w:szCs w:val="22"/>
          <w:lang w:eastAsia="en-GB"/>
        </w:rPr>
        <w:t>Published online Dec 7.</w:t>
      </w:r>
    </w:p>
    <w:p w14:paraId="0ADBECAE" w14:textId="77777777" w:rsidR="00D73EB2" w:rsidRPr="000C4C17" w:rsidRDefault="00D73EB2" w:rsidP="00A111E9">
      <w:pPr>
        <w:widowControl/>
        <w:tabs>
          <w:tab w:val="left" w:pos="5500"/>
        </w:tabs>
        <w:autoSpaceDE w:val="0"/>
        <w:autoSpaceDN w:val="0"/>
        <w:adjustRightInd w:val="0"/>
        <w:rPr>
          <w:rFonts w:eastAsiaTheme="minorHAnsi" w:cs="Arial"/>
          <w:szCs w:val="22"/>
          <w:lang w:bidi="ar-SA"/>
        </w:rPr>
      </w:pPr>
    </w:p>
    <w:p w14:paraId="3213980B" w14:textId="77777777" w:rsidR="00D73EB2" w:rsidRPr="000C4C17" w:rsidRDefault="00D73EB2" w:rsidP="00A111E9">
      <w:pPr>
        <w:widowControl/>
        <w:tabs>
          <w:tab w:val="left" w:pos="5500"/>
        </w:tabs>
        <w:autoSpaceDE w:val="0"/>
        <w:autoSpaceDN w:val="0"/>
        <w:adjustRightInd w:val="0"/>
        <w:rPr>
          <w:rFonts w:eastAsiaTheme="minorHAnsi" w:cs="Arial"/>
          <w:szCs w:val="22"/>
          <w:lang w:bidi="ar-SA"/>
        </w:rPr>
      </w:pPr>
      <w:r w:rsidRPr="000C4C17">
        <w:rPr>
          <w:rFonts w:eastAsiaTheme="minorHAnsi" w:cs="Arial"/>
          <w:szCs w:val="22"/>
          <w:lang w:bidi="ar-SA"/>
        </w:rPr>
        <w:t>Apelberg BJ, Witter FR, Herbstman JB, Calafat AM, Halden RU, Needham LL, Goldman LR. (2007). Cord serum concentrations of perfluorooctane sulfonate (PFOS) and perfluorooctanoate (PFOA) in relation to weight and size at birth. Environ Health Perspect 115,1670 – 6.</w:t>
      </w:r>
    </w:p>
    <w:p w14:paraId="34BCA6C1" w14:textId="77777777" w:rsidR="00D73EB2" w:rsidRPr="000C4C17" w:rsidRDefault="00D73EB2" w:rsidP="00A111E9">
      <w:pPr>
        <w:widowControl/>
        <w:tabs>
          <w:tab w:val="left" w:pos="5500"/>
        </w:tabs>
        <w:autoSpaceDE w:val="0"/>
        <w:autoSpaceDN w:val="0"/>
        <w:adjustRightInd w:val="0"/>
        <w:rPr>
          <w:rFonts w:eastAsiaTheme="minorHAnsi" w:cs="Arial"/>
          <w:szCs w:val="22"/>
          <w:lang w:bidi="ar-SA"/>
        </w:rPr>
      </w:pPr>
    </w:p>
    <w:p w14:paraId="4455FBE6" w14:textId="6F54C96D" w:rsidR="00D73EB2" w:rsidRPr="000C4C17" w:rsidRDefault="00D73EB2" w:rsidP="00A111E9">
      <w:pPr>
        <w:widowControl/>
        <w:autoSpaceDE w:val="0"/>
        <w:autoSpaceDN w:val="0"/>
        <w:adjustRightInd w:val="0"/>
        <w:rPr>
          <w:rFonts w:eastAsiaTheme="minorHAnsi" w:cs="Arial"/>
          <w:bCs/>
          <w:szCs w:val="22"/>
          <w:lang w:bidi="ar-SA"/>
        </w:rPr>
      </w:pPr>
      <w:r w:rsidRPr="000C4C17">
        <w:rPr>
          <w:rFonts w:eastAsiaTheme="minorHAnsi" w:cs="Arial"/>
          <w:szCs w:val="22"/>
          <w:lang w:bidi="ar-SA"/>
        </w:rPr>
        <w:t xml:space="preserve">Arbuckle TE, Kubwabo C, Walker M, Davis K, Lalonde K, Kosarac I </w:t>
      </w:r>
      <w:r w:rsidR="00180A32" w:rsidRPr="00180A32">
        <w:rPr>
          <w:rFonts w:eastAsiaTheme="minorHAnsi" w:cs="Arial"/>
          <w:i/>
          <w:szCs w:val="22"/>
          <w:lang w:bidi="ar-SA"/>
        </w:rPr>
        <w:t xml:space="preserve">et al. </w:t>
      </w:r>
      <w:r>
        <w:rPr>
          <w:rFonts w:eastAsiaTheme="minorHAnsi" w:cs="Arial"/>
          <w:szCs w:val="22"/>
          <w:lang w:bidi="ar-SA"/>
        </w:rPr>
        <w:t xml:space="preserve"> </w:t>
      </w:r>
      <w:r w:rsidRPr="000C4C17">
        <w:rPr>
          <w:rFonts w:eastAsiaTheme="minorHAnsi" w:cs="Arial"/>
          <w:szCs w:val="22"/>
          <w:lang w:bidi="ar-SA"/>
        </w:rPr>
        <w:t>(2013) Umbilical cord blood levels of perfluoroalkyl acidsand polybrominated fl ame retardants. Int J Hyg Environ Health, 216, 184 – 94.</w:t>
      </w:r>
    </w:p>
    <w:p w14:paraId="31AD92D4" w14:textId="77777777" w:rsidR="00D73EB2" w:rsidRPr="000C4C17" w:rsidRDefault="00D73EB2" w:rsidP="00A111E9">
      <w:pPr>
        <w:widowControl/>
        <w:autoSpaceDE w:val="0"/>
        <w:autoSpaceDN w:val="0"/>
        <w:adjustRightInd w:val="0"/>
        <w:rPr>
          <w:rFonts w:eastAsiaTheme="minorHAnsi" w:cs="Arial"/>
          <w:szCs w:val="22"/>
          <w:lang w:bidi="ar-SA"/>
        </w:rPr>
      </w:pPr>
    </w:p>
    <w:p w14:paraId="6AE6948C" w14:textId="77777777" w:rsidR="00D73EB2" w:rsidRPr="000C4C17" w:rsidRDefault="00D73EB2" w:rsidP="00A111E9">
      <w:pPr>
        <w:widowControl/>
        <w:autoSpaceDE w:val="0"/>
        <w:autoSpaceDN w:val="0"/>
        <w:adjustRightInd w:val="0"/>
        <w:rPr>
          <w:rFonts w:eastAsiaTheme="minorHAnsi" w:cs="Arial"/>
          <w:bCs/>
          <w:szCs w:val="22"/>
          <w:lang w:bidi="ar-SA"/>
        </w:rPr>
      </w:pPr>
      <w:r w:rsidRPr="000C4C17">
        <w:rPr>
          <w:rFonts w:eastAsiaTheme="minorHAnsi" w:cs="Arial"/>
          <w:szCs w:val="22"/>
          <w:lang w:bidi="ar-SA"/>
        </w:rPr>
        <w:t xml:space="preserve">Bach CC, Bech BH, Brix N, Nohr EA, Bonde JPE, Henriksen TB (2015) </w:t>
      </w:r>
      <w:r w:rsidRPr="000C4C17">
        <w:rPr>
          <w:rFonts w:eastAsiaTheme="minorHAnsi" w:cs="Arial"/>
          <w:bCs/>
          <w:szCs w:val="22"/>
          <w:lang w:bidi="ar-SA"/>
        </w:rPr>
        <w:t xml:space="preserve">Perfluoroalkyl and polyfluoroalkyl substances and human fetal growth: A systematic review </w:t>
      </w:r>
      <w:r w:rsidRPr="000C4C17">
        <w:rPr>
          <w:rFonts w:eastAsiaTheme="minorHAnsi" w:cs="Arial"/>
          <w:szCs w:val="22"/>
          <w:lang w:bidi="ar-SA"/>
        </w:rPr>
        <w:t>Crit Rev Toxicol, 45(1): 53–67</w:t>
      </w:r>
    </w:p>
    <w:p w14:paraId="2ADDAE48" w14:textId="77777777" w:rsidR="00D73EB2" w:rsidRPr="000C4C17" w:rsidRDefault="00D73EB2" w:rsidP="00A111E9">
      <w:pPr>
        <w:widowControl/>
        <w:rPr>
          <w:rFonts w:eastAsiaTheme="minorHAnsi" w:cstheme="minorBidi"/>
          <w:bCs/>
          <w:szCs w:val="22"/>
          <w:lang w:bidi="ar-SA"/>
        </w:rPr>
      </w:pPr>
    </w:p>
    <w:p w14:paraId="1573B788" w14:textId="77777777" w:rsidR="00D73EB2" w:rsidRPr="000C4C17" w:rsidRDefault="00D73EB2" w:rsidP="00A111E9">
      <w:pPr>
        <w:widowControl/>
        <w:rPr>
          <w:rFonts w:eastAsiaTheme="minorHAnsi" w:cstheme="minorBidi"/>
          <w:bCs/>
          <w:szCs w:val="22"/>
          <w:lang w:bidi="ar-SA"/>
        </w:rPr>
      </w:pPr>
      <w:r w:rsidRPr="000C4C17">
        <w:rPr>
          <w:rFonts w:eastAsiaTheme="minorHAnsi" w:cstheme="minorBidi"/>
          <w:bCs/>
          <w:szCs w:val="22"/>
          <w:lang w:bidi="ar-SA"/>
        </w:rPr>
        <w:t>Bach CC, Bech BH, Nohr EA, Olsen J, Matthiesen NB, Bonefeld-Jørgensen EC, Bossi R, Henriksen TB. (2016). Perfluoroalkyl acids in maternal serum and indices of fetal growth: the Aarhus Birth Cohort. Environ Health Perspect 124:848–854.</w:t>
      </w:r>
    </w:p>
    <w:p w14:paraId="135498CD" w14:textId="77777777" w:rsidR="00D73EB2" w:rsidRPr="000C4C17" w:rsidRDefault="00D73EB2" w:rsidP="00A111E9">
      <w:pPr>
        <w:widowControl/>
        <w:rPr>
          <w:rFonts w:eastAsiaTheme="minorHAnsi" w:cs="Arial"/>
          <w:szCs w:val="22"/>
          <w:lang w:bidi="ar-SA"/>
        </w:rPr>
      </w:pPr>
    </w:p>
    <w:p w14:paraId="2F76B363" w14:textId="77777777" w:rsidR="00D73EB2" w:rsidRPr="000C4C17" w:rsidRDefault="00D73EB2" w:rsidP="00A111E9">
      <w:pPr>
        <w:widowControl/>
        <w:autoSpaceDE w:val="0"/>
        <w:autoSpaceDN w:val="0"/>
        <w:adjustRightInd w:val="0"/>
        <w:rPr>
          <w:rFonts w:eastAsiaTheme="minorHAnsi" w:cs="Arial"/>
          <w:szCs w:val="22"/>
          <w:lang w:bidi="ar-SA"/>
        </w:rPr>
      </w:pPr>
      <w:r w:rsidRPr="000C4C17">
        <w:rPr>
          <w:rFonts w:eastAsiaTheme="minorHAnsi" w:cs="Arial"/>
          <w:szCs w:val="22"/>
          <w:lang w:bidi="ar-SA"/>
        </w:rPr>
        <w:t>Bonzini M, Coggon D, Palmer KT (2007). Risk of prematurity, low birthweight and pre-eclampsia in relation to working hours and physical activities: a systematic review. Occup Environ Med, 64, 228– 43.</w:t>
      </w:r>
    </w:p>
    <w:p w14:paraId="77CC984E" w14:textId="77777777" w:rsidR="00D73EB2" w:rsidRPr="000C4C17" w:rsidRDefault="00D73EB2" w:rsidP="00A111E9">
      <w:pPr>
        <w:widowControl/>
        <w:rPr>
          <w:rFonts w:eastAsiaTheme="minorHAnsi" w:cs="Arial"/>
          <w:bCs/>
          <w:szCs w:val="22"/>
          <w:lang w:bidi="ar-SA"/>
        </w:rPr>
      </w:pPr>
    </w:p>
    <w:p w14:paraId="7EFBE324" w14:textId="461536EA" w:rsidR="00D73EB2" w:rsidRPr="000C4C17" w:rsidRDefault="00D73EB2" w:rsidP="00A111E9">
      <w:pPr>
        <w:widowControl/>
        <w:autoSpaceDE w:val="0"/>
        <w:autoSpaceDN w:val="0"/>
        <w:adjustRightInd w:val="0"/>
        <w:rPr>
          <w:rFonts w:eastAsiaTheme="minorHAnsi" w:cs="Arial"/>
          <w:szCs w:val="22"/>
          <w:lang w:bidi="ar-SA"/>
        </w:rPr>
      </w:pPr>
      <w:r w:rsidRPr="000C4C17">
        <w:rPr>
          <w:rFonts w:eastAsiaTheme="minorHAnsi" w:cs="Arial"/>
          <w:szCs w:val="22"/>
          <w:lang w:bidi="ar-SA"/>
        </w:rPr>
        <w:t xml:space="preserve">Chen MH, Ha EH, Wen TW, Su YN, Lien GW, Chen CY, </w:t>
      </w:r>
      <w:r w:rsidR="00180A32" w:rsidRPr="00180A32">
        <w:rPr>
          <w:rFonts w:eastAsiaTheme="minorHAnsi" w:cs="Arial"/>
          <w:i/>
          <w:szCs w:val="22"/>
          <w:lang w:bidi="ar-SA"/>
        </w:rPr>
        <w:t xml:space="preserve">et al. </w:t>
      </w:r>
      <w:r>
        <w:rPr>
          <w:rFonts w:eastAsiaTheme="minorHAnsi" w:cs="Arial"/>
          <w:szCs w:val="22"/>
          <w:lang w:bidi="ar-SA"/>
        </w:rPr>
        <w:t xml:space="preserve"> </w:t>
      </w:r>
      <w:r w:rsidRPr="000C4C17">
        <w:rPr>
          <w:rFonts w:eastAsiaTheme="minorHAnsi" w:cs="Arial"/>
          <w:szCs w:val="22"/>
          <w:lang w:bidi="ar-SA"/>
        </w:rPr>
        <w:t>(2012).Perfl uorinated compounds in umbilical cord blood and adverse birth outcomes. PLoS One 7, e42474.</w:t>
      </w:r>
    </w:p>
    <w:p w14:paraId="2045D131" w14:textId="77777777" w:rsidR="00D73EB2" w:rsidRPr="000C4C17" w:rsidRDefault="00D73EB2" w:rsidP="00A111E9">
      <w:pPr>
        <w:widowControl/>
        <w:autoSpaceDE w:val="0"/>
        <w:autoSpaceDN w:val="0"/>
        <w:adjustRightInd w:val="0"/>
        <w:rPr>
          <w:rFonts w:eastAsiaTheme="minorHAnsi" w:cs="Arial"/>
          <w:szCs w:val="22"/>
          <w:lang w:bidi="ar-SA"/>
        </w:rPr>
      </w:pPr>
    </w:p>
    <w:p w14:paraId="31771B0B" w14:textId="77777777" w:rsidR="00D73EB2" w:rsidRPr="000C4C17" w:rsidRDefault="00D73EB2" w:rsidP="00A111E9">
      <w:pPr>
        <w:widowControl/>
        <w:autoSpaceDE w:val="0"/>
        <w:autoSpaceDN w:val="0"/>
        <w:adjustRightInd w:val="0"/>
        <w:rPr>
          <w:rFonts w:eastAsiaTheme="minorHAnsi" w:cs="Arial"/>
          <w:szCs w:val="22"/>
          <w:lang w:bidi="ar-SA"/>
        </w:rPr>
      </w:pPr>
      <w:r w:rsidRPr="000C4C17">
        <w:rPr>
          <w:rFonts w:eastAsiaTheme="minorHAnsi" w:cs="Arial"/>
          <w:szCs w:val="22"/>
          <w:lang w:bidi="ar-SA"/>
        </w:rPr>
        <w:t>Darrow LA, Stein CR, Steenland K. (2013). Serum perfluorooctanoic acid and perfluorooctane sulfonate concentrations in relation to birth outcomes in the Mid-Ohio Valley, 2005 – 2010. Environ Health Perspect 121, 1207 – 13.</w:t>
      </w:r>
    </w:p>
    <w:p w14:paraId="41555175" w14:textId="77777777" w:rsidR="00D73EB2" w:rsidRPr="000C4C17" w:rsidRDefault="00D73EB2" w:rsidP="00A111E9">
      <w:pPr>
        <w:widowControl/>
        <w:autoSpaceDE w:val="0"/>
        <w:autoSpaceDN w:val="0"/>
        <w:adjustRightInd w:val="0"/>
        <w:rPr>
          <w:rFonts w:eastAsiaTheme="minorHAnsi" w:cs="Arial"/>
          <w:szCs w:val="22"/>
          <w:lang w:bidi="ar-SA"/>
        </w:rPr>
      </w:pPr>
    </w:p>
    <w:p w14:paraId="0122D4E4" w14:textId="77777777" w:rsidR="00D73EB2" w:rsidRPr="000C4C17" w:rsidRDefault="00D73EB2" w:rsidP="00A111E9">
      <w:pPr>
        <w:shd w:val="clear" w:color="auto" w:fill="FFFFFF"/>
        <w:rPr>
          <w:rFonts w:cs="Arial"/>
          <w:szCs w:val="22"/>
          <w:lang w:eastAsia="en-GB"/>
        </w:rPr>
      </w:pPr>
      <w:r w:rsidRPr="000C4C17">
        <w:rPr>
          <w:szCs w:val="22"/>
        </w:rPr>
        <w:t>de Cock M, De Boer MR, Lamoree M, Legler J, Van De Bor M (2016). Prenatal exposure to endocrine disrupting chemicals and birth weight-A prospective cohort study.</w:t>
      </w:r>
      <w:hyperlink r:id="rId61" w:anchor="comments" w:history="1">
        <w:r w:rsidRPr="000C4C17">
          <w:rPr>
            <w:rFonts w:cs="Arial"/>
            <w:vanish/>
            <w:szCs w:val="22"/>
            <w:lang w:eastAsia="en-GB"/>
          </w:rPr>
          <w:t>See comment in PubMed Commons below</w:t>
        </w:r>
      </w:hyperlink>
    </w:p>
    <w:p w14:paraId="304DEB12" w14:textId="77777777" w:rsidR="00D73EB2" w:rsidRPr="000C4C17" w:rsidRDefault="00FA183D" w:rsidP="00A111E9">
      <w:pPr>
        <w:shd w:val="clear" w:color="auto" w:fill="FFFFFF"/>
        <w:rPr>
          <w:rFonts w:cs="Arial"/>
          <w:szCs w:val="22"/>
          <w:lang w:eastAsia="en-GB"/>
        </w:rPr>
      </w:pPr>
      <w:hyperlink r:id="rId62" w:tooltip="Journal of environmental science and health. Part A, Toxic/hazardous substances &amp; environmental engineering." w:history="1">
        <w:r w:rsidR="00D73EB2" w:rsidRPr="000C4C17">
          <w:rPr>
            <w:rFonts w:cs="Arial"/>
            <w:szCs w:val="22"/>
            <w:lang w:eastAsia="en-GB"/>
          </w:rPr>
          <w:t>J Environ Sci Health A Tox Hazard Subst Environ Eng.</w:t>
        </w:r>
      </w:hyperlink>
      <w:r w:rsidR="00D73EB2" w:rsidRPr="000C4C17">
        <w:rPr>
          <w:rFonts w:cs="Arial"/>
          <w:szCs w:val="22"/>
          <w:lang w:eastAsia="en-GB"/>
        </w:rPr>
        <w:t xml:space="preserve"> 2016 Jan 28;51(2):178-185 </w:t>
      </w:r>
      <w:r w:rsidR="00D73EB2" w:rsidRPr="000C4C17">
        <w:rPr>
          <w:rFonts w:cs="Arial"/>
          <w:szCs w:val="22"/>
        </w:rPr>
        <w:t>Epub 2015 Nov 25.</w:t>
      </w:r>
    </w:p>
    <w:p w14:paraId="383FECE1" w14:textId="77777777" w:rsidR="00D73EB2" w:rsidRPr="000C4C17" w:rsidRDefault="00D73EB2" w:rsidP="00A111E9">
      <w:pPr>
        <w:widowControl/>
        <w:autoSpaceDE w:val="0"/>
        <w:autoSpaceDN w:val="0"/>
        <w:adjustRightInd w:val="0"/>
        <w:rPr>
          <w:rFonts w:eastAsiaTheme="minorHAnsi" w:cs="Arial"/>
          <w:szCs w:val="22"/>
          <w:lang w:bidi="ar-SA"/>
        </w:rPr>
      </w:pPr>
    </w:p>
    <w:p w14:paraId="076F42D4" w14:textId="77777777" w:rsidR="00D73EB2" w:rsidRPr="000C4C17" w:rsidRDefault="00D73EB2" w:rsidP="00A111E9">
      <w:pPr>
        <w:widowControl/>
        <w:autoSpaceDE w:val="0"/>
        <w:autoSpaceDN w:val="0"/>
        <w:adjustRightInd w:val="0"/>
        <w:rPr>
          <w:rFonts w:eastAsiaTheme="minorHAnsi" w:cs="Arial"/>
          <w:szCs w:val="22"/>
          <w:lang w:bidi="ar-SA"/>
        </w:rPr>
      </w:pPr>
      <w:r w:rsidRPr="000C4C17">
        <w:rPr>
          <w:rFonts w:eastAsiaTheme="minorHAnsi" w:cs="Arial"/>
          <w:szCs w:val="22"/>
          <w:lang w:bidi="ar-SA"/>
        </w:rPr>
        <w:t>Dobbins TA, Sullivan EA, Roberts CL, Simpson JM. Australian national birthweight percentiles by sex and gestational age, 1998–2007 MJA 2012; 197: 291–294 doi: 10.5694/mja11.11331</w:t>
      </w:r>
    </w:p>
    <w:p w14:paraId="52637B08" w14:textId="77777777" w:rsidR="00D73EB2" w:rsidRPr="000C4C17" w:rsidRDefault="00D73EB2" w:rsidP="00A111E9">
      <w:pPr>
        <w:widowControl/>
        <w:autoSpaceDE w:val="0"/>
        <w:autoSpaceDN w:val="0"/>
        <w:adjustRightInd w:val="0"/>
        <w:rPr>
          <w:rFonts w:eastAsiaTheme="minorHAnsi" w:cs="Arial"/>
          <w:szCs w:val="22"/>
          <w:lang w:bidi="ar-SA"/>
        </w:rPr>
      </w:pPr>
    </w:p>
    <w:p w14:paraId="4D73CEB4" w14:textId="73F86BCD" w:rsidR="00D73EB2" w:rsidRPr="000C4C17" w:rsidRDefault="00D73EB2" w:rsidP="00A111E9">
      <w:pPr>
        <w:widowControl/>
        <w:autoSpaceDE w:val="0"/>
        <w:autoSpaceDN w:val="0"/>
        <w:adjustRightInd w:val="0"/>
        <w:rPr>
          <w:rFonts w:eastAsiaTheme="minorHAnsi" w:cs="Arial"/>
          <w:szCs w:val="22"/>
          <w:lang w:bidi="ar-SA"/>
        </w:rPr>
      </w:pPr>
      <w:r w:rsidRPr="000C4C17">
        <w:rPr>
          <w:rFonts w:eastAsiaTheme="minorHAnsi" w:cs="Arial"/>
          <w:szCs w:val="22"/>
          <w:lang w:bidi="ar-SA"/>
        </w:rPr>
        <w:t xml:space="preserve">EFSA </w:t>
      </w:r>
      <w:r w:rsidRPr="000C4C17">
        <w:rPr>
          <w:rFonts w:eastAsiaTheme="minorHAnsi" w:cs="Arial"/>
          <w:bCs/>
          <w:szCs w:val="22"/>
          <w:lang w:val="en-AU" w:bidi="ar-SA"/>
        </w:rPr>
        <w:t xml:space="preserve">Perfluorooctane sulfonate (PFOS), perfluorooctanoic acid (PFOA) and their salts. Scientific Opinion of the Panel on Contaminants in the Food chain. </w:t>
      </w:r>
      <w:r w:rsidRPr="000C4C17">
        <w:rPr>
          <w:rFonts w:eastAsiaTheme="minorHAnsi" w:cs="Arial"/>
          <w:bCs/>
          <w:i/>
          <w:iCs/>
          <w:szCs w:val="22"/>
          <w:lang w:val="en-AU" w:bidi="ar-SA"/>
        </w:rPr>
        <w:t xml:space="preserve">The EFSA Journal </w:t>
      </w:r>
      <w:r w:rsidR="00B64733">
        <w:rPr>
          <w:rFonts w:eastAsiaTheme="minorHAnsi" w:cs="Arial"/>
          <w:bCs/>
          <w:szCs w:val="22"/>
          <w:lang w:val="en-AU" w:bidi="ar-SA"/>
        </w:rPr>
        <w:t>(2008) 653:</w:t>
      </w:r>
      <w:r w:rsidRPr="000C4C17">
        <w:rPr>
          <w:rFonts w:eastAsiaTheme="minorHAnsi" w:cs="Arial"/>
          <w:bCs/>
          <w:szCs w:val="22"/>
          <w:lang w:val="en-AU" w:bidi="ar-SA"/>
        </w:rPr>
        <w:t xml:space="preserve"> 1-131.</w:t>
      </w:r>
    </w:p>
    <w:p w14:paraId="6ECD9F56" w14:textId="77777777" w:rsidR="00D73EB2" w:rsidRPr="000C4C17" w:rsidRDefault="00D73EB2" w:rsidP="00A111E9">
      <w:pPr>
        <w:widowControl/>
        <w:autoSpaceDE w:val="0"/>
        <w:autoSpaceDN w:val="0"/>
        <w:adjustRightInd w:val="0"/>
        <w:rPr>
          <w:rFonts w:eastAsiaTheme="minorHAnsi" w:cs="Arial"/>
          <w:szCs w:val="22"/>
          <w:lang w:bidi="ar-SA"/>
        </w:rPr>
      </w:pPr>
    </w:p>
    <w:p w14:paraId="61669F2D" w14:textId="77777777" w:rsidR="00D73EB2" w:rsidRPr="000C4C17" w:rsidRDefault="00D73EB2" w:rsidP="00A111E9">
      <w:pPr>
        <w:widowControl/>
        <w:autoSpaceDE w:val="0"/>
        <w:autoSpaceDN w:val="0"/>
        <w:adjustRightInd w:val="0"/>
        <w:rPr>
          <w:rFonts w:eastAsiaTheme="minorHAnsi" w:cs="Arial"/>
          <w:szCs w:val="22"/>
          <w:lang w:bidi="ar-SA"/>
        </w:rPr>
      </w:pPr>
      <w:r w:rsidRPr="000C4C17">
        <w:rPr>
          <w:rFonts w:eastAsiaTheme="minorHAnsi" w:cs="Arial"/>
          <w:szCs w:val="22"/>
          <w:lang w:bidi="ar-SA"/>
        </w:rPr>
        <w:t>Fei C, McLaughlin JK, Tarone RE, Olsen J. (2007). Perfluorinated chemicals and fetal growth: a study within the Danish National Birth Cohort. Environ Health Perspect 115, 1677 – 82.</w:t>
      </w:r>
    </w:p>
    <w:p w14:paraId="38F561A2" w14:textId="77777777" w:rsidR="00D73EB2" w:rsidRPr="000C4C17" w:rsidRDefault="00D73EB2" w:rsidP="00A111E9">
      <w:pPr>
        <w:widowControl/>
        <w:autoSpaceDE w:val="0"/>
        <w:autoSpaceDN w:val="0"/>
        <w:adjustRightInd w:val="0"/>
        <w:rPr>
          <w:rFonts w:eastAsiaTheme="minorHAnsi" w:cs="Arial"/>
          <w:szCs w:val="22"/>
          <w:lang w:bidi="ar-SA"/>
        </w:rPr>
      </w:pPr>
    </w:p>
    <w:p w14:paraId="38AF46FD" w14:textId="77777777" w:rsidR="00D73EB2" w:rsidRPr="000C4C17" w:rsidRDefault="00D73EB2" w:rsidP="00A111E9">
      <w:pPr>
        <w:widowControl/>
        <w:autoSpaceDE w:val="0"/>
        <w:autoSpaceDN w:val="0"/>
        <w:adjustRightInd w:val="0"/>
        <w:rPr>
          <w:rFonts w:eastAsiaTheme="minorHAnsi" w:cs="Arial"/>
          <w:szCs w:val="22"/>
          <w:lang w:bidi="ar-SA"/>
        </w:rPr>
      </w:pPr>
      <w:r w:rsidRPr="000C4C17">
        <w:rPr>
          <w:rFonts w:eastAsiaTheme="minorHAnsi" w:cs="Arial"/>
          <w:szCs w:val="22"/>
          <w:lang w:bidi="ar-SA"/>
        </w:rPr>
        <w:lastRenderedPageBreak/>
        <w:t>Fei C, McLaughlin JK, Tarone RE, Olsen J. 2008. Fetal growth indicators and perfluorinated chemicals: a study in the Danish National Birth Cohort. Am J Epidemiol 168:66–72.</w:t>
      </w:r>
    </w:p>
    <w:p w14:paraId="37432829" w14:textId="77777777" w:rsidR="00D73EB2" w:rsidRPr="000C4C17" w:rsidRDefault="00D73EB2" w:rsidP="00A111E9">
      <w:pPr>
        <w:widowControl/>
        <w:autoSpaceDE w:val="0"/>
        <w:autoSpaceDN w:val="0"/>
        <w:adjustRightInd w:val="0"/>
        <w:rPr>
          <w:rFonts w:eastAsiaTheme="minorHAnsi" w:cs="Arial"/>
          <w:szCs w:val="22"/>
          <w:lang w:bidi="ar-SA"/>
        </w:rPr>
      </w:pPr>
    </w:p>
    <w:p w14:paraId="266874FA" w14:textId="13214FA2" w:rsidR="00D73EB2" w:rsidRDefault="00D73EB2" w:rsidP="00A111E9">
      <w:pPr>
        <w:widowControl/>
        <w:autoSpaceDE w:val="0"/>
        <w:autoSpaceDN w:val="0"/>
        <w:adjustRightInd w:val="0"/>
        <w:rPr>
          <w:rFonts w:eastAsiaTheme="minorHAnsi" w:cs="Arial"/>
          <w:szCs w:val="22"/>
          <w:lang w:bidi="ar-SA"/>
        </w:rPr>
      </w:pPr>
      <w:r w:rsidRPr="000C4C17">
        <w:rPr>
          <w:rFonts w:eastAsiaTheme="minorHAnsi" w:cs="Arial"/>
          <w:szCs w:val="22"/>
          <w:lang w:bidi="ar-SA"/>
        </w:rPr>
        <w:t xml:space="preserve">Fromme H, Mosch C, Morovitz M, Alba-Alejandre I, Boehmer S, Kiranoglu M, </w:t>
      </w:r>
      <w:r w:rsidR="00180A32" w:rsidRPr="00180A32">
        <w:rPr>
          <w:rFonts w:eastAsiaTheme="minorHAnsi" w:cs="Arial"/>
          <w:i/>
          <w:szCs w:val="22"/>
          <w:lang w:bidi="ar-SA"/>
        </w:rPr>
        <w:t xml:space="preserve">et al. </w:t>
      </w:r>
      <w:r>
        <w:rPr>
          <w:rFonts w:eastAsiaTheme="minorHAnsi" w:cs="Arial"/>
          <w:szCs w:val="22"/>
          <w:lang w:bidi="ar-SA"/>
        </w:rPr>
        <w:t xml:space="preserve"> </w:t>
      </w:r>
      <w:r w:rsidRPr="000C4C17">
        <w:rPr>
          <w:rFonts w:eastAsiaTheme="minorHAnsi" w:cs="Arial"/>
          <w:szCs w:val="22"/>
          <w:lang w:bidi="ar-SA"/>
        </w:rPr>
        <w:t>(2010). Pre- and postnatal exposure to perfl uorinated compounds (PFCs). Environ Sci Technol, 44, 7123– 9.</w:t>
      </w:r>
    </w:p>
    <w:p w14:paraId="05BB6668" w14:textId="48511380" w:rsidR="00BF112F" w:rsidRDefault="00BF112F" w:rsidP="00A111E9">
      <w:pPr>
        <w:widowControl/>
        <w:autoSpaceDE w:val="0"/>
        <w:autoSpaceDN w:val="0"/>
        <w:adjustRightInd w:val="0"/>
        <w:rPr>
          <w:rFonts w:eastAsiaTheme="minorHAnsi" w:cs="Arial"/>
          <w:szCs w:val="22"/>
          <w:lang w:bidi="ar-SA"/>
        </w:rPr>
      </w:pPr>
    </w:p>
    <w:p w14:paraId="44B75552" w14:textId="4EC41E02" w:rsidR="00BF112F" w:rsidRPr="000C4C17" w:rsidRDefault="00BF112F" w:rsidP="00A111E9">
      <w:pPr>
        <w:widowControl/>
        <w:autoSpaceDE w:val="0"/>
        <w:autoSpaceDN w:val="0"/>
        <w:adjustRightInd w:val="0"/>
        <w:rPr>
          <w:rFonts w:eastAsiaTheme="minorHAnsi" w:cs="Arial"/>
          <w:szCs w:val="22"/>
          <w:lang w:bidi="ar-SA"/>
        </w:rPr>
      </w:pPr>
      <w:r w:rsidRPr="00BF112F">
        <w:rPr>
          <w:rFonts w:eastAsiaTheme="minorHAnsi" w:cs="Arial"/>
          <w:szCs w:val="22"/>
          <w:lang w:bidi="ar-SA"/>
        </w:rPr>
        <w:t>Grice MM, Ale</w:t>
      </w:r>
      <w:r>
        <w:rPr>
          <w:rFonts w:eastAsiaTheme="minorHAnsi" w:cs="Arial"/>
          <w:szCs w:val="22"/>
          <w:lang w:bidi="ar-SA"/>
        </w:rPr>
        <w:t xml:space="preserve">xander BH, Hoffbeck R, Kampa DM (2007). </w:t>
      </w:r>
      <w:r w:rsidRPr="00BF112F">
        <w:rPr>
          <w:rFonts w:eastAsiaTheme="minorHAnsi" w:cs="Arial"/>
          <w:szCs w:val="22"/>
          <w:lang w:bidi="ar-SA"/>
        </w:rPr>
        <w:t>Self-reported medical conditions in perfluorooctanesulfonyl fluoride manufacturing workers</w:t>
      </w:r>
      <w:r>
        <w:rPr>
          <w:rFonts w:eastAsiaTheme="minorHAnsi" w:cs="Arial"/>
          <w:szCs w:val="22"/>
          <w:lang w:bidi="ar-SA"/>
        </w:rPr>
        <w:t>. J Occup Environ Med 49: 722-9.</w:t>
      </w:r>
    </w:p>
    <w:p w14:paraId="105C6A9F" w14:textId="77777777" w:rsidR="00D73EB2" w:rsidRPr="000C4C17" w:rsidRDefault="00D73EB2" w:rsidP="00A111E9">
      <w:pPr>
        <w:widowControl/>
        <w:rPr>
          <w:rFonts w:eastAsiaTheme="minorHAnsi" w:cs="Arial"/>
          <w:szCs w:val="22"/>
          <w:lang w:bidi="ar-SA"/>
        </w:rPr>
      </w:pPr>
    </w:p>
    <w:p w14:paraId="44731A65" w14:textId="54C01841" w:rsidR="00D73EB2" w:rsidRPr="000C4C17" w:rsidRDefault="00D73EB2" w:rsidP="00A111E9">
      <w:pPr>
        <w:widowControl/>
        <w:autoSpaceDE w:val="0"/>
        <w:autoSpaceDN w:val="0"/>
        <w:adjustRightInd w:val="0"/>
        <w:rPr>
          <w:rFonts w:eastAsiaTheme="minorHAnsi" w:cs="Arial"/>
          <w:szCs w:val="22"/>
          <w:lang w:bidi="ar-SA"/>
        </w:rPr>
      </w:pPr>
      <w:r w:rsidRPr="000C4C17">
        <w:rPr>
          <w:rFonts w:eastAsiaTheme="minorHAnsi" w:cs="Arial"/>
          <w:szCs w:val="22"/>
          <w:lang w:bidi="ar-SA"/>
        </w:rPr>
        <w:t>Hamm MP, Cherry NM, Chan E, Martin JW, Burstyn I. (2010). Maternal exposure to perfluorinated acids and fetal growth. J Expo Sci Environ Epidemiol 20, 589 – 97</w:t>
      </w:r>
      <w:r w:rsidR="00BF112F">
        <w:rPr>
          <w:rFonts w:eastAsiaTheme="minorHAnsi" w:cs="Arial"/>
          <w:szCs w:val="22"/>
          <w:lang w:bidi="ar-SA"/>
        </w:rPr>
        <w:t>.</w:t>
      </w:r>
    </w:p>
    <w:p w14:paraId="0EC87D38" w14:textId="77777777" w:rsidR="00D73EB2" w:rsidRPr="000C4C17" w:rsidRDefault="00D73EB2" w:rsidP="00A111E9">
      <w:pPr>
        <w:widowControl/>
        <w:autoSpaceDE w:val="0"/>
        <w:autoSpaceDN w:val="0"/>
        <w:adjustRightInd w:val="0"/>
        <w:rPr>
          <w:rFonts w:eastAsiaTheme="minorHAnsi" w:cs="Arial"/>
          <w:szCs w:val="22"/>
          <w:lang w:bidi="ar-SA"/>
        </w:rPr>
      </w:pPr>
    </w:p>
    <w:p w14:paraId="3C788FBB" w14:textId="3CD6D63D" w:rsidR="00D73EB2" w:rsidRPr="000C4C17" w:rsidRDefault="00D73EB2" w:rsidP="00A111E9">
      <w:pPr>
        <w:widowControl/>
        <w:autoSpaceDE w:val="0"/>
        <w:autoSpaceDN w:val="0"/>
        <w:adjustRightInd w:val="0"/>
        <w:rPr>
          <w:rFonts w:eastAsiaTheme="minorHAnsi" w:cs="Arial"/>
          <w:szCs w:val="22"/>
          <w:lang w:bidi="ar-SA"/>
        </w:rPr>
      </w:pPr>
      <w:r w:rsidRPr="000C4C17">
        <w:rPr>
          <w:rFonts w:eastAsiaTheme="minorHAnsi" w:cs="Arial"/>
          <w:szCs w:val="22"/>
          <w:lang w:bidi="ar-SA"/>
        </w:rPr>
        <w:t xml:space="preserve">Hall J, Case A, O’Neil L. Northern Territory Midwives’ Collection. Mothers and Babies 2013. Department of Health, Darwin, 2015 Available at </w:t>
      </w:r>
      <w:r w:rsidRPr="000C4C17">
        <w:rPr>
          <w:rFonts w:eastAsiaTheme="minorHAnsi" w:cs="Arial"/>
          <w:szCs w:val="22"/>
          <w:u w:val="single"/>
          <w:lang w:bidi="ar-SA"/>
        </w:rPr>
        <w:t>http://digitallibrary.health.nt.gov.au/prodjspui/handle/10137/640.</w:t>
      </w:r>
    </w:p>
    <w:p w14:paraId="782ED039" w14:textId="77777777" w:rsidR="00D73EB2" w:rsidRPr="000C4C17" w:rsidRDefault="00D73EB2" w:rsidP="00A111E9">
      <w:pPr>
        <w:widowControl/>
        <w:autoSpaceDE w:val="0"/>
        <w:autoSpaceDN w:val="0"/>
        <w:adjustRightInd w:val="0"/>
        <w:rPr>
          <w:rFonts w:eastAsiaTheme="minorHAnsi" w:cs="Arial"/>
          <w:szCs w:val="22"/>
          <w:lang w:bidi="ar-SA"/>
        </w:rPr>
      </w:pPr>
    </w:p>
    <w:p w14:paraId="36F70C00" w14:textId="77777777" w:rsidR="00D73EB2" w:rsidRPr="000C4C17" w:rsidRDefault="00D73EB2" w:rsidP="00A111E9">
      <w:pPr>
        <w:widowControl/>
        <w:autoSpaceDE w:val="0"/>
        <w:autoSpaceDN w:val="0"/>
        <w:adjustRightInd w:val="0"/>
        <w:rPr>
          <w:rFonts w:eastAsiaTheme="minorHAnsi" w:cs="Arial"/>
          <w:szCs w:val="22"/>
          <w:lang w:bidi="ar-SA"/>
        </w:rPr>
      </w:pPr>
      <w:r w:rsidRPr="000C4C17">
        <w:rPr>
          <w:rFonts w:eastAsiaTheme="minorHAnsi" w:cs="Arial"/>
          <w:szCs w:val="22"/>
          <w:lang w:bidi="ar-SA"/>
        </w:rPr>
        <w:t>Halldorsson TI, Rytter D, Haug LS, Bech BH, Danielsen I, Becher G, Henriksen TB,</w:t>
      </w:r>
    </w:p>
    <w:p w14:paraId="3E94280D" w14:textId="77777777" w:rsidR="00D73EB2" w:rsidRPr="000C4C17" w:rsidRDefault="00D73EB2" w:rsidP="00A111E9">
      <w:pPr>
        <w:widowControl/>
        <w:autoSpaceDE w:val="0"/>
        <w:autoSpaceDN w:val="0"/>
        <w:adjustRightInd w:val="0"/>
        <w:rPr>
          <w:rFonts w:eastAsiaTheme="minorHAnsi" w:cs="Arial"/>
          <w:szCs w:val="22"/>
          <w:lang w:bidi="ar-SA"/>
        </w:rPr>
      </w:pPr>
      <w:r w:rsidRPr="000C4C17">
        <w:rPr>
          <w:rFonts w:eastAsiaTheme="minorHAnsi" w:cs="Arial"/>
          <w:szCs w:val="22"/>
          <w:lang w:bidi="ar-SA"/>
        </w:rPr>
        <w:t>Olsen SF 2012. Prenatal exposure to perfluorooctanoate and risk of overweight at 20 years of age: a prospective cohort study. Environ Health Perspect 120: 668-673.</w:t>
      </w:r>
    </w:p>
    <w:p w14:paraId="54D16293" w14:textId="77777777" w:rsidR="00D73EB2" w:rsidRPr="000C4C17" w:rsidRDefault="00D73EB2" w:rsidP="00A111E9">
      <w:pPr>
        <w:widowControl/>
        <w:rPr>
          <w:rFonts w:eastAsiaTheme="minorHAnsi" w:cs="Arial"/>
          <w:szCs w:val="22"/>
          <w:lang w:bidi="ar-SA"/>
        </w:rPr>
      </w:pPr>
    </w:p>
    <w:p w14:paraId="7FBF71CC" w14:textId="77777777" w:rsidR="00D73EB2" w:rsidRPr="000C4C17" w:rsidRDefault="00D73EB2" w:rsidP="00A111E9">
      <w:pPr>
        <w:widowControl/>
        <w:tabs>
          <w:tab w:val="left" w:pos="0"/>
          <w:tab w:val="left" w:pos="1200"/>
        </w:tabs>
        <w:rPr>
          <w:rFonts w:cs="Arial"/>
          <w:szCs w:val="22"/>
          <w:lang w:bidi="ar-SA"/>
        </w:rPr>
      </w:pPr>
      <w:r w:rsidRPr="000C4C17">
        <w:rPr>
          <w:rFonts w:cs="Arial"/>
          <w:szCs w:val="22"/>
          <w:lang w:bidi="ar-SA"/>
        </w:rPr>
        <w:t xml:space="preserve">Higgins JPT, Thompson SG, Deeks JJ, Altman, DG. Measuring inconsistency in meta-analyses. </w:t>
      </w:r>
      <w:r w:rsidRPr="000C4C17">
        <w:rPr>
          <w:rFonts w:cs="Arial"/>
          <w:i/>
          <w:szCs w:val="22"/>
          <w:lang w:bidi="ar-SA"/>
        </w:rPr>
        <w:t>Brit Med J</w:t>
      </w:r>
      <w:r w:rsidRPr="000C4C17">
        <w:rPr>
          <w:rFonts w:cs="Arial"/>
          <w:szCs w:val="22"/>
          <w:lang w:bidi="ar-SA"/>
        </w:rPr>
        <w:t xml:space="preserve"> 2003;327:557-60.</w:t>
      </w:r>
    </w:p>
    <w:p w14:paraId="6E7D9B7D" w14:textId="77777777" w:rsidR="00D73EB2" w:rsidRPr="000C4C17" w:rsidRDefault="00D73EB2" w:rsidP="00A111E9">
      <w:pPr>
        <w:widowControl/>
        <w:tabs>
          <w:tab w:val="left" w:pos="0"/>
          <w:tab w:val="left" w:pos="1200"/>
        </w:tabs>
        <w:rPr>
          <w:rFonts w:cs="Arial"/>
          <w:szCs w:val="22"/>
          <w:lang w:bidi="ar-SA"/>
        </w:rPr>
      </w:pPr>
    </w:p>
    <w:p w14:paraId="63C2F854" w14:textId="77777777" w:rsidR="00D73EB2" w:rsidRPr="000C4C17" w:rsidRDefault="00D73EB2" w:rsidP="00A111E9">
      <w:pPr>
        <w:widowControl/>
        <w:autoSpaceDE w:val="0"/>
        <w:autoSpaceDN w:val="0"/>
        <w:adjustRightInd w:val="0"/>
        <w:rPr>
          <w:rFonts w:eastAsiaTheme="minorHAnsi" w:cs="Arial"/>
          <w:szCs w:val="22"/>
          <w:lang w:bidi="ar-SA"/>
        </w:rPr>
      </w:pPr>
      <w:r w:rsidRPr="000C4C17">
        <w:rPr>
          <w:rFonts w:eastAsiaTheme="minorHAnsi" w:cs="Arial"/>
          <w:szCs w:val="22"/>
          <w:lang w:bidi="ar-SA"/>
        </w:rPr>
        <w:t>Hilder L, Zhichao Z, Parker M, Jahan S, Chambers GM 2014. Australia’s mothers and babies 2012. Perinatal statistics series no. 30. Cat. no. PER 69. Canberra: AIHW.</w:t>
      </w:r>
    </w:p>
    <w:p w14:paraId="49BD9A56" w14:textId="77777777" w:rsidR="00D73EB2" w:rsidRPr="000C4C17" w:rsidRDefault="00D73EB2" w:rsidP="00A111E9">
      <w:pPr>
        <w:widowControl/>
        <w:rPr>
          <w:rFonts w:eastAsiaTheme="minorHAnsi" w:cs="Arial"/>
          <w:szCs w:val="22"/>
          <w:lang w:bidi="ar-SA"/>
        </w:rPr>
      </w:pPr>
    </w:p>
    <w:p w14:paraId="09D6BDB2" w14:textId="05C47729" w:rsidR="00D73EB2" w:rsidRPr="000C4C17" w:rsidRDefault="00D73EB2" w:rsidP="00A111E9">
      <w:pPr>
        <w:widowControl/>
        <w:autoSpaceDE w:val="0"/>
        <w:autoSpaceDN w:val="0"/>
        <w:adjustRightInd w:val="0"/>
        <w:rPr>
          <w:rFonts w:eastAsiaTheme="minorHAnsi" w:cs="Arial"/>
          <w:szCs w:val="22"/>
          <w:lang w:bidi="ar-SA"/>
        </w:rPr>
      </w:pPr>
      <w:r w:rsidRPr="000C4C17">
        <w:rPr>
          <w:rFonts w:eastAsiaTheme="minorHAnsi" w:cs="Arial"/>
          <w:szCs w:val="22"/>
          <w:lang w:bidi="ar-SA"/>
        </w:rPr>
        <w:t xml:space="preserve">Inoue K, Okada F, Ito R, Kato S, Saski S, Nakajima S, </w:t>
      </w:r>
      <w:r w:rsidR="00180A32" w:rsidRPr="00180A32">
        <w:rPr>
          <w:rFonts w:eastAsiaTheme="minorHAnsi" w:cs="Arial"/>
          <w:i/>
          <w:szCs w:val="22"/>
          <w:lang w:bidi="ar-SA"/>
        </w:rPr>
        <w:t xml:space="preserve">et al. </w:t>
      </w:r>
      <w:r>
        <w:rPr>
          <w:rFonts w:eastAsiaTheme="minorHAnsi" w:cs="Arial"/>
          <w:szCs w:val="22"/>
          <w:lang w:bidi="ar-SA"/>
        </w:rPr>
        <w:t xml:space="preserve"> </w:t>
      </w:r>
      <w:r w:rsidRPr="000C4C17">
        <w:rPr>
          <w:rFonts w:eastAsiaTheme="minorHAnsi" w:cs="Arial"/>
          <w:szCs w:val="22"/>
          <w:lang w:bidi="ar-SA"/>
        </w:rPr>
        <w:t>(2004). Perfluorooctane sulfonate (PFOS) and related perfluorinated compounds in human maternal and cord blood samples: assessment of PFOS exposure in a susceptible population during pregnancy. Environ Health Perspect, 112,1204 – 7.</w:t>
      </w:r>
    </w:p>
    <w:p w14:paraId="0E381116" w14:textId="77777777" w:rsidR="00D73EB2" w:rsidRPr="000C4C17" w:rsidRDefault="00D73EB2" w:rsidP="00A111E9">
      <w:pPr>
        <w:widowControl/>
        <w:autoSpaceDE w:val="0"/>
        <w:autoSpaceDN w:val="0"/>
        <w:adjustRightInd w:val="0"/>
        <w:rPr>
          <w:rFonts w:eastAsiaTheme="minorHAnsi" w:cs="Arial"/>
          <w:szCs w:val="22"/>
          <w:lang w:bidi="ar-SA"/>
        </w:rPr>
      </w:pPr>
    </w:p>
    <w:p w14:paraId="17F42E0B" w14:textId="031A8C13" w:rsidR="00D73EB2" w:rsidRPr="000C4C17" w:rsidRDefault="00D73EB2" w:rsidP="00A111E9">
      <w:pPr>
        <w:widowControl/>
        <w:rPr>
          <w:rFonts w:eastAsiaTheme="minorHAnsi" w:cs="Arial"/>
          <w:bCs/>
          <w:szCs w:val="22"/>
          <w:lang w:bidi="ar-SA"/>
        </w:rPr>
      </w:pPr>
      <w:r w:rsidRPr="000C4C17">
        <w:rPr>
          <w:rFonts w:eastAsiaTheme="minorHAnsi" w:cs="Arial"/>
          <w:bCs/>
          <w:szCs w:val="22"/>
          <w:lang w:bidi="ar-SA"/>
        </w:rPr>
        <w:t xml:space="preserve">Johnson PI, Sutton P, Atchley DS, Koustas E, Lam J, Sen S, Robinson KA, Axelrad DA, Woodruff TJ. 2014. The Navigation Guide—evidence-based medicine meets environmental health: systematic review of human evidence for PFOA effects on fetal growth. Environ Health Perspect 122:1028–1039; </w:t>
      </w:r>
      <w:r w:rsidRPr="000C4C17">
        <w:rPr>
          <w:rFonts w:eastAsiaTheme="minorHAnsi" w:cs="Arial"/>
          <w:bCs/>
          <w:szCs w:val="22"/>
          <w:u w:val="single"/>
          <w:lang w:bidi="ar-SA"/>
        </w:rPr>
        <w:t>http://dx.doi.org/10.1289/ehp.1307893</w:t>
      </w:r>
    </w:p>
    <w:p w14:paraId="0D97268E" w14:textId="77777777" w:rsidR="00D73EB2" w:rsidRPr="000C4C17" w:rsidRDefault="00D73EB2" w:rsidP="00A111E9">
      <w:pPr>
        <w:widowControl/>
        <w:tabs>
          <w:tab w:val="left" w:pos="0"/>
          <w:tab w:val="left" w:pos="1200"/>
        </w:tabs>
        <w:rPr>
          <w:rFonts w:cs="Arial"/>
          <w:szCs w:val="22"/>
          <w:lang w:bidi="ar-SA"/>
        </w:rPr>
      </w:pPr>
    </w:p>
    <w:p w14:paraId="7AAEBECB" w14:textId="77777777" w:rsidR="00D73EB2" w:rsidRPr="000C4C17" w:rsidRDefault="00D73EB2" w:rsidP="00A111E9">
      <w:pPr>
        <w:widowControl/>
        <w:autoSpaceDE w:val="0"/>
        <w:autoSpaceDN w:val="0"/>
        <w:adjustRightInd w:val="0"/>
        <w:rPr>
          <w:rFonts w:eastAsiaTheme="minorHAnsi" w:cs="Arial"/>
          <w:szCs w:val="22"/>
          <w:lang w:bidi="ar-SA"/>
        </w:rPr>
      </w:pPr>
      <w:r w:rsidRPr="000C4C17">
        <w:rPr>
          <w:rFonts w:eastAsiaTheme="minorHAnsi" w:cs="Arial"/>
          <w:szCs w:val="22"/>
          <w:lang w:bidi="ar-SA"/>
        </w:rPr>
        <w:t>Kim S, Choi K, Ji K, Seo J, Kho Y, Park J, Kim S, Park S, Hwang I, Jeon J, Yang H,</w:t>
      </w:r>
    </w:p>
    <w:p w14:paraId="1CDA6E34" w14:textId="77777777" w:rsidR="00D73EB2" w:rsidRPr="000C4C17" w:rsidRDefault="00D73EB2" w:rsidP="00A111E9">
      <w:pPr>
        <w:widowControl/>
        <w:autoSpaceDE w:val="0"/>
        <w:autoSpaceDN w:val="0"/>
        <w:adjustRightInd w:val="0"/>
        <w:rPr>
          <w:rFonts w:eastAsiaTheme="minorHAnsi" w:cs="Arial"/>
          <w:szCs w:val="22"/>
          <w:lang w:bidi="ar-SA"/>
        </w:rPr>
      </w:pPr>
      <w:r w:rsidRPr="000C4C17">
        <w:rPr>
          <w:rFonts w:eastAsiaTheme="minorHAnsi" w:cs="Arial"/>
          <w:szCs w:val="22"/>
          <w:lang w:bidi="ar-SA"/>
        </w:rPr>
        <w:t>Giesy JP. 2011. Trans-placental transfer of thirteen perfluorinated compounds and</w:t>
      </w:r>
    </w:p>
    <w:p w14:paraId="02C28F7F" w14:textId="77777777" w:rsidR="00D73EB2" w:rsidRPr="000C4C17" w:rsidRDefault="00D73EB2" w:rsidP="00A111E9">
      <w:pPr>
        <w:widowControl/>
        <w:autoSpaceDE w:val="0"/>
        <w:autoSpaceDN w:val="0"/>
        <w:adjustRightInd w:val="0"/>
        <w:rPr>
          <w:rFonts w:eastAsiaTheme="minorHAnsi" w:cs="Arial"/>
          <w:szCs w:val="22"/>
          <w:lang w:bidi="ar-SA"/>
        </w:rPr>
      </w:pPr>
      <w:r w:rsidRPr="000C4C17">
        <w:rPr>
          <w:rFonts w:eastAsiaTheme="minorHAnsi" w:cs="Arial"/>
          <w:szCs w:val="22"/>
          <w:lang w:bidi="ar-SA"/>
        </w:rPr>
        <w:t>relations with fetal thyroid hormones. Environ Sci Technol 45: 7465-7472.</w:t>
      </w:r>
    </w:p>
    <w:p w14:paraId="7D079D00" w14:textId="77777777" w:rsidR="00D73EB2" w:rsidRPr="000C4C17" w:rsidRDefault="00D73EB2" w:rsidP="00A111E9">
      <w:pPr>
        <w:widowControl/>
        <w:autoSpaceDE w:val="0"/>
        <w:autoSpaceDN w:val="0"/>
        <w:adjustRightInd w:val="0"/>
        <w:rPr>
          <w:rFonts w:eastAsiaTheme="minorHAnsi" w:cs="Arial"/>
          <w:szCs w:val="22"/>
          <w:lang w:bidi="ar-SA"/>
        </w:rPr>
      </w:pPr>
    </w:p>
    <w:p w14:paraId="281F0D1A" w14:textId="1992F003" w:rsidR="00D73EB2" w:rsidRPr="000C4C17" w:rsidRDefault="00D73EB2" w:rsidP="00A111E9">
      <w:pPr>
        <w:widowControl/>
        <w:autoSpaceDE w:val="0"/>
        <w:autoSpaceDN w:val="0"/>
        <w:adjustRightInd w:val="0"/>
        <w:rPr>
          <w:rFonts w:eastAsiaTheme="minorHAnsi" w:cs="Arial"/>
          <w:szCs w:val="22"/>
          <w:lang w:bidi="ar-SA"/>
        </w:rPr>
      </w:pPr>
      <w:r w:rsidRPr="000C4C17">
        <w:rPr>
          <w:rFonts w:eastAsiaTheme="minorHAnsi" w:cs="Arial"/>
          <w:szCs w:val="22"/>
          <w:lang w:bidi="ar-SA"/>
        </w:rPr>
        <w:t xml:space="preserve">Kim SK, Lee KT, Kang CS, Tao L, Kannan K, Kim KR, </w:t>
      </w:r>
      <w:r w:rsidR="00180A32" w:rsidRPr="00180A32">
        <w:rPr>
          <w:rFonts w:eastAsiaTheme="minorHAnsi" w:cs="Arial"/>
          <w:i/>
          <w:szCs w:val="22"/>
          <w:lang w:bidi="ar-SA"/>
        </w:rPr>
        <w:t xml:space="preserve">et al. </w:t>
      </w:r>
      <w:r>
        <w:rPr>
          <w:rFonts w:eastAsiaTheme="minorHAnsi" w:cs="Arial"/>
          <w:szCs w:val="22"/>
          <w:lang w:bidi="ar-SA"/>
        </w:rPr>
        <w:t xml:space="preserve"> </w:t>
      </w:r>
      <w:r w:rsidRPr="000C4C17">
        <w:rPr>
          <w:rFonts w:eastAsiaTheme="minorHAnsi" w:cs="Arial"/>
          <w:szCs w:val="22"/>
          <w:lang w:bidi="ar-SA"/>
        </w:rPr>
        <w:t>2011. Distribution of perfluorochemicals between sera and milk from the same mothers and implications for prenatal and postnatal exposures. Environ Pollut 159:169–174.</w:t>
      </w:r>
    </w:p>
    <w:p w14:paraId="4A4671D7" w14:textId="77777777" w:rsidR="00D73EB2" w:rsidRPr="000C4C17" w:rsidRDefault="00D73EB2" w:rsidP="00A111E9">
      <w:pPr>
        <w:widowControl/>
        <w:autoSpaceDE w:val="0"/>
        <w:autoSpaceDN w:val="0"/>
        <w:adjustRightInd w:val="0"/>
        <w:rPr>
          <w:rFonts w:eastAsiaTheme="minorHAnsi" w:cs="Arial"/>
          <w:szCs w:val="22"/>
          <w:lang w:bidi="ar-SA"/>
        </w:rPr>
      </w:pPr>
    </w:p>
    <w:p w14:paraId="0B8A2551" w14:textId="06155C92" w:rsidR="00D73EB2" w:rsidRPr="000C4C17" w:rsidRDefault="00D73EB2" w:rsidP="00A111E9">
      <w:pPr>
        <w:widowControl/>
        <w:autoSpaceDE w:val="0"/>
        <w:autoSpaceDN w:val="0"/>
        <w:adjustRightInd w:val="0"/>
        <w:rPr>
          <w:rFonts w:eastAsiaTheme="minorHAnsi" w:cs="Arial"/>
          <w:szCs w:val="22"/>
          <w:lang w:bidi="ar-SA"/>
        </w:rPr>
      </w:pPr>
      <w:r w:rsidRPr="000C4C17">
        <w:rPr>
          <w:rFonts w:eastAsiaTheme="minorHAnsi" w:cs="Arial"/>
          <w:szCs w:val="22"/>
          <w:lang w:bidi="ar-SA"/>
        </w:rPr>
        <w:t xml:space="preserve">Kishi R, Nakajima T, Goudarzi H, Kobayashi S, Sasaki S, Okada E, </w:t>
      </w:r>
      <w:r w:rsidR="00180A32" w:rsidRPr="00180A32">
        <w:rPr>
          <w:rFonts w:eastAsiaTheme="minorHAnsi" w:cs="Arial"/>
          <w:i/>
          <w:szCs w:val="22"/>
          <w:lang w:bidi="ar-SA"/>
        </w:rPr>
        <w:t xml:space="preserve">et al. </w:t>
      </w:r>
      <w:r>
        <w:rPr>
          <w:rFonts w:eastAsiaTheme="minorHAnsi" w:cs="Arial"/>
          <w:szCs w:val="22"/>
          <w:lang w:bidi="ar-SA"/>
        </w:rPr>
        <w:t xml:space="preserve"> </w:t>
      </w:r>
      <w:r w:rsidRPr="000C4C17">
        <w:rPr>
          <w:rFonts w:eastAsiaTheme="minorHAnsi" w:cs="Arial"/>
          <w:szCs w:val="22"/>
          <w:lang w:bidi="ar-SA"/>
        </w:rPr>
        <w:t>2015. The association of prenatal exposure to perfluorinated chemicals with maternal essential and long-chain polyunsaturated fatty acids during pregnancy and the birth weight of their offspring: the Hokkaido Study. Environ Health Perspect 123:1038–1045.</w:t>
      </w:r>
    </w:p>
    <w:p w14:paraId="4DC65098" w14:textId="77777777" w:rsidR="00D73EB2" w:rsidRPr="000C4C17" w:rsidRDefault="00D73EB2" w:rsidP="00A111E9">
      <w:pPr>
        <w:widowControl/>
        <w:autoSpaceDE w:val="0"/>
        <w:autoSpaceDN w:val="0"/>
        <w:adjustRightInd w:val="0"/>
        <w:rPr>
          <w:rFonts w:eastAsiaTheme="minorHAnsi" w:cs="Arial"/>
          <w:szCs w:val="22"/>
          <w:lang w:bidi="ar-SA"/>
        </w:rPr>
      </w:pPr>
    </w:p>
    <w:p w14:paraId="4C0EAB96" w14:textId="48201C36" w:rsidR="00D73EB2" w:rsidRPr="000C4C17" w:rsidRDefault="00D73EB2" w:rsidP="00A111E9">
      <w:pPr>
        <w:widowControl/>
        <w:autoSpaceDE w:val="0"/>
        <w:autoSpaceDN w:val="0"/>
        <w:adjustRightInd w:val="0"/>
        <w:rPr>
          <w:rFonts w:eastAsiaTheme="minorHAnsi" w:cs="Arial"/>
          <w:szCs w:val="22"/>
          <w:lang w:bidi="ar-SA"/>
        </w:rPr>
      </w:pPr>
      <w:r w:rsidRPr="000C4C17">
        <w:rPr>
          <w:rFonts w:eastAsiaTheme="minorHAnsi" w:cs="Arial"/>
          <w:szCs w:val="22"/>
          <w:lang w:bidi="ar-SA"/>
        </w:rPr>
        <w:t xml:space="preserve">Kishi R, Sasaki S, Yoshioka E, Yuasa M, Sata F, Saijo Y, </w:t>
      </w:r>
      <w:r w:rsidR="00180A32" w:rsidRPr="00180A32">
        <w:rPr>
          <w:rFonts w:eastAsiaTheme="minorHAnsi" w:cs="Arial"/>
          <w:i/>
          <w:szCs w:val="22"/>
          <w:lang w:bidi="ar-SA"/>
        </w:rPr>
        <w:t xml:space="preserve">et al. </w:t>
      </w:r>
      <w:r>
        <w:rPr>
          <w:rFonts w:eastAsiaTheme="minorHAnsi" w:cs="Arial"/>
          <w:szCs w:val="22"/>
          <w:lang w:bidi="ar-SA"/>
        </w:rPr>
        <w:t xml:space="preserve"> </w:t>
      </w:r>
      <w:r w:rsidRPr="000C4C17">
        <w:rPr>
          <w:rFonts w:eastAsiaTheme="minorHAnsi" w:cs="Arial"/>
          <w:szCs w:val="22"/>
          <w:lang w:bidi="ar-SA"/>
        </w:rPr>
        <w:t>Cohort profile: the Hokkaido study on environment and children’s health in Japan. Int J Epidemiol. 2011;40:611–618.</w:t>
      </w:r>
    </w:p>
    <w:p w14:paraId="69D9878F" w14:textId="77777777" w:rsidR="00D73EB2" w:rsidRPr="000C4C17" w:rsidRDefault="00D73EB2" w:rsidP="00A111E9">
      <w:pPr>
        <w:widowControl/>
        <w:autoSpaceDE w:val="0"/>
        <w:autoSpaceDN w:val="0"/>
        <w:adjustRightInd w:val="0"/>
        <w:rPr>
          <w:rFonts w:eastAsiaTheme="minorHAnsi" w:cs="Arial"/>
          <w:szCs w:val="22"/>
          <w:lang w:bidi="ar-SA"/>
        </w:rPr>
      </w:pPr>
    </w:p>
    <w:p w14:paraId="593272A2" w14:textId="77777777" w:rsidR="00D73EB2" w:rsidRPr="000C4C17" w:rsidRDefault="00D73EB2" w:rsidP="00A111E9">
      <w:pPr>
        <w:rPr>
          <w:szCs w:val="22"/>
        </w:rPr>
      </w:pPr>
      <w:r w:rsidRPr="000C4C17">
        <w:rPr>
          <w:szCs w:val="22"/>
        </w:rPr>
        <w:t xml:space="preserve">Lauritzen HB, Larose TL, Olen T, Sandanger TM, Odland JA, van de Bor M, Jacobsen GW. (2016) Maternal serum levels of perfluoroalkyl substances and organochlorines and indices </w:t>
      </w:r>
      <w:r w:rsidRPr="000C4C17">
        <w:rPr>
          <w:szCs w:val="22"/>
        </w:rPr>
        <w:lastRenderedPageBreak/>
        <w:t xml:space="preserve">of fetal growth: a Scandinavian case-cohort study. </w:t>
      </w:r>
      <w:r w:rsidRPr="000C4C17">
        <w:rPr>
          <w:rStyle w:val="jrnl"/>
          <w:rFonts w:cs="Arial"/>
          <w:szCs w:val="22"/>
        </w:rPr>
        <w:t>Pediatr Res</w:t>
      </w:r>
      <w:r w:rsidRPr="000C4C17">
        <w:rPr>
          <w:rFonts w:cs="Arial"/>
          <w:szCs w:val="22"/>
        </w:rPr>
        <w:t xml:space="preserve"> Oct 26. doi: 10.1038/pr.2016.187. [Epub ahead of print]</w:t>
      </w:r>
    </w:p>
    <w:p w14:paraId="7F648A16" w14:textId="77777777" w:rsidR="00D73EB2" w:rsidRPr="000C4C17" w:rsidRDefault="00D73EB2" w:rsidP="00A111E9">
      <w:pPr>
        <w:widowControl/>
        <w:autoSpaceDE w:val="0"/>
        <w:autoSpaceDN w:val="0"/>
        <w:adjustRightInd w:val="0"/>
        <w:rPr>
          <w:rFonts w:eastAsiaTheme="minorHAnsi" w:cs="Arial"/>
          <w:szCs w:val="22"/>
          <w:lang w:bidi="ar-SA"/>
        </w:rPr>
      </w:pPr>
    </w:p>
    <w:p w14:paraId="4F127B02" w14:textId="77777777" w:rsidR="00D73EB2" w:rsidRPr="000C4C17" w:rsidRDefault="00D73EB2" w:rsidP="00A111E9">
      <w:pPr>
        <w:widowControl/>
        <w:autoSpaceDE w:val="0"/>
        <w:autoSpaceDN w:val="0"/>
        <w:adjustRightInd w:val="0"/>
        <w:rPr>
          <w:rFonts w:eastAsiaTheme="minorHAnsi" w:cs="Arial"/>
          <w:szCs w:val="22"/>
          <w:lang w:bidi="ar-SA"/>
        </w:rPr>
      </w:pPr>
      <w:r w:rsidRPr="000C4C17">
        <w:rPr>
          <w:rFonts w:eastAsiaTheme="minorHAnsi" w:cs="Arial"/>
          <w:szCs w:val="22"/>
          <w:lang w:bidi="ar-SA"/>
        </w:rPr>
        <w:t>Lee YJ, Kim MK, Bae J, Yang JH. (2013). Concentrations of perfl uoroalkyl compounds in maternal and umbilical cord sera and birth outcomes in Korea. Chemosphere 90, 1603 – 9.</w:t>
      </w:r>
    </w:p>
    <w:p w14:paraId="1305CFB9" w14:textId="77777777" w:rsidR="00D73EB2" w:rsidRPr="000C4C17" w:rsidRDefault="00D73EB2" w:rsidP="00A111E9">
      <w:pPr>
        <w:widowControl/>
        <w:autoSpaceDE w:val="0"/>
        <w:autoSpaceDN w:val="0"/>
        <w:adjustRightInd w:val="0"/>
        <w:rPr>
          <w:rFonts w:eastAsiaTheme="minorHAnsi" w:cs="Arial"/>
          <w:szCs w:val="22"/>
          <w:lang w:bidi="ar-SA"/>
        </w:rPr>
      </w:pPr>
    </w:p>
    <w:p w14:paraId="60FEB76F" w14:textId="77777777" w:rsidR="00D73EB2" w:rsidRPr="000C4C17" w:rsidRDefault="00D73EB2" w:rsidP="00A111E9">
      <w:pPr>
        <w:widowControl/>
        <w:autoSpaceDE w:val="0"/>
        <w:autoSpaceDN w:val="0"/>
        <w:adjustRightInd w:val="0"/>
        <w:rPr>
          <w:rFonts w:eastAsiaTheme="minorHAnsi" w:cs="Arial"/>
          <w:szCs w:val="22"/>
          <w:lang w:bidi="ar-SA"/>
        </w:rPr>
      </w:pPr>
      <w:r w:rsidRPr="000C4C17">
        <w:rPr>
          <w:rFonts w:eastAsiaTheme="minorHAnsi" w:cs="Arial"/>
          <w:szCs w:val="22"/>
          <w:lang w:bidi="ar-SA"/>
        </w:rPr>
        <w:t>Maisonet M, Terrell ML, McGeehin MA, Christensen KY, Holmes A, Calafat AM, Marcus M (2012). Maternal concentrations of polyfl uoroalkyl compounds during pregnancy and fetal and postnatal growth in British girls. Environ Health Perspect 120, 1432 – 7.</w:t>
      </w:r>
    </w:p>
    <w:p w14:paraId="26D00540" w14:textId="77777777" w:rsidR="00D73EB2" w:rsidRPr="000C4C17" w:rsidRDefault="00D73EB2" w:rsidP="00A111E9">
      <w:pPr>
        <w:widowControl/>
        <w:rPr>
          <w:rFonts w:eastAsiaTheme="minorHAnsi" w:cs="Arial"/>
          <w:szCs w:val="22"/>
          <w:lang w:bidi="ar-SA"/>
        </w:rPr>
      </w:pPr>
    </w:p>
    <w:p w14:paraId="15663F9F" w14:textId="4830D9DD" w:rsidR="00D73EB2" w:rsidRPr="000C4C17" w:rsidRDefault="00D73EB2" w:rsidP="00A111E9">
      <w:pPr>
        <w:widowControl/>
        <w:autoSpaceDE w:val="0"/>
        <w:autoSpaceDN w:val="0"/>
        <w:adjustRightInd w:val="0"/>
        <w:spacing w:line="131" w:lineRule="atLeast"/>
        <w:rPr>
          <w:rFonts w:eastAsiaTheme="minorHAnsi" w:cs="Arial"/>
          <w:szCs w:val="22"/>
          <w:lang w:bidi="ar-SA"/>
        </w:rPr>
      </w:pPr>
      <w:r w:rsidRPr="000C4C17">
        <w:rPr>
          <w:rFonts w:eastAsiaTheme="minorHAnsi" w:cs="Arial"/>
          <w:szCs w:val="22"/>
          <w:lang w:bidi="ar-SA"/>
        </w:rPr>
        <w:t xml:space="preserve">Monroy R, Morrison K, Teo K, Atkinson S, Kubwabo C, Stewart B, </w:t>
      </w:r>
      <w:r w:rsidR="00180A32" w:rsidRPr="00180A32">
        <w:rPr>
          <w:rFonts w:eastAsiaTheme="minorHAnsi" w:cs="Arial"/>
          <w:i/>
          <w:szCs w:val="22"/>
          <w:lang w:bidi="ar-SA"/>
        </w:rPr>
        <w:t xml:space="preserve">et al. </w:t>
      </w:r>
      <w:r>
        <w:rPr>
          <w:rFonts w:eastAsiaTheme="minorHAnsi" w:cs="Arial"/>
          <w:szCs w:val="22"/>
          <w:lang w:bidi="ar-SA"/>
        </w:rPr>
        <w:t xml:space="preserve"> </w:t>
      </w:r>
      <w:r w:rsidRPr="000C4C17">
        <w:rPr>
          <w:rFonts w:eastAsiaTheme="minorHAnsi" w:cs="Arial"/>
          <w:szCs w:val="22"/>
          <w:lang w:bidi="ar-SA"/>
        </w:rPr>
        <w:t>(2008). Serum levels of perfluoroalkyl compounds in human maternal and umbilical cord blood samples. Environ Res 108:56–62.</w:t>
      </w:r>
    </w:p>
    <w:p w14:paraId="0EA3624C" w14:textId="77777777" w:rsidR="00D73EB2" w:rsidRPr="000C4C17" w:rsidRDefault="00D73EB2" w:rsidP="00A111E9">
      <w:pPr>
        <w:widowControl/>
        <w:rPr>
          <w:rFonts w:eastAsiaTheme="minorHAnsi" w:cs="Arial"/>
          <w:szCs w:val="22"/>
          <w:lang w:bidi="ar-SA"/>
        </w:rPr>
      </w:pPr>
    </w:p>
    <w:p w14:paraId="2CFEC58B" w14:textId="77777777" w:rsidR="00D73EB2" w:rsidRPr="000C4C17" w:rsidRDefault="00D73EB2" w:rsidP="00A111E9">
      <w:pPr>
        <w:widowControl/>
        <w:autoSpaceDE w:val="0"/>
        <w:autoSpaceDN w:val="0"/>
        <w:adjustRightInd w:val="0"/>
        <w:rPr>
          <w:rFonts w:eastAsiaTheme="minorHAnsi" w:cs="Arial"/>
          <w:szCs w:val="22"/>
          <w:lang w:bidi="ar-SA"/>
        </w:rPr>
      </w:pPr>
      <w:r w:rsidRPr="000C4C17">
        <w:rPr>
          <w:rFonts w:eastAsiaTheme="minorHAnsi" w:cs="Arial"/>
          <w:szCs w:val="22"/>
          <w:lang w:bidi="ar-SA"/>
        </w:rPr>
        <w:t>Nolan LA, Nolan JM, Shofer FS, Rodway NV, Emmet EA. (2009). The relationship between birth weight, gestational age and perfluorooctanoic acid (PFOA)-contaminated public drinking water. Reprod Toxicol 27, 231 – 8.</w:t>
      </w:r>
    </w:p>
    <w:p w14:paraId="44ED275C" w14:textId="77777777" w:rsidR="00D73EB2" w:rsidRPr="000C4C17" w:rsidRDefault="00D73EB2" w:rsidP="00A111E9">
      <w:pPr>
        <w:widowControl/>
        <w:autoSpaceDE w:val="0"/>
        <w:autoSpaceDN w:val="0"/>
        <w:adjustRightInd w:val="0"/>
        <w:rPr>
          <w:rFonts w:eastAsiaTheme="minorHAnsi" w:cs="Arial"/>
          <w:szCs w:val="22"/>
          <w:lang w:bidi="ar-SA"/>
        </w:rPr>
      </w:pPr>
    </w:p>
    <w:p w14:paraId="590BC14C" w14:textId="7499C57B" w:rsidR="00D73EB2" w:rsidRPr="000C4C17" w:rsidRDefault="00D73EB2" w:rsidP="00A111E9">
      <w:pPr>
        <w:widowControl/>
        <w:autoSpaceDE w:val="0"/>
        <w:autoSpaceDN w:val="0"/>
        <w:adjustRightInd w:val="0"/>
        <w:rPr>
          <w:rFonts w:eastAsiaTheme="minorHAnsi" w:cs="Arial"/>
          <w:szCs w:val="22"/>
          <w:lang w:bidi="ar-SA"/>
        </w:rPr>
      </w:pPr>
      <w:r w:rsidRPr="000C4C17">
        <w:rPr>
          <w:rFonts w:eastAsiaTheme="minorHAnsi" w:cs="Arial"/>
          <w:szCs w:val="22"/>
          <w:lang w:bidi="ar-SA"/>
        </w:rPr>
        <w:t xml:space="preserve">Robledo CA, Yeung E, Mendola P, Sundaram R, Maisog J, Sweeney AM, </w:t>
      </w:r>
      <w:r w:rsidR="00180A32" w:rsidRPr="00180A32">
        <w:rPr>
          <w:rFonts w:eastAsiaTheme="minorHAnsi" w:cs="Arial"/>
          <w:i/>
          <w:szCs w:val="22"/>
          <w:lang w:bidi="ar-SA"/>
        </w:rPr>
        <w:t xml:space="preserve">et al. </w:t>
      </w:r>
      <w:r>
        <w:rPr>
          <w:rFonts w:eastAsiaTheme="minorHAnsi" w:cs="Arial"/>
          <w:szCs w:val="22"/>
          <w:lang w:bidi="ar-SA"/>
        </w:rPr>
        <w:t xml:space="preserve"> </w:t>
      </w:r>
      <w:r w:rsidRPr="000C4C17">
        <w:rPr>
          <w:rFonts w:eastAsiaTheme="minorHAnsi" w:cs="Arial"/>
          <w:szCs w:val="22"/>
          <w:lang w:bidi="ar-SA"/>
        </w:rPr>
        <w:t>2015. Preconception maternal and paternal exposure to persistent organic pollutants and birth size: the LIFE Study. Environ Health Perspect 123:88–94, doi:10.1289/ ehp.1308016.</w:t>
      </w:r>
    </w:p>
    <w:p w14:paraId="33036863" w14:textId="77777777" w:rsidR="00D73EB2" w:rsidRPr="000C4C17" w:rsidRDefault="00D73EB2" w:rsidP="00A111E9">
      <w:pPr>
        <w:widowControl/>
        <w:rPr>
          <w:rFonts w:eastAsiaTheme="minorHAnsi" w:cs="Arial"/>
          <w:szCs w:val="22"/>
          <w:lang w:bidi="ar-SA"/>
        </w:rPr>
      </w:pPr>
    </w:p>
    <w:p w14:paraId="24C86766" w14:textId="77777777" w:rsidR="00D73EB2" w:rsidRPr="000C4C17" w:rsidRDefault="00D73EB2" w:rsidP="00A111E9">
      <w:pPr>
        <w:widowControl/>
        <w:autoSpaceDE w:val="0"/>
        <w:autoSpaceDN w:val="0"/>
        <w:adjustRightInd w:val="0"/>
        <w:rPr>
          <w:rFonts w:eastAsiaTheme="minorHAnsi" w:cs="Arial"/>
          <w:szCs w:val="22"/>
          <w:lang w:bidi="ar-SA"/>
        </w:rPr>
      </w:pPr>
      <w:r w:rsidRPr="000C4C17">
        <w:rPr>
          <w:rFonts w:eastAsiaTheme="minorHAnsi" w:cs="Arial"/>
          <w:szCs w:val="22"/>
          <w:lang w:bidi="ar-SA"/>
        </w:rPr>
        <w:t>Savitz DA. (2007). Biomarkers of perfluorinated chemicals and birth weight (editorial). Environ Health Perspect 115, 528 – 9.</w:t>
      </w:r>
    </w:p>
    <w:p w14:paraId="373367D5" w14:textId="77777777" w:rsidR="00D73EB2" w:rsidRPr="000C4C17" w:rsidRDefault="00D73EB2" w:rsidP="00A111E9">
      <w:pPr>
        <w:widowControl/>
        <w:autoSpaceDE w:val="0"/>
        <w:autoSpaceDN w:val="0"/>
        <w:adjustRightInd w:val="0"/>
        <w:rPr>
          <w:rFonts w:eastAsiaTheme="minorHAnsi" w:cs="Arial"/>
          <w:szCs w:val="22"/>
          <w:lang w:bidi="ar-SA"/>
        </w:rPr>
      </w:pPr>
    </w:p>
    <w:p w14:paraId="4A231D8F" w14:textId="77777777" w:rsidR="00D73EB2" w:rsidRPr="000C4C17" w:rsidRDefault="00D73EB2" w:rsidP="00A111E9">
      <w:pPr>
        <w:widowControl/>
        <w:autoSpaceDE w:val="0"/>
        <w:autoSpaceDN w:val="0"/>
        <w:adjustRightInd w:val="0"/>
        <w:rPr>
          <w:rFonts w:eastAsiaTheme="minorHAnsi" w:cs="Arial"/>
          <w:szCs w:val="22"/>
          <w:lang w:bidi="ar-SA"/>
        </w:rPr>
      </w:pPr>
      <w:r w:rsidRPr="000C4C17">
        <w:rPr>
          <w:rFonts w:eastAsiaTheme="minorHAnsi" w:cs="Arial"/>
          <w:szCs w:val="22"/>
          <w:lang w:bidi="ar-SA"/>
        </w:rPr>
        <w:t>Savitz DA, Stein CR, Bartell SM, Elston B, Gong J, Shin HM, Wellenius GA. (2012a) Perfluorooctanoic acid exposure and pregnancy outcome in a highly exposed community. Epidemiology 23, 386 – 92.</w:t>
      </w:r>
    </w:p>
    <w:p w14:paraId="4031E638" w14:textId="77777777" w:rsidR="00D73EB2" w:rsidRPr="000C4C17" w:rsidRDefault="00D73EB2" w:rsidP="00A111E9">
      <w:pPr>
        <w:widowControl/>
        <w:autoSpaceDE w:val="0"/>
        <w:autoSpaceDN w:val="0"/>
        <w:adjustRightInd w:val="0"/>
        <w:rPr>
          <w:rFonts w:eastAsiaTheme="minorHAnsi" w:cs="Arial"/>
          <w:szCs w:val="22"/>
          <w:lang w:bidi="ar-SA"/>
        </w:rPr>
      </w:pPr>
    </w:p>
    <w:p w14:paraId="5559C211" w14:textId="2E3CF7A9" w:rsidR="00D73EB2" w:rsidRPr="000C4C17" w:rsidRDefault="00D73EB2" w:rsidP="00A111E9">
      <w:pPr>
        <w:widowControl/>
        <w:tabs>
          <w:tab w:val="left" w:pos="6020"/>
        </w:tabs>
        <w:autoSpaceDE w:val="0"/>
        <w:autoSpaceDN w:val="0"/>
        <w:adjustRightInd w:val="0"/>
        <w:rPr>
          <w:rFonts w:eastAsiaTheme="minorHAnsi" w:cs="Arial"/>
          <w:szCs w:val="22"/>
          <w:lang w:bidi="ar-SA"/>
        </w:rPr>
      </w:pPr>
      <w:r w:rsidRPr="000C4C17">
        <w:rPr>
          <w:rFonts w:eastAsiaTheme="minorHAnsi" w:cs="Arial"/>
          <w:szCs w:val="22"/>
          <w:lang w:bidi="ar-SA"/>
        </w:rPr>
        <w:t xml:space="preserve">Savitz DA, Stein CR, Elston B, Wellenius GA, Bartell SM, Shin HM, </w:t>
      </w:r>
      <w:r w:rsidR="00180A32" w:rsidRPr="00180A32">
        <w:rPr>
          <w:rFonts w:eastAsiaTheme="minorHAnsi" w:cs="Arial"/>
          <w:i/>
          <w:szCs w:val="22"/>
          <w:lang w:bidi="ar-SA"/>
        </w:rPr>
        <w:t xml:space="preserve">et al. </w:t>
      </w:r>
      <w:r>
        <w:rPr>
          <w:rFonts w:eastAsiaTheme="minorHAnsi" w:cs="Arial"/>
          <w:szCs w:val="22"/>
          <w:lang w:bidi="ar-SA"/>
        </w:rPr>
        <w:t xml:space="preserve"> </w:t>
      </w:r>
      <w:r w:rsidRPr="000C4C17">
        <w:rPr>
          <w:rFonts w:eastAsiaTheme="minorHAnsi" w:cs="Arial"/>
          <w:szCs w:val="22"/>
          <w:lang w:bidi="ar-SA"/>
        </w:rPr>
        <w:t>(2012b) Relationship of perfluorooctanoic acid exposure to pregnancy outcome based on birth records in the mid-Ohio Valley. Environ Health Perspect 120,1201 – 7.</w:t>
      </w:r>
    </w:p>
    <w:p w14:paraId="6F76EA34" w14:textId="77777777" w:rsidR="00D73EB2" w:rsidRPr="000C4C17" w:rsidRDefault="00D73EB2" w:rsidP="00A111E9">
      <w:pPr>
        <w:widowControl/>
        <w:autoSpaceDE w:val="0"/>
        <w:autoSpaceDN w:val="0"/>
        <w:adjustRightInd w:val="0"/>
        <w:rPr>
          <w:rFonts w:eastAsiaTheme="minorHAnsi" w:cs="Arial"/>
          <w:szCs w:val="22"/>
          <w:lang w:bidi="ar-SA"/>
        </w:rPr>
      </w:pPr>
    </w:p>
    <w:p w14:paraId="4003B989" w14:textId="77777777" w:rsidR="00D73EB2" w:rsidRDefault="00D73EB2" w:rsidP="00A111E9">
      <w:pPr>
        <w:rPr>
          <w:rFonts w:cs="Arial"/>
          <w:szCs w:val="22"/>
        </w:rPr>
      </w:pPr>
      <w:r w:rsidRPr="000C4C17">
        <w:rPr>
          <w:rFonts w:cs="Arial"/>
          <w:szCs w:val="22"/>
          <w:lang w:eastAsia="en-GB"/>
        </w:rPr>
        <w:t xml:space="preserve">Shi Y, Yang L, Li J, Lai J, Wang Y, Zhao Y, Wu Y (2016). Occurrence of perfluoroalkyl substances in cord serum and association with growth indicators in newborns from Beijing. </w:t>
      </w:r>
      <w:hyperlink r:id="rId63" w:tooltip="Chemosphere." w:history="1">
        <w:r w:rsidRPr="000C4C17">
          <w:rPr>
            <w:rFonts w:cs="Arial"/>
            <w:szCs w:val="22"/>
          </w:rPr>
          <w:t>Chemosphere.</w:t>
        </w:r>
      </w:hyperlink>
      <w:r w:rsidRPr="000C4C17">
        <w:rPr>
          <w:rFonts w:cs="Arial"/>
          <w:szCs w:val="22"/>
        </w:rPr>
        <w:t xml:space="preserve"> Nov 22;169:396-402. doi: 10.1016/j.chemosphere.2016.11.050. [Epub ahead of print]</w:t>
      </w:r>
    </w:p>
    <w:p w14:paraId="6E7315A7" w14:textId="16B3CBAB" w:rsidR="00F324D3" w:rsidRDefault="00F324D3" w:rsidP="00A111E9">
      <w:pPr>
        <w:rPr>
          <w:rFonts w:cs="Arial"/>
          <w:szCs w:val="22"/>
          <w:lang w:eastAsia="en-GB"/>
        </w:rPr>
      </w:pPr>
    </w:p>
    <w:p w14:paraId="1B3D38AB" w14:textId="768DFCFF" w:rsidR="00F324D3" w:rsidRPr="000C4C17" w:rsidRDefault="00F324D3" w:rsidP="00A111E9">
      <w:pPr>
        <w:rPr>
          <w:rFonts w:cs="Arial"/>
          <w:szCs w:val="22"/>
          <w:lang w:eastAsia="en-GB"/>
        </w:rPr>
      </w:pPr>
      <w:r w:rsidRPr="00F324D3">
        <w:rPr>
          <w:rFonts w:cs="Arial"/>
          <w:szCs w:val="22"/>
          <w:lang w:eastAsia="en-GB"/>
        </w:rPr>
        <w:t>So MK, Yamashita N, Taniyasu S, Ji</w:t>
      </w:r>
      <w:r>
        <w:rPr>
          <w:rFonts w:cs="Arial"/>
          <w:szCs w:val="22"/>
          <w:lang w:eastAsia="en-GB"/>
        </w:rPr>
        <w:t xml:space="preserve">ang Q, Giesy JP, Chen K, Lam PK (2006) </w:t>
      </w:r>
      <w:r w:rsidRPr="00F324D3">
        <w:rPr>
          <w:rFonts w:cs="Arial"/>
          <w:szCs w:val="22"/>
          <w:lang w:eastAsia="en-GB"/>
        </w:rPr>
        <w:t>Health risks in infants associated with exposure to perfluorinated compounds in human breast milk from Zhoushan, China.</w:t>
      </w:r>
      <w:r>
        <w:rPr>
          <w:rFonts w:cs="Arial"/>
          <w:szCs w:val="22"/>
          <w:lang w:eastAsia="en-GB"/>
        </w:rPr>
        <w:t xml:space="preserve"> Environ Sci Technol 40: 2924-9.</w:t>
      </w:r>
    </w:p>
    <w:p w14:paraId="69F1A524" w14:textId="77777777" w:rsidR="00D73EB2" w:rsidRPr="000C4C17" w:rsidRDefault="00D73EB2" w:rsidP="00A111E9">
      <w:pPr>
        <w:rPr>
          <w:rFonts w:eastAsiaTheme="minorHAnsi"/>
          <w:lang w:eastAsia="en-GB"/>
        </w:rPr>
      </w:pPr>
    </w:p>
    <w:p w14:paraId="76595740" w14:textId="77777777" w:rsidR="00D73EB2" w:rsidRPr="000C4C17" w:rsidRDefault="00D73EB2" w:rsidP="00A111E9">
      <w:pPr>
        <w:rPr>
          <w:rFonts w:eastAsiaTheme="minorHAnsi" w:cs="Arial"/>
          <w:szCs w:val="22"/>
          <w:lang w:bidi="ar-SA"/>
        </w:rPr>
      </w:pPr>
      <w:r w:rsidRPr="000C4C17">
        <w:rPr>
          <w:rFonts w:eastAsiaTheme="minorHAnsi" w:cs="Arial"/>
          <w:szCs w:val="22"/>
          <w:lang w:bidi="ar-SA"/>
        </w:rPr>
        <w:t>Stein CR, Savitz DA, Dougan M. 2009. Serum levels of perfluorooctanoic acid and</w:t>
      </w:r>
    </w:p>
    <w:p w14:paraId="285C69D5" w14:textId="67F60AA4" w:rsidR="00E1352F" w:rsidRDefault="00D73EB2" w:rsidP="00A111E9">
      <w:pPr>
        <w:widowControl/>
        <w:tabs>
          <w:tab w:val="left" w:pos="6020"/>
        </w:tabs>
        <w:autoSpaceDE w:val="0"/>
        <w:autoSpaceDN w:val="0"/>
        <w:adjustRightInd w:val="0"/>
        <w:rPr>
          <w:rFonts w:eastAsiaTheme="minorHAnsi" w:cs="Arial"/>
          <w:szCs w:val="22"/>
          <w:lang w:bidi="ar-SA"/>
        </w:rPr>
      </w:pPr>
      <w:r w:rsidRPr="000C4C17">
        <w:rPr>
          <w:rFonts w:eastAsiaTheme="minorHAnsi" w:cs="Arial"/>
          <w:szCs w:val="22"/>
          <w:lang w:bidi="ar-SA"/>
        </w:rPr>
        <w:t>perfluorooctane sulfonate and pregnancy outcome. Am J Epidemiol 170: 837-846.</w:t>
      </w:r>
    </w:p>
    <w:p w14:paraId="1AFC9BE9" w14:textId="77777777" w:rsidR="00F324D3" w:rsidRDefault="00F324D3" w:rsidP="00A111E9">
      <w:pPr>
        <w:widowControl/>
        <w:tabs>
          <w:tab w:val="left" w:pos="6020"/>
        </w:tabs>
        <w:autoSpaceDE w:val="0"/>
        <w:autoSpaceDN w:val="0"/>
        <w:adjustRightInd w:val="0"/>
        <w:rPr>
          <w:rFonts w:eastAsiaTheme="minorHAnsi" w:cs="Arial"/>
          <w:szCs w:val="22"/>
          <w:lang w:bidi="ar-SA"/>
        </w:rPr>
      </w:pPr>
    </w:p>
    <w:p w14:paraId="3FA96822" w14:textId="5215A3B8" w:rsidR="00E1352F" w:rsidRPr="000C4C17" w:rsidRDefault="00E1352F" w:rsidP="00A111E9">
      <w:pPr>
        <w:widowControl/>
        <w:rPr>
          <w:lang w:bidi="ar-SA"/>
        </w:rPr>
      </w:pPr>
      <w:r>
        <w:rPr>
          <w:lang w:bidi="ar-SA"/>
        </w:rPr>
        <w:t>US EPA (2014a) Health effects document for p</w:t>
      </w:r>
      <w:r w:rsidRPr="000C4C17">
        <w:rPr>
          <w:lang w:bidi="ar-SA"/>
        </w:rPr>
        <w:t xml:space="preserve">erfluorooctane </w:t>
      </w:r>
      <w:r>
        <w:rPr>
          <w:lang w:bidi="ar-SA"/>
        </w:rPr>
        <w:t>s</w:t>
      </w:r>
      <w:r w:rsidRPr="000C4C17">
        <w:rPr>
          <w:lang w:bidi="ar-SA"/>
        </w:rPr>
        <w:t>ulfonate (PFOS)</w:t>
      </w:r>
      <w:r>
        <w:rPr>
          <w:lang w:bidi="ar-SA"/>
        </w:rPr>
        <w:t xml:space="preserve">. EPA 822-R-14-002. </w:t>
      </w:r>
    </w:p>
    <w:p w14:paraId="610CAA74" w14:textId="77777777" w:rsidR="00E1352F" w:rsidRPr="000C4C17" w:rsidRDefault="00E1352F" w:rsidP="00A111E9">
      <w:pPr>
        <w:widowControl/>
        <w:rPr>
          <w:lang w:bidi="ar-SA"/>
        </w:rPr>
      </w:pPr>
    </w:p>
    <w:p w14:paraId="17F7D410" w14:textId="5F20E736" w:rsidR="00D73EB2" w:rsidRDefault="00E1352F" w:rsidP="00A111E9">
      <w:pPr>
        <w:widowControl/>
        <w:rPr>
          <w:rFonts w:eastAsiaTheme="minorHAnsi" w:cs="Arial"/>
          <w:bCs/>
          <w:szCs w:val="22"/>
          <w:lang w:bidi="ar-SA"/>
        </w:rPr>
      </w:pPr>
      <w:r>
        <w:rPr>
          <w:rFonts w:eastAsiaTheme="minorHAnsi" w:cs="Arial"/>
          <w:bCs/>
          <w:szCs w:val="22"/>
          <w:lang w:bidi="ar-SA"/>
        </w:rPr>
        <w:t>US EPA (2014b) Health effects document for p</w:t>
      </w:r>
      <w:r w:rsidR="00816F8A">
        <w:rPr>
          <w:rFonts w:eastAsiaTheme="minorHAnsi" w:cs="Arial"/>
          <w:bCs/>
          <w:szCs w:val="22"/>
          <w:lang w:bidi="ar-SA"/>
        </w:rPr>
        <w:t xml:space="preserve">erfluorooctanoic acid (PFOA). EPA 822-R-14-001. </w:t>
      </w:r>
    </w:p>
    <w:p w14:paraId="4352EB7D" w14:textId="77777777" w:rsidR="00816F8A" w:rsidRPr="000C4C17" w:rsidRDefault="00816F8A" w:rsidP="00A111E9">
      <w:pPr>
        <w:widowControl/>
        <w:rPr>
          <w:rFonts w:eastAsiaTheme="minorHAnsi" w:cs="Arial"/>
          <w:bCs/>
          <w:szCs w:val="22"/>
          <w:lang w:bidi="ar-SA"/>
        </w:rPr>
      </w:pPr>
    </w:p>
    <w:p w14:paraId="198F1D84" w14:textId="3B2BBF5C" w:rsidR="00D73EB2" w:rsidRPr="000C4C17" w:rsidRDefault="00D73EB2" w:rsidP="00A111E9">
      <w:pPr>
        <w:widowControl/>
        <w:rPr>
          <w:rFonts w:eastAsiaTheme="minorHAnsi" w:cs="Arial"/>
          <w:szCs w:val="22"/>
          <w:lang w:bidi="ar-SA"/>
        </w:rPr>
      </w:pPr>
      <w:r w:rsidRPr="000C4C17">
        <w:rPr>
          <w:rFonts w:eastAsiaTheme="minorHAnsi" w:cs="Arial"/>
          <w:bCs/>
          <w:szCs w:val="22"/>
          <w:lang w:bidi="ar-SA"/>
        </w:rPr>
        <w:t xml:space="preserve">Verner MA, Loccisano AE, Morken NH, Yoon M, Wu H, McDougall R </w:t>
      </w:r>
      <w:r w:rsidR="00180A32" w:rsidRPr="00180A32">
        <w:rPr>
          <w:rFonts w:eastAsiaTheme="minorHAnsi" w:cs="Arial"/>
          <w:bCs/>
          <w:i/>
          <w:szCs w:val="22"/>
          <w:lang w:bidi="ar-SA"/>
        </w:rPr>
        <w:t xml:space="preserve">et al. </w:t>
      </w:r>
      <w:r w:rsidRPr="000C4C17">
        <w:rPr>
          <w:rFonts w:eastAsiaTheme="minorHAnsi" w:cs="Arial"/>
          <w:bCs/>
          <w:szCs w:val="22"/>
          <w:lang w:bidi="ar-SA"/>
        </w:rPr>
        <w:t xml:space="preserve"> (2015) Associations of perfluoroalkyl substances (PFAS) with lower birth weight: an evaluation of potential confounding by glomerular filtration rate using a physiologically based pharmacokinetic model (PBPK). Environ Health Perspect 123:1317–1324.</w:t>
      </w:r>
    </w:p>
    <w:p w14:paraId="226C112B" w14:textId="77777777" w:rsidR="00D73EB2" w:rsidRPr="000C4C17" w:rsidRDefault="00D73EB2" w:rsidP="00A111E9">
      <w:pPr>
        <w:widowControl/>
        <w:rPr>
          <w:rFonts w:eastAsiaTheme="minorHAnsi" w:cs="Arial"/>
          <w:bCs/>
          <w:szCs w:val="22"/>
          <w:lang w:bidi="ar-SA"/>
        </w:rPr>
      </w:pPr>
    </w:p>
    <w:p w14:paraId="26DB6BA6" w14:textId="77777777" w:rsidR="00D73EB2" w:rsidRPr="000C4C17" w:rsidRDefault="00D73EB2" w:rsidP="00A111E9">
      <w:pPr>
        <w:widowControl/>
        <w:rPr>
          <w:rFonts w:eastAsiaTheme="minorHAnsi" w:cs="Arial"/>
          <w:szCs w:val="22"/>
          <w:lang w:bidi="ar-SA"/>
        </w:rPr>
      </w:pPr>
      <w:r w:rsidRPr="000C4C17">
        <w:rPr>
          <w:rFonts w:cs="Arial"/>
          <w:szCs w:val="22"/>
        </w:rPr>
        <w:t xml:space="preserve">Wang Y, Adgent M, Su PH, Chen HY, Chen PC, Hsiung CA, Wang SL. (2016) </w:t>
      </w:r>
      <w:r w:rsidRPr="000C4C17">
        <w:rPr>
          <w:rFonts w:cs="Arial"/>
          <w:color w:val="000000"/>
          <w:szCs w:val="22"/>
          <w:lang w:eastAsia="en-GB"/>
        </w:rPr>
        <w:t xml:space="preserve">Prenatal Exposure to Perfluorocarboxylic </w:t>
      </w:r>
      <w:r w:rsidRPr="000C4C17">
        <w:rPr>
          <w:rFonts w:cs="Arial"/>
          <w:szCs w:val="22"/>
          <w:lang w:eastAsia="en-GB"/>
        </w:rPr>
        <w:t xml:space="preserve">Acids (PFCAs) and Fetal and Postnatal Growth in the Taiwan Maternal and Infant Cohort Study. </w:t>
      </w:r>
      <w:hyperlink r:id="rId64" w:tooltip="Environmental health perspectives." w:history="1">
        <w:r w:rsidRPr="000C4C17">
          <w:rPr>
            <w:rFonts w:cs="Arial"/>
            <w:szCs w:val="22"/>
          </w:rPr>
          <w:t>Environ Health Perspect.</w:t>
        </w:r>
      </w:hyperlink>
      <w:r w:rsidRPr="000C4C17">
        <w:rPr>
          <w:rFonts w:cs="Arial"/>
          <w:szCs w:val="22"/>
        </w:rPr>
        <w:t>124(11):1794-1800.</w:t>
      </w:r>
    </w:p>
    <w:p w14:paraId="4ABD8EA7" w14:textId="77777777" w:rsidR="00D73EB2" w:rsidRPr="000C4C17" w:rsidRDefault="00D73EB2" w:rsidP="00A111E9">
      <w:pPr>
        <w:widowControl/>
        <w:autoSpaceDE w:val="0"/>
        <w:autoSpaceDN w:val="0"/>
        <w:adjustRightInd w:val="0"/>
        <w:rPr>
          <w:rFonts w:eastAsiaTheme="minorHAnsi" w:cs="Arial"/>
          <w:szCs w:val="22"/>
          <w:lang w:bidi="ar-SA"/>
        </w:rPr>
      </w:pPr>
    </w:p>
    <w:p w14:paraId="65168438" w14:textId="27B16847" w:rsidR="00D73EB2" w:rsidRPr="000C4C17" w:rsidRDefault="00D73EB2" w:rsidP="00A111E9">
      <w:pPr>
        <w:widowControl/>
        <w:autoSpaceDE w:val="0"/>
        <w:autoSpaceDN w:val="0"/>
        <w:adjustRightInd w:val="0"/>
        <w:rPr>
          <w:rFonts w:eastAsiaTheme="minorHAnsi" w:cs="Arial"/>
          <w:szCs w:val="22"/>
          <w:lang w:bidi="ar-SA"/>
        </w:rPr>
      </w:pPr>
      <w:r w:rsidRPr="000C4C17">
        <w:rPr>
          <w:rFonts w:eastAsiaTheme="minorHAnsi" w:cs="Arial"/>
          <w:szCs w:val="22"/>
          <w:lang w:bidi="ar-SA"/>
        </w:rPr>
        <w:t xml:space="preserve">Washino N, Saijo Y, Sasaki S, Kato S, Ban S, Konishi K, </w:t>
      </w:r>
      <w:r w:rsidR="00180A32" w:rsidRPr="00180A32">
        <w:rPr>
          <w:rFonts w:eastAsiaTheme="minorHAnsi" w:cs="Arial"/>
          <w:i/>
          <w:szCs w:val="22"/>
          <w:lang w:bidi="ar-SA"/>
        </w:rPr>
        <w:t xml:space="preserve">et al. </w:t>
      </w:r>
      <w:r>
        <w:rPr>
          <w:rFonts w:eastAsiaTheme="minorHAnsi" w:cs="Arial"/>
          <w:szCs w:val="22"/>
          <w:lang w:bidi="ar-SA"/>
        </w:rPr>
        <w:t xml:space="preserve"> </w:t>
      </w:r>
      <w:r w:rsidRPr="000C4C17">
        <w:rPr>
          <w:rFonts w:eastAsiaTheme="minorHAnsi" w:cs="Arial"/>
          <w:szCs w:val="22"/>
          <w:lang w:bidi="ar-SA"/>
        </w:rPr>
        <w:t>(2009) Correlations between prenatal exposure to perfluorinated chemicals and reduced fetal growth. Environ Health Perspect 117, 660 – 7.</w:t>
      </w:r>
    </w:p>
    <w:p w14:paraId="2BDB333C" w14:textId="77777777" w:rsidR="00D73EB2" w:rsidRPr="000C4C17" w:rsidRDefault="00D73EB2" w:rsidP="00A111E9">
      <w:pPr>
        <w:widowControl/>
        <w:autoSpaceDE w:val="0"/>
        <w:autoSpaceDN w:val="0"/>
        <w:adjustRightInd w:val="0"/>
        <w:rPr>
          <w:rFonts w:eastAsiaTheme="minorHAnsi" w:cs="Arial"/>
          <w:szCs w:val="22"/>
          <w:lang w:bidi="ar-SA"/>
        </w:rPr>
      </w:pPr>
    </w:p>
    <w:p w14:paraId="134944F0" w14:textId="26466377" w:rsidR="00D73EB2" w:rsidRPr="000C4C17" w:rsidRDefault="00D73EB2" w:rsidP="00A111E9">
      <w:pPr>
        <w:widowControl/>
        <w:autoSpaceDE w:val="0"/>
        <w:autoSpaceDN w:val="0"/>
        <w:adjustRightInd w:val="0"/>
        <w:rPr>
          <w:rFonts w:eastAsiaTheme="minorHAnsi" w:cs="Arial"/>
          <w:szCs w:val="22"/>
          <w:lang w:bidi="ar-SA"/>
        </w:rPr>
      </w:pPr>
      <w:r w:rsidRPr="000C4C17">
        <w:rPr>
          <w:rFonts w:eastAsiaTheme="minorHAnsi" w:cs="Arial"/>
          <w:szCs w:val="22"/>
          <w:lang w:bidi="ar-SA"/>
        </w:rPr>
        <w:t xml:space="preserve">Whitworth KW, Haug LS, Baird DD, Becher G, Hoppin JA, Skjaerven R, </w:t>
      </w:r>
      <w:r w:rsidR="00180A32" w:rsidRPr="00180A32">
        <w:rPr>
          <w:rFonts w:eastAsiaTheme="minorHAnsi" w:cs="Arial"/>
          <w:i/>
          <w:szCs w:val="22"/>
          <w:lang w:bidi="ar-SA"/>
        </w:rPr>
        <w:t xml:space="preserve">et al. </w:t>
      </w:r>
      <w:r>
        <w:rPr>
          <w:rFonts w:eastAsiaTheme="minorHAnsi" w:cs="Arial"/>
          <w:szCs w:val="22"/>
          <w:lang w:bidi="ar-SA"/>
        </w:rPr>
        <w:t xml:space="preserve"> </w:t>
      </w:r>
      <w:r w:rsidRPr="000C4C17">
        <w:rPr>
          <w:rFonts w:eastAsiaTheme="minorHAnsi" w:cs="Arial"/>
          <w:szCs w:val="22"/>
          <w:lang w:bidi="ar-SA"/>
        </w:rPr>
        <w:t>(2012) Perfluorinated compounds in relation to birth weight in the Norwegian Mother and Child Cohort Study. Am J Epidemiol 175, 1209 – 16.</w:t>
      </w:r>
    </w:p>
    <w:p w14:paraId="7CE6713E" w14:textId="77777777" w:rsidR="00D73EB2" w:rsidRPr="000C4C17" w:rsidRDefault="00D73EB2" w:rsidP="00A111E9">
      <w:pPr>
        <w:widowControl/>
        <w:autoSpaceDE w:val="0"/>
        <w:autoSpaceDN w:val="0"/>
        <w:adjustRightInd w:val="0"/>
        <w:rPr>
          <w:rFonts w:eastAsiaTheme="minorHAnsi" w:cs="Arial"/>
          <w:szCs w:val="22"/>
          <w:lang w:bidi="ar-SA"/>
        </w:rPr>
      </w:pPr>
    </w:p>
    <w:p w14:paraId="2F93515C" w14:textId="77777777" w:rsidR="00D73EB2" w:rsidRPr="000C4C17" w:rsidRDefault="00D73EB2" w:rsidP="00A111E9">
      <w:pPr>
        <w:widowControl/>
        <w:autoSpaceDE w:val="0"/>
        <w:autoSpaceDN w:val="0"/>
        <w:adjustRightInd w:val="0"/>
        <w:rPr>
          <w:rFonts w:eastAsiaTheme="minorHAnsi" w:cs="Arial"/>
          <w:szCs w:val="22"/>
          <w:lang w:bidi="ar-SA"/>
        </w:rPr>
      </w:pPr>
      <w:r w:rsidRPr="000C4C17">
        <w:rPr>
          <w:rFonts w:eastAsiaTheme="minorHAnsi" w:cs="Arial"/>
          <w:szCs w:val="22"/>
          <w:lang w:bidi="ar-SA"/>
        </w:rPr>
        <w:t>Wu K, Xu X, Peng L, Liu J, Guo Y, Huo X. (2012) Association between maternal exposure to perfluorooctanoic acid (PFOA) from electronic waste recycling and neonatal health outcomes. Environ Int 48:1 – 8.</w:t>
      </w:r>
    </w:p>
    <w:p w14:paraId="14DD98F2" w14:textId="66441A86" w:rsidR="00D73EB2" w:rsidRDefault="00D73EB2" w:rsidP="00A111E9">
      <w:pPr>
        <w:widowControl/>
        <w:rPr>
          <w:rFonts w:eastAsiaTheme="minorHAnsi" w:cs="Arial"/>
          <w:b/>
          <w:bCs/>
          <w:sz w:val="28"/>
          <w:szCs w:val="22"/>
          <w:lang w:bidi="ar-SA"/>
        </w:rPr>
      </w:pPr>
      <w:r>
        <w:br w:type="page"/>
      </w:r>
    </w:p>
    <w:p w14:paraId="5B5E7782" w14:textId="13DBBCF4" w:rsidR="00F8101A" w:rsidRPr="00D01373" w:rsidRDefault="00597B10" w:rsidP="004264B6">
      <w:pPr>
        <w:pStyle w:val="Heading3"/>
        <w:rPr>
          <w:rFonts w:cstheme="minorBidi"/>
          <w:szCs w:val="36"/>
        </w:rPr>
      </w:pPr>
      <w:bookmarkStart w:id="561" w:name="_Toc482805115"/>
      <w:r w:rsidRPr="00D01373">
        <w:lastRenderedPageBreak/>
        <w:t xml:space="preserve">Appendix 2: </w:t>
      </w:r>
      <w:r w:rsidR="00F8101A" w:rsidRPr="00D01373">
        <w:t>Observational studies of PFAS and cholesterol concentrations</w:t>
      </w:r>
      <w:bookmarkEnd w:id="557"/>
      <w:bookmarkEnd w:id="558"/>
      <w:bookmarkEnd w:id="559"/>
      <w:bookmarkEnd w:id="560"/>
      <w:bookmarkEnd w:id="561"/>
    </w:p>
    <w:p w14:paraId="08D6F24E" w14:textId="77777777" w:rsidR="00F8101A" w:rsidRPr="00D01373" w:rsidRDefault="00F8101A" w:rsidP="004264B6">
      <w:pPr>
        <w:pStyle w:val="Heading4"/>
      </w:pPr>
      <w:bookmarkStart w:id="562" w:name="_Toc468693984"/>
      <w:bookmarkStart w:id="563" w:name="_Toc468712800"/>
      <w:bookmarkStart w:id="564" w:name="_Toc468716492"/>
      <w:bookmarkStart w:id="565" w:name="_Toc468709479"/>
      <w:bookmarkStart w:id="566" w:name="_Toc468717779"/>
      <w:bookmarkStart w:id="567" w:name="_Toc468718423"/>
      <w:bookmarkStart w:id="568" w:name="_Toc468719403"/>
      <w:r w:rsidRPr="00D01373">
        <w:t>Executive Summary</w:t>
      </w:r>
      <w:bookmarkEnd w:id="562"/>
      <w:bookmarkEnd w:id="563"/>
      <w:bookmarkEnd w:id="564"/>
      <w:bookmarkEnd w:id="565"/>
      <w:bookmarkEnd w:id="566"/>
      <w:bookmarkEnd w:id="567"/>
      <w:bookmarkEnd w:id="568"/>
    </w:p>
    <w:p w14:paraId="391A51EF" w14:textId="76D6C858"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t xml:space="preserve">In summary, the cross-sectional studies overall present a fairly consistent picture. Studies in both adults and children suggest a positive association between </w:t>
      </w:r>
      <w:r w:rsidR="00732F0F">
        <w:rPr>
          <w:rFonts w:eastAsiaTheme="minorHAnsi" w:cstheme="minorBidi"/>
          <w:szCs w:val="22"/>
          <w:lang w:bidi="ar-SA"/>
        </w:rPr>
        <w:t>total cholesterol (</w:t>
      </w:r>
      <w:r w:rsidRPr="00D01373">
        <w:rPr>
          <w:rFonts w:eastAsiaTheme="minorHAnsi" w:cstheme="minorBidi"/>
          <w:szCs w:val="22"/>
          <w:lang w:bidi="ar-SA"/>
        </w:rPr>
        <w:t>total-C</w:t>
      </w:r>
      <w:r w:rsidR="00732F0F">
        <w:rPr>
          <w:rFonts w:eastAsiaTheme="minorHAnsi" w:cstheme="minorBidi"/>
          <w:szCs w:val="22"/>
          <w:lang w:bidi="ar-SA"/>
        </w:rPr>
        <w:t>)</w:t>
      </w:r>
      <w:r w:rsidRPr="00D01373">
        <w:rPr>
          <w:rFonts w:eastAsiaTheme="minorHAnsi" w:cstheme="minorBidi"/>
          <w:szCs w:val="22"/>
          <w:lang w:bidi="ar-SA"/>
        </w:rPr>
        <w:t xml:space="preserve"> and </w:t>
      </w:r>
      <w:r w:rsidR="00732F0F">
        <w:rPr>
          <w:rFonts w:eastAsiaTheme="minorHAnsi" w:cstheme="minorBidi"/>
          <w:szCs w:val="22"/>
          <w:lang w:bidi="ar-SA"/>
        </w:rPr>
        <w:t>low density lipoprotein cholesterol (</w:t>
      </w:r>
      <w:r w:rsidRPr="00D01373">
        <w:rPr>
          <w:rFonts w:eastAsiaTheme="minorHAnsi" w:cstheme="minorBidi"/>
          <w:szCs w:val="22"/>
          <w:lang w:bidi="ar-SA"/>
        </w:rPr>
        <w:t>LDL-C</w:t>
      </w:r>
      <w:r w:rsidR="00732F0F">
        <w:rPr>
          <w:rFonts w:eastAsiaTheme="minorHAnsi" w:cstheme="minorBidi"/>
          <w:szCs w:val="22"/>
          <w:lang w:bidi="ar-SA"/>
        </w:rPr>
        <w:t>)</w:t>
      </w:r>
      <w:r w:rsidRPr="00D01373">
        <w:rPr>
          <w:rFonts w:eastAsiaTheme="minorHAnsi" w:cstheme="minorBidi"/>
          <w:szCs w:val="22"/>
          <w:lang w:bidi="ar-SA"/>
        </w:rPr>
        <w:t xml:space="preserve"> and PFOA concentration at very low concentrations of PFOA but not at higher concentrations. At around 25 ng/mL</w:t>
      </w:r>
      <w:r w:rsidR="00C10D07">
        <w:rPr>
          <w:rFonts w:eastAsiaTheme="minorHAnsi" w:cstheme="minorBidi"/>
          <w:szCs w:val="22"/>
          <w:lang w:bidi="ar-SA"/>
        </w:rPr>
        <w:t xml:space="preserve"> blood concentration</w:t>
      </w:r>
      <w:r w:rsidRPr="00D01373">
        <w:rPr>
          <w:rFonts w:eastAsiaTheme="minorHAnsi" w:cstheme="minorBidi"/>
          <w:szCs w:val="22"/>
          <w:lang w:bidi="ar-SA"/>
        </w:rPr>
        <w:t>, total</w:t>
      </w:r>
      <w:r w:rsidR="00537AC4">
        <w:rPr>
          <w:rFonts w:eastAsiaTheme="minorHAnsi" w:cstheme="minorBidi"/>
          <w:szCs w:val="22"/>
          <w:lang w:bidi="ar-SA"/>
        </w:rPr>
        <w:t>-</w:t>
      </w:r>
      <w:r w:rsidR="00732F0F">
        <w:rPr>
          <w:rFonts w:eastAsiaTheme="minorHAnsi" w:cstheme="minorBidi"/>
          <w:szCs w:val="22"/>
          <w:lang w:bidi="ar-SA"/>
        </w:rPr>
        <w:t>C</w:t>
      </w:r>
      <w:r w:rsidRPr="00D01373">
        <w:rPr>
          <w:rFonts w:eastAsiaTheme="minorHAnsi" w:cstheme="minorBidi"/>
          <w:szCs w:val="22"/>
          <w:lang w:bidi="ar-SA"/>
        </w:rPr>
        <w:t xml:space="preserve"> is about 0.2</w:t>
      </w:r>
      <w:r w:rsidR="00C10D07">
        <w:rPr>
          <w:rFonts w:eastAsiaTheme="minorHAnsi" w:cstheme="minorBidi"/>
          <w:szCs w:val="22"/>
          <w:lang w:bidi="ar-SA"/>
        </w:rPr>
        <w:t xml:space="preserve"> </w:t>
      </w:r>
      <w:r w:rsidRPr="00D01373">
        <w:rPr>
          <w:rFonts w:eastAsiaTheme="minorHAnsi" w:cstheme="minorBidi"/>
          <w:szCs w:val="22"/>
          <w:lang w:bidi="ar-SA"/>
        </w:rPr>
        <w:t>-</w:t>
      </w:r>
      <w:r w:rsidR="00C10D07">
        <w:rPr>
          <w:rFonts w:eastAsiaTheme="minorHAnsi" w:cstheme="minorBidi"/>
          <w:szCs w:val="22"/>
          <w:lang w:bidi="ar-SA"/>
        </w:rPr>
        <w:t xml:space="preserve"> </w:t>
      </w:r>
      <w:r w:rsidRPr="00D01373">
        <w:rPr>
          <w:rFonts w:eastAsiaTheme="minorHAnsi" w:cstheme="minorBidi"/>
          <w:szCs w:val="22"/>
          <w:lang w:bidi="ar-SA"/>
        </w:rPr>
        <w:t xml:space="preserve">0.3 mmol/ higher than </w:t>
      </w:r>
      <w:r w:rsidR="00732F0F">
        <w:rPr>
          <w:rFonts w:eastAsiaTheme="minorHAnsi" w:cstheme="minorBidi"/>
          <w:szCs w:val="22"/>
          <w:lang w:bidi="ar-SA"/>
        </w:rPr>
        <w:t xml:space="preserve">total-C in </w:t>
      </w:r>
      <w:r w:rsidRPr="00D01373">
        <w:rPr>
          <w:rFonts w:eastAsiaTheme="minorHAnsi" w:cstheme="minorBidi"/>
          <w:szCs w:val="22"/>
          <w:lang w:bidi="ar-SA"/>
        </w:rPr>
        <w:t xml:space="preserve">the lowest </w:t>
      </w:r>
      <w:r w:rsidR="00267FF5" w:rsidRPr="00D01373">
        <w:rPr>
          <w:rFonts w:eastAsiaTheme="minorHAnsi" w:cstheme="minorBidi"/>
          <w:szCs w:val="22"/>
          <w:lang w:bidi="ar-SA"/>
        </w:rPr>
        <w:t xml:space="preserve">PFOA blood concentration </w:t>
      </w:r>
      <w:r w:rsidRPr="00D01373">
        <w:rPr>
          <w:rFonts w:eastAsiaTheme="minorHAnsi" w:cstheme="minorBidi"/>
          <w:szCs w:val="22"/>
          <w:lang w:bidi="ar-SA"/>
        </w:rPr>
        <w:t>groups in the studies</w:t>
      </w:r>
      <w:r w:rsidR="00C10D07">
        <w:rPr>
          <w:rFonts w:eastAsiaTheme="minorHAnsi" w:cstheme="minorBidi"/>
          <w:szCs w:val="22"/>
          <w:lang w:bidi="ar-SA"/>
        </w:rPr>
        <w:t xml:space="preserve">, </w:t>
      </w:r>
      <w:r w:rsidR="00732F0F">
        <w:rPr>
          <w:rFonts w:eastAsiaTheme="minorHAnsi" w:cstheme="minorBidi"/>
          <w:szCs w:val="22"/>
          <w:lang w:bidi="ar-SA"/>
        </w:rPr>
        <w:t>above this</w:t>
      </w:r>
      <w:r w:rsidR="00C10D07">
        <w:rPr>
          <w:rFonts w:eastAsiaTheme="minorHAnsi" w:cstheme="minorBidi"/>
          <w:szCs w:val="22"/>
          <w:lang w:bidi="ar-SA"/>
        </w:rPr>
        <w:t xml:space="preserve"> the </w:t>
      </w:r>
      <w:r w:rsidRPr="00D01373">
        <w:rPr>
          <w:rFonts w:eastAsiaTheme="minorHAnsi" w:cstheme="minorBidi"/>
          <w:szCs w:val="22"/>
          <w:lang w:bidi="ar-SA"/>
        </w:rPr>
        <w:t xml:space="preserve">association plateaus. The quantitative results from pregnant women are more inconsistent, but this may be related to changes </w:t>
      </w:r>
      <w:r w:rsidR="00267FF5" w:rsidRPr="00D01373">
        <w:rPr>
          <w:rFonts w:eastAsiaTheme="minorHAnsi" w:cstheme="minorBidi"/>
          <w:szCs w:val="22"/>
          <w:lang w:bidi="ar-SA"/>
        </w:rPr>
        <w:t xml:space="preserve">in blood volume </w:t>
      </w:r>
      <w:r w:rsidRPr="00D01373">
        <w:rPr>
          <w:rFonts w:eastAsiaTheme="minorHAnsi" w:cstheme="minorBidi"/>
          <w:szCs w:val="22"/>
          <w:lang w:bidi="ar-SA"/>
        </w:rPr>
        <w:t xml:space="preserve">during pregnancy. There appears to be little or no association with </w:t>
      </w:r>
      <w:r w:rsidR="00732F0F">
        <w:rPr>
          <w:rFonts w:eastAsiaTheme="minorHAnsi" w:cstheme="minorBidi"/>
          <w:szCs w:val="22"/>
          <w:lang w:bidi="ar-SA"/>
        </w:rPr>
        <w:t>high density lipoprotein cholesterol (</w:t>
      </w:r>
      <w:r w:rsidRPr="00D01373">
        <w:rPr>
          <w:rFonts w:eastAsiaTheme="minorHAnsi" w:cstheme="minorBidi"/>
          <w:szCs w:val="22"/>
          <w:lang w:bidi="ar-SA"/>
        </w:rPr>
        <w:t>HDL-C</w:t>
      </w:r>
      <w:r w:rsidR="00732F0F">
        <w:rPr>
          <w:rFonts w:eastAsiaTheme="minorHAnsi" w:cstheme="minorBidi"/>
          <w:szCs w:val="22"/>
          <w:lang w:bidi="ar-SA"/>
        </w:rPr>
        <w:t>)</w:t>
      </w:r>
      <w:r w:rsidRPr="00D01373">
        <w:rPr>
          <w:rFonts w:eastAsiaTheme="minorHAnsi" w:cstheme="minorBidi"/>
          <w:szCs w:val="22"/>
          <w:lang w:bidi="ar-SA"/>
        </w:rPr>
        <w:t>, and not all studies have adverse findings. Similar results were seen for PFOS with a plateau of 0.3 mmol/L total-C which is reached at around 40 ng/mL</w:t>
      </w:r>
      <w:r w:rsidR="00C10D07">
        <w:rPr>
          <w:rFonts w:eastAsiaTheme="minorHAnsi" w:cstheme="minorBidi"/>
          <w:szCs w:val="22"/>
          <w:lang w:bidi="ar-SA"/>
        </w:rPr>
        <w:t xml:space="preserve"> blood concentration.</w:t>
      </w:r>
      <w:r w:rsidRPr="00D01373">
        <w:rPr>
          <w:rFonts w:eastAsiaTheme="minorHAnsi" w:cstheme="minorBidi"/>
          <w:szCs w:val="22"/>
          <w:lang w:bidi="ar-SA"/>
        </w:rPr>
        <w:t xml:space="preserve"> The lack of association reported in some occupational groups might be </w:t>
      </w:r>
      <w:r w:rsidR="00732F0F">
        <w:rPr>
          <w:rFonts w:eastAsiaTheme="minorHAnsi" w:cstheme="minorBidi"/>
          <w:szCs w:val="22"/>
          <w:lang w:bidi="ar-SA"/>
        </w:rPr>
        <w:t xml:space="preserve">due to the lack of sufficient subjects with </w:t>
      </w:r>
      <w:r w:rsidRPr="00D01373">
        <w:rPr>
          <w:rFonts w:eastAsiaTheme="minorHAnsi" w:cstheme="minorBidi"/>
          <w:szCs w:val="22"/>
          <w:lang w:bidi="ar-SA"/>
        </w:rPr>
        <w:t xml:space="preserve">low concentrations </w:t>
      </w:r>
      <w:r w:rsidR="0002067B">
        <w:rPr>
          <w:rFonts w:eastAsiaTheme="minorHAnsi" w:cstheme="minorBidi"/>
          <w:szCs w:val="22"/>
          <w:lang w:bidi="ar-SA"/>
        </w:rPr>
        <w:t xml:space="preserve">of PFAS </w:t>
      </w:r>
      <w:r w:rsidRPr="00D01373">
        <w:rPr>
          <w:rFonts w:eastAsiaTheme="minorHAnsi" w:cstheme="minorBidi"/>
          <w:szCs w:val="22"/>
          <w:lang w:bidi="ar-SA"/>
        </w:rPr>
        <w:t>to detect the effect</w:t>
      </w:r>
      <w:r w:rsidR="000E2B76">
        <w:rPr>
          <w:rFonts w:eastAsiaTheme="minorHAnsi" w:cstheme="minorBidi"/>
          <w:szCs w:val="22"/>
          <w:lang w:bidi="ar-SA"/>
        </w:rPr>
        <w:t>.</w:t>
      </w:r>
      <w:r w:rsidRPr="00D01373">
        <w:rPr>
          <w:rFonts w:eastAsiaTheme="minorHAnsi" w:cstheme="minorBidi"/>
          <w:szCs w:val="22"/>
          <w:lang w:bidi="ar-SA"/>
        </w:rPr>
        <w:t xml:space="preserve"> The few longitudinal data that are available do not contradict the findings in the cross-sectional studies. However, the results in humans do contradict the findings in animals because increased PFAS concentrations in animals decrease total-C.</w:t>
      </w:r>
    </w:p>
    <w:p w14:paraId="41C60F1F" w14:textId="77777777" w:rsidR="00F8101A" w:rsidRPr="00D01373" w:rsidRDefault="00F8101A" w:rsidP="00A111E9">
      <w:pPr>
        <w:widowControl/>
        <w:rPr>
          <w:rFonts w:eastAsiaTheme="minorHAnsi" w:cstheme="minorBidi"/>
          <w:szCs w:val="22"/>
          <w:lang w:bidi="ar-SA"/>
        </w:rPr>
      </w:pPr>
    </w:p>
    <w:p w14:paraId="663EF52C" w14:textId="1D39146A"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t xml:space="preserve">This report has focused on describing the results from the </w:t>
      </w:r>
      <w:r w:rsidR="00C10D07" w:rsidRPr="00CA37F9">
        <w:rPr>
          <w:rFonts w:eastAsiaTheme="minorHAnsi" w:cstheme="minorBidi"/>
          <w:szCs w:val="22"/>
          <w:lang w:bidi="ar-SA"/>
        </w:rPr>
        <w:t xml:space="preserve">available </w:t>
      </w:r>
      <w:r w:rsidRPr="00CA37F9">
        <w:rPr>
          <w:rFonts w:eastAsiaTheme="minorHAnsi" w:cstheme="minorBidi"/>
          <w:szCs w:val="22"/>
          <w:lang w:bidi="ar-SA"/>
        </w:rPr>
        <w:t xml:space="preserve">studies </w:t>
      </w:r>
      <w:r w:rsidR="00C10D07" w:rsidRPr="004766BF">
        <w:rPr>
          <w:rFonts w:eastAsiaTheme="minorHAnsi" w:cstheme="minorBidi"/>
          <w:szCs w:val="22"/>
          <w:lang w:bidi="ar-SA"/>
        </w:rPr>
        <w:t>but</w:t>
      </w:r>
      <w:r w:rsidRPr="004766BF">
        <w:rPr>
          <w:rFonts w:eastAsiaTheme="minorHAnsi" w:cstheme="minorBidi"/>
          <w:szCs w:val="22"/>
          <w:lang w:bidi="ar-SA"/>
        </w:rPr>
        <w:t xml:space="preserve"> has not considered either p-values or standard errors for several reasons</w:t>
      </w:r>
      <w:r w:rsidRPr="00CA37F9">
        <w:rPr>
          <w:rFonts w:eastAsiaTheme="minorHAnsi" w:cstheme="minorBidi"/>
          <w:szCs w:val="22"/>
          <w:lang w:bidi="ar-SA"/>
        </w:rPr>
        <w:t>. Firstly, p-values are not a measure of effect</w:t>
      </w:r>
      <w:r w:rsidR="00CA37F9" w:rsidRPr="00CA37F9">
        <w:rPr>
          <w:rFonts w:eastAsiaTheme="minorHAnsi" w:cstheme="minorBidi"/>
          <w:szCs w:val="22"/>
          <w:lang w:bidi="ar-SA"/>
        </w:rPr>
        <w:t xml:space="preserve"> but describe probability in relation to the null hypothesis. </w:t>
      </w:r>
      <w:r w:rsidRPr="00CA37F9">
        <w:rPr>
          <w:rFonts w:eastAsiaTheme="minorHAnsi" w:cstheme="minorBidi"/>
          <w:szCs w:val="22"/>
          <w:lang w:bidi="ar-SA"/>
        </w:rPr>
        <w:t xml:space="preserve"> . If there is truly</w:t>
      </w:r>
      <w:r w:rsidRPr="00D01373">
        <w:rPr>
          <w:rFonts w:eastAsiaTheme="minorHAnsi" w:cstheme="minorBidi"/>
          <w:szCs w:val="22"/>
          <w:lang w:bidi="ar-SA"/>
        </w:rPr>
        <w:t xml:space="preserve"> no effect or association, then this will not be statistically significant, by definition. It is not possible to determine whether the inconsistent information </w:t>
      </w:r>
      <w:r w:rsidR="000E2B76">
        <w:rPr>
          <w:rFonts w:eastAsiaTheme="minorHAnsi" w:cstheme="minorBidi"/>
          <w:szCs w:val="22"/>
          <w:lang w:bidi="ar-SA"/>
        </w:rPr>
        <w:t xml:space="preserve">presented </w:t>
      </w:r>
      <w:r w:rsidRPr="00D01373">
        <w:rPr>
          <w:rFonts w:eastAsiaTheme="minorHAnsi" w:cstheme="minorBidi"/>
          <w:szCs w:val="22"/>
          <w:lang w:bidi="ar-SA"/>
        </w:rPr>
        <w:t xml:space="preserve">across the studies </w:t>
      </w:r>
      <w:r w:rsidR="000E2B76">
        <w:rPr>
          <w:rFonts w:eastAsiaTheme="minorHAnsi" w:cstheme="minorBidi"/>
          <w:szCs w:val="22"/>
          <w:lang w:bidi="ar-SA"/>
        </w:rPr>
        <w:t xml:space="preserve">occurs </w:t>
      </w:r>
      <w:r w:rsidRPr="00D01373">
        <w:rPr>
          <w:rFonts w:eastAsiaTheme="minorHAnsi" w:cstheme="minorBidi"/>
          <w:szCs w:val="22"/>
          <w:lang w:bidi="ar-SA"/>
        </w:rPr>
        <w:t xml:space="preserve">because the samples were not tested for certain cholesterol fractions or whether the authors have failed to report non-significant </w:t>
      </w:r>
      <w:r w:rsidR="000E2B76">
        <w:rPr>
          <w:rFonts w:eastAsiaTheme="minorHAnsi" w:cstheme="minorBidi"/>
          <w:szCs w:val="22"/>
          <w:lang w:bidi="ar-SA"/>
        </w:rPr>
        <w:t xml:space="preserve">results. </w:t>
      </w:r>
      <w:r w:rsidRPr="00D01373">
        <w:rPr>
          <w:rFonts w:eastAsiaTheme="minorHAnsi" w:cstheme="minorBidi"/>
          <w:szCs w:val="22"/>
          <w:lang w:bidi="ar-SA"/>
        </w:rPr>
        <w:t xml:space="preserve"> Therefore the question of whether there is publication bias affecting this body of literature must be raised.</w:t>
      </w:r>
    </w:p>
    <w:p w14:paraId="18507BD1" w14:textId="77777777" w:rsidR="00F8101A" w:rsidRPr="00D01373" w:rsidRDefault="00F8101A" w:rsidP="00A111E9">
      <w:pPr>
        <w:widowControl/>
        <w:rPr>
          <w:rFonts w:eastAsiaTheme="minorHAnsi" w:cstheme="minorBidi"/>
          <w:szCs w:val="22"/>
          <w:lang w:bidi="ar-SA"/>
        </w:rPr>
      </w:pPr>
    </w:p>
    <w:p w14:paraId="62AACACE" w14:textId="31D0DA06" w:rsidR="00F8101A" w:rsidRPr="00F8101A" w:rsidRDefault="00F8101A" w:rsidP="00A111E9">
      <w:pPr>
        <w:widowControl/>
        <w:rPr>
          <w:rFonts w:eastAsiaTheme="minorHAnsi" w:cstheme="minorBidi"/>
          <w:szCs w:val="22"/>
          <w:lang w:bidi="ar-SA"/>
        </w:rPr>
      </w:pPr>
      <w:r w:rsidRPr="00D01373">
        <w:rPr>
          <w:rFonts w:eastAsiaTheme="minorHAnsi" w:cstheme="minorBidi"/>
          <w:szCs w:val="22"/>
          <w:lang w:bidi="ar-SA"/>
        </w:rPr>
        <w:t xml:space="preserve">Studies have been included regardless of whether or not they have reported their results in a common format because failure to do this may have introduced a bias into the </w:t>
      </w:r>
      <w:r w:rsidR="000E2B76">
        <w:rPr>
          <w:rFonts w:eastAsiaTheme="minorHAnsi" w:cstheme="minorBidi"/>
          <w:szCs w:val="22"/>
          <w:lang w:bidi="ar-SA"/>
        </w:rPr>
        <w:t>body of evidence</w:t>
      </w:r>
      <w:r w:rsidRPr="00D01373">
        <w:rPr>
          <w:rFonts w:eastAsiaTheme="minorHAnsi" w:cstheme="minorBidi"/>
          <w:szCs w:val="22"/>
          <w:lang w:bidi="ar-SA"/>
        </w:rPr>
        <w:t>. As far as it is possible to tell, the results of studies which could not be graphed do not contradict the results of studies which could be graphed in a qualitative sense although it is not possible to make a quantitative comparison.</w:t>
      </w:r>
    </w:p>
    <w:p w14:paraId="4D331E6C" w14:textId="77777777" w:rsidR="00F8101A" w:rsidRPr="00F8101A" w:rsidRDefault="00F8101A" w:rsidP="00A111E9">
      <w:pPr>
        <w:widowControl/>
        <w:rPr>
          <w:rFonts w:eastAsiaTheme="minorHAnsi" w:cstheme="minorBidi"/>
          <w:szCs w:val="22"/>
          <w:lang w:bidi="ar-SA"/>
        </w:rPr>
      </w:pPr>
    </w:p>
    <w:p w14:paraId="3D22EA0E" w14:textId="77777777" w:rsidR="00F8101A" w:rsidRPr="00F8101A" w:rsidRDefault="00F8101A" w:rsidP="00A111E9">
      <w:pPr>
        <w:widowControl/>
        <w:rPr>
          <w:rFonts w:eastAsiaTheme="minorHAnsi" w:cstheme="minorBidi"/>
          <w:szCs w:val="22"/>
          <w:lang w:bidi="ar-SA"/>
        </w:rPr>
      </w:pPr>
      <w:r w:rsidRPr="00F8101A">
        <w:rPr>
          <w:rFonts w:eastAsiaTheme="minorHAnsi" w:cstheme="minorBidi"/>
          <w:szCs w:val="22"/>
          <w:lang w:bidi="ar-SA"/>
        </w:rPr>
        <w:br w:type="page"/>
      </w:r>
    </w:p>
    <w:p w14:paraId="689AA1E0" w14:textId="77777777" w:rsidR="00F8101A" w:rsidRPr="00F8101A" w:rsidRDefault="00F8101A" w:rsidP="004264B6">
      <w:pPr>
        <w:pStyle w:val="Heading4"/>
      </w:pPr>
      <w:bookmarkStart w:id="569" w:name="_Toc468693987"/>
      <w:bookmarkStart w:id="570" w:name="_Toc468712803"/>
      <w:bookmarkStart w:id="571" w:name="_Toc468716495"/>
      <w:bookmarkStart w:id="572" w:name="_Toc468709482"/>
      <w:bookmarkStart w:id="573" w:name="_Toc468717782"/>
      <w:bookmarkStart w:id="574" w:name="_Toc468718426"/>
      <w:bookmarkStart w:id="575" w:name="_Toc468719406"/>
      <w:r w:rsidRPr="00F8101A">
        <w:lastRenderedPageBreak/>
        <w:t>Background</w:t>
      </w:r>
      <w:bookmarkEnd w:id="569"/>
      <w:bookmarkEnd w:id="570"/>
      <w:bookmarkEnd w:id="571"/>
      <w:bookmarkEnd w:id="572"/>
      <w:bookmarkEnd w:id="573"/>
      <w:bookmarkEnd w:id="574"/>
      <w:bookmarkEnd w:id="575"/>
    </w:p>
    <w:p w14:paraId="4B39542D" w14:textId="7EB13B13" w:rsidR="00F8101A" w:rsidRPr="00F8101A" w:rsidRDefault="00F8101A" w:rsidP="00A111E9">
      <w:pPr>
        <w:widowControl/>
        <w:rPr>
          <w:rFonts w:eastAsiaTheme="minorHAnsi" w:cs="Arial"/>
          <w:szCs w:val="22"/>
          <w:lang w:bidi="ar-SA"/>
        </w:rPr>
      </w:pPr>
      <w:r w:rsidRPr="00F8101A">
        <w:rPr>
          <w:rFonts w:eastAsiaTheme="minorHAnsi" w:cs="Arial"/>
          <w:szCs w:val="22"/>
          <w:lang w:bidi="ar-SA"/>
        </w:rPr>
        <w:t>Animal studies suggest that there is an inverse association between PFOA and serum cholesterol concentrations</w:t>
      </w:r>
      <w:r w:rsidR="00732F0F">
        <w:rPr>
          <w:rFonts w:eastAsiaTheme="minorHAnsi" w:cs="Arial"/>
          <w:szCs w:val="22"/>
          <w:lang w:bidi="ar-SA"/>
        </w:rPr>
        <w:t>, namely</w:t>
      </w:r>
      <w:r w:rsidRPr="00F8101A">
        <w:rPr>
          <w:rFonts w:eastAsiaTheme="minorHAnsi" w:cs="Arial"/>
          <w:szCs w:val="22"/>
          <w:lang w:bidi="ar-SA"/>
        </w:rPr>
        <w:t xml:space="preserve"> that as PFOA increases, serum cholesterol concentration decreases. The purpose of this report is to consider the epidemiological studies that have examined the association between PFOA or PFOS and serum cholesterol concentrations in humans. Total</w:t>
      </w:r>
      <w:r w:rsidR="00732F0F">
        <w:rPr>
          <w:rFonts w:eastAsiaTheme="minorHAnsi" w:cs="Arial"/>
          <w:szCs w:val="22"/>
          <w:lang w:bidi="ar-SA"/>
        </w:rPr>
        <w:t>-C</w:t>
      </w:r>
      <w:r w:rsidRPr="00F8101A">
        <w:rPr>
          <w:rFonts w:eastAsiaTheme="minorHAnsi" w:cs="Arial"/>
          <w:szCs w:val="22"/>
          <w:lang w:bidi="ar-SA"/>
        </w:rPr>
        <w:t xml:space="preserve"> primarily consists of LDL-C and HDL-C sub</w:t>
      </w:r>
      <w:r w:rsidR="00CC26CA">
        <w:rPr>
          <w:rFonts w:eastAsiaTheme="minorHAnsi" w:cs="Arial"/>
          <w:szCs w:val="22"/>
          <w:lang w:bidi="ar-SA"/>
        </w:rPr>
        <w:t>fractions</w:t>
      </w:r>
      <w:r w:rsidRPr="00F8101A">
        <w:rPr>
          <w:rFonts w:eastAsiaTheme="minorHAnsi" w:cs="Arial"/>
          <w:szCs w:val="22"/>
          <w:lang w:bidi="ar-SA"/>
        </w:rPr>
        <w:t>. Increases in LDL-C are associated with increases in risk of coronary heart disease whereas increases in HDL-C are associated with decreases in risk of coronary heart disease. The concentration of LDL-C is about three times higher than the concentration of HDL-C and so changes in total-C generally reflect changes in LDL-C</w:t>
      </w:r>
      <w:r w:rsidR="000E2B76">
        <w:rPr>
          <w:rFonts w:eastAsiaTheme="minorHAnsi" w:cs="Arial"/>
          <w:szCs w:val="22"/>
          <w:lang w:bidi="ar-SA"/>
        </w:rPr>
        <w:t>,</w:t>
      </w:r>
      <w:r w:rsidRPr="00F8101A">
        <w:rPr>
          <w:rFonts w:eastAsiaTheme="minorHAnsi" w:cs="Arial"/>
          <w:szCs w:val="22"/>
          <w:lang w:bidi="ar-SA"/>
        </w:rPr>
        <w:t xml:space="preserve"> although there can be exceptions.</w:t>
      </w:r>
      <w:r w:rsidR="000E2B76">
        <w:rPr>
          <w:rFonts w:eastAsiaTheme="minorHAnsi" w:cs="Arial"/>
          <w:szCs w:val="22"/>
          <w:lang w:bidi="ar-SA"/>
        </w:rPr>
        <w:t xml:space="preserve"> </w:t>
      </w:r>
      <w:r w:rsidRPr="00F8101A">
        <w:rPr>
          <w:rFonts w:eastAsiaTheme="minorHAnsi" w:cs="Arial"/>
          <w:szCs w:val="22"/>
          <w:lang w:bidi="ar-SA"/>
        </w:rPr>
        <w:t xml:space="preserve">Total-C and HDL-C are measured and material for laboratory standardisation has been available </w:t>
      </w:r>
      <w:r w:rsidR="00C10D07">
        <w:rPr>
          <w:rFonts w:eastAsiaTheme="minorHAnsi" w:cs="Arial"/>
          <w:szCs w:val="22"/>
          <w:lang w:bidi="ar-SA"/>
        </w:rPr>
        <w:t>for</w:t>
      </w:r>
      <w:r w:rsidRPr="00F8101A">
        <w:rPr>
          <w:rFonts w:eastAsiaTheme="minorHAnsi" w:cs="Arial"/>
          <w:szCs w:val="22"/>
          <w:lang w:bidi="ar-SA"/>
        </w:rPr>
        <w:t xml:space="preserve"> several decades. LDL-C can be measured directly although it is often calculated from HDL-C and triglyceride concentration using the Friedewald equation.</w:t>
      </w:r>
    </w:p>
    <w:p w14:paraId="715F2553" w14:textId="77777777" w:rsidR="00F8101A" w:rsidRPr="00F8101A" w:rsidRDefault="00F8101A" w:rsidP="00A111E9">
      <w:pPr>
        <w:widowControl/>
        <w:rPr>
          <w:rFonts w:eastAsiaTheme="minorHAnsi" w:cs="Arial"/>
          <w:szCs w:val="22"/>
          <w:lang w:bidi="ar-SA"/>
        </w:rPr>
      </w:pPr>
    </w:p>
    <w:p w14:paraId="6A27DF54" w14:textId="254BCA08" w:rsidR="00F8101A" w:rsidRPr="00F8101A" w:rsidRDefault="00F8101A" w:rsidP="00A111E9">
      <w:pPr>
        <w:widowControl/>
        <w:autoSpaceDE w:val="0"/>
        <w:autoSpaceDN w:val="0"/>
        <w:adjustRightInd w:val="0"/>
        <w:rPr>
          <w:rFonts w:eastAsiaTheme="minorHAnsi" w:cs="Arial"/>
          <w:szCs w:val="22"/>
          <w:lang w:bidi="ar-SA"/>
        </w:rPr>
      </w:pPr>
      <w:r w:rsidRPr="00F8101A">
        <w:rPr>
          <w:rFonts w:eastAsiaTheme="minorHAnsi" w:cs="Arial"/>
          <w:szCs w:val="22"/>
          <w:lang w:bidi="ar-SA"/>
        </w:rPr>
        <w:t>In early 2008, the E</w:t>
      </w:r>
      <w:r w:rsidR="00AB35CC">
        <w:rPr>
          <w:rFonts w:eastAsiaTheme="minorHAnsi" w:cs="Arial"/>
          <w:szCs w:val="22"/>
          <w:lang w:bidi="ar-SA"/>
        </w:rPr>
        <w:t>FSA</w:t>
      </w:r>
      <w:r w:rsidRPr="00F8101A">
        <w:rPr>
          <w:rFonts w:eastAsiaTheme="minorHAnsi" w:cs="Arial"/>
          <w:szCs w:val="22"/>
          <w:lang w:bidi="ar-SA"/>
        </w:rPr>
        <w:t xml:space="preserve"> concluded “Epidemiological studies in PFOA-exposed workers do not indicate increased cancer risk. Some have shown associations with elevated cholesterol and triglycerides, or with changes in thyroid hormones, but overall there is no consistent pattern of changes.” At that time, a limited number of papers were available and many of them contained analyses of the same or overlapping study populations.</w:t>
      </w:r>
    </w:p>
    <w:p w14:paraId="16AF953A" w14:textId="77777777" w:rsidR="00F8101A" w:rsidRPr="00F8101A" w:rsidRDefault="00F8101A" w:rsidP="00A111E9">
      <w:pPr>
        <w:widowControl/>
        <w:rPr>
          <w:rFonts w:eastAsiaTheme="minorHAnsi" w:cs="Arial"/>
          <w:szCs w:val="22"/>
          <w:lang w:bidi="ar-SA"/>
        </w:rPr>
      </w:pPr>
    </w:p>
    <w:p w14:paraId="68FC8146" w14:textId="2A892390" w:rsidR="00F8101A" w:rsidRPr="00F8101A" w:rsidRDefault="00F8101A" w:rsidP="00A111E9">
      <w:pPr>
        <w:widowControl/>
        <w:rPr>
          <w:rFonts w:eastAsiaTheme="minorHAnsi" w:cs="Arial"/>
          <w:color w:val="000000"/>
          <w:szCs w:val="22"/>
          <w:lang w:val="en-US" w:bidi="ar-SA"/>
        </w:rPr>
      </w:pPr>
      <w:r w:rsidRPr="00F8101A">
        <w:rPr>
          <w:rFonts w:eastAsiaTheme="minorHAnsi" w:cs="Arial"/>
          <w:szCs w:val="22"/>
          <w:lang w:bidi="ar-SA"/>
        </w:rPr>
        <w:t>In 2014, the C8 Science Panel “</w:t>
      </w:r>
      <w:r w:rsidRPr="00F8101A">
        <w:rPr>
          <w:rFonts w:eastAsiaTheme="minorHAnsi" w:cs="Arial"/>
          <w:color w:val="000000"/>
          <w:szCs w:val="22"/>
          <w:lang w:val="en-US" w:bidi="ar-SA"/>
        </w:rPr>
        <w:t xml:space="preserve">concluded there is a “probable link” between </w:t>
      </w:r>
      <w:r w:rsidR="00267FF5">
        <w:rPr>
          <w:rFonts w:eastAsiaTheme="minorHAnsi" w:cs="Arial"/>
          <w:color w:val="000000"/>
          <w:szCs w:val="22"/>
          <w:lang w:val="en-US" w:bidi="ar-SA"/>
        </w:rPr>
        <w:t>“</w:t>
      </w:r>
      <w:r w:rsidRPr="00F8101A">
        <w:rPr>
          <w:rFonts w:eastAsiaTheme="minorHAnsi" w:cs="Arial"/>
          <w:color w:val="000000"/>
          <w:szCs w:val="22"/>
          <w:lang w:val="en-US" w:bidi="ar-SA"/>
        </w:rPr>
        <w:t xml:space="preserve">exposure </w:t>
      </w:r>
      <w:r w:rsidR="00267FF5">
        <w:rPr>
          <w:rFonts w:eastAsiaTheme="minorHAnsi" w:cs="Arial"/>
          <w:color w:val="000000"/>
          <w:szCs w:val="22"/>
          <w:lang w:val="en-US" w:bidi="ar-SA"/>
        </w:rPr>
        <w:t xml:space="preserve">to </w:t>
      </w:r>
      <w:r w:rsidRPr="00F8101A">
        <w:rPr>
          <w:rFonts w:eastAsiaTheme="minorHAnsi" w:cs="Arial"/>
          <w:color w:val="000000"/>
          <w:szCs w:val="22"/>
          <w:lang w:val="en-US" w:bidi="ar-SA"/>
        </w:rPr>
        <w:t>PFOA and high cholesterol</w:t>
      </w:r>
      <w:r w:rsidR="00267FF5">
        <w:rPr>
          <w:rFonts w:eastAsiaTheme="minorHAnsi" w:cs="Arial"/>
          <w:color w:val="000000"/>
          <w:szCs w:val="22"/>
          <w:lang w:val="en-US" w:bidi="ar-SA"/>
        </w:rPr>
        <w:t>”</w:t>
      </w:r>
      <w:r w:rsidRPr="00F8101A">
        <w:rPr>
          <w:rFonts w:eastAsiaTheme="minorHAnsi" w:cs="Arial"/>
          <w:color w:val="000000"/>
          <w:szCs w:val="22"/>
          <w:lang w:val="en-US" w:bidi="ar-SA"/>
        </w:rPr>
        <w:t xml:space="preserve"> among the population around DuPont’s Washington Works facility. The term “probable” is related to the context of the settlement agreement for the Class Action lawsuit “to mean that, given the available scientific evidence, it is more likely than not that among class members a connection exists between PFOA exposure and a particular human disease. The finding of a probable link does not mean causality has been established.” (</w:t>
      </w:r>
      <w:r w:rsidRPr="00F8101A">
        <w:rPr>
          <w:rFonts w:eastAsiaTheme="minorHAnsi" w:cs="Arial"/>
          <w:color w:val="0000FF" w:themeColor="hyperlink"/>
          <w:szCs w:val="22"/>
          <w:u w:val="single"/>
          <w:lang w:val="en-US" w:bidi="ar-SA"/>
        </w:rPr>
        <w:t>http://ehp.niehs.nih.gov/122-a338/</w:t>
      </w:r>
      <w:r w:rsidRPr="00F8101A">
        <w:rPr>
          <w:rFonts w:eastAsiaTheme="minorHAnsi" w:cs="Arial"/>
          <w:color w:val="000000"/>
          <w:szCs w:val="22"/>
          <w:lang w:val="en-US" w:bidi="ar-SA"/>
        </w:rPr>
        <w:t xml:space="preserve">). </w:t>
      </w:r>
      <w:r w:rsidR="00267FF5">
        <w:rPr>
          <w:rFonts w:eastAsiaTheme="minorHAnsi" w:cs="Arial"/>
          <w:color w:val="000000"/>
          <w:szCs w:val="22"/>
          <w:lang w:val="en-US" w:bidi="ar-SA"/>
        </w:rPr>
        <w:t xml:space="preserve">In other words, the term “probable” might be used by other authors with a different meaning. </w:t>
      </w:r>
      <w:r w:rsidRPr="00F8101A">
        <w:rPr>
          <w:rFonts w:eastAsiaTheme="minorHAnsi" w:cs="Arial"/>
          <w:color w:val="000000"/>
          <w:szCs w:val="22"/>
          <w:lang w:val="en-US" w:bidi="ar-SA"/>
        </w:rPr>
        <w:t>Others have commented that the prevalence of elevated cholesterol concentrations in the C8 population is unexpectedly low compared to</w:t>
      </w:r>
      <w:r w:rsidR="00104C8E">
        <w:rPr>
          <w:rFonts w:eastAsiaTheme="minorHAnsi" w:cs="Arial"/>
          <w:color w:val="000000"/>
          <w:szCs w:val="22"/>
          <w:lang w:val="en-US" w:bidi="ar-SA"/>
        </w:rPr>
        <w:t xml:space="preserve"> the </w:t>
      </w:r>
      <w:r w:rsidRPr="00F8101A">
        <w:rPr>
          <w:rFonts w:eastAsiaTheme="minorHAnsi" w:cs="Arial"/>
          <w:color w:val="000000"/>
          <w:szCs w:val="22"/>
          <w:lang w:val="en-US" w:bidi="ar-SA"/>
        </w:rPr>
        <w:t>general US population and propose that this affected the results in the C8 study</w:t>
      </w:r>
      <w:r w:rsidR="000E2B76">
        <w:rPr>
          <w:rFonts w:eastAsiaTheme="minorHAnsi" w:cs="Arial"/>
          <w:color w:val="000000"/>
          <w:szCs w:val="22"/>
          <w:lang w:val="en-US" w:bidi="ar-SA"/>
        </w:rPr>
        <w:t xml:space="preserve"> analysis</w:t>
      </w:r>
      <w:r w:rsidRPr="00F8101A">
        <w:rPr>
          <w:rFonts w:eastAsiaTheme="minorHAnsi" w:cs="Arial"/>
          <w:color w:val="000000"/>
          <w:szCs w:val="22"/>
          <w:lang w:val="en-US" w:bidi="ar-SA"/>
        </w:rPr>
        <w:t>.</w:t>
      </w:r>
    </w:p>
    <w:p w14:paraId="39F844E7" w14:textId="742E8F68" w:rsidR="00F8101A" w:rsidRPr="00F8101A" w:rsidRDefault="00F8101A" w:rsidP="00A111E9">
      <w:pPr>
        <w:widowControl/>
        <w:rPr>
          <w:rFonts w:eastAsiaTheme="minorHAnsi" w:cs="Arial"/>
          <w:color w:val="000000"/>
          <w:szCs w:val="22"/>
          <w:lang w:val="en-US" w:bidi="ar-SA"/>
        </w:rPr>
      </w:pPr>
    </w:p>
    <w:p w14:paraId="04783008" w14:textId="57FEE254" w:rsidR="00F8101A" w:rsidRPr="00F8101A" w:rsidRDefault="00F8101A" w:rsidP="00A111E9">
      <w:pPr>
        <w:widowControl/>
        <w:rPr>
          <w:rFonts w:eastAsiaTheme="minorHAnsi" w:cs="Arial"/>
          <w:szCs w:val="22"/>
          <w:lang w:bidi="ar-SA"/>
        </w:rPr>
      </w:pPr>
      <w:r w:rsidRPr="00F8101A">
        <w:rPr>
          <w:rFonts w:eastAsiaTheme="minorHAnsi" w:cs="Arial"/>
          <w:szCs w:val="22"/>
          <w:lang w:bidi="ar-SA"/>
        </w:rPr>
        <w:t>In 2016, the US E</w:t>
      </w:r>
      <w:r w:rsidR="00AB35CC">
        <w:rPr>
          <w:rFonts w:eastAsiaTheme="minorHAnsi" w:cs="Arial"/>
          <w:szCs w:val="22"/>
          <w:lang w:bidi="ar-SA"/>
        </w:rPr>
        <w:t>PA</w:t>
      </w:r>
      <w:r w:rsidRPr="00F8101A">
        <w:rPr>
          <w:rFonts w:eastAsiaTheme="minorHAnsi" w:cs="Arial"/>
          <w:szCs w:val="22"/>
          <w:lang w:bidi="ar-SA"/>
        </w:rPr>
        <w:t xml:space="preserve"> report stated “These epidemiology studies have generally found positive associations between serum PFOA concentration and total cholesterol (TC) in the PFOA-exposed workers and the high</w:t>
      </w:r>
      <w:r w:rsidR="001012A5">
        <w:rPr>
          <w:rFonts w:eastAsiaTheme="minorHAnsi" w:cs="Arial"/>
          <w:szCs w:val="22"/>
          <w:lang w:bidi="ar-SA"/>
        </w:rPr>
        <w:t xml:space="preserve"> </w:t>
      </w:r>
      <w:r w:rsidRPr="00F8101A">
        <w:rPr>
          <w:rFonts w:eastAsiaTheme="minorHAnsi" w:cs="Arial"/>
          <w:szCs w:val="22"/>
          <w:lang w:bidi="ar-SA"/>
        </w:rPr>
        <w:t xml:space="preserve">exposure community (i.e., increasing lipid level with increasing PFOA); similar patterns are seen with </w:t>
      </w:r>
      <w:r w:rsidR="00AB35CC">
        <w:rPr>
          <w:rFonts w:eastAsiaTheme="minorHAnsi" w:cs="Arial"/>
          <w:szCs w:val="22"/>
          <w:lang w:bidi="ar-SA"/>
        </w:rPr>
        <w:t>LDLs</w:t>
      </w:r>
      <w:r w:rsidRPr="00F8101A">
        <w:rPr>
          <w:rFonts w:eastAsiaTheme="minorHAnsi" w:cs="Arial"/>
          <w:szCs w:val="22"/>
          <w:lang w:bidi="ar-SA"/>
        </w:rPr>
        <w:t xml:space="preserve"> but not with </w:t>
      </w:r>
      <w:r w:rsidR="00AB35CC">
        <w:rPr>
          <w:rFonts w:eastAsiaTheme="minorHAnsi" w:cs="Arial"/>
          <w:szCs w:val="22"/>
          <w:lang w:bidi="ar-SA"/>
        </w:rPr>
        <w:t>HDLs</w:t>
      </w:r>
      <w:r w:rsidRPr="00F8101A">
        <w:rPr>
          <w:rFonts w:eastAsiaTheme="minorHAnsi" w:cs="Arial"/>
          <w:szCs w:val="22"/>
          <w:lang w:bidi="ar-SA"/>
        </w:rPr>
        <w:t>. These associations were seen in most of the general population studies, but similar results also were seen with PFOS, and the studies did not always adjust for these correlations.”</w:t>
      </w:r>
      <w:r w:rsidR="000E2B76">
        <w:rPr>
          <w:rFonts w:eastAsiaTheme="minorHAnsi" w:cs="Arial"/>
          <w:szCs w:val="22"/>
          <w:lang w:bidi="ar-SA"/>
        </w:rPr>
        <w:t xml:space="preserve"> (US EPA, 2016b)</w:t>
      </w:r>
    </w:p>
    <w:p w14:paraId="11D75BC8" w14:textId="77777777" w:rsidR="00F8101A" w:rsidRPr="00F8101A" w:rsidRDefault="00F8101A" w:rsidP="00A111E9">
      <w:pPr>
        <w:widowControl/>
        <w:rPr>
          <w:rFonts w:eastAsiaTheme="minorHAnsi" w:cs="Arial"/>
          <w:szCs w:val="22"/>
          <w:lang w:bidi="ar-SA"/>
        </w:rPr>
      </w:pPr>
    </w:p>
    <w:p w14:paraId="0DE8B5F7" w14:textId="255E9A18" w:rsidR="00F8101A" w:rsidRPr="00F8101A" w:rsidRDefault="00F8101A" w:rsidP="00A111E9">
      <w:pPr>
        <w:widowControl/>
        <w:rPr>
          <w:rFonts w:eastAsiaTheme="minorHAnsi" w:cs="Arial"/>
          <w:szCs w:val="22"/>
          <w:lang w:bidi="ar-SA"/>
        </w:rPr>
      </w:pPr>
      <w:r w:rsidRPr="00F8101A">
        <w:rPr>
          <w:rFonts w:eastAsiaTheme="minorHAnsi" w:cs="Arial"/>
          <w:szCs w:val="22"/>
          <w:lang w:bidi="ar-SA"/>
        </w:rPr>
        <w:t xml:space="preserve">Because a number of studies had been published between the EFSA and </w:t>
      </w:r>
      <w:r w:rsidR="001371D0">
        <w:rPr>
          <w:rFonts w:eastAsiaTheme="minorHAnsi" w:cs="Arial"/>
          <w:szCs w:val="22"/>
          <w:lang w:bidi="ar-SA"/>
        </w:rPr>
        <w:t xml:space="preserve">US </w:t>
      </w:r>
      <w:r w:rsidRPr="00F8101A">
        <w:rPr>
          <w:rFonts w:eastAsiaTheme="minorHAnsi" w:cs="Arial"/>
          <w:szCs w:val="22"/>
          <w:lang w:bidi="ar-SA"/>
        </w:rPr>
        <w:t xml:space="preserve">EPA reports, the </w:t>
      </w:r>
      <w:r w:rsidR="001371D0">
        <w:rPr>
          <w:rFonts w:eastAsiaTheme="minorHAnsi" w:cs="Arial"/>
          <w:szCs w:val="22"/>
          <w:lang w:bidi="ar-SA"/>
        </w:rPr>
        <w:t xml:space="preserve">US </w:t>
      </w:r>
      <w:r w:rsidRPr="00F8101A">
        <w:rPr>
          <w:rFonts w:eastAsiaTheme="minorHAnsi" w:cs="Arial"/>
          <w:szCs w:val="22"/>
          <w:lang w:bidi="ar-SA"/>
        </w:rPr>
        <w:t>EPA was able to draw on a greater body of literature than EFSA. FSANZ has examined the literature cited by these two bodies and identified some additional studies.</w:t>
      </w:r>
    </w:p>
    <w:p w14:paraId="4ADB8334" w14:textId="77777777" w:rsidR="005B311C" w:rsidRDefault="005B311C" w:rsidP="00A111E9">
      <w:pPr>
        <w:rPr>
          <w:rFonts w:eastAsiaTheme="majorEastAsia"/>
          <w:b/>
          <w:lang w:eastAsia="en-AU" w:bidi="ar-SA"/>
        </w:rPr>
      </w:pPr>
      <w:bookmarkStart w:id="576" w:name="_Toc468693988"/>
      <w:bookmarkStart w:id="577" w:name="_Toc468712804"/>
      <w:bookmarkStart w:id="578" w:name="_Toc468716496"/>
      <w:bookmarkStart w:id="579" w:name="_Toc468709483"/>
      <w:bookmarkStart w:id="580" w:name="_Toc468717783"/>
      <w:bookmarkStart w:id="581" w:name="_Toc468718427"/>
      <w:bookmarkStart w:id="582" w:name="_Toc468719407"/>
    </w:p>
    <w:p w14:paraId="46348C3B" w14:textId="77777777" w:rsidR="00C10D07" w:rsidRPr="000C4C17" w:rsidRDefault="00C10D07" w:rsidP="00A111E9">
      <w:pPr>
        <w:widowControl/>
        <w:rPr>
          <w:rFonts w:eastAsiaTheme="minorHAnsi" w:cstheme="minorBidi"/>
          <w:szCs w:val="22"/>
          <w:lang w:bidi="ar-SA"/>
        </w:rPr>
      </w:pPr>
      <w:r>
        <w:rPr>
          <w:rFonts w:eastAsiaTheme="minorHAnsi" w:cstheme="minorBidi"/>
          <w:szCs w:val="22"/>
          <w:lang w:bidi="ar-SA"/>
        </w:rPr>
        <w:t>FSANZ has attempted to answer the following q</w:t>
      </w:r>
      <w:r w:rsidRPr="000C4C17">
        <w:rPr>
          <w:rFonts w:eastAsiaTheme="minorHAnsi" w:cstheme="minorBidi"/>
          <w:szCs w:val="22"/>
          <w:lang w:bidi="ar-SA"/>
        </w:rPr>
        <w:t>uestion:</w:t>
      </w:r>
    </w:p>
    <w:p w14:paraId="0ABC9282" w14:textId="20A80698" w:rsidR="00C10D07" w:rsidRPr="000C4C17" w:rsidRDefault="00C10D07" w:rsidP="00A111E9">
      <w:pPr>
        <w:widowControl/>
        <w:ind w:left="567"/>
        <w:rPr>
          <w:rFonts w:eastAsiaTheme="minorHAnsi" w:cstheme="minorBidi"/>
          <w:szCs w:val="22"/>
          <w:lang w:bidi="ar-SA"/>
        </w:rPr>
      </w:pPr>
      <w:r w:rsidRPr="000C4C17">
        <w:rPr>
          <w:rFonts w:eastAsiaTheme="minorHAnsi" w:cstheme="minorBidi"/>
          <w:szCs w:val="22"/>
          <w:lang w:bidi="ar-SA"/>
        </w:rPr>
        <w:t xml:space="preserve">Is blood PFOA or PFOS concentration related to </w:t>
      </w:r>
      <w:r>
        <w:rPr>
          <w:rFonts w:eastAsiaTheme="minorHAnsi" w:cstheme="minorBidi"/>
          <w:szCs w:val="22"/>
          <w:lang w:bidi="ar-SA"/>
        </w:rPr>
        <w:t>total</w:t>
      </w:r>
      <w:r w:rsidR="000E2B76">
        <w:rPr>
          <w:rFonts w:eastAsiaTheme="minorHAnsi" w:cstheme="minorBidi"/>
          <w:szCs w:val="22"/>
          <w:lang w:bidi="ar-SA"/>
        </w:rPr>
        <w:t>-C</w:t>
      </w:r>
      <w:r>
        <w:rPr>
          <w:rFonts w:eastAsiaTheme="minorHAnsi" w:cstheme="minorBidi"/>
          <w:szCs w:val="22"/>
          <w:lang w:bidi="ar-SA"/>
        </w:rPr>
        <w:t>, LDL-</w:t>
      </w:r>
      <w:r w:rsidR="000E2B76">
        <w:rPr>
          <w:rFonts w:eastAsiaTheme="minorHAnsi" w:cstheme="minorBidi"/>
          <w:szCs w:val="22"/>
          <w:lang w:bidi="ar-SA"/>
        </w:rPr>
        <w:t>C</w:t>
      </w:r>
      <w:r>
        <w:rPr>
          <w:rFonts w:eastAsiaTheme="minorHAnsi" w:cstheme="minorBidi"/>
          <w:szCs w:val="22"/>
          <w:lang w:bidi="ar-SA"/>
        </w:rPr>
        <w:t xml:space="preserve"> or HDL</w:t>
      </w:r>
      <w:r w:rsidR="000E2B76">
        <w:rPr>
          <w:rFonts w:eastAsiaTheme="minorHAnsi" w:cstheme="minorBidi"/>
          <w:szCs w:val="22"/>
          <w:lang w:bidi="ar-SA"/>
        </w:rPr>
        <w:t>-C</w:t>
      </w:r>
      <w:r>
        <w:rPr>
          <w:rFonts w:eastAsiaTheme="minorHAnsi" w:cstheme="minorBidi"/>
          <w:szCs w:val="22"/>
          <w:lang w:bidi="ar-SA"/>
        </w:rPr>
        <w:t xml:space="preserve"> concentration</w:t>
      </w:r>
      <w:r w:rsidRPr="000C4C17">
        <w:rPr>
          <w:rFonts w:eastAsiaTheme="minorHAnsi" w:cstheme="minorBidi"/>
          <w:szCs w:val="22"/>
          <w:lang w:bidi="ar-SA"/>
        </w:rPr>
        <w:t>?</w:t>
      </w:r>
    </w:p>
    <w:bookmarkEnd w:id="576"/>
    <w:bookmarkEnd w:id="577"/>
    <w:bookmarkEnd w:id="578"/>
    <w:bookmarkEnd w:id="579"/>
    <w:bookmarkEnd w:id="580"/>
    <w:bookmarkEnd w:id="581"/>
    <w:bookmarkEnd w:id="582"/>
    <w:p w14:paraId="7DF0D3C6" w14:textId="77777777" w:rsidR="007F79CD" w:rsidRDefault="007F79CD" w:rsidP="00A111E9">
      <w:pPr>
        <w:widowControl/>
        <w:rPr>
          <w:rFonts w:eastAsiaTheme="minorHAnsi" w:cstheme="minorBidi"/>
          <w:szCs w:val="22"/>
          <w:lang w:bidi="ar-SA"/>
        </w:rPr>
      </w:pPr>
    </w:p>
    <w:p w14:paraId="3F1F54F1" w14:textId="77777777" w:rsidR="00F35AE8" w:rsidRDefault="00457930" w:rsidP="00F35AE8">
      <w:pPr>
        <w:widowControl/>
        <w:rPr>
          <w:rFonts w:eastAsiaTheme="minorHAnsi" w:cstheme="minorBidi"/>
          <w:szCs w:val="22"/>
          <w:lang w:bidi="ar-SA"/>
        </w:rPr>
      </w:pPr>
      <w:r w:rsidRPr="00F8101A">
        <w:rPr>
          <w:rFonts w:eastAsiaTheme="minorHAnsi" w:cstheme="minorBidi"/>
          <w:szCs w:val="22"/>
          <w:lang w:bidi="ar-SA"/>
        </w:rPr>
        <w:t xml:space="preserve">Table </w:t>
      </w:r>
      <w:r>
        <w:rPr>
          <w:rFonts w:eastAsiaTheme="minorHAnsi" w:cstheme="minorBidi"/>
          <w:szCs w:val="22"/>
          <w:lang w:bidi="ar-SA"/>
        </w:rPr>
        <w:t>A2.</w:t>
      </w:r>
      <w:r w:rsidRPr="00F8101A">
        <w:rPr>
          <w:rFonts w:eastAsiaTheme="minorHAnsi" w:cstheme="minorBidi"/>
          <w:szCs w:val="22"/>
          <w:lang w:bidi="ar-SA"/>
        </w:rPr>
        <w:t>1 shows the scoping for this review. Preliminary examination of other reports indicates that there are no randomised controlled trials in the literature.</w:t>
      </w:r>
    </w:p>
    <w:p w14:paraId="55AA3645" w14:textId="300A6D4E" w:rsidR="007F79CD" w:rsidRDefault="00F35AE8" w:rsidP="00F35AE8">
      <w:pPr>
        <w:widowControl/>
        <w:rPr>
          <w:rFonts w:eastAsiaTheme="minorHAnsi"/>
        </w:rPr>
      </w:pPr>
      <w:r>
        <w:rPr>
          <w:rFonts w:eastAsiaTheme="minorHAnsi"/>
        </w:rPr>
        <w:t xml:space="preserve"> </w:t>
      </w:r>
    </w:p>
    <w:p w14:paraId="530E7EF2" w14:textId="77777777" w:rsidR="00F35AE8" w:rsidRDefault="00F35AE8">
      <w:pPr>
        <w:widowControl/>
        <w:rPr>
          <w:rFonts w:eastAsiaTheme="minorHAnsi" w:cs="Arial"/>
          <w:b/>
        </w:rPr>
      </w:pPr>
      <w:r>
        <w:rPr>
          <w:rFonts w:eastAsiaTheme="minorHAnsi"/>
        </w:rPr>
        <w:br w:type="page"/>
      </w:r>
    </w:p>
    <w:p w14:paraId="43AB23FC" w14:textId="1B101551" w:rsidR="00F8101A" w:rsidRPr="00F8101A" w:rsidRDefault="00F8101A" w:rsidP="00A111E9">
      <w:pPr>
        <w:pStyle w:val="FSTableTitle"/>
        <w:rPr>
          <w:rFonts w:eastAsiaTheme="minorHAnsi"/>
        </w:rPr>
      </w:pPr>
      <w:r w:rsidRPr="00F8101A">
        <w:rPr>
          <w:rFonts w:eastAsiaTheme="minorHAnsi"/>
        </w:rPr>
        <w:lastRenderedPageBreak/>
        <w:t xml:space="preserve">Table </w:t>
      </w:r>
      <w:r w:rsidR="00C44F1E">
        <w:rPr>
          <w:rFonts w:eastAsiaTheme="minorHAnsi"/>
          <w:lang w:bidi="ar-SA"/>
        </w:rPr>
        <w:t>A2.</w:t>
      </w:r>
      <w:r w:rsidRPr="00F8101A">
        <w:rPr>
          <w:rFonts w:eastAsiaTheme="minorHAnsi"/>
        </w:rPr>
        <w:t xml:space="preserve">1: PECO criteria for the </w:t>
      </w:r>
      <w:r w:rsidR="00C10D07">
        <w:rPr>
          <w:rFonts w:eastAsiaTheme="minorHAnsi"/>
        </w:rPr>
        <w:t xml:space="preserve">review of </w:t>
      </w:r>
      <w:r w:rsidRPr="00F8101A">
        <w:rPr>
          <w:rFonts w:eastAsiaTheme="minorHAnsi"/>
        </w:rPr>
        <w:t>PFOA</w:t>
      </w:r>
      <w:r w:rsidR="00C10D07">
        <w:rPr>
          <w:rFonts w:eastAsiaTheme="minorHAnsi"/>
        </w:rPr>
        <w:t xml:space="preserve">, </w:t>
      </w:r>
      <w:r w:rsidRPr="00F8101A">
        <w:rPr>
          <w:rFonts w:eastAsiaTheme="minorHAnsi"/>
        </w:rPr>
        <w:t xml:space="preserve">PFOS </w:t>
      </w:r>
      <w:r w:rsidR="00C10D07">
        <w:rPr>
          <w:rFonts w:eastAsiaTheme="minorHAnsi"/>
        </w:rPr>
        <w:t xml:space="preserve">and cholesterol </w:t>
      </w:r>
      <w:r w:rsidRPr="00F8101A">
        <w:rPr>
          <w:rFonts w:eastAsiaTheme="minorHAnsi"/>
        </w:rPr>
        <w:t>concentration</w:t>
      </w:r>
    </w:p>
    <w:p w14:paraId="17904973" w14:textId="77777777" w:rsidR="00F8101A" w:rsidRPr="00F8101A" w:rsidRDefault="00F8101A" w:rsidP="00A111E9">
      <w:pPr>
        <w:widowControl/>
        <w:rPr>
          <w:rFonts w:eastAsiaTheme="minorHAnsi" w:cstheme="minorBidi"/>
          <w:szCs w:val="22"/>
          <w:lang w:bidi="ar-SA"/>
        </w:rPr>
      </w:pPr>
    </w:p>
    <w:tbl>
      <w:tblPr>
        <w:tblStyle w:val="TableGrid10"/>
        <w:tblW w:w="0" w:type="auto"/>
        <w:tblLook w:val="04A0" w:firstRow="1" w:lastRow="0" w:firstColumn="1" w:lastColumn="0" w:noHBand="0" w:noVBand="1"/>
        <w:tblCaption w:val="Table A2.1: PECO criteria for the review of PFOA, PFOS and cholesterol concentration"/>
        <w:tblDescription w:val="This table contains data relating to PECO criteria for the review of PFOA, PFOS and cholesterol concentration."/>
      </w:tblPr>
      <w:tblGrid>
        <w:gridCol w:w="1809"/>
        <w:gridCol w:w="7371"/>
      </w:tblGrid>
      <w:tr w:rsidR="00F8101A" w:rsidRPr="00F8101A" w14:paraId="5DFF7BEE" w14:textId="77777777" w:rsidTr="0028673F">
        <w:trPr>
          <w:tblHeader/>
        </w:trPr>
        <w:tc>
          <w:tcPr>
            <w:tcW w:w="1809" w:type="dxa"/>
            <w:shd w:val="clear" w:color="auto" w:fill="F2F2F2" w:themeFill="background1" w:themeFillShade="F2"/>
            <w:vAlign w:val="center"/>
          </w:tcPr>
          <w:p w14:paraId="155E7E85" w14:textId="77777777" w:rsidR="00F8101A" w:rsidRPr="000B3C14" w:rsidRDefault="00F8101A" w:rsidP="00A111E9">
            <w:pPr>
              <w:widowControl/>
              <w:rPr>
                <w:rFonts w:eastAsiaTheme="minorHAnsi"/>
                <w:b/>
              </w:rPr>
            </w:pPr>
            <w:r w:rsidRPr="000B3C14">
              <w:rPr>
                <w:rFonts w:eastAsiaTheme="minorHAnsi"/>
                <w:b/>
              </w:rPr>
              <w:t>Population</w:t>
            </w:r>
          </w:p>
        </w:tc>
        <w:tc>
          <w:tcPr>
            <w:tcW w:w="7371" w:type="dxa"/>
          </w:tcPr>
          <w:p w14:paraId="65288191" w14:textId="77777777" w:rsidR="00F8101A" w:rsidRPr="000B3C14" w:rsidRDefault="00F8101A" w:rsidP="00A111E9">
            <w:pPr>
              <w:widowControl/>
              <w:spacing w:before="40" w:after="40"/>
              <w:rPr>
                <w:rFonts w:eastAsiaTheme="minorHAnsi"/>
                <w:sz w:val="20"/>
              </w:rPr>
            </w:pPr>
            <w:r w:rsidRPr="000B3C14">
              <w:rPr>
                <w:rFonts w:eastAsiaTheme="minorHAnsi"/>
                <w:sz w:val="20"/>
              </w:rPr>
              <w:t>Children or adults who do not have serious diseases - such as cancer, renal failure</w:t>
            </w:r>
          </w:p>
        </w:tc>
      </w:tr>
      <w:tr w:rsidR="00047818" w:rsidRPr="00F8101A" w14:paraId="4263556F" w14:textId="77777777" w:rsidTr="000E7153">
        <w:tc>
          <w:tcPr>
            <w:tcW w:w="1809" w:type="dxa"/>
            <w:shd w:val="clear" w:color="auto" w:fill="F2F2F2" w:themeFill="background1" w:themeFillShade="F2"/>
            <w:vAlign w:val="center"/>
          </w:tcPr>
          <w:p w14:paraId="1D6646A1" w14:textId="0992ABF5" w:rsidR="00047818" w:rsidRPr="00047818" w:rsidRDefault="00047818" w:rsidP="00A111E9">
            <w:pPr>
              <w:widowControl/>
              <w:rPr>
                <w:rFonts w:eastAsiaTheme="minorHAnsi" w:cstheme="minorBidi"/>
                <w:b/>
                <w:szCs w:val="22"/>
                <w:lang w:bidi="ar-SA"/>
              </w:rPr>
            </w:pPr>
            <w:r w:rsidRPr="00047818">
              <w:rPr>
                <w:rFonts w:eastAsiaTheme="minorHAnsi" w:cstheme="minorBidi"/>
                <w:b/>
                <w:szCs w:val="22"/>
                <w:lang w:bidi="ar-SA"/>
              </w:rPr>
              <w:t>Exposure</w:t>
            </w:r>
          </w:p>
        </w:tc>
        <w:tc>
          <w:tcPr>
            <w:tcW w:w="7371" w:type="dxa"/>
          </w:tcPr>
          <w:p w14:paraId="70E0FD01" w14:textId="570A6B8C" w:rsidR="00047818" w:rsidRPr="00921E58" w:rsidRDefault="00047818" w:rsidP="00A111E9">
            <w:r w:rsidRPr="00921E58">
              <w:t>Direct measure of PFOA and/or PFOS in serum</w:t>
            </w:r>
          </w:p>
          <w:p w14:paraId="0256F5B8" w14:textId="45CCC049" w:rsidR="00047818" w:rsidRPr="00921E58" w:rsidRDefault="00047818" w:rsidP="00A111E9">
            <w:r w:rsidRPr="00921E58">
              <w:t>Or</w:t>
            </w:r>
          </w:p>
          <w:p w14:paraId="77B052BF" w14:textId="5D1D4BF7" w:rsidR="00047818" w:rsidRPr="00D711DD" w:rsidRDefault="00047818" w:rsidP="00A111E9">
            <w:pPr>
              <w:widowControl/>
              <w:spacing w:before="40" w:after="40"/>
              <w:rPr>
                <w:rFonts w:eastAsiaTheme="minorHAnsi"/>
                <w:sz w:val="20"/>
              </w:rPr>
            </w:pPr>
            <w:r w:rsidRPr="00921E58">
              <w:t>Estimates of longterm exposure based on environmental data such as occupation, concentrations in drinking water</w:t>
            </w:r>
          </w:p>
        </w:tc>
      </w:tr>
      <w:tr w:rsidR="00F8101A" w:rsidRPr="00F8101A" w14:paraId="63D8B39B" w14:textId="77777777" w:rsidTr="000E7153">
        <w:tc>
          <w:tcPr>
            <w:tcW w:w="1809" w:type="dxa"/>
            <w:shd w:val="clear" w:color="auto" w:fill="F2F2F2" w:themeFill="background1" w:themeFillShade="F2"/>
            <w:vAlign w:val="center"/>
          </w:tcPr>
          <w:p w14:paraId="106107C2" w14:textId="77777777" w:rsidR="00F8101A" w:rsidRPr="00D711DD" w:rsidRDefault="00F8101A" w:rsidP="00A111E9">
            <w:pPr>
              <w:widowControl/>
              <w:rPr>
                <w:rFonts w:eastAsiaTheme="minorHAnsi"/>
                <w:b/>
              </w:rPr>
            </w:pPr>
            <w:r w:rsidRPr="00D711DD">
              <w:rPr>
                <w:rFonts w:eastAsiaTheme="minorHAnsi"/>
                <w:b/>
              </w:rPr>
              <w:t>Comparator</w:t>
            </w:r>
          </w:p>
        </w:tc>
        <w:tc>
          <w:tcPr>
            <w:tcW w:w="7371" w:type="dxa"/>
          </w:tcPr>
          <w:p w14:paraId="75735033" w14:textId="75072C22" w:rsidR="00F8101A" w:rsidRPr="000B3C14" w:rsidRDefault="00F8101A" w:rsidP="00A111E9">
            <w:pPr>
              <w:widowControl/>
              <w:spacing w:before="40" w:after="40"/>
              <w:rPr>
                <w:rFonts w:eastAsiaTheme="minorHAnsi"/>
                <w:sz w:val="20"/>
              </w:rPr>
            </w:pPr>
            <w:r w:rsidRPr="000B3C14">
              <w:rPr>
                <w:rFonts w:eastAsiaTheme="minorHAnsi"/>
                <w:sz w:val="20"/>
              </w:rPr>
              <w:t xml:space="preserve">Different levels of PFOA and/or PFOS </w:t>
            </w:r>
            <w:r w:rsidR="008807EE">
              <w:rPr>
                <w:rFonts w:eastAsiaTheme="minorHAnsi"/>
                <w:sz w:val="20"/>
              </w:rPr>
              <w:t xml:space="preserve">concentration or </w:t>
            </w:r>
            <w:r w:rsidRPr="000B3C14">
              <w:rPr>
                <w:rFonts w:eastAsiaTheme="minorHAnsi"/>
                <w:sz w:val="20"/>
              </w:rPr>
              <w:t>exposure</w:t>
            </w:r>
          </w:p>
        </w:tc>
      </w:tr>
      <w:tr w:rsidR="00F8101A" w:rsidRPr="00F8101A" w14:paraId="6E6A79D4" w14:textId="77777777" w:rsidTr="000E7153">
        <w:tc>
          <w:tcPr>
            <w:tcW w:w="1809" w:type="dxa"/>
            <w:shd w:val="clear" w:color="auto" w:fill="F2F2F2" w:themeFill="background1" w:themeFillShade="F2"/>
            <w:vAlign w:val="center"/>
          </w:tcPr>
          <w:p w14:paraId="0B6F1D8D" w14:textId="77777777" w:rsidR="00F8101A" w:rsidRPr="000B3C14" w:rsidRDefault="00F8101A" w:rsidP="00A111E9">
            <w:pPr>
              <w:widowControl/>
              <w:rPr>
                <w:rFonts w:eastAsiaTheme="minorHAnsi"/>
                <w:b/>
              </w:rPr>
            </w:pPr>
            <w:r w:rsidRPr="00D711DD">
              <w:rPr>
                <w:rFonts w:eastAsiaTheme="minorHAnsi"/>
                <w:b/>
              </w:rPr>
              <w:t>Outc</w:t>
            </w:r>
            <w:r w:rsidRPr="000B3C14">
              <w:rPr>
                <w:rFonts w:eastAsiaTheme="minorHAnsi"/>
                <w:b/>
              </w:rPr>
              <w:t>ome</w:t>
            </w:r>
          </w:p>
        </w:tc>
        <w:tc>
          <w:tcPr>
            <w:tcW w:w="7371" w:type="dxa"/>
          </w:tcPr>
          <w:p w14:paraId="40CD4E57" w14:textId="77777777" w:rsidR="00F8101A" w:rsidRPr="000B3C14" w:rsidRDefault="00F8101A" w:rsidP="00A111E9">
            <w:pPr>
              <w:widowControl/>
              <w:spacing w:before="40" w:after="40"/>
              <w:rPr>
                <w:rFonts w:eastAsiaTheme="minorHAnsi"/>
                <w:sz w:val="20"/>
              </w:rPr>
            </w:pPr>
            <w:r w:rsidRPr="000B3C14">
              <w:rPr>
                <w:rFonts w:eastAsiaTheme="minorHAnsi"/>
                <w:sz w:val="20"/>
              </w:rPr>
              <w:t>Total-C, LDL-C, HDL-C (continuous)</w:t>
            </w:r>
          </w:p>
          <w:p w14:paraId="1F432837" w14:textId="77777777" w:rsidR="00F8101A" w:rsidRPr="00F6284E" w:rsidRDefault="00F8101A" w:rsidP="00A111E9">
            <w:pPr>
              <w:widowControl/>
              <w:spacing w:before="40" w:after="40"/>
              <w:rPr>
                <w:rFonts w:eastAsiaTheme="minorHAnsi"/>
                <w:sz w:val="20"/>
              </w:rPr>
            </w:pPr>
            <w:r w:rsidRPr="00F6284E">
              <w:rPr>
                <w:rFonts w:eastAsiaTheme="minorHAnsi"/>
                <w:sz w:val="20"/>
              </w:rPr>
              <w:t>Incidence of elevated cholesterol concentrations or a marker of these, e.g. commencement of cholesterol lowering medication</w:t>
            </w:r>
          </w:p>
        </w:tc>
      </w:tr>
      <w:tr w:rsidR="00F8101A" w:rsidRPr="00F8101A" w14:paraId="551473C5" w14:textId="77777777" w:rsidTr="000E7153">
        <w:tc>
          <w:tcPr>
            <w:tcW w:w="1809" w:type="dxa"/>
            <w:shd w:val="clear" w:color="auto" w:fill="F2F2F2" w:themeFill="background1" w:themeFillShade="F2"/>
            <w:vAlign w:val="center"/>
          </w:tcPr>
          <w:p w14:paraId="05D0AE88" w14:textId="77777777" w:rsidR="00F8101A" w:rsidRPr="00D711DD" w:rsidRDefault="00F8101A" w:rsidP="00A111E9">
            <w:pPr>
              <w:widowControl/>
              <w:rPr>
                <w:rFonts w:eastAsiaTheme="minorHAnsi"/>
                <w:b/>
              </w:rPr>
            </w:pPr>
            <w:r w:rsidRPr="00D711DD">
              <w:rPr>
                <w:rFonts w:eastAsiaTheme="minorHAnsi"/>
                <w:b/>
              </w:rPr>
              <w:t>Study design</w:t>
            </w:r>
          </w:p>
        </w:tc>
        <w:tc>
          <w:tcPr>
            <w:tcW w:w="7371" w:type="dxa"/>
          </w:tcPr>
          <w:p w14:paraId="31C45C44" w14:textId="0C49AC7A" w:rsidR="00F8101A" w:rsidRPr="000B3C14" w:rsidRDefault="00F8101A" w:rsidP="00A111E9">
            <w:pPr>
              <w:widowControl/>
              <w:spacing w:before="40" w:after="40"/>
              <w:rPr>
                <w:rFonts w:eastAsiaTheme="minorHAnsi"/>
                <w:sz w:val="20"/>
              </w:rPr>
            </w:pPr>
            <w:r w:rsidRPr="000B3C14">
              <w:rPr>
                <w:rFonts w:eastAsiaTheme="minorHAnsi"/>
                <w:sz w:val="20"/>
              </w:rPr>
              <w:t xml:space="preserve">Clinical trials (including non-randomised); observational studies of individuals (Longitudinal (cohort); case-control, cross-sectional); </w:t>
            </w:r>
            <w:r w:rsidR="00351B56">
              <w:rPr>
                <w:rFonts w:eastAsiaTheme="minorHAnsi"/>
                <w:sz w:val="20"/>
              </w:rPr>
              <w:t>(</w:t>
            </w:r>
            <w:r w:rsidRPr="000B3C14">
              <w:rPr>
                <w:rFonts w:eastAsiaTheme="minorHAnsi"/>
                <w:sz w:val="20"/>
              </w:rPr>
              <w:t>ecological studies excluded</w:t>
            </w:r>
            <w:r w:rsidR="00351B56">
              <w:rPr>
                <w:rFonts w:eastAsiaTheme="minorHAnsi"/>
                <w:sz w:val="20"/>
              </w:rPr>
              <w:t>)</w:t>
            </w:r>
          </w:p>
        </w:tc>
      </w:tr>
    </w:tbl>
    <w:p w14:paraId="3AB98CD0" w14:textId="77777777" w:rsidR="00F8101A" w:rsidRPr="00F8101A" w:rsidRDefault="00F8101A" w:rsidP="004264B6">
      <w:pPr>
        <w:pStyle w:val="Heading4"/>
      </w:pPr>
      <w:bookmarkStart w:id="583" w:name="_Toc468693989"/>
      <w:bookmarkStart w:id="584" w:name="_Toc468712805"/>
      <w:bookmarkStart w:id="585" w:name="_Toc468716497"/>
      <w:bookmarkStart w:id="586" w:name="_Toc468709484"/>
      <w:bookmarkStart w:id="587" w:name="_Toc468717784"/>
      <w:bookmarkStart w:id="588" w:name="_Toc468718428"/>
      <w:bookmarkStart w:id="589" w:name="_Toc468719408"/>
      <w:r w:rsidRPr="00F8101A">
        <w:t>Literature examined</w:t>
      </w:r>
      <w:bookmarkEnd w:id="583"/>
      <w:bookmarkEnd w:id="584"/>
      <w:bookmarkEnd w:id="585"/>
      <w:bookmarkEnd w:id="586"/>
      <w:bookmarkEnd w:id="587"/>
      <w:bookmarkEnd w:id="588"/>
      <w:bookmarkEnd w:id="589"/>
      <w:r w:rsidRPr="00F8101A">
        <w:tab/>
      </w:r>
    </w:p>
    <w:p w14:paraId="7B5BE299" w14:textId="65AF8444" w:rsidR="00F8101A" w:rsidRPr="00F8101A" w:rsidRDefault="00F8101A" w:rsidP="00A111E9">
      <w:pPr>
        <w:widowControl/>
        <w:rPr>
          <w:rFonts w:eastAsiaTheme="minorHAnsi" w:cstheme="minorBidi"/>
          <w:szCs w:val="22"/>
          <w:lang w:bidi="ar-SA"/>
        </w:rPr>
      </w:pPr>
      <w:r w:rsidRPr="00F8101A">
        <w:rPr>
          <w:rFonts w:eastAsiaTheme="minorHAnsi" w:cstheme="minorBidi"/>
          <w:szCs w:val="22"/>
          <w:lang w:bidi="ar-SA"/>
        </w:rPr>
        <w:t xml:space="preserve">PFOS and PFOA often occur together and so reviews of either substance were considered to </w:t>
      </w:r>
      <w:r w:rsidR="000E2B76">
        <w:rPr>
          <w:rFonts w:eastAsiaTheme="minorHAnsi" w:cstheme="minorBidi"/>
          <w:szCs w:val="22"/>
          <w:lang w:bidi="ar-SA"/>
        </w:rPr>
        <w:t>compile an initial list of existing</w:t>
      </w:r>
      <w:r w:rsidRPr="00F8101A">
        <w:rPr>
          <w:rFonts w:eastAsiaTheme="minorHAnsi" w:cstheme="minorBidi"/>
          <w:szCs w:val="22"/>
          <w:lang w:bidi="ar-SA"/>
        </w:rPr>
        <w:t xml:space="preserve"> original literature. The initial assessment examined the reports from EFSA concerning both PFOS and PFOA </w:t>
      </w:r>
      <w:r w:rsidR="000E2B76">
        <w:rPr>
          <w:rFonts w:eastAsiaTheme="minorHAnsi" w:cstheme="minorBidi"/>
          <w:szCs w:val="22"/>
          <w:lang w:bidi="ar-SA"/>
        </w:rPr>
        <w:t xml:space="preserve">(EFSA, 2008) </w:t>
      </w:r>
      <w:r w:rsidRPr="00F8101A">
        <w:rPr>
          <w:rFonts w:eastAsiaTheme="minorHAnsi" w:cstheme="minorBidi"/>
          <w:szCs w:val="22"/>
          <w:lang w:bidi="ar-SA"/>
        </w:rPr>
        <w:t>and the reports from the US EPA concerning PFOS (</w:t>
      </w:r>
      <w:r w:rsidR="00406EF6">
        <w:rPr>
          <w:rFonts w:eastAsiaTheme="minorHAnsi" w:cstheme="minorBidi"/>
          <w:szCs w:val="22"/>
          <w:lang w:bidi="ar-SA"/>
        </w:rPr>
        <w:t xml:space="preserve">US </w:t>
      </w:r>
      <w:r w:rsidRPr="00F8101A">
        <w:rPr>
          <w:rFonts w:eastAsiaTheme="minorHAnsi" w:cstheme="minorBidi"/>
          <w:szCs w:val="22"/>
          <w:lang w:bidi="ar-SA"/>
        </w:rPr>
        <w:t>EPA, 2014a) and PFOA (</w:t>
      </w:r>
      <w:r w:rsidR="00406EF6">
        <w:rPr>
          <w:rFonts w:eastAsiaTheme="minorHAnsi" w:cstheme="minorBidi"/>
          <w:szCs w:val="22"/>
          <w:lang w:bidi="ar-SA"/>
        </w:rPr>
        <w:t xml:space="preserve">US </w:t>
      </w:r>
      <w:r w:rsidRPr="00F8101A">
        <w:rPr>
          <w:rFonts w:eastAsiaTheme="minorHAnsi" w:cstheme="minorBidi"/>
          <w:szCs w:val="22"/>
          <w:lang w:bidi="ar-SA"/>
        </w:rPr>
        <w:t>EPA, 2014b). No information about how the literature reviewed was collated is given in these reports. No systematic literature reviews of this topic were identified in PubMed</w:t>
      </w:r>
      <w:r w:rsidR="000E2B76">
        <w:rPr>
          <w:rFonts w:eastAsiaTheme="minorHAnsi" w:cstheme="minorBidi"/>
          <w:szCs w:val="22"/>
          <w:lang w:bidi="ar-SA"/>
        </w:rPr>
        <w:t xml:space="preserve"> (</w:t>
      </w:r>
      <w:r w:rsidR="000E2B76" w:rsidRPr="000E2B76">
        <w:rPr>
          <w:rFonts w:eastAsiaTheme="minorHAnsi" w:cstheme="minorBidi"/>
          <w:szCs w:val="22"/>
          <w:lang w:bidi="ar-SA"/>
        </w:rPr>
        <w:t>https://www.ncbi.nlm.nih.gov/pubmed</w:t>
      </w:r>
      <w:r w:rsidR="000E2B76">
        <w:rPr>
          <w:rFonts w:eastAsiaTheme="minorHAnsi" w:cstheme="minorBidi"/>
          <w:szCs w:val="22"/>
          <w:lang w:bidi="ar-SA"/>
        </w:rPr>
        <w:t>)</w:t>
      </w:r>
      <w:r w:rsidRPr="00F8101A">
        <w:rPr>
          <w:rFonts w:eastAsiaTheme="minorHAnsi" w:cstheme="minorBidi"/>
          <w:szCs w:val="22"/>
          <w:lang w:bidi="ar-SA"/>
        </w:rPr>
        <w:t>.</w:t>
      </w:r>
    </w:p>
    <w:p w14:paraId="0F10FC06" w14:textId="6FF1F78B" w:rsidR="00F8101A" w:rsidRPr="00F8101A" w:rsidRDefault="00F8101A" w:rsidP="004264B6">
      <w:pPr>
        <w:pStyle w:val="Heading5"/>
        <w:rPr>
          <w:rFonts w:eastAsiaTheme="majorEastAsia"/>
        </w:rPr>
      </w:pPr>
      <w:bookmarkStart w:id="590" w:name="_Toc468693990"/>
      <w:bookmarkStart w:id="591" w:name="_Toc468712806"/>
      <w:bookmarkStart w:id="592" w:name="_Toc468716498"/>
      <w:bookmarkStart w:id="593" w:name="_Toc468709485"/>
      <w:bookmarkStart w:id="594" w:name="_Toc468717785"/>
      <w:bookmarkStart w:id="595" w:name="_Toc468718429"/>
      <w:bookmarkStart w:id="596" w:name="_Toc468719409"/>
      <w:r w:rsidRPr="00F8101A">
        <w:rPr>
          <w:rFonts w:eastAsiaTheme="majorEastAsia"/>
        </w:rPr>
        <w:t xml:space="preserve">Existing reviews </w:t>
      </w:r>
      <w:r w:rsidR="005B311C">
        <w:rPr>
          <w:rFonts w:eastAsiaTheme="majorEastAsia"/>
        </w:rPr>
        <w:t>–</w:t>
      </w:r>
      <w:r w:rsidRPr="00F8101A">
        <w:rPr>
          <w:rFonts w:eastAsiaTheme="majorEastAsia"/>
        </w:rPr>
        <w:t xml:space="preserve"> overview</w:t>
      </w:r>
      <w:bookmarkEnd w:id="590"/>
      <w:bookmarkEnd w:id="591"/>
      <w:bookmarkEnd w:id="592"/>
      <w:bookmarkEnd w:id="593"/>
      <w:bookmarkEnd w:id="594"/>
      <w:bookmarkEnd w:id="595"/>
      <w:bookmarkEnd w:id="596"/>
    </w:p>
    <w:p w14:paraId="19A13000" w14:textId="197208E3" w:rsidR="00F8101A" w:rsidRPr="00F8101A" w:rsidRDefault="00F8101A" w:rsidP="00A111E9">
      <w:pPr>
        <w:widowControl/>
        <w:rPr>
          <w:rFonts w:eastAsiaTheme="minorHAnsi" w:cstheme="minorBidi"/>
          <w:szCs w:val="22"/>
          <w:lang w:bidi="ar-SA"/>
        </w:rPr>
      </w:pPr>
      <w:r w:rsidRPr="00F8101A">
        <w:rPr>
          <w:rFonts w:eastAsiaTheme="minorHAnsi" w:cstheme="minorBidi"/>
          <w:szCs w:val="22"/>
          <w:lang w:bidi="ar-SA"/>
        </w:rPr>
        <w:t xml:space="preserve">Table </w:t>
      </w:r>
      <w:r w:rsidR="006340CD">
        <w:rPr>
          <w:rFonts w:eastAsiaTheme="minorHAnsi" w:cstheme="minorBidi"/>
          <w:szCs w:val="22"/>
          <w:lang w:bidi="ar-SA"/>
        </w:rPr>
        <w:t>A2.</w:t>
      </w:r>
      <w:r w:rsidRPr="00F8101A">
        <w:rPr>
          <w:rFonts w:eastAsiaTheme="minorHAnsi" w:cstheme="minorBidi"/>
          <w:szCs w:val="22"/>
          <w:lang w:bidi="ar-SA"/>
        </w:rPr>
        <w:t xml:space="preserve">2 shows the papers referred to in the reports. EFSA referred to five papers of PFOA which were published between 1980 and 2007 (EFSA 2008) whereas the US EPA report on PFOA refers to papers published between 2003 and </w:t>
      </w:r>
      <w:r w:rsidRPr="004766BF">
        <w:rPr>
          <w:rFonts w:eastAsiaTheme="minorHAnsi" w:cstheme="minorBidi"/>
          <w:szCs w:val="22"/>
          <w:lang w:bidi="ar-SA"/>
        </w:rPr>
        <w:t>2015 (</w:t>
      </w:r>
      <w:r w:rsidR="00406EF6" w:rsidRPr="004766BF">
        <w:rPr>
          <w:rFonts w:eastAsiaTheme="minorHAnsi" w:cstheme="minorBidi"/>
          <w:szCs w:val="22"/>
          <w:lang w:bidi="ar-SA"/>
        </w:rPr>
        <w:t xml:space="preserve">US </w:t>
      </w:r>
      <w:r w:rsidRPr="004766BF">
        <w:rPr>
          <w:rFonts w:eastAsiaTheme="minorHAnsi" w:cstheme="minorBidi"/>
          <w:szCs w:val="22"/>
          <w:lang w:bidi="ar-SA"/>
        </w:rPr>
        <w:t>EPA, 2016</w:t>
      </w:r>
      <w:r w:rsidR="004766BF" w:rsidRPr="004766BF">
        <w:rPr>
          <w:rFonts w:eastAsiaTheme="minorHAnsi" w:cstheme="minorBidi"/>
          <w:szCs w:val="22"/>
          <w:lang w:bidi="ar-SA"/>
        </w:rPr>
        <w:t>b</w:t>
      </w:r>
      <w:r w:rsidRPr="004766BF">
        <w:rPr>
          <w:rFonts w:eastAsiaTheme="minorHAnsi" w:cstheme="minorBidi"/>
          <w:szCs w:val="22"/>
          <w:lang w:bidi="ar-SA"/>
        </w:rPr>
        <w:t>). T</w:t>
      </w:r>
      <w:r w:rsidRPr="00F8101A">
        <w:rPr>
          <w:rFonts w:eastAsiaTheme="minorHAnsi" w:cs="Arial"/>
          <w:szCs w:val="22"/>
          <w:lang w:bidi="ar-SA"/>
        </w:rPr>
        <w:t xml:space="preserve">hree papers published prior to 2000 cited by EFSA were not discussed in the </w:t>
      </w:r>
      <w:r w:rsidR="00EF0069">
        <w:rPr>
          <w:rFonts w:eastAsiaTheme="minorHAnsi" w:cs="Arial"/>
          <w:szCs w:val="22"/>
          <w:lang w:bidi="ar-SA"/>
        </w:rPr>
        <w:t xml:space="preserve">US </w:t>
      </w:r>
      <w:r w:rsidRPr="00F8101A">
        <w:rPr>
          <w:rFonts w:eastAsiaTheme="minorHAnsi" w:cs="Arial"/>
          <w:szCs w:val="22"/>
          <w:lang w:bidi="ar-SA"/>
        </w:rPr>
        <w:t>EPA report.</w:t>
      </w:r>
    </w:p>
    <w:p w14:paraId="57BB1DDB" w14:textId="77777777" w:rsidR="00F8101A" w:rsidRPr="00F8101A" w:rsidRDefault="00F8101A" w:rsidP="00A111E9">
      <w:pPr>
        <w:widowControl/>
        <w:rPr>
          <w:rFonts w:eastAsiaTheme="minorHAnsi" w:cstheme="minorBidi"/>
          <w:szCs w:val="22"/>
          <w:lang w:bidi="ar-SA"/>
        </w:rPr>
      </w:pPr>
    </w:p>
    <w:p w14:paraId="40753AB1" w14:textId="222F4915" w:rsidR="00F8101A" w:rsidRPr="00F8101A" w:rsidRDefault="00F8101A" w:rsidP="00A111E9">
      <w:pPr>
        <w:widowControl/>
        <w:rPr>
          <w:rFonts w:eastAsiaTheme="minorHAnsi" w:cstheme="minorBidi"/>
          <w:szCs w:val="22"/>
          <w:lang w:bidi="ar-SA"/>
        </w:rPr>
      </w:pPr>
      <w:r w:rsidRPr="00F8101A">
        <w:rPr>
          <w:rFonts w:eastAsiaTheme="minorHAnsi" w:cstheme="minorBidi"/>
          <w:szCs w:val="22"/>
          <w:lang w:bidi="ar-SA"/>
        </w:rPr>
        <w:t xml:space="preserve">Table </w:t>
      </w:r>
      <w:r w:rsidR="00C52465">
        <w:rPr>
          <w:rFonts w:eastAsiaTheme="minorHAnsi" w:cstheme="minorBidi"/>
          <w:szCs w:val="22"/>
          <w:lang w:bidi="ar-SA"/>
        </w:rPr>
        <w:t>A2.</w:t>
      </w:r>
      <w:r w:rsidRPr="00F8101A">
        <w:rPr>
          <w:rFonts w:eastAsiaTheme="minorHAnsi" w:cstheme="minorBidi"/>
          <w:szCs w:val="22"/>
          <w:lang w:bidi="ar-SA"/>
        </w:rPr>
        <w:t xml:space="preserve">2 also shows the range of styles in which each paper reported the association between PFAS and serum cholesterol concentration. Many </w:t>
      </w:r>
      <w:r w:rsidR="000D3A2D">
        <w:rPr>
          <w:rFonts w:eastAsiaTheme="minorHAnsi" w:cstheme="minorBidi"/>
          <w:szCs w:val="22"/>
          <w:lang w:bidi="ar-SA"/>
        </w:rPr>
        <w:t>used</w:t>
      </w:r>
      <w:r w:rsidRPr="00F8101A">
        <w:rPr>
          <w:rFonts w:eastAsiaTheme="minorHAnsi" w:cstheme="minorBidi"/>
          <w:szCs w:val="22"/>
          <w:lang w:bidi="ar-SA"/>
        </w:rPr>
        <w:t xml:space="preserve"> linear regression, with or without logarithmic transformation of the PFAS concentrations, some used the PFAS data as a continuous variable while others categorised it into between </w:t>
      </w:r>
      <w:r w:rsidR="000D3A2D">
        <w:rPr>
          <w:rFonts w:eastAsiaTheme="minorHAnsi" w:cstheme="minorBidi"/>
          <w:szCs w:val="22"/>
          <w:lang w:bidi="ar-SA"/>
        </w:rPr>
        <w:t>three</w:t>
      </w:r>
      <w:r w:rsidRPr="00F8101A">
        <w:rPr>
          <w:rFonts w:eastAsiaTheme="minorHAnsi" w:cstheme="minorBidi"/>
          <w:szCs w:val="22"/>
          <w:lang w:bidi="ar-SA"/>
        </w:rPr>
        <w:t xml:space="preserve"> and 10 quantiles. Some </w:t>
      </w:r>
      <w:r w:rsidR="00116049">
        <w:rPr>
          <w:rFonts w:eastAsiaTheme="minorHAnsi" w:cstheme="minorBidi"/>
          <w:szCs w:val="22"/>
          <w:lang w:bidi="ar-SA"/>
        </w:rPr>
        <w:t xml:space="preserve">papers </w:t>
      </w:r>
      <w:r w:rsidRPr="00F8101A">
        <w:rPr>
          <w:rFonts w:eastAsiaTheme="minorHAnsi" w:cstheme="minorBidi"/>
          <w:szCs w:val="22"/>
          <w:lang w:bidi="ar-SA"/>
        </w:rPr>
        <w:t>reported results from both continuous and categorical analyses. Most</w:t>
      </w:r>
      <w:r w:rsidR="000D3A2D">
        <w:rPr>
          <w:rFonts w:eastAsiaTheme="minorHAnsi" w:cstheme="minorBidi"/>
          <w:szCs w:val="22"/>
          <w:lang w:bidi="ar-SA"/>
        </w:rPr>
        <w:t>, but not all,</w:t>
      </w:r>
      <w:r w:rsidRPr="00F8101A">
        <w:rPr>
          <w:rFonts w:eastAsiaTheme="minorHAnsi" w:cstheme="minorBidi"/>
          <w:szCs w:val="22"/>
          <w:lang w:bidi="ar-SA"/>
        </w:rPr>
        <w:t xml:space="preserve"> papers treated PFAS a</w:t>
      </w:r>
      <w:r w:rsidR="00116049">
        <w:rPr>
          <w:rFonts w:eastAsiaTheme="minorHAnsi" w:cstheme="minorBidi"/>
          <w:szCs w:val="22"/>
          <w:lang w:bidi="ar-SA"/>
        </w:rPr>
        <w:t>s</w:t>
      </w:r>
      <w:r w:rsidRPr="00F8101A">
        <w:rPr>
          <w:rFonts w:eastAsiaTheme="minorHAnsi" w:cstheme="minorBidi"/>
          <w:szCs w:val="22"/>
          <w:lang w:bidi="ar-SA"/>
        </w:rPr>
        <w:t xml:space="preserve"> the dependent variable and cholesterol as the independent variable</w:t>
      </w:r>
      <w:r w:rsidR="00CB2756">
        <w:rPr>
          <w:rFonts w:eastAsiaTheme="minorHAnsi" w:cstheme="minorBidi"/>
          <w:szCs w:val="22"/>
          <w:lang w:bidi="ar-SA"/>
        </w:rPr>
        <w:t>.</w:t>
      </w:r>
    </w:p>
    <w:p w14:paraId="6C5973DC" w14:textId="77777777" w:rsidR="00F8101A" w:rsidRPr="00F8101A" w:rsidRDefault="00F8101A" w:rsidP="00A111E9">
      <w:pPr>
        <w:widowControl/>
        <w:rPr>
          <w:rFonts w:eastAsiaTheme="minorHAnsi" w:cstheme="minorBidi"/>
          <w:szCs w:val="22"/>
          <w:lang w:bidi="ar-SA"/>
        </w:rPr>
      </w:pPr>
    </w:p>
    <w:p w14:paraId="6A1532C6" w14:textId="77777777" w:rsidR="00C97E64" w:rsidRDefault="00F8101A" w:rsidP="00A111E9">
      <w:pPr>
        <w:widowControl/>
        <w:rPr>
          <w:rFonts w:eastAsiaTheme="minorHAnsi" w:cstheme="minorBidi"/>
          <w:szCs w:val="22"/>
          <w:lang w:bidi="ar-SA"/>
        </w:rPr>
      </w:pPr>
      <w:r w:rsidRPr="00F8101A">
        <w:rPr>
          <w:rFonts w:eastAsiaTheme="minorHAnsi" w:cstheme="minorBidi"/>
          <w:szCs w:val="22"/>
          <w:lang w:bidi="ar-SA"/>
        </w:rPr>
        <w:t xml:space="preserve">It is evident that most papers have been published after the EFSA report was released. The table also shows a number of </w:t>
      </w:r>
      <w:r w:rsidR="0041475C">
        <w:rPr>
          <w:rFonts w:eastAsiaTheme="minorHAnsi" w:cstheme="minorBidi"/>
          <w:szCs w:val="22"/>
          <w:lang w:bidi="ar-SA"/>
        </w:rPr>
        <w:t xml:space="preserve">study </w:t>
      </w:r>
      <w:r w:rsidRPr="00F8101A">
        <w:rPr>
          <w:rFonts w:eastAsiaTheme="minorHAnsi" w:cstheme="minorBidi"/>
          <w:szCs w:val="22"/>
          <w:lang w:bidi="ar-SA"/>
        </w:rPr>
        <w:t>reports which FSANZ has not been able to access. However</w:t>
      </w:r>
      <w:r w:rsidR="007F02A2">
        <w:rPr>
          <w:rFonts w:eastAsiaTheme="minorHAnsi" w:cstheme="minorBidi"/>
          <w:szCs w:val="22"/>
          <w:lang w:bidi="ar-SA"/>
        </w:rPr>
        <w:t>,</w:t>
      </w:r>
      <w:r w:rsidRPr="00F8101A">
        <w:rPr>
          <w:rFonts w:eastAsiaTheme="minorHAnsi" w:cstheme="minorBidi"/>
          <w:szCs w:val="22"/>
          <w:lang w:bidi="ar-SA"/>
        </w:rPr>
        <w:t xml:space="preserve"> descriptions of these reports indicate that their results were </w:t>
      </w:r>
      <w:r w:rsidR="0041475C">
        <w:rPr>
          <w:rFonts w:eastAsiaTheme="minorHAnsi" w:cstheme="minorBidi"/>
          <w:szCs w:val="22"/>
          <w:lang w:bidi="ar-SA"/>
        </w:rPr>
        <w:t>also</w:t>
      </w:r>
      <w:r w:rsidRPr="00F8101A">
        <w:rPr>
          <w:rFonts w:eastAsiaTheme="minorHAnsi" w:cstheme="minorBidi"/>
          <w:szCs w:val="22"/>
          <w:lang w:bidi="ar-SA"/>
        </w:rPr>
        <w:t xml:space="preserve"> published in the papers from the 3M study of the same period. Table </w:t>
      </w:r>
      <w:r w:rsidR="00C52465">
        <w:rPr>
          <w:rFonts w:eastAsiaTheme="minorHAnsi" w:cstheme="minorBidi"/>
          <w:szCs w:val="22"/>
          <w:lang w:bidi="ar-SA"/>
        </w:rPr>
        <w:t>A2.</w:t>
      </w:r>
      <w:r w:rsidRPr="00F8101A">
        <w:rPr>
          <w:rFonts w:eastAsiaTheme="minorHAnsi" w:cstheme="minorBidi"/>
          <w:szCs w:val="22"/>
          <w:lang w:bidi="ar-SA"/>
        </w:rPr>
        <w:t>2 also shows FSANZ’s conclusion about whether to include each paper in its assessment. The rationale for FSANZ’s decision is given in the following sections.</w:t>
      </w:r>
    </w:p>
    <w:p w14:paraId="4F80BD77" w14:textId="4A49B922" w:rsidR="00F8101A" w:rsidRPr="00F8101A" w:rsidRDefault="00C97E64" w:rsidP="00A111E9">
      <w:pPr>
        <w:widowControl/>
        <w:rPr>
          <w:rFonts w:eastAsiaTheme="minorHAnsi" w:cstheme="minorBidi"/>
          <w:szCs w:val="22"/>
          <w:lang w:bidi="ar-SA"/>
        </w:rPr>
      </w:pPr>
      <w:r w:rsidRPr="00F8101A">
        <w:rPr>
          <w:rFonts w:eastAsiaTheme="minorHAnsi" w:cstheme="minorBidi"/>
          <w:szCs w:val="22"/>
          <w:lang w:bidi="ar-SA"/>
        </w:rPr>
        <w:t xml:space="preserve"> </w:t>
      </w:r>
    </w:p>
    <w:p w14:paraId="65D0B3E1" w14:textId="77777777" w:rsidR="00C97E64" w:rsidRDefault="00C97E64">
      <w:pPr>
        <w:widowControl/>
        <w:rPr>
          <w:rFonts w:eastAsiaTheme="minorHAnsi" w:cs="Arial"/>
          <w:b/>
        </w:rPr>
      </w:pPr>
      <w:r>
        <w:rPr>
          <w:rFonts w:eastAsiaTheme="minorHAnsi"/>
        </w:rPr>
        <w:br w:type="page"/>
      </w:r>
    </w:p>
    <w:p w14:paraId="4BD84EC7" w14:textId="09503A14" w:rsidR="000830C5" w:rsidRPr="000830C5" w:rsidRDefault="00F8101A" w:rsidP="000830C5">
      <w:pPr>
        <w:pStyle w:val="FSTableTitle"/>
        <w:rPr>
          <w:rFonts w:eastAsiaTheme="minorHAnsi"/>
        </w:rPr>
      </w:pPr>
      <w:r w:rsidRPr="00F8101A">
        <w:rPr>
          <w:rFonts w:eastAsiaTheme="minorHAnsi"/>
        </w:rPr>
        <w:lastRenderedPageBreak/>
        <w:t xml:space="preserve">Table </w:t>
      </w:r>
      <w:r w:rsidR="00C44F1E">
        <w:rPr>
          <w:rFonts w:eastAsiaTheme="minorHAnsi"/>
          <w:lang w:bidi="ar-SA"/>
        </w:rPr>
        <w:t>A</w:t>
      </w:r>
      <w:r w:rsidRPr="00F8101A">
        <w:rPr>
          <w:rFonts w:eastAsiaTheme="minorHAnsi"/>
          <w:lang w:bidi="ar-SA"/>
        </w:rPr>
        <w:t>2</w:t>
      </w:r>
      <w:r w:rsidR="00C44F1E">
        <w:rPr>
          <w:rFonts w:eastAsiaTheme="minorHAnsi"/>
          <w:lang w:bidi="ar-SA"/>
        </w:rPr>
        <w:t>.</w:t>
      </w:r>
      <w:r>
        <w:rPr>
          <w:rFonts w:eastAsiaTheme="minorHAnsi"/>
        </w:rPr>
        <w:t>2</w:t>
      </w:r>
      <w:r w:rsidRPr="00F8101A">
        <w:rPr>
          <w:rFonts w:eastAsiaTheme="minorHAnsi"/>
        </w:rPr>
        <w:t xml:space="preserve"> Papers cited by EFSA (2008) and</w:t>
      </w:r>
      <w:r w:rsidR="00406EF6">
        <w:rPr>
          <w:rFonts w:eastAsiaTheme="minorHAnsi"/>
        </w:rPr>
        <w:t xml:space="preserve"> US</w:t>
      </w:r>
      <w:r w:rsidRPr="00F8101A">
        <w:rPr>
          <w:rFonts w:eastAsiaTheme="minorHAnsi"/>
        </w:rPr>
        <w:t xml:space="preserve"> EPA (2016</w:t>
      </w:r>
      <w:r w:rsidR="0041475C">
        <w:rPr>
          <w:rFonts w:eastAsiaTheme="minorHAnsi"/>
        </w:rPr>
        <w:t>a, 2016b</w:t>
      </w:r>
      <w:r w:rsidRPr="00F8101A">
        <w:rPr>
          <w:rFonts w:eastAsiaTheme="minorHAnsi"/>
        </w:rPr>
        <w:t>) reports and FSANZ’s decision about whether to include or exclude these papers from the graphical presentation</w:t>
      </w:r>
    </w:p>
    <w:tbl>
      <w:tblPr>
        <w:tblStyle w:val="TableGrid14"/>
        <w:tblpPr w:leftFromText="180" w:rightFromText="180" w:vertAnchor="text" w:horzAnchor="margin" w:tblpY="1135"/>
        <w:tblW w:w="9322" w:type="dxa"/>
        <w:tblLayout w:type="fixed"/>
        <w:tblLook w:val="04A0" w:firstRow="1" w:lastRow="0" w:firstColumn="1" w:lastColumn="0" w:noHBand="0" w:noVBand="1"/>
        <w:tblCaption w:val="FSANZ’s decision about whether to include or exclude these papers from the graphical presentation"/>
        <w:tblDescription w:val="This table contains data relating to FSANZ’s decision about whether to include or exclude these papers from the graphical presentation."/>
      </w:tblPr>
      <w:tblGrid>
        <w:gridCol w:w="916"/>
        <w:gridCol w:w="707"/>
        <w:gridCol w:w="753"/>
        <w:gridCol w:w="851"/>
        <w:gridCol w:w="992"/>
        <w:gridCol w:w="709"/>
        <w:gridCol w:w="2693"/>
        <w:gridCol w:w="425"/>
        <w:gridCol w:w="709"/>
        <w:gridCol w:w="567"/>
      </w:tblGrid>
      <w:tr w:rsidR="00F8101A" w:rsidRPr="00F8101A" w14:paraId="77CF9DDE" w14:textId="77777777" w:rsidTr="000830C5">
        <w:trPr>
          <w:cantSplit/>
          <w:trHeight w:val="1287"/>
          <w:tblHeader/>
        </w:trPr>
        <w:tc>
          <w:tcPr>
            <w:tcW w:w="916" w:type="dxa"/>
            <w:shd w:val="clear" w:color="auto" w:fill="F2F2F2" w:themeFill="background1" w:themeFillShade="F2"/>
          </w:tcPr>
          <w:p w14:paraId="408B5292" w14:textId="047D9BE9" w:rsidR="00F8101A" w:rsidRPr="000E7153" w:rsidRDefault="0041475C" w:rsidP="0041475C">
            <w:pPr>
              <w:widowControl/>
              <w:rPr>
                <w:rFonts w:eastAsiaTheme="minorHAnsi"/>
                <w:b/>
                <w:sz w:val="20"/>
                <w:vertAlign w:val="subscript"/>
              </w:rPr>
            </w:pPr>
            <w:r>
              <w:rPr>
                <w:rFonts w:eastAsiaTheme="minorHAnsi"/>
                <w:b/>
                <w:sz w:val="20"/>
                <w:vertAlign w:val="subscript"/>
              </w:rPr>
              <w:t>First a</w:t>
            </w:r>
            <w:r w:rsidR="00F8101A" w:rsidRPr="000E7153">
              <w:rPr>
                <w:rFonts w:eastAsiaTheme="minorHAnsi"/>
                <w:b/>
                <w:sz w:val="20"/>
                <w:vertAlign w:val="subscript"/>
              </w:rPr>
              <w:t>uthor</w:t>
            </w:r>
          </w:p>
        </w:tc>
        <w:tc>
          <w:tcPr>
            <w:tcW w:w="707" w:type="dxa"/>
            <w:shd w:val="clear" w:color="auto" w:fill="F2F2F2" w:themeFill="background1" w:themeFillShade="F2"/>
            <w:textDirection w:val="btLr"/>
          </w:tcPr>
          <w:p w14:paraId="3BEB7C1D" w14:textId="77777777" w:rsidR="00F8101A" w:rsidRPr="000E7153" w:rsidRDefault="00F8101A" w:rsidP="00A111E9">
            <w:pPr>
              <w:widowControl/>
              <w:ind w:left="113" w:right="113"/>
              <w:rPr>
                <w:rFonts w:eastAsiaTheme="minorHAnsi"/>
                <w:b/>
                <w:sz w:val="20"/>
                <w:vertAlign w:val="subscript"/>
              </w:rPr>
            </w:pPr>
            <w:r w:rsidRPr="000E7153">
              <w:rPr>
                <w:rFonts w:eastAsiaTheme="minorHAnsi"/>
                <w:b/>
                <w:sz w:val="20"/>
                <w:vertAlign w:val="subscript"/>
              </w:rPr>
              <w:t>Year of publication</w:t>
            </w:r>
          </w:p>
        </w:tc>
        <w:tc>
          <w:tcPr>
            <w:tcW w:w="753" w:type="dxa"/>
            <w:shd w:val="clear" w:color="auto" w:fill="F2F2F2" w:themeFill="background1" w:themeFillShade="F2"/>
          </w:tcPr>
          <w:p w14:paraId="54052C8A" w14:textId="77777777" w:rsidR="00F8101A" w:rsidRPr="000E7153" w:rsidRDefault="00F8101A" w:rsidP="00A111E9">
            <w:pPr>
              <w:widowControl/>
              <w:rPr>
                <w:rFonts w:eastAsiaTheme="minorHAnsi"/>
                <w:b/>
                <w:sz w:val="20"/>
                <w:vertAlign w:val="subscript"/>
              </w:rPr>
            </w:pPr>
            <w:r w:rsidRPr="000E7153">
              <w:rPr>
                <w:rFonts w:eastAsiaTheme="minorHAnsi"/>
                <w:b/>
                <w:sz w:val="20"/>
                <w:vertAlign w:val="subscript"/>
              </w:rPr>
              <w:t>Location of study</w:t>
            </w:r>
          </w:p>
        </w:tc>
        <w:tc>
          <w:tcPr>
            <w:tcW w:w="851" w:type="dxa"/>
            <w:shd w:val="clear" w:color="auto" w:fill="F2F2F2" w:themeFill="background1" w:themeFillShade="F2"/>
          </w:tcPr>
          <w:p w14:paraId="658A9953" w14:textId="77777777" w:rsidR="00F8101A" w:rsidRPr="000E7153" w:rsidRDefault="00F8101A" w:rsidP="00A111E9">
            <w:pPr>
              <w:widowControl/>
              <w:rPr>
                <w:rFonts w:eastAsiaTheme="minorHAnsi"/>
                <w:b/>
                <w:sz w:val="20"/>
                <w:vertAlign w:val="subscript"/>
              </w:rPr>
            </w:pPr>
            <w:r w:rsidRPr="000E7153">
              <w:rPr>
                <w:rFonts w:eastAsiaTheme="minorHAnsi"/>
                <w:b/>
                <w:sz w:val="20"/>
                <w:vertAlign w:val="subscript"/>
              </w:rPr>
              <w:t>Study</w:t>
            </w:r>
          </w:p>
        </w:tc>
        <w:tc>
          <w:tcPr>
            <w:tcW w:w="992" w:type="dxa"/>
            <w:shd w:val="clear" w:color="auto" w:fill="F2F2F2" w:themeFill="background1" w:themeFillShade="F2"/>
            <w:textDirection w:val="btLr"/>
          </w:tcPr>
          <w:p w14:paraId="1128F446" w14:textId="77777777" w:rsidR="00F8101A" w:rsidRPr="000E7153" w:rsidRDefault="00F8101A" w:rsidP="00A111E9">
            <w:pPr>
              <w:widowControl/>
              <w:ind w:left="113" w:right="113"/>
              <w:rPr>
                <w:rFonts w:eastAsiaTheme="minorHAnsi"/>
                <w:b/>
                <w:sz w:val="20"/>
                <w:vertAlign w:val="subscript"/>
              </w:rPr>
            </w:pPr>
            <w:r w:rsidRPr="000E7153">
              <w:rPr>
                <w:rFonts w:eastAsiaTheme="minorHAnsi"/>
                <w:b/>
                <w:sz w:val="20"/>
                <w:vertAlign w:val="subscript"/>
              </w:rPr>
              <w:t>Year of data collection</w:t>
            </w:r>
          </w:p>
        </w:tc>
        <w:tc>
          <w:tcPr>
            <w:tcW w:w="709" w:type="dxa"/>
            <w:shd w:val="clear" w:color="auto" w:fill="F2F2F2" w:themeFill="background1" w:themeFillShade="F2"/>
          </w:tcPr>
          <w:p w14:paraId="6B2FE337" w14:textId="77777777" w:rsidR="00F8101A" w:rsidRPr="000E7153" w:rsidRDefault="00F8101A" w:rsidP="00A111E9">
            <w:pPr>
              <w:widowControl/>
              <w:rPr>
                <w:rFonts w:eastAsiaTheme="minorHAnsi"/>
                <w:b/>
                <w:sz w:val="20"/>
                <w:vertAlign w:val="subscript"/>
              </w:rPr>
            </w:pPr>
            <w:r w:rsidRPr="000E7153">
              <w:rPr>
                <w:rFonts w:eastAsiaTheme="minorHAnsi"/>
                <w:b/>
                <w:sz w:val="20"/>
                <w:vertAlign w:val="subscript"/>
              </w:rPr>
              <w:t>N subjects</w:t>
            </w:r>
          </w:p>
          <w:p w14:paraId="272CA141" w14:textId="77777777" w:rsidR="00F8101A" w:rsidRPr="000E7153" w:rsidRDefault="00F8101A" w:rsidP="00A111E9">
            <w:pPr>
              <w:widowControl/>
              <w:rPr>
                <w:rFonts w:eastAsiaTheme="minorHAnsi"/>
                <w:b/>
                <w:sz w:val="20"/>
                <w:vertAlign w:val="subscript"/>
              </w:rPr>
            </w:pPr>
          </w:p>
          <w:p w14:paraId="76330038" w14:textId="77777777" w:rsidR="00F8101A" w:rsidRPr="000E7153" w:rsidRDefault="00F8101A" w:rsidP="00A111E9">
            <w:pPr>
              <w:widowControl/>
              <w:rPr>
                <w:rFonts w:eastAsiaTheme="minorHAnsi"/>
                <w:b/>
                <w:sz w:val="20"/>
                <w:vertAlign w:val="subscript"/>
              </w:rPr>
            </w:pPr>
          </w:p>
        </w:tc>
        <w:tc>
          <w:tcPr>
            <w:tcW w:w="2693" w:type="dxa"/>
            <w:shd w:val="clear" w:color="auto" w:fill="F2F2F2" w:themeFill="background1" w:themeFillShade="F2"/>
          </w:tcPr>
          <w:p w14:paraId="1D9C5ABC" w14:textId="146F1EAE" w:rsidR="00F8101A" w:rsidRPr="000E7153" w:rsidRDefault="00F8101A" w:rsidP="00A111E9">
            <w:pPr>
              <w:widowControl/>
              <w:rPr>
                <w:rFonts w:eastAsiaTheme="minorHAnsi"/>
                <w:b/>
                <w:sz w:val="20"/>
                <w:vertAlign w:val="subscript"/>
              </w:rPr>
            </w:pPr>
            <w:r w:rsidRPr="000E7153">
              <w:rPr>
                <w:rFonts w:eastAsiaTheme="minorHAnsi"/>
                <w:b/>
                <w:sz w:val="20"/>
                <w:vertAlign w:val="subscript"/>
              </w:rPr>
              <w:t xml:space="preserve">Reporting format used by authors to describe the association of cholesterol with PFAS </w:t>
            </w:r>
          </w:p>
        </w:tc>
        <w:tc>
          <w:tcPr>
            <w:tcW w:w="425" w:type="dxa"/>
            <w:shd w:val="clear" w:color="auto" w:fill="F2F2F2" w:themeFill="background1" w:themeFillShade="F2"/>
            <w:textDirection w:val="btLr"/>
          </w:tcPr>
          <w:p w14:paraId="1251917A" w14:textId="77777777" w:rsidR="00F8101A" w:rsidRPr="000E7153" w:rsidRDefault="00F8101A" w:rsidP="00A111E9">
            <w:pPr>
              <w:widowControl/>
              <w:ind w:left="113" w:right="113"/>
              <w:rPr>
                <w:rFonts w:eastAsiaTheme="minorHAnsi"/>
                <w:b/>
                <w:sz w:val="20"/>
                <w:vertAlign w:val="subscript"/>
              </w:rPr>
            </w:pPr>
            <w:r w:rsidRPr="000E7153">
              <w:rPr>
                <w:rFonts w:eastAsiaTheme="minorHAnsi"/>
                <w:b/>
                <w:sz w:val="20"/>
                <w:vertAlign w:val="subscript"/>
              </w:rPr>
              <w:t>EFSA 2008</w:t>
            </w:r>
          </w:p>
        </w:tc>
        <w:tc>
          <w:tcPr>
            <w:tcW w:w="709" w:type="dxa"/>
            <w:shd w:val="clear" w:color="auto" w:fill="F2F2F2" w:themeFill="background1" w:themeFillShade="F2"/>
            <w:textDirection w:val="btLr"/>
          </w:tcPr>
          <w:p w14:paraId="5E46AB1E" w14:textId="5FE27A90" w:rsidR="00F8101A" w:rsidRPr="000E7153" w:rsidRDefault="00406EF6" w:rsidP="00A111E9">
            <w:pPr>
              <w:widowControl/>
              <w:ind w:left="113" w:right="113"/>
              <w:rPr>
                <w:rFonts w:eastAsiaTheme="minorHAnsi"/>
                <w:b/>
                <w:sz w:val="20"/>
                <w:vertAlign w:val="subscript"/>
              </w:rPr>
            </w:pPr>
            <w:r>
              <w:rPr>
                <w:rFonts w:eastAsiaTheme="minorHAnsi"/>
                <w:b/>
                <w:sz w:val="20"/>
                <w:vertAlign w:val="subscript"/>
              </w:rPr>
              <w:t xml:space="preserve">US </w:t>
            </w:r>
            <w:r w:rsidR="00F8101A" w:rsidRPr="000E7153">
              <w:rPr>
                <w:rFonts w:eastAsiaTheme="minorHAnsi"/>
                <w:b/>
                <w:sz w:val="20"/>
                <w:vertAlign w:val="subscript"/>
              </w:rPr>
              <w:t>EPA 2016 a, 2016b</w:t>
            </w:r>
          </w:p>
          <w:p w14:paraId="581F87C5" w14:textId="77777777" w:rsidR="00F8101A" w:rsidRPr="000E7153" w:rsidRDefault="00F8101A" w:rsidP="00A111E9">
            <w:pPr>
              <w:widowControl/>
              <w:ind w:left="113" w:right="113"/>
              <w:rPr>
                <w:rFonts w:eastAsiaTheme="minorHAnsi"/>
                <w:b/>
                <w:sz w:val="20"/>
                <w:vertAlign w:val="subscript"/>
              </w:rPr>
            </w:pPr>
            <w:r w:rsidRPr="000E7153">
              <w:rPr>
                <w:rFonts w:eastAsiaTheme="minorHAnsi"/>
                <w:b/>
                <w:sz w:val="20"/>
                <w:vertAlign w:val="subscript"/>
              </w:rPr>
              <w:t>PFOA</w:t>
            </w:r>
          </w:p>
        </w:tc>
        <w:tc>
          <w:tcPr>
            <w:tcW w:w="567" w:type="dxa"/>
            <w:shd w:val="clear" w:color="auto" w:fill="F2F2F2" w:themeFill="background1" w:themeFillShade="F2"/>
            <w:textDirection w:val="btLr"/>
          </w:tcPr>
          <w:p w14:paraId="4CA883A8" w14:textId="77777777" w:rsidR="00F8101A" w:rsidRPr="000E7153" w:rsidRDefault="00F8101A" w:rsidP="00A111E9">
            <w:pPr>
              <w:widowControl/>
              <w:ind w:left="113" w:right="113"/>
              <w:rPr>
                <w:rFonts w:eastAsiaTheme="minorHAnsi"/>
                <w:b/>
                <w:sz w:val="20"/>
                <w:vertAlign w:val="subscript"/>
              </w:rPr>
            </w:pPr>
            <w:r w:rsidRPr="000E7153">
              <w:rPr>
                <w:rFonts w:eastAsiaTheme="minorHAnsi"/>
                <w:b/>
                <w:sz w:val="20"/>
                <w:vertAlign w:val="subscript"/>
              </w:rPr>
              <w:t>FSANZ</w:t>
            </w:r>
          </w:p>
        </w:tc>
      </w:tr>
      <w:tr w:rsidR="00F8101A" w:rsidRPr="00F8101A" w14:paraId="76C12760" w14:textId="77777777" w:rsidTr="00D95A2C">
        <w:trPr>
          <w:trHeight w:val="166"/>
        </w:trPr>
        <w:tc>
          <w:tcPr>
            <w:tcW w:w="916" w:type="dxa"/>
          </w:tcPr>
          <w:p w14:paraId="72E845AE"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Ubel</w:t>
            </w:r>
          </w:p>
        </w:tc>
        <w:tc>
          <w:tcPr>
            <w:tcW w:w="707" w:type="dxa"/>
          </w:tcPr>
          <w:p w14:paraId="53C623F6"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1980</w:t>
            </w:r>
          </w:p>
        </w:tc>
        <w:tc>
          <w:tcPr>
            <w:tcW w:w="753" w:type="dxa"/>
          </w:tcPr>
          <w:p w14:paraId="735E8907" w14:textId="77777777" w:rsidR="00F8101A" w:rsidRPr="00F8101A" w:rsidRDefault="00F8101A" w:rsidP="00A111E9">
            <w:pPr>
              <w:widowControl/>
              <w:rPr>
                <w:rFonts w:asciiTheme="minorHAnsi" w:eastAsiaTheme="minorHAnsi" w:hAnsiTheme="minorHAnsi" w:cs="Arial"/>
                <w:sz w:val="20"/>
                <w:szCs w:val="20"/>
                <w:vertAlign w:val="subscript"/>
                <w:lang w:bidi="ar-SA"/>
              </w:rPr>
            </w:pPr>
          </w:p>
        </w:tc>
        <w:tc>
          <w:tcPr>
            <w:tcW w:w="851" w:type="dxa"/>
          </w:tcPr>
          <w:p w14:paraId="0CBBCAA1"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3M</w:t>
            </w:r>
          </w:p>
        </w:tc>
        <w:tc>
          <w:tcPr>
            <w:tcW w:w="992" w:type="dxa"/>
          </w:tcPr>
          <w:p w14:paraId="1B594A59" w14:textId="3620B67E" w:rsidR="00F8101A" w:rsidRPr="00F8101A" w:rsidRDefault="00CB2756" w:rsidP="00A111E9">
            <w:pPr>
              <w:widowControl/>
              <w:rPr>
                <w:rFonts w:asciiTheme="minorHAnsi" w:eastAsiaTheme="minorHAnsi" w:hAnsiTheme="minorHAnsi" w:cs="Arial"/>
                <w:sz w:val="20"/>
                <w:szCs w:val="20"/>
                <w:vertAlign w:val="subscript"/>
                <w:lang w:bidi="ar-SA"/>
              </w:rPr>
            </w:pPr>
            <w:r>
              <w:rPr>
                <w:rFonts w:asciiTheme="minorHAnsi" w:eastAsiaTheme="minorHAnsi" w:hAnsiTheme="minorHAnsi" w:cs="Arial"/>
                <w:sz w:val="20"/>
                <w:szCs w:val="20"/>
                <w:vertAlign w:val="subscript"/>
                <w:lang w:bidi="ar-SA"/>
              </w:rPr>
              <w:t>-</w:t>
            </w:r>
          </w:p>
        </w:tc>
        <w:tc>
          <w:tcPr>
            <w:tcW w:w="709" w:type="dxa"/>
          </w:tcPr>
          <w:p w14:paraId="4B85F33A" w14:textId="2005DCE9" w:rsidR="00F8101A" w:rsidRPr="00F8101A" w:rsidRDefault="00CB2756" w:rsidP="00A111E9">
            <w:pPr>
              <w:widowControl/>
              <w:rPr>
                <w:rFonts w:asciiTheme="minorHAnsi" w:eastAsiaTheme="minorHAnsi" w:hAnsiTheme="minorHAnsi" w:cs="Arial"/>
                <w:sz w:val="20"/>
                <w:szCs w:val="20"/>
                <w:vertAlign w:val="subscript"/>
                <w:lang w:bidi="ar-SA"/>
              </w:rPr>
            </w:pPr>
            <w:r>
              <w:rPr>
                <w:rFonts w:asciiTheme="minorHAnsi" w:eastAsiaTheme="minorHAnsi" w:hAnsiTheme="minorHAnsi" w:cs="Arial"/>
                <w:sz w:val="20"/>
                <w:szCs w:val="20"/>
                <w:vertAlign w:val="subscript"/>
                <w:lang w:bidi="ar-SA"/>
              </w:rPr>
              <w:t>-</w:t>
            </w:r>
          </w:p>
        </w:tc>
        <w:tc>
          <w:tcPr>
            <w:tcW w:w="2693" w:type="dxa"/>
          </w:tcPr>
          <w:p w14:paraId="6CD0C911" w14:textId="77777777" w:rsidR="00F8101A" w:rsidRPr="00C466D0" w:rsidRDefault="00F8101A" w:rsidP="00A111E9">
            <w:pPr>
              <w:widowControl/>
              <w:autoSpaceDE w:val="0"/>
              <w:autoSpaceDN w:val="0"/>
              <w:adjustRightInd w:val="0"/>
              <w:rPr>
                <w:rFonts w:eastAsiaTheme="minorHAnsi" w:cs="Arial"/>
                <w:color w:val="000000"/>
                <w:sz w:val="20"/>
                <w:szCs w:val="20"/>
                <w:vertAlign w:val="subscript"/>
                <w:lang w:bidi="ar-SA"/>
              </w:rPr>
            </w:pPr>
            <w:r w:rsidRPr="00C466D0">
              <w:rPr>
                <w:rFonts w:eastAsiaTheme="minorHAnsi" w:cs="Arial"/>
                <w:sz w:val="20"/>
                <w:szCs w:val="20"/>
                <w:vertAlign w:val="subscript"/>
                <w:lang w:bidi="ar-SA"/>
              </w:rPr>
              <w:t>Not</w:t>
            </w:r>
            <w:r w:rsidRPr="00C466D0">
              <w:rPr>
                <w:rFonts w:asciiTheme="minorHAnsi" w:eastAsiaTheme="minorHAnsi" w:hAnsiTheme="minorHAnsi" w:cs="Arial"/>
                <w:sz w:val="20"/>
                <w:szCs w:val="20"/>
                <w:vertAlign w:val="subscript"/>
                <w:lang w:bidi="ar-SA"/>
              </w:rPr>
              <w:t xml:space="preserve"> </w:t>
            </w:r>
            <w:r w:rsidRPr="00C466D0">
              <w:rPr>
                <w:rFonts w:eastAsiaTheme="minorHAnsi" w:cs="Arial"/>
                <w:color w:val="000000"/>
                <w:sz w:val="20"/>
                <w:szCs w:val="20"/>
                <w:vertAlign w:val="subscript"/>
                <w:lang w:bidi="ar-SA"/>
              </w:rPr>
              <w:t>yet accessed</w:t>
            </w:r>
          </w:p>
        </w:tc>
        <w:tc>
          <w:tcPr>
            <w:tcW w:w="425" w:type="dxa"/>
          </w:tcPr>
          <w:p w14:paraId="20BE7894" w14:textId="7777777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sym w:font="Symbol" w:char="F0D6"/>
            </w:r>
          </w:p>
        </w:tc>
        <w:tc>
          <w:tcPr>
            <w:tcW w:w="709" w:type="dxa"/>
          </w:tcPr>
          <w:p w14:paraId="462492B8" w14:textId="7777777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t>-</w:t>
            </w:r>
          </w:p>
        </w:tc>
        <w:tc>
          <w:tcPr>
            <w:tcW w:w="567" w:type="dxa"/>
          </w:tcPr>
          <w:p w14:paraId="041D653A" w14:textId="4430F96F" w:rsidR="00F8101A" w:rsidRPr="00F8101A" w:rsidRDefault="0061268B"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t>e</w:t>
            </w:r>
          </w:p>
        </w:tc>
      </w:tr>
      <w:tr w:rsidR="00F8101A" w:rsidRPr="00F8101A" w14:paraId="6C74665E" w14:textId="77777777" w:rsidTr="00D95A2C">
        <w:trPr>
          <w:trHeight w:val="153"/>
        </w:trPr>
        <w:tc>
          <w:tcPr>
            <w:tcW w:w="916" w:type="dxa"/>
          </w:tcPr>
          <w:p w14:paraId="6B108EC0" w14:textId="5F21BC21"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Gilliland</w:t>
            </w:r>
            <w:r w:rsidRPr="00F8101A">
              <w:rPr>
                <w:rFonts w:asciiTheme="minorHAnsi" w:eastAsiaTheme="minorHAnsi" w:hAnsiTheme="minorHAnsi" w:cs="Arial"/>
                <w:sz w:val="20"/>
                <w:szCs w:val="20"/>
                <w:vertAlign w:val="subscript"/>
                <w:lang w:bidi="ar-SA"/>
              </w:rPr>
              <w:tab/>
            </w:r>
          </w:p>
        </w:tc>
        <w:tc>
          <w:tcPr>
            <w:tcW w:w="707" w:type="dxa"/>
          </w:tcPr>
          <w:p w14:paraId="754145C5"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1996</w:t>
            </w:r>
          </w:p>
        </w:tc>
        <w:tc>
          <w:tcPr>
            <w:tcW w:w="753" w:type="dxa"/>
          </w:tcPr>
          <w:p w14:paraId="641E97AA"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Cottage Grove, US</w:t>
            </w:r>
          </w:p>
        </w:tc>
        <w:tc>
          <w:tcPr>
            <w:tcW w:w="851" w:type="dxa"/>
          </w:tcPr>
          <w:p w14:paraId="04AD53C4"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3M</w:t>
            </w:r>
          </w:p>
        </w:tc>
        <w:tc>
          <w:tcPr>
            <w:tcW w:w="992" w:type="dxa"/>
          </w:tcPr>
          <w:p w14:paraId="0873351D"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1985-9</w:t>
            </w:r>
          </w:p>
        </w:tc>
        <w:tc>
          <w:tcPr>
            <w:tcW w:w="709" w:type="dxa"/>
          </w:tcPr>
          <w:p w14:paraId="46C941C6"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115</w:t>
            </w:r>
          </w:p>
        </w:tc>
        <w:tc>
          <w:tcPr>
            <w:tcW w:w="2693" w:type="dxa"/>
          </w:tcPr>
          <w:p w14:paraId="31ED1129" w14:textId="77777777" w:rsidR="00F8101A" w:rsidRPr="00F8101A" w:rsidRDefault="00F8101A" w:rsidP="00A111E9">
            <w:pPr>
              <w:widowControl/>
              <w:rPr>
                <w:rFonts w:eastAsiaTheme="minorHAnsi" w:cs="Arial"/>
                <w:sz w:val="20"/>
                <w:szCs w:val="20"/>
                <w:vertAlign w:val="subscript"/>
                <w:lang w:bidi="ar-SA"/>
              </w:rPr>
            </w:pPr>
            <w:r w:rsidRPr="00F8101A">
              <w:rPr>
                <w:rFonts w:eastAsiaTheme="minorHAnsi" w:cs="Arial"/>
                <w:sz w:val="20"/>
                <w:szCs w:val="20"/>
                <w:vertAlign w:val="subscript"/>
                <w:lang w:bidi="ar-SA"/>
              </w:rPr>
              <w:t>Correlation with total serum fluoride (said to reflect PFOA); linear regression for HDL-C in 5 uneven groups</w:t>
            </w:r>
          </w:p>
        </w:tc>
        <w:tc>
          <w:tcPr>
            <w:tcW w:w="425" w:type="dxa"/>
          </w:tcPr>
          <w:p w14:paraId="6EB82FA1" w14:textId="7777777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sym w:font="Symbol" w:char="F0D6"/>
            </w:r>
          </w:p>
        </w:tc>
        <w:tc>
          <w:tcPr>
            <w:tcW w:w="709" w:type="dxa"/>
          </w:tcPr>
          <w:p w14:paraId="2B08163F" w14:textId="7777777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t>-</w:t>
            </w:r>
          </w:p>
        </w:tc>
        <w:tc>
          <w:tcPr>
            <w:tcW w:w="567" w:type="dxa"/>
          </w:tcPr>
          <w:p w14:paraId="696540D0" w14:textId="77777777" w:rsidR="00F8101A" w:rsidRPr="00F8101A" w:rsidRDefault="00F8101A" w:rsidP="00A111E9">
            <w:pPr>
              <w:widowControl/>
              <w:rPr>
                <w:rFonts w:asciiTheme="minorHAnsi" w:eastAsiaTheme="minorHAnsi" w:hAnsiTheme="minorHAnsi" w:cs="Arial"/>
                <w:sz w:val="24"/>
                <w:lang w:bidi="ar-SA"/>
              </w:rPr>
            </w:pPr>
            <w:r w:rsidRPr="00F8101A">
              <w:rPr>
                <w:rFonts w:asciiTheme="minorHAnsi" w:eastAsiaTheme="minorHAnsi" w:hAnsiTheme="minorHAnsi"/>
                <w:sz w:val="24"/>
                <w:vertAlign w:val="subscript"/>
              </w:rPr>
              <w:t>e</w:t>
            </w:r>
          </w:p>
        </w:tc>
      </w:tr>
      <w:tr w:rsidR="00F8101A" w:rsidRPr="00F8101A" w14:paraId="6C9D93FD" w14:textId="77777777" w:rsidTr="00D95A2C">
        <w:trPr>
          <w:trHeight w:val="153"/>
        </w:trPr>
        <w:tc>
          <w:tcPr>
            <w:tcW w:w="916" w:type="dxa"/>
          </w:tcPr>
          <w:p w14:paraId="48881930" w14:textId="6B31CF49"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Olsen</w:t>
            </w:r>
          </w:p>
        </w:tc>
        <w:tc>
          <w:tcPr>
            <w:tcW w:w="707" w:type="dxa"/>
          </w:tcPr>
          <w:p w14:paraId="283B15A3"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1998</w:t>
            </w:r>
          </w:p>
        </w:tc>
        <w:tc>
          <w:tcPr>
            <w:tcW w:w="753" w:type="dxa"/>
          </w:tcPr>
          <w:p w14:paraId="7DB9E7D3" w14:textId="77777777" w:rsidR="00F8101A" w:rsidRPr="00F8101A" w:rsidRDefault="00F8101A" w:rsidP="00A111E9">
            <w:pPr>
              <w:widowControl/>
              <w:rPr>
                <w:rFonts w:asciiTheme="minorHAnsi" w:eastAsiaTheme="minorHAnsi" w:hAnsiTheme="minorHAnsi" w:cs="Arial"/>
                <w:sz w:val="20"/>
                <w:szCs w:val="20"/>
                <w:vertAlign w:val="subscript"/>
                <w:lang w:bidi="ar-SA"/>
              </w:rPr>
            </w:pPr>
          </w:p>
        </w:tc>
        <w:tc>
          <w:tcPr>
            <w:tcW w:w="851" w:type="dxa"/>
          </w:tcPr>
          <w:p w14:paraId="5FFF9325"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3M</w:t>
            </w:r>
          </w:p>
        </w:tc>
        <w:tc>
          <w:tcPr>
            <w:tcW w:w="992" w:type="dxa"/>
          </w:tcPr>
          <w:p w14:paraId="6ABCD844"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1993, 1995</w:t>
            </w:r>
          </w:p>
        </w:tc>
        <w:tc>
          <w:tcPr>
            <w:tcW w:w="709" w:type="dxa"/>
          </w:tcPr>
          <w:p w14:paraId="69C1A322"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191</w:t>
            </w:r>
          </w:p>
        </w:tc>
        <w:tc>
          <w:tcPr>
            <w:tcW w:w="2693" w:type="dxa"/>
          </w:tcPr>
          <w:p w14:paraId="449C47E9" w14:textId="77777777" w:rsidR="00F8101A" w:rsidRPr="00F8101A" w:rsidRDefault="00F8101A" w:rsidP="00A111E9">
            <w:pPr>
              <w:widowControl/>
              <w:rPr>
                <w:rFonts w:eastAsiaTheme="minorHAnsi" w:cs="Arial"/>
                <w:sz w:val="20"/>
                <w:szCs w:val="20"/>
                <w:vertAlign w:val="subscript"/>
                <w:lang w:bidi="ar-SA"/>
              </w:rPr>
            </w:pPr>
            <w:r w:rsidRPr="00F8101A">
              <w:rPr>
                <w:rFonts w:eastAsiaTheme="minorHAnsi" w:cs="Arial"/>
                <w:sz w:val="20"/>
                <w:szCs w:val="20"/>
                <w:vertAlign w:val="subscript"/>
                <w:lang w:bidi="ar-SA"/>
              </w:rPr>
              <w:t>Not yet accessed</w:t>
            </w:r>
          </w:p>
        </w:tc>
        <w:tc>
          <w:tcPr>
            <w:tcW w:w="425" w:type="dxa"/>
          </w:tcPr>
          <w:p w14:paraId="3A7F9973" w14:textId="7777777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sym w:font="Symbol" w:char="F0D6"/>
            </w:r>
          </w:p>
        </w:tc>
        <w:tc>
          <w:tcPr>
            <w:tcW w:w="709" w:type="dxa"/>
          </w:tcPr>
          <w:p w14:paraId="4C2EA885" w14:textId="77777777" w:rsidR="00F8101A" w:rsidRPr="00F8101A" w:rsidRDefault="00F8101A" w:rsidP="00A111E9">
            <w:pPr>
              <w:widowControl/>
              <w:rPr>
                <w:rFonts w:asciiTheme="minorHAnsi" w:eastAsiaTheme="minorHAnsi" w:hAnsiTheme="minorHAnsi" w:cs="Arial"/>
                <w:sz w:val="24"/>
                <w:vertAlign w:val="subscript"/>
                <w:lang w:bidi="ar-SA"/>
              </w:rPr>
            </w:pPr>
          </w:p>
        </w:tc>
        <w:tc>
          <w:tcPr>
            <w:tcW w:w="567" w:type="dxa"/>
          </w:tcPr>
          <w:p w14:paraId="3503C4B1" w14:textId="34EFB64F"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t>e</w:t>
            </w:r>
          </w:p>
        </w:tc>
      </w:tr>
      <w:tr w:rsidR="00F8101A" w:rsidRPr="00F8101A" w14:paraId="42A76BB8" w14:textId="77777777" w:rsidTr="00D95A2C">
        <w:trPr>
          <w:trHeight w:val="166"/>
        </w:trPr>
        <w:tc>
          <w:tcPr>
            <w:tcW w:w="916" w:type="dxa"/>
          </w:tcPr>
          <w:p w14:paraId="74433B01" w14:textId="246795EF"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Olsen</w:t>
            </w:r>
          </w:p>
        </w:tc>
        <w:tc>
          <w:tcPr>
            <w:tcW w:w="707" w:type="dxa"/>
          </w:tcPr>
          <w:p w14:paraId="523B9D5B"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2000</w:t>
            </w:r>
          </w:p>
        </w:tc>
        <w:tc>
          <w:tcPr>
            <w:tcW w:w="753" w:type="dxa"/>
          </w:tcPr>
          <w:p w14:paraId="54109FF9" w14:textId="77777777" w:rsidR="00F8101A" w:rsidRPr="00F8101A" w:rsidRDefault="00F8101A" w:rsidP="00A111E9">
            <w:pPr>
              <w:widowControl/>
              <w:rPr>
                <w:rFonts w:asciiTheme="minorHAnsi" w:eastAsiaTheme="minorHAnsi" w:hAnsiTheme="minorHAnsi" w:cs="Arial"/>
                <w:sz w:val="20"/>
                <w:szCs w:val="20"/>
                <w:vertAlign w:val="subscript"/>
                <w:lang w:bidi="ar-SA"/>
              </w:rPr>
            </w:pPr>
          </w:p>
        </w:tc>
        <w:tc>
          <w:tcPr>
            <w:tcW w:w="851" w:type="dxa"/>
          </w:tcPr>
          <w:p w14:paraId="1CD5ED39"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3M</w:t>
            </w:r>
          </w:p>
        </w:tc>
        <w:tc>
          <w:tcPr>
            <w:tcW w:w="992" w:type="dxa"/>
          </w:tcPr>
          <w:p w14:paraId="55FA6E69"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1993, 1995, 1997</w:t>
            </w:r>
          </w:p>
        </w:tc>
        <w:tc>
          <w:tcPr>
            <w:tcW w:w="709" w:type="dxa"/>
          </w:tcPr>
          <w:p w14:paraId="036A8FA9"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265</w:t>
            </w:r>
          </w:p>
        </w:tc>
        <w:tc>
          <w:tcPr>
            <w:tcW w:w="2693" w:type="dxa"/>
          </w:tcPr>
          <w:p w14:paraId="2A15EDE2" w14:textId="77777777" w:rsidR="00F8101A" w:rsidRPr="00F8101A" w:rsidRDefault="00F8101A" w:rsidP="00A111E9">
            <w:pPr>
              <w:widowControl/>
              <w:autoSpaceDE w:val="0"/>
              <w:autoSpaceDN w:val="0"/>
              <w:adjustRightInd w:val="0"/>
              <w:rPr>
                <w:rFonts w:eastAsiaTheme="minorHAnsi" w:cs="Arial"/>
                <w:color w:val="000000"/>
                <w:sz w:val="20"/>
                <w:szCs w:val="20"/>
                <w:vertAlign w:val="subscript"/>
                <w:lang w:bidi="ar-SA"/>
              </w:rPr>
            </w:pPr>
            <w:r w:rsidRPr="00F8101A">
              <w:rPr>
                <w:rFonts w:eastAsiaTheme="minorHAnsi" w:cs="Arial"/>
                <w:color w:val="000000"/>
                <w:sz w:val="20"/>
                <w:szCs w:val="20"/>
                <w:vertAlign w:val="subscript"/>
                <w:lang w:bidi="ar-SA"/>
              </w:rPr>
              <w:t>Not yet accessed</w:t>
            </w:r>
          </w:p>
        </w:tc>
        <w:tc>
          <w:tcPr>
            <w:tcW w:w="425" w:type="dxa"/>
          </w:tcPr>
          <w:p w14:paraId="2653C661" w14:textId="7777777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sym w:font="Symbol" w:char="F0D6"/>
            </w:r>
          </w:p>
        </w:tc>
        <w:tc>
          <w:tcPr>
            <w:tcW w:w="709" w:type="dxa"/>
          </w:tcPr>
          <w:p w14:paraId="76EE3174" w14:textId="7777777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sym w:font="Symbol" w:char="F0D6"/>
            </w:r>
          </w:p>
        </w:tc>
        <w:tc>
          <w:tcPr>
            <w:tcW w:w="567" w:type="dxa"/>
          </w:tcPr>
          <w:p w14:paraId="2AEC3484" w14:textId="347916AC"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t>e</w:t>
            </w:r>
          </w:p>
        </w:tc>
      </w:tr>
      <w:tr w:rsidR="00F8101A" w:rsidRPr="00F8101A" w14:paraId="44370048" w14:textId="77777777" w:rsidTr="00D95A2C">
        <w:trPr>
          <w:trHeight w:val="166"/>
        </w:trPr>
        <w:tc>
          <w:tcPr>
            <w:tcW w:w="916" w:type="dxa"/>
          </w:tcPr>
          <w:p w14:paraId="2BDC3B6D" w14:textId="61D1460C"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Olsen</w:t>
            </w:r>
          </w:p>
        </w:tc>
        <w:tc>
          <w:tcPr>
            <w:tcW w:w="707" w:type="dxa"/>
          </w:tcPr>
          <w:p w14:paraId="3AE0864F"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2001a</w:t>
            </w:r>
          </w:p>
        </w:tc>
        <w:tc>
          <w:tcPr>
            <w:tcW w:w="753" w:type="dxa"/>
          </w:tcPr>
          <w:p w14:paraId="528D6A00"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Antwerp, Decatur</w:t>
            </w:r>
          </w:p>
        </w:tc>
        <w:tc>
          <w:tcPr>
            <w:tcW w:w="851" w:type="dxa"/>
          </w:tcPr>
          <w:p w14:paraId="16287205"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3M</w:t>
            </w:r>
          </w:p>
        </w:tc>
        <w:tc>
          <w:tcPr>
            <w:tcW w:w="992" w:type="dxa"/>
          </w:tcPr>
          <w:p w14:paraId="28AAF280"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2000</w:t>
            </w:r>
          </w:p>
        </w:tc>
        <w:tc>
          <w:tcPr>
            <w:tcW w:w="709" w:type="dxa"/>
          </w:tcPr>
          <w:p w14:paraId="4125D352"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w:t>
            </w:r>
          </w:p>
        </w:tc>
        <w:tc>
          <w:tcPr>
            <w:tcW w:w="2693" w:type="dxa"/>
          </w:tcPr>
          <w:p w14:paraId="6328BAD1" w14:textId="77777777" w:rsidR="00F8101A" w:rsidRPr="00F8101A" w:rsidRDefault="00F8101A" w:rsidP="00A111E9">
            <w:pPr>
              <w:widowControl/>
              <w:autoSpaceDE w:val="0"/>
              <w:autoSpaceDN w:val="0"/>
              <w:adjustRightInd w:val="0"/>
              <w:rPr>
                <w:rFonts w:eastAsiaTheme="minorHAnsi" w:cs="Arial"/>
                <w:color w:val="000000"/>
                <w:sz w:val="20"/>
                <w:szCs w:val="20"/>
                <w:vertAlign w:val="subscript"/>
                <w:lang w:bidi="ar-SA"/>
              </w:rPr>
            </w:pPr>
            <w:r w:rsidRPr="00F8101A">
              <w:rPr>
                <w:rFonts w:eastAsiaTheme="minorHAnsi" w:cs="Arial"/>
                <w:color w:val="000000"/>
                <w:sz w:val="20"/>
                <w:szCs w:val="20"/>
                <w:vertAlign w:val="subscript"/>
                <w:lang w:bidi="ar-SA"/>
              </w:rPr>
              <w:t>Document not accessed</w:t>
            </w:r>
          </w:p>
        </w:tc>
        <w:tc>
          <w:tcPr>
            <w:tcW w:w="425" w:type="dxa"/>
          </w:tcPr>
          <w:p w14:paraId="2C93CF73" w14:textId="1C28BEE4" w:rsidR="00F8101A" w:rsidRPr="00F8101A" w:rsidRDefault="004A2464" w:rsidP="00A111E9">
            <w:pPr>
              <w:widowControl/>
              <w:rPr>
                <w:rFonts w:asciiTheme="minorHAnsi" w:eastAsiaTheme="minorHAnsi" w:hAnsiTheme="minorHAnsi" w:cs="Arial"/>
                <w:sz w:val="24"/>
                <w:vertAlign w:val="subscript"/>
                <w:lang w:bidi="ar-SA"/>
              </w:rPr>
            </w:pPr>
            <w:r>
              <w:rPr>
                <w:rFonts w:asciiTheme="minorHAnsi" w:eastAsiaTheme="minorHAnsi" w:hAnsiTheme="minorHAnsi" w:cs="Arial"/>
                <w:sz w:val="24"/>
                <w:vertAlign w:val="subscript"/>
                <w:lang w:bidi="ar-SA"/>
              </w:rPr>
              <w:t>-</w:t>
            </w:r>
          </w:p>
        </w:tc>
        <w:tc>
          <w:tcPr>
            <w:tcW w:w="709" w:type="dxa"/>
          </w:tcPr>
          <w:p w14:paraId="3D8A3B5B" w14:textId="7777777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sym w:font="Symbol" w:char="F0D6"/>
            </w:r>
          </w:p>
        </w:tc>
        <w:tc>
          <w:tcPr>
            <w:tcW w:w="567" w:type="dxa"/>
          </w:tcPr>
          <w:p w14:paraId="7B13DDF5" w14:textId="163DF449"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t>e</w:t>
            </w:r>
          </w:p>
        </w:tc>
      </w:tr>
      <w:tr w:rsidR="00F8101A" w:rsidRPr="00F8101A" w14:paraId="20260B55" w14:textId="77777777" w:rsidTr="00D95A2C">
        <w:trPr>
          <w:trHeight w:val="166"/>
        </w:trPr>
        <w:tc>
          <w:tcPr>
            <w:tcW w:w="916" w:type="dxa"/>
          </w:tcPr>
          <w:p w14:paraId="0D12A2CD" w14:textId="10BBF8A1"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Olsen</w:t>
            </w:r>
          </w:p>
        </w:tc>
        <w:tc>
          <w:tcPr>
            <w:tcW w:w="707" w:type="dxa"/>
          </w:tcPr>
          <w:p w14:paraId="1EFC4161"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2001b</w:t>
            </w:r>
          </w:p>
        </w:tc>
        <w:tc>
          <w:tcPr>
            <w:tcW w:w="753" w:type="dxa"/>
          </w:tcPr>
          <w:p w14:paraId="4E64F4D6"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w:t>
            </w:r>
          </w:p>
        </w:tc>
        <w:tc>
          <w:tcPr>
            <w:tcW w:w="851" w:type="dxa"/>
          </w:tcPr>
          <w:p w14:paraId="1211A457"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3M</w:t>
            </w:r>
          </w:p>
        </w:tc>
        <w:tc>
          <w:tcPr>
            <w:tcW w:w="992" w:type="dxa"/>
          </w:tcPr>
          <w:p w14:paraId="49DA54FA"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1993, 1995, 1997</w:t>
            </w:r>
          </w:p>
        </w:tc>
        <w:tc>
          <w:tcPr>
            <w:tcW w:w="709" w:type="dxa"/>
          </w:tcPr>
          <w:p w14:paraId="57FADD93"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w:t>
            </w:r>
          </w:p>
        </w:tc>
        <w:tc>
          <w:tcPr>
            <w:tcW w:w="2693" w:type="dxa"/>
          </w:tcPr>
          <w:p w14:paraId="4E1339AD" w14:textId="77777777" w:rsidR="00F8101A" w:rsidRPr="00F8101A" w:rsidRDefault="00F8101A" w:rsidP="00A111E9">
            <w:pPr>
              <w:widowControl/>
              <w:autoSpaceDE w:val="0"/>
              <w:autoSpaceDN w:val="0"/>
              <w:adjustRightInd w:val="0"/>
              <w:rPr>
                <w:rFonts w:eastAsiaTheme="minorHAnsi" w:cs="Arial"/>
                <w:color w:val="000000"/>
                <w:sz w:val="20"/>
                <w:szCs w:val="20"/>
                <w:vertAlign w:val="subscript"/>
                <w:lang w:bidi="ar-SA"/>
              </w:rPr>
            </w:pPr>
            <w:r w:rsidRPr="00F8101A">
              <w:rPr>
                <w:rFonts w:eastAsiaTheme="minorHAnsi" w:cs="Arial"/>
                <w:color w:val="000000"/>
                <w:sz w:val="20"/>
                <w:szCs w:val="20"/>
                <w:vertAlign w:val="subscript"/>
                <w:lang w:bidi="ar-SA"/>
              </w:rPr>
              <w:t>Document not accessed</w:t>
            </w:r>
          </w:p>
        </w:tc>
        <w:tc>
          <w:tcPr>
            <w:tcW w:w="425" w:type="dxa"/>
          </w:tcPr>
          <w:p w14:paraId="5298838E" w14:textId="118E5392" w:rsidR="00F8101A" w:rsidRPr="00F8101A" w:rsidRDefault="004A2464" w:rsidP="00A111E9">
            <w:pPr>
              <w:widowControl/>
              <w:rPr>
                <w:rFonts w:asciiTheme="minorHAnsi" w:eastAsiaTheme="minorHAnsi" w:hAnsiTheme="minorHAnsi" w:cs="Arial"/>
                <w:sz w:val="24"/>
                <w:vertAlign w:val="subscript"/>
                <w:lang w:bidi="ar-SA"/>
              </w:rPr>
            </w:pPr>
            <w:r>
              <w:rPr>
                <w:rFonts w:asciiTheme="minorHAnsi" w:eastAsiaTheme="minorHAnsi" w:hAnsiTheme="minorHAnsi" w:cs="Arial"/>
                <w:sz w:val="24"/>
                <w:vertAlign w:val="subscript"/>
                <w:lang w:bidi="ar-SA"/>
              </w:rPr>
              <w:t>-</w:t>
            </w:r>
          </w:p>
        </w:tc>
        <w:tc>
          <w:tcPr>
            <w:tcW w:w="709" w:type="dxa"/>
          </w:tcPr>
          <w:p w14:paraId="3FFBB308" w14:textId="7777777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sym w:font="Symbol" w:char="F0D6"/>
            </w:r>
          </w:p>
        </w:tc>
        <w:tc>
          <w:tcPr>
            <w:tcW w:w="567" w:type="dxa"/>
          </w:tcPr>
          <w:p w14:paraId="36100895" w14:textId="3FE008BC"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t>e</w:t>
            </w:r>
          </w:p>
        </w:tc>
      </w:tr>
      <w:tr w:rsidR="00F8101A" w:rsidRPr="00F8101A" w14:paraId="797D5018" w14:textId="77777777" w:rsidTr="00D95A2C">
        <w:trPr>
          <w:trHeight w:val="153"/>
        </w:trPr>
        <w:tc>
          <w:tcPr>
            <w:tcW w:w="916" w:type="dxa"/>
          </w:tcPr>
          <w:p w14:paraId="6E8D6F21" w14:textId="37A7EA9B"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Olsen</w:t>
            </w:r>
          </w:p>
        </w:tc>
        <w:tc>
          <w:tcPr>
            <w:tcW w:w="707" w:type="dxa"/>
          </w:tcPr>
          <w:p w14:paraId="42ED281E"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2003a</w:t>
            </w:r>
          </w:p>
        </w:tc>
        <w:tc>
          <w:tcPr>
            <w:tcW w:w="753" w:type="dxa"/>
          </w:tcPr>
          <w:p w14:paraId="1F28ECBA"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 xml:space="preserve">Antwerp, Decatur </w:t>
            </w:r>
          </w:p>
        </w:tc>
        <w:tc>
          <w:tcPr>
            <w:tcW w:w="851" w:type="dxa"/>
          </w:tcPr>
          <w:p w14:paraId="000E6FA5"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3M</w:t>
            </w:r>
          </w:p>
        </w:tc>
        <w:tc>
          <w:tcPr>
            <w:tcW w:w="992" w:type="dxa"/>
          </w:tcPr>
          <w:p w14:paraId="44DDB8C6"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2000</w:t>
            </w:r>
          </w:p>
        </w:tc>
        <w:tc>
          <w:tcPr>
            <w:tcW w:w="709" w:type="dxa"/>
          </w:tcPr>
          <w:p w14:paraId="090667BD"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421 M, 97 F</w:t>
            </w:r>
          </w:p>
        </w:tc>
        <w:tc>
          <w:tcPr>
            <w:tcW w:w="2693" w:type="dxa"/>
          </w:tcPr>
          <w:p w14:paraId="55C67CAD" w14:textId="77777777" w:rsidR="00F8101A" w:rsidRPr="00F8101A" w:rsidRDefault="00F8101A" w:rsidP="00A111E9">
            <w:pPr>
              <w:widowControl/>
              <w:autoSpaceDE w:val="0"/>
              <w:autoSpaceDN w:val="0"/>
              <w:adjustRightInd w:val="0"/>
              <w:rPr>
                <w:rFonts w:eastAsiaTheme="minorHAnsi" w:cs="Arial"/>
                <w:color w:val="000000"/>
                <w:sz w:val="20"/>
                <w:szCs w:val="20"/>
                <w:vertAlign w:val="subscript"/>
                <w:lang w:bidi="ar-SA"/>
              </w:rPr>
            </w:pPr>
            <w:r w:rsidRPr="00F8101A">
              <w:rPr>
                <w:rFonts w:eastAsiaTheme="minorHAnsi" w:cs="Arial"/>
                <w:color w:val="000000"/>
                <w:sz w:val="20"/>
                <w:szCs w:val="20"/>
                <w:vertAlign w:val="subscript"/>
                <w:lang w:bidi="ar-SA"/>
              </w:rPr>
              <w:t>Unadjusted means by quartile of PFOS</w:t>
            </w:r>
          </w:p>
        </w:tc>
        <w:tc>
          <w:tcPr>
            <w:tcW w:w="425" w:type="dxa"/>
          </w:tcPr>
          <w:p w14:paraId="3AA9C979" w14:textId="1D031131" w:rsidR="00F8101A" w:rsidRPr="00F8101A" w:rsidRDefault="004A2464" w:rsidP="00A111E9">
            <w:pPr>
              <w:widowControl/>
              <w:rPr>
                <w:rFonts w:asciiTheme="minorHAnsi" w:eastAsiaTheme="minorHAnsi" w:hAnsiTheme="minorHAnsi" w:cs="Arial"/>
                <w:sz w:val="24"/>
                <w:vertAlign w:val="subscript"/>
                <w:lang w:bidi="ar-SA"/>
              </w:rPr>
            </w:pPr>
            <w:r>
              <w:rPr>
                <w:rFonts w:asciiTheme="minorHAnsi" w:eastAsiaTheme="minorHAnsi" w:hAnsiTheme="minorHAnsi" w:cs="Arial"/>
                <w:sz w:val="24"/>
                <w:vertAlign w:val="subscript"/>
                <w:lang w:bidi="ar-SA"/>
              </w:rPr>
              <w:t>-</w:t>
            </w:r>
          </w:p>
        </w:tc>
        <w:tc>
          <w:tcPr>
            <w:tcW w:w="709" w:type="dxa"/>
          </w:tcPr>
          <w:p w14:paraId="1EA2EB85" w14:textId="7777777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sym w:font="Symbol" w:char="F0D6"/>
            </w:r>
          </w:p>
        </w:tc>
        <w:tc>
          <w:tcPr>
            <w:tcW w:w="567" w:type="dxa"/>
          </w:tcPr>
          <w:p w14:paraId="6B320882" w14:textId="68AC5E3B"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sym w:font="Symbol" w:char="F0D6"/>
            </w:r>
            <w:r w:rsidRPr="00F8101A">
              <w:rPr>
                <w:rFonts w:asciiTheme="minorHAnsi" w:eastAsiaTheme="minorHAnsi" w:hAnsiTheme="minorHAnsi" w:cs="Arial"/>
                <w:sz w:val="24"/>
                <w:vertAlign w:val="subscript"/>
                <w:lang w:bidi="ar-SA"/>
              </w:rPr>
              <w:t>(PFOS)</w:t>
            </w:r>
          </w:p>
        </w:tc>
      </w:tr>
      <w:tr w:rsidR="00F8101A" w:rsidRPr="00F8101A" w14:paraId="1B31D6FF" w14:textId="77777777" w:rsidTr="00D95A2C">
        <w:trPr>
          <w:trHeight w:val="153"/>
        </w:trPr>
        <w:tc>
          <w:tcPr>
            <w:tcW w:w="916" w:type="dxa"/>
          </w:tcPr>
          <w:p w14:paraId="5776A613" w14:textId="1C6C4A5A"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Olsen</w:t>
            </w:r>
          </w:p>
        </w:tc>
        <w:tc>
          <w:tcPr>
            <w:tcW w:w="707" w:type="dxa"/>
          </w:tcPr>
          <w:p w14:paraId="7DCDFC64"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2003b</w:t>
            </w:r>
          </w:p>
        </w:tc>
        <w:tc>
          <w:tcPr>
            <w:tcW w:w="753" w:type="dxa"/>
          </w:tcPr>
          <w:p w14:paraId="62589232"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Cottage Grove</w:t>
            </w:r>
          </w:p>
        </w:tc>
        <w:tc>
          <w:tcPr>
            <w:tcW w:w="851" w:type="dxa"/>
          </w:tcPr>
          <w:p w14:paraId="7AED6A64"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3M</w:t>
            </w:r>
          </w:p>
        </w:tc>
        <w:tc>
          <w:tcPr>
            <w:tcW w:w="992" w:type="dxa"/>
          </w:tcPr>
          <w:p w14:paraId="0117838E"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2000</w:t>
            </w:r>
          </w:p>
        </w:tc>
        <w:tc>
          <w:tcPr>
            <w:tcW w:w="709" w:type="dxa"/>
          </w:tcPr>
          <w:p w14:paraId="7E1E9069"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w:t>
            </w:r>
          </w:p>
        </w:tc>
        <w:tc>
          <w:tcPr>
            <w:tcW w:w="2693" w:type="dxa"/>
          </w:tcPr>
          <w:p w14:paraId="75970454" w14:textId="77777777" w:rsidR="00F8101A" w:rsidRPr="00F8101A" w:rsidRDefault="00F8101A" w:rsidP="00A111E9">
            <w:pPr>
              <w:widowControl/>
              <w:autoSpaceDE w:val="0"/>
              <w:autoSpaceDN w:val="0"/>
              <w:adjustRightInd w:val="0"/>
              <w:rPr>
                <w:rFonts w:eastAsiaTheme="minorHAnsi" w:cs="Arial"/>
                <w:color w:val="000000"/>
                <w:sz w:val="20"/>
                <w:szCs w:val="20"/>
                <w:vertAlign w:val="subscript"/>
                <w:lang w:bidi="ar-SA"/>
              </w:rPr>
            </w:pPr>
            <w:r w:rsidRPr="00F8101A">
              <w:rPr>
                <w:rFonts w:eastAsiaTheme="minorHAnsi" w:cs="Arial"/>
                <w:color w:val="000000"/>
                <w:sz w:val="20"/>
                <w:szCs w:val="20"/>
                <w:vertAlign w:val="subscript"/>
                <w:lang w:bidi="ar-SA"/>
              </w:rPr>
              <w:t>Document not accessed</w:t>
            </w:r>
          </w:p>
        </w:tc>
        <w:tc>
          <w:tcPr>
            <w:tcW w:w="425" w:type="dxa"/>
          </w:tcPr>
          <w:p w14:paraId="3D8DFD62" w14:textId="0475C0AF" w:rsidR="00F8101A" w:rsidRPr="00F8101A" w:rsidRDefault="004A2464"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sym w:font="Symbol" w:char="F0D6"/>
            </w:r>
          </w:p>
        </w:tc>
        <w:tc>
          <w:tcPr>
            <w:tcW w:w="709" w:type="dxa"/>
          </w:tcPr>
          <w:p w14:paraId="0B3E5D9D" w14:textId="7777777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sym w:font="Symbol" w:char="F0D6"/>
            </w:r>
          </w:p>
        </w:tc>
        <w:tc>
          <w:tcPr>
            <w:tcW w:w="567" w:type="dxa"/>
          </w:tcPr>
          <w:p w14:paraId="729A0EAC" w14:textId="5A196CB5"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t>e</w:t>
            </w:r>
          </w:p>
        </w:tc>
      </w:tr>
      <w:tr w:rsidR="00F8101A" w:rsidRPr="00F8101A" w14:paraId="2E5E4DE3" w14:textId="77777777" w:rsidTr="00D95A2C">
        <w:trPr>
          <w:trHeight w:val="305"/>
        </w:trPr>
        <w:tc>
          <w:tcPr>
            <w:tcW w:w="916" w:type="dxa"/>
          </w:tcPr>
          <w:p w14:paraId="6211A783" w14:textId="462D7CCC"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Emmet</w:t>
            </w:r>
          </w:p>
        </w:tc>
        <w:tc>
          <w:tcPr>
            <w:tcW w:w="707" w:type="dxa"/>
          </w:tcPr>
          <w:p w14:paraId="5A54333E"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2006</w:t>
            </w:r>
          </w:p>
        </w:tc>
        <w:tc>
          <w:tcPr>
            <w:tcW w:w="753" w:type="dxa"/>
          </w:tcPr>
          <w:p w14:paraId="6B3EA584"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US</w:t>
            </w:r>
          </w:p>
        </w:tc>
        <w:tc>
          <w:tcPr>
            <w:tcW w:w="851" w:type="dxa"/>
          </w:tcPr>
          <w:p w14:paraId="5D60AA8B"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(lies within C8 area)</w:t>
            </w:r>
          </w:p>
        </w:tc>
        <w:tc>
          <w:tcPr>
            <w:tcW w:w="992" w:type="dxa"/>
          </w:tcPr>
          <w:p w14:paraId="607B7E6C"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2004</w:t>
            </w:r>
          </w:p>
        </w:tc>
        <w:tc>
          <w:tcPr>
            <w:tcW w:w="709" w:type="dxa"/>
          </w:tcPr>
          <w:p w14:paraId="7CADCC99"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371</w:t>
            </w:r>
          </w:p>
        </w:tc>
        <w:tc>
          <w:tcPr>
            <w:tcW w:w="2693" w:type="dxa"/>
          </w:tcPr>
          <w:p w14:paraId="328F01D8" w14:textId="61D2F19D" w:rsidR="00F8101A" w:rsidRPr="00F8101A" w:rsidRDefault="00F8101A" w:rsidP="0041475C">
            <w:pPr>
              <w:widowControl/>
              <w:rPr>
                <w:rFonts w:eastAsiaTheme="minorHAnsi" w:cs="Arial"/>
                <w:sz w:val="20"/>
                <w:szCs w:val="20"/>
                <w:vertAlign w:val="subscript"/>
                <w:lang w:bidi="ar-SA"/>
              </w:rPr>
            </w:pPr>
            <w:r w:rsidRPr="00F8101A">
              <w:rPr>
                <w:rFonts w:eastAsiaTheme="minorHAnsi" w:cs="Arial"/>
                <w:sz w:val="20"/>
                <w:szCs w:val="20"/>
                <w:vertAlign w:val="subscript"/>
                <w:lang w:bidi="ar-SA"/>
              </w:rPr>
              <w:t xml:space="preserve">t-test comparing PFOA in those with abnormal and normal cholesterol concentrations; </w:t>
            </w:r>
            <w:r w:rsidR="0041475C">
              <w:rPr>
                <w:rFonts w:eastAsiaTheme="minorHAnsi" w:cs="Arial"/>
                <w:sz w:val="20"/>
                <w:szCs w:val="20"/>
                <w:vertAlign w:val="subscript"/>
                <w:lang w:bidi="ar-SA"/>
              </w:rPr>
              <w:t>c</w:t>
            </w:r>
            <w:r w:rsidRPr="00F8101A">
              <w:rPr>
                <w:rFonts w:eastAsiaTheme="minorHAnsi" w:cs="Arial"/>
                <w:sz w:val="20"/>
                <w:szCs w:val="20"/>
                <w:vertAlign w:val="subscript"/>
                <w:lang w:bidi="ar-SA"/>
              </w:rPr>
              <w:t>orrelation coefficients from univariate regression</w:t>
            </w:r>
          </w:p>
        </w:tc>
        <w:tc>
          <w:tcPr>
            <w:tcW w:w="425" w:type="dxa"/>
          </w:tcPr>
          <w:p w14:paraId="3346837A" w14:textId="21B400C5" w:rsidR="00F8101A" w:rsidRPr="00F8101A" w:rsidRDefault="004A2464" w:rsidP="00A111E9">
            <w:pPr>
              <w:widowControl/>
              <w:rPr>
                <w:rFonts w:asciiTheme="minorHAnsi" w:eastAsiaTheme="minorHAnsi" w:hAnsiTheme="minorHAnsi" w:cs="Arial"/>
                <w:sz w:val="24"/>
                <w:vertAlign w:val="subscript"/>
                <w:lang w:bidi="ar-SA"/>
              </w:rPr>
            </w:pPr>
            <w:r>
              <w:rPr>
                <w:rFonts w:asciiTheme="minorHAnsi" w:eastAsiaTheme="minorHAnsi" w:hAnsiTheme="minorHAnsi" w:cs="Arial"/>
                <w:sz w:val="24"/>
                <w:vertAlign w:val="subscript"/>
                <w:lang w:bidi="ar-SA"/>
              </w:rPr>
              <w:t>-</w:t>
            </w:r>
          </w:p>
        </w:tc>
        <w:tc>
          <w:tcPr>
            <w:tcW w:w="709" w:type="dxa"/>
          </w:tcPr>
          <w:p w14:paraId="332EA827" w14:textId="7777777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sym w:font="Symbol" w:char="F0D6"/>
            </w:r>
          </w:p>
        </w:tc>
        <w:tc>
          <w:tcPr>
            <w:tcW w:w="567" w:type="dxa"/>
          </w:tcPr>
          <w:p w14:paraId="1FF5A8ED" w14:textId="7986DF32"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t>e</w:t>
            </w:r>
          </w:p>
        </w:tc>
      </w:tr>
      <w:tr w:rsidR="00F8101A" w:rsidRPr="00F8101A" w14:paraId="5D5E2832" w14:textId="77777777" w:rsidTr="00D95A2C">
        <w:trPr>
          <w:trHeight w:val="471"/>
        </w:trPr>
        <w:tc>
          <w:tcPr>
            <w:tcW w:w="916" w:type="dxa"/>
          </w:tcPr>
          <w:p w14:paraId="72DEC35F" w14:textId="6320B9DB"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 xml:space="preserve">Olsen </w:t>
            </w:r>
          </w:p>
        </w:tc>
        <w:tc>
          <w:tcPr>
            <w:tcW w:w="707" w:type="dxa"/>
          </w:tcPr>
          <w:p w14:paraId="66F9FF68"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2007</w:t>
            </w:r>
          </w:p>
        </w:tc>
        <w:tc>
          <w:tcPr>
            <w:tcW w:w="753" w:type="dxa"/>
          </w:tcPr>
          <w:p w14:paraId="1FC82834"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Cottage Grove. Antwerp, Decatur</w:t>
            </w:r>
          </w:p>
        </w:tc>
        <w:tc>
          <w:tcPr>
            <w:tcW w:w="851" w:type="dxa"/>
          </w:tcPr>
          <w:p w14:paraId="5CBB0A30"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3M</w:t>
            </w:r>
          </w:p>
        </w:tc>
        <w:tc>
          <w:tcPr>
            <w:tcW w:w="992" w:type="dxa"/>
          </w:tcPr>
          <w:p w14:paraId="0E82AF3A"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2000</w:t>
            </w:r>
          </w:p>
        </w:tc>
        <w:tc>
          <w:tcPr>
            <w:tcW w:w="709" w:type="dxa"/>
          </w:tcPr>
          <w:p w14:paraId="46890B1A"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506</w:t>
            </w:r>
          </w:p>
        </w:tc>
        <w:tc>
          <w:tcPr>
            <w:tcW w:w="2693" w:type="dxa"/>
          </w:tcPr>
          <w:p w14:paraId="127BC5C8" w14:textId="77777777" w:rsidR="00F8101A" w:rsidRPr="00F8101A" w:rsidRDefault="00F8101A" w:rsidP="00A111E9">
            <w:pPr>
              <w:widowControl/>
              <w:autoSpaceDE w:val="0"/>
              <w:autoSpaceDN w:val="0"/>
              <w:adjustRightInd w:val="0"/>
              <w:rPr>
                <w:rFonts w:eastAsiaTheme="minorHAnsi" w:cs="Arial"/>
                <w:color w:val="000000"/>
                <w:sz w:val="20"/>
                <w:szCs w:val="20"/>
                <w:vertAlign w:val="subscript"/>
                <w:lang w:bidi="ar-SA"/>
              </w:rPr>
            </w:pPr>
            <w:r w:rsidRPr="00F8101A">
              <w:rPr>
                <w:rFonts w:eastAsiaTheme="minorHAnsi" w:cs="Arial"/>
                <w:color w:val="000000"/>
                <w:sz w:val="20"/>
                <w:szCs w:val="20"/>
                <w:vertAlign w:val="subscript"/>
                <w:lang w:bidi="ar-SA"/>
              </w:rPr>
              <w:t>Adjusted mean cholesterol by PFOA decile, and OR for abnormal cholesterol</w:t>
            </w:r>
          </w:p>
        </w:tc>
        <w:tc>
          <w:tcPr>
            <w:tcW w:w="425" w:type="dxa"/>
          </w:tcPr>
          <w:p w14:paraId="315F3B43" w14:textId="7777777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sym w:font="Symbol" w:char="F0D6"/>
            </w:r>
          </w:p>
        </w:tc>
        <w:tc>
          <w:tcPr>
            <w:tcW w:w="709" w:type="dxa"/>
          </w:tcPr>
          <w:p w14:paraId="2D713642" w14:textId="7777777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sym w:font="Symbol" w:char="F0D6"/>
            </w:r>
          </w:p>
        </w:tc>
        <w:tc>
          <w:tcPr>
            <w:tcW w:w="567" w:type="dxa"/>
          </w:tcPr>
          <w:p w14:paraId="6B3B4F4D" w14:textId="75FF6DB5"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sym w:font="Symbol" w:char="F0D6"/>
            </w:r>
            <w:r w:rsidRPr="00F8101A">
              <w:rPr>
                <w:rFonts w:asciiTheme="minorHAnsi" w:eastAsiaTheme="minorHAnsi" w:hAnsiTheme="minorHAnsi" w:cs="Arial"/>
                <w:sz w:val="24"/>
                <w:vertAlign w:val="subscript"/>
                <w:lang w:bidi="ar-SA"/>
              </w:rPr>
              <w:t>(PFOA)</w:t>
            </w:r>
          </w:p>
        </w:tc>
      </w:tr>
      <w:tr w:rsidR="00F8101A" w:rsidRPr="00F8101A" w14:paraId="391F8E3E" w14:textId="77777777" w:rsidTr="00D95A2C">
        <w:trPr>
          <w:trHeight w:val="458"/>
        </w:trPr>
        <w:tc>
          <w:tcPr>
            <w:tcW w:w="916" w:type="dxa"/>
          </w:tcPr>
          <w:p w14:paraId="0038DD4F" w14:textId="56A0E85F"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 xml:space="preserve">Sakr </w:t>
            </w:r>
          </w:p>
        </w:tc>
        <w:tc>
          <w:tcPr>
            <w:tcW w:w="707" w:type="dxa"/>
          </w:tcPr>
          <w:p w14:paraId="208EDCB1"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2007a</w:t>
            </w:r>
          </w:p>
        </w:tc>
        <w:tc>
          <w:tcPr>
            <w:tcW w:w="753" w:type="dxa"/>
          </w:tcPr>
          <w:p w14:paraId="23B54699"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US</w:t>
            </w:r>
          </w:p>
        </w:tc>
        <w:tc>
          <w:tcPr>
            <w:tcW w:w="851" w:type="dxa"/>
          </w:tcPr>
          <w:p w14:paraId="7C622AB4"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C8</w:t>
            </w:r>
          </w:p>
        </w:tc>
        <w:tc>
          <w:tcPr>
            <w:tcW w:w="992" w:type="dxa"/>
          </w:tcPr>
          <w:p w14:paraId="5D0D3466"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2004</w:t>
            </w:r>
          </w:p>
        </w:tc>
        <w:tc>
          <w:tcPr>
            <w:tcW w:w="709" w:type="dxa"/>
          </w:tcPr>
          <w:p w14:paraId="5EA01461"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1019</w:t>
            </w:r>
          </w:p>
        </w:tc>
        <w:tc>
          <w:tcPr>
            <w:tcW w:w="2693" w:type="dxa"/>
          </w:tcPr>
          <w:p w14:paraId="3E3AB996" w14:textId="77777777" w:rsidR="00F8101A" w:rsidRPr="00F8101A" w:rsidRDefault="00F8101A" w:rsidP="00A111E9">
            <w:pPr>
              <w:widowControl/>
              <w:rPr>
                <w:rFonts w:eastAsiaTheme="minorHAnsi" w:cs="Arial"/>
                <w:sz w:val="20"/>
                <w:szCs w:val="20"/>
                <w:vertAlign w:val="subscript"/>
                <w:lang w:bidi="ar-SA"/>
              </w:rPr>
            </w:pPr>
            <w:r w:rsidRPr="00F8101A">
              <w:rPr>
                <w:rFonts w:eastAsiaTheme="minorHAnsi" w:cs="Arial"/>
                <w:sz w:val="20"/>
                <w:szCs w:val="20"/>
                <w:vertAlign w:val="subscript"/>
                <w:lang w:bidi="ar-SA"/>
              </w:rPr>
              <w:t>Adjusted increase in cholesterol per 1ppm increase in serum PFOA</w:t>
            </w:r>
          </w:p>
        </w:tc>
        <w:tc>
          <w:tcPr>
            <w:tcW w:w="425" w:type="dxa"/>
          </w:tcPr>
          <w:p w14:paraId="6DEE7BFE" w14:textId="7777777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sym w:font="Symbol" w:char="F0D6"/>
            </w:r>
          </w:p>
        </w:tc>
        <w:tc>
          <w:tcPr>
            <w:tcW w:w="709" w:type="dxa"/>
          </w:tcPr>
          <w:p w14:paraId="7117AA91" w14:textId="7777777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sym w:font="Symbol" w:char="F0D6"/>
            </w:r>
          </w:p>
        </w:tc>
        <w:tc>
          <w:tcPr>
            <w:tcW w:w="567" w:type="dxa"/>
          </w:tcPr>
          <w:p w14:paraId="33F78113" w14:textId="5436D54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t>e</w:t>
            </w:r>
          </w:p>
        </w:tc>
      </w:tr>
      <w:tr w:rsidR="00F8101A" w:rsidRPr="00F8101A" w14:paraId="04867978" w14:textId="77777777" w:rsidTr="00D95A2C">
        <w:trPr>
          <w:trHeight w:val="458"/>
        </w:trPr>
        <w:tc>
          <w:tcPr>
            <w:tcW w:w="916" w:type="dxa"/>
          </w:tcPr>
          <w:p w14:paraId="0AA0C049" w14:textId="71AB505C"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Sakr</w:t>
            </w:r>
          </w:p>
        </w:tc>
        <w:tc>
          <w:tcPr>
            <w:tcW w:w="707" w:type="dxa"/>
          </w:tcPr>
          <w:p w14:paraId="53FD693D"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2007b</w:t>
            </w:r>
          </w:p>
        </w:tc>
        <w:tc>
          <w:tcPr>
            <w:tcW w:w="753" w:type="dxa"/>
          </w:tcPr>
          <w:p w14:paraId="3BBB3642" w14:textId="77777777" w:rsidR="00F8101A" w:rsidRPr="00F8101A" w:rsidRDefault="00F8101A" w:rsidP="00A111E9">
            <w:pPr>
              <w:widowControl/>
              <w:rPr>
                <w:rFonts w:asciiTheme="minorHAnsi" w:eastAsiaTheme="minorHAnsi" w:hAnsiTheme="minorHAnsi" w:cs="Arial"/>
                <w:sz w:val="20"/>
                <w:szCs w:val="20"/>
                <w:vertAlign w:val="subscript"/>
                <w:lang w:bidi="ar-SA"/>
              </w:rPr>
            </w:pPr>
          </w:p>
        </w:tc>
        <w:tc>
          <w:tcPr>
            <w:tcW w:w="851" w:type="dxa"/>
          </w:tcPr>
          <w:p w14:paraId="181D4770"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C3</w:t>
            </w:r>
          </w:p>
        </w:tc>
        <w:tc>
          <w:tcPr>
            <w:tcW w:w="992" w:type="dxa"/>
          </w:tcPr>
          <w:p w14:paraId="364A55C6"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1979-2004</w:t>
            </w:r>
          </w:p>
        </w:tc>
        <w:tc>
          <w:tcPr>
            <w:tcW w:w="709" w:type="dxa"/>
          </w:tcPr>
          <w:p w14:paraId="5CC96EB6"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454</w:t>
            </w:r>
          </w:p>
        </w:tc>
        <w:tc>
          <w:tcPr>
            <w:tcW w:w="2693" w:type="dxa"/>
          </w:tcPr>
          <w:p w14:paraId="36A91788" w14:textId="77777777" w:rsidR="00F8101A" w:rsidRPr="00F8101A" w:rsidRDefault="00F8101A" w:rsidP="00A111E9">
            <w:pPr>
              <w:widowControl/>
              <w:rPr>
                <w:rFonts w:eastAsiaTheme="minorHAnsi" w:cs="Arial"/>
                <w:sz w:val="20"/>
                <w:szCs w:val="20"/>
                <w:vertAlign w:val="subscript"/>
                <w:lang w:bidi="ar-SA"/>
              </w:rPr>
            </w:pPr>
            <w:r w:rsidRPr="00F8101A">
              <w:rPr>
                <w:rFonts w:eastAsiaTheme="minorHAnsi" w:cs="Arial"/>
                <w:sz w:val="20"/>
                <w:szCs w:val="20"/>
                <w:vertAlign w:val="subscript"/>
                <w:lang w:bidi="ar-SA"/>
              </w:rPr>
              <w:t>Mixed methods regression using multiple measures per person</w:t>
            </w:r>
          </w:p>
        </w:tc>
        <w:tc>
          <w:tcPr>
            <w:tcW w:w="425" w:type="dxa"/>
          </w:tcPr>
          <w:p w14:paraId="0FF886F7" w14:textId="7777777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sym w:font="Symbol" w:char="F0D6"/>
            </w:r>
          </w:p>
        </w:tc>
        <w:tc>
          <w:tcPr>
            <w:tcW w:w="709" w:type="dxa"/>
          </w:tcPr>
          <w:p w14:paraId="4C5E5AF1" w14:textId="7777777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sym w:font="Symbol" w:char="F0D6"/>
            </w:r>
          </w:p>
        </w:tc>
        <w:tc>
          <w:tcPr>
            <w:tcW w:w="567" w:type="dxa"/>
          </w:tcPr>
          <w:p w14:paraId="5AD3A5A4" w14:textId="511A1BDA"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t>e</w:t>
            </w:r>
          </w:p>
        </w:tc>
      </w:tr>
      <w:tr w:rsidR="00F8101A" w:rsidRPr="00F8101A" w14:paraId="76D9A559" w14:textId="77777777" w:rsidTr="00D95A2C">
        <w:trPr>
          <w:trHeight w:val="305"/>
        </w:trPr>
        <w:tc>
          <w:tcPr>
            <w:tcW w:w="916" w:type="dxa"/>
          </w:tcPr>
          <w:p w14:paraId="35EEB1DB" w14:textId="68243BE1"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Steenland</w:t>
            </w:r>
          </w:p>
        </w:tc>
        <w:tc>
          <w:tcPr>
            <w:tcW w:w="707" w:type="dxa"/>
          </w:tcPr>
          <w:p w14:paraId="212A006B"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2009</w:t>
            </w:r>
          </w:p>
        </w:tc>
        <w:tc>
          <w:tcPr>
            <w:tcW w:w="753" w:type="dxa"/>
          </w:tcPr>
          <w:p w14:paraId="635EC4E3"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US</w:t>
            </w:r>
          </w:p>
        </w:tc>
        <w:tc>
          <w:tcPr>
            <w:tcW w:w="851" w:type="dxa"/>
          </w:tcPr>
          <w:p w14:paraId="45B42543"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C8</w:t>
            </w:r>
          </w:p>
        </w:tc>
        <w:tc>
          <w:tcPr>
            <w:tcW w:w="992" w:type="dxa"/>
          </w:tcPr>
          <w:p w14:paraId="2B064B4A"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2005-6</w:t>
            </w:r>
            <w:r w:rsidRPr="00F8101A">
              <w:rPr>
                <w:rFonts w:asciiTheme="minorHAnsi" w:eastAsiaTheme="minorHAnsi" w:hAnsiTheme="minorHAnsi" w:cs="Arial"/>
                <w:sz w:val="20"/>
                <w:szCs w:val="20"/>
                <w:vertAlign w:val="subscript"/>
                <w:lang w:bidi="ar-SA"/>
              </w:rPr>
              <w:tab/>
            </w:r>
          </w:p>
        </w:tc>
        <w:tc>
          <w:tcPr>
            <w:tcW w:w="709" w:type="dxa"/>
          </w:tcPr>
          <w:p w14:paraId="2B832875"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46,294</w:t>
            </w:r>
          </w:p>
        </w:tc>
        <w:tc>
          <w:tcPr>
            <w:tcW w:w="2693" w:type="dxa"/>
          </w:tcPr>
          <w:p w14:paraId="61B3CA6C" w14:textId="77777777" w:rsidR="00F8101A" w:rsidRPr="00F8101A" w:rsidRDefault="00F8101A" w:rsidP="00A111E9">
            <w:pPr>
              <w:widowControl/>
              <w:rPr>
                <w:rFonts w:eastAsiaTheme="minorHAnsi" w:cs="Arial"/>
                <w:sz w:val="20"/>
                <w:szCs w:val="20"/>
                <w:vertAlign w:val="subscript"/>
                <w:lang w:bidi="ar-SA"/>
              </w:rPr>
            </w:pPr>
            <w:r w:rsidRPr="00F8101A">
              <w:rPr>
                <w:rFonts w:eastAsiaTheme="minorHAnsi" w:cs="Arial"/>
                <w:sz w:val="20"/>
                <w:szCs w:val="20"/>
                <w:vertAlign w:val="subscript"/>
                <w:lang w:bidi="ar-SA"/>
              </w:rPr>
              <w:t>Adjusted mean difference in natural log of cholesterol in PFAS deciles, graphed after exponentiation</w:t>
            </w:r>
          </w:p>
        </w:tc>
        <w:tc>
          <w:tcPr>
            <w:tcW w:w="425" w:type="dxa"/>
          </w:tcPr>
          <w:p w14:paraId="49697ABC" w14:textId="7777777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t>-</w:t>
            </w:r>
          </w:p>
        </w:tc>
        <w:tc>
          <w:tcPr>
            <w:tcW w:w="709" w:type="dxa"/>
          </w:tcPr>
          <w:p w14:paraId="6E964E8B" w14:textId="7777777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sym w:font="Symbol" w:char="F0D6"/>
            </w:r>
          </w:p>
        </w:tc>
        <w:tc>
          <w:tcPr>
            <w:tcW w:w="567" w:type="dxa"/>
          </w:tcPr>
          <w:p w14:paraId="175018F1" w14:textId="584B9F1F"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sym w:font="Symbol" w:char="F0D6"/>
            </w:r>
          </w:p>
        </w:tc>
      </w:tr>
      <w:tr w:rsidR="00F8101A" w:rsidRPr="00F8101A" w14:paraId="702E1FA8" w14:textId="77777777" w:rsidTr="00D95A2C">
        <w:trPr>
          <w:trHeight w:val="166"/>
        </w:trPr>
        <w:tc>
          <w:tcPr>
            <w:tcW w:w="916" w:type="dxa"/>
          </w:tcPr>
          <w:p w14:paraId="16A93255" w14:textId="1BEC6E2E"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Costa</w:t>
            </w:r>
          </w:p>
        </w:tc>
        <w:tc>
          <w:tcPr>
            <w:tcW w:w="707" w:type="dxa"/>
          </w:tcPr>
          <w:p w14:paraId="73FCA90A"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2009</w:t>
            </w:r>
          </w:p>
        </w:tc>
        <w:tc>
          <w:tcPr>
            <w:tcW w:w="753" w:type="dxa"/>
          </w:tcPr>
          <w:p w14:paraId="3EEDCD62"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Italy</w:t>
            </w:r>
          </w:p>
        </w:tc>
        <w:tc>
          <w:tcPr>
            <w:tcW w:w="851" w:type="dxa"/>
          </w:tcPr>
          <w:p w14:paraId="43ECFFE5"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w:t>
            </w:r>
          </w:p>
        </w:tc>
        <w:tc>
          <w:tcPr>
            <w:tcW w:w="992" w:type="dxa"/>
          </w:tcPr>
          <w:p w14:paraId="7621BF1E"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2007</w:t>
            </w:r>
          </w:p>
        </w:tc>
        <w:tc>
          <w:tcPr>
            <w:tcW w:w="709" w:type="dxa"/>
          </w:tcPr>
          <w:p w14:paraId="07ADD451"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37 exposed, 107 control</w:t>
            </w:r>
          </w:p>
        </w:tc>
        <w:tc>
          <w:tcPr>
            <w:tcW w:w="2693" w:type="dxa"/>
          </w:tcPr>
          <w:p w14:paraId="32B6E8FD" w14:textId="05F8A32D" w:rsidR="00F8101A" w:rsidRPr="00F8101A" w:rsidRDefault="00F8101A" w:rsidP="00A111E9">
            <w:pPr>
              <w:widowControl/>
              <w:rPr>
                <w:rFonts w:eastAsiaTheme="minorHAnsi" w:cs="Arial"/>
                <w:sz w:val="20"/>
                <w:szCs w:val="20"/>
                <w:vertAlign w:val="subscript"/>
                <w:lang w:bidi="ar-SA"/>
              </w:rPr>
            </w:pPr>
            <w:r w:rsidRPr="00F8101A">
              <w:rPr>
                <w:rFonts w:eastAsiaTheme="minorHAnsi" w:cs="Arial"/>
                <w:sz w:val="20"/>
                <w:szCs w:val="20"/>
                <w:vertAlign w:val="subscript"/>
                <w:lang w:bidi="ar-SA"/>
              </w:rPr>
              <w:t>Adjusted mean difference from regression</w:t>
            </w:r>
          </w:p>
        </w:tc>
        <w:tc>
          <w:tcPr>
            <w:tcW w:w="425" w:type="dxa"/>
          </w:tcPr>
          <w:p w14:paraId="2E150947" w14:textId="7777777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t>-</w:t>
            </w:r>
          </w:p>
        </w:tc>
        <w:tc>
          <w:tcPr>
            <w:tcW w:w="709" w:type="dxa"/>
          </w:tcPr>
          <w:p w14:paraId="7811BAB0" w14:textId="7777777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sym w:font="Symbol" w:char="F0D6"/>
            </w:r>
          </w:p>
        </w:tc>
        <w:tc>
          <w:tcPr>
            <w:tcW w:w="567" w:type="dxa"/>
          </w:tcPr>
          <w:p w14:paraId="5B33E03B" w14:textId="7B558C18"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sym w:font="Symbol" w:char="F0D6"/>
            </w:r>
          </w:p>
        </w:tc>
      </w:tr>
      <w:tr w:rsidR="00F8101A" w:rsidRPr="00F8101A" w14:paraId="1FD25DAA" w14:textId="77777777" w:rsidTr="00D95A2C">
        <w:trPr>
          <w:trHeight w:val="623"/>
        </w:trPr>
        <w:tc>
          <w:tcPr>
            <w:tcW w:w="916" w:type="dxa"/>
          </w:tcPr>
          <w:p w14:paraId="34816346" w14:textId="726A83F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 xml:space="preserve">Frisbee </w:t>
            </w:r>
          </w:p>
        </w:tc>
        <w:tc>
          <w:tcPr>
            <w:tcW w:w="707" w:type="dxa"/>
          </w:tcPr>
          <w:p w14:paraId="62CA35D7"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2010</w:t>
            </w:r>
          </w:p>
        </w:tc>
        <w:tc>
          <w:tcPr>
            <w:tcW w:w="753" w:type="dxa"/>
          </w:tcPr>
          <w:p w14:paraId="028068E7"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US</w:t>
            </w:r>
          </w:p>
        </w:tc>
        <w:tc>
          <w:tcPr>
            <w:tcW w:w="851" w:type="dxa"/>
          </w:tcPr>
          <w:p w14:paraId="134519B2"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C8</w:t>
            </w:r>
          </w:p>
        </w:tc>
        <w:tc>
          <w:tcPr>
            <w:tcW w:w="992" w:type="dxa"/>
          </w:tcPr>
          <w:p w14:paraId="5CF788D9"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2005-6</w:t>
            </w:r>
          </w:p>
        </w:tc>
        <w:tc>
          <w:tcPr>
            <w:tcW w:w="709" w:type="dxa"/>
          </w:tcPr>
          <w:p w14:paraId="1F49CCBE"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 xml:space="preserve">12,476 children, </w:t>
            </w:r>
          </w:p>
        </w:tc>
        <w:tc>
          <w:tcPr>
            <w:tcW w:w="2693" w:type="dxa"/>
          </w:tcPr>
          <w:p w14:paraId="6D405BAE" w14:textId="051F1815" w:rsidR="00F8101A" w:rsidRPr="00F8101A" w:rsidRDefault="004A2464" w:rsidP="00A111E9">
            <w:pPr>
              <w:widowControl/>
              <w:rPr>
                <w:rFonts w:eastAsiaTheme="minorHAnsi" w:cs="Arial"/>
                <w:sz w:val="20"/>
                <w:szCs w:val="20"/>
                <w:vertAlign w:val="subscript"/>
                <w:lang w:bidi="ar-SA"/>
              </w:rPr>
            </w:pPr>
            <w:r>
              <w:rPr>
                <w:rFonts w:eastAsiaTheme="minorHAnsi" w:cs="Arial"/>
                <w:sz w:val="20"/>
                <w:szCs w:val="20"/>
                <w:vertAlign w:val="subscript"/>
                <w:lang w:bidi="ar-SA"/>
              </w:rPr>
              <w:t>R</w:t>
            </w:r>
            <w:r w:rsidRPr="00F8101A">
              <w:rPr>
                <w:rFonts w:eastAsiaTheme="minorHAnsi" w:cs="Arial"/>
                <w:sz w:val="20"/>
                <w:szCs w:val="20"/>
                <w:vertAlign w:val="subscript"/>
                <w:lang w:bidi="ar-SA"/>
              </w:rPr>
              <w:t>esults</w:t>
            </w:r>
            <w:r w:rsidR="00F8101A" w:rsidRPr="00F8101A">
              <w:rPr>
                <w:rFonts w:eastAsiaTheme="minorHAnsi" w:cs="Arial"/>
                <w:sz w:val="20"/>
                <w:szCs w:val="20"/>
                <w:vertAlign w:val="subscript"/>
                <w:lang w:bidi="ar-SA"/>
              </w:rPr>
              <w:t xml:space="preserve"> from continuous multivariate regression presented in quintiles</w:t>
            </w:r>
          </w:p>
        </w:tc>
        <w:tc>
          <w:tcPr>
            <w:tcW w:w="425" w:type="dxa"/>
          </w:tcPr>
          <w:p w14:paraId="590A0710" w14:textId="7777777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t>-</w:t>
            </w:r>
          </w:p>
        </w:tc>
        <w:tc>
          <w:tcPr>
            <w:tcW w:w="709" w:type="dxa"/>
          </w:tcPr>
          <w:p w14:paraId="70BDDD62" w14:textId="7777777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sym w:font="Symbol" w:char="F0D6"/>
            </w:r>
          </w:p>
        </w:tc>
        <w:tc>
          <w:tcPr>
            <w:tcW w:w="567" w:type="dxa"/>
          </w:tcPr>
          <w:p w14:paraId="3EE2DA02" w14:textId="78EE8B7F"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sym w:font="Symbol" w:char="F0D6"/>
            </w:r>
          </w:p>
        </w:tc>
      </w:tr>
      <w:tr w:rsidR="00F8101A" w:rsidRPr="00F8101A" w14:paraId="5912EFF1" w14:textId="77777777" w:rsidTr="00D95A2C">
        <w:trPr>
          <w:trHeight w:val="153"/>
        </w:trPr>
        <w:tc>
          <w:tcPr>
            <w:tcW w:w="916" w:type="dxa"/>
          </w:tcPr>
          <w:p w14:paraId="645FFB8D" w14:textId="6A63277B"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 xml:space="preserve">Nelson </w:t>
            </w:r>
          </w:p>
        </w:tc>
        <w:tc>
          <w:tcPr>
            <w:tcW w:w="707" w:type="dxa"/>
          </w:tcPr>
          <w:p w14:paraId="51424449"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2010</w:t>
            </w:r>
          </w:p>
        </w:tc>
        <w:tc>
          <w:tcPr>
            <w:tcW w:w="753" w:type="dxa"/>
          </w:tcPr>
          <w:p w14:paraId="76428C38"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US</w:t>
            </w:r>
          </w:p>
        </w:tc>
        <w:tc>
          <w:tcPr>
            <w:tcW w:w="851" w:type="dxa"/>
          </w:tcPr>
          <w:p w14:paraId="720A292A"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NHANES</w:t>
            </w:r>
          </w:p>
        </w:tc>
        <w:tc>
          <w:tcPr>
            <w:tcW w:w="992" w:type="dxa"/>
          </w:tcPr>
          <w:p w14:paraId="0ADA34F6"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2003-4</w:t>
            </w:r>
          </w:p>
        </w:tc>
        <w:tc>
          <w:tcPr>
            <w:tcW w:w="709" w:type="dxa"/>
          </w:tcPr>
          <w:p w14:paraId="702E68DA" w14:textId="1497F102"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 xml:space="preserve">860 </w:t>
            </w:r>
          </w:p>
        </w:tc>
        <w:tc>
          <w:tcPr>
            <w:tcW w:w="2693" w:type="dxa"/>
          </w:tcPr>
          <w:p w14:paraId="3F7968D5" w14:textId="2A3F0099" w:rsidR="00F8101A" w:rsidRPr="00F8101A" w:rsidRDefault="004A2464" w:rsidP="00A111E9">
            <w:pPr>
              <w:widowControl/>
              <w:rPr>
                <w:rFonts w:eastAsiaTheme="minorHAnsi" w:cs="Arial"/>
                <w:sz w:val="20"/>
                <w:szCs w:val="20"/>
                <w:vertAlign w:val="subscript"/>
                <w:lang w:bidi="ar-SA"/>
              </w:rPr>
            </w:pPr>
            <w:r>
              <w:rPr>
                <w:rFonts w:eastAsiaTheme="minorHAnsi" w:cs="Arial"/>
                <w:sz w:val="20"/>
                <w:szCs w:val="20"/>
                <w:vertAlign w:val="subscript"/>
                <w:lang w:bidi="ar-SA"/>
              </w:rPr>
              <w:t>A</w:t>
            </w:r>
            <w:r w:rsidRPr="00F8101A">
              <w:rPr>
                <w:rFonts w:eastAsiaTheme="minorHAnsi" w:cs="Arial"/>
                <w:sz w:val="20"/>
                <w:szCs w:val="20"/>
                <w:vertAlign w:val="subscript"/>
                <w:lang w:bidi="ar-SA"/>
              </w:rPr>
              <w:t>djusted</w:t>
            </w:r>
            <w:r w:rsidR="00F8101A" w:rsidRPr="00F8101A">
              <w:rPr>
                <w:rFonts w:eastAsiaTheme="minorHAnsi" w:cs="Arial"/>
                <w:sz w:val="20"/>
                <w:szCs w:val="20"/>
                <w:vertAlign w:val="subscript"/>
                <w:lang w:bidi="ar-SA"/>
              </w:rPr>
              <w:t xml:space="preserve"> means for quartiles of PFAS</w:t>
            </w:r>
          </w:p>
        </w:tc>
        <w:tc>
          <w:tcPr>
            <w:tcW w:w="425" w:type="dxa"/>
          </w:tcPr>
          <w:p w14:paraId="2FB793F6" w14:textId="7777777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t>-</w:t>
            </w:r>
          </w:p>
        </w:tc>
        <w:tc>
          <w:tcPr>
            <w:tcW w:w="709" w:type="dxa"/>
          </w:tcPr>
          <w:p w14:paraId="30B42361" w14:textId="7777777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sym w:font="Symbol" w:char="F0D6"/>
            </w:r>
          </w:p>
        </w:tc>
        <w:tc>
          <w:tcPr>
            <w:tcW w:w="567" w:type="dxa"/>
          </w:tcPr>
          <w:p w14:paraId="09BE0002" w14:textId="450BA26E"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sym w:font="Symbol" w:char="F0D6"/>
            </w:r>
            <w:r w:rsidRPr="00F8101A">
              <w:rPr>
                <w:rFonts w:asciiTheme="minorHAnsi" w:eastAsiaTheme="minorHAnsi" w:hAnsiTheme="minorHAnsi" w:cs="Arial"/>
                <w:sz w:val="24"/>
                <w:vertAlign w:val="subscript"/>
                <w:lang w:bidi="ar-SA"/>
              </w:rPr>
              <w:t xml:space="preserve"> </w:t>
            </w:r>
          </w:p>
        </w:tc>
      </w:tr>
      <w:tr w:rsidR="00F8101A" w:rsidRPr="00F8101A" w14:paraId="07A1F5F2" w14:textId="77777777" w:rsidTr="00D95A2C">
        <w:trPr>
          <w:trHeight w:val="153"/>
        </w:trPr>
        <w:tc>
          <w:tcPr>
            <w:tcW w:w="916" w:type="dxa"/>
          </w:tcPr>
          <w:p w14:paraId="468BD8A0" w14:textId="1F6371A6"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Chatearu-Degat</w:t>
            </w:r>
          </w:p>
        </w:tc>
        <w:tc>
          <w:tcPr>
            <w:tcW w:w="707" w:type="dxa"/>
          </w:tcPr>
          <w:p w14:paraId="7E02576D"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2010</w:t>
            </w:r>
          </w:p>
        </w:tc>
        <w:tc>
          <w:tcPr>
            <w:tcW w:w="753" w:type="dxa"/>
          </w:tcPr>
          <w:p w14:paraId="3AE0E09E"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Canada (artic)</w:t>
            </w:r>
          </w:p>
        </w:tc>
        <w:tc>
          <w:tcPr>
            <w:tcW w:w="851" w:type="dxa"/>
          </w:tcPr>
          <w:p w14:paraId="6015D627" w14:textId="24059AD7" w:rsidR="00F8101A" w:rsidRPr="00F8101A" w:rsidRDefault="004A2464" w:rsidP="00A111E9">
            <w:pPr>
              <w:widowControl/>
              <w:rPr>
                <w:rFonts w:asciiTheme="minorHAnsi" w:eastAsiaTheme="minorHAnsi" w:hAnsiTheme="minorHAnsi" w:cs="Arial"/>
                <w:sz w:val="20"/>
                <w:szCs w:val="20"/>
                <w:vertAlign w:val="subscript"/>
                <w:lang w:bidi="ar-SA"/>
              </w:rPr>
            </w:pPr>
            <w:r>
              <w:rPr>
                <w:rFonts w:asciiTheme="minorHAnsi" w:eastAsiaTheme="minorHAnsi" w:hAnsiTheme="minorHAnsi" w:cs="Arial"/>
                <w:sz w:val="20"/>
                <w:szCs w:val="20"/>
                <w:vertAlign w:val="subscript"/>
                <w:lang w:bidi="ar-SA"/>
              </w:rPr>
              <w:t>-</w:t>
            </w:r>
          </w:p>
        </w:tc>
        <w:tc>
          <w:tcPr>
            <w:tcW w:w="992" w:type="dxa"/>
          </w:tcPr>
          <w:p w14:paraId="40C57E52"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2004</w:t>
            </w:r>
          </w:p>
        </w:tc>
        <w:tc>
          <w:tcPr>
            <w:tcW w:w="709" w:type="dxa"/>
          </w:tcPr>
          <w:p w14:paraId="738BD5B2"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723</w:t>
            </w:r>
          </w:p>
        </w:tc>
        <w:tc>
          <w:tcPr>
            <w:tcW w:w="2693" w:type="dxa"/>
          </w:tcPr>
          <w:p w14:paraId="5691F98F" w14:textId="2D8988EB" w:rsidR="00F8101A" w:rsidRPr="00F8101A" w:rsidRDefault="000C0BDA" w:rsidP="00A111E9">
            <w:pPr>
              <w:widowControl/>
              <w:rPr>
                <w:rFonts w:eastAsiaTheme="minorHAnsi" w:cs="Arial"/>
                <w:sz w:val="20"/>
                <w:szCs w:val="20"/>
                <w:vertAlign w:val="subscript"/>
                <w:lang w:bidi="ar-SA"/>
              </w:rPr>
            </w:pPr>
            <w:r>
              <w:rPr>
                <w:rFonts w:eastAsiaTheme="minorHAnsi" w:cs="Arial"/>
                <w:sz w:val="20"/>
                <w:szCs w:val="20"/>
                <w:vertAlign w:val="subscript"/>
                <w:lang w:bidi="ar-SA"/>
              </w:rPr>
              <w:t>Adjusted means for quartiles of PFOS</w:t>
            </w:r>
          </w:p>
        </w:tc>
        <w:tc>
          <w:tcPr>
            <w:tcW w:w="425" w:type="dxa"/>
          </w:tcPr>
          <w:p w14:paraId="391FD25E" w14:textId="7777777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t>-</w:t>
            </w:r>
          </w:p>
        </w:tc>
        <w:tc>
          <w:tcPr>
            <w:tcW w:w="709" w:type="dxa"/>
          </w:tcPr>
          <w:p w14:paraId="14D63DD0" w14:textId="7777777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sym w:font="Symbol" w:char="F0D6"/>
            </w:r>
          </w:p>
        </w:tc>
        <w:tc>
          <w:tcPr>
            <w:tcW w:w="567" w:type="dxa"/>
          </w:tcPr>
          <w:p w14:paraId="7A0E09FC" w14:textId="79467780"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sym w:font="Symbol" w:char="F0D6"/>
            </w:r>
          </w:p>
        </w:tc>
      </w:tr>
      <w:tr w:rsidR="00F8101A" w:rsidRPr="00F8101A" w14:paraId="0F01A4F8" w14:textId="77777777" w:rsidTr="00D95A2C">
        <w:trPr>
          <w:trHeight w:val="153"/>
        </w:trPr>
        <w:tc>
          <w:tcPr>
            <w:tcW w:w="916" w:type="dxa"/>
          </w:tcPr>
          <w:p w14:paraId="6B64FFE1" w14:textId="7FB90D76"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Eriksen</w:t>
            </w:r>
          </w:p>
        </w:tc>
        <w:tc>
          <w:tcPr>
            <w:tcW w:w="707" w:type="dxa"/>
          </w:tcPr>
          <w:p w14:paraId="1CB95912"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2013</w:t>
            </w:r>
          </w:p>
        </w:tc>
        <w:tc>
          <w:tcPr>
            <w:tcW w:w="753" w:type="dxa"/>
          </w:tcPr>
          <w:p w14:paraId="0D9AC476"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Denmark</w:t>
            </w:r>
          </w:p>
        </w:tc>
        <w:tc>
          <w:tcPr>
            <w:tcW w:w="851" w:type="dxa"/>
          </w:tcPr>
          <w:p w14:paraId="056F89D5"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w:t>
            </w:r>
          </w:p>
        </w:tc>
        <w:tc>
          <w:tcPr>
            <w:tcW w:w="992" w:type="dxa"/>
          </w:tcPr>
          <w:p w14:paraId="2307753D"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1993-7</w:t>
            </w:r>
          </w:p>
        </w:tc>
        <w:tc>
          <w:tcPr>
            <w:tcW w:w="709" w:type="dxa"/>
          </w:tcPr>
          <w:p w14:paraId="70297C39"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753</w:t>
            </w:r>
          </w:p>
        </w:tc>
        <w:tc>
          <w:tcPr>
            <w:tcW w:w="2693" w:type="dxa"/>
          </w:tcPr>
          <w:p w14:paraId="028F9976" w14:textId="590C6E00" w:rsidR="00F8101A" w:rsidRPr="00F8101A" w:rsidRDefault="004A2464" w:rsidP="00A111E9">
            <w:pPr>
              <w:widowControl/>
              <w:rPr>
                <w:rFonts w:eastAsiaTheme="minorHAnsi" w:cs="Arial"/>
                <w:sz w:val="20"/>
                <w:szCs w:val="20"/>
                <w:vertAlign w:val="subscript"/>
                <w:lang w:bidi="ar-SA"/>
              </w:rPr>
            </w:pPr>
            <w:r>
              <w:rPr>
                <w:rFonts w:eastAsiaTheme="minorHAnsi" w:cs="Arial"/>
                <w:sz w:val="20"/>
                <w:szCs w:val="20"/>
                <w:vertAlign w:val="subscript"/>
                <w:lang w:bidi="ar-SA"/>
              </w:rPr>
              <w:t>R</w:t>
            </w:r>
            <w:r w:rsidRPr="00F8101A">
              <w:rPr>
                <w:rFonts w:eastAsiaTheme="minorHAnsi" w:cs="Arial"/>
                <w:sz w:val="20"/>
                <w:szCs w:val="20"/>
                <w:vertAlign w:val="subscript"/>
                <w:lang w:bidi="ar-SA"/>
              </w:rPr>
              <w:t>esults</w:t>
            </w:r>
            <w:r w:rsidR="00F8101A" w:rsidRPr="00F8101A">
              <w:rPr>
                <w:rFonts w:eastAsiaTheme="minorHAnsi" w:cs="Arial"/>
                <w:sz w:val="20"/>
                <w:szCs w:val="20"/>
                <w:vertAlign w:val="subscript"/>
                <w:lang w:bidi="ar-SA"/>
              </w:rPr>
              <w:t xml:space="preserve"> from continuous multivariate regression presented in octiles</w:t>
            </w:r>
          </w:p>
        </w:tc>
        <w:tc>
          <w:tcPr>
            <w:tcW w:w="425" w:type="dxa"/>
          </w:tcPr>
          <w:p w14:paraId="59FEF5FE" w14:textId="7777777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t>-</w:t>
            </w:r>
          </w:p>
        </w:tc>
        <w:tc>
          <w:tcPr>
            <w:tcW w:w="709" w:type="dxa"/>
          </w:tcPr>
          <w:p w14:paraId="252FFEF9" w14:textId="7777777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sym w:font="Symbol" w:char="F0D6"/>
            </w:r>
          </w:p>
        </w:tc>
        <w:tc>
          <w:tcPr>
            <w:tcW w:w="567" w:type="dxa"/>
          </w:tcPr>
          <w:p w14:paraId="3D555DF0" w14:textId="0599FE2F"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sym w:font="Symbol" w:char="F0D6"/>
            </w:r>
          </w:p>
        </w:tc>
      </w:tr>
      <w:tr w:rsidR="00F8101A" w:rsidRPr="00F8101A" w14:paraId="08BF22B1" w14:textId="77777777" w:rsidTr="00D95A2C">
        <w:trPr>
          <w:trHeight w:val="318"/>
        </w:trPr>
        <w:tc>
          <w:tcPr>
            <w:tcW w:w="916" w:type="dxa"/>
          </w:tcPr>
          <w:p w14:paraId="4D227D55" w14:textId="4844771A"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lastRenderedPageBreak/>
              <w:t>Fisher</w:t>
            </w:r>
          </w:p>
        </w:tc>
        <w:tc>
          <w:tcPr>
            <w:tcW w:w="707" w:type="dxa"/>
          </w:tcPr>
          <w:p w14:paraId="3F2F0B68"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2013</w:t>
            </w:r>
          </w:p>
        </w:tc>
        <w:tc>
          <w:tcPr>
            <w:tcW w:w="753" w:type="dxa"/>
          </w:tcPr>
          <w:p w14:paraId="0AD57358"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Canada</w:t>
            </w:r>
          </w:p>
        </w:tc>
        <w:tc>
          <w:tcPr>
            <w:tcW w:w="851" w:type="dxa"/>
          </w:tcPr>
          <w:p w14:paraId="39B6B349"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Health Measures Survey</w:t>
            </w:r>
          </w:p>
        </w:tc>
        <w:tc>
          <w:tcPr>
            <w:tcW w:w="992" w:type="dxa"/>
          </w:tcPr>
          <w:p w14:paraId="3108D9D4"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2007-9</w:t>
            </w:r>
          </w:p>
        </w:tc>
        <w:tc>
          <w:tcPr>
            <w:tcW w:w="709" w:type="dxa"/>
          </w:tcPr>
          <w:p w14:paraId="3B99597B"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2345 (1168 for LDL-C)</w:t>
            </w:r>
          </w:p>
        </w:tc>
        <w:tc>
          <w:tcPr>
            <w:tcW w:w="2693" w:type="dxa"/>
          </w:tcPr>
          <w:p w14:paraId="050A97C2" w14:textId="77777777" w:rsidR="00F8101A" w:rsidRPr="00F8101A" w:rsidRDefault="00F8101A" w:rsidP="00A111E9">
            <w:pPr>
              <w:widowControl/>
              <w:rPr>
                <w:rFonts w:eastAsiaTheme="minorHAnsi" w:cs="Arial"/>
                <w:sz w:val="20"/>
                <w:szCs w:val="20"/>
                <w:vertAlign w:val="subscript"/>
                <w:lang w:bidi="ar-SA"/>
              </w:rPr>
            </w:pPr>
            <w:r w:rsidRPr="00F8101A">
              <w:rPr>
                <w:rFonts w:eastAsiaTheme="minorHAnsi" w:cs="Arial"/>
                <w:sz w:val="20"/>
                <w:szCs w:val="20"/>
                <w:vertAlign w:val="subscript"/>
                <w:lang w:bidi="ar-SA"/>
              </w:rPr>
              <w:t>Results from log continuous multivariate regression; OR for elevated cholesterol</w:t>
            </w:r>
          </w:p>
        </w:tc>
        <w:tc>
          <w:tcPr>
            <w:tcW w:w="425" w:type="dxa"/>
          </w:tcPr>
          <w:p w14:paraId="026C9950" w14:textId="7777777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t>-</w:t>
            </w:r>
          </w:p>
        </w:tc>
        <w:tc>
          <w:tcPr>
            <w:tcW w:w="709" w:type="dxa"/>
          </w:tcPr>
          <w:p w14:paraId="1B424F82" w14:textId="7777777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sym w:font="Symbol" w:char="F0D6"/>
            </w:r>
          </w:p>
        </w:tc>
        <w:tc>
          <w:tcPr>
            <w:tcW w:w="567" w:type="dxa"/>
          </w:tcPr>
          <w:p w14:paraId="59F0DF9B" w14:textId="573FDE6A"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t>q</w:t>
            </w:r>
          </w:p>
        </w:tc>
      </w:tr>
      <w:tr w:rsidR="00F8101A" w:rsidRPr="00F8101A" w14:paraId="1A1408B4" w14:textId="77777777" w:rsidTr="00D95A2C">
        <w:trPr>
          <w:trHeight w:val="575"/>
        </w:trPr>
        <w:tc>
          <w:tcPr>
            <w:tcW w:w="916" w:type="dxa"/>
          </w:tcPr>
          <w:p w14:paraId="27A28A90" w14:textId="5B369004"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 xml:space="preserve">Fitz-Simon </w:t>
            </w:r>
          </w:p>
        </w:tc>
        <w:tc>
          <w:tcPr>
            <w:tcW w:w="707" w:type="dxa"/>
          </w:tcPr>
          <w:p w14:paraId="21AA7AE0"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2013</w:t>
            </w:r>
          </w:p>
        </w:tc>
        <w:tc>
          <w:tcPr>
            <w:tcW w:w="753" w:type="dxa"/>
          </w:tcPr>
          <w:p w14:paraId="24389E92"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US</w:t>
            </w:r>
          </w:p>
        </w:tc>
        <w:tc>
          <w:tcPr>
            <w:tcW w:w="851" w:type="dxa"/>
          </w:tcPr>
          <w:p w14:paraId="2B280D8C"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C8</w:t>
            </w:r>
          </w:p>
        </w:tc>
        <w:tc>
          <w:tcPr>
            <w:tcW w:w="992" w:type="dxa"/>
          </w:tcPr>
          <w:p w14:paraId="3A9C8AC7"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 xml:space="preserve">2005-6 &amp; 2010 </w:t>
            </w:r>
          </w:p>
        </w:tc>
        <w:tc>
          <w:tcPr>
            <w:tcW w:w="709" w:type="dxa"/>
          </w:tcPr>
          <w:p w14:paraId="2284C2BF"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521</w:t>
            </w:r>
          </w:p>
        </w:tc>
        <w:tc>
          <w:tcPr>
            <w:tcW w:w="2693" w:type="dxa"/>
          </w:tcPr>
          <w:p w14:paraId="5A2FD3AE" w14:textId="77777777" w:rsidR="00F8101A" w:rsidRPr="00F8101A" w:rsidRDefault="00F8101A" w:rsidP="00A111E9">
            <w:pPr>
              <w:widowControl/>
              <w:rPr>
                <w:rFonts w:eastAsiaTheme="minorHAnsi" w:cs="Arial"/>
                <w:sz w:val="20"/>
                <w:szCs w:val="20"/>
                <w:vertAlign w:val="subscript"/>
                <w:lang w:bidi="ar-SA"/>
              </w:rPr>
            </w:pPr>
            <w:r w:rsidRPr="00F8101A">
              <w:rPr>
                <w:rFonts w:eastAsiaTheme="minorHAnsi" w:cs="Arial"/>
                <w:sz w:val="20"/>
                <w:szCs w:val="20"/>
                <w:vertAlign w:val="subscript"/>
                <w:lang w:bidi="ar-SA"/>
              </w:rPr>
              <w:t>Change in LDL-C in tertiles of change in PFAS (longitudinal analysis)</w:t>
            </w:r>
          </w:p>
        </w:tc>
        <w:tc>
          <w:tcPr>
            <w:tcW w:w="425" w:type="dxa"/>
          </w:tcPr>
          <w:p w14:paraId="77D8A02F" w14:textId="7777777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t>-</w:t>
            </w:r>
          </w:p>
        </w:tc>
        <w:tc>
          <w:tcPr>
            <w:tcW w:w="709" w:type="dxa"/>
          </w:tcPr>
          <w:p w14:paraId="4C863371" w14:textId="7777777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sym w:font="Symbol" w:char="F0D6"/>
            </w:r>
          </w:p>
        </w:tc>
        <w:tc>
          <w:tcPr>
            <w:tcW w:w="567" w:type="dxa"/>
          </w:tcPr>
          <w:p w14:paraId="5370665E" w14:textId="50E779C0"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t>e</w:t>
            </w:r>
          </w:p>
        </w:tc>
      </w:tr>
      <w:tr w:rsidR="00F8101A" w:rsidRPr="00F8101A" w14:paraId="1347B777" w14:textId="77777777" w:rsidTr="00D95A2C">
        <w:trPr>
          <w:trHeight w:val="429"/>
        </w:trPr>
        <w:tc>
          <w:tcPr>
            <w:tcW w:w="916" w:type="dxa"/>
          </w:tcPr>
          <w:p w14:paraId="0D9EB218" w14:textId="49A16D35"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 xml:space="preserve">Winquist </w:t>
            </w:r>
          </w:p>
        </w:tc>
        <w:tc>
          <w:tcPr>
            <w:tcW w:w="707" w:type="dxa"/>
          </w:tcPr>
          <w:p w14:paraId="1C22E7E3"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2013</w:t>
            </w:r>
          </w:p>
        </w:tc>
        <w:tc>
          <w:tcPr>
            <w:tcW w:w="753" w:type="dxa"/>
          </w:tcPr>
          <w:p w14:paraId="0226A68B"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US</w:t>
            </w:r>
          </w:p>
        </w:tc>
        <w:tc>
          <w:tcPr>
            <w:tcW w:w="851" w:type="dxa"/>
          </w:tcPr>
          <w:p w14:paraId="1FCFC304"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C8</w:t>
            </w:r>
          </w:p>
        </w:tc>
        <w:tc>
          <w:tcPr>
            <w:tcW w:w="992" w:type="dxa"/>
          </w:tcPr>
          <w:p w14:paraId="007943DB"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2005-11</w:t>
            </w:r>
          </w:p>
        </w:tc>
        <w:tc>
          <w:tcPr>
            <w:tcW w:w="709" w:type="dxa"/>
          </w:tcPr>
          <w:p w14:paraId="472CD30B"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32,254</w:t>
            </w:r>
          </w:p>
        </w:tc>
        <w:tc>
          <w:tcPr>
            <w:tcW w:w="2693" w:type="dxa"/>
          </w:tcPr>
          <w:p w14:paraId="1DA92677" w14:textId="2E989E09" w:rsidR="00F8101A" w:rsidRPr="00F8101A" w:rsidRDefault="00F8101A" w:rsidP="00A111E9">
            <w:pPr>
              <w:widowControl/>
              <w:rPr>
                <w:rFonts w:eastAsiaTheme="minorHAnsi" w:cs="Arial"/>
                <w:sz w:val="20"/>
                <w:szCs w:val="20"/>
                <w:vertAlign w:val="subscript"/>
                <w:lang w:bidi="ar-SA"/>
              </w:rPr>
            </w:pPr>
            <w:r w:rsidRPr="00F8101A">
              <w:rPr>
                <w:rFonts w:eastAsiaTheme="minorHAnsi" w:cs="Arial"/>
                <w:sz w:val="20"/>
                <w:szCs w:val="20"/>
                <w:vertAlign w:val="subscript"/>
                <w:lang w:bidi="ar-SA"/>
              </w:rPr>
              <w:t>Hazard ratio for developing hypercholesterolemia (self-reported) based on cumulative estimated PFOA exposure over 20 years or blood data from 2005-6</w:t>
            </w:r>
          </w:p>
        </w:tc>
        <w:tc>
          <w:tcPr>
            <w:tcW w:w="425" w:type="dxa"/>
          </w:tcPr>
          <w:p w14:paraId="7D355D85" w14:textId="7777777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t>-</w:t>
            </w:r>
          </w:p>
        </w:tc>
        <w:tc>
          <w:tcPr>
            <w:tcW w:w="709" w:type="dxa"/>
          </w:tcPr>
          <w:p w14:paraId="0351C3A9" w14:textId="7777777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sym w:font="Symbol" w:char="F0D6"/>
            </w:r>
          </w:p>
        </w:tc>
        <w:tc>
          <w:tcPr>
            <w:tcW w:w="567" w:type="dxa"/>
          </w:tcPr>
          <w:p w14:paraId="72CBE61C" w14:textId="023BC281"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t>e</w:t>
            </w:r>
          </w:p>
        </w:tc>
      </w:tr>
      <w:tr w:rsidR="00F8101A" w:rsidRPr="00F8101A" w14:paraId="533F7838" w14:textId="77777777" w:rsidTr="00D95A2C">
        <w:trPr>
          <w:trHeight w:val="409"/>
        </w:trPr>
        <w:tc>
          <w:tcPr>
            <w:tcW w:w="916" w:type="dxa"/>
          </w:tcPr>
          <w:p w14:paraId="4155FADD" w14:textId="42EFBD3E"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 xml:space="preserve">Starling </w:t>
            </w:r>
          </w:p>
        </w:tc>
        <w:tc>
          <w:tcPr>
            <w:tcW w:w="707" w:type="dxa"/>
          </w:tcPr>
          <w:p w14:paraId="1A85D7B0"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2014</w:t>
            </w:r>
          </w:p>
        </w:tc>
        <w:tc>
          <w:tcPr>
            <w:tcW w:w="753" w:type="dxa"/>
          </w:tcPr>
          <w:p w14:paraId="1BB047E4"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Norway</w:t>
            </w:r>
          </w:p>
        </w:tc>
        <w:tc>
          <w:tcPr>
            <w:tcW w:w="851" w:type="dxa"/>
          </w:tcPr>
          <w:p w14:paraId="54C2BE35"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MoBA</w:t>
            </w:r>
          </w:p>
        </w:tc>
        <w:tc>
          <w:tcPr>
            <w:tcW w:w="992" w:type="dxa"/>
          </w:tcPr>
          <w:p w14:paraId="4E07E2ED"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2003-4</w:t>
            </w:r>
          </w:p>
        </w:tc>
        <w:tc>
          <w:tcPr>
            <w:tcW w:w="709" w:type="dxa"/>
          </w:tcPr>
          <w:p w14:paraId="1F99789D"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891 pregnant women</w:t>
            </w:r>
          </w:p>
        </w:tc>
        <w:tc>
          <w:tcPr>
            <w:tcW w:w="2693" w:type="dxa"/>
          </w:tcPr>
          <w:p w14:paraId="5DB4E2B2" w14:textId="748C082C" w:rsidR="00F8101A" w:rsidRPr="00F8101A" w:rsidRDefault="00F8101A" w:rsidP="00231BF2">
            <w:pPr>
              <w:widowControl/>
              <w:rPr>
                <w:rFonts w:eastAsiaTheme="minorHAnsi" w:cstheme="minorBidi"/>
                <w:szCs w:val="22"/>
                <w:vertAlign w:val="subscript"/>
                <w:lang w:bidi="ar-SA"/>
              </w:rPr>
            </w:pPr>
            <w:r w:rsidRPr="00F8101A">
              <w:rPr>
                <w:rFonts w:eastAsiaTheme="minorHAnsi" w:cstheme="minorBidi"/>
                <w:szCs w:val="22"/>
                <w:vertAlign w:val="subscript"/>
                <w:lang w:bidi="ar-SA"/>
              </w:rPr>
              <w:t xml:space="preserve">Adjusted regression using quartiles of </w:t>
            </w:r>
            <w:r w:rsidR="0041475C">
              <w:rPr>
                <w:rFonts w:eastAsiaTheme="minorHAnsi" w:cstheme="minorBidi"/>
                <w:szCs w:val="22"/>
                <w:vertAlign w:val="subscript"/>
                <w:lang w:bidi="ar-SA"/>
              </w:rPr>
              <w:t xml:space="preserve">natural log </w:t>
            </w:r>
            <w:r w:rsidRPr="00F8101A">
              <w:rPr>
                <w:rFonts w:eastAsiaTheme="minorHAnsi" w:cstheme="minorBidi"/>
                <w:szCs w:val="22"/>
                <w:vertAlign w:val="subscript"/>
                <w:lang w:bidi="ar-SA"/>
              </w:rPr>
              <w:t>-PFAS, reported after back-transformation</w:t>
            </w:r>
          </w:p>
        </w:tc>
        <w:tc>
          <w:tcPr>
            <w:tcW w:w="425" w:type="dxa"/>
          </w:tcPr>
          <w:p w14:paraId="7F69A153" w14:textId="7777777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t>-</w:t>
            </w:r>
          </w:p>
        </w:tc>
        <w:tc>
          <w:tcPr>
            <w:tcW w:w="709" w:type="dxa"/>
          </w:tcPr>
          <w:p w14:paraId="125EE51E" w14:textId="7777777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sym w:font="Symbol" w:char="F0D6"/>
            </w:r>
          </w:p>
        </w:tc>
        <w:tc>
          <w:tcPr>
            <w:tcW w:w="567" w:type="dxa"/>
          </w:tcPr>
          <w:p w14:paraId="5D885C08" w14:textId="5B14AAF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sym w:font="Symbol" w:char="F0D6"/>
            </w:r>
          </w:p>
        </w:tc>
      </w:tr>
      <w:tr w:rsidR="00F8101A" w:rsidRPr="00F8101A" w14:paraId="44080846" w14:textId="77777777" w:rsidTr="00D95A2C">
        <w:trPr>
          <w:trHeight w:val="389"/>
        </w:trPr>
        <w:tc>
          <w:tcPr>
            <w:tcW w:w="916" w:type="dxa"/>
          </w:tcPr>
          <w:p w14:paraId="44F3E9F7" w14:textId="11E00B0D"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 xml:space="preserve">Geiger </w:t>
            </w:r>
          </w:p>
        </w:tc>
        <w:tc>
          <w:tcPr>
            <w:tcW w:w="707" w:type="dxa"/>
          </w:tcPr>
          <w:p w14:paraId="5C63789A"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2014</w:t>
            </w:r>
          </w:p>
        </w:tc>
        <w:tc>
          <w:tcPr>
            <w:tcW w:w="753" w:type="dxa"/>
          </w:tcPr>
          <w:p w14:paraId="6F169DE9"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US</w:t>
            </w:r>
          </w:p>
        </w:tc>
        <w:tc>
          <w:tcPr>
            <w:tcW w:w="851" w:type="dxa"/>
          </w:tcPr>
          <w:p w14:paraId="51B4D80C"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NHANES</w:t>
            </w:r>
          </w:p>
        </w:tc>
        <w:tc>
          <w:tcPr>
            <w:tcW w:w="992" w:type="dxa"/>
          </w:tcPr>
          <w:p w14:paraId="21D12D7C"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1999-2008</w:t>
            </w:r>
          </w:p>
        </w:tc>
        <w:tc>
          <w:tcPr>
            <w:tcW w:w="709" w:type="dxa"/>
          </w:tcPr>
          <w:p w14:paraId="70CAC1D0"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815</w:t>
            </w:r>
          </w:p>
          <w:p w14:paraId="2D7A4B9D"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&lt;19 years</w:t>
            </w:r>
          </w:p>
        </w:tc>
        <w:tc>
          <w:tcPr>
            <w:tcW w:w="2693" w:type="dxa"/>
          </w:tcPr>
          <w:p w14:paraId="47B39409" w14:textId="77777777" w:rsidR="00F8101A" w:rsidRPr="00F8101A" w:rsidRDefault="00F8101A" w:rsidP="00A111E9">
            <w:pPr>
              <w:widowControl/>
              <w:rPr>
                <w:rFonts w:eastAsiaTheme="minorHAnsi" w:cs="Arial"/>
                <w:sz w:val="20"/>
                <w:szCs w:val="20"/>
                <w:vertAlign w:val="subscript"/>
                <w:lang w:bidi="ar-SA"/>
              </w:rPr>
            </w:pPr>
            <w:r w:rsidRPr="00F8101A">
              <w:rPr>
                <w:rFonts w:eastAsiaTheme="minorHAnsi" w:cs="Arial"/>
                <w:sz w:val="20"/>
                <w:szCs w:val="20"/>
                <w:vertAlign w:val="subscript"/>
                <w:lang w:bidi="ar-SA"/>
              </w:rPr>
              <w:t>Adjusted regression by tertiles of PFAS</w:t>
            </w:r>
          </w:p>
        </w:tc>
        <w:tc>
          <w:tcPr>
            <w:tcW w:w="425" w:type="dxa"/>
          </w:tcPr>
          <w:p w14:paraId="4F42FA7B" w14:textId="7777777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t>-</w:t>
            </w:r>
          </w:p>
        </w:tc>
        <w:tc>
          <w:tcPr>
            <w:tcW w:w="709" w:type="dxa"/>
          </w:tcPr>
          <w:p w14:paraId="57901906" w14:textId="7777777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sym w:font="Symbol" w:char="F0D6"/>
            </w:r>
          </w:p>
        </w:tc>
        <w:tc>
          <w:tcPr>
            <w:tcW w:w="567" w:type="dxa"/>
          </w:tcPr>
          <w:p w14:paraId="4E1CDAF0" w14:textId="04A6E65C"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sym w:font="Symbol" w:char="F0D6"/>
            </w:r>
          </w:p>
        </w:tc>
      </w:tr>
      <w:tr w:rsidR="00F8101A" w:rsidRPr="00F8101A" w14:paraId="39EF53D6" w14:textId="77777777" w:rsidTr="00D95A2C">
        <w:trPr>
          <w:trHeight w:val="414"/>
        </w:trPr>
        <w:tc>
          <w:tcPr>
            <w:tcW w:w="916" w:type="dxa"/>
          </w:tcPr>
          <w:p w14:paraId="03322C2B" w14:textId="186F65F3"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 xml:space="preserve">Steenland </w:t>
            </w:r>
          </w:p>
        </w:tc>
        <w:tc>
          <w:tcPr>
            <w:tcW w:w="707" w:type="dxa"/>
          </w:tcPr>
          <w:p w14:paraId="36D50CB8"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2015</w:t>
            </w:r>
          </w:p>
        </w:tc>
        <w:tc>
          <w:tcPr>
            <w:tcW w:w="753" w:type="dxa"/>
          </w:tcPr>
          <w:p w14:paraId="2655B0EF"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US</w:t>
            </w:r>
          </w:p>
        </w:tc>
        <w:tc>
          <w:tcPr>
            <w:tcW w:w="851" w:type="dxa"/>
          </w:tcPr>
          <w:p w14:paraId="4071933F"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C8</w:t>
            </w:r>
          </w:p>
        </w:tc>
        <w:tc>
          <w:tcPr>
            <w:tcW w:w="992" w:type="dxa"/>
          </w:tcPr>
          <w:p w14:paraId="602AAA3B" w14:textId="77777777" w:rsidR="00F8101A" w:rsidRPr="00F8101A" w:rsidRDefault="00F8101A" w:rsidP="00A111E9">
            <w:pPr>
              <w:widowControl/>
              <w:tabs>
                <w:tab w:val="left" w:pos="255"/>
                <w:tab w:val="left" w:pos="475"/>
              </w:tabs>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longterm cumulative estimate</w:t>
            </w:r>
          </w:p>
        </w:tc>
        <w:tc>
          <w:tcPr>
            <w:tcW w:w="709" w:type="dxa"/>
          </w:tcPr>
          <w:p w14:paraId="5FD18B2C" w14:textId="77777777" w:rsidR="00F8101A" w:rsidRPr="00F8101A" w:rsidRDefault="00F8101A" w:rsidP="00A111E9">
            <w:pPr>
              <w:widowControl/>
              <w:rPr>
                <w:rFonts w:asciiTheme="minorHAnsi" w:eastAsiaTheme="minorHAnsi" w:hAnsiTheme="minorHAnsi" w:cs="Arial"/>
                <w:sz w:val="20"/>
                <w:szCs w:val="20"/>
                <w:vertAlign w:val="subscript"/>
                <w:lang w:bidi="ar-SA"/>
              </w:rPr>
            </w:pPr>
            <w:r w:rsidRPr="00F8101A">
              <w:rPr>
                <w:rFonts w:asciiTheme="minorHAnsi" w:eastAsiaTheme="minorHAnsi" w:hAnsiTheme="minorHAnsi" w:cs="Arial"/>
                <w:sz w:val="20"/>
                <w:szCs w:val="20"/>
                <w:vertAlign w:val="subscript"/>
                <w:lang w:bidi="ar-SA"/>
              </w:rPr>
              <w:t>2845</w:t>
            </w:r>
          </w:p>
        </w:tc>
        <w:tc>
          <w:tcPr>
            <w:tcW w:w="2693" w:type="dxa"/>
          </w:tcPr>
          <w:p w14:paraId="04D50CDA" w14:textId="77777777" w:rsidR="00F8101A" w:rsidRPr="00F8101A" w:rsidRDefault="00F8101A" w:rsidP="00A111E9">
            <w:pPr>
              <w:widowControl/>
              <w:rPr>
                <w:rFonts w:eastAsiaTheme="minorHAnsi" w:cs="Arial"/>
                <w:sz w:val="20"/>
                <w:szCs w:val="20"/>
                <w:vertAlign w:val="subscript"/>
                <w:lang w:bidi="ar-SA"/>
              </w:rPr>
            </w:pPr>
            <w:r w:rsidRPr="00F8101A">
              <w:rPr>
                <w:rFonts w:eastAsiaTheme="minorHAnsi" w:cs="Arial"/>
                <w:sz w:val="20"/>
                <w:szCs w:val="20"/>
                <w:vertAlign w:val="subscript"/>
                <w:lang w:bidi="ar-SA"/>
              </w:rPr>
              <w:t>Incidence of hypercholesterolaemia not assessed as self-report was not validated</w:t>
            </w:r>
          </w:p>
        </w:tc>
        <w:tc>
          <w:tcPr>
            <w:tcW w:w="425" w:type="dxa"/>
          </w:tcPr>
          <w:p w14:paraId="7C5AAFF4" w14:textId="7777777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t>-</w:t>
            </w:r>
          </w:p>
        </w:tc>
        <w:tc>
          <w:tcPr>
            <w:tcW w:w="709" w:type="dxa"/>
          </w:tcPr>
          <w:p w14:paraId="3E1D1CA6" w14:textId="77777777"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sym w:font="Symbol" w:char="F0D6"/>
            </w:r>
          </w:p>
        </w:tc>
        <w:tc>
          <w:tcPr>
            <w:tcW w:w="567" w:type="dxa"/>
          </w:tcPr>
          <w:p w14:paraId="7DE0F3A1" w14:textId="347570A6" w:rsidR="00F8101A" w:rsidRPr="00F8101A" w:rsidRDefault="00F8101A" w:rsidP="00A111E9">
            <w:pPr>
              <w:widowControl/>
              <w:rPr>
                <w:rFonts w:asciiTheme="minorHAnsi" w:eastAsiaTheme="minorHAnsi" w:hAnsiTheme="minorHAnsi" w:cs="Arial"/>
                <w:sz w:val="24"/>
                <w:vertAlign w:val="subscript"/>
                <w:lang w:bidi="ar-SA"/>
              </w:rPr>
            </w:pPr>
            <w:r w:rsidRPr="00F8101A">
              <w:rPr>
                <w:rFonts w:asciiTheme="minorHAnsi" w:eastAsiaTheme="minorHAnsi" w:hAnsiTheme="minorHAnsi" w:cs="Arial"/>
                <w:sz w:val="24"/>
                <w:vertAlign w:val="subscript"/>
                <w:lang w:bidi="ar-SA"/>
              </w:rPr>
              <w:t>e</w:t>
            </w:r>
          </w:p>
        </w:tc>
      </w:tr>
    </w:tbl>
    <w:p w14:paraId="3D8606D2" w14:textId="32FBE173" w:rsidR="00F8101A" w:rsidRPr="00F8101A" w:rsidRDefault="00231BF2" w:rsidP="00A111E9">
      <w:pPr>
        <w:widowControl/>
        <w:rPr>
          <w:rFonts w:eastAsiaTheme="minorHAnsi" w:cs="Arial"/>
          <w:sz w:val="20"/>
          <w:szCs w:val="20"/>
          <w:vertAlign w:val="subscript"/>
          <w:lang w:bidi="ar-SA"/>
        </w:rPr>
      </w:pPr>
      <w:r>
        <w:rPr>
          <w:rFonts w:eastAsiaTheme="minorHAnsi" w:cs="Arial"/>
          <w:sz w:val="20"/>
          <w:szCs w:val="20"/>
          <w:vertAlign w:val="subscript"/>
          <w:lang w:bidi="ar-SA"/>
        </w:rPr>
        <w:t xml:space="preserve">OR: odds ratio, </w:t>
      </w:r>
      <w:r w:rsidR="00F8101A" w:rsidRPr="00F8101A">
        <w:rPr>
          <w:rFonts w:asciiTheme="minorHAnsi" w:eastAsiaTheme="minorHAnsi" w:hAnsiTheme="minorHAnsi" w:cs="Arial"/>
          <w:sz w:val="24"/>
          <w:vertAlign w:val="subscript"/>
          <w:lang w:bidi="ar-SA"/>
        </w:rPr>
        <w:sym w:font="Symbol" w:char="F0D6"/>
      </w:r>
      <w:r w:rsidR="00F8101A" w:rsidRPr="00F8101A">
        <w:rPr>
          <w:rFonts w:asciiTheme="minorHAnsi" w:eastAsiaTheme="minorHAnsi" w:hAnsiTheme="minorHAnsi" w:cs="Arial"/>
          <w:sz w:val="24"/>
          <w:vertAlign w:val="subscript"/>
          <w:lang w:bidi="ar-SA"/>
        </w:rPr>
        <w:t xml:space="preserve"> included in this review,-: not referred to in the review; </w:t>
      </w:r>
      <w:r w:rsidR="00F8101A" w:rsidRPr="00F8101A">
        <w:rPr>
          <w:rFonts w:eastAsiaTheme="minorHAnsi" w:cs="Arial"/>
          <w:sz w:val="20"/>
          <w:szCs w:val="20"/>
          <w:vertAlign w:val="subscript"/>
          <w:lang w:bidi="ar-SA"/>
        </w:rPr>
        <w:t>c: comment e- excluded q- included for qualitative assessment but not quantitative assessment</w:t>
      </w:r>
    </w:p>
    <w:p w14:paraId="5AEE0F99" w14:textId="77777777" w:rsidR="00F8101A" w:rsidRPr="00F8101A" w:rsidRDefault="00F8101A" w:rsidP="004264B6">
      <w:pPr>
        <w:pStyle w:val="Heading5"/>
        <w:rPr>
          <w:rFonts w:eastAsiaTheme="minorHAnsi"/>
        </w:rPr>
      </w:pPr>
      <w:r w:rsidRPr="00F8101A">
        <w:rPr>
          <w:rFonts w:eastAsiaTheme="minorHAnsi"/>
        </w:rPr>
        <w:t>Additional studies identified by FSANZ</w:t>
      </w:r>
    </w:p>
    <w:p w14:paraId="6332B2CE" w14:textId="31976AAB" w:rsidR="00F8101A" w:rsidRPr="00F8101A" w:rsidRDefault="003654C5" w:rsidP="00A111E9">
      <w:pPr>
        <w:widowControl/>
        <w:rPr>
          <w:rFonts w:eastAsiaTheme="minorHAnsi" w:cstheme="minorBidi"/>
          <w:szCs w:val="22"/>
          <w:lang w:bidi="ar-SA"/>
        </w:rPr>
      </w:pPr>
      <w:r>
        <w:rPr>
          <w:rFonts w:eastAsiaTheme="minorHAnsi" w:cstheme="minorBidi"/>
          <w:szCs w:val="22"/>
          <w:lang w:bidi="ar-SA"/>
        </w:rPr>
        <w:t>The following s</w:t>
      </w:r>
      <w:r w:rsidR="00F8101A" w:rsidRPr="00F8101A">
        <w:rPr>
          <w:rFonts w:eastAsiaTheme="minorHAnsi" w:cstheme="minorBidi"/>
          <w:szCs w:val="22"/>
          <w:lang w:bidi="ar-SA"/>
        </w:rPr>
        <w:t>earch strategy</w:t>
      </w:r>
      <w:r>
        <w:rPr>
          <w:rFonts w:eastAsiaTheme="minorHAnsi" w:cstheme="minorBidi"/>
          <w:szCs w:val="22"/>
          <w:lang w:bidi="ar-SA"/>
        </w:rPr>
        <w:t xml:space="preserve"> was</w:t>
      </w:r>
      <w:r w:rsidR="00F8101A" w:rsidRPr="00F8101A">
        <w:rPr>
          <w:rFonts w:eastAsiaTheme="minorHAnsi" w:cstheme="minorBidi"/>
          <w:szCs w:val="22"/>
          <w:lang w:bidi="ar-SA"/>
        </w:rPr>
        <w:t xml:space="preserve"> conducted in </w:t>
      </w:r>
      <w:r w:rsidR="00022D9E">
        <w:rPr>
          <w:rFonts w:eastAsiaTheme="minorHAnsi" w:cstheme="minorBidi"/>
          <w:szCs w:val="22"/>
          <w:lang w:bidi="ar-SA"/>
        </w:rPr>
        <w:t>PubM</w:t>
      </w:r>
      <w:r w:rsidR="00F8101A" w:rsidRPr="00F8101A">
        <w:rPr>
          <w:rFonts w:eastAsiaTheme="minorHAnsi" w:cstheme="minorBidi"/>
          <w:szCs w:val="22"/>
          <w:lang w:bidi="ar-SA"/>
        </w:rPr>
        <w:t xml:space="preserve">ed </w:t>
      </w:r>
      <w:r>
        <w:rPr>
          <w:rFonts w:eastAsiaTheme="minorHAnsi" w:cstheme="minorBidi"/>
          <w:szCs w:val="22"/>
          <w:lang w:bidi="ar-SA"/>
        </w:rPr>
        <w:t xml:space="preserve">on </w:t>
      </w:r>
      <w:r w:rsidR="00F8101A" w:rsidRPr="00F8101A">
        <w:rPr>
          <w:rFonts w:eastAsiaTheme="minorHAnsi" w:cstheme="minorBidi"/>
          <w:szCs w:val="22"/>
          <w:lang w:bidi="ar-SA"/>
        </w:rPr>
        <w:t>15 Nov, 2016</w:t>
      </w:r>
    </w:p>
    <w:p w14:paraId="2B0275DC" w14:textId="77777777" w:rsidR="00F8101A" w:rsidRPr="00F8101A" w:rsidRDefault="00F8101A" w:rsidP="00A111E9">
      <w:pPr>
        <w:widowControl/>
        <w:rPr>
          <w:rFonts w:eastAsiaTheme="minorHAnsi" w:cstheme="minorBidi"/>
          <w:szCs w:val="22"/>
          <w:lang w:bidi="ar-SA"/>
        </w:rPr>
      </w:pPr>
    </w:p>
    <w:p w14:paraId="1870376A" w14:textId="5FD9DE9C" w:rsidR="00F8101A" w:rsidRPr="00F8101A" w:rsidRDefault="00F8101A" w:rsidP="00A111E9">
      <w:pPr>
        <w:widowControl/>
        <w:ind w:left="567" w:right="565"/>
        <w:rPr>
          <w:rFonts w:eastAsiaTheme="minorHAnsi" w:cstheme="minorBidi"/>
          <w:szCs w:val="22"/>
          <w:lang w:bidi="ar-SA"/>
        </w:rPr>
      </w:pPr>
      <w:r w:rsidRPr="00F8101A">
        <w:rPr>
          <w:rFonts w:eastAsiaTheme="minorHAnsi" w:cstheme="minorBidi"/>
          <w:szCs w:val="22"/>
          <w:lang w:bidi="ar-SA"/>
        </w:rPr>
        <w:t xml:space="preserve">(PFOA[All Fields] AND </w:t>
      </w:r>
      <w:r w:rsidR="00043409" w:rsidRPr="00043409">
        <w:rPr>
          <w:rFonts w:eastAsiaTheme="minorHAnsi" w:cstheme="minorBidi"/>
          <w:szCs w:val="22"/>
          <w:lang w:bidi="ar-SA"/>
        </w:rPr>
        <w:t>PFOA[All Fields] OR PFOS[All Fields]</w:t>
      </w:r>
      <w:r w:rsidR="00043409">
        <w:rPr>
          <w:rFonts w:eastAsiaTheme="minorHAnsi" w:cstheme="minorBidi"/>
          <w:szCs w:val="22"/>
          <w:lang w:bidi="ar-SA"/>
        </w:rPr>
        <w:t xml:space="preserve"> </w:t>
      </w:r>
      <w:r w:rsidRPr="00F8101A">
        <w:rPr>
          <w:rFonts w:eastAsiaTheme="minorHAnsi" w:cstheme="minorBidi"/>
          <w:szCs w:val="22"/>
          <w:lang w:bidi="ar-SA"/>
        </w:rPr>
        <w:t>AND ("cholesterol"[MeSH Terms] OR "cholesterol"[All Fields])) AND "humans"[MeSH Terms]</w:t>
      </w:r>
    </w:p>
    <w:p w14:paraId="240AA3B8" w14:textId="77777777" w:rsidR="00F8101A" w:rsidRPr="00F8101A" w:rsidRDefault="00F8101A" w:rsidP="00A111E9">
      <w:pPr>
        <w:widowControl/>
        <w:rPr>
          <w:rFonts w:eastAsiaTheme="minorHAnsi" w:cstheme="minorBidi"/>
          <w:szCs w:val="22"/>
          <w:lang w:bidi="ar-SA"/>
        </w:rPr>
      </w:pPr>
    </w:p>
    <w:p w14:paraId="63663B3F" w14:textId="7BDE3AA7" w:rsidR="00F8101A" w:rsidRPr="00F8101A" w:rsidRDefault="00043409" w:rsidP="00A111E9">
      <w:pPr>
        <w:widowControl/>
        <w:rPr>
          <w:rFonts w:eastAsiaTheme="minorHAnsi" w:cstheme="minorBidi"/>
          <w:szCs w:val="22"/>
          <w:lang w:bidi="ar-SA"/>
        </w:rPr>
      </w:pPr>
      <w:r>
        <w:rPr>
          <w:rFonts w:eastAsiaTheme="minorHAnsi" w:cstheme="minorBidi"/>
          <w:szCs w:val="22"/>
          <w:lang w:bidi="ar-SA"/>
        </w:rPr>
        <w:t xml:space="preserve">This retrieved 51 articles from which </w:t>
      </w:r>
      <w:r w:rsidR="00F8101A" w:rsidRPr="00F8101A">
        <w:rPr>
          <w:rFonts w:eastAsiaTheme="minorHAnsi" w:cstheme="minorBidi"/>
          <w:szCs w:val="22"/>
          <w:lang w:bidi="ar-SA"/>
        </w:rPr>
        <w:t xml:space="preserve">FSANZ identified </w:t>
      </w:r>
      <w:r w:rsidR="00532CA4">
        <w:rPr>
          <w:rFonts w:eastAsiaTheme="minorHAnsi" w:cstheme="minorBidi"/>
          <w:szCs w:val="22"/>
          <w:lang w:bidi="ar-SA"/>
        </w:rPr>
        <w:t xml:space="preserve">10 papers </w:t>
      </w:r>
      <w:r w:rsidR="00F8101A" w:rsidRPr="00F8101A">
        <w:rPr>
          <w:rFonts w:eastAsiaTheme="minorHAnsi" w:cstheme="minorBidi"/>
          <w:szCs w:val="22"/>
          <w:lang w:bidi="ar-SA"/>
        </w:rPr>
        <w:t xml:space="preserve">(Table </w:t>
      </w:r>
      <w:r w:rsidR="00AC51E8">
        <w:rPr>
          <w:rFonts w:eastAsiaTheme="minorHAnsi" w:cstheme="minorBidi"/>
          <w:szCs w:val="22"/>
          <w:lang w:bidi="ar-SA"/>
        </w:rPr>
        <w:t>A2.</w:t>
      </w:r>
      <w:r w:rsidR="00F8101A" w:rsidRPr="00F8101A">
        <w:rPr>
          <w:rFonts w:eastAsiaTheme="minorHAnsi" w:cstheme="minorBidi"/>
          <w:szCs w:val="22"/>
          <w:lang w:bidi="ar-SA"/>
        </w:rPr>
        <w:t>3)</w:t>
      </w:r>
      <w:r>
        <w:rPr>
          <w:rFonts w:eastAsiaTheme="minorHAnsi" w:cstheme="minorBidi"/>
          <w:szCs w:val="22"/>
          <w:lang w:bidi="ar-SA"/>
        </w:rPr>
        <w:t xml:space="preserve"> which had not been identified from earlier reviews and reports</w:t>
      </w:r>
      <w:r w:rsidR="00532CA4">
        <w:rPr>
          <w:rFonts w:eastAsiaTheme="minorHAnsi" w:cstheme="minorBidi"/>
          <w:szCs w:val="22"/>
          <w:lang w:bidi="ar-SA"/>
        </w:rPr>
        <w:t xml:space="preserve"> (Table A2.2)</w:t>
      </w:r>
      <w:r w:rsidR="00F8101A" w:rsidRPr="00F8101A">
        <w:rPr>
          <w:rFonts w:eastAsiaTheme="minorHAnsi" w:cstheme="minorBidi"/>
          <w:szCs w:val="22"/>
          <w:lang w:bidi="ar-SA"/>
        </w:rPr>
        <w:t>. In particular, these additional studies extend the number of papers describing the association in children and pregnant women.</w:t>
      </w:r>
      <w:r w:rsidR="003654C5">
        <w:rPr>
          <w:rFonts w:eastAsiaTheme="minorHAnsi" w:cstheme="minorBidi"/>
          <w:szCs w:val="22"/>
          <w:lang w:bidi="ar-SA"/>
        </w:rPr>
        <w:t xml:space="preserve"> There were also 17 </w:t>
      </w:r>
      <w:r w:rsidR="00537AC4">
        <w:rPr>
          <w:rFonts w:eastAsiaTheme="minorHAnsi" w:cstheme="minorBidi"/>
          <w:szCs w:val="22"/>
          <w:lang w:bidi="ar-SA"/>
        </w:rPr>
        <w:t>papers</w:t>
      </w:r>
      <w:r w:rsidR="003654C5">
        <w:rPr>
          <w:rFonts w:eastAsiaTheme="minorHAnsi" w:cstheme="minorBidi"/>
          <w:szCs w:val="22"/>
          <w:lang w:bidi="ar-SA"/>
        </w:rPr>
        <w:t xml:space="preserve"> which had been identified from the earlier reviews. </w:t>
      </w:r>
      <w:r w:rsidR="00F8101A" w:rsidRPr="00F8101A">
        <w:rPr>
          <w:rFonts w:eastAsiaTheme="minorHAnsi" w:cstheme="minorBidi"/>
          <w:szCs w:val="22"/>
          <w:lang w:bidi="ar-SA"/>
        </w:rPr>
        <w:t xml:space="preserve"> </w:t>
      </w:r>
      <w:r>
        <w:rPr>
          <w:rFonts w:eastAsiaTheme="minorHAnsi" w:cstheme="minorBidi"/>
          <w:szCs w:val="22"/>
          <w:lang w:bidi="ar-SA"/>
        </w:rPr>
        <w:t>Repeating the search in mid-</w:t>
      </w:r>
      <w:r w:rsidR="003654C5">
        <w:rPr>
          <w:rFonts w:eastAsiaTheme="minorHAnsi" w:cstheme="minorBidi"/>
          <w:szCs w:val="22"/>
          <w:lang w:bidi="ar-SA"/>
        </w:rPr>
        <w:t>D</w:t>
      </w:r>
      <w:r>
        <w:rPr>
          <w:rFonts w:eastAsiaTheme="minorHAnsi" w:cstheme="minorBidi"/>
          <w:szCs w:val="22"/>
          <w:lang w:bidi="ar-SA"/>
        </w:rPr>
        <w:t xml:space="preserve">ecember 2016 did not yield additional </w:t>
      </w:r>
      <w:r w:rsidR="004F2845">
        <w:rPr>
          <w:rFonts w:eastAsiaTheme="minorHAnsi" w:cstheme="minorBidi"/>
          <w:szCs w:val="22"/>
          <w:lang w:bidi="ar-SA"/>
        </w:rPr>
        <w:t>papers</w:t>
      </w:r>
      <w:r>
        <w:rPr>
          <w:rFonts w:eastAsiaTheme="minorHAnsi" w:cstheme="minorBidi"/>
          <w:szCs w:val="22"/>
          <w:lang w:bidi="ar-SA"/>
        </w:rPr>
        <w:t>.</w:t>
      </w:r>
      <w:r w:rsidR="00C97E64" w:rsidRPr="00F8101A">
        <w:rPr>
          <w:rFonts w:eastAsiaTheme="minorHAnsi" w:cstheme="minorBidi"/>
          <w:szCs w:val="22"/>
          <w:lang w:bidi="ar-SA"/>
        </w:rPr>
        <w:t xml:space="preserve"> </w:t>
      </w:r>
    </w:p>
    <w:p w14:paraId="63FBBC32" w14:textId="77777777" w:rsidR="00F8101A" w:rsidRPr="00F8101A" w:rsidRDefault="00F8101A" w:rsidP="00A111E9">
      <w:pPr>
        <w:widowControl/>
        <w:rPr>
          <w:rFonts w:eastAsiaTheme="minorHAnsi" w:cstheme="minorBidi"/>
          <w:szCs w:val="22"/>
          <w:lang w:bidi="ar-SA"/>
        </w:rPr>
      </w:pPr>
      <w:r w:rsidRPr="00F8101A">
        <w:rPr>
          <w:rFonts w:eastAsiaTheme="minorHAnsi" w:cstheme="minorBidi"/>
          <w:szCs w:val="22"/>
          <w:lang w:bidi="ar-SA"/>
        </w:rPr>
        <w:br w:type="page"/>
      </w:r>
    </w:p>
    <w:p w14:paraId="4B6FC1F9" w14:textId="600773D8" w:rsidR="00F8101A" w:rsidRPr="00F8101A" w:rsidRDefault="00F8101A" w:rsidP="00A111E9">
      <w:pPr>
        <w:pStyle w:val="FSTableTitle"/>
        <w:rPr>
          <w:rFonts w:eastAsiaTheme="minorHAnsi"/>
        </w:rPr>
      </w:pPr>
      <w:r w:rsidRPr="00F8101A">
        <w:rPr>
          <w:rFonts w:eastAsiaTheme="minorHAnsi"/>
        </w:rPr>
        <w:lastRenderedPageBreak/>
        <w:t xml:space="preserve">Table </w:t>
      </w:r>
      <w:r w:rsidR="00C44F1E">
        <w:rPr>
          <w:rFonts w:eastAsiaTheme="minorHAnsi"/>
          <w:lang w:bidi="ar-SA"/>
        </w:rPr>
        <w:t>A2.</w:t>
      </w:r>
      <w:r w:rsidRPr="00F8101A">
        <w:rPr>
          <w:rFonts w:eastAsiaTheme="minorHAnsi"/>
        </w:rPr>
        <w:t>3 Additional studies identified by FSANZ not referred to in EFSA (2008),</w:t>
      </w:r>
      <w:r w:rsidR="005F0BF9">
        <w:rPr>
          <w:rFonts w:eastAsiaTheme="minorHAnsi"/>
        </w:rPr>
        <w:t xml:space="preserve"> US</w:t>
      </w:r>
      <w:r w:rsidRPr="00F8101A">
        <w:rPr>
          <w:rFonts w:eastAsiaTheme="minorHAnsi"/>
        </w:rPr>
        <w:t xml:space="preserve"> EPA (2016a), </w:t>
      </w:r>
      <w:r w:rsidR="005F0BF9">
        <w:rPr>
          <w:rFonts w:eastAsiaTheme="minorHAnsi"/>
        </w:rPr>
        <w:t xml:space="preserve">US </w:t>
      </w:r>
      <w:r w:rsidRPr="00F8101A">
        <w:rPr>
          <w:rFonts w:eastAsiaTheme="minorHAnsi"/>
        </w:rPr>
        <w:t>EPA (2016b) and FSANZ’s decision about whether to include or exclude these papers from the graphical presentation</w:t>
      </w:r>
    </w:p>
    <w:p w14:paraId="1971584F" w14:textId="690302BE" w:rsidR="00F8101A" w:rsidRPr="00F8101A" w:rsidRDefault="00F8101A" w:rsidP="00A111E9">
      <w:pPr>
        <w:widowControl/>
        <w:rPr>
          <w:rFonts w:eastAsiaTheme="minorHAnsi" w:cstheme="minorBidi"/>
          <w:szCs w:val="22"/>
          <w:lang w:bidi="ar-SA"/>
        </w:rPr>
      </w:pPr>
    </w:p>
    <w:tbl>
      <w:tblPr>
        <w:tblStyle w:val="TableGrid10"/>
        <w:tblpPr w:leftFromText="180" w:rightFromText="180" w:vertAnchor="text" w:horzAnchor="margin" w:tblpXSpec="center" w:tblpY="-39"/>
        <w:tblW w:w="9416" w:type="dxa"/>
        <w:tblLayout w:type="fixed"/>
        <w:tblLook w:val="04A0" w:firstRow="1" w:lastRow="0" w:firstColumn="1" w:lastColumn="0" w:noHBand="0" w:noVBand="1"/>
        <w:tblCaption w:val="Table A2.3 Additional studies identified by FSANZ not referred to in EFSA (2008), US EPA (2016a), US EPA (2016b) and FSANZ’s decision about whether to include or exclude these papers from the graphical presentation"/>
        <w:tblDescription w:val="This table contains data relating to additional studies identified by FSANZ not referred to in EFSA (2008), US EPA (2016a), US EPA (2016b) and FSANZ’s decision about whether to include or exclude these papers from the graphical presentation."/>
      </w:tblPr>
      <w:tblGrid>
        <w:gridCol w:w="1242"/>
        <w:gridCol w:w="851"/>
        <w:gridCol w:w="1276"/>
        <w:gridCol w:w="1134"/>
        <w:gridCol w:w="850"/>
        <w:gridCol w:w="1134"/>
        <w:gridCol w:w="2504"/>
        <w:gridCol w:w="425"/>
      </w:tblGrid>
      <w:tr w:rsidR="00F8101A" w:rsidRPr="00F8101A" w14:paraId="374C308F" w14:textId="77777777" w:rsidTr="000830C5">
        <w:trPr>
          <w:cantSplit/>
          <w:trHeight w:val="1271"/>
          <w:tblHeader/>
        </w:trPr>
        <w:tc>
          <w:tcPr>
            <w:tcW w:w="1242" w:type="dxa"/>
            <w:shd w:val="clear" w:color="auto" w:fill="F2F2F2" w:themeFill="background1" w:themeFillShade="F2"/>
          </w:tcPr>
          <w:p w14:paraId="2C5582ED" w14:textId="1498B63D" w:rsidR="00F8101A" w:rsidRPr="000E7153" w:rsidRDefault="00386C09" w:rsidP="00A111E9">
            <w:pPr>
              <w:widowControl/>
              <w:rPr>
                <w:rFonts w:eastAsiaTheme="minorHAnsi"/>
                <w:b/>
                <w:sz w:val="18"/>
              </w:rPr>
            </w:pPr>
            <w:r>
              <w:rPr>
                <w:rFonts w:eastAsiaTheme="minorHAnsi" w:cstheme="minorBidi"/>
                <w:b/>
                <w:sz w:val="18"/>
                <w:szCs w:val="18"/>
                <w:lang w:bidi="ar-SA"/>
              </w:rPr>
              <w:t xml:space="preserve">First </w:t>
            </w:r>
            <w:r w:rsidR="00986779">
              <w:rPr>
                <w:rFonts w:eastAsiaTheme="minorHAnsi"/>
                <w:b/>
                <w:sz w:val="18"/>
              </w:rPr>
              <w:t>a</w:t>
            </w:r>
            <w:r w:rsidR="00F8101A" w:rsidRPr="000E7153">
              <w:rPr>
                <w:rFonts w:eastAsiaTheme="minorHAnsi"/>
                <w:b/>
                <w:sz w:val="18"/>
              </w:rPr>
              <w:t>uthor</w:t>
            </w:r>
          </w:p>
        </w:tc>
        <w:tc>
          <w:tcPr>
            <w:tcW w:w="851" w:type="dxa"/>
            <w:shd w:val="clear" w:color="auto" w:fill="F2F2F2" w:themeFill="background1" w:themeFillShade="F2"/>
            <w:textDirection w:val="btLr"/>
          </w:tcPr>
          <w:p w14:paraId="678C88B9" w14:textId="77777777" w:rsidR="00F8101A" w:rsidRPr="000E7153" w:rsidRDefault="00F8101A" w:rsidP="00A111E9">
            <w:pPr>
              <w:widowControl/>
              <w:ind w:left="113" w:right="113"/>
              <w:rPr>
                <w:rFonts w:eastAsiaTheme="minorHAnsi"/>
                <w:b/>
                <w:sz w:val="18"/>
              </w:rPr>
            </w:pPr>
            <w:r w:rsidRPr="000E7153">
              <w:rPr>
                <w:rFonts w:eastAsiaTheme="minorHAnsi"/>
                <w:b/>
                <w:sz w:val="18"/>
              </w:rPr>
              <w:t>Year of publication</w:t>
            </w:r>
          </w:p>
        </w:tc>
        <w:tc>
          <w:tcPr>
            <w:tcW w:w="1276" w:type="dxa"/>
            <w:shd w:val="clear" w:color="auto" w:fill="F2F2F2" w:themeFill="background1" w:themeFillShade="F2"/>
          </w:tcPr>
          <w:p w14:paraId="15661E1E" w14:textId="77777777" w:rsidR="00F8101A" w:rsidRPr="000E7153" w:rsidRDefault="00F8101A" w:rsidP="00A111E9">
            <w:pPr>
              <w:widowControl/>
              <w:rPr>
                <w:rFonts w:eastAsiaTheme="minorHAnsi"/>
                <w:b/>
                <w:sz w:val="18"/>
              </w:rPr>
            </w:pPr>
            <w:r w:rsidRPr="000E7153">
              <w:rPr>
                <w:rFonts w:eastAsiaTheme="minorHAnsi"/>
                <w:b/>
                <w:sz w:val="18"/>
              </w:rPr>
              <w:t>Location of study</w:t>
            </w:r>
          </w:p>
        </w:tc>
        <w:tc>
          <w:tcPr>
            <w:tcW w:w="1134" w:type="dxa"/>
            <w:shd w:val="clear" w:color="auto" w:fill="F2F2F2" w:themeFill="background1" w:themeFillShade="F2"/>
          </w:tcPr>
          <w:p w14:paraId="099E1083" w14:textId="77777777" w:rsidR="00F8101A" w:rsidRPr="000E7153" w:rsidRDefault="00F8101A" w:rsidP="00A111E9">
            <w:pPr>
              <w:widowControl/>
              <w:rPr>
                <w:rFonts w:eastAsiaTheme="minorHAnsi"/>
                <w:b/>
                <w:sz w:val="18"/>
              </w:rPr>
            </w:pPr>
            <w:r w:rsidRPr="000E7153">
              <w:rPr>
                <w:rFonts w:eastAsiaTheme="minorHAnsi"/>
                <w:b/>
                <w:sz w:val="18"/>
              </w:rPr>
              <w:t>Study</w:t>
            </w:r>
          </w:p>
        </w:tc>
        <w:tc>
          <w:tcPr>
            <w:tcW w:w="850" w:type="dxa"/>
            <w:shd w:val="clear" w:color="auto" w:fill="F2F2F2" w:themeFill="background1" w:themeFillShade="F2"/>
            <w:textDirection w:val="btLr"/>
          </w:tcPr>
          <w:p w14:paraId="0FEC1A21" w14:textId="77777777" w:rsidR="00F8101A" w:rsidRPr="000E7153" w:rsidRDefault="00F8101A" w:rsidP="00A111E9">
            <w:pPr>
              <w:widowControl/>
              <w:ind w:left="113" w:right="113"/>
              <w:rPr>
                <w:rFonts w:eastAsiaTheme="minorHAnsi"/>
                <w:b/>
                <w:sz w:val="18"/>
              </w:rPr>
            </w:pPr>
            <w:r w:rsidRPr="000E7153">
              <w:rPr>
                <w:rFonts w:eastAsiaTheme="minorHAnsi"/>
                <w:b/>
                <w:sz w:val="18"/>
              </w:rPr>
              <w:t>Year of data collection</w:t>
            </w:r>
          </w:p>
        </w:tc>
        <w:tc>
          <w:tcPr>
            <w:tcW w:w="1134" w:type="dxa"/>
            <w:shd w:val="clear" w:color="auto" w:fill="F2F2F2" w:themeFill="background1" w:themeFillShade="F2"/>
          </w:tcPr>
          <w:p w14:paraId="6FB321BA" w14:textId="77777777" w:rsidR="00F8101A" w:rsidRPr="000E7153" w:rsidRDefault="00F8101A" w:rsidP="00A111E9">
            <w:pPr>
              <w:widowControl/>
              <w:rPr>
                <w:rFonts w:eastAsiaTheme="minorHAnsi"/>
                <w:b/>
                <w:sz w:val="18"/>
              </w:rPr>
            </w:pPr>
            <w:r w:rsidRPr="000E7153">
              <w:rPr>
                <w:rFonts w:eastAsiaTheme="minorHAnsi"/>
                <w:b/>
                <w:sz w:val="18"/>
              </w:rPr>
              <w:t>N subjects</w:t>
            </w:r>
          </w:p>
          <w:p w14:paraId="4621D02F" w14:textId="77777777" w:rsidR="00F8101A" w:rsidRPr="000E7153" w:rsidRDefault="00F8101A" w:rsidP="00A111E9">
            <w:pPr>
              <w:widowControl/>
              <w:rPr>
                <w:rFonts w:eastAsiaTheme="minorHAnsi"/>
                <w:b/>
                <w:sz w:val="18"/>
              </w:rPr>
            </w:pPr>
          </w:p>
          <w:p w14:paraId="1A3C7F68" w14:textId="77777777" w:rsidR="00F8101A" w:rsidRPr="000E7153" w:rsidRDefault="00F8101A" w:rsidP="00A111E9">
            <w:pPr>
              <w:widowControl/>
              <w:rPr>
                <w:rFonts w:eastAsiaTheme="minorHAnsi"/>
                <w:b/>
                <w:sz w:val="18"/>
              </w:rPr>
            </w:pPr>
          </w:p>
        </w:tc>
        <w:tc>
          <w:tcPr>
            <w:tcW w:w="2504" w:type="dxa"/>
            <w:shd w:val="clear" w:color="auto" w:fill="F2F2F2" w:themeFill="background1" w:themeFillShade="F2"/>
          </w:tcPr>
          <w:p w14:paraId="1DF07494" w14:textId="77777777" w:rsidR="00F8101A" w:rsidRPr="000E7153" w:rsidRDefault="00F8101A" w:rsidP="00A111E9">
            <w:pPr>
              <w:widowControl/>
              <w:rPr>
                <w:rFonts w:eastAsiaTheme="minorHAnsi"/>
                <w:b/>
                <w:sz w:val="18"/>
              </w:rPr>
            </w:pPr>
            <w:r w:rsidRPr="000E7153">
              <w:rPr>
                <w:rFonts w:eastAsiaTheme="minorHAnsi"/>
                <w:b/>
                <w:sz w:val="18"/>
              </w:rPr>
              <w:t>Reporting format</w:t>
            </w:r>
          </w:p>
        </w:tc>
        <w:tc>
          <w:tcPr>
            <w:tcW w:w="425" w:type="dxa"/>
            <w:shd w:val="clear" w:color="auto" w:fill="F2F2F2" w:themeFill="background1" w:themeFillShade="F2"/>
            <w:textDirection w:val="btLr"/>
          </w:tcPr>
          <w:p w14:paraId="2CB5034B" w14:textId="77777777" w:rsidR="00F8101A" w:rsidRPr="000E7153" w:rsidRDefault="00F8101A" w:rsidP="00A111E9">
            <w:pPr>
              <w:widowControl/>
              <w:ind w:left="113" w:right="113"/>
              <w:rPr>
                <w:rFonts w:eastAsiaTheme="minorHAnsi"/>
                <w:b/>
                <w:sz w:val="18"/>
              </w:rPr>
            </w:pPr>
            <w:r w:rsidRPr="000E7153">
              <w:rPr>
                <w:rFonts w:eastAsiaTheme="minorHAnsi"/>
                <w:b/>
                <w:sz w:val="18"/>
              </w:rPr>
              <w:t>FSANZ</w:t>
            </w:r>
          </w:p>
        </w:tc>
      </w:tr>
      <w:tr w:rsidR="00F8101A" w:rsidRPr="00F8101A" w14:paraId="6719AACC" w14:textId="77777777" w:rsidTr="00386C09">
        <w:trPr>
          <w:trHeight w:val="109"/>
        </w:trPr>
        <w:tc>
          <w:tcPr>
            <w:tcW w:w="1242" w:type="dxa"/>
          </w:tcPr>
          <w:p w14:paraId="00EFAF67" w14:textId="77777777" w:rsidR="00F8101A" w:rsidRPr="00F8101A" w:rsidRDefault="00F8101A" w:rsidP="00A111E9">
            <w:pPr>
              <w:widowControl/>
              <w:rPr>
                <w:rFonts w:eastAsiaTheme="minorHAnsi" w:cstheme="minorBidi"/>
                <w:sz w:val="18"/>
                <w:szCs w:val="18"/>
                <w:lang w:bidi="ar-SA"/>
              </w:rPr>
            </w:pPr>
            <w:r w:rsidRPr="00F8101A">
              <w:rPr>
                <w:rFonts w:eastAsiaTheme="minorHAnsi" w:cstheme="minorBidi"/>
                <w:sz w:val="18"/>
                <w:szCs w:val="18"/>
                <w:lang w:bidi="ar-SA"/>
              </w:rPr>
              <w:t>Lin</w:t>
            </w:r>
          </w:p>
        </w:tc>
        <w:tc>
          <w:tcPr>
            <w:tcW w:w="851" w:type="dxa"/>
          </w:tcPr>
          <w:p w14:paraId="0628A08B" w14:textId="77777777" w:rsidR="00F8101A" w:rsidRPr="00F8101A" w:rsidRDefault="00F8101A" w:rsidP="00A111E9">
            <w:pPr>
              <w:widowControl/>
              <w:rPr>
                <w:rFonts w:eastAsiaTheme="minorHAnsi" w:cstheme="minorBidi"/>
                <w:sz w:val="18"/>
                <w:szCs w:val="18"/>
                <w:lang w:bidi="ar-SA"/>
              </w:rPr>
            </w:pPr>
            <w:r w:rsidRPr="00F8101A">
              <w:rPr>
                <w:rFonts w:eastAsiaTheme="minorHAnsi" w:cstheme="minorBidi"/>
                <w:sz w:val="18"/>
                <w:szCs w:val="18"/>
                <w:lang w:bidi="ar-SA"/>
              </w:rPr>
              <w:t>2009</w:t>
            </w:r>
          </w:p>
        </w:tc>
        <w:tc>
          <w:tcPr>
            <w:tcW w:w="1276" w:type="dxa"/>
          </w:tcPr>
          <w:p w14:paraId="5FA3A8B8" w14:textId="77777777" w:rsidR="00F8101A" w:rsidRPr="00F8101A" w:rsidRDefault="00F8101A" w:rsidP="00A111E9">
            <w:pPr>
              <w:widowControl/>
              <w:rPr>
                <w:rFonts w:eastAsiaTheme="minorHAnsi" w:cstheme="minorBidi"/>
                <w:sz w:val="18"/>
                <w:szCs w:val="18"/>
                <w:lang w:bidi="ar-SA"/>
              </w:rPr>
            </w:pPr>
            <w:r w:rsidRPr="00F8101A">
              <w:rPr>
                <w:rFonts w:eastAsiaTheme="minorHAnsi" w:cstheme="minorBidi"/>
                <w:sz w:val="18"/>
                <w:szCs w:val="18"/>
                <w:lang w:bidi="ar-SA"/>
              </w:rPr>
              <w:t>US</w:t>
            </w:r>
          </w:p>
        </w:tc>
        <w:tc>
          <w:tcPr>
            <w:tcW w:w="1134" w:type="dxa"/>
          </w:tcPr>
          <w:p w14:paraId="248C9757" w14:textId="77777777" w:rsidR="00F8101A" w:rsidRPr="00F8101A" w:rsidRDefault="00F8101A" w:rsidP="00A111E9">
            <w:pPr>
              <w:widowControl/>
              <w:rPr>
                <w:rFonts w:eastAsiaTheme="minorHAnsi" w:cstheme="minorBidi"/>
                <w:sz w:val="18"/>
                <w:szCs w:val="18"/>
                <w:lang w:bidi="ar-SA"/>
              </w:rPr>
            </w:pPr>
            <w:r w:rsidRPr="00F8101A">
              <w:rPr>
                <w:rFonts w:eastAsiaTheme="minorHAnsi" w:cstheme="minorBidi"/>
                <w:sz w:val="18"/>
                <w:szCs w:val="18"/>
                <w:lang w:bidi="ar-SA"/>
              </w:rPr>
              <w:t>NHANES</w:t>
            </w:r>
          </w:p>
        </w:tc>
        <w:tc>
          <w:tcPr>
            <w:tcW w:w="850" w:type="dxa"/>
          </w:tcPr>
          <w:p w14:paraId="4096A378" w14:textId="77777777" w:rsidR="00F8101A" w:rsidRPr="00F8101A" w:rsidRDefault="00F8101A" w:rsidP="00A111E9">
            <w:pPr>
              <w:widowControl/>
              <w:rPr>
                <w:rFonts w:eastAsiaTheme="minorHAnsi" w:cstheme="minorBidi"/>
                <w:sz w:val="18"/>
                <w:szCs w:val="18"/>
                <w:lang w:bidi="ar-SA"/>
              </w:rPr>
            </w:pPr>
            <w:r w:rsidRPr="00F8101A">
              <w:rPr>
                <w:rFonts w:eastAsiaTheme="minorHAnsi" w:cstheme="minorBidi"/>
                <w:sz w:val="18"/>
                <w:szCs w:val="18"/>
                <w:lang w:bidi="ar-SA"/>
              </w:rPr>
              <w:t>1999 &amp; 2003-4</w:t>
            </w:r>
          </w:p>
        </w:tc>
        <w:tc>
          <w:tcPr>
            <w:tcW w:w="1134" w:type="dxa"/>
          </w:tcPr>
          <w:p w14:paraId="6E0A1BA4" w14:textId="09A69F0C" w:rsidR="00F8101A" w:rsidRPr="00F8101A" w:rsidRDefault="00F8101A" w:rsidP="00A111E9">
            <w:pPr>
              <w:widowControl/>
              <w:rPr>
                <w:rFonts w:eastAsiaTheme="minorHAnsi" w:cstheme="minorBidi"/>
                <w:sz w:val="18"/>
                <w:szCs w:val="18"/>
                <w:lang w:bidi="ar-SA"/>
              </w:rPr>
            </w:pPr>
            <w:r w:rsidRPr="00F8101A">
              <w:rPr>
                <w:rFonts w:eastAsiaTheme="minorHAnsi" w:cstheme="minorBidi"/>
                <w:sz w:val="18"/>
                <w:szCs w:val="18"/>
                <w:lang w:bidi="ar-SA"/>
              </w:rPr>
              <w:t>474 adol</w:t>
            </w:r>
            <w:r w:rsidR="00386C09">
              <w:rPr>
                <w:rFonts w:eastAsiaTheme="minorHAnsi" w:cstheme="minorBidi"/>
                <w:sz w:val="18"/>
                <w:szCs w:val="18"/>
                <w:lang w:bidi="ar-SA"/>
              </w:rPr>
              <w:t>-</w:t>
            </w:r>
            <w:r w:rsidRPr="00F8101A">
              <w:rPr>
                <w:rFonts w:eastAsiaTheme="minorHAnsi" w:cstheme="minorBidi"/>
                <w:sz w:val="18"/>
                <w:szCs w:val="18"/>
                <w:lang w:bidi="ar-SA"/>
              </w:rPr>
              <w:t>escents; 969 adults</w:t>
            </w:r>
          </w:p>
        </w:tc>
        <w:tc>
          <w:tcPr>
            <w:tcW w:w="2504" w:type="dxa"/>
          </w:tcPr>
          <w:p w14:paraId="14D355BF" w14:textId="77777777" w:rsidR="00F8101A" w:rsidRPr="00C52465" w:rsidRDefault="00F8101A" w:rsidP="00A111E9">
            <w:pPr>
              <w:widowControl/>
              <w:autoSpaceDE w:val="0"/>
              <w:autoSpaceDN w:val="0"/>
              <w:adjustRightInd w:val="0"/>
              <w:rPr>
                <w:rFonts w:eastAsiaTheme="minorHAnsi"/>
                <w:color w:val="000000"/>
                <w:sz w:val="18"/>
              </w:rPr>
            </w:pPr>
            <w:r w:rsidRPr="00C52465">
              <w:rPr>
                <w:rFonts w:eastAsiaTheme="minorHAnsi"/>
                <w:color w:val="000000"/>
                <w:sz w:val="18"/>
              </w:rPr>
              <w:t>OR for abnormal HDL-C per unit increase in log PFAS</w:t>
            </w:r>
          </w:p>
        </w:tc>
        <w:tc>
          <w:tcPr>
            <w:tcW w:w="425" w:type="dxa"/>
          </w:tcPr>
          <w:p w14:paraId="0A8D3AE9" w14:textId="77777777" w:rsidR="00F8101A" w:rsidRPr="00F8101A" w:rsidRDefault="00F8101A" w:rsidP="00A111E9">
            <w:pPr>
              <w:widowControl/>
              <w:rPr>
                <w:rFonts w:eastAsiaTheme="minorHAnsi" w:cstheme="minorBidi"/>
                <w:sz w:val="18"/>
                <w:szCs w:val="18"/>
                <w:lang w:bidi="ar-SA"/>
              </w:rPr>
            </w:pPr>
            <w:r w:rsidRPr="00F8101A">
              <w:rPr>
                <w:rFonts w:eastAsiaTheme="minorHAnsi" w:cstheme="minorBidi"/>
                <w:sz w:val="18"/>
                <w:szCs w:val="18"/>
                <w:lang w:bidi="ar-SA"/>
              </w:rPr>
              <w:t>e</w:t>
            </w:r>
          </w:p>
        </w:tc>
      </w:tr>
      <w:tr w:rsidR="00F8101A" w:rsidRPr="00F8101A" w14:paraId="6484451D" w14:textId="77777777" w:rsidTr="00386C09">
        <w:trPr>
          <w:trHeight w:val="117"/>
        </w:trPr>
        <w:tc>
          <w:tcPr>
            <w:tcW w:w="1242" w:type="dxa"/>
          </w:tcPr>
          <w:p w14:paraId="5EBA501D" w14:textId="77777777" w:rsidR="00F8101A" w:rsidRPr="00F8101A" w:rsidRDefault="00F8101A" w:rsidP="00A111E9">
            <w:pPr>
              <w:widowControl/>
              <w:tabs>
                <w:tab w:val="left" w:pos="780"/>
              </w:tabs>
              <w:rPr>
                <w:rFonts w:eastAsiaTheme="minorHAnsi" w:cstheme="minorBidi"/>
                <w:sz w:val="18"/>
                <w:szCs w:val="18"/>
                <w:lang w:bidi="ar-SA"/>
              </w:rPr>
            </w:pPr>
            <w:r w:rsidRPr="00F8101A">
              <w:rPr>
                <w:rFonts w:eastAsiaTheme="minorHAnsi" w:cstheme="minorBidi"/>
                <w:sz w:val="18"/>
                <w:szCs w:val="18"/>
                <w:lang w:bidi="ar-SA"/>
              </w:rPr>
              <w:t>Lin</w:t>
            </w:r>
          </w:p>
        </w:tc>
        <w:tc>
          <w:tcPr>
            <w:tcW w:w="851" w:type="dxa"/>
          </w:tcPr>
          <w:p w14:paraId="2CA059FA" w14:textId="77777777" w:rsidR="00F8101A" w:rsidRPr="00F8101A" w:rsidRDefault="00F8101A" w:rsidP="00A111E9">
            <w:pPr>
              <w:widowControl/>
              <w:rPr>
                <w:rFonts w:eastAsiaTheme="minorHAnsi" w:cstheme="minorBidi"/>
                <w:sz w:val="18"/>
                <w:szCs w:val="18"/>
                <w:lang w:bidi="ar-SA"/>
              </w:rPr>
            </w:pPr>
            <w:r w:rsidRPr="00F8101A">
              <w:rPr>
                <w:rFonts w:eastAsiaTheme="minorHAnsi" w:cstheme="minorBidi"/>
                <w:sz w:val="18"/>
                <w:szCs w:val="18"/>
                <w:lang w:bidi="ar-SA"/>
              </w:rPr>
              <w:t>2013</w:t>
            </w:r>
          </w:p>
        </w:tc>
        <w:tc>
          <w:tcPr>
            <w:tcW w:w="1276" w:type="dxa"/>
          </w:tcPr>
          <w:p w14:paraId="1EA8A5D0" w14:textId="77777777" w:rsidR="00F8101A" w:rsidRPr="00F8101A" w:rsidRDefault="00F8101A" w:rsidP="00A111E9">
            <w:pPr>
              <w:widowControl/>
              <w:rPr>
                <w:rFonts w:eastAsiaTheme="minorHAnsi" w:cstheme="minorBidi"/>
                <w:sz w:val="18"/>
                <w:szCs w:val="18"/>
                <w:lang w:bidi="ar-SA"/>
              </w:rPr>
            </w:pPr>
            <w:r w:rsidRPr="00F8101A">
              <w:rPr>
                <w:rFonts w:eastAsiaTheme="minorHAnsi" w:cstheme="minorBidi"/>
                <w:sz w:val="18"/>
                <w:szCs w:val="18"/>
                <w:lang w:bidi="ar-SA"/>
              </w:rPr>
              <w:t>Taipei,</w:t>
            </w:r>
          </w:p>
          <w:p w14:paraId="46EDD5CF" w14:textId="77777777" w:rsidR="00F8101A" w:rsidRPr="00F8101A" w:rsidRDefault="00F8101A" w:rsidP="00A111E9">
            <w:pPr>
              <w:widowControl/>
              <w:tabs>
                <w:tab w:val="left" w:pos="765"/>
              </w:tabs>
              <w:rPr>
                <w:rFonts w:eastAsiaTheme="minorHAnsi" w:cstheme="minorBidi"/>
                <w:sz w:val="18"/>
                <w:szCs w:val="18"/>
                <w:lang w:bidi="ar-SA"/>
              </w:rPr>
            </w:pPr>
            <w:r w:rsidRPr="00F8101A">
              <w:rPr>
                <w:rFonts w:eastAsiaTheme="minorHAnsi" w:cstheme="minorBidi"/>
                <w:sz w:val="18"/>
                <w:szCs w:val="18"/>
                <w:lang w:bidi="ar-SA"/>
              </w:rPr>
              <w:t>Taiwan</w:t>
            </w:r>
          </w:p>
        </w:tc>
        <w:tc>
          <w:tcPr>
            <w:tcW w:w="1134" w:type="dxa"/>
          </w:tcPr>
          <w:p w14:paraId="2D303759" w14:textId="77777777" w:rsidR="00F8101A" w:rsidRPr="00F8101A" w:rsidRDefault="00F8101A" w:rsidP="00A111E9">
            <w:pPr>
              <w:widowControl/>
              <w:rPr>
                <w:rFonts w:eastAsiaTheme="minorHAnsi" w:cstheme="minorBidi"/>
                <w:sz w:val="18"/>
                <w:szCs w:val="18"/>
                <w:lang w:bidi="ar-SA"/>
              </w:rPr>
            </w:pPr>
            <w:r w:rsidRPr="00F8101A">
              <w:rPr>
                <w:rFonts w:eastAsiaTheme="minorHAnsi" w:cstheme="minorBidi"/>
                <w:sz w:val="18"/>
                <w:szCs w:val="18"/>
                <w:lang w:bidi="ar-SA"/>
              </w:rPr>
              <w:t>Young Taiwanese Cohort Study</w:t>
            </w:r>
          </w:p>
        </w:tc>
        <w:tc>
          <w:tcPr>
            <w:tcW w:w="850" w:type="dxa"/>
          </w:tcPr>
          <w:p w14:paraId="2DC8204F" w14:textId="77777777" w:rsidR="00F8101A" w:rsidRPr="00F8101A" w:rsidRDefault="00F8101A" w:rsidP="00A111E9">
            <w:pPr>
              <w:widowControl/>
              <w:rPr>
                <w:rFonts w:eastAsiaTheme="minorHAnsi" w:cstheme="minorBidi"/>
                <w:sz w:val="18"/>
                <w:szCs w:val="18"/>
                <w:lang w:bidi="ar-SA"/>
              </w:rPr>
            </w:pPr>
            <w:r w:rsidRPr="00F8101A">
              <w:rPr>
                <w:rFonts w:eastAsiaTheme="minorHAnsi" w:cstheme="minorBidi"/>
                <w:sz w:val="18"/>
                <w:szCs w:val="18"/>
                <w:lang w:bidi="ar-SA"/>
              </w:rPr>
              <w:t>2006-8</w:t>
            </w:r>
          </w:p>
        </w:tc>
        <w:tc>
          <w:tcPr>
            <w:tcW w:w="1134" w:type="dxa"/>
          </w:tcPr>
          <w:p w14:paraId="718C3B68" w14:textId="77777777" w:rsidR="00F8101A" w:rsidRPr="00F8101A" w:rsidRDefault="00F8101A" w:rsidP="00A111E9">
            <w:pPr>
              <w:widowControl/>
              <w:rPr>
                <w:rFonts w:eastAsiaTheme="minorHAnsi" w:cstheme="minorBidi"/>
                <w:sz w:val="18"/>
                <w:szCs w:val="18"/>
                <w:lang w:bidi="ar-SA"/>
              </w:rPr>
            </w:pPr>
            <w:r w:rsidRPr="00F8101A">
              <w:rPr>
                <w:rFonts w:eastAsiaTheme="minorHAnsi" w:cstheme="minorBidi"/>
                <w:sz w:val="18"/>
                <w:szCs w:val="18"/>
                <w:lang w:bidi="ar-SA"/>
              </w:rPr>
              <w:t>664 aged 12-30 years</w:t>
            </w:r>
          </w:p>
        </w:tc>
        <w:tc>
          <w:tcPr>
            <w:tcW w:w="2504" w:type="dxa"/>
          </w:tcPr>
          <w:p w14:paraId="2BCFF447" w14:textId="4194073F" w:rsidR="00F8101A" w:rsidRPr="00F8101A" w:rsidRDefault="00F8101A" w:rsidP="00A111E9">
            <w:pPr>
              <w:widowControl/>
              <w:rPr>
                <w:rFonts w:eastAsiaTheme="minorHAnsi" w:cstheme="minorBidi"/>
                <w:sz w:val="18"/>
                <w:szCs w:val="18"/>
                <w:lang w:bidi="ar-SA"/>
              </w:rPr>
            </w:pPr>
            <w:r w:rsidRPr="00F8101A">
              <w:rPr>
                <w:rFonts w:eastAsiaTheme="minorHAnsi" w:cstheme="minorBidi"/>
                <w:sz w:val="18"/>
                <w:szCs w:val="18"/>
                <w:lang w:bidi="ar-SA"/>
              </w:rPr>
              <w:t>Adjusted means of LDL-C for 4 quantiles of PFAS; different quantile definitions for each PFAS. Data for total-C and HDL-C not presented, but apparently not significant (using alpha &lt;0.0125 to account for multiple testing)</w:t>
            </w:r>
          </w:p>
        </w:tc>
        <w:tc>
          <w:tcPr>
            <w:tcW w:w="425" w:type="dxa"/>
          </w:tcPr>
          <w:p w14:paraId="63DB060E" w14:textId="77777777" w:rsidR="00F8101A" w:rsidRPr="00F8101A" w:rsidRDefault="00F8101A" w:rsidP="00A111E9">
            <w:pPr>
              <w:widowControl/>
              <w:rPr>
                <w:rFonts w:eastAsiaTheme="minorHAnsi" w:cstheme="minorBidi"/>
                <w:sz w:val="18"/>
                <w:szCs w:val="18"/>
                <w:lang w:bidi="ar-SA"/>
              </w:rPr>
            </w:pPr>
            <w:r w:rsidRPr="00C52465">
              <w:rPr>
                <w:rFonts w:eastAsiaTheme="minorHAnsi"/>
                <w:sz w:val="18"/>
                <w:vertAlign w:val="subscript"/>
              </w:rPr>
              <w:sym w:font="Symbol" w:char="F0D6"/>
            </w:r>
          </w:p>
        </w:tc>
      </w:tr>
      <w:tr w:rsidR="00F8101A" w:rsidRPr="00F8101A" w14:paraId="3ED0EA06" w14:textId="77777777" w:rsidTr="00386C09">
        <w:trPr>
          <w:trHeight w:val="117"/>
        </w:trPr>
        <w:tc>
          <w:tcPr>
            <w:tcW w:w="1242" w:type="dxa"/>
          </w:tcPr>
          <w:p w14:paraId="415C574E" w14:textId="77777777" w:rsidR="00F8101A" w:rsidRPr="00F8101A" w:rsidRDefault="00F8101A" w:rsidP="00A111E9">
            <w:pPr>
              <w:widowControl/>
              <w:tabs>
                <w:tab w:val="left" w:pos="780"/>
              </w:tabs>
              <w:rPr>
                <w:rFonts w:eastAsiaTheme="minorHAnsi" w:cstheme="minorBidi"/>
                <w:sz w:val="18"/>
                <w:szCs w:val="18"/>
                <w:lang w:bidi="ar-SA"/>
              </w:rPr>
            </w:pPr>
            <w:r w:rsidRPr="00F8101A">
              <w:rPr>
                <w:rFonts w:eastAsiaTheme="minorHAnsi" w:cstheme="minorBidi"/>
                <w:sz w:val="18"/>
                <w:szCs w:val="18"/>
                <w:lang w:bidi="ar-SA"/>
              </w:rPr>
              <w:t>Jain</w:t>
            </w:r>
          </w:p>
        </w:tc>
        <w:tc>
          <w:tcPr>
            <w:tcW w:w="851" w:type="dxa"/>
          </w:tcPr>
          <w:p w14:paraId="0E8E2926" w14:textId="4AB6D152" w:rsidR="00F8101A" w:rsidRPr="00F8101A" w:rsidRDefault="00D57493" w:rsidP="00A111E9">
            <w:pPr>
              <w:widowControl/>
              <w:rPr>
                <w:rFonts w:eastAsiaTheme="minorHAnsi" w:cstheme="minorBidi"/>
                <w:sz w:val="18"/>
                <w:szCs w:val="18"/>
                <w:lang w:bidi="ar-SA"/>
              </w:rPr>
            </w:pPr>
            <w:r>
              <w:rPr>
                <w:rFonts w:eastAsiaTheme="minorHAnsi" w:cstheme="minorBidi"/>
                <w:sz w:val="18"/>
                <w:szCs w:val="18"/>
                <w:lang w:bidi="ar-SA"/>
              </w:rPr>
              <w:t>2013</w:t>
            </w:r>
          </w:p>
        </w:tc>
        <w:tc>
          <w:tcPr>
            <w:tcW w:w="1276" w:type="dxa"/>
          </w:tcPr>
          <w:p w14:paraId="7ECD5A29" w14:textId="77777777" w:rsidR="00F8101A" w:rsidRPr="00F8101A" w:rsidRDefault="00F8101A" w:rsidP="00A111E9">
            <w:pPr>
              <w:widowControl/>
              <w:rPr>
                <w:rFonts w:eastAsiaTheme="minorHAnsi" w:cstheme="minorBidi"/>
                <w:sz w:val="18"/>
                <w:szCs w:val="18"/>
                <w:lang w:bidi="ar-SA"/>
              </w:rPr>
            </w:pPr>
            <w:r w:rsidRPr="00F8101A">
              <w:rPr>
                <w:rFonts w:eastAsiaTheme="minorHAnsi" w:cstheme="minorBidi"/>
                <w:sz w:val="18"/>
                <w:szCs w:val="18"/>
                <w:lang w:bidi="ar-SA"/>
              </w:rPr>
              <w:t>US</w:t>
            </w:r>
          </w:p>
        </w:tc>
        <w:tc>
          <w:tcPr>
            <w:tcW w:w="1134" w:type="dxa"/>
          </w:tcPr>
          <w:p w14:paraId="2708E26A" w14:textId="77777777" w:rsidR="00F8101A" w:rsidRPr="00F8101A" w:rsidRDefault="00F8101A" w:rsidP="00A111E9">
            <w:pPr>
              <w:widowControl/>
              <w:rPr>
                <w:rFonts w:eastAsiaTheme="minorHAnsi" w:cstheme="minorBidi"/>
                <w:sz w:val="18"/>
                <w:szCs w:val="18"/>
                <w:lang w:bidi="ar-SA"/>
              </w:rPr>
            </w:pPr>
            <w:r w:rsidRPr="00F8101A">
              <w:rPr>
                <w:rFonts w:eastAsiaTheme="minorHAnsi" w:cstheme="minorBidi"/>
                <w:sz w:val="18"/>
                <w:szCs w:val="18"/>
                <w:lang w:bidi="ar-SA"/>
              </w:rPr>
              <w:t>NHANES</w:t>
            </w:r>
          </w:p>
        </w:tc>
        <w:tc>
          <w:tcPr>
            <w:tcW w:w="850" w:type="dxa"/>
          </w:tcPr>
          <w:p w14:paraId="1AE2B83A" w14:textId="69C003BE" w:rsidR="00F8101A" w:rsidRPr="00F8101A" w:rsidRDefault="00D57493" w:rsidP="00A111E9">
            <w:pPr>
              <w:widowControl/>
              <w:rPr>
                <w:rFonts w:eastAsiaTheme="minorHAnsi" w:cstheme="minorBidi"/>
                <w:sz w:val="18"/>
                <w:szCs w:val="18"/>
                <w:lang w:bidi="ar-SA"/>
              </w:rPr>
            </w:pPr>
            <w:r>
              <w:rPr>
                <w:rFonts w:eastAsiaTheme="minorHAnsi" w:cstheme="minorBidi"/>
                <w:sz w:val="18"/>
                <w:szCs w:val="18"/>
                <w:lang w:bidi="ar-SA"/>
              </w:rPr>
              <w:t>2003-8</w:t>
            </w:r>
          </w:p>
        </w:tc>
        <w:tc>
          <w:tcPr>
            <w:tcW w:w="1134" w:type="dxa"/>
          </w:tcPr>
          <w:p w14:paraId="06C259FF" w14:textId="012C60A7" w:rsidR="00F8101A" w:rsidRPr="00F8101A" w:rsidRDefault="00D57493" w:rsidP="00A111E9">
            <w:pPr>
              <w:widowControl/>
              <w:rPr>
                <w:rFonts w:eastAsiaTheme="minorHAnsi" w:cstheme="minorBidi"/>
                <w:sz w:val="18"/>
                <w:szCs w:val="18"/>
                <w:lang w:bidi="ar-SA"/>
              </w:rPr>
            </w:pPr>
            <w:r>
              <w:rPr>
                <w:rFonts w:eastAsiaTheme="minorHAnsi" w:cstheme="minorBidi"/>
                <w:sz w:val="18"/>
                <w:szCs w:val="18"/>
                <w:lang w:bidi="ar-SA"/>
              </w:rPr>
              <w:t xml:space="preserve">1078 women </w:t>
            </w:r>
          </w:p>
        </w:tc>
        <w:tc>
          <w:tcPr>
            <w:tcW w:w="2504" w:type="dxa"/>
          </w:tcPr>
          <w:p w14:paraId="690345B4" w14:textId="3D99F529" w:rsidR="00F8101A" w:rsidRPr="00F8101A" w:rsidRDefault="00F8101A" w:rsidP="00A111E9">
            <w:pPr>
              <w:widowControl/>
              <w:rPr>
                <w:rFonts w:eastAsiaTheme="minorHAnsi" w:cstheme="minorBidi"/>
                <w:sz w:val="18"/>
                <w:szCs w:val="18"/>
                <w:lang w:bidi="ar-SA"/>
              </w:rPr>
            </w:pPr>
            <w:r w:rsidRPr="00F8101A">
              <w:rPr>
                <w:rFonts w:eastAsiaTheme="minorHAnsi" w:cstheme="minorBidi"/>
                <w:sz w:val="18"/>
                <w:szCs w:val="18"/>
                <w:lang w:bidi="ar-SA"/>
              </w:rPr>
              <w:t>Inverted analysis: identifying significant predictors of log</w:t>
            </w:r>
            <w:r w:rsidR="001012A5">
              <w:rPr>
                <w:rFonts w:eastAsiaTheme="minorHAnsi" w:cstheme="minorBidi"/>
                <w:sz w:val="18"/>
                <w:szCs w:val="18"/>
                <w:lang w:bidi="ar-SA"/>
              </w:rPr>
              <w:t xml:space="preserve"> </w:t>
            </w:r>
            <w:r w:rsidRPr="00F8101A">
              <w:rPr>
                <w:rFonts w:eastAsiaTheme="minorHAnsi" w:cstheme="minorBidi"/>
                <w:sz w:val="18"/>
                <w:szCs w:val="18"/>
                <w:lang w:bidi="ar-SA"/>
              </w:rPr>
              <w:t>transformed PFAS</w:t>
            </w:r>
          </w:p>
        </w:tc>
        <w:tc>
          <w:tcPr>
            <w:tcW w:w="425" w:type="dxa"/>
          </w:tcPr>
          <w:p w14:paraId="3D9601D4" w14:textId="7B0F9783" w:rsidR="00F8101A" w:rsidRPr="00C52465" w:rsidRDefault="004766BF" w:rsidP="00A111E9">
            <w:pPr>
              <w:widowControl/>
              <w:rPr>
                <w:rFonts w:eastAsiaTheme="minorHAnsi"/>
                <w:sz w:val="18"/>
                <w:vertAlign w:val="subscript"/>
              </w:rPr>
            </w:pPr>
            <w:r>
              <w:rPr>
                <w:rFonts w:eastAsiaTheme="minorHAnsi"/>
                <w:sz w:val="18"/>
                <w:vertAlign w:val="subscript"/>
              </w:rPr>
              <w:t>e</w:t>
            </w:r>
          </w:p>
        </w:tc>
      </w:tr>
      <w:tr w:rsidR="00F8101A" w:rsidRPr="00F8101A" w14:paraId="0E18FD9F" w14:textId="77777777" w:rsidTr="00386C09">
        <w:trPr>
          <w:trHeight w:val="117"/>
        </w:trPr>
        <w:tc>
          <w:tcPr>
            <w:tcW w:w="1242" w:type="dxa"/>
          </w:tcPr>
          <w:p w14:paraId="6FAEB102" w14:textId="77777777" w:rsidR="00F8101A" w:rsidRPr="00F8101A" w:rsidRDefault="00F8101A" w:rsidP="00A111E9">
            <w:pPr>
              <w:widowControl/>
              <w:tabs>
                <w:tab w:val="left" w:pos="780"/>
              </w:tabs>
              <w:rPr>
                <w:rFonts w:eastAsiaTheme="minorHAnsi" w:cstheme="minorBidi"/>
                <w:sz w:val="18"/>
                <w:szCs w:val="18"/>
                <w:lang w:bidi="ar-SA"/>
              </w:rPr>
            </w:pPr>
            <w:r w:rsidRPr="00F8101A">
              <w:rPr>
                <w:rFonts w:eastAsiaTheme="minorHAnsi" w:cstheme="minorBidi"/>
                <w:sz w:val="18"/>
                <w:szCs w:val="18"/>
                <w:lang w:bidi="ar-SA"/>
              </w:rPr>
              <w:t>Skuladottir</w:t>
            </w:r>
          </w:p>
        </w:tc>
        <w:tc>
          <w:tcPr>
            <w:tcW w:w="851" w:type="dxa"/>
          </w:tcPr>
          <w:p w14:paraId="1BC988D9" w14:textId="77777777" w:rsidR="00F8101A" w:rsidRPr="00F8101A" w:rsidRDefault="00F8101A" w:rsidP="00A111E9">
            <w:pPr>
              <w:widowControl/>
              <w:rPr>
                <w:rFonts w:eastAsiaTheme="minorHAnsi" w:cstheme="minorBidi"/>
                <w:sz w:val="18"/>
                <w:szCs w:val="18"/>
                <w:lang w:bidi="ar-SA"/>
              </w:rPr>
            </w:pPr>
            <w:r w:rsidRPr="00F8101A">
              <w:rPr>
                <w:rFonts w:eastAsiaTheme="minorHAnsi" w:cstheme="minorBidi"/>
                <w:sz w:val="18"/>
                <w:szCs w:val="18"/>
                <w:lang w:bidi="ar-SA"/>
              </w:rPr>
              <w:t>2015</w:t>
            </w:r>
          </w:p>
        </w:tc>
        <w:tc>
          <w:tcPr>
            <w:tcW w:w="1276" w:type="dxa"/>
          </w:tcPr>
          <w:p w14:paraId="1D93AEB2" w14:textId="77777777" w:rsidR="00F8101A" w:rsidRPr="00F8101A" w:rsidRDefault="00F8101A" w:rsidP="00A111E9">
            <w:pPr>
              <w:widowControl/>
              <w:rPr>
                <w:rFonts w:eastAsiaTheme="minorHAnsi" w:cstheme="minorBidi"/>
                <w:sz w:val="18"/>
                <w:szCs w:val="18"/>
                <w:lang w:bidi="ar-SA"/>
              </w:rPr>
            </w:pPr>
            <w:r w:rsidRPr="00F8101A">
              <w:rPr>
                <w:rFonts w:eastAsiaTheme="minorHAnsi" w:cstheme="minorBidi"/>
                <w:sz w:val="18"/>
                <w:szCs w:val="18"/>
                <w:lang w:bidi="ar-SA"/>
              </w:rPr>
              <w:t>Denmark</w:t>
            </w:r>
          </w:p>
        </w:tc>
        <w:tc>
          <w:tcPr>
            <w:tcW w:w="1134" w:type="dxa"/>
          </w:tcPr>
          <w:p w14:paraId="45A1AF8A" w14:textId="1B205D31" w:rsidR="00F8101A" w:rsidRPr="00F8101A" w:rsidRDefault="00FB16D3" w:rsidP="00A111E9">
            <w:pPr>
              <w:widowControl/>
              <w:rPr>
                <w:rFonts w:eastAsiaTheme="minorHAnsi" w:cstheme="minorBidi"/>
                <w:sz w:val="18"/>
                <w:szCs w:val="18"/>
                <w:lang w:bidi="ar-SA"/>
              </w:rPr>
            </w:pPr>
            <w:r>
              <w:rPr>
                <w:rFonts w:eastAsiaTheme="minorHAnsi" w:cstheme="minorBidi"/>
                <w:sz w:val="18"/>
                <w:szCs w:val="18"/>
                <w:lang w:bidi="ar-SA"/>
              </w:rPr>
              <w:t>-</w:t>
            </w:r>
          </w:p>
        </w:tc>
        <w:tc>
          <w:tcPr>
            <w:tcW w:w="850" w:type="dxa"/>
          </w:tcPr>
          <w:p w14:paraId="66D828E8" w14:textId="77777777" w:rsidR="00F8101A" w:rsidRPr="00F8101A" w:rsidRDefault="00F8101A" w:rsidP="00A111E9">
            <w:pPr>
              <w:widowControl/>
              <w:rPr>
                <w:rFonts w:eastAsiaTheme="minorHAnsi" w:cstheme="minorBidi"/>
                <w:sz w:val="18"/>
                <w:szCs w:val="18"/>
                <w:lang w:bidi="ar-SA"/>
              </w:rPr>
            </w:pPr>
            <w:r w:rsidRPr="00F8101A">
              <w:rPr>
                <w:rFonts w:eastAsiaTheme="minorHAnsi" w:cstheme="minorBidi"/>
                <w:sz w:val="18"/>
                <w:szCs w:val="18"/>
                <w:lang w:bidi="ar-SA"/>
              </w:rPr>
              <w:t>1988-9</w:t>
            </w:r>
          </w:p>
        </w:tc>
        <w:tc>
          <w:tcPr>
            <w:tcW w:w="1134" w:type="dxa"/>
          </w:tcPr>
          <w:p w14:paraId="0DA63C14" w14:textId="77777777" w:rsidR="00F8101A" w:rsidRPr="00F8101A" w:rsidRDefault="00F8101A" w:rsidP="00A111E9">
            <w:pPr>
              <w:widowControl/>
              <w:rPr>
                <w:rFonts w:eastAsiaTheme="minorHAnsi" w:cstheme="minorBidi"/>
                <w:sz w:val="18"/>
                <w:szCs w:val="18"/>
                <w:lang w:bidi="ar-SA"/>
              </w:rPr>
            </w:pPr>
            <w:r w:rsidRPr="00F8101A">
              <w:rPr>
                <w:rFonts w:eastAsiaTheme="minorHAnsi" w:cstheme="minorBidi"/>
                <w:sz w:val="18"/>
                <w:szCs w:val="18"/>
                <w:lang w:bidi="ar-SA"/>
              </w:rPr>
              <w:t>854 pregnant women</w:t>
            </w:r>
          </w:p>
        </w:tc>
        <w:tc>
          <w:tcPr>
            <w:tcW w:w="2504" w:type="dxa"/>
          </w:tcPr>
          <w:p w14:paraId="3D5B7F0B" w14:textId="77777777" w:rsidR="00F8101A" w:rsidRPr="00F8101A" w:rsidRDefault="00F8101A" w:rsidP="00A111E9">
            <w:pPr>
              <w:widowControl/>
              <w:rPr>
                <w:rFonts w:eastAsiaTheme="minorHAnsi" w:cstheme="minorBidi"/>
                <w:sz w:val="18"/>
                <w:szCs w:val="18"/>
                <w:lang w:bidi="ar-SA"/>
              </w:rPr>
            </w:pPr>
            <w:r w:rsidRPr="00F8101A">
              <w:rPr>
                <w:rFonts w:eastAsiaTheme="minorHAnsi" w:cstheme="minorBidi"/>
                <w:sz w:val="18"/>
                <w:szCs w:val="18"/>
                <w:lang w:bidi="ar-SA"/>
              </w:rPr>
              <w:t>Adjusted means for quartiles of PFAS</w:t>
            </w:r>
          </w:p>
        </w:tc>
        <w:tc>
          <w:tcPr>
            <w:tcW w:w="425" w:type="dxa"/>
          </w:tcPr>
          <w:p w14:paraId="7A25902D" w14:textId="77777777" w:rsidR="00F8101A" w:rsidRPr="00F8101A" w:rsidRDefault="00F8101A" w:rsidP="00A111E9">
            <w:pPr>
              <w:widowControl/>
              <w:rPr>
                <w:rFonts w:eastAsiaTheme="minorHAnsi" w:cstheme="minorBidi"/>
                <w:sz w:val="18"/>
                <w:szCs w:val="18"/>
                <w:lang w:bidi="ar-SA"/>
              </w:rPr>
            </w:pPr>
            <w:r w:rsidRPr="00F8101A">
              <w:rPr>
                <w:rFonts w:asciiTheme="minorHAnsi" w:eastAsiaTheme="minorHAnsi" w:hAnsiTheme="minorHAnsi" w:cs="Arial"/>
                <w:sz w:val="24"/>
                <w:vertAlign w:val="subscript"/>
                <w:lang w:bidi="ar-SA"/>
              </w:rPr>
              <w:sym w:font="Symbol" w:char="F0D6"/>
            </w:r>
          </w:p>
        </w:tc>
      </w:tr>
      <w:tr w:rsidR="00F8101A" w:rsidRPr="00F8101A" w14:paraId="502269C0" w14:textId="77777777" w:rsidTr="00386C09">
        <w:trPr>
          <w:trHeight w:val="117"/>
        </w:trPr>
        <w:tc>
          <w:tcPr>
            <w:tcW w:w="1242" w:type="dxa"/>
          </w:tcPr>
          <w:p w14:paraId="6FC66632" w14:textId="77777777" w:rsidR="00F8101A" w:rsidRPr="00F8101A" w:rsidRDefault="00F8101A" w:rsidP="00A111E9">
            <w:pPr>
              <w:widowControl/>
              <w:tabs>
                <w:tab w:val="left" w:pos="780"/>
              </w:tabs>
              <w:rPr>
                <w:rFonts w:eastAsiaTheme="minorHAnsi" w:cstheme="minorBidi"/>
                <w:sz w:val="18"/>
                <w:szCs w:val="18"/>
                <w:lang w:bidi="ar-SA"/>
              </w:rPr>
            </w:pPr>
            <w:r w:rsidRPr="00F8101A">
              <w:rPr>
                <w:rFonts w:eastAsiaTheme="minorHAnsi" w:cstheme="minorBidi"/>
                <w:sz w:val="18"/>
                <w:szCs w:val="18"/>
                <w:lang w:bidi="ar-SA"/>
              </w:rPr>
              <w:t>Fu</w:t>
            </w:r>
          </w:p>
        </w:tc>
        <w:tc>
          <w:tcPr>
            <w:tcW w:w="851" w:type="dxa"/>
          </w:tcPr>
          <w:p w14:paraId="294B772A" w14:textId="77777777" w:rsidR="00F8101A" w:rsidRPr="00F8101A" w:rsidRDefault="00F8101A" w:rsidP="00A111E9">
            <w:pPr>
              <w:widowControl/>
              <w:rPr>
                <w:rFonts w:eastAsiaTheme="minorHAnsi" w:cstheme="minorBidi"/>
                <w:sz w:val="18"/>
                <w:szCs w:val="18"/>
                <w:lang w:bidi="ar-SA"/>
              </w:rPr>
            </w:pPr>
            <w:r w:rsidRPr="00F8101A">
              <w:rPr>
                <w:rFonts w:eastAsiaTheme="minorHAnsi" w:cstheme="minorBidi"/>
                <w:sz w:val="18"/>
                <w:szCs w:val="18"/>
                <w:lang w:bidi="ar-SA"/>
              </w:rPr>
              <w:t>2014</w:t>
            </w:r>
          </w:p>
        </w:tc>
        <w:tc>
          <w:tcPr>
            <w:tcW w:w="1276" w:type="dxa"/>
          </w:tcPr>
          <w:p w14:paraId="4F27486B" w14:textId="77777777" w:rsidR="00F8101A" w:rsidRPr="00F8101A" w:rsidRDefault="00F8101A" w:rsidP="00A111E9">
            <w:pPr>
              <w:widowControl/>
              <w:tabs>
                <w:tab w:val="left" w:pos="570"/>
              </w:tabs>
              <w:rPr>
                <w:rFonts w:eastAsiaTheme="minorHAnsi" w:cstheme="minorBidi"/>
                <w:sz w:val="18"/>
                <w:szCs w:val="18"/>
                <w:lang w:bidi="ar-SA"/>
              </w:rPr>
            </w:pPr>
            <w:r w:rsidRPr="00F8101A">
              <w:rPr>
                <w:rFonts w:eastAsiaTheme="minorHAnsi" w:cstheme="minorBidi"/>
                <w:sz w:val="18"/>
                <w:szCs w:val="18"/>
                <w:lang w:bidi="ar-SA"/>
              </w:rPr>
              <w:t>Henan China</w:t>
            </w:r>
          </w:p>
        </w:tc>
        <w:tc>
          <w:tcPr>
            <w:tcW w:w="1134" w:type="dxa"/>
          </w:tcPr>
          <w:p w14:paraId="3112199F" w14:textId="77777777" w:rsidR="00F8101A" w:rsidRPr="00F8101A" w:rsidRDefault="00F8101A" w:rsidP="00A111E9">
            <w:pPr>
              <w:widowControl/>
              <w:rPr>
                <w:rFonts w:eastAsiaTheme="minorHAnsi" w:cstheme="minorBidi"/>
                <w:sz w:val="18"/>
                <w:szCs w:val="18"/>
                <w:lang w:bidi="ar-SA"/>
              </w:rPr>
            </w:pPr>
            <w:r w:rsidRPr="00F8101A">
              <w:rPr>
                <w:rFonts w:eastAsiaTheme="minorHAnsi" w:cstheme="minorBidi"/>
                <w:sz w:val="18"/>
                <w:szCs w:val="18"/>
                <w:lang w:bidi="ar-SA"/>
              </w:rPr>
              <w:t>-</w:t>
            </w:r>
          </w:p>
        </w:tc>
        <w:tc>
          <w:tcPr>
            <w:tcW w:w="850" w:type="dxa"/>
          </w:tcPr>
          <w:p w14:paraId="1E6DC00E" w14:textId="77777777" w:rsidR="00F8101A" w:rsidRPr="00F8101A" w:rsidRDefault="00F8101A" w:rsidP="00A111E9">
            <w:pPr>
              <w:widowControl/>
              <w:rPr>
                <w:rFonts w:eastAsiaTheme="minorHAnsi" w:cstheme="minorBidi"/>
                <w:sz w:val="18"/>
                <w:szCs w:val="18"/>
                <w:lang w:bidi="ar-SA"/>
              </w:rPr>
            </w:pPr>
            <w:r w:rsidRPr="00F8101A">
              <w:rPr>
                <w:rFonts w:eastAsiaTheme="minorHAnsi" w:cstheme="minorBidi"/>
                <w:sz w:val="18"/>
                <w:szCs w:val="18"/>
                <w:lang w:bidi="ar-SA"/>
              </w:rPr>
              <w:t>2011</w:t>
            </w:r>
          </w:p>
        </w:tc>
        <w:tc>
          <w:tcPr>
            <w:tcW w:w="1134" w:type="dxa"/>
          </w:tcPr>
          <w:p w14:paraId="736DA403" w14:textId="77777777" w:rsidR="00F8101A" w:rsidRPr="00F8101A" w:rsidRDefault="00F8101A" w:rsidP="00A111E9">
            <w:pPr>
              <w:widowControl/>
              <w:rPr>
                <w:rFonts w:eastAsiaTheme="minorHAnsi" w:cstheme="minorBidi"/>
                <w:sz w:val="18"/>
                <w:szCs w:val="18"/>
                <w:lang w:bidi="ar-SA"/>
              </w:rPr>
            </w:pPr>
            <w:r w:rsidRPr="00F8101A">
              <w:rPr>
                <w:rFonts w:eastAsiaTheme="minorHAnsi" w:cstheme="minorBidi"/>
                <w:sz w:val="18"/>
                <w:szCs w:val="18"/>
                <w:lang w:bidi="ar-SA"/>
              </w:rPr>
              <w:t>133 people 0-80 yrs old</w:t>
            </w:r>
          </w:p>
        </w:tc>
        <w:tc>
          <w:tcPr>
            <w:tcW w:w="2504" w:type="dxa"/>
          </w:tcPr>
          <w:p w14:paraId="5039F981" w14:textId="20348290" w:rsidR="00F8101A" w:rsidRPr="00F8101A" w:rsidRDefault="00F8101A" w:rsidP="00231BF2">
            <w:pPr>
              <w:widowControl/>
              <w:rPr>
                <w:rFonts w:eastAsiaTheme="minorHAnsi" w:cstheme="minorBidi"/>
                <w:sz w:val="18"/>
                <w:szCs w:val="18"/>
                <w:lang w:bidi="ar-SA"/>
              </w:rPr>
            </w:pPr>
            <w:r w:rsidRPr="00F8101A">
              <w:rPr>
                <w:rFonts w:eastAsiaTheme="minorHAnsi" w:cstheme="minorBidi"/>
                <w:sz w:val="18"/>
                <w:szCs w:val="18"/>
                <w:lang w:bidi="ar-SA"/>
              </w:rPr>
              <w:t>Adjusted mean</w:t>
            </w:r>
            <w:r w:rsidR="00231BF2">
              <w:rPr>
                <w:rFonts w:eastAsiaTheme="minorHAnsi" w:cstheme="minorBidi"/>
                <w:sz w:val="18"/>
                <w:szCs w:val="18"/>
                <w:lang w:bidi="ar-SA"/>
              </w:rPr>
              <w:t xml:space="preserve"> natural log</w:t>
            </w:r>
            <w:r w:rsidRPr="00F8101A">
              <w:rPr>
                <w:rFonts w:eastAsiaTheme="minorHAnsi" w:cstheme="minorBidi"/>
                <w:sz w:val="18"/>
                <w:szCs w:val="18"/>
                <w:lang w:bidi="ar-SA"/>
              </w:rPr>
              <w:t xml:space="preserve"> total-C, LDL-C or non-transformed HDL-C by quartile</w:t>
            </w:r>
          </w:p>
        </w:tc>
        <w:tc>
          <w:tcPr>
            <w:tcW w:w="425" w:type="dxa"/>
          </w:tcPr>
          <w:p w14:paraId="5B25B1CA" w14:textId="77777777" w:rsidR="00F8101A" w:rsidRPr="00F8101A" w:rsidRDefault="00F8101A" w:rsidP="00A111E9">
            <w:pPr>
              <w:widowControl/>
              <w:rPr>
                <w:rFonts w:eastAsiaTheme="minorHAnsi" w:cstheme="minorBidi"/>
                <w:sz w:val="18"/>
                <w:szCs w:val="18"/>
                <w:lang w:bidi="ar-SA"/>
              </w:rPr>
            </w:pPr>
            <w:r w:rsidRPr="00F8101A">
              <w:rPr>
                <w:rFonts w:asciiTheme="minorHAnsi" w:eastAsiaTheme="minorHAnsi" w:hAnsiTheme="minorHAnsi" w:cs="Arial"/>
                <w:sz w:val="24"/>
                <w:vertAlign w:val="subscript"/>
                <w:lang w:bidi="ar-SA"/>
              </w:rPr>
              <w:sym w:font="Symbol" w:char="F0D6"/>
            </w:r>
          </w:p>
        </w:tc>
      </w:tr>
      <w:tr w:rsidR="00F8101A" w:rsidRPr="00F8101A" w14:paraId="78CB671E" w14:textId="77777777" w:rsidTr="00386C09">
        <w:trPr>
          <w:trHeight w:val="226"/>
        </w:trPr>
        <w:tc>
          <w:tcPr>
            <w:tcW w:w="1242" w:type="dxa"/>
          </w:tcPr>
          <w:p w14:paraId="533FBCA5" w14:textId="77777777" w:rsidR="00F8101A" w:rsidRPr="00F8101A" w:rsidRDefault="00F8101A" w:rsidP="00A111E9">
            <w:pPr>
              <w:widowControl/>
              <w:rPr>
                <w:rFonts w:eastAsiaTheme="minorHAnsi" w:cstheme="minorBidi"/>
                <w:sz w:val="18"/>
                <w:szCs w:val="18"/>
                <w:lang w:bidi="ar-SA"/>
              </w:rPr>
            </w:pPr>
            <w:r w:rsidRPr="00F8101A">
              <w:rPr>
                <w:rFonts w:eastAsiaTheme="minorHAnsi" w:cstheme="minorBidi"/>
                <w:sz w:val="18"/>
                <w:szCs w:val="18"/>
                <w:lang w:bidi="ar-SA"/>
              </w:rPr>
              <w:t>Maisonet</w:t>
            </w:r>
          </w:p>
        </w:tc>
        <w:tc>
          <w:tcPr>
            <w:tcW w:w="851" w:type="dxa"/>
          </w:tcPr>
          <w:p w14:paraId="4F34F43C" w14:textId="77777777" w:rsidR="00F8101A" w:rsidRPr="00F8101A" w:rsidRDefault="00F8101A" w:rsidP="00A111E9">
            <w:pPr>
              <w:widowControl/>
              <w:rPr>
                <w:rFonts w:eastAsiaTheme="minorHAnsi" w:cstheme="minorBidi"/>
                <w:sz w:val="18"/>
                <w:szCs w:val="18"/>
                <w:lang w:bidi="ar-SA"/>
              </w:rPr>
            </w:pPr>
            <w:r w:rsidRPr="00F8101A">
              <w:rPr>
                <w:rFonts w:eastAsiaTheme="minorHAnsi" w:cstheme="minorBidi"/>
                <w:sz w:val="18"/>
                <w:szCs w:val="18"/>
                <w:lang w:bidi="ar-SA"/>
              </w:rPr>
              <w:t>2015</w:t>
            </w:r>
          </w:p>
        </w:tc>
        <w:tc>
          <w:tcPr>
            <w:tcW w:w="1276" w:type="dxa"/>
          </w:tcPr>
          <w:p w14:paraId="3D8A8A06" w14:textId="77777777" w:rsidR="00F8101A" w:rsidRPr="00F8101A" w:rsidRDefault="00F8101A" w:rsidP="00A111E9">
            <w:pPr>
              <w:widowControl/>
              <w:rPr>
                <w:rFonts w:eastAsiaTheme="minorHAnsi" w:cstheme="minorBidi"/>
                <w:sz w:val="18"/>
                <w:szCs w:val="18"/>
                <w:lang w:bidi="ar-SA"/>
              </w:rPr>
            </w:pPr>
            <w:r w:rsidRPr="00F8101A">
              <w:rPr>
                <w:rFonts w:eastAsiaTheme="minorHAnsi" w:cstheme="minorBidi"/>
                <w:sz w:val="18"/>
                <w:szCs w:val="18"/>
                <w:lang w:bidi="ar-SA"/>
              </w:rPr>
              <w:t>UK</w:t>
            </w:r>
          </w:p>
        </w:tc>
        <w:tc>
          <w:tcPr>
            <w:tcW w:w="1134" w:type="dxa"/>
          </w:tcPr>
          <w:p w14:paraId="06DDD50F" w14:textId="77777777" w:rsidR="00F8101A" w:rsidRPr="00F8101A" w:rsidRDefault="00F8101A" w:rsidP="00A111E9">
            <w:pPr>
              <w:widowControl/>
              <w:rPr>
                <w:rFonts w:eastAsiaTheme="minorHAnsi" w:cstheme="minorBidi"/>
                <w:sz w:val="18"/>
                <w:szCs w:val="18"/>
                <w:lang w:bidi="ar-SA"/>
              </w:rPr>
            </w:pPr>
            <w:r w:rsidRPr="00F8101A">
              <w:rPr>
                <w:rFonts w:eastAsiaTheme="minorHAnsi" w:cstheme="minorBidi"/>
                <w:sz w:val="18"/>
                <w:szCs w:val="18"/>
                <w:lang w:bidi="ar-SA"/>
              </w:rPr>
              <w:t>ALSPAC</w:t>
            </w:r>
          </w:p>
        </w:tc>
        <w:tc>
          <w:tcPr>
            <w:tcW w:w="850" w:type="dxa"/>
          </w:tcPr>
          <w:p w14:paraId="074361DE" w14:textId="77777777" w:rsidR="00F8101A" w:rsidRPr="00F8101A" w:rsidRDefault="00F8101A" w:rsidP="00A111E9">
            <w:pPr>
              <w:widowControl/>
              <w:rPr>
                <w:rFonts w:eastAsiaTheme="minorHAnsi" w:cstheme="minorBidi"/>
                <w:sz w:val="18"/>
                <w:szCs w:val="18"/>
                <w:lang w:bidi="ar-SA"/>
              </w:rPr>
            </w:pPr>
            <w:r w:rsidRPr="00F8101A">
              <w:rPr>
                <w:rFonts w:eastAsiaTheme="minorHAnsi" w:cstheme="minorBidi"/>
                <w:sz w:val="18"/>
                <w:szCs w:val="18"/>
                <w:lang w:bidi="ar-SA"/>
              </w:rPr>
              <w:t>1991-2</w:t>
            </w:r>
          </w:p>
        </w:tc>
        <w:tc>
          <w:tcPr>
            <w:tcW w:w="1134" w:type="dxa"/>
          </w:tcPr>
          <w:p w14:paraId="3F0E24B7" w14:textId="77777777" w:rsidR="00F8101A" w:rsidRPr="00F8101A" w:rsidRDefault="00F8101A" w:rsidP="00A111E9">
            <w:pPr>
              <w:widowControl/>
              <w:rPr>
                <w:rFonts w:eastAsiaTheme="minorHAnsi" w:cstheme="minorBidi"/>
                <w:sz w:val="18"/>
                <w:szCs w:val="18"/>
                <w:lang w:bidi="ar-SA"/>
              </w:rPr>
            </w:pPr>
            <w:r w:rsidRPr="00F8101A">
              <w:rPr>
                <w:rFonts w:eastAsiaTheme="minorHAnsi" w:cstheme="minorBidi"/>
                <w:sz w:val="18"/>
                <w:szCs w:val="18"/>
                <w:lang w:bidi="ar-SA"/>
              </w:rPr>
              <w:t>88 girls, aged 15</w:t>
            </w:r>
          </w:p>
        </w:tc>
        <w:tc>
          <w:tcPr>
            <w:tcW w:w="2504" w:type="dxa"/>
          </w:tcPr>
          <w:p w14:paraId="1CA35A9F" w14:textId="19819F76" w:rsidR="00F8101A" w:rsidRPr="00F8101A" w:rsidRDefault="00F8101A" w:rsidP="003054FF">
            <w:pPr>
              <w:widowControl/>
              <w:rPr>
                <w:rFonts w:eastAsiaTheme="minorHAnsi" w:cs="Arial"/>
                <w:color w:val="000000"/>
                <w:sz w:val="20"/>
                <w:szCs w:val="20"/>
                <w:vertAlign w:val="subscript"/>
                <w:lang w:bidi="ar-SA"/>
              </w:rPr>
            </w:pPr>
            <w:r w:rsidRPr="00F8101A">
              <w:rPr>
                <w:rFonts w:eastAsiaTheme="minorHAnsi" w:cs="Arial"/>
                <w:sz w:val="20"/>
                <w:szCs w:val="20"/>
                <w:lang w:bidi="ar-SA"/>
              </w:rPr>
              <w:t xml:space="preserve">Piecewise regression; fasting blood samples at 15 years used </w:t>
            </w:r>
            <w:r w:rsidR="003054FF">
              <w:rPr>
                <w:rFonts w:eastAsiaTheme="minorHAnsi" w:cs="Arial"/>
                <w:sz w:val="20"/>
                <w:szCs w:val="20"/>
                <w:lang w:bidi="ar-SA"/>
              </w:rPr>
              <w:t xml:space="preserve">for cholesterol; </w:t>
            </w:r>
            <w:r w:rsidRPr="00F8101A">
              <w:rPr>
                <w:rFonts w:eastAsiaTheme="minorHAnsi" w:cs="Arial"/>
                <w:sz w:val="20"/>
                <w:szCs w:val="20"/>
                <w:lang w:bidi="ar-SA"/>
              </w:rPr>
              <w:t>prenatal PFAS exposure measurement from maternal blood</w:t>
            </w:r>
          </w:p>
        </w:tc>
        <w:tc>
          <w:tcPr>
            <w:tcW w:w="425" w:type="dxa"/>
          </w:tcPr>
          <w:p w14:paraId="41D84CF2" w14:textId="77777777" w:rsidR="00F8101A" w:rsidRPr="00F8101A" w:rsidRDefault="00F8101A" w:rsidP="00A111E9">
            <w:pPr>
              <w:widowControl/>
              <w:rPr>
                <w:rFonts w:eastAsiaTheme="minorHAnsi" w:cstheme="minorBidi"/>
                <w:sz w:val="18"/>
                <w:szCs w:val="18"/>
                <w:lang w:bidi="ar-SA"/>
              </w:rPr>
            </w:pPr>
          </w:p>
          <w:p w14:paraId="220CA8D2" w14:textId="77777777" w:rsidR="00F8101A" w:rsidRPr="00F8101A" w:rsidRDefault="00F8101A" w:rsidP="00A111E9">
            <w:pPr>
              <w:widowControl/>
              <w:rPr>
                <w:rFonts w:eastAsiaTheme="minorHAnsi" w:cstheme="minorBidi"/>
                <w:sz w:val="18"/>
                <w:szCs w:val="18"/>
                <w:lang w:bidi="ar-SA"/>
              </w:rPr>
            </w:pPr>
          </w:p>
          <w:p w14:paraId="5AB55003" w14:textId="77777777" w:rsidR="00F8101A" w:rsidRPr="00F8101A" w:rsidRDefault="00F8101A" w:rsidP="00A111E9">
            <w:pPr>
              <w:widowControl/>
              <w:rPr>
                <w:rFonts w:eastAsiaTheme="minorHAnsi" w:cstheme="minorBidi"/>
                <w:sz w:val="18"/>
                <w:szCs w:val="18"/>
                <w:lang w:bidi="ar-SA"/>
              </w:rPr>
            </w:pPr>
            <w:r w:rsidRPr="00F8101A">
              <w:rPr>
                <w:rFonts w:asciiTheme="minorHAnsi" w:eastAsiaTheme="minorHAnsi" w:hAnsiTheme="minorHAnsi" w:cs="Arial"/>
                <w:sz w:val="24"/>
                <w:vertAlign w:val="subscript"/>
                <w:lang w:bidi="ar-SA"/>
              </w:rPr>
              <w:sym w:font="Symbol" w:char="F0D6"/>
            </w:r>
          </w:p>
        </w:tc>
      </w:tr>
      <w:tr w:rsidR="00F8101A" w:rsidRPr="00F8101A" w14:paraId="13DC7B2A" w14:textId="77777777" w:rsidTr="00386C09">
        <w:trPr>
          <w:trHeight w:val="226"/>
        </w:trPr>
        <w:tc>
          <w:tcPr>
            <w:tcW w:w="1242" w:type="dxa"/>
          </w:tcPr>
          <w:p w14:paraId="2E3FD68C" w14:textId="77777777" w:rsidR="00F8101A" w:rsidRPr="00F8101A" w:rsidRDefault="00F8101A" w:rsidP="00A111E9">
            <w:pPr>
              <w:widowControl/>
              <w:tabs>
                <w:tab w:val="left" w:pos="570"/>
              </w:tabs>
              <w:rPr>
                <w:rFonts w:eastAsiaTheme="minorHAnsi" w:cstheme="minorBidi"/>
                <w:sz w:val="18"/>
                <w:szCs w:val="18"/>
                <w:lang w:bidi="ar-SA"/>
              </w:rPr>
            </w:pPr>
            <w:r w:rsidRPr="00F8101A">
              <w:rPr>
                <w:rFonts w:eastAsiaTheme="minorHAnsi" w:cstheme="minorBidi"/>
                <w:sz w:val="18"/>
                <w:szCs w:val="18"/>
                <w:lang w:bidi="ar-SA"/>
              </w:rPr>
              <w:t>Zeng</w:t>
            </w:r>
          </w:p>
        </w:tc>
        <w:tc>
          <w:tcPr>
            <w:tcW w:w="851" w:type="dxa"/>
          </w:tcPr>
          <w:p w14:paraId="62167ADF" w14:textId="77777777" w:rsidR="00F8101A" w:rsidRPr="00F8101A" w:rsidRDefault="00F8101A" w:rsidP="00A111E9">
            <w:pPr>
              <w:widowControl/>
              <w:rPr>
                <w:rFonts w:eastAsiaTheme="minorHAnsi" w:cstheme="minorBidi"/>
                <w:sz w:val="18"/>
                <w:szCs w:val="18"/>
                <w:lang w:bidi="ar-SA"/>
              </w:rPr>
            </w:pPr>
            <w:r w:rsidRPr="00F8101A">
              <w:rPr>
                <w:rFonts w:eastAsiaTheme="minorHAnsi" w:cstheme="minorBidi"/>
                <w:sz w:val="18"/>
                <w:szCs w:val="18"/>
                <w:lang w:bidi="ar-SA"/>
              </w:rPr>
              <w:t>2015</w:t>
            </w:r>
          </w:p>
        </w:tc>
        <w:tc>
          <w:tcPr>
            <w:tcW w:w="1276" w:type="dxa"/>
          </w:tcPr>
          <w:p w14:paraId="137497D4" w14:textId="77777777" w:rsidR="00F8101A" w:rsidRPr="00F8101A" w:rsidRDefault="00F8101A" w:rsidP="00A111E9">
            <w:pPr>
              <w:widowControl/>
              <w:rPr>
                <w:rFonts w:eastAsiaTheme="minorHAnsi" w:cstheme="minorBidi"/>
                <w:sz w:val="18"/>
                <w:szCs w:val="18"/>
                <w:lang w:bidi="ar-SA"/>
              </w:rPr>
            </w:pPr>
            <w:r w:rsidRPr="00F8101A">
              <w:rPr>
                <w:rFonts w:eastAsiaTheme="minorHAnsi" w:cstheme="minorBidi"/>
                <w:sz w:val="18"/>
                <w:szCs w:val="18"/>
                <w:lang w:bidi="ar-SA"/>
              </w:rPr>
              <w:t>Taipei,</w:t>
            </w:r>
          </w:p>
          <w:p w14:paraId="7AF1592F" w14:textId="77777777" w:rsidR="00F8101A" w:rsidRPr="00F8101A" w:rsidRDefault="00F8101A" w:rsidP="00A111E9">
            <w:pPr>
              <w:widowControl/>
              <w:rPr>
                <w:rFonts w:eastAsiaTheme="minorHAnsi" w:cstheme="minorBidi"/>
                <w:sz w:val="18"/>
                <w:szCs w:val="18"/>
                <w:lang w:bidi="ar-SA"/>
              </w:rPr>
            </w:pPr>
            <w:r w:rsidRPr="00F8101A">
              <w:rPr>
                <w:rFonts w:eastAsiaTheme="minorHAnsi" w:cstheme="minorBidi"/>
                <w:sz w:val="18"/>
                <w:szCs w:val="18"/>
                <w:lang w:bidi="ar-SA"/>
              </w:rPr>
              <w:t>Taiwan</w:t>
            </w:r>
          </w:p>
        </w:tc>
        <w:tc>
          <w:tcPr>
            <w:tcW w:w="1134" w:type="dxa"/>
          </w:tcPr>
          <w:p w14:paraId="17F7509F" w14:textId="77777777" w:rsidR="00F8101A" w:rsidRPr="00F8101A" w:rsidRDefault="00F8101A" w:rsidP="00A111E9">
            <w:pPr>
              <w:widowControl/>
              <w:rPr>
                <w:rFonts w:eastAsiaTheme="minorHAnsi" w:cstheme="minorBidi"/>
                <w:sz w:val="18"/>
                <w:szCs w:val="18"/>
                <w:lang w:bidi="ar-SA"/>
              </w:rPr>
            </w:pPr>
            <w:r w:rsidRPr="00F8101A">
              <w:rPr>
                <w:rFonts w:eastAsiaTheme="minorHAnsi" w:cstheme="minorBidi"/>
                <w:sz w:val="18"/>
                <w:szCs w:val="18"/>
                <w:lang w:bidi="ar-SA"/>
              </w:rPr>
              <w:t>Genetic and Biomarker Study for Childhood Asthma</w:t>
            </w:r>
          </w:p>
        </w:tc>
        <w:tc>
          <w:tcPr>
            <w:tcW w:w="850" w:type="dxa"/>
          </w:tcPr>
          <w:p w14:paraId="05DC907F" w14:textId="77777777" w:rsidR="00F8101A" w:rsidRPr="00F8101A" w:rsidRDefault="00F8101A" w:rsidP="00A111E9">
            <w:pPr>
              <w:widowControl/>
              <w:rPr>
                <w:rFonts w:eastAsiaTheme="minorHAnsi" w:cstheme="minorBidi"/>
                <w:sz w:val="18"/>
                <w:szCs w:val="18"/>
                <w:lang w:bidi="ar-SA"/>
              </w:rPr>
            </w:pPr>
            <w:r w:rsidRPr="00F8101A">
              <w:rPr>
                <w:rFonts w:eastAsiaTheme="minorHAnsi" w:cstheme="minorBidi"/>
                <w:sz w:val="18"/>
                <w:szCs w:val="18"/>
                <w:lang w:bidi="ar-SA"/>
              </w:rPr>
              <w:t>2009-10</w:t>
            </w:r>
          </w:p>
        </w:tc>
        <w:tc>
          <w:tcPr>
            <w:tcW w:w="1134" w:type="dxa"/>
          </w:tcPr>
          <w:p w14:paraId="79A01C78" w14:textId="77777777" w:rsidR="00F8101A" w:rsidRPr="00F8101A" w:rsidRDefault="00F8101A" w:rsidP="00A111E9">
            <w:pPr>
              <w:widowControl/>
              <w:rPr>
                <w:rFonts w:eastAsiaTheme="minorHAnsi" w:cstheme="minorBidi"/>
                <w:sz w:val="18"/>
                <w:szCs w:val="18"/>
                <w:lang w:bidi="ar-SA"/>
              </w:rPr>
            </w:pPr>
            <w:r w:rsidRPr="00F8101A">
              <w:rPr>
                <w:rFonts w:eastAsiaTheme="minorHAnsi" w:cstheme="minorBidi"/>
                <w:sz w:val="18"/>
                <w:szCs w:val="18"/>
                <w:lang w:bidi="ar-SA"/>
              </w:rPr>
              <w:t>225 children aged 12-15</w:t>
            </w:r>
          </w:p>
        </w:tc>
        <w:tc>
          <w:tcPr>
            <w:tcW w:w="2504" w:type="dxa"/>
          </w:tcPr>
          <w:p w14:paraId="0E711A9D" w14:textId="1CCF40D8" w:rsidR="00F8101A" w:rsidRPr="00F8101A" w:rsidRDefault="00F8101A" w:rsidP="00231BF2">
            <w:pPr>
              <w:widowControl/>
              <w:rPr>
                <w:rFonts w:eastAsiaTheme="minorHAnsi" w:cs="Arial"/>
                <w:color w:val="000000"/>
                <w:sz w:val="20"/>
                <w:szCs w:val="20"/>
                <w:vertAlign w:val="subscript"/>
                <w:lang w:bidi="ar-SA"/>
              </w:rPr>
            </w:pPr>
            <w:r w:rsidRPr="00F8101A">
              <w:rPr>
                <w:rFonts w:eastAsiaTheme="minorHAnsi" w:cstheme="minorBidi"/>
                <w:sz w:val="18"/>
                <w:szCs w:val="18"/>
                <w:lang w:bidi="ar-SA"/>
              </w:rPr>
              <w:t xml:space="preserve">Adjusted mean </w:t>
            </w:r>
            <w:r w:rsidR="00231BF2">
              <w:rPr>
                <w:rFonts w:eastAsiaTheme="minorHAnsi" w:cstheme="minorBidi"/>
                <w:sz w:val="18"/>
                <w:szCs w:val="18"/>
                <w:lang w:bidi="ar-SA"/>
              </w:rPr>
              <w:t>natural log</w:t>
            </w:r>
            <w:r w:rsidRPr="00F8101A">
              <w:rPr>
                <w:rFonts w:eastAsiaTheme="minorHAnsi" w:cstheme="minorBidi"/>
                <w:sz w:val="18"/>
                <w:szCs w:val="18"/>
                <w:lang w:bidi="ar-SA"/>
              </w:rPr>
              <w:t xml:space="preserve"> total-C, LDL-C or non-transformed HDL-C by quartile</w:t>
            </w:r>
          </w:p>
        </w:tc>
        <w:tc>
          <w:tcPr>
            <w:tcW w:w="425" w:type="dxa"/>
          </w:tcPr>
          <w:p w14:paraId="2416A59F" w14:textId="77777777" w:rsidR="00F8101A" w:rsidRPr="00F8101A" w:rsidRDefault="00F8101A" w:rsidP="00A111E9">
            <w:pPr>
              <w:widowControl/>
              <w:rPr>
                <w:rFonts w:eastAsiaTheme="minorHAnsi" w:cstheme="minorBidi"/>
                <w:sz w:val="18"/>
                <w:szCs w:val="18"/>
                <w:lang w:bidi="ar-SA"/>
              </w:rPr>
            </w:pPr>
            <w:r w:rsidRPr="00F8101A">
              <w:rPr>
                <w:rFonts w:asciiTheme="minorHAnsi" w:eastAsiaTheme="minorHAnsi" w:hAnsiTheme="minorHAnsi" w:cs="Arial"/>
                <w:sz w:val="24"/>
                <w:vertAlign w:val="subscript"/>
                <w:lang w:bidi="ar-SA"/>
              </w:rPr>
              <w:sym w:font="Symbol" w:char="F0D6"/>
            </w:r>
          </w:p>
        </w:tc>
      </w:tr>
      <w:tr w:rsidR="00F8101A" w:rsidRPr="00F8101A" w14:paraId="2F50B935" w14:textId="77777777" w:rsidTr="00386C09">
        <w:trPr>
          <w:trHeight w:val="226"/>
        </w:trPr>
        <w:tc>
          <w:tcPr>
            <w:tcW w:w="1242" w:type="dxa"/>
          </w:tcPr>
          <w:p w14:paraId="0C6DA8CB" w14:textId="77777777" w:rsidR="00F8101A" w:rsidRPr="00F8101A" w:rsidRDefault="00F8101A" w:rsidP="00A111E9">
            <w:pPr>
              <w:widowControl/>
              <w:rPr>
                <w:rFonts w:eastAsiaTheme="minorHAnsi" w:cs="Arial"/>
                <w:sz w:val="18"/>
                <w:szCs w:val="18"/>
                <w:lang w:bidi="ar-SA"/>
              </w:rPr>
            </w:pPr>
            <w:r w:rsidRPr="00F8101A">
              <w:rPr>
                <w:rFonts w:eastAsiaTheme="minorHAnsi" w:cs="Arial"/>
                <w:sz w:val="18"/>
                <w:szCs w:val="18"/>
                <w:lang w:bidi="ar-SA"/>
              </w:rPr>
              <w:t>Christensen</w:t>
            </w:r>
          </w:p>
        </w:tc>
        <w:tc>
          <w:tcPr>
            <w:tcW w:w="851" w:type="dxa"/>
          </w:tcPr>
          <w:p w14:paraId="65F11F81" w14:textId="77777777" w:rsidR="00F8101A" w:rsidRPr="00F8101A" w:rsidRDefault="00F8101A" w:rsidP="00A111E9">
            <w:pPr>
              <w:widowControl/>
              <w:rPr>
                <w:rFonts w:eastAsiaTheme="minorHAnsi" w:cs="Arial"/>
                <w:sz w:val="18"/>
                <w:szCs w:val="18"/>
                <w:lang w:bidi="ar-SA"/>
              </w:rPr>
            </w:pPr>
            <w:r w:rsidRPr="00F8101A">
              <w:rPr>
                <w:rFonts w:eastAsiaTheme="minorHAnsi" w:cs="Arial"/>
                <w:sz w:val="18"/>
                <w:szCs w:val="18"/>
                <w:lang w:bidi="ar-SA"/>
              </w:rPr>
              <w:t>2016</w:t>
            </w:r>
          </w:p>
        </w:tc>
        <w:tc>
          <w:tcPr>
            <w:tcW w:w="1276" w:type="dxa"/>
          </w:tcPr>
          <w:p w14:paraId="6E5274B2" w14:textId="77777777" w:rsidR="00F8101A" w:rsidRPr="00F8101A" w:rsidRDefault="00F8101A" w:rsidP="00A111E9">
            <w:pPr>
              <w:widowControl/>
              <w:rPr>
                <w:rFonts w:eastAsiaTheme="minorHAnsi" w:cs="Arial"/>
                <w:sz w:val="18"/>
                <w:szCs w:val="18"/>
                <w:lang w:bidi="ar-SA"/>
              </w:rPr>
            </w:pPr>
            <w:r w:rsidRPr="00F8101A">
              <w:rPr>
                <w:rFonts w:eastAsiaTheme="minorHAnsi" w:cs="Arial"/>
                <w:sz w:val="18"/>
                <w:szCs w:val="18"/>
                <w:lang w:bidi="ar-SA"/>
              </w:rPr>
              <w:t>Wisconsin, US</w:t>
            </w:r>
          </w:p>
        </w:tc>
        <w:tc>
          <w:tcPr>
            <w:tcW w:w="1134" w:type="dxa"/>
          </w:tcPr>
          <w:p w14:paraId="6C53D2E3" w14:textId="77777777" w:rsidR="00F8101A" w:rsidRPr="00F8101A" w:rsidRDefault="00F8101A" w:rsidP="00A111E9">
            <w:pPr>
              <w:widowControl/>
              <w:rPr>
                <w:rFonts w:eastAsiaTheme="minorHAnsi" w:cs="Arial"/>
                <w:sz w:val="18"/>
                <w:szCs w:val="18"/>
                <w:lang w:bidi="ar-SA"/>
              </w:rPr>
            </w:pPr>
            <w:r w:rsidRPr="00F8101A">
              <w:rPr>
                <w:rFonts w:eastAsiaTheme="minorHAnsi" w:cs="Arial"/>
                <w:sz w:val="18"/>
                <w:szCs w:val="18"/>
                <w:lang w:bidi="ar-SA"/>
              </w:rPr>
              <w:t>-</w:t>
            </w:r>
          </w:p>
        </w:tc>
        <w:tc>
          <w:tcPr>
            <w:tcW w:w="850" w:type="dxa"/>
          </w:tcPr>
          <w:p w14:paraId="66CE42D4" w14:textId="5AD50958" w:rsidR="00F8101A" w:rsidRPr="00F8101A" w:rsidRDefault="00FC4A83" w:rsidP="00A111E9">
            <w:pPr>
              <w:widowControl/>
              <w:rPr>
                <w:rFonts w:eastAsiaTheme="minorHAnsi" w:cs="Arial"/>
                <w:sz w:val="18"/>
                <w:szCs w:val="18"/>
                <w:lang w:bidi="ar-SA"/>
              </w:rPr>
            </w:pPr>
            <w:r>
              <w:rPr>
                <w:rFonts w:eastAsiaTheme="minorHAnsi" w:cs="Arial"/>
                <w:sz w:val="18"/>
                <w:szCs w:val="18"/>
                <w:lang w:bidi="ar-SA"/>
              </w:rPr>
              <w:t>2012-3</w:t>
            </w:r>
          </w:p>
        </w:tc>
        <w:tc>
          <w:tcPr>
            <w:tcW w:w="1134" w:type="dxa"/>
          </w:tcPr>
          <w:p w14:paraId="11E69C4E" w14:textId="77777777" w:rsidR="00F8101A" w:rsidRPr="00F8101A" w:rsidRDefault="00F8101A" w:rsidP="00A111E9">
            <w:pPr>
              <w:widowControl/>
              <w:rPr>
                <w:rFonts w:eastAsiaTheme="minorHAnsi" w:cs="Arial"/>
                <w:sz w:val="18"/>
                <w:szCs w:val="18"/>
                <w:lang w:bidi="ar-SA"/>
              </w:rPr>
            </w:pPr>
            <w:r w:rsidRPr="00F8101A">
              <w:rPr>
                <w:rFonts w:eastAsiaTheme="minorHAnsi" w:cs="Arial"/>
                <w:sz w:val="18"/>
                <w:szCs w:val="18"/>
                <w:lang w:bidi="ar-SA"/>
              </w:rPr>
              <w:t>154 men 50+ yrs</w:t>
            </w:r>
          </w:p>
        </w:tc>
        <w:tc>
          <w:tcPr>
            <w:tcW w:w="2504" w:type="dxa"/>
          </w:tcPr>
          <w:p w14:paraId="57071548" w14:textId="55F7632D" w:rsidR="00F8101A" w:rsidRPr="00F8101A" w:rsidRDefault="00F8101A" w:rsidP="00A111E9">
            <w:pPr>
              <w:widowControl/>
              <w:rPr>
                <w:rFonts w:eastAsiaTheme="minorHAnsi" w:cs="Arial"/>
                <w:sz w:val="18"/>
                <w:szCs w:val="18"/>
                <w:lang w:bidi="ar-SA"/>
              </w:rPr>
            </w:pPr>
            <w:r w:rsidRPr="00F8101A">
              <w:rPr>
                <w:rFonts w:eastAsiaTheme="minorHAnsi" w:cs="Arial"/>
                <w:sz w:val="18"/>
                <w:szCs w:val="18"/>
                <w:lang w:bidi="ar-SA"/>
              </w:rPr>
              <w:t>Inverted continuous analysis (predictors of PFAS); OR for self-reported high total-C</w:t>
            </w:r>
          </w:p>
        </w:tc>
        <w:tc>
          <w:tcPr>
            <w:tcW w:w="425" w:type="dxa"/>
          </w:tcPr>
          <w:p w14:paraId="45C846CB" w14:textId="77777777" w:rsidR="00F8101A" w:rsidRPr="00F8101A" w:rsidRDefault="00F8101A" w:rsidP="00A111E9">
            <w:pPr>
              <w:widowControl/>
              <w:rPr>
                <w:rFonts w:eastAsiaTheme="minorHAnsi" w:cs="Arial"/>
                <w:sz w:val="18"/>
                <w:szCs w:val="18"/>
                <w:lang w:bidi="ar-SA"/>
              </w:rPr>
            </w:pPr>
            <w:r w:rsidRPr="00F8101A">
              <w:rPr>
                <w:rFonts w:eastAsiaTheme="minorHAnsi" w:cs="Arial"/>
                <w:sz w:val="18"/>
                <w:szCs w:val="18"/>
                <w:lang w:bidi="ar-SA"/>
              </w:rPr>
              <w:t>q</w:t>
            </w:r>
          </w:p>
        </w:tc>
      </w:tr>
      <w:tr w:rsidR="00F8101A" w:rsidRPr="00F8101A" w14:paraId="05CA4CDB" w14:textId="77777777" w:rsidTr="00386C09">
        <w:trPr>
          <w:trHeight w:val="460"/>
        </w:trPr>
        <w:tc>
          <w:tcPr>
            <w:tcW w:w="1242" w:type="dxa"/>
          </w:tcPr>
          <w:p w14:paraId="46DDE977" w14:textId="77777777" w:rsidR="00F8101A" w:rsidRPr="00F8101A" w:rsidRDefault="00F8101A" w:rsidP="00A111E9">
            <w:pPr>
              <w:widowControl/>
              <w:rPr>
                <w:rFonts w:eastAsiaTheme="minorHAnsi" w:cs="Arial"/>
                <w:sz w:val="18"/>
                <w:szCs w:val="18"/>
                <w:lang w:bidi="ar-SA"/>
              </w:rPr>
            </w:pPr>
            <w:r w:rsidRPr="00F8101A">
              <w:rPr>
                <w:rFonts w:eastAsiaTheme="minorHAnsi" w:cs="Arial"/>
                <w:sz w:val="18"/>
                <w:szCs w:val="18"/>
                <w:lang w:bidi="ar-SA"/>
              </w:rPr>
              <w:t>Wang</w:t>
            </w:r>
          </w:p>
        </w:tc>
        <w:tc>
          <w:tcPr>
            <w:tcW w:w="851" w:type="dxa"/>
          </w:tcPr>
          <w:p w14:paraId="4A525172" w14:textId="77777777" w:rsidR="00F8101A" w:rsidRPr="00F8101A" w:rsidRDefault="00F8101A" w:rsidP="00A111E9">
            <w:pPr>
              <w:widowControl/>
              <w:rPr>
                <w:rFonts w:eastAsiaTheme="minorHAnsi" w:cs="Arial"/>
                <w:sz w:val="18"/>
                <w:szCs w:val="18"/>
                <w:lang w:bidi="ar-SA"/>
              </w:rPr>
            </w:pPr>
            <w:r w:rsidRPr="00F8101A">
              <w:rPr>
                <w:rFonts w:eastAsiaTheme="minorHAnsi" w:cs="Arial"/>
                <w:sz w:val="18"/>
                <w:szCs w:val="18"/>
                <w:lang w:bidi="ar-SA"/>
              </w:rPr>
              <w:t>2012</w:t>
            </w:r>
          </w:p>
        </w:tc>
        <w:tc>
          <w:tcPr>
            <w:tcW w:w="1276" w:type="dxa"/>
          </w:tcPr>
          <w:p w14:paraId="530B6CBD" w14:textId="77777777" w:rsidR="00F8101A" w:rsidRPr="00F8101A" w:rsidRDefault="00F8101A" w:rsidP="00A111E9">
            <w:pPr>
              <w:widowControl/>
              <w:rPr>
                <w:rFonts w:eastAsiaTheme="minorHAnsi" w:cs="Arial"/>
                <w:sz w:val="18"/>
                <w:szCs w:val="18"/>
                <w:lang w:bidi="ar-SA"/>
              </w:rPr>
            </w:pPr>
            <w:r w:rsidRPr="00F8101A">
              <w:rPr>
                <w:rFonts w:eastAsiaTheme="minorHAnsi" w:cs="Arial"/>
                <w:sz w:val="18"/>
                <w:szCs w:val="18"/>
                <w:lang w:bidi="ar-SA"/>
              </w:rPr>
              <w:t>China</w:t>
            </w:r>
          </w:p>
        </w:tc>
        <w:tc>
          <w:tcPr>
            <w:tcW w:w="1134" w:type="dxa"/>
          </w:tcPr>
          <w:p w14:paraId="78575ED5" w14:textId="77777777" w:rsidR="00F8101A" w:rsidRPr="00F8101A" w:rsidRDefault="00F8101A" w:rsidP="00A111E9">
            <w:pPr>
              <w:widowControl/>
              <w:rPr>
                <w:rFonts w:eastAsiaTheme="minorHAnsi" w:cs="Arial"/>
                <w:sz w:val="18"/>
                <w:szCs w:val="18"/>
                <w:lang w:bidi="ar-SA"/>
              </w:rPr>
            </w:pPr>
            <w:r w:rsidRPr="00F8101A">
              <w:rPr>
                <w:rFonts w:eastAsiaTheme="minorHAnsi" w:cs="Arial"/>
                <w:sz w:val="18"/>
                <w:szCs w:val="18"/>
                <w:lang w:bidi="ar-SA"/>
              </w:rPr>
              <w:t>-</w:t>
            </w:r>
          </w:p>
        </w:tc>
        <w:tc>
          <w:tcPr>
            <w:tcW w:w="850" w:type="dxa"/>
          </w:tcPr>
          <w:p w14:paraId="4ADDF8DB" w14:textId="77777777" w:rsidR="00F8101A" w:rsidRPr="00F8101A" w:rsidRDefault="00F8101A" w:rsidP="00A111E9">
            <w:pPr>
              <w:widowControl/>
              <w:rPr>
                <w:rFonts w:eastAsiaTheme="minorHAnsi" w:cs="Arial"/>
                <w:sz w:val="18"/>
                <w:szCs w:val="18"/>
                <w:lang w:bidi="ar-SA"/>
              </w:rPr>
            </w:pPr>
            <w:r w:rsidRPr="00F8101A">
              <w:rPr>
                <w:rFonts w:eastAsiaTheme="minorHAnsi" w:cs="Arial"/>
                <w:sz w:val="18"/>
                <w:szCs w:val="18"/>
                <w:lang w:bidi="ar-SA"/>
              </w:rPr>
              <w:t>2010-11</w:t>
            </w:r>
          </w:p>
        </w:tc>
        <w:tc>
          <w:tcPr>
            <w:tcW w:w="1134" w:type="dxa"/>
          </w:tcPr>
          <w:p w14:paraId="40A0BD8E" w14:textId="77777777" w:rsidR="00F8101A" w:rsidRPr="00F8101A" w:rsidRDefault="00F8101A" w:rsidP="00A111E9">
            <w:pPr>
              <w:widowControl/>
              <w:rPr>
                <w:rFonts w:eastAsiaTheme="minorHAnsi" w:cs="Arial"/>
                <w:sz w:val="18"/>
                <w:szCs w:val="18"/>
                <w:lang w:bidi="ar-SA"/>
              </w:rPr>
            </w:pPr>
            <w:r w:rsidRPr="00F8101A">
              <w:rPr>
                <w:rFonts w:eastAsiaTheme="minorHAnsi" w:cs="Arial"/>
                <w:sz w:val="18"/>
                <w:szCs w:val="18"/>
                <w:lang w:bidi="ar-SA"/>
              </w:rPr>
              <w:t>132 residents, 55 workers</w:t>
            </w:r>
          </w:p>
        </w:tc>
        <w:tc>
          <w:tcPr>
            <w:tcW w:w="2504" w:type="dxa"/>
          </w:tcPr>
          <w:p w14:paraId="7194BBD0" w14:textId="5D54B0BC" w:rsidR="00F8101A" w:rsidRPr="00F8101A" w:rsidRDefault="00CB2756" w:rsidP="00231BF2">
            <w:pPr>
              <w:widowControl/>
              <w:rPr>
                <w:rFonts w:eastAsiaTheme="minorHAnsi" w:cs="Arial"/>
                <w:sz w:val="18"/>
                <w:szCs w:val="18"/>
                <w:lang w:bidi="ar-SA"/>
              </w:rPr>
            </w:pPr>
            <w:r>
              <w:rPr>
                <w:rFonts w:eastAsiaTheme="minorHAnsi" w:cs="Arial"/>
                <w:sz w:val="18"/>
                <w:szCs w:val="18"/>
                <w:lang w:bidi="ar-SA"/>
              </w:rPr>
              <w:t>A</w:t>
            </w:r>
            <w:r w:rsidR="00F8101A" w:rsidRPr="00F8101A">
              <w:rPr>
                <w:rFonts w:eastAsiaTheme="minorHAnsi" w:cs="Arial"/>
                <w:sz w:val="18"/>
                <w:szCs w:val="18"/>
                <w:lang w:bidi="ar-SA"/>
              </w:rPr>
              <w:t xml:space="preserve">djusted linear regression of </w:t>
            </w:r>
            <w:r w:rsidR="00231BF2">
              <w:rPr>
                <w:rFonts w:eastAsiaTheme="minorHAnsi" w:cs="Arial"/>
                <w:sz w:val="18"/>
                <w:szCs w:val="18"/>
                <w:lang w:bidi="ar-SA"/>
              </w:rPr>
              <w:t xml:space="preserve">natural log </w:t>
            </w:r>
            <w:r w:rsidR="00F8101A" w:rsidRPr="00F8101A">
              <w:rPr>
                <w:rFonts w:eastAsiaTheme="minorHAnsi" w:cs="Arial"/>
                <w:sz w:val="18"/>
                <w:szCs w:val="18"/>
                <w:lang w:bidi="ar-SA"/>
              </w:rPr>
              <w:t xml:space="preserve"> cholesterol per unit</w:t>
            </w:r>
            <w:r w:rsidR="00231BF2">
              <w:rPr>
                <w:rFonts w:eastAsiaTheme="minorHAnsi" w:cs="Arial"/>
                <w:sz w:val="18"/>
                <w:szCs w:val="18"/>
                <w:lang w:bidi="ar-SA"/>
              </w:rPr>
              <w:t xml:space="preserve"> natural log</w:t>
            </w:r>
            <w:r w:rsidR="00F8101A" w:rsidRPr="00F8101A">
              <w:rPr>
                <w:rFonts w:eastAsiaTheme="minorHAnsi" w:cs="Arial"/>
                <w:sz w:val="18"/>
                <w:szCs w:val="18"/>
                <w:lang w:bidi="ar-SA"/>
              </w:rPr>
              <w:t xml:space="preserve">-PFOA </w:t>
            </w:r>
          </w:p>
        </w:tc>
        <w:tc>
          <w:tcPr>
            <w:tcW w:w="425" w:type="dxa"/>
          </w:tcPr>
          <w:p w14:paraId="71F6027C" w14:textId="77777777" w:rsidR="00F8101A" w:rsidRPr="00F8101A" w:rsidRDefault="00F8101A" w:rsidP="00A111E9">
            <w:pPr>
              <w:widowControl/>
              <w:rPr>
                <w:rFonts w:eastAsiaTheme="minorHAnsi" w:cs="Arial"/>
                <w:sz w:val="18"/>
                <w:szCs w:val="18"/>
                <w:lang w:bidi="ar-SA"/>
              </w:rPr>
            </w:pPr>
            <w:r w:rsidRPr="00F8101A">
              <w:rPr>
                <w:rFonts w:asciiTheme="minorHAnsi" w:eastAsiaTheme="minorHAnsi" w:hAnsiTheme="minorHAnsi" w:cs="Arial"/>
                <w:sz w:val="24"/>
                <w:vertAlign w:val="subscript"/>
                <w:lang w:bidi="ar-SA"/>
              </w:rPr>
              <w:sym w:font="Symbol" w:char="F0D6"/>
            </w:r>
          </w:p>
        </w:tc>
      </w:tr>
      <w:tr w:rsidR="00F8101A" w:rsidRPr="00F8101A" w14:paraId="57E90FBC" w14:textId="77777777" w:rsidTr="00386C09">
        <w:trPr>
          <w:trHeight w:val="343"/>
        </w:trPr>
        <w:tc>
          <w:tcPr>
            <w:tcW w:w="1242" w:type="dxa"/>
          </w:tcPr>
          <w:p w14:paraId="3CF32023" w14:textId="77777777" w:rsidR="00F8101A" w:rsidRPr="00F8101A" w:rsidRDefault="00F8101A" w:rsidP="00A111E9">
            <w:pPr>
              <w:widowControl/>
              <w:rPr>
                <w:rFonts w:eastAsiaTheme="minorHAnsi" w:cs="Arial"/>
                <w:sz w:val="18"/>
                <w:szCs w:val="18"/>
                <w:lang w:bidi="ar-SA"/>
              </w:rPr>
            </w:pPr>
            <w:r w:rsidRPr="00F8101A">
              <w:rPr>
                <w:rFonts w:eastAsiaTheme="minorHAnsi" w:cs="Arial"/>
                <w:sz w:val="18"/>
                <w:szCs w:val="18"/>
                <w:lang w:bidi="ar-SA"/>
              </w:rPr>
              <w:t>Olsen</w:t>
            </w:r>
          </w:p>
        </w:tc>
        <w:tc>
          <w:tcPr>
            <w:tcW w:w="851" w:type="dxa"/>
          </w:tcPr>
          <w:p w14:paraId="57872B40" w14:textId="2DE02127" w:rsidR="00F8101A" w:rsidRPr="00F8101A" w:rsidRDefault="00B17E0E" w:rsidP="00A111E9">
            <w:pPr>
              <w:widowControl/>
              <w:rPr>
                <w:rFonts w:eastAsiaTheme="minorHAnsi" w:cs="Arial"/>
                <w:sz w:val="18"/>
                <w:szCs w:val="18"/>
                <w:lang w:bidi="ar-SA"/>
              </w:rPr>
            </w:pPr>
            <w:r>
              <w:rPr>
                <w:rFonts w:eastAsiaTheme="minorHAnsi" w:cs="Arial"/>
                <w:sz w:val="18"/>
                <w:szCs w:val="18"/>
                <w:lang w:bidi="ar-SA"/>
              </w:rPr>
              <w:t>2012</w:t>
            </w:r>
          </w:p>
        </w:tc>
        <w:tc>
          <w:tcPr>
            <w:tcW w:w="1276" w:type="dxa"/>
          </w:tcPr>
          <w:p w14:paraId="77932657" w14:textId="77777777" w:rsidR="00F8101A" w:rsidRPr="00F8101A" w:rsidRDefault="00F8101A" w:rsidP="00A111E9">
            <w:pPr>
              <w:widowControl/>
              <w:rPr>
                <w:rFonts w:eastAsiaTheme="minorHAnsi" w:cs="Arial"/>
                <w:sz w:val="18"/>
                <w:szCs w:val="18"/>
                <w:lang w:bidi="ar-SA"/>
              </w:rPr>
            </w:pPr>
            <w:r w:rsidRPr="00F8101A">
              <w:rPr>
                <w:rFonts w:eastAsiaTheme="minorHAnsi" w:cs="Arial"/>
                <w:sz w:val="18"/>
                <w:szCs w:val="18"/>
                <w:lang w:bidi="ar-SA"/>
              </w:rPr>
              <w:t>Decatur AL, Cottage Grove MN, US</w:t>
            </w:r>
          </w:p>
        </w:tc>
        <w:tc>
          <w:tcPr>
            <w:tcW w:w="1134" w:type="dxa"/>
          </w:tcPr>
          <w:p w14:paraId="6332CD9E" w14:textId="77777777" w:rsidR="00F8101A" w:rsidRPr="00F8101A" w:rsidRDefault="00F8101A" w:rsidP="00A111E9">
            <w:pPr>
              <w:widowControl/>
              <w:rPr>
                <w:rFonts w:eastAsiaTheme="minorHAnsi" w:cs="Arial"/>
                <w:sz w:val="18"/>
                <w:szCs w:val="18"/>
                <w:lang w:bidi="ar-SA"/>
              </w:rPr>
            </w:pPr>
            <w:r w:rsidRPr="00F8101A">
              <w:rPr>
                <w:rFonts w:eastAsiaTheme="minorHAnsi" w:cs="Arial"/>
                <w:sz w:val="18"/>
                <w:szCs w:val="18"/>
                <w:lang w:bidi="ar-SA"/>
              </w:rPr>
              <w:t>M3</w:t>
            </w:r>
          </w:p>
        </w:tc>
        <w:tc>
          <w:tcPr>
            <w:tcW w:w="850" w:type="dxa"/>
          </w:tcPr>
          <w:p w14:paraId="05AE35C0" w14:textId="15ACE638" w:rsidR="00170A03" w:rsidRDefault="00FC4A83" w:rsidP="00A111E9">
            <w:pPr>
              <w:widowControl/>
              <w:rPr>
                <w:rFonts w:eastAsiaTheme="minorHAnsi" w:cs="Arial"/>
                <w:sz w:val="18"/>
                <w:szCs w:val="18"/>
                <w:lang w:bidi="ar-SA"/>
              </w:rPr>
            </w:pPr>
            <w:r>
              <w:rPr>
                <w:rFonts w:eastAsiaTheme="minorHAnsi" w:cs="Arial"/>
                <w:sz w:val="18"/>
                <w:szCs w:val="18"/>
                <w:lang w:bidi="ar-SA"/>
              </w:rPr>
              <w:t>2008-10</w:t>
            </w:r>
          </w:p>
          <w:p w14:paraId="667779F5" w14:textId="108E920F" w:rsidR="00170A03" w:rsidRDefault="00170A03" w:rsidP="00A111E9">
            <w:pPr>
              <w:rPr>
                <w:rFonts w:eastAsiaTheme="minorHAnsi" w:cs="Arial"/>
                <w:sz w:val="18"/>
                <w:szCs w:val="18"/>
                <w:lang w:bidi="ar-SA"/>
              </w:rPr>
            </w:pPr>
          </w:p>
          <w:p w14:paraId="48860C0F" w14:textId="77777777" w:rsidR="00F8101A" w:rsidRPr="00170A03" w:rsidRDefault="00F8101A" w:rsidP="00A111E9">
            <w:pPr>
              <w:rPr>
                <w:rFonts w:eastAsiaTheme="minorHAnsi" w:cs="Arial"/>
                <w:sz w:val="18"/>
                <w:szCs w:val="18"/>
                <w:lang w:bidi="ar-SA"/>
              </w:rPr>
            </w:pPr>
          </w:p>
        </w:tc>
        <w:tc>
          <w:tcPr>
            <w:tcW w:w="1134" w:type="dxa"/>
          </w:tcPr>
          <w:p w14:paraId="3B1F7024" w14:textId="77777777" w:rsidR="00F8101A" w:rsidRPr="00F8101A" w:rsidRDefault="00F8101A" w:rsidP="00A111E9">
            <w:pPr>
              <w:widowControl/>
              <w:rPr>
                <w:rFonts w:eastAsiaTheme="minorHAnsi" w:cs="Arial"/>
                <w:sz w:val="18"/>
                <w:szCs w:val="18"/>
                <w:lang w:bidi="ar-SA"/>
              </w:rPr>
            </w:pPr>
            <w:r w:rsidRPr="00F8101A">
              <w:rPr>
                <w:rFonts w:eastAsiaTheme="minorHAnsi" w:cs="Arial"/>
                <w:sz w:val="18"/>
                <w:szCs w:val="18"/>
                <w:lang w:bidi="ar-SA"/>
              </w:rPr>
              <w:t>Up to 179 depending on analysis</w:t>
            </w:r>
          </w:p>
        </w:tc>
        <w:tc>
          <w:tcPr>
            <w:tcW w:w="2504" w:type="dxa"/>
          </w:tcPr>
          <w:p w14:paraId="401DF8F5" w14:textId="77777777" w:rsidR="00F8101A" w:rsidRPr="00F8101A" w:rsidRDefault="00F8101A" w:rsidP="00A111E9">
            <w:pPr>
              <w:widowControl/>
              <w:autoSpaceDE w:val="0"/>
              <w:autoSpaceDN w:val="0"/>
              <w:adjustRightInd w:val="0"/>
              <w:rPr>
                <w:rFonts w:eastAsiaTheme="minorHAnsi" w:cs="Arial"/>
                <w:color w:val="000000"/>
                <w:sz w:val="18"/>
                <w:szCs w:val="18"/>
                <w:lang w:bidi="ar-SA"/>
              </w:rPr>
            </w:pPr>
            <w:r w:rsidRPr="00F8101A">
              <w:rPr>
                <w:rFonts w:eastAsiaTheme="minorHAnsi" w:cs="Arial"/>
                <w:color w:val="000000"/>
                <w:sz w:val="18"/>
                <w:szCs w:val="18"/>
                <w:lang w:bidi="ar-SA"/>
              </w:rPr>
              <w:t>Mean before-after results for subgroups</w:t>
            </w:r>
          </w:p>
        </w:tc>
        <w:tc>
          <w:tcPr>
            <w:tcW w:w="425" w:type="dxa"/>
          </w:tcPr>
          <w:p w14:paraId="58E4ADB6" w14:textId="77777777" w:rsidR="00F8101A" w:rsidRPr="00F8101A" w:rsidRDefault="00F8101A" w:rsidP="00A111E9">
            <w:pPr>
              <w:widowControl/>
              <w:rPr>
                <w:rFonts w:eastAsiaTheme="minorHAnsi" w:cs="Arial"/>
                <w:sz w:val="18"/>
                <w:szCs w:val="18"/>
                <w:lang w:bidi="ar-SA"/>
              </w:rPr>
            </w:pPr>
            <w:r w:rsidRPr="00F8101A">
              <w:rPr>
                <w:rFonts w:eastAsiaTheme="minorHAnsi" w:cs="Arial"/>
                <w:sz w:val="18"/>
                <w:szCs w:val="18"/>
                <w:lang w:bidi="ar-SA"/>
              </w:rPr>
              <w:t>e</w:t>
            </w:r>
          </w:p>
        </w:tc>
      </w:tr>
    </w:tbl>
    <w:p w14:paraId="4B2C9E29" w14:textId="3072DF31" w:rsidR="0041475C" w:rsidRDefault="0041475C" w:rsidP="0041475C">
      <w:pPr>
        <w:widowControl/>
        <w:rPr>
          <w:rFonts w:eastAsiaTheme="minorHAnsi" w:cs="Arial"/>
          <w:sz w:val="20"/>
          <w:szCs w:val="20"/>
          <w:vertAlign w:val="subscript"/>
          <w:lang w:bidi="ar-SA"/>
        </w:rPr>
      </w:pPr>
      <w:r w:rsidRPr="00F8101A">
        <w:rPr>
          <w:rFonts w:eastAsiaTheme="minorHAnsi" w:cs="Arial"/>
          <w:sz w:val="20"/>
          <w:szCs w:val="20"/>
          <w:vertAlign w:val="subscript"/>
          <w:lang w:bidi="ar-SA"/>
        </w:rPr>
        <w:t xml:space="preserve">Inverted relationship refers to an analysis is which authors used PFAS as the dependent variable and </w:t>
      </w:r>
      <w:r>
        <w:rPr>
          <w:rFonts w:eastAsiaTheme="minorHAnsi" w:cs="Arial"/>
          <w:sz w:val="20"/>
          <w:szCs w:val="20"/>
          <w:vertAlign w:val="subscript"/>
          <w:lang w:bidi="ar-SA"/>
        </w:rPr>
        <w:t>cholesterol</w:t>
      </w:r>
      <w:r w:rsidRPr="00F8101A">
        <w:rPr>
          <w:rFonts w:eastAsiaTheme="minorHAnsi" w:cs="Arial"/>
          <w:sz w:val="20"/>
          <w:szCs w:val="20"/>
          <w:vertAlign w:val="subscript"/>
          <w:lang w:bidi="ar-SA"/>
        </w:rPr>
        <w:t xml:space="preserve"> as the independent</w:t>
      </w:r>
      <w:r>
        <w:rPr>
          <w:rFonts w:eastAsiaTheme="minorHAnsi" w:cs="Arial"/>
          <w:sz w:val="20"/>
          <w:szCs w:val="20"/>
          <w:vertAlign w:val="subscript"/>
          <w:lang w:bidi="ar-SA"/>
        </w:rPr>
        <w:t xml:space="preserve"> </w:t>
      </w:r>
      <w:r w:rsidRPr="00F8101A">
        <w:rPr>
          <w:rFonts w:eastAsiaTheme="minorHAnsi" w:cs="Arial"/>
          <w:sz w:val="20"/>
          <w:szCs w:val="20"/>
          <w:vertAlign w:val="subscript"/>
          <w:lang w:bidi="ar-SA"/>
        </w:rPr>
        <w:t xml:space="preserve">variable and so calculated the change in PFAS per unit change in </w:t>
      </w:r>
      <w:r>
        <w:rPr>
          <w:rFonts w:eastAsiaTheme="minorHAnsi" w:cs="Arial"/>
          <w:sz w:val="20"/>
          <w:szCs w:val="20"/>
          <w:vertAlign w:val="subscript"/>
          <w:lang w:bidi="ar-SA"/>
        </w:rPr>
        <w:t>cholesterol; OR: odds ratio</w:t>
      </w:r>
      <w:r w:rsidR="00231BF2">
        <w:rPr>
          <w:rFonts w:eastAsiaTheme="minorHAnsi" w:cs="Arial"/>
          <w:sz w:val="20"/>
          <w:szCs w:val="20"/>
          <w:vertAlign w:val="subscript"/>
          <w:lang w:bidi="ar-SA"/>
        </w:rPr>
        <w:t>;</w:t>
      </w:r>
    </w:p>
    <w:p w14:paraId="25776E27" w14:textId="77777777" w:rsidR="00DE222C" w:rsidRDefault="00DE222C">
      <w:pPr>
        <w:widowControl/>
        <w:rPr>
          <w:rFonts w:eastAsiaTheme="minorHAnsi"/>
          <w:b/>
          <w:bCs/>
          <w:i/>
          <w:iCs/>
          <w:szCs w:val="22"/>
          <w:lang w:eastAsia="en-AU" w:bidi="ar-SA"/>
        </w:rPr>
      </w:pPr>
      <w:r>
        <w:br w:type="page"/>
      </w:r>
    </w:p>
    <w:p w14:paraId="56F5A4FF" w14:textId="44590090" w:rsidR="00F8101A" w:rsidRPr="00F8101A" w:rsidRDefault="00F8101A" w:rsidP="004264B6">
      <w:pPr>
        <w:pStyle w:val="Heading5"/>
        <w:rPr>
          <w:rFonts w:eastAsiaTheme="minorHAnsi"/>
        </w:rPr>
      </w:pPr>
      <w:r w:rsidRPr="00F8101A">
        <w:rPr>
          <w:rFonts w:eastAsiaTheme="minorHAnsi"/>
        </w:rPr>
        <w:lastRenderedPageBreak/>
        <w:t>Non-independence of some of papers</w:t>
      </w:r>
    </w:p>
    <w:p w14:paraId="3BD3CF61" w14:textId="43DCA686" w:rsidR="00F8101A" w:rsidRPr="00F8101A" w:rsidRDefault="00F8101A" w:rsidP="00A111E9">
      <w:pPr>
        <w:widowControl/>
        <w:rPr>
          <w:rFonts w:eastAsiaTheme="minorHAnsi" w:cstheme="minorBidi"/>
          <w:szCs w:val="22"/>
          <w:lang w:bidi="ar-SA"/>
        </w:rPr>
      </w:pPr>
      <w:r w:rsidRPr="00F8101A">
        <w:rPr>
          <w:rFonts w:eastAsiaTheme="minorHAnsi" w:cstheme="minorBidi"/>
          <w:szCs w:val="22"/>
          <w:lang w:bidi="ar-SA"/>
        </w:rPr>
        <w:t xml:space="preserve">Large studies  often </w:t>
      </w:r>
      <w:r w:rsidR="00231BF2">
        <w:rPr>
          <w:rFonts w:eastAsiaTheme="minorHAnsi" w:cstheme="minorBidi"/>
          <w:szCs w:val="22"/>
          <w:lang w:bidi="ar-SA"/>
        </w:rPr>
        <w:t xml:space="preserve">have results </w:t>
      </w:r>
      <w:r w:rsidRPr="00F8101A">
        <w:rPr>
          <w:rFonts w:eastAsiaTheme="minorHAnsi" w:cstheme="minorBidi"/>
          <w:szCs w:val="22"/>
          <w:lang w:bidi="ar-SA"/>
        </w:rPr>
        <w:t>reported in multiple papers and often have a specific name which allows them to be identified easily. In particular, in cohort studies, the same outcome might be examined several times, each time with a longer follow-up or in relation to different predictors. Cross-sectional studies might examine the same hypothesis in greater detail in selected sub</w:t>
      </w:r>
      <w:r w:rsidR="00CC26CA">
        <w:rPr>
          <w:rFonts w:eastAsiaTheme="minorHAnsi" w:cstheme="minorBidi"/>
          <w:szCs w:val="22"/>
          <w:lang w:bidi="ar-SA"/>
        </w:rPr>
        <w:t>samples</w:t>
      </w:r>
      <w:r w:rsidRPr="00F8101A">
        <w:rPr>
          <w:rFonts w:eastAsiaTheme="minorHAnsi" w:cstheme="minorBidi"/>
          <w:szCs w:val="22"/>
          <w:lang w:bidi="ar-SA"/>
        </w:rPr>
        <w:t xml:space="preserve"> of the population in addition to an overall analysis. </w:t>
      </w:r>
      <w:r w:rsidR="00231BF2">
        <w:rPr>
          <w:rFonts w:eastAsiaTheme="minorHAnsi" w:cstheme="minorBidi"/>
          <w:szCs w:val="22"/>
          <w:lang w:bidi="ar-SA"/>
        </w:rPr>
        <w:t>Furthermore</w:t>
      </w:r>
      <w:r w:rsidRPr="00F8101A">
        <w:rPr>
          <w:rFonts w:eastAsiaTheme="minorHAnsi" w:cstheme="minorBidi"/>
          <w:szCs w:val="22"/>
          <w:lang w:bidi="ar-SA"/>
        </w:rPr>
        <w:t xml:space="preserve">, data from national surveys is often available publicly and more than one researcher might independently analyse it to examine similar or identical questions. The results </w:t>
      </w:r>
      <w:r w:rsidR="00231BF2">
        <w:rPr>
          <w:rFonts w:eastAsiaTheme="minorHAnsi" w:cstheme="minorBidi"/>
          <w:szCs w:val="22"/>
          <w:lang w:bidi="ar-SA"/>
        </w:rPr>
        <w:t>in</w:t>
      </w:r>
      <w:r w:rsidRPr="00F8101A">
        <w:rPr>
          <w:rFonts w:eastAsiaTheme="minorHAnsi" w:cstheme="minorBidi"/>
          <w:szCs w:val="22"/>
          <w:lang w:bidi="ar-SA"/>
        </w:rPr>
        <w:t xml:space="preserve"> papers describing the same study population are not independent because the association is being examined and tested statistically in the same people. They should not be treated as separate ‘studies’ in a review, especially if a quantitative meta-analysis is undertaken (unless statistical techniques to account for non-independence are used). Table </w:t>
      </w:r>
      <w:r w:rsidR="00FB16D3">
        <w:rPr>
          <w:rFonts w:eastAsiaTheme="minorHAnsi" w:cstheme="minorBidi"/>
          <w:szCs w:val="22"/>
          <w:lang w:bidi="ar-SA"/>
        </w:rPr>
        <w:t>A2.</w:t>
      </w:r>
      <w:r w:rsidRPr="00F8101A">
        <w:rPr>
          <w:rFonts w:eastAsiaTheme="minorHAnsi" w:cstheme="minorBidi"/>
          <w:szCs w:val="22"/>
          <w:lang w:bidi="ar-SA"/>
        </w:rPr>
        <w:t xml:space="preserve">4 shows the linkage between papers identified in Tables </w:t>
      </w:r>
      <w:r w:rsidR="00FB16D3">
        <w:rPr>
          <w:rFonts w:eastAsiaTheme="minorHAnsi" w:cstheme="minorBidi"/>
          <w:szCs w:val="22"/>
          <w:lang w:bidi="ar-SA"/>
        </w:rPr>
        <w:t>A2.</w:t>
      </w:r>
      <w:r w:rsidRPr="00F8101A">
        <w:rPr>
          <w:rFonts w:eastAsiaTheme="minorHAnsi" w:cstheme="minorBidi"/>
          <w:szCs w:val="22"/>
          <w:lang w:bidi="ar-SA"/>
        </w:rPr>
        <w:t xml:space="preserve">2 and </w:t>
      </w:r>
      <w:r w:rsidR="00FB16D3">
        <w:rPr>
          <w:rFonts w:eastAsiaTheme="minorHAnsi" w:cstheme="minorBidi"/>
          <w:szCs w:val="22"/>
          <w:lang w:bidi="ar-SA"/>
        </w:rPr>
        <w:t>A2.</w:t>
      </w:r>
      <w:r w:rsidRPr="00F8101A">
        <w:rPr>
          <w:rFonts w:eastAsiaTheme="minorHAnsi" w:cstheme="minorBidi"/>
          <w:szCs w:val="22"/>
          <w:lang w:bidi="ar-SA"/>
        </w:rPr>
        <w:t xml:space="preserve">3 above. </w:t>
      </w:r>
      <w:r w:rsidR="004503B1">
        <w:rPr>
          <w:rFonts w:eastAsiaTheme="minorHAnsi" w:cstheme="minorBidi"/>
          <w:szCs w:val="22"/>
          <w:lang w:bidi="ar-SA"/>
        </w:rPr>
        <w:t>I</w:t>
      </w:r>
      <w:r w:rsidRPr="00F8101A">
        <w:rPr>
          <w:rFonts w:eastAsiaTheme="minorHAnsi" w:cstheme="minorBidi"/>
          <w:szCs w:val="22"/>
          <w:lang w:bidi="ar-SA"/>
        </w:rPr>
        <w:t>t is evident that although there are many papers describing epidemiological analyses, the number of independent populations examined is much smaller.</w:t>
      </w:r>
    </w:p>
    <w:p w14:paraId="4EFD8D20" w14:textId="77777777" w:rsidR="00F8101A" w:rsidRPr="00F8101A" w:rsidRDefault="00F8101A" w:rsidP="00A111E9">
      <w:pPr>
        <w:widowControl/>
        <w:rPr>
          <w:rFonts w:eastAsiaTheme="minorHAnsi" w:cstheme="minorBidi"/>
          <w:szCs w:val="22"/>
          <w:lang w:bidi="ar-SA"/>
        </w:rPr>
      </w:pPr>
    </w:p>
    <w:p w14:paraId="701BF10B" w14:textId="664CCE8E" w:rsidR="00F8101A" w:rsidRPr="00F8101A" w:rsidRDefault="00F8101A" w:rsidP="00A111E9">
      <w:pPr>
        <w:pStyle w:val="FSTableTitle"/>
        <w:rPr>
          <w:rFonts w:eastAsiaTheme="minorHAnsi"/>
        </w:rPr>
      </w:pPr>
      <w:r w:rsidRPr="00F8101A">
        <w:rPr>
          <w:rFonts w:eastAsiaTheme="minorHAnsi"/>
        </w:rPr>
        <w:t xml:space="preserve">Table </w:t>
      </w:r>
      <w:r w:rsidR="00C44F1E">
        <w:rPr>
          <w:rFonts w:eastAsiaTheme="minorHAnsi"/>
          <w:lang w:bidi="ar-SA"/>
        </w:rPr>
        <w:t>A2.</w:t>
      </w:r>
      <w:r w:rsidRPr="00F8101A">
        <w:rPr>
          <w:rFonts w:eastAsiaTheme="minorHAnsi"/>
        </w:rPr>
        <w:t>4: Summary of papers referring to unique study populations</w:t>
      </w:r>
    </w:p>
    <w:tbl>
      <w:tblPr>
        <w:tblStyle w:val="TableGrid10"/>
        <w:tblW w:w="9322" w:type="dxa"/>
        <w:tblLayout w:type="fixed"/>
        <w:tblLook w:val="04A0" w:firstRow="1" w:lastRow="0" w:firstColumn="1" w:lastColumn="0" w:noHBand="0" w:noVBand="1"/>
        <w:tblCaption w:val="Table A2.4: Summary of papers referring to unique study populations"/>
        <w:tblDescription w:val="This table contains data relating to a summary of papers referring to unique study populations."/>
      </w:tblPr>
      <w:tblGrid>
        <w:gridCol w:w="1449"/>
        <w:gridCol w:w="2770"/>
        <w:gridCol w:w="1276"/>
        <w:gridCol w:w="3827"/>
      </w:tblGrid>
      <w:tr w:rsidR="00F8101A" w:rsidRPr="00F8101A" w14:paraId="6A85E873" w14:textId="77777777" w:rsidTr="000830C5">
        <w:trPr>
          <w:tblHeader/>
        </w:trPr>
        <w:tc>
          <w:tcPr>
            <w:tcW w:w="1449" w:type="dxa"/>
            <w:shd w:val="clear" w:color="auto" w:fill="F2F2F2" w:themeFill="background1" w:themeFillShade="F2"/>
          </w:tcPr>
          <w:p w14:paraId="10F3A832" w14:textId="77777777" w:rsidR="00F8101A" w:rsidRPr="00D711DD" w:rsidRDefault="00F8101A" w:rsidP="00A111E9">
            <w:pPr>
              <w:widowControl/>
              <w:rPr>
                <w:rFonts w:eastAsiaTheme="minorHAnsi"/>
                <w:b/>
                <w:sz w:val="20"/>
              </w:rPr>
            </w:pPr>
            <w:r w:rsidRPr="00D711DD">
              <w:rPr>
                <w:rFonts w:eastAsiaTheme="minorHAnsi"/>
                <w:b/>
                <w:sz w:val="20"/>
              </w:rPr>
              <w:t>Study</w:t>
            </w:r>
          </w:p>
        </w:tc>
        <w:tc>
          <w:tcPr>
            <w:tcW w:w="2770" w:type="dxa"/>
            <w:shd w:val="clear" w:color="auto" w:fill="F2F2F2" w:themeFill="background1" w:themeFillShade="F2"/>
          </w:tcPr>
          <w:p w14:paraId="6E883E48" w14:textId="77777777" w:rsidR="00F8101A" w:rsidRPr="000B3C14" w:rsidRDefault="00F8101A" w:rsidP="00A111E9">
            <w:pPr>
              <w:widowControl/>
              <w:rPr>
                <w:rFonts w:eastAsiaTheme="minorHAnsi"/>
                <w:b/>
                <w:sz w:val="20"/>
              </w:rPr>
            </w:pPr>
            <w:r w:rsidRPr="000B3C14">
              <w:rPr>
                <w:rFonts w:eastAsiaTheme="minorHAnsi"/>
                <w:b/>
                <w:sz w:val="20"/>
              </w:rPr>
              <w:t>Brief description of the study</w:t>
            </w:r>
          </w:p>
        </w:tc>
        <w:tc>
          <w:tcPr>
            <w:tcW w:w="1276" w:type="dxa"/>
            <w:shd w:val="clear" w:color="auto" w:fill="F2F2F2" w:themeFill="background1" w:themeFillShade="F2"/>
          </w:tcPr>
          <w:p w14:paraId="7BCA523A" w14:textId="77777777" w:rsidR="00F8101A" w:rsidRPr="000B3C14" w:rsidRDefault="00F8101A" w:rsidP="00A111E9">
            <w:pPr>
              <w:widowControl/>
              <w:rPr>
                <w:rFonts w:eastAsiaTheme="minorHAnsi"/>
                <w:b/>
                <w:sz w:val="20"/>
              </w:rPr>
            </w:pPr>
            <w:r w:rsidRPr="000B3C14">
              <w:rPr>
                <w:rFonts w:eastAsiaTheme="minorHAnsi"/>
                <w:b/>
                <w:sz w:val="20"/>
              </w:rPr>
              <w:t xml:space="preserve">Papers from this study </w:t>
            </w:r>
          </w:p>
        </w:tc>
        <w:tc>
          <w:tcPr>
            <w:tcW w:w="3827" w:type="dxa"/>
            <w:shd w:val="clear" w:color="auto" w:fill="F2F2F2" w:themeFill="background1" w:themeFillShade="F2"/>
          </w:tcPr>
          <w:p w14:paraId="1BC187DD" w14:textId="77777777" w:rsidR="00F8101A" w:rsidRPr="00F6284E" w:rsidRDefault="00F8101A" w:rsidP="00A111E9">
            <w:pPr>
              <w:widowControl/>
              <w:rPr>
                <w:rFonts w:eastAsiaTheme="minorHAnsi"/>
                <w:b/>
                <w:sz w:val="20"/>
              </w:rPr>
            </w:pPr>
            <w:r w:rsidRPr="00F6284E">
              <w:rPr>
                <w:rFonts w:eastAsiaTheme="minorHAnsi"/>
                <w:b/>
                <w:sz w:val="20"/>
              </w:rPr>
              <w:t>Specific features of this paper</w:t>
            </w:r>
          </w:p>
        </w:tc>
      </w:tr>
      <w:tr w:rsidR="00F8101A" w:rsidRPr="00F8101A" w14:paraId="46A5F07C" w14:textId="77777777" w:rsidTr="00D10449">
        <w:trPr>
          <w:trHeight w:val="1026"/>
        </w:trPr>
        <w:tc>
          <w:tcPr>
            <w:tcW w:w="1449" w:type="dxa"/>
            <w:vMerge w:val="restart"/>
          </w:tcPr>
          <w:p w14:paraId="2E336257" w14:textId="77777777" w:rsidR="00F8101A"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t>C8 Health Project</w:t>
            </w:r>
          </w:p>
          <w:p w14:paraId="04505FED" w14:textId="77777777" w:rsidR="00F8101A" w:rsidRPr="00F8101A" w:rsidRDefault="00F8101A" w:rsidP="00A111E9">
            <w:pPr>
              <w:widowControl/>
              <w:rPr>
                <w:rFonts w:eastAsiaTheme="minorHAnsi" w:cs="Arial"/>
                <w:sz w:val="20"/>
                <w:szCs w:val="20"/>
                <w:lang w:bidi="ar-SA"/>
              </w:rPr>
            </w:pPr>
          </w:p>
          <w:p w14:paraId="1A7CC30B" w14:textId="09637BED" w:rsidR="00F8101A"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t>And the</w:t>
            </w:r>
          </w:p>
          <w:p w14:paraId="3F533C76" w14:textId="77777777" w:rsidR="00F8101A" w:rsidRPr="00F8101A" w:rsidRDefault="00F8101A" w:rsidP="00A111E9">
            <w:pPr>
              <w:widowControl/>
              <w:rPr>
                <w:rFonts w:eastAsiaTheme="minorHAnsi" w:cs="Arial"/>
                <w:sz w:val="20"/>
                <w:szCs w:val="20"/>
                <w:lang w:bidi="ar-SA"/>
              </w:rPr>
            </w:pPr>
          </w:p>
          <w:p w14:paraId="77434EEF" w14:textId="77777777" w:rsidR="00F8101A"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t>C8 Community Follow-up Study</w:t>
            </w:r>
          </w:p>
          <w:p w14:paraId="6C381F62" w14:textId="77777777" w:rsidR="00F8101A" w:rsidRPr="00F8101A" w:rsidRDefault="00F8101A" w:rsidP="00A111E9">
            <w:pPr>
              <w:widowControl/>
              <w:rPr>
                <w:rFonts w:eastAsiaTheme="minorHAnsi" w:cs="Arial"/>
                <w:sz w:val="20"/>
                <w:szCs w:val="20"/>
                <w:lang w:bidi="ar-SA"/>
              </w:rPr>
            </w:pPr>
          </w:p>
        </w:tc>
        <w:tc>
          <w:tcPr>
            <w:tcW w:w="2770" w:type="dxa"/>
            <w:vMerge w:val="restart"/>
          </w:tcPr>
          <w:p w14:paraId="4018D67B" w14:textId="37C45DB5" w:rsidR="00F8101A" w:rsidRPr="00F8101A" w:rsidRDefault="00F8101A" w:rsidP="00A111E9">
            <w:pPr>
              <w:widowControl/>
              <w:autoSpaceDE w:val="0"/>
              <w:autoSpaceDN w:val="0"/>
              <w:adjustRightInd w:val="0"/>
              <w:rPr>
                <w:rFonts w:eastAsiaTheme="minorHAnsi" w:cs="Arial"/>
                <w:color w:val="000000"/>
                <w:sz w:val="20"/>
                <w:szCs w:val="20"/>
                <w:lang w:bidi="ar-SA"/>
              </w:rPr>
            </w:pPr>
            <w:r w:rsidRPr="00F8101A">
              <w:rPr>
                <w:rFonts w:eastAsiaTheme="minorHAnsi" w:cs="Arial"/>
                <w:color w:val="000000"/>
                <w:sz w:val="20"/>
                <w:szCs w:val="20"/>
                <w:lang w:bidi="ar-SA"/>
              </w:rPr>
              <w:t>The DuPont Company’s Washington Works factory in West Virginia has used PFOA in the manufacture of fluoropolymers since 1951, with use peaking in the 1990s. Community residents were exposed to high levels of PFOA through ground</w:t>
            </w:r>
            <w:r w:rsidRPr="00F8101A">
              <w:rPr>
                <w:rFonts w:eastAsiaTheme="minorHAnsi" w:cs="Arial"/>
                <w:color w:val="000000"/>
                <w:sz w:val="20"/>
                <w:szCs w:val="20"/>
                <w:lang w:bidi="ar-SA"/>
              </w:rPr>
              <w:softHyphen/>
              <w:t>water contamination (2005–2006 serum median = 28 ng/mL) with residents in cer</w:t>
            </w:r>
            <w:r w:rsidRPr="00F8101A">
              <w:rPr>
                <w:rFonts w:eastAsiaTheme="minorHAnsi" w:cs="Arial"/>
                <w:color w:val="000000"/>
                <w:sz w:val="20"/>
                <w:szCs w:val="20"/>
                <w:lang w:bidi="ar-SA"/>
              </w:rPr>
              <w:softHyphen/>
              <w:t>tain water distribution districts more highly exposed than others. PFOS levels were not elevated compared to background US levels.</w:t>
            </w:r>
          </w:p>
          <w:p w14:paraId="13E90B79" w14:textId="77777777" w:rsidR="00F8101A" w:rsidRPr="00F8101A" w:rsidRDefault="00F8101A" w:rsidP="00A111E9">
            <w:pPr>
              <w:widowControl/>
              <w:rPr>
                <w:rFonts w:eastAsiaTheme="minorHAnsi" w:cs="Arial"/>
                <w:color w:val="000000"/>
                <w:sz w:val="20"/>
                <w:szCs w:val="20"/>
                <w:lang w:bidi="ar-SA"/>
              </w:rPr>
            </w:pPr>
          </w:p>
          <w:p w14:paraId="6E69CBD0" w14:textId="034BBA6E" w:rsidR="00F8101A" w:rsidRPr="00F8101A" w:rsidRDefault="00F8101A" w:rsidP="00A111E9">
            <w:pPr>
              <w:widowControl/>
              <w:autoSpaceDE w:val="0"/>
              <w:autoSpaceDN w:val="0"/>
              <w:adjustRightInd w:val="0"/>
              <w:rPr>
                <w:rFonts w:eastAsiaTheme="minorHAnsi" w:cs="Arial"/>
                <w:color w:val="000000"/>
                <w:sz w:val="20"/>
                <w:szCs w:val="20"/>
                <w:lang w:bidi="ar-SA"/>
              </w:rPr>
            </w:pPr>
            <w:r w:rsidRPr="00F8101A">
              <w:rPr>
                <w:rFonts w:eastAsiaTheme="minorHAnsi" w:cs="Arial"/>
                <w:color w:val="000000"/>
                <w:sz w:val="20"/>
                <w:szCs w:val="20"/>
                <w:lang w:bidi="ar-SA"/>
              </w:rPr>
              <w:t>The C8 Health Project is a survey of 69,030 people exposed to PFOA-contaminated drinking water in specific water districts in Ohio and West Virginia for at least 12 months between 1950 and 2004.</w:t>
            </w:r>
          </w:p>
          <w:p w14:paraId="6BBCE6DE" w14:textId="77777777" w:rsidR="00F8101A" w:rsidRPr="00F8101A" w:rsidRDefault="00F8101A" w:rsidP="00A111E9">
            <w:pPr>
              <w:widowControl/>
              <w:autoSpaceDE w:val="0"/>
              <w:autoSpaceDN w:val="0"/>
              <w:adjustRightInd w:val="0"/>
              <w:rPr>
                <w:rFonts w:eastAsiaTheme="minorHAnsi" w:cs="Arial"/>
                <w:color w:val="000000"/>
                <w:sz w:val="20"/>
                <w:szCs w:val="20"/>
                <w:lang w:bidi="ar-SA"/>
              </w:rPr>
            </w:pPr>
          </w:p>
          <w:p w14:paraId="48F1B9AD" w14:textId="77777777" w:rsidR="00F8101A" w:rsidRPr="00F8101A" w:rsidRDefault="00F8101A" w:rsidP="00A111E9">
            <w:pPr>
              <w:widowControl/>
              <w:rPr>
                <w:rFonts w:eastAsiaTheme="minorHAnsi" w:cs="Arial"/>
                <w:color w:val="000000"/>
                <w:sz w:val="20"/>
                <w:szCs w:val="20"/>
                <w:lang w:bidi="ar-SA"/>
              </w:rPr>
            </w:pPr>
            <w:r w:rsidRPr="00F8101A">
              <w:rPr>
                <w:rFonts w:eastAsiaTheme="minorHAnsi" w:cs="Arial"/>
                <w:color w:val="000000"/>
                <w:sz w:val="20"/>
                <w:szCs w:val="20"/>
                <w:lang w:bidi="ar-SA"/>
              </w:rPr>
              <w:t xml:space="preserve">A subset of participants who were at least 20 years old at the time of enrolment in the </w:t>
            </w:r>
            <w:r w:rsidRPr="00F8101A">
              <w:rPr>
                <w:rFonts w:eastAsiaTheme="minorHAnsi" w:cs="Arial"/>
                <w:color w:val="000000"/>
                <w:sz w:val="20"/>
                <w:szCs w:val="20"/>
                <w:lang w:bidi="ar-SA"/>
              </w:rPr>
              <w:lastRenderedPageBreak/>
              <w:t>C8 Health Project (</w:t>
            </w:r>
            <w:r w:rsidRPr="00F8101A">
              <w:rPr>
                <w:rFonts w:eastAsiaTheme="minorHAnsi" w:cs="Arial"/>
                <w:i/>
                <w:iCs/>
                <w:color w:val="000000"/>
                <w:sz w:val="20"/>
                <w:szCs w:val="20"/>
                <w:lang w:bidi="ar-SA"/>
              </w:rPr>
              <w:t xml:space="preserve">n </w:t>
            </w:r>
            <w:r w:rsidRPr="00F8101A">
              <w:rPr>
                <w:rFonts w:eastAsiaTheme="minorHAnsi" w:cs="Arial"/>
                <w:color w:val="000000"/>
                <w:sz w:val="20"/>
                <w:szCs w:val="20"/>
                <w:lang w:bidi="ar-SA"/>
              </w:rPr>
              <w:t>= 32,254) participated in one or two follow-up interviews between 2008 and 2011</w:t>
            </w:r>
          </w:p>
          <w:p w14:paraId="7C6CF264" w14:textId="77777777" w:rsidR="00F8101A" w:rsidRPr="00F8101A" w:rsidRDefault="00F8101A" w:rsidP="00A111E9">
            <w:pPr>
              <w:widowControl/>
              <w:rPr>
                <w:rFonts w:eastAsiaTheme="minorHAnsi" w:cs="Arial"/>
                <w:color w:val="000000"/>
                <w:sz w:val="20"/>
                <w:szCs w:val="20"/>
                <w:lang w:bidi="ar-SA"/>
              </w:rPr>
            </w:pPr>
          </w:p>
          <w:p w14:paraId="5FD453A1" w14:textId="0B3BC0FE" w:rsidR="00F8101A" w:rsidRDefault="00F8101A" w:rsidP="00A111E9">
            <w:pPr>
              <w:widowControl/>
              <w:rPr>
                <w:rFonts w:eastAsiaTheme="minorHAnsi" w:cs="Arial"/>
                <w:color w:val="000000"/>
                <w:sz w:val="20"/>
                <w:szCs w:val="20"/>
                <w:lang w:bidi="ar-SA"/>
              </w:rPr>
            </w:pPr>
            <w:r w:rsidRPr="00F8101A">
              <w:rPr>
                <w:rFonts w:eastAsiaTheme="minorHAnsi" w:cs="Arial"/>
                <w:color w:val="000000"/>
                <w:sz w:val="20"/>
                <w:szCs w:val="20"/>
                <w:lang w:bidi="ar-SA"/>
              </w:rPr>
              <w:t>Serum concentrations of both PFOA and PFOS decreased between 2005-6 and 2010.</w:t>
            </w:r>
          </w:p>
          <w:p w14:paraId="7A9BF0A4" w14:textId="77777777" w:rsidR="00F8101A" w:rsidRPr="00F8101A" w:rsidRDefault="00F8101A" w:rsidP="00A111E9">
            <w:pPr>
              <w:widowControl/>
              <w:rPr>
                <w:rFonts w:eastAsiaTheme="minorHAnsi" w:cs="Arial"/>
                <w:sz w:val="20"/>
                <w:szCs w:val="20"/>
                <w:lang w:bidi="ar-SA"/>
              </w:rPr>
            </w:pPr>
          </w:p>
        </w:tc>
        <w:tc>
          <w:tcPr>
            <w:tcW w:w="1276" w:type="dxa"/>
            <w:tcBorders>
              <w:bottom w:val="single" w:sz="4" w:space="0" w:color="auto"/>
            </w:tcBorders>
            <w:vAlign w:val="center"/>
          </w:tcPr>
          <w:p w14:paraId="26AC2781" w14:textId="37D741E2" w:rsidR="00F8101A"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lastRenderedPageBreak/>
              <w:t>Emmett</w:t>
            </w:r>
            <w:r w:rsidR="005728AF">
              <w:rPr>
                <w:rFonts w:eastAsiaTheme="minorHAnsi" w:cs="Arial"/>
                <w:sz w:val="20"/>
                <w:szCs w:val="20"/>
                <w:lang w:bidi="ar-SA"/>
              </w:rPr>
              <w:t>,</w:t>
            </w:r>
            <w:r w:rsidRPr="00F8101A">
              <w:rPr>
                <w:rFonts w:eastAsiaTheme="minorHAnsi" w:cs="Arial"/>
                <w:sz w:val="20"/>
                <w:szCs w:val="20"/>
                <w:lang w:bidi="ar-SA"/>
              </w:rPr>
              <w:t xml:space="preserve"> 2006</w:t>
            </w:r>
          </w:p>
        </w:tc>
        <w:tc>
          <w:tcPr>
            <w:tcW w:w="3827" w:type="dxa"/>
            <w:tcBorders>
              <w:bottom w:val="single" w:sz="4" w:space="0" w:color="auto"/>
            </w:tcBorders>
          </w:tcPr>
          <w:p w14:paraId="35743870" w14:textId="5F70CCEC" w:rsidR="00F8101A"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t>A random sample of residents of the Little Hocking water district plus a volunteer sample tested between July 2004-February 2005. Although this study is not part of the C8 Health Project, Little Hocking is one of 6 water districts included in the</w:t>
            </w:r>
            <w:r w:rsidR="00AC51E8">
              <w:rPr>
                <w:rFonts w:eastAsiaTheme="minorHAnsi" w:cs="Arial"/>
                <w:sz w:val="20"/>
                <w:szCs w:val="20"/>
                <w:lang w:bidi="ar-SA"/>
              </w:rPr>
              <w:t xml:space="preserve"> C8 study area (Steenland </w:t>
            </w:r>
            <w:r w:rsidR="00180A32" w:rsidRPr="00180A32">
              <w:rPr>
                <w:rFonts w:eastAsiaTheme="minorHAnsi" w:cs="Arial"/>
                <w:i/>
                <w:sz w:val="20"/>
                <w:szCs w:val="20"/>
                <w:lang w:bidi="ar-SA"/>
              </w:rPr>
              <w:t xml:space="preserve">et al. </w:t>
            </w:r>
            <w:r w:rsidR="00CC50B8">
              <w:rPr>
                <w:rFonts w:eastAsiaTheme="minorHAnsi" w:cs="Arial"/>
                <w:sz w:val="20"/>
                <w:szCs w:val="20"/>
                <w:lang w:bidi="ar-SA"/>
              </w:rPr>
              <w:t xml:space="preserve"> </w:t>
            </w:r>
            <w:r w:rsidRPr="00F8101A">
              <w:rPr>
                <w:rFonts w:eastAsiaTheme="minorHAnsi" w:cs="Arial"/>
                <w:sz w:val="20"/>
                <w:szCs w:val="20"/>
                <w:lang w:bidi="ar-SA"/>
              </w:rPr>
              <w:t xml:space="preserve">2009). Hence the overlap between participants in this study and the C8 </w:t>
            </w:r>
            <w:r w:rsidR="00060C53">
              <w:rPr>
                <w:rFonts w:eastAsiaTheme="minorHAnsi" w:cs="Arial"/>
                <w:sz w:val="20"/>
                <w:szCs w:val="20"/>
                <w:lang w:bidi="ar-SA"/>
              </w:rPr>
              <w:t>s</w:t>
            </w:r>
            <w:r w:rsidRPr="00F8101A">
              <w:rPr>
                <w:rFonts w:eastAsiaTheme="minorHAnsi" w:cs="Arial"/>
                <w:sz w:val="20"/>
                <w:szCs w:val="20"/>
                <w:lang w:bidi="ar-SA"/>
              </w:rPr>
              <w:t xml:space="preserve">tudy is unknown </w:t>
            </w:r>
          </w:p>
        </w:tc>
      </w:tr>
      <w:tr w:rsidR="00F8101A" w:rsidRPr="00F8101A" w14:paraId="3CDF7A9A" w14:textId="77777777" w:rsidTr="00D95A2C">
        <w:trPr>
          <w:trHeight w:val="1026"/>
        </w:trPr>
        <w:tc>
          <w:tcPr>
            <w:tcW w:w="1449" w:type="dxa"/>
            <w:vMerge/>
          </w:tcPr>
          <w:p w14:paraId="6707B00B" w14:textId="77777777" w:rsidR="00F8101A" w:rsidRPr="00F8101A" w:rsidRDefault="00F8101A" w:rsidP="00A111E9">
            <w:pPr>
              <w:widowControl/>
              <w:rPr>
                <w:rFonts w:eastAsiaTheme="minorHAnsi" w:cs="Arial"/>
                <w:sz w:val="20"/>
                <w:szCs w:val="20"/>
                <w:lang w:bidi="ar-SA"/>
              </w:rPr>
            </w:pPr>
          </w:p>
        </w:tc>
        <w:tc>
          <w:tcPr>
            <w:tcW w:w="2770" w:type="dxa"/>
            <w:vMerge/>
          </w:tcPr>
          <w:p w14:paraId="2CF97E86" w14:textId="77777777" w:rsidR="00F8101A" w:rsidRPr="00F8101A" w:rsidRDefault="00F8101A" w:rsidP="00A111E9">
            <w:pPr>
              <w:widowControl/>
              <w:autoSpaceDE w:val="0"/>
              <w:autoSpaceDN w:val="0"/>
              <w:adjustRightInd w:val="0"/>
              <w:rPr>
                <w:rFonts w:eastAsiaTheme="minorHAnsi" w:cs="Arial"/>
                <w:color w:val="000000"/>
                <w:sz w:val="20"/>
                <w:szCs w:val="20"/>
                <w:lang w:bidi="ar-SA"/>
              </w:rPr>
            </w:pPr>
          </w:p>
        </w:tc>
        <w:tc>
          <w:tcPr>
            <w:tcW w:w="1276" w:type="dxa"/>
          </w:tcPr>
          <w:p w14:paraId="7A779D10" w14:textId="191FF801" w:rsidR="00F8101A"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t>Fitz-Simon</w:t>
            </w:r>
            <w:r w:rsidR="005728AF">
              <w:rPr>
                <w:rFonts w:eastAsiaTheme="minorHAnsi" w:cs="Arial"/>
                <w:sz w:val="20"/>
                <w:szCs w:val="20"/>
                <w:lang w:bidi="ar-SA"/>
              </w:rPr>
              <w:t>,</w:t>
            </w:r>
            <w:r w:rsidRPr="00F8101A">
              <w:rPr>
                <w:rFonts w:eastAsiaTheme="minorHAnsi" w:cs="Arial"/>
                <w:sz w:val="20"/>
                <w:szCs w:val="20"/>
                <w:lang w:bidi="ar-SA"/>
              </w:rPr>
              <w:t xml:space="preserve"> 2013</w:t>
            </w:r>
          </w:p>
        </w:tc>
        <w:tc>
          <w:tcPr>
            <w:tcW w:w="3827" w:type="dxa"/>
          </w:tcPr>
          <w:p w14:paraId="59D16C77" w14:textId="77777777" w:rsidR="00F8101A" w:rsidRPr="00F8101A" w:rsidRDefault="00F8101A" w:rsidP="00A111E9">
            <w:pPr>
              <w:widowControl/>
              <w:rPr>
                <w:rFonts w:eastAsiaTheme="minorHAnsi" w:cs="Arial"/>
                <w:color w:val="000000"/>
                <w:sz w:val="20"/>
                <w:szCs w:val="20"/>
                <w:lang w:bidi="ar-SA"/>
              </w:rPr>
            </w:pPr>
            <w:r w:rsidRPr="00F8101A">
              <w:rPr>
                <w:rFonts w:eastAsiaTheme="minorHAnsi" w:cs="Arial"/>
                <w:color w:val="000000"/>
                <w:sz w:val="20"/>
                <w:szCs w:val="20"/>
                <w:lang w:bidi="ar-SA"/>
              </w:rPr>
              <w:t>Adults from C8 not taking cholesterol lowering medication; PFOS and PFOA</w:t>
            </w:r>
          </w:p>
          <w:p w14:paraId="523B0299" w14:textId="77777777" w:rsidR="00F8101A" w:rsidRPr="00F8101A" w:rsidRDefault="00F8101A" w:rsidP="00A111E9">
            <w:pPr>
              <w:widowControl/>
              <w:rPr>
                <w:rFonts w:eastAsiaTheme="minorHAnsi" w:cs="Arial"/>
                <w:sz w:val="20"/>
                <w:szCs w:val="20"/>
                <w:lang w:bidi="ar-SA"/>
              </w:rPr>
            </w:pPr>
            <w:r w:rsidRPr="00F8101A">
              <w:rPr>
                <w:rFonts w:eastAsiaTheme="minorHAnsi" w:cs="Arial"/>
                <w:color w:val="000000"/>
                <w:sz w:val="20"/>
                <w:szCs w:val="20"/>
                <w:lang w:bidi="ar-SA"/>
              </w:rPr>
              <w:t>Only LDL-C examined, only 10% were fasting at both blood draws; 47% of subjects were non-fasting at blood draw</w:t>
            </w:r>
          </w:p>
        </w:tc>
      </w:tr>
      <w:tr w:rsidR="00F8101A" w:rsidRPr="00F8101A" w14:paraId="02604D82" w14:textId="77777777" w:rsidTr="00D95A2C">
        <w:trPr>
          <w:trHeight w:val="1026"/>
        </w:trPr>
        <w:tc>
          <w:tcPr>
            <w:tcW w:w="1449" w:type="dxa"/>
            <w:vMerge/>
          </w:tcPr>
          <w:p w14:paraId="646F49AC" w14:textId="77777777" w:rsidR="00F8101A" w:rsidRPr="00F8101A" w:rsidRDefault="00F8101A" w:rsidP="00A111E9">
            <w:pPr>
              <w:widowControl/>
              <w:rPr>
                <w:rFonts w:eastAsiaTheme="minorHAnsi" w:cs="Arial"/>
                <w:sz w:val="20"/>
                <w:szCs w:val="20"/>
                <w:lang w:bidi="ar-SA"/>
              </w:rPr>
            </w:pPr>
          </w:p>
        </w:tc>
        <w:tc>
          <w:tcPr>
            <w:tcW w:w="2770" w:type="dxa"/>
            <w:vMerge/>
          </w:tcPr>
          <w:p w14:paraId="1C6A429F" w14:textId="77777777" w:rsidR="00F8101A" w:rsidRPr="00F8101A" w:rsidRDefault="00F8101A" w:rsidP="00A111E9">
            <w:pPr>
              <w:widowControl/>
              <w:autoSpaceDE w:val="0"/>
              <w:autoSpaceDN w:val="0"/>
              <w:adjustRightInd w:val="0"/>
              <w:rPr>
                <w:rFonts w:eastAsiaTheme="minorHAnsi" w:cs="Arial"/>
                <w:color w:val="000000"/>
                <w:sz w:val="20"/>
                <w:szCs w:val="20"/>
                <w:lang w:bidi="ar-SA"/>
              </w:rPr>
            </w:pPr>
          </w:p>
        </w:tc>
        <w:tc>
          <w:tcPr>
            <w:tcW w:w="1276" w:type="dxa"/>
          </w:tcPr>
          <w:p w14:paraId="338AA042" w14:textId="289BDA58" w:rsidR="00F8101A"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t>Sakr,</w:t>
            </w:r>
            <w:r w:rsidR="00231BF2">
              <w:rPr>
                <w:rFonts w:eastAsiaTheme="minorHAnsi" w:cs="Arial"/>
                <w:sz w:val="20"/>
                <w:szCs w:val="20"/>
                <w:lang w:bidi="ar-SA"/>
              </w:rPr>
              <w:t xml:space="preserve"> </w:t>
            </w:r>
            <w:r w:rsidRPr="00F8101A">
              <w:rPr>
                <w:rFonts w:eastAsiaTheme="minorHAnsi" w:cs="Arial"/>
                <w:sz w:val="20"/>
                <w:szCs w:val="20"/>
                <w:lang w:bidi="ar-SA"/>
              </w:rPr>
              <w:t>2007a</w:t>
            </w:r>
          </w:p>
        </w:tc>
        <w:tc>
          <w:tcPr>
            <w:tcW w:w="3827" w:type="dxa"/>
          </w:tcPr>
          <w:p w14:paraId="6832DD4A" w14:textId="77777777" w:rsidR="00F8101A" w:rsidRPr="00F8101A" w:rsidRDefault="00F8101A" w:rsidP="00A111E9">
            <w:pPr>
              <w:widowControl/>
              <w:rPr>
                <w:rFonts w:eastAsiaTheme="minorHAnsi" w:cs="Arial"/>
                <w:sz w:val="20"/>
                <w:szCs w:val="20"/>
                <w:lang w:bidi="ar-SA"/>
              </w:rPr>
            </w:pPr>
            <w:r w:rsidRPr="00F8101A">
              <w:rPr>
                <w:rFonts w:eastAsiaTheme="minorHAnsi" w:cs="Arial"/>
                <w:color w:val="000000"/>
                <w:sz w:val="20"/>
                <w:szCs w:val="20"/>
                <w:lang w:bidi="ar-SA"/>
              </w:rPr>
              <w:t>Cross-sectional study of workers at the facility; data collected 2004</w:t>
            </w:r>
          </w:p>
        </w:tc>
      </w:tr>
      <w:tr w:rsidR="00F8101A" w:rsidRPr="00F8101A" w14:paraId="57793D02" w14:textId="77777777" w:rsidTr="00D95A2C">
        <w:tc>
          <w:tcPr>
            <w:tcW w:w="1449" w:type="dxa"/>
            <w:vMerge/>
          </w:tcPr>
          <w:p w14:paraId="438A1DBD" w14:textId="77777777" w:rsidR="00F8101A" w:rsidRPr="00F8101A" w:rsidRDefault="00F8101A" w:rsidP="00A111E9">
            <w:pPr>
              <w:widowControl/>
              <w:rPr>
                <w:rFonts w:eastAsiaTheme="minorHAnsi" w:cs="Arial"/>
                <w:sz w:val="20"/>
                <w:szCs w:val="20"/>
                <w:lang w:bidi="ar-SA"/>
              </w:rPr>
            </w:pPr>
          </w:p>
        </w:tc>
        <w:tc>
          <w:tcPr>
            <w:tcW w:w="2770" w:type="dxa"/>
            <w:vMerge/>
          </w:tcPr>
          <w:p w14:paraId="24A3A744" w14:textId="77777777" w:rsidR="00F8101A" w:rsidRPr="00F8101A" w:rsidRDefault="00F8101A" w:rsidP="00A111E9">
            <w:pPr>
              <w:widowControl/>
              <w:rPr>
                <w:rFonts w:eastAsiaTheme="minorHAnsi" w:cs="Arial"/>
                <w:sz w:val="20"/>
                <w:szCs w:val="20"/>
                <w:lang w:bidi="ar-SA"/>
              </w:rPr>
            </w:pPr>
          </w:p>
        </w:tc>
        <w:tc>
          <w:tcPr>
            <w:tcW w:w="1276" w:type="dxa"/>
          </w:tcPr>
          <w:p w14:paraId="3554B0BF" w14:textId="77777777" w:rsidR="00F8101A"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t>Sakr, 2007b</w:t>
            </w:r>
          </w:p>
        </w:tc>
        <w:tc>
          <w:tcPr>
            <w:tcW w:w="3827" w:type="dxa"/>
          </w:tcPr>
          <w:p w14:paraId="0D0D6F73" w14:textId="77777777" w:rsidR="00F8101A" w:rsidRPr="00F8101A" w:rsidRDefault="00F8101A" w:rsidP="00A111E9">
            <w:pPr>
              <w:widowControl/>
              <w:rPr>
                <w:rFonts w:eastAsiaTheme="minorHAnsi" w:cs="Arial"/>
                <w:color w:val="000000"/>
                <w:sz w:val="20"/>
                <w:szCs w:val="20"/>
                <w:lang w:bidi="ar-SA"/>
              </w:rPr>
            </w:pPr>
            <w:r w:rsidRPr="00F8101A">
              <w:rPr>
                <w:rFonts w:eastAsiaTheme="minorHAnsi" w:cs="Arial"/>
                <w:sz w:val="20"/>
                <w:szCs w:val="20"/>
                <w:lang w:bidi="ar-SA"/>
              </w:rPr>
              <w:t>Longitudinal study of the worker cohort</w:t>
            </w:r>
          </w:p>
        </w:tc>
      </w:tr>
      <w:tr w:rsidR="00F8101A" w:rsidRPr="00F8101A" w14:paraId="227DBBBB" w14:textId="77777777" w:rsidTr="00D95A2C">
        <w:tc>
          <w:tcPr>
            <w:tcW w:w="1449" w:type="dxa"/>
            <w:vMerge/>
          </w:tcPr>
          <w:p w14:paraId="61265256" w14:textId="77777777" w:rsidR="00F8101A" w:rsidRPr="00F8101A" w:rsidRDefault="00F8101A" w:rsidP="00A111E9">
            <w:pPr>
              <w:widowControl/>
              <w:rPr>
                <w:rFonts w:eastAsiaTheme="minorHAnsi" w:cs="Arial"/>
                <w:sz w:val="20"/>
                <w:szCs w:val="20"/>
                <w:lang w:bidi="ar-SA"/>
              </w:rPr>
            </w:pPr>
          </w:p>
        </w:tc>
        <w:tc>
          <w:tcPr>
            <w:tcW w:w="2770" w:type="dxa"/>
            <w:vMerge/>
          </w:tcPr>
          <w:p w14:paraId="16319A91" w14:textId="77777777" w:rsidR="00F8101A" w:rsidRPr="00F8101A" w:rsidRDefault="00F8101A" w:rsidP="00A111E9">
            <w:pPr>
              <w:widowControl/>
              <w:rPr>
                <w:rFonts w:eastAsiaTheme="minorHAnsi" w:cs="Arial"/>
                <w:sz w:val="20"/>
                <w:szCs w:val="20"/>
                <w:lang w:bidi="ar-SA"/>
              </w:rPr>
            </w:pPr>
          </w:p>
        </w:tc>
        <w:tc>
          <w:tcPr>
            <w:tcW w:w="1276" w:type="dxa"/>
          </w:tcPr>
          <w:p w14:paraId="080360AE" w14:textId="77777777" w:rsidR="00F8101A"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t>Frisbee, 2010</w:t>
            </w:r>
          </w:p>
        </w:tc>
        <w:tc>
          <w:tcPr>
            <w:tcW w:w="3827" w:type="dxa"/>
          </w:tcPr>
          <w:p w14:paraId="04A0A8F0" w14:textId="77777777" w:rsidR="00F8101A" w:rsidRPr="00F8101A" w:rsidRDefault="00F8101A" w:rsidP="00A111E9">
            <w:pPr>
              <w:widowControl/>
              <w:autoSpaceDE w:val="0"/>
              <w:autoSpaceDN w:val="0"/>
              <w:adjustRightInd w:val="0"/>
              <w:rPr>
                <w:rFonts w:eastAsiaTheme="minorHAnsi" w:cs="Arial"/>
                <w:color w:val="000000"/>
                <w:sz w:val="20"/>
                <w:szCs w:val="20"/>
                <w:lang w:bidi="ar-SA"/>
              </w:rPr>
            </w:pPr>
            <w:r w:rsidRPr="00F8101A">
              <w:rPr>
                <w:rFonts w:eastAsiaTheme="minorHAnsi" w:cs="Arial"/>
                <w:sz w:val="20"/>
                <w:szCs w:val="20"/>
                <w:lang w:bidi="ar-SA"/>
              </w:rPr>
              <w:t>Children aged 1-&lt;18 years, baseline measurements; total-C, LDL-C and HDL-C examined</w:t>
            </w:r>
          </w:p>
        </w:tc>
      </w:tr>
      <w:tr w:rsidR="00F8101A" w:rsidRPr="00F8101A" w14:paraId="6CD3B403" w14:textId="77777777" w:rsidTr="00D95A2C">
        <w:tc>
          <w:tcPr>
            <w:tcW w:w="1449" w:type="dxa"/>
            <w:vMerge/>
          </w:tcPr>
          <w:p w14:paraId="4C97C5C8" w14:textId="77777777" w:rsidR="00F8101A" w:rsidRPr="00F8101A" w:rsidRDefault="00F8101A" w:rsidP="00A111E9">
            <w:pPr>
              <w:widowControl/>
              <w:rPr>
                <w:rFonts w:eastAsiaTheme="minorHAnsi" w:cs="Arial"/>
                <w:sz w:val="20"/>
                <w:szCs w:val="20"/>
                <w:lang w:bidi="ar-SA"/>
              </w:rPr>
            </w:pPr>
          </w:p>
        </w:tc>
        <w:tc>
          <w:tcPr>
            <w:tcW w:w="2770" w:type="dxa"/>
            <w:vMerge/>
          </w:tcPr>
          <w:p w14:paraId="758B631E" w14:textId="77777777" w:rsidR="00F8101A" w:rsidRPr="00F8101A" w:rsidRDefault="00F8101A" w:rsidP="00A111E9">
            <w:pPr>
              <w:widowControl/>
              <w:rPr>
                <w:rFonts w:eastAsiaTheme="minorHAnsi" w:cs="Arial"/>
                <w:sz w:val="20"/>
                <w:szCs w:val="20"/>
                <w:lang w:bidi="ar-SA"/>
              </w:rPr>
            </w:pPr>
          </w:p>
        </w:tc>
        <w:tc>
          <w:tcPr>
            <w:tcW w:w="1276" w:type="dxa"/>
          </w:tcPr>
          <w:p w14:paraId="7F667174" w14:textId="5807570A" w:rsidR="00F8101A"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t>Steenland</w:t>
            </w:r>
            <w:r w:rsidR="005728AF">
              <w:rPr>
                <w:rFonts w:eastAsiaTheme="minorHAnsi" w:cs="Arial"/>
                <w:sz w:val="20"/>
                <w:szCs w:val="20"/>
                <w:lang w:bidi="ar-SA"/>
              </w:rPr>
              <w:t>,</w:t>
            </w:r>
            <w:r w:rsidRPr="00F8101A">
              <w:rPr>
                <w:rFonts w:eastAsiaTheme="minorHAnsi" w:cs="Arial"/>
                <w:sz w:val="20"/>
                <w:szCs w:val="20"/>
                <w:lang w:bidi="ar-SA"/>
              </w:rPr>
              <w:t xml:space="preserve"> 2009</w:t>
            </w:r>
          </w:p>
        </w:tc>
        <w:tc>
          <w:tcPr>
            <w:tcW w:w="3827" w:type="dxa"/>
          </w:tcPr>
          <w:p w14:paraId="181B5D37" w14:textId="77777777" w:rsidR="00F8101A"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t>Adults 18 and older, baseline measurements; total-C, LDL-C and HDL-C examined</w:t>
            </w:r>
          </w:p>
        </w:tc>
      </w:tr>
      <w:tr w:rsidR="00F8101A" w:rsidRPr="00F8101A" w14:paraId="38790571" w14:textId="77777777" w:rsidTr="00D95A2C">
        <w:tc>
          <w:tcPr>
            <w:tcW w:w="1449" w:type="dxa"/>
            <w:vMerge/>
          </w:tcPr>
          <w:p w14:paraId="10ADB74D" w14:textId="77777777" w:rsidR="00F8101A" w:rsidRPr="00F8101A" w:rsidRDefault="00F8101A" w:rsidP="00A111E9">
            <w:pPr>
              <w:widowControl/>
              <w:rPr>
                <w:rFonts w:eastAsiaTheme="minorHAnsi" w:cs="Arial"/>
                <w:sz w:val="20"/>
                <w:szCs w:val="20"/>
                <w:lang w:bidi="ar-SA"/>
              </w:rPr>
            </w:pPr>
          </w:p>
        </w:tc>
        <w:tc>
          <w:tcPr>
            <w:tcW w:w="2770" w:type="dxa"/>
            <w:vMerge/>
          </w:tcPr>
          <w:p w14:paraId="735DC123" w14:textId="77777777" w:rsidR="00F8101A" w:rsidRPr="00F8101A" w:rsidRDefault="00F8101A" w:rsidP="00A111E9">
            <w:pPr>
              <w:widowControl/>
              <w:rPr>
                <w:rFonts w:eastAsiaTheme="minorHAnsi" w:cs="Arial"/>
                <w:sz w:val="20"/>
                <w:szCs w:val="20"/>
                <w:lang w:bidi="ar-SA"/>
              </w:rPr>
            </w:pPr>
          </w:p>
        </w:tc>
        <w:tc>
          <w:tcPr>
            <w:tcW w:w="1276" w:type="dxa"/>
          </w:tcPr>
          <w:p w14:paraId="6EC75672" w14:textId="77777777" w:rsidR="00F8101A"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t>Winquist, 2013</w:t>
            </w:r>
          </w:p>
        </w:tc>
        <w:tc>
          <w:tcPr>
            <w:tcW w:w="3827" w:type="dxa"/>
          </w:tcPr>
          <w:p w14:paraId="704C417B" w14:textId="0F5A29C1" w:rsidR="00F8101A"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t>Adults only. PFOA only. Community and worker cohorts; retrospective and prospective analyses of incidence hypercholesterolaemia</w:t>
            </w:r>
          </w:p>
        </w:tc>
      </w:tr>
      <w:tr w:rsidR="00F8101A" w:rsidRPr="00F8101A" w14:paraId="75B70792" w14:textId="77777777" w:rsidTr="00D95A2C">
        <w:trPr>
          <w:trHeight w:val="1380"/>
        </w:trPr>
        <w:tc>
          <w:tcPr>
            <w:tcW w:w="1449" w:type="dxa"/>
            <w:vMerge/>
          </w:tcPr>
          <w:p w14:paraId="15D2A056" w14:textId="77777777" w:rsidR="00F8101A" w:rsidRPr="00F8101A" w:rsidRDefault="00F8101A" w:rsidP="00A111E9">
            <w:pPr>
              <w:widowControl/>
              <w:rPr>
                <w:rFonts w:eastAsiaTheme="minorHAnsi" w:cs="Arial"/>
                <w:sz w:val="20"/>
                <w:szCs w:val="20"/>
                <w:lang w:bidi="ar-SA"/>
              </w:rPr>
            </w:pPr>
          </w:p>
        </w:tc>
        <w:tc>
          <w:tcPr>
            <w:tcW w:w="2770" w:type="dxa"/>
            <w:vMerge/>
          </w:tcPr>
          <w:p w14:paraId="4C5DC661" w14:textId="77777777" w:rsidR="00F8101A" w:rsidRPr="00F8101A" w:rsidRDefault="00F8101A" w:rsidP="00A111E9">
            <w:pPr>
              <w:widowControl/>
              <w:rPr>
                <w:rFonts w:eastAsiaTheme="minorHAnsi" w:cs="Arial"/>
                <w:sz w:val="20"/>
                <w:szCs w:val="20"/>
                <w:lang w:bidi="ar-SA"/>
              </w:rPr>
            </w:pPr>
          </w:p>
        </w:tc>
        <w:tc>
          <w:tcPr>
            <w:tcW w:w="1276" w:type="dxa"/>
          </w:tcPr>
          <w:p w14:paraId="4490477D" w14:textId="77777777" w:rsidR="00F8101A"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t>Steenland, 2015</w:t>
            </w:r>
          </w:p>
        </w:tc>
        <w:tc>
          <w:tcPr>
            <w:tcW w:w="3827" w:type="dxa"/>
          </w:tcPr>
          <w:p w14:paraId="6E134E7D" w14:textId="11009095" w:rsidR="00F8101A"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t xml:space="preserve">Incidence of various health conditions in 2845 workers at the facility; cumulative exposure based on drinking water, emissions, occupational exposure </w:t>
            </w:r>
            <w:r w:rsidR="00104C8E" w:rsidRPr="00F8101A">
              <w:rPr>
                <w:rFonts w:eastAsiaTheme="minorHAnsi" w:cs="Arial"/>
                <w:sz w:val="20"/>
                <w:szCs w:val="20"/>
                <w:lang w:bidi="ar-SA"/>
              </w:rPr>
              <w:t>etc.</w:t>
            </w:r>
            <w:r w:rsidRPr="00F8101A">
              <w:rPr>
                <w:rFonts w:eastAsiaTheme="minorHAnsi" w:cs="Arial"/>
                <w:sz w:val="20"/>
                <w:szCs w:val="20"/>
                <w:lang w:bidi="ar-SA"/>
              </w:rPr>
              <w:t>; no validation of self-report of incidence of hypercholesterolaemia</w:t>
            </w:r>
          </w:p>
        </w:tc>
      </w:tr>
      <w:tr w:rsidR="00F8101A" w:rsidRPr="00F8101A" w14:paraId="7F097528" w14:textId="77777777" w:rsidTr="00D95A2C">
        <w:tc>
          <w:tcPr>
            <w:tcW w:w="1449" w:type="dxa"/>
            <w:vMerge w:val="restart"/>
          </w:tcPr>
          <w:p w14:paraId="001A661C" w14:textId="77777777" w:rsidR="00386C09"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lastRenderedPageBreak/>
              <w:t>3M</w:t>
            </w:r>
          </w:p>
          <w:p w14:paraId="42E2B176" w14:textId="54850D59" w:rsidR="00F8101A" w:rsidRPr="00F8101A" w:rsidRDefault="00F8101A" w:rsidP="00A111E9">
            <w:pPr>
              <w:rPr>
                <w:rFonts w:eastAsiaTheme="minorHAnsi" w:cs="Arial"/>
                <w:sz w:val="20"/>
                <w:szCs w:val="20"/>
                <w:lang w:bidi="ar-SA"/>
              </w:rPr>
            </w:pPr>
          </w:p>
        </w:tc>
        <w:tc>
          <w:tcPr>
            <w:tcW w:w="2770" w:type="dxa"/>
            <w:vMerge w:val="restart"/>
          </w:tcPr>
          <w:p w14:paraId="0DBED629" w14:textId="5DB751D5" w:rsidR="00F8101A"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t>Monitoring in the 3M facilities in Cottage Grove, MN, Decatur AL in the US and Antwerp in Belgium.</w:t>
            </w:r>
          </w:p>
          <w:p w14:paraId="6D2A91A6" w14:textId="77777777" w:rsidR="00F8101A" w:rsidRPr="00F8101A" w:rsidRDefault="00F8101A" w:rsidP="00A111E9">
            <w:pPr>
              <w:widowControl/>
              <w:rPr>
                <w:rFonts w:eastAsiaTheme="minorHAnsi" w:cs="Arial"/>
                <w:sz w:val="20"/>
                <w:szCs w:val="20"/>
                <w:lang w:bidi="ar-SA"/>
              </w:rPr>
            </w:pPr>
          </w:p>
          <w:p w14:paraId="15227456" w14:textId="77777777" w:rsidR="00F8101A" w:rsidRPr="00F8101A" w:rsidRDefault="00F8101A" w:rsidP="00A111E9">
            <w:pPr>
              <w:widowControl/>
              <w:rPr>
                <w:rFonts w:eastAsiaTheme="minorHAnsi" w:cs="Arial"/>
                <w:sz w:val="20"/>
                <w:szCs w:val="20"/>
                <w:lang w:bidi="ar-SA"/>
              </w:rPr>
            </w:pPr>
          </w:p>
          <w:p w14:paraId="65D5B16D" w14:textId="77777777" w:rsidR="00F8101A" w:rsidRDefault="00F8101A" w:rsidP="00A111E9">
            <w:pPr>
              <w:widowControl/>
              <w:rPr>
                <w:rFonts w:eastAsiaTheme="minorHAnsi" w:cs="Arial"/>
                <w:sz w:val="20"/>
                <w:szCs w:val="20"/>
                <w:lang w:bidi="ar-SA"/>
              </w:rPr>
            </w:pPr>
            <w:r w:rsidRPr="00F8101A">
              <w:rPr>
                <w:rFonts w:eastAsiaTheme="minorHAnsi" w:cs="Arial"/>
                <w:sz w:val="20"/>
                <w:szCs w:val="20"/>
                <w:lang w:bidi="ar-SA"/>
              </w:rPr>
              <w:t>Surveys were done in 1995, 1997.</w:t>
            </w:r>
          </w:p>
          <w:p w14:paraId="243DE939" w14:textId="77777777" w:rsidR="00170A03" w:rsidRPr="00F8101A" w:rsidRDefault="00170A03" w:rsidP="00A111E9">
            <w:pPr>
              <w:widowControl/>
              <w:rPr>
                <w:rFonts w:eastAsiaTheme="minorHAnsi" w:cs="Arial"/>
                <w:sz w:val="20"/>
                <w:szCs w:val="20"/>
                <w:lang w:bidi="ar-SA"/>
              </w:rPr>
            </w:pPr>
          </w:p>
          <w:p w14:paraId="248FC263" w14:textId="5CCB50F0" w:rsidR="00386C09"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t>In 2000, workers were invited to participate in a voluntary fluorochemical medical surveillance program</w:t>
            </w:r>
          </w:p>
          <w:p w14:paraId="5204868D" w14:textId="00726DE7" w:rsidR="00F8101A" w:rsidRPr="00F8101A" w:rsidRDefault="00F8101A" w:rsidP="00A111E9">
            <w:pPr>
              <w:rPr>
                <w:rFonts w:eastAsiaTheme="minorHAnsi" w:cs="Arial"/>
                <w:sz w:val="20"/>
                <w:szCs w:val="20"/>
                <w:lang w:bidi="ar-SA"/>
              </w:rPr>
            </w:pPr>
          </w:p>
        </w:tc>
        <w:tc>
          <w:tcPr>
            <w:tcW w:w="1276" w:type="dxa"/>
          </w:tcPr>
          <w:p w14:paraId="12AAB4E7" w14:textId="249E6F8B" w:rsidR="00F8101A"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t>Ubel</w:t>
            </w:r>
            <w:r w:rsidR="00386C09">
              <w:rPr>
                <w:rFonts w:eastAsiaTheme="minorHAnsi" w:cs="Arial"/>
                <w:sz w:val="20"/>
                <w:szCs w:val="20"/>
                <w:lang w:bidi="ar-SA"/>
              </w:rPr>
              <w:t>, 1980</w:t>
            </w:r>
          </w:p>
        </w:tc>
        <w:tc>
          <w:tcPr>
            <w:tcW w:w="3827" w:type="dxa"/>
          </w:tcPr>
          <w:p w14:paraId="39EAC80D" w14:textId="77777777" w:rsidR="00F8101A"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t>Not yet accessed</w:t>
            </w:r>
          </w:p>
        </w:tc>
      </w:tr>
      <w:tr w:rsidR="00F8101A" w:rsidRPr="00F8101A" w14:paraId="77C8B591" w14:textId="77777777" w:rsidTr="00D95A2C">
        <w:tc>
          <w:tcPr>
            <w:tcW w:w="1449" w:type="dxa"/>
            <w:vMerge/>
          </w:tcPr>
          <w:p w14:paraId="28E088F4" w14:textId="20599797" w:rsidR="00F8101A" w:rsidRPr="00F8101A" w:rsidRDefault="00F8101A" w:rsidP="00A111E9">
            <w:pPr>
              <w:rPr>
                <w:rFonts w:eastAsiaTheme="minorHAnsi" w:cs="Arial"/>
                <w:sz w:val="20"/>
                <w:szCs w:val="20"/>
                <w:lang w:bidi="ar-SA"/>
              </w:rPr>
            </w:pPr>
          </w:p>
        </w:tc>
        <w:tc>
          <w:tcPr>
            <w:tcW w:w="2770" w:type="dxa"/>
            <w:vMerge/>
          </w:tcPr>
          <w:p w14:paraId="48F2B110" w14:textId="0C7AA882" w:rsidR="00F8101A" w:rsidRPr="00F8101A" w:rsidRDefault="00F8101A" w:rsidP="00A111E9">
            <w:pPr>
              <w:rPr>
                <w:rFonts w:eastAsiaTheme="minorHAnsi" w:cs="Arial"/>
                <w:sz w:val="20"/>
                <w:szCs w:val="20"/>
                <w:lang w:bidi="ar-SA"/>
              </w:rPr>
            </w:pPr>
          </w:p>
        </w:tc>
        <w:tc>
          <w:tcPr>
            <w:tcW w:w="1276" w:type="dxa"/>
          </w:tcPr>
          <w:p w14:paraId="217F8409" w14:textId="4B883178" w:rsidR="00F8101A"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t>Gilliland</w:t>
            </w:r>
            <w:r w:rsidR="00386C09">
              <w:rPr>
                <w:rFonts w:eastAsiaTheme="minorHAnsi" w:cs="Arial"/>
                <w:sz w:val="20"/>
                <w:szCs w:val="20"/>
                <w:lang w:bidi="ar-SA"/>
              </w:rPr>
              <w:t>, 1996</w:t>
            </w:r>
          </w:p>
        </w:tc>
        <w:tc>
          <w:tcPr>
            <w:tcW w:w="3827" w:type="dxa"/>
          </w:tcPr>
          <w:p w14:paraId="33F92337" w14:textId="77777777" w:rsidR="00F8101A"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t>Data collection 1985-9</w:t>
            </w:r>
          </w:p>
        </w:tc>
      </w:tr>
      <w:tr w:rsidR="00F8101A" w:rsidRPr="00F8101A" w14:paraId="538FE226" w14:textId="77777777" w:rsidTr="00D95A2C">
        <w:tc>
          <w:tcPr>
            <w:tcW w:w="1449" w:type="dxa"/>
            <w:vMerge/>
          </w:tcPr>
          <w:p w14:paraId="69EA6B8B" w14:textId="6D8BC24A" w:rsidR="00F8101A" w:rsidRPr="00F8101A" w:rsidRDefault="00F8101A" w:rsidP="00A111E9">
            <w:pPr>
              <w:rPr>
                <w:rFonts w:eastAsiaTheme="minorHAnsi" w:cs="Arial"/>
                <w:sz w:val="20"/>
                <w:szCs w:val="20"/>
                <w:lang w:bidi="ar-SA"/>
              </w:rPr>
            </w:pPr>
          </w:p>
        </w:tc>
        <w:tc>
          <w:tcPr>
            <w:tcW w:w="2770" w:type="dxa"/>
            <w:vMerge/>
          </w:tcPr>
          <w:p w14:paraId="612C94AD" w14:textId="780CE8BB" w:rsidR="00F8101A" w:rsidRPr="00F8101A" w:rsidRDefault="00F8101A" w:rsidP="00A111E9">
            <w:pPr>
              <w:rPr>
                <w:rFonts w:eastAsiaTheme="minorHAnsi" w:cs="Arial"/>
                <w:sz w:val="20"/>
                <w:szCs w:val="20"/>
                <w:lang w:bidi="ar-SA"/>
              </w:rPr>
            </w:pPr>
          </w:p>
        </w:tc>
        <w:tc>
          <w:tcPr>
            <w:tcW w:w="1276" w:type="dxa"/>
          </w:tcPr>
          <w:p w14:paraId="0650A13E" w14:textId="7BCEBB0A" w:rsidR="00F8101A"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t>Olsen</w:t>
            </w:r>
            <w:r w:rsidR="00170A03">
              <w:rPr>
                <w:rFonts w:eastAsiaTheme="minorHAnsi" w:cs="Arial"/>
                <w:sz w:val="20"/>
                <w:szCs w:val="20"/>
                <w:lang w:bidi="ar-SA"/>
              </w:rPr>
              <w:t>,</w:t>
            </w:r>
            <w:r w:rsidRPr="00F8101A">
              <w:rPr>
                <w:rFonts w:eastAsiaTheme="minorHAnsi" w:cs="Arial"/>
                <w:sz w:val="20"/>
                <w:szCs w:val="20"/>
                <w:lang w:bidi="ar-SA"/>
              </w:rPr>
              <w:t xml:space="preserve"> 1998</w:t>
            </w:r>
          </w:p>
        </w:tc>
        <w:tc>
          <w:tcPr>
            <w:tcW w:w="3827" w:type="dxa"/>
          </w:tcPr>
          <w:p w14:paraId="5E468CAE" w14:textId="77777777" w:rsidR="00F8101A"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t>Not yet accessed</w:t>
            </w:r>
          </w:p>
        </w:tc>
      </w:tr>
      <w:tr w:rsidR="00F8101A" w:rsidRPr="00F8101A" w14:paraId="02C62FB4" w14:textId="77777777" w:rsidTr="00D95A2C">
        <w:tc>
          <w:tcPr>
            <w:tcW w:w="1449" w:type="dxa"/>
            <w:vMerge/>
          </w:tcPr>
          <w:p w14:paraId="51E3BE12" w14:textId="35FC0A92" w:rsidR="00F8101A" w:rsidRPr="00F8101A" w:rsidRDefault="00F8101A" w:rsidP="00A111E9">
            <w:pPr>
              <w:rPr>
                <w:rFonts w:eastAsiaTheme="minorHAnsi" w:cs="Arial"/>
                <w:sz w:val="20"/>
                <w:szCs w:val="20"/>
                <w:lang w:bidi="ar-SA"/>
              </w:rPr>
            </w:pPr>
          </w:p>
        </w:tc>
        <w:tc>
          <w:tcPr>
            <w:tcW w:w="2770" w:type="dxa"/>
            <w:vMerge/>
          </w:tcPr>
          <w:p w14:paraId="28FF9274" w14:textId="0E07A2B7" w:rsidR="00F8101A" w:rsidRPr="00F8101A" w:rsidRDefault="00F8101A" w:rsidP="00A111E9">
            <w:pPr>
              <w:rPr>
                <w:rFonts w:eastAsiaTheme="minorHAnsi" w:cs="Arial"/>
                <w:sz w:val="20"/>
                <w:szCs w:val="20"/>
                <w:lang w:bidi="ar-SA"/>
              </w:rPr>
            </w:pPr>
          </w:p>
        </w:tc>
        <w:tc>
          <w:tcPr>
            <w:tcW w:w="1276" w:type="dxa"/>
          </w:tcPr>
          <w:p w14:paraId="6FA244C7" w14:textId="2A43E82A" w:rsidR="00F8101A"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t>Olsen</w:t>
            </w:r>
            <w:r w:rsidR="00170A03">
              <w:rPr>
                <w:rFonts w:eastAsiaTheme="minorHAnsi" w:cs="Arial"/>
                <w:sz w:val="20"/>
                <w:szCs w:val="20"/>
                <w:lang w:bidi="ar-SA"/>
              </w:rPr>
              <w:t>,</w:t>
            </w:r>
            <w:r w:rsidRPr="00F8101A">
              <w:rPr>
                <w:rFonts w:eastAsiaTheme="minorHAnsi" w:cs="Arial"/>
                <w:sz w:val="20"/>
                <w:szCs w:val="20"/>
                <w:lang w:bidi="ar-SA"/>
              </w:rPr>
              <w:t xml:space="preserve"> 2000</w:t>
            </w:r>
          </w:p>
        </w:tc>
        <w:tc>
          <w:tcPr>
            <w:tcW w:w="3827" w:type="dxa"/>
          </w:tcPr>
          <w:p w14:paraId="3F3581ED" w14:textId="12584DE6" w:rsidR="00F8101A"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t xml:space="preserve">An additional round of data collection (1997) plus data from Olsen </w:t>
            </w:r>
            <w:r w:rsidR="00180A32" w:rsidRPr="00180A32">
              <w:rPr>
                <w:rFonts w:eastAsiaTheme="minorHAnsi" w:cs="Arial"/>
                <w:i/>
                <w:sz w:val="20"/>
                <w:szCs w:val="20"/>
                <w:lang w:bidi="ar-SA"/>
              </w:rPr>
              <w:t xml:space="preserve">et al. </w:t>
            </w:r>
            <w:r w:rsidR="00CC50B8">
              <w:rPr>
                <w:rFonts w:eastAsiaTheme="minorHAnsi" w:cs="Arial"/>
                <w:sz w:val="20"/>
                <w:szCs w:val="20"/>
                <w:lang w:bidi="ar-SA"/>
              </w:rPr>
              <w:t xml:space="preserve"> </w:t>
            </w:r>
            <w:r w:rsidRPr="00F8101A">
              <w:rPr>
                <w:rFonts w:eastAsiaTheme="minorHAnsi" w:cs="Arial"/>
                <w:sz w:val="20"/>
                <w:szCs w:val="20"/>
                <w:lang w:bidi="ar-SA"/>
              </w:rPr>
              <w:t>1998</w:t>
            </w:r>
          </w:p>
        </w:tc>
      </w:tr>
      <w:tr w:rsidR="00F8101A" w:rsidRPr="00F8101A" w14:paraId="4604AC79" w14:textId="77777777" w:rsidTr="00D95A2C">
        <w:tc>
          <w:tcPr>
            <w:tcW w:w="1449" w:type="dxa"/>
            <w:vMerge/>
          </w:tcPr>
          <w:p w14:paraId="0820AE43" w14:textId="45B48E66" w:rsidR="00F8101A" w:rsidRPr="00F8101A" w:rsidRDefault="00F8101A" w:rsidP="00A111E9">
            <w:pPr>
              <w:rPr>
                <w:rFonts w:eastAsiaTheme="minorHAnsi" w:cs="Arial"/>
                <w:sz w:val="20"/>
                <w:szCs w:val="20"/>
                <w:lang w:bidi="ar-SA"/>
              </w:rPr>
            </w:pPr>
          </w:p>
        </w:tc>
        <w:tc>
          <w:tcPr>
            <w:tcW w:w="2770" w:type="dxa"/>
            <w:vMerge/>
          </w:tcPr>
          <w:p w14:paraId="68C9F7B6" w14:textId="2F381307" w:rsidR="00F8101A" w:rsidRPr="00F8101A" w:rsidRDefault="00F8101A" w:rsidP="00A111E9">
            <w:pPr>
              <w:rPr>
                <w:rFonts w:eastAsiaTheme="minorHAnsi" w:cs="Arial"/>
                <w:sz w:val="20"/>
                <w:szCs w:val="20"/>
                <w:lang w:bidi="ar-SA"/>
              </w:rPr>
            </w:pPr>
          </w:p>
        </w:tc>
        <w:tc>
          <w:tcPr>
            <w:tcW w:w="1276" w:type="dxa"/>
          </w:tcPr>
          <w:p w14:paraId="2730FADE" w14:textId="7D920D9B" w:rsidR="00F8101A"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t>Olsen</w:t>
            </w:r>
            <w:r w:rsidR="005728AF">
              <w:rPr>
                <w:rFonts w:eastAsiaTheme="minorHAnsi" w:cs="Arial"/>
                <w:sz w:val="20"/>
                <w:szCs w:val="20"/>
                <w:lang w:bidi="ar-SA"/>
              </w:rPr>
              <w:t>,</w:t>
            </w:r>
            <w:r w:rsidRPr="00F8101A">
              <w:rPr>
                <w:rFonts w:eastAsiaTheme="minorHAnsi" w:cs="Arial"/>
                <w:sz w:val="20"/>
                <w:szCs w:val="20"/>
                <w:lang w:bidi="ar-SA"/>
              </w:rPr>
              <w:t xml:space="preserve"> 2001a</w:t>
            </w:r>
          </w:p>
        </w:tc>
        <w:tc>
          <w:tcPr>
            <w:tcW w:w="3827" w:type="dxa"/>
          </w:tcPr>
          <w:p w14:paraId="1D14E793" w14:textId="08864426" w:rsidR="00F8101A"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t xml:space="preserve">Document not accessed. </w:t>
            </w:r>
            <w:r w:rsidR="005F0BF9">
              <w:rPr>
                <w:rFonts w:eastAsiaTheme="minorHAnsi" w:cs="Arial"/>
                <w:sz w:val="20"/>
                <w:szCs w:val="20"/>
                <w:lang w:bidi="ar-SA"/>
              </w:rPr>
              <w:t xml:space="preserve">US </w:t>
            </w:r>
            <w:r w:rsidRPr="00F8101A">
              <w:rPr>
                <w:rFonts w:eastAsiaTheme="minorHAnsi" w:cs="Arial"/>
                <w:sz w:val="20"/>
                <w:szCs w:val="20"/>
                <w:lang w:bidi="ar-SA"/>
              </w:rPr>
              <w:t>EPA (2016b) indicates that material covered in this rep</w:t>
            </w:r>
            <w:r w:rsidR="00AC51E8">
              <w:rPr>
                <w:rFonts w:eastAsiaTheme="minorHAnsi" w:cs="Arial"/>
                <w:sz w:val="20"/>
                <w:szCs w:val="20"/>
                <w:lang w:bidi="ar-SA"/>
              </w:rPr>
              <w:t xml:space="preserve">ort is described in Olsen </w:t>
            </w:r>
            <w:r w:rsidR="00180A32" w:rsidRPr="00180A32">
              <w:rPr>
                <w:rFonts w:eastAsiaTheme="minorHAnsi" w:cs="Arial"/>
                <w:i/>
                <w:sz w:val="20"/>
                <w:szCs w:val="20"/>
                <w:lang w:bidi="ar-SA"/>
              </w:rPr>
              <w:t xml:space="preserve">et al. </w:t>
            </w:r>
            <w:r w:rsidR="00CC50B8">
              <w:rPr>
                <w:rFonts w:eastAsiaTheme="minorHAnsi" w:cs="Arial"/>
                <w:sz w:val="20"/>
                <w:szCs w:val="20"/>
                <w:lang w:bidi="ar-SA"/>
              </w:rPr>
              <w:t xml:space="preserve"> </w:t>
            </w:r>
            <w:r w:rsidRPr="00F8101A">
              <w:rPr>
                <w:rFonts w:eastAsiaTheme="minorHAnsi" w:cs="Arial"/>
                <w:sz w:val="20"/>
                <w:szCs w:val="20"/>
                <w:lang w:bidi="ar-SA"/>
              </w:rPr>
              <w:t>2003a</w:t>
            </w:r>
          </w:p>
        </w:tc>
      </w:tr>
      <w:tr w:rsidR="00F8101A" w:rsidRPr="00F8101A" w14:paraId="5C8FC212" w14:textId="77777777" w:rsidTr="00D95A2C">
        <w:tc>
          <w:tcPr>
            <w:tcW w:w="1449" w:type="dxa"/>
            <w:vMerge/>
          </w:tcPr>
          <w:p w14:paraId="3C596F08" w14:textId="6D77FF3A" w:rsidR="00F8101A" w:rsidRPr="00F8101A" w:rsidRDefault="00F8101A" w:rsidP="00A111E9">
            <w:pPr>
              <w:rPr>
                <w:rFonts w:eastAsiaTheme="minorHAnsi" w:cs="Arial"/>
                <w:sz w:val="20"/>
                <w:szCs w:val="20"/>
                <w:lang w:bidi="ar-SA"/>
              </w:rPr>
            </w:pPr>
          </w:p>
        </w:tc>
        <w:tc>
          <w:tcPr>
            <w:tcW w:w="2770" w:type="dxa"/>
            <w:vMerge/>
          </w:tcPr>
          <w:p w14:paraId="4E054DE9" w14:textId="399276A8" w:rsidR="00F8101A" w:rsidRPr="00F8101A" w:rsidRDefault="00F8101A" w:rsidP="00A111E9">
            <w:pPr>
              <w:rPr>
                <w:rFonts w:eastAsiaTheme="minorHAnsi" w:cs="Arial"/>
                <w:sz w:val="20"/>
                <w:szCs w:val="20"/>
                <w:lang w:bidi="ar-SA"/>
              </w:rPr>
            </w:pPr>
          </w:p>
        </w:tc>
        <w:tc>
          <w:tcPr>
            <w:tcW w:w="1276" w:type="dxa"/>
          </w:tcPr>
          <w:p w14:paraId="3C8AD2D7" w14:textId="672989F1" w:rsidR="00F8101A"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t>Olsen</w:t>
            </w:r>
            <w:r w:rsidR="005728AF">
              <w:rPr>
                <w:rFonts w:eastAsiaTheme="minorHAnsi" w:cs="Arial"/>
                <w:sz w:val="20"/>
                <w:szCs w:val="20"/>
                <w:lang w:bidi="ar-SA"/>
              </w:rPr>
              <w:t>,</w:t>
            </w:r>
            <w:r w:rsidRPr="00F8101A">
              <w:rPr>
                <w:rFonts w:eastAsiaTheme="minorHAnsi" w:cs="Arial"/>
                <w:sz w:val="20"/>
                <w:szCs w:val="20"/>
                <w:lang w:bidi="ar-SA"/>
              </w:rPr>
              <w:t xml:space="preserve"> 2001b</w:t>
            </w:r>
          </w:p>
        </w:tc>
        <w:tc>
          <w:tcPr>
            <w:tcW w:w="3827" w:type="dxa"/>
          </w:tcPr>
          <w:p w14:paraId="34C74ADD" w14:textId="397AAFCB" w:rsidR="00F8101A"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t xml:space="preserve">Document not accessed. </w:t>
            </w:r>
            <w:r w:rsidR="005F0BF9">
              <w:rPr>
                <w:rFonts w:eastAsiaTheme="minorHAnsi" w:cs="Arial"/>
                <w:sz w:val="20"/>
                <w:szCs w:val="20"/>
                <w:lang w:bidi="ar-SA"/>
              </w:rPr>
              <w:t xml:space="preserve">US </w:t>
            </w:r>
            <w:r w:rsidRPr="00F8101A">
              <w:rPr>
                <w:rFonts w:eastAsiaTheme="minorHAnsi" w:cs="Arial"/>
                <w:sz w:val="20"/>
                <w:szCs w:val="20"/>
                <w:lang w:bidi="ar-SA"/>
              </w:rPr>
              <w:t>EPA (2016b) indicates that material covered in this report is described in Ol</w:t>
            </w:r>
            <w:r w:rsidR="00AC51E8">
              <w:rPr>
                <w:rFonts w:eastAsiaTheme="minorHAnsi" w:cs="Arial"/>
                <w:sz w:val="20"/>
                <w:szCs w:val="20"/>
                <w:lang w:bidi="ar-SA"/>
              </w:rPr>
              <w:t xml:space="preserve">sen </w:t>
            </w:r>
            <w:r w:rsidR="00180A32" w:rsidRPr="00180A32">
              <w:rPr>
                <w:rFonts w:eastAsiaTheme="minorHAnsi" w:cs="Arial"/>
                <w:i/>
                <w:sz w:val="20"/>
                <w:szCs w:val="20"/>
                <w:lang w:bidi="ar-SA"/>
              </w:rPr>
              <w:t xml:space="preserve">et al. </w:t>
            </w:r>
            <w:r w:rsidR="00CC50B8">
              <w:rPr>
                <w:rFonts w:eastAsiaTheme="minorHAnsi" w:cs="Arial"/>
                <w:sz w:val="20"/>
                <w:szCs w:val="20"/>
                <w:lang w:bidi="ar-SA"/>
              </w:rPr>
              <w:t xml:space="preserve"> </w:t>
            </w:r>
            <w:r w:rsidRPr="00F8101A">
              <w:rPr>
                <w:rFonts w:eastAsiaTheme="minorHAnsi" w:cs="Arial"/>
                <w:sz w:val="20"/>
                <w:szCs w:val="20"/>
                <w:lang w:bidi="ar-SA"/>
              </w:rPr>
              <w:t>2003a</w:t>
            </w:r>
          </w:p>
        </w:tc>
      </w:tr>
      <w:tr w:rsidR="00F8101A" w:rsidRPr="00F8101A" w14:paraId="4C3E7FA9" w14:textId="77777777" w:rsidTr="00D95A2C">
        <w:tc>
          <w:tcPr>
            <w:tcW w:w="1449" w:type="dxa"/>
            <w:vMerge/>
          </w:tcPr>
          <w:p w14:paraId="121518D0" w14:textId="0B44CF86" w:rsidR="00F8101A" w:rsidRPr="00F8101A" w:rsidRDefault="00F8101A" w:rsidP="00A111E9">
            <w:pPr>
              <w:rPr>
                <w:rFonts w:eastAsiaTheme="minorHAnsi" w:cs="Arial"/>
                <w:sz w:val="20"/>
                <w:szCs w:val="20"/>
                <w:lang w:bidi="ar-SA"/>
              </w:rPr>
            </w:pPr>
          </w:p>
        </w:tc>
        <w:tc>
          <w:tcPr>
            <w:tcW w:w="2770" w:type="dxa"/>
            <w:vMerge/>
          </w:tcPr>
          <w:p w14:paraId="4E65A918" w14:textId="0ABADB52" w:rsidR="00F8101A" w:rsidRPr="00F8101A" w:rsidRDefault="00F8101A" w:rsidP="00A111E9">
            <w:pPr>
              <w:rPr>
                <w:rFonts w:eastAsiaTheme="minorHAnsi" w:cs="Arial"/>
                <w:sz w:val="20"/>
                <w:szCs w:val="20"/>
                <w:lang w:bidi="ar-SA"/>
              </w:rPr>
            </w:pPr>
          </w:p>
        </w:tc>
        <w:tc>
          <w:tcPr>
            <w:tcW w:w="1276" w:type="dxa"/>
          </w:tcPr>
          <w:p w14:paraId="2D14ED23" w14:textId="42625F16" w:rsidR="00F8101A"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t>Olsen</w:t>
            </w:r>
            <w:r w:rsidR="005728AF">
              <w:rPr>
                <w:rFonts w:eastAsiaTheme="minorHAnsi" w:cs="Arial"/>
                <w:sz w:val="20"/>
                <w:szCs w:val="20"/>
                <w:lang w:bidi="ar-SA"/>
              </w:rPr>
              <w:t>,</w:t>
            </w:r>
            <w:r w:rsidRPr="00F8101A">
              <w:rPr>
                <w:rFonts w:eastAsiaTheme="minorHAnsi" w:cs="Arial"/>
                <w:sz w:val="20"/>
                <w:szCs w:val="20"/>
                <w:lang w:bidi="ar-SA"/>
              </w:rPr>
              <w:t xml:space="preserve"> 2003</w:t>
            </w:r>
            <w:r w:rsidR="004A2464">
              <w:rPr>
                <w:rFonts w:eastAsiaTheme="minorHAnsi" w:cs="Arial"/>
                <w:sz w:val="20"/>
                <w:szCs w:val="20"/>
                <w:lang w:bidi="ar-SA"/>
              </w:rPr>
              <w:t>a</w:t>
            </w:r>
          </w:p>
        </w:tc>
        <w:tc>
          <w:tcPr>
            <w:tcW w:w="3827" w:type="dxa"/>
          </w:tcPr>
          <w:p w14:paraId="16DA3561" w14:textId="77777777" w:rsidR="00F8101A"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t>2 locations, data collected in 2000</w:t>
            </w:r>
          </w:p>
        </w:tc>
      </w:tr>
      <w:tr w:rsidR="00F8101A" w:rsidRPr="00F8101A" w14:paraId="1B4D86FE" w14:textId="77777777" w:rsidTr="00D95A2C">
        <w:tc>
          <w:tcPr>
            <w:tcW w:w="1449" w:type="dxa"/>
            <w:vMerge/>
          </w:tcPr>
          <w:p w14:paraId="14B463CB" w14:textId="5376488C" w:rsidR="00F8101A" w:rsidRPr="00F8101A" w:rsidRDefault="00F8101A" w:rsidP="00A111E9">
            <w:pPr>
              <w:rPr>
                <w:rFonts w:eastAsiaTheme="minorHAnsi" w:cs="Arial"/>
                <w:sz w:val="20"/>
                <w:szCs w:val="20"/>
                <w:lang w:bidi="ar-SA"/>
              </w:rPr>
            </w:pPr>
          </w:p>
        </w:tc>
        <w:tc>
          <w:tcPr>
            <w:tcW w:w="2770" w:type="dxa"/>
            <w:vMerge/>
          </w:tcPr>
          <w:p w14:paraId="67651DB6" w14:textId="493F34B9" w:rsidR="00F8101A" w:rsidRPr="00F8101A" w:rsidRDefault="00F8101A" w:rsidP="00A111E9">
            <w:pPr>
              <w:rPr>
                <w:rFonts w:eastAsiaTheme="minorHAnsi" w:cs="Arial"/>
                <w:sz w:val="20"/>
                <w:szCs w:val="20"/>
                <w:lang w:bidi="ar-SA"/>
              </w:rPr>
            </w:pPr>
          </w:p>
        </w:tc>
        <w:tc>
          <w:tcPr>
            <w:tcW w:w="1276" w:type="dxa"/>
          </w:tcPr>
          <w:p w14:paraId="2D31CD73" w14:textId="0A784100" w:rsidR="00F8101A"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t>Olsen</w:t>
            </w:r>
            <w:r w:rsidR="005728AF">
              <w:rPr>
                <w:rFonts w:eastAsiaTheme="minorHAnsi" w:cs="Arial"/>
                <w:sz w:val="20"/>
                <w:szCs w:val="20"/>
                <w:lang w:bidi="ar-SA"/>
              </w:rPr>
              <w:t>,</w:t>
            </w:r>
            <w:r w:rsidRPr="00F8101A">
              <w:rPr>
                <w:rFonts w:eastAsiaTheme="minorHAnsi" w:cs="Arial"/>
                <w:sz w:val="20"/>
                <w:szCs w:val="20"/>
                <w:lang w:bidi="ar-SA"/>
              </w:rPr>
              <w:t xml:space="preserve"> </w:t>
            </w:r>
            <w:r w:rsidR="004A2464">
              <w:rPr>
                <w:rFonts w:eastAsiaTheme="minorHAnsi" w:cs="Arial"/>
                <w:sz w:val="20"/>
                <w:szCs w:val="20"/>
                <w:lang w:bidi="ar-SA"/>
              </w:rPr>
              <w:t>2003b</w:t>
            </w:r>
          </w:p>
        </w:tc>
        <w:tc>
          <w:tcPr>
            <w:tcW w:w="3827" w:type="dxa"/>
          </w:tcPr>
          <w:p w14:paraId="6AA371B1" w14:textId="564C2114" w:rsidR="00F8101A"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t>Cannot access document. Olsen (2007) refers to this as reporting on the 2000 data worker survey from the third location, n=74</w:t>
            </w:r>
          </w:p>
        </w:tc>
      </w:tr>
      <w:tr w:rsidR="00F8101A" w:rsidRPr="00F8101A" w14:paraId="64789A0E" w14:textId="77777777" w:rsidTr="00D95A2C">
        <w:trPr>
          <w:trHeight w:val="963"/>
        </w:trPr>
        <w:tc>
          <w:tcPr>
            <w:tcW w:w="1449" w:type="dxa"/>
            <w:vMerge/>
          </w:tcPr>
          <w:p w14:paraId="08408323" w14:textId="4387248A" w:rsidR="00F8101A" w:rsidRPr="00F8101A" w:rsidRDefault="00F8101A" w:rsidP="00A111E9">
            <w:pPr>
              <w:rPr>
                <w:rFonts w:eastAsiaTheme="minorHAnsi" w:cs="Arial"/>
                <w:sz w:val="20"/>
                <w:szCs w:val="20"/>
                <w:lang w:bidi="ar-SA"/>
              </w:rPr>
            </w:pPr>
          </w:p>
        </w:tc>
        <w:tc>
          <w:tcPr>
            <w:tcW w:w="2770" w:type="dxa"/>
            <w:vMerge/>
          </w:tcPr>
          <w:p w14:paraId="2DF3866B" w14:textId="7585B8F6" w:rsidR="00F8101A" w:rsidRPr="00F8101A" w:rsidRDefault="00F8101A" w:rsidP="00A111E9">
            <w:pPr>
              <w:rPr>
                <w:rFonts w:eastAsiaTheme="minorHAnsi" w:cs="Arial"/>
                <w:sz w:val="20"/>
                <w:szCs w:val="20"/>
                <w:lang w:bidi="ar-SA"/>
              </w:rPr>
            </w:pPr>
          </w:p>
        </w:tc>
        <w:tc>
          <w:tcPr>
            <w:tcW w:w="1276" w:type="dxa"/>
          </w:tcPr>
          <w:p w14:paraId="72789341" w14:textId="1F47E392" w:rsidR="00F8101A"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t>Olsen</w:t>
            </w:r>
            <w:r w:rsidR="005728AF">
              <w:rPr>
                <w:rFonts w:eastAsiaTheme="minorHAnsi" w:cs="Arial"/>
                <w:sz w:val="20"/>
                <w:szCs w:val="20"/>
                <w:lang w:bidi="ar-SA"/>
              </w:rPr>
              <w:t>,</w:t>
            </w:r>
            <w:r w:rsidRPr="00F8101A">
              <w:rPr>
                <w:rFonts w:eastAsiaTheme="minorHAnsi" w:cs="Arial"/>
                <w:sz w:val="20"/>
                <w:szCs w:val="20"/>
                <w:lang w:bidi="ar-SA"/>
              </w:rPr>
              <w:t xml:space="preserve"> 2007</w:t>
            </w:r>
          </w:p>
        </w:tc>
        <w:tc>
          <w:tcPr>
            <w:tcW w:w="3827" w:type="dxa"/>
          </w:tcPr>
          <w:p w14:paraId="16B62365" w14:textId="2C5D7BA1" w:rsidR="00F8101A"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t xml:space="preserve">3 locations: populations of Olsen </w:t>
            </w:r>
            <w:r w:rsidR="00180A32" w:rsidRPr="00180A32">
              <w:rPr>
                <w:rFonts w:eastAsiaTheme="minorHAnsi" w:cs="Arial"/>
                <w:i/>
                <w:sz w:val="20"/>
                <w:szCs w:val="20"/>
                <w:lang w:bidi="ar-SA"/>
              </w:rPr>
              <w:t xml:space="preserve">et al. </w:t>
            </w:r>
            <w:r w:rsidR="00CC50B8">
              <w:rPr>
                <w:rFonts w:eastAsiaTheme="minorHAnsi" w:cs="Arial"/>
                <w:sz w:val="20"/>
                <w:szCs w:val="20"/>
                <w:lang w:bidi="ar-SA"/>
              </w:rPr>
              <w:t xml:space="preserve"> </w:t>
            </w:r>
            <w:r w:rsidRPr="00F8101A">
              <w:rPr>
                <w:rFonts w:eastAsiaTheme="minorHAnsi" w:cs="Arial"/>
                <w:sz w:val="20"/>
                <w:szCs w:val="20"/>
                <w:lang w:bidi="ar-SA"/>
              </w:rPr>
              <w:t>2003a and 2003c combined and men taking cholesterol lowering medications excluded. Analyses of PFOA only</w:t>
            </w:r>
          </w:p>
        </w:tc>
      </w:tr>
      <w:tr w:rsidR="00386C09" w:rsidRPr="00F8101A" w14:paraId="548315DC" w14:textId="77777777" w:rsidTr="00D57493">
        <w:trPr>
          <w:trHeight w:val="482"/>
        </w:trPr>
        <w:tc>
          <w:tcPr>
            <w:tcW w:w="1449" w:type="dxa"/>
            <w:vMerge/>
          </w:tcPr>
          <w:p w14:paraId="19998B3A" w14:textId="16C94498" w:rsidR="00386C09" w:rsidRPr="00F8101A" w:rsidRDefault="00386C09" w:rsidP="00A111E9">
            <w:pPr>
              <w:widowControl/>
              <w:rPr>
                <w:rFonts w:eastAsiaTheme="minorHAnsi" w:cs="Arial"/>
                <w:sz w:val="20"/>
                <w:szCs w:val="20"/>
                <w:lang w:bidi="ar-SA"/>
              </w:rPr>
            </w:pPr>
          </w:p>
        </w:tc>
        <w:tc>
          <w:tcPr>
            <w:tcW w:w="2770" w:type="dxa"/>
            <w:vMerge/>
          </w:tcPr>
          <w:p w14:paraId="327EDDD1" w14:textId="0B0BF3F6" w:rsidR="00386C09" w:rsidRPr="00F8101A" w:rsidRDefault="00386C09" w:rsidP="00A111E9">
            <w:pPr>
              <w:widowControl/>
              <w:rPr>
                <w:rFonts w:eastAsiaTheme="minorHAnsi" w:cs="Arial"/>
                <w:sz w:val="20"/>
                <w:szCs w:val="20"/>
                <w:lang w:bidi="ar-SA"/>
              </w:rPr>
            </w:pPr>
          </w:p>
        </w:tc>
        <w:tc>
          <w:tcPr>
            <w:tcW w:w="1276" w:type="dxa"/>
          </w:tcPr>
          <w:p w14:paraId="48105D6D" w14:textId="2DB24AF5" w:rsidR="00386C09" w:rsidRPr="00F8101A" w:rsidRDefault="00386C09" w:rsidP="00A111E9">
            <w:pPr>
              <w:widowControl/>
              <w:rPr>
                <w:rFonts w:eastAsiaTheme="minorHAnsi" w:cs="Arial"/>
                <w:sz w:val="20"/>
                <w:szCs w:val="20"/>
                <w:lang w:bidi="ar-SA"/>
              </w:rPr>
            </w:pPr>
            <w:r>
              <w:rPr>
                <w:rFonts w:eastAsiaTheme="minorHAnsi" w:cs="Arial"/>
                <w:sz w:val="20"/>
                <w:szCs w:val="20"/>
                <w:lang w:bidi="ar-SA"/>
              </w:rPr>
              <w:t>Olsen, 2012</w:t>
            </w:r>
          </w:p>
        </w:tc>
        <w:tc>
          <w:tcPr>
            <w:tcW w:w="3827" w:type="dxa"/>
          </w:tcPr>
          <w:p w14:paraId="36DCED29" w14:textId="4CC1613C" w:rsidR="00386C09" w:rsidRPr="00F8101A" w:rsidRDefault="00386C09" w:rsidP="00A111E9">
            <w:pPr>
              <w:widowControl/>
              <w:rPr>
                <w:rFonts w:eastAsiaTheme="minorHAnsi" w:cs="Arial"/>
                <w:sz w:val="20"/>
                <w:szCs w:val="20"/>
                <w:lang w:bidi="ar-SA"/>
              </w:rPr>
            </w:pPr>
            <w:r>
              <w:rPr>
                <w:rFonts w:eastAsiaTheme="minorHAnsi" w:cs="Arial"/>
                <w:sz w:val="20"/>
                <w:szCs w:val="20"/>
                <w:lang w:bidi="ar-SA"/>
              </w:rPr>
              <w:t xml:space="preserve">Longitudinal analysis using data from </w:t>
            </w:r>
            <w:r w:rsidR="00D57493">
              <w:rPr>
                <w:rFonts w:eastAsiaTheme="minorHAnsi" w:cs="Arial"/>
                <w:sz w:val="20"/>
                <w:szCs w:val="20"/>
                <w:lang w:bidi="ar-SA"/>
              </w:rPr>
              <w:t>3M workers and additional contractors</w:t>
            </w:r>
          </w:p>
        </w:tc>
      </w:tr>
      <w:tr w:rsidR="00F8101A" w:rsidRPr="00F8101A" w14:paraId="6F00C625" w14:textId="77777777" w:rsidTr="00D95A2C">
        <w:tc>
          <w:tcPr>
            <w:tcW w:w="1449" w:type="dxa"/>
            <w:vMerge w:val="restart"/>
          </w:tcPr>
          <w:p w14:paraId="01BAE60E" w14:textId="77777777" w:rsidR="00F8101A"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t xml:space="preserve">NHANES </w:t>
            </w:r>
          </w:p>
        </w:tc>
        <w:tc>
          <w:tcPr>
            <w:tcW w:w="2770" w:type="dxa"/>
            <w:vMerge w:val="restart"/>
          </w:tcPr>
          <w:p w14:paraId="7A1847D4" w14:textId="40934DC2" w:rsidR="00F8101A"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t>US national nutrition survey collecting biomedical data</w:t>
            </w:r>
            <w:r w:rsidR="00180A32">
              <w:rPr>
                <w:rFonts w:eastAsiaTheme="minorHAnsi" w:cs="Arial"/>
                <w:sz w:val="20"/>
                <w:szCs w:val="20"/>
                <w:lang w:bidi="ar-SA"/>
              </w:rPr>
              <w:t>.</w:t>
            </w:r>
            <w:r w:rsidRPr="00F8101A">
              <w:rPr>
                <w:rFonts w:eastAsiaTheme="minorHAnsi" w:cs="Arial"/>
                <w:sz w:val="20"/>
                <w:szCs w:val="20"/>
                <w:lang w:bidi="ar-SA"/>
              </w:rPr>
              <w:t xml:space="preserve"> </w:t>
            </w:r>
          </w:p>
        </w:tc>
        <w:tc>
          <w:tcPr>
            <w:tcW w:w="1276" w:type="dxa"/>
          </w:tcPr>
          <w:p w14:paraId="10887852" w14:textId="77777777" w:rsidR="00F8101A"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t>Lin, 2009</w:t>
            </w:r>
          </w:p>
        </w:tc>
        <w:tc>
          <w:tcPr>
            <w:tcW w:w="3827" w:type="dxa"/>
          </w:tcPr>
          <w:p w14:paraId="5E7CA632" w14:textId="6498F092" w:rsidR="00F8101A" w:rsidRPr="00F8101A" w:rsidRDefault="00F8101A" w:rsidP="00537AC4">
            <w:pPr>
              <w:widowControl/>
              <w:rPr>
                <w:rFonts w:eastAsiaTheme="minorHAnsi" w:cs="Arial"/>
                <w:sz w:val="20"/>
                <w:szCs w:val="20"/>
                <w:lang w:bidi="ar-SA"/>
              </w:rPr>
            </w:pPr>
            <w:r w:rsidRPr="00F8101A">
              <w:rPr>
                <w:rFonts w:eastAsiaTheme="minorHAnsi" w:cs="Arial"/>
                <w:sz w:val="20"/>
                <w:szCs w:val="20"/>
                <w:lang w:bidi="ar-SA"/>
              </w:rPr>
              <w:t xml:space="preserve">Analysed data from the 1999-2000 and 2003-4 rounds for persons 12 years and older who had complete data for metabolic syndrome parameters. </w:t>
            </w:r>
            <w:r w:rsidR="00231BF2">
              <w:rPr>
                <w:rFonts w:eastAsiaTheme="minorHAnsi" w:cs="Arial"/>
                <w:sz w:val="20"/>
                <w:szCs w:val="20"/>
                <w:lang w:bidi="ar-SA"/>
              </w:rPr>
              <w:t>No results for total-C or LDL-C, an odds ratio</w:t>
            </w:r>
            <w:r w:rsidRPr="00F8101A">
              <w:rPr>
                <w:rFonts w:eastAsiaTheme="minorHAnsi" w:cs="Arial"/>
                <w:sz w:val="20"/>
                <w:szCs w:val="20"/>
                <w:lang w:bidi="ar-SA"/>
              </w:rPr>
              <w:t xml:space="preserve"> for abnormal HDL-C </w:t>
            </w:r>
            <w:r w:rsidR="00231BF2">
              <w:rPr>
                <w:rFonts w:eastAsiaTheme="minorHAnsi" w:cs="Arial"/>
                <w:sz w:val="20"/>
                <w:szCs w:val="20"/>
                <w:lang w:bidi="ar-SA"/>
              </w:rPr>
              <w:t>is given</w:t>
            </w:r>
          </w:p>
        </w:tc>
      </w:tr>
      <w:tr w:rsidR="00F8101A" w:rsidRPr="00F8101A" w14:paraId="0736CF00" w14:textId="77777777" w:rsidTr="00D95A2C">
        <w:tc>
          <w:tcPr>
            <w:tcW w:w="1449" w:type="dxa"/>
            <w:vMerge/>
          </w:tcPr>
          <w:p w14:paraId="0BBE6E8F" w14:textId="77777777" w:rsidR="00F8101A" w:rsidRPr="00F8101A" w:rsidRDefault="00F8101A" w:rsidP="00A111E9">
            <w:pPr>
              <w:widowControl/>
              <w:rPr>
                <w:rFonts w:eastAsiaTheme="minorHAnsi" w:cs="Arial"/>
                <w:sz w:val="20"/>
                <w:szCs w:val="20"/>
                <w:lang w:bidi="ar-SA"/>
              </w:rPr>
            </w:pPr>
          </w:p>
        </w:tc>
        <w:tc>
          <w:tcPr>
            <w:tcW w:w="2770" w:type="dxa"/>
            <w:vMerge/>
          </w:tcPr>
          <w:p w14:paraId="23A413D5" w14:textId="77777777" w:rsidR="00F8101A" w:rsidRPr="00F8101A" w:rsidRDefault="00F8101A" w:rsidP="00A111E9">
            <w:pPr>
              <w:widowControl/>
              <w:rPr>
                <w:rFonts w:eastAsiaTheme="minorHAnsi" w:cs="Arial"/>
                <w:sz w:val="20"/>
                <w:szCs w:val="20"/>
                <w:lang w:bidi="ar-SA"/>
              </w:rPr>
            </w:pPr>
          </w:p>
        </w:tc>
        <w:tc>
          <w:tcPr>
            <w:tcW w:w="1276" w:type="dxa"/>
          </w:tcPr>
          <w:p w14:paraId="6899887A" w14:textId="77777777" w:rsidR="00F8101A"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t>Nelson, 2010</w:t>
            </w:r>
          </w:p>
        </w:tc>
        <w:tc>
          <w:tcPr>
            <w:tcW w:w="3827" w:type="dxa"/>
          </w:tcPr>
          <w:p w14:paraId="65158FB4" w14:textId="00688421" w:rsidR="00F8101A"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t>Analysed data from the 2003-4 NHANES.</w:t>
            </w:r>
            <w:r w:rsidR="00B3226D">
              <w:rPr>
                <w:rFonts w:eastAsiaTheme="minorHAnsi" w:cs="Arial"/>
                <w:sz w:val="20"/>
                <w:szCs w:val="20"/>
                <w:lang w:bidi="ar-SA"/>
              </w:rPr>
              <w:t xml:space="preserve"> </w:t>
            </w:r>
            <w:r w:rsidRPr="00F8101A">
              <w:rPr>
                <w:rFonts w:eastAsiaTheme="minorHAnsi" w:cs="Arial"/>
                <w:sz w:val="20"/>
                <w:szCs w:val="20"/>
                <w:lang w:bidi="ar-SA"/>
              </w:rPr>
              <w:t>Although persons aged 12-80 were included in the analyses, the analyses related to those aged 20 years and older. Pregnant and breastfeeding women excluded</w:t>
            </w:r>
          </w:p>
        </w:tc>
      </w:tr>
      <w:tr w:rsidR="00F8101A" w:rsidRPr="00F8101A" w14:paraId="127B61AF" w14:textId="77777777" w:rsidTr="00D95A2C">
        <w:tc>
          <w:tcPr>
            <w:tcW w:w="1449" w:type="dxa"/>
            <w:vMerge/>
          </w:tcPr>
          <w:p w14:paraId="5CAFE7F9" w14:textId="77777777" w:rsidR="00F8101A" w:rsidRPr="00F8101A" w:rsidRDefault="00F8101A" w:rsidP="00A111E9">
            <w:pPr>
              <w:widowControl/>
              <w:rPr>
                <w:rFonts w:eastAsiaTheme="minorHAnsi" w:cs="Arial"/>
                <w:sz w:val="20"/>
                <w:szCs w:val="20"/>
                <w:lang w:bidi="ar-SA"/>
              </w:rPr>
            </w:pPr>
          </w:p>
        </w:tc>
        <w:tc>
          <w:tcPr>
            <w:tcW w:w="2770" w:type="dxa"/>
            <w:vMerge/>
          </w:tcPr>
          <w:p w14:paraId="63632567" w14:textId="77777777" w:rsidR="00F8101A" w:rsidRPr="00F8101A" w:rsidRDefault="00F8101A" w:rsidP="00A111E9">
            <w:pPr>
              <w:widowControl/>
              <w:rPr>
                <w:rFonts w:eastAsiaTheme="minorHAnsi" w:cs="Arial"/>
                <w:sz w:val="20"/>
                <w:szCs w:val="20"/>
                <w:lang w:bidi="ar-SA"/>
              </w:rPr>
            </w:pPr>
          </w:p>
        </w:tc>
        <w:tc>
          <w:tcPr>
            <w:tcW w:w="1276" w:type="dxa"/>
          </w:tcPr>
          <w:p w14:paraId="6D9EDA79" w14:textId="77777777" w:rsidR="00F8101A"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t>Geiger, 2014</w:t>
            </w:r>
          </w:p>
        </w:tc>
        <w:tc>
          <w:tcPr>
            <w:tcW w:w="3827" w:type="dxa"/>
          </w:tcPr>
          <w:p w14:paraId="0230500B" w14:textId="226C7E4A" w:rsidR="00F8101A"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t xml:space="preserve">Analysed </w:t>
            </w:r>
            <w:r w:rsidR="00B3226D">
              <w:rPr>
                <w:rFonts w:eastAsiaTheme="minorHAnsi" w:cs="Arial"/>
                <w:sz w:val="20"/>
                <w:szCs w:val="20"/>
                <w:lang w:bidi="ar-SA"/>
              </w:rPr>
              <w:t>data from the 1999-2000, 2003-4, 2005-6,</w:t>
            </w:r>
            <w:r w:rsidRPr="00F8101A">
              <w:rPr>
                <w:rFonts w:eastAsiaTheme="minorHAnsi" w:cs="Arial"/>
                <w:sz w:val="20"/>
                <w:szCs w:val="20"/>
                <w:lang w:bidi="ar-SA"/>
              </w:rPr>
              <w:t xml:space="preserve"> 2007-8 rounds for children &lt;19 years; mean differences for total-C, LDL-C, HDL-C</w:t>
            </w:r>
          </w:p>
        </w:tc>
      </w:tr>
      <w:tr w:rsidR="00F8101A" w:rsidRPr="00F8101A" w14:paraId="0F487602" w14:textId="77777777" w:rsidTr="00D95A2C">
        <w:trPr>
          <w:trHeight w:val="830"/>
        </w:trPr>
        <w:tc>
          <w:tcPr>
            <w:tcW w:w="1449" w:type="dxa"/>
            <w:vMerge/>
          </w:tcPr>
          <w:p w14:paraId="225F2615" w14:textId="77777777" w:rsidR="00F8101A" w:rsidRPr="00F8101A" w:rsidRDefault="00F8101A" w:rsidP="00A111E9">
            <w:pPr>
              <w:widowControl/>
              <w:rPr>
                <w:rFonts w:eastAsiaTheme="minorHAnsi" w:cs="Arial"/>
                <w:sz w:val="20"/>
                <w:szCs w:val="20"/>
                <w:lang w:bidi="ar-SA"/>
              </w:rPr>
            </w:pPr>
          </w:p>
        </w:tc>
        <w:tc>
          <w:tcPr>
            <w:tcW w:w="2770" w:type="dxa"/>
            <w:vMerge/>
          </w:tcPr>
          <w:p w14:paraId="3744C441" w14:textId="77777777" w:rsidR="00F8101A" w:rsidRPr="00F8101A" w:rsidRDefault="00F8101A" w:rsidP="00A111E9">
            <w:pPr>
              <w:widowControl/>
              <w:rPr>
                <w:rFonts w:eastAsiaTheme="minorHAnsi" w:cs="Arial"/>
                <w:sz w:val="20"/>
                <w:szCs w:val="20"/>
                <w:lang w:bidi="ar-SA"/>
              </w:rPr>
            </w:pPr>
          </w:p>
        </w:tc>
        <w:tc>
          <w:tcPr>
            <w:tcW w:w="1276" w:type="dxa"/>
          </w:tcPr>
          <w:p w14:paraId="6429B62C" w14:textId="482158DD" w:rsidR="00F8101A"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t xml:space="preserve">Jain, </w:t>
            </w:r>
            <w:r w:rsidR="00D57493">
              <w:rPr>
                <w:rFonts w:eastAsiaTheme="minorHAnsi" w:cs="Arial"/>
                <w:sz w:val="20"/>
                <w:szCs w:val="20"/>
                <w:lang w:bidi="ar-SA"/>
              </w:rPr>
              <w:t>2013</w:t>
            </w:r>
          </w:p>
        </w:tc>
        <w:tc>
          <w:tcPr>
            <w:tcW w:w="3827" w:type="dxa"/>
          </w:tcPr>
          <w:p w14:paraId="2F3E978B" w14:textId="77777777" w:rsidR="00F8101A" w:rsidRPr="00F8101A" w:rsidRDefault="00F8101A" w:rsidP="00A111E9">
            <w:pPr>
              <w:widowControl/>
              <w:rPr>
                <w:rFonts w:eastAsiaTheme="minorHAnsi" w:cs="Arial"/>
                <w:sz w:val="20"/>
                <w:szCs w:val="20"/>
                <w:lang w:bidi="ar-SA"/>
              </w:rPr>
            </w:pPr>
            <w:r w:rsidRPr="00F8101A">
              <w:rPr>
                <w:rFonts w:eastAsiaTheme="minorHAnsi" w:cs="Arial"/>
                <w:sz w:val="20"/>
                <w:szCs w:val="20"/>
                <w:lang w:bidi="ar-SA"/>
              </w:rPr>
              <w:t xml:space="preserve">180 pregnant women 17-39 years old and 898 non-pregnant women analysed together from the 2003-8 NHANES </w:t>
            </w:r>
          </w:p>
        </w:tc>
      </w:tr>
    </w:tbl>
    <w:p w14:paraId="34DC45F8" w14:textId="5A51F31F" w:rsidR="00F8101A" w:rsidRPr="00F8101A" w:rsidRDefault="00F8101A" w:rsidP="00A111E9">
      <w:pPr>
        <w:widowControl/>
        <w:rPr>
          <w:rFonts w:eastAsiaTheme="minorHAnsi" w:cstheme="minorBidi"/>
          <w:szCs w:val="22"/>
          <w:lang w:bidi="ar-SA"/>
        </w:rPr>
      </w:pPr>
      <w:r w:rsidRPr="00F8101A">
        <w:rPr>
          <w:rFonts w:eastAsiaTheme="minorHAnsi" w:cstheme="minorBidi"/>
          <w:szCs w:val="22"/>
          <w:lang w:bidi="ar-SA"/>
        </w:rPr>
        <w:lastRenderedPageBreak/>
        <w:t>Five of the seven papers cited by EFSA (2008</w:t>
      </w:r>
      <w:r w:rsidR="005728AF">
        <w:rPr>
          <w:rFonts w:eastAsiaTheme="minorHAnsi" w:cstheme="minorBidi"/>
          <w:szCs w:val="22"/>
          <w:lang w:bidi="ar-SA"/>
        </w:rPr>
        <w:t xml:space="preserve">) describe the 3M study </w:t>
      </w:r>
      <w:r w:rsidR="00FB16D3">
        <w:rPr>
          <w:rFonts w:eastAsiaTheme="minorHAnsi" w:cstheme="minorBidi"/>
          <w:szCs w:val="22"/>
          <w:lang w:bidi="ar-SA"/>
        </w:rPr>
        <w:t>population</w:t>
      </w:r>
      <w:r w:rsidR="005728AF">
        <w:rPr>
          <w:rFonts w:eastAsiaTheme="minorHAnsi" w:cstheme="minorBidi"/>
          <w:szCs w:val="22"/>
          <w:lang w:bidi="ar-SA"/>
        </w:rPr>
        <w:t>. S</w:t>
      </w:r>
      <w:r w:rsidRPr="00F8101A">
        <w:rPr>
          <w:rFonts w:eastAsiaTheme="minorHAnsi" w:cstheme="minorBidi"/>
          <w:szCs w:val="22"/>
          <w:lang w:bidi="ar-SA"/>
        </w:rPr>
        <w:t xml:space="preserve">ome of these were not cited by the </w:t>
      </w:r>
      <w:r w:rsidR="00EF0069">
        <w:rPr>
          <w:rFonts w:eastAsiaTheme="minorHAnsi" w:cstheme="minorBidi"/>
          <w:szCs w:val="22"/>
          <w:lang w:bidi="ar-SA"/>
        </w:rPr>
        <w:t xml:space="preserve">US </w:t>
      </w:r>
      <w:r w:rsidRPr="00F8101A">
        <w:rPr>
          <w:rFonts w:eastAsiaTheme="minorHAnsi" w:cstheme="minorBidi"/>
          <w:szCs w:val="22"/>
          <w:lang w:bidi="ar-SA"/>
        </w:rPr>
        <w:t>EPA but their content appears to have been covered in the reports to the 3M company that were cited</w:t>
      </w:r>
      <w:r w:rsidR="00231BF2">
        <w:rPr>
          <w:rFonts w:eastAsiaTheme="minorHAnsi" w:cstheme="minorBidi"/>
          <w:szCs w:val="22"/>
          <w:lang w:bidi="ar-SA"/>
        </w:rPr>
        <w:t xml:space="preserve"> by the US EPA</w:t>
      </w:r>
      <w:r w:rsidRPr="00F8101A">
        <w:rPr>
          <w:rFonts w:eastAsiaTheme="minorHAnsi" w:cstheme="minorBidi"/>
          <w:szCs w:val="22"/>
          <w:lang w:bidi="ar-SA"/>
        </w:rPr>
        <w:t xml:space="preserve">. Both agencies cite </w:t>
      </w:r>
      <w:r w:rsidR="00231BF2">
        <w:rPr>
          <w:rFonts w:eastAsiaTheme="minorHAnsi" w:cstheme="minorBidi"/>
          <w:szCs w:val="22"/>
          <w:lang w:bidi="ar-SA"/>
        </w:rPr>
        <w:t xml:space="preserve">the </w:t>
      </w:r>
      <w:r w:rsidRPr="00F8101A">
        <w:rPr>
          <w:rFonts w:eastAsiaTheme="minorHAnsi" w:cstheme="minorBidi"/>
          <w:szCs w:val="22"/>
          <w:lang w:bidi="ar-SA"/>
        </w:rPr>
        <w:t xml:space="preserve">Olsen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F8101A">
        <w:rPr>
          <w:rFonts w:eastAsiaTheme="minorHAnsi" w:cstheme="minorBidi"/>
          <w:szCs w:val="22"/>
          <w:lang w:bidi="ar-SA"/>
        </w:rPr>
        <w:t xml:space="preserve">(2007) analyses </w:t>
      </w:r>
      <w:r w:rsidR="00FB16D3">
        <w:rPr>
          <w:rFonts w:eastAsiaTheme="minorHAnsi" w:cstheme="minorBidi"/>
          <w:szCs w:val="22"/>
          <w:lang w:bidi="ar-SA"/>
        </w:rPr>
        <w:t xml:space="preserve">of </w:t>
      </w:r>
      <w:r w:rsidRPr="00F8101A">
        <w:rPr>
          <w:rFonts w:eastAsiaTheme="minorHAnsi" w:cstheme="minorBidi"/>
          <w:szCs w:val="22"/>
          <w:lang w:bidi="ar-SA"/>
        </w:rPr>
        <w:t>the 2000 round of data collection in the three facilities of that company</w:t>
      </w:r>
      <w:r w:rsidR="00FB16D3">
        <w:rPr>
          <w:rFonts w:eastAsiaTheme="minorHAnsi" w:cstheme="minorBidi"/>
          <w:szCs w:val="22"/>
          <w:lang w:bidi="ar-SA"/>
        </w:rPr>
        <w:t xml:space="preserve">. </w:t>
      </w:r>
      <w:r w:rsidRPr="00F8101A">
        <w:rPr>
          <w:rFonts w:eastAsiaTheme="minorHAnsi" w:cstheme="minorBidi"/>
          <w:szCs w:val="22"/>
          <w:lang w:bidi="ar-SA"/>
        </w:rPr>
        <w:t xml:space="preserve">FSANZ has selected this </w:t>
      </w:r>
      <w:r w:rsidR="00231BF2">
        <w:rPr>
          <w:rFonts w:eastAsiaTheme="minorHAnsi" w:cstheme="minorBidi"/>
          <w:szCs w:val="22"/>
          <w:lang w:bidi="ar-SA"/>
        </w:rPr>
        <w:t xml:space="preserve">paper </w:t>
      </w:r>
      <w:r w:rsidRPr="00F8101A">
        <w:rPr>
          <w:rFonts w:eastAsiaTheme="minorHAnsi" w:cstheme="minorBidi"/>
          <w:szCs w:val="22"/>
          <w:lang w:bidi="ar-SA"/>
        </w:rPr>
        <w:t>as the best description of the association between PFOA and serum cholesterol</w:t>
      </w:r>
      <w:r w:rsidR="00FB16D3">
        <w:rPr>
          <w:rFonts w:eastAsiaTheme="minorHAnsi" w:cstheme="minorBidi"/>
          <w:szCs w:val="22"/>
          <w:lang w:bidi="ar-SA"/>
        </w:rPr>
        <w:t xml:space="preserve"> concentration</w:t>
      </w:r>
      <w:r w:rsidRPr="00F8101A">
        <w:rPr>
          <w:rFonts w:eastAsiaTheme="minorHAnsi" w:cstheme="minorBidi"/>
          <w:szCs w:val="22"/>
          <w:lang w:bidi="ar-SA"/>
        </w:rPr>
        <w:t xml:space="preserve">, because it contains data from all three 3M sites and excludes </w:t>
      </w:r>
      <w:r w:rsidR="00231BF2">
        <w:rPr>
          <w:rFonts w:eastAsiaTheme="minorHAnsi" w:cstheme="minorBidi"/>
          <w:szCs w:val="22"/>
          <w:lang w:bidi="ar-SA"/>
        </w:rPr>
        <w:t>people</w:t>
      </w:r>
      <w:r w:rsidRPr="00F8101A">
        <w:rPr>
          <w:rFonts w:eastAsiaTheme="minorHAnsi" w:cstheme="minorBidi"/>
          <w:szCs w:val="22"/>
          <w:lang w:bidi="ar-SA"/>
        </w:rPr>
        <w:t xml:space="preserve"> who were taking cholesterol</w:t>
      </w:r>
      <w:r w:rsidR="001012A5">
        <w:rPr>
          <w:rFonts w:eastAsiaTheme="minorHAnsi" w:cstheme="minorBidi"/>
          <w:szCs w:val="22"/>
          <w:lang w:bidi="ar-SA"/>
        </w:rPr>
        <w:t xml:space="preserve"> </w:t>
      </w:r>
      <w:r w:rsidRPr="00F8101A">
        <w:rPr>
          <w:rFonts w:eastAsiaTheme="minorHAnsi" w:cstheme="minorBidi"/>
          <w:szCs w:val="22"/>
          <w:lang w:bidi="ar-SA"/>
        </w:rPr>
        <w:t>lowering medications. For PFOS, FSANZ has</w:t>
      </w:r>
      <w:r w:rsidR="00AC51E8">
        <w:rPr>
          <w:rFonts w:eastAsiaTheme="minorHAnsi" w:cstheme="minorBidi"/>
          <w:szCs w:val="22"/>
          <w:lang w:bidi="ar-SA"/>
        </w:rPr>
        <w:t xml:space="preserve"> used the data from Olsen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F8101A">
        <w:rPr>
          <w:rFonts w:eastAsiaTheme="minorHAnsi" w:cstheme="minorBidi"/>
          <w:szCs w:val="22"/>
          <w:lang w:bidi="ar-SA"/>
        </w:rPr>
        <w:t>2003</w:t>
      </w:r>
      <w:r w:rsidR="00231BF2">
        <w:rPr>
          <w:rFonts w:eastAsiaTheme="minorHAnsi" w:cstheme="minorBidi"/>
          <w:szCs w:val="22"/>
          <w:lang w:bidi="ar-SA"/>
        </w:rPr>
        <w:t xml:space="preserve"> because Olsen </w:t>
      </w:r>
      <w:r w:rsidR="00180A32" w:rsidRPr="00180A32">
        <w:rPr>
          <w:rFonts w:eastAsiaTheme="minorHAnsi" w:cstheme="minorBidi"/>
          <w:i/>
          <w:szCs w:val="22"/>
          <w:lang w:bidi="ar-SA"/>
        </w:rPr>
        <w:t xml:space="preserve">et al. </w:t>
      </w:r>
      <w:r w:rsidR="00231BF2">
        <w:rPr>
          <w:rFonts w:eastAsiaTheme="minorHAnsi" w:cstheme="minorBidi"/>
          <w:szCs w:val="22"/>
          <w:lang w:bidi="ar-SA"/>
        </w:rPr>
        <w:t xml:space="preserve"> (2007) do not </w:t>
      </w:r>
      <w:r w:rsidR="00537AC4">
        <w:rPr>
          <w:rFonts w:eastAsiaTheme="minorHAnsi" w:cstheme="minorBidi"/>
          <w:szCs w:val="22"/>
          <w:lang w:bidi="ar-SA"/>
        </w:rPr>
        <w:t xml:space="preserve">given analyses related to </w:t>
      </w:r>
      <w:r w:rsidR="00231BF2">
        <w:rPr>
          <w:rFonts w:eastAsiaTheme="minorHAnsi" w:cstheme="minorBidi"/>
          <w:szCs w:val="22"/>
          <w:lang w:bidi="ar-SA"/>
        </w:rPr>
        <w:t>this chemical</w:t>
      </w:r>
      <w:r w:rsidRPr="00F8101A">
        <w:rPr>
          <w:rFonts w:eastAsiaTheme="minorHAnsi" w:cstheme="minorBidi"/>
          <w:szCs w:val="22"/>
          <w:lang w:bidi="ar-SA"/>
        </w:rPr>
        <w:t>.</w:t>
      </w:r>
    </w:p>
    <w:p w14:paraId="0174FAB6" w14:textId="77777777" w:rsidR="00F8101A" w:rsidRPr="00F8101A" w:rsidRDefault="00F8101A" w:rsidP="00A111E9">
      <w:pPr>
        <w:widowControl/>
        <w:rPr>
          <w:rFonts w:eastAsiaTheme="minorHAnsi" w:cstheme="minorBidi"/>
          <w:szCs w:val="22"/>
          <w:lang w:bidi="ar-SA"/>
        </w:rPr>
      </w:pPr>
    </w:p>
    <w:p w14:paraId="7FC2D3C2" w14:textId="6FB98D65" w:rsidR="00F8101A" w:rsidRPr="00F8101A" w:rsidRDefault="00F8101A" w:rsidP="00A111E9">
      <w:pPr>
        <w:widowControl/>
        <w:rPr>
          <w:rFonts w:eastAsiaTheme="minorHAnsi" w:cstheme="minorBidi"/>
          <w:szCs w:val="22"/>
          <w:lang w:bidi="ar-SA"/>
        </w:rPr>
      </w:pPr>
      <w:r w:rsidRPr="00F8101A">
        <w:rPr>
          <w:rFonts w:eastAsiaTheme="minorHAnsi" w:cstheme="minorBidi"/>
          <w:szCs w:val="22"/>
          <w:lang w:bidi="ar-SA"/>
        </w:rPr>
        <w:t xml:space="preserve">FSANZ chose Frisbee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F8101A">
        <w:rPr>
          <w:rFonts w:eastAsiaTheme="minorHAnsi" w:cstheme="minorBidi"/>
          <w:szCs w:val="22"/>
          <w:lang w:bidi="ar-SA"/>
        </w:rPr>
        <w:t xml:space="preserve">(2010) and Steenland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F8101A">
        <w:rPr>
          <w:rFonts w:eastAsiaTheme="minorHAnsi" w:cstheme="minorBidi"/>
          <w:szCs w:val="22"/>
          <w:lang w:bidi="ar-SA"/>
        </w:rPr>
        <w:t>(2009) as the primary description of the association between PFAS and serum cholesterol concentrations in children and adults respectively from the C8 study. Other papers describing additional analyses will be discussed as relevant, in particular, the papers that combine several rounds of examination, or calculate longterm exposure in th</w:t>
      </w:r>
      <w:r w:rsidR="00AC51E8">
        <w:rPr>
          <w:rFonts w:eastAsiaTheme="minorHAnsi" w:cstheme="minorBidi"/>
          <w:szCs w:val="22"/>
          <w:lang w:bidi="ar-SA"/>
        </w:rPr>
        <w:t xml:space="preserve">is population (Fitz-Simon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00AC51E8">
        <w:rPr>
          <w:rFonts w:eastAsiaTheme="minorHAnsi" w:cstheme="minorBidi"/>
          <w:szCs w:val="22"/>
          <w:lang w:bidi="ar-SA"/>
        </w:rPr>
        <w:t xml:space="preserve">2013; Winquist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F8101A">
        <w:rPr>
          <w:rFonts w:eastAsiaTheme="minorHAnsi" w:cstheme="minorBidi"/>
          <w:szCs w:val="22"/>
          <w:lang w:bidi="ar-SA"/>
        </w:rPr>
        <w:t>2013).</w:t>
      </w:r>
    </w:p>
    <w:p w14:paraId="7042A9CB" w14:textId="77777777" w:rsidR="00F8101A" w:rsidRPr="00F8101A" w:rsidRDefault="00F8101A" w:rsidP="00A111E9">
      <w:pPr>
        <w:widowControl/>
        <w:rPr>
          <w:rFonts w:eastAsiaTheme="minorHAnsi" w:cstheme="minorBidi"/>
          <w:szCs w:val="22"/>
          <w:lang w:bidi="ar-SA"/>
        </w:rPr>
      </w:pPr>
    </w:p>
    <w:p w14:paraId="4878C0C4" w14:textId="7E99C94D" w:rsidR="00F8101A" w:rsidRPr="00F8101A" w:rsidRDefault="00F8101A" w:rsidP="00A111E9">
      <w:pPr>
        <w:widowControl/>
        <w:rPr>
          <w:rFonts w:eastAsiaTheme="minorHAnsi" w:cstheme="minorBidi"/>
          <w:szCs w:val="22"/>
          <w:lang w:bidi="ar-SA"/>
        </w:rPr>
      </w:pPr>
      <w:r w:rsidRPr="00F8101A">
        <w:rPr>
          <w:rFonts w:eastAsiaTheme="minorHAnsi" w:cstheme="minorBidi"/>
          <w:szCs w:val="22"/>
          <w:lang w:bidi="ar-SA"/>
        </w:rPr>
        <w:t xml:space="preserve">Four different authors have examined the unit record files from the NHANES surveys. Of these, Lin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F8101A">
        <w:rPr>
          <w:rFonts w:eastAsiaTheme="minorHAnsi" w:cstheme="minorBidi"/>
          <w:szCs w:val="22"/>
          <w:lang w:bidi="ar-SA"/>
        </w:rPr>
        <w:t xml:space="preserve">(2009) was excluded because they examine a subset of the children included by Geiger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F8101A">
        <w:rPr>
          <w:rFonts w:eastAsiaTheme="minorHAnsi" w:cstheme="minorBidi"/>
          <w:szCs w:val="22"/>
          <w:lang w:bidi="ar-SA"/>
        </w:rPr>
        <w:t>(2014). Jain (201</w:t>
      </w:r>
      <w:r w:rsidR="00D57493">
        <w:rPr>
          <w:rFonts w:eastAsiaTheme="minorHAnsi" w:cstheme="minorBidi"/>
          <w:szCs w:val="22"/>
          <w:lang w:bidi="ar-SA"/>
        </w:rPr>
        <w:t>3</w:t>
      </w:r>
      <w:r w:rsidRPr="00F8101A">
        <w:rPr>
          <w:rFonts w:eastAsiaTheme="minorHAnsi" w:cstheme="minorBidi"/>
          <w:szCs w:val="22"/>
          <w:lang w:bidi="ar-SA"/>
        </w:rPr>
        <w:t xml:space="preserve">) was also excluded; most of the subjects were non-pregnant women who were contained in the analysis of Nelson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F8101A">
        <w:rPr>
          <w:rFonts w:eastAsiaTheme="minorHAnsi" w:cstheme="minorBidi"/>
          <w:szCs w:val="22"/>
          <w:lang w:bidi="ar-SA"/>
        </w:rPr>
        <w:t>(2010) and there were no separate analyses of the pregnant women.</w:t>
      </w:r>
    </w:p>
    <w:p w14:paraId="5B87E7F5" w14:textId="77777777" w:rsidR="00F8101A" w:rsidRPr="00F8101A" w:rsidRDefault="00F8101A" w:rsidP="00A111E9">
      <w:pPr>
        <w:widowControl/>
        <w:rPr>
          <w:rFonts w:eastAsiaTheme="minorHAnsi" w:cstheme="minorBidi"/>
          <w:szCs w:val="22"/>
          <w:lang w:bidi="ar-SA"/>
        </w:rPr>
      </w:pPr>
    </w:p>
    <w:p w14:paraId="65F2E670" w14:textId="042CF294" w:rsidR="00F8101A" w:rsidRPr="00F8101A" w:rsidRDefault="00F8101A" w:rsidP="000830C5">
      <w:pPr>
        <w:widowControl/>
        <w:rPr>
          <w:rFonts w:eastAsiaTheme="minorHAnsi" w:cstheme="minorBidi"/>
          <w:szCs w:val="22"/>
          <w:lang w:bidi="ar-SA"/>
        </w:rPr>
      </w:pPr>
      <w:r w:rsidRPr="00F8101A">
        <w:rPr>
          <w:rFonts w:eastAsiaTheme="minorHAnsi" w:cstheme="minorBidi"/>
          <w:szCs w:val="22"/>
          <w:lang w:bidi="ar-SA"/>
        </w:rPr>
        <w:t xml:space="preserve">Table </w:t>
      </w:r>
      <w:r w:rsidR="00AC51E8">
        <w:rPr>
          <w:rFonts w:eastAsiaTheme="minorHAnsi" w:cstheme="minorBidi"/>
          <w:szCs w:val="22"/>
          <w:lang w:bidi="ar-SA"/>
        </w:rPr>
        <w:t>A2.</w:t>
      </w:r>
      <w:r w:rsidRPr="00F8101A">
        <w:rPr>
          <w:rFonts w:eastAsiaTheme="minorHAnsi" w:cstheme="minorBidi"/>
          <w:szCs w:val="22"/>
          <w:lang w:bidi="ar-SA"/>
        </w:rPr>
        <w:t>5 shows the primary papers that will be used to summarise the association between PFAS and serum cholesterol in the body of literature examined by FSANZ. Other papers from these studies will be referred to where they describe additional analyses that provide other insights into the association.</w:t>
      </w:r>
    </w:p>
    <w:p w14:paraId="327F4296" w14:textId="77777777" w:rsidR="00F8101A" w:rsidRPr="00F8101A" w:rsidRDefault="00F8101A" w:rsidP="00A111E9">
      <w:pPr>
        <w:widowControl/>
        <w:rPr>
          <w:rFonts w:eastAsiaTheme="minorHAnsi" w:cstheme="minorBidi"/>
          <w:szCs w:val="22"/>
          <w:lang w:bidi="ar-SA"/>
        </w:rPr>
      </w:pPr>
    </w:p>
    <w:p w14:paraId="0A880186" w14:textId="64740BEE" w:rsidR="00F8101A" w:rsidRPr="00F8101A" w:rsidRDefault="00F8101A" w:rsidP="00A111E9">
      <w:pPr>
        <w:pStyle w:val="FSTableTitle"/>
        <w:rPr>
          <w:rFonts w:eastAsiaTheme="minorHAnsi" w:cstheme="minorBidi"/>
          <w:szCs w:val="22"/>
          <w:lang w:bidi="ar-SA"/>
        </w:rPr>
      </w:pPr>
      <w:r w:rsidRPr="00F8101A">
        <w:rPr>
          <w:rFonts w:eastAsiaTheme="minorHAnsi"/>
        </w:rPr>
        <w:t xml:space="preserve">Table </w:t>
      </w:r>
      <w:r w:rsidR="00C44F1E">
        <w:rPr>
          <w:rFonts w:eastAsiaTheme="minorHAnsi"/>
          <w:lang w:bidi="ar-SA"/>
        </w:rPr>
        <w:t>A2.</w:t>
      </w:r>
      <w:r w:rsidRPr="00F8101A">
        <w:rPr>
          <w:rFonts w:eastAsiaTheme="minorHAnsi"/>
        </w:rPr>
        <w:t>5 Primary papers used by FSANZ to describe the association between PFAS and serum cholesterol concentrations</w:t>
      </w:r>
    </w:p>
    <w:tbl>
      <w:tblPr>
        <w:tblStyle w:val="TableGrid10"/>
        <w:tblW w:w="9322" w:type="dxa"/>
        <w:tblLook w:val="04A0" w:firstRow="1" w:lastRow="0" w:firstColumn="1" w:lastColumn="0" w:noHBand="0" w:noVBand="1"/>
        <w:tblCaption w:val="Table A2.5 Primary papers used by FSANZ to describe the association between PFAS and serum cholesterol concentrations"/>
        <w:tblDescription w:val="This table contains data relating to primary papers used by FSANZ to describe the association between PFAS and serum cholesterol concentrations."/>
      </w:tblPr>
      <w:tblGrid>
        <w:gridCol w:w="2211"/>
        <w:gridCol w:w="2386"/>
        <w:gridCol w:w="2341"/>
        <w:gridCol w:w="2384"/>
      </w:tblGrid>
      <w:tr w:rsidR="00F8101A" w:rsidRPr="00F8101A" w14:paraId="6FC6026F" w14:textId="77777777" w:rsidTr="000830C5">
        <w:trPr>
          <w:tblHeader/>
        </w:trPr>
        <w:tc>
          <w:tcPr>
            <w:tcW w:w="6938" w:type="dxa"/>
            <w:gridSpan w:val="3"/>
            <w:shd w:val="clear" w:color="auto" w:fill="F2F2F2" w:themeFill="background1" w:themeFillShade="F2"/>
          </w:tcPr>
          <w:p w14:paraId="1EAF271B" w14:textId="33A0FE7D" w:rsidR="00F8101A" w:rsidRPr="002E4B80" w:rsidRDefault="00F8101A" w:rsidP="00A111E9">
            <w:pPr>
              <w:widowControl/>
              <w:tabs>
                <w:tab w:val="left" w:pos="1140"/>
              </w:tabs>
              <w:rPr>
                <w:rFonts w:eastAsiaTheme="minorHAnsi"/>
                <w:b/>
              </w:rPr>
            </w:pPr>
            <w:r w:rsidRPr="002E4B80">
              <w:rPr>
                <w:rFonts w:eastAsiaTheme="minorHAnsi"/>
                <w:b/>
              </w:rPr>
              <w:t xml:space="preserve">Inclusion </w:t>
            </w:r>
            <w:r w:rsidR="00FB16D3" w:rsidRPr="002E4B80">
              <w:rPr>
                <w:rFonts w:eastAsiaTheme="minorHAnsi"/>
                <w:b/>
              </w:rPr>
              <w:t>in</w:t>
            </w:r>
            <w:r w:rsidRPr="002E4B80">
              <w:rPr>
                <w:rFonts w:eastAsiaTheme="minorHAnsi"/>
                <w:b/>
              </w:rPr>
              <w:t xml:space="preserve"> graphs</w:t>
            </w:r>
          </w:p>
        </w:tc>
        <w:tc>
          <w:tcPr>
            <w:tcW w:w="2384" w:type="dxa"/>
            <w:shd w:val="clear" w:color="auto" w:fill="F2F2F2" w:themeFill="background1" w:themeFillShade="F2"/>
          </w:tcPr>
          <w:p w14:paraId="407BFDD7" w14:textId="77777777" w:rsidR="00F8101A" w:rsidRPr="002E4B80" w:rsidRDefault="00F8101A" w:rsidP="00A111E9">
            <w:pPr>
              <w:widowControl/>
              <w:tabs>
                <w:tab w:val="left" w:pos="1140"/>
              </w:tabs>
              <w:rPr>
                <w:rFonts w:eastAsiaTheme="minorHAnsi"/>
                <w:b/>
              </w:rPr>
            </w:pPr>
            <w:r w:rsidRPr="002E4B80">
              <w:rPr>
                <w:rFonts w:eastAsiaTheme="minorHAnsi"/>
                <w:b/>
              </w:rPr>
              <w:t>Qualitative inclusion</w:t>
            </w:r>
          </w:p>
        </w:tc>
      </w:tr>
      <w:tr w:rsidR="00F8101A" w:rsidRPr="00F8101A" w14:paraId="065D21B1" w14:textId="77777777" w:rsidTr="000830C5">
        <w:trPr>
          <w:tblHeader/>
        </w:trPr>
        <w:tc>
          <w:tcPr>
            <w:tcW w:w="2211" w:type="dxa"/>
            <w:shd w:val="clear" w:color="auto" w:fill="F2F2F2" w:themeFill="background1" w:themeFillShade="F2"/>
          </w:tcPr>
          <w:p w14:paraId="1A585AA8" w14:textId="77777777" w:rsidR="00F8101A" w:rsidRPr="002E4B80" w:rsidRDefault="00F8101A" w:rsidP="00A111E9">
            <w:pPr>
              <w:widowControl/>
              <w:tabs>
                <w:tab w:val="left" w:pos="1140"/>
              </w:tabs>
              <w:rPr>
                <w:rFonts w:eastAsiaTheme="minorHAnsi"/>
                <w:b/>
              </w:rPr>
            </w:pPr>
            <w:r w:rsidRPr="002E4B80">
              <w:rPr>
                <w:rFonts w:eastAsiaTheme="minorHAnsi"/>
                <w:b/>
              </w:rPr>
              <w:t>Pregnant women</w:t>
            </w:r>
          </w:p>
        </w:tc>
        <w:tc>
          <w:tcPr>
            <w:tcW w:w="2386" w:type="dxa"/>
            <w:shd w:val="clear" w:color="auto" w:fill="F2F2F2" w:themeFill="background1" w:themeFillShade="F2"/>
          </w:tcPr>
          <w:p w14:paraId="4A9A9BF3" w14:textId="77777777" w:rsidR="00F8101A" w:rsidRPr="002E4B80" w:rsidRDefault="00F8101A" w:rsidP="00A111E9">
            <w:pPr>
              <w:widowControl/>
              <w:tabs>
                <w:tab w:val="left" w:pos="1140"/>
              </w:tabs>
              <w:rPr>
                <w:rFonts w:eastAsiaTheme="minorHAnsi"/>
                <w:b/>
              </w:rPr>
            </w:pPr>
            <w:r w:rsidRPr="002E4B80">
              <w:rPr>
                <w:rFonts w:eastAsiaTheme="minorHAnsi"/>
                <w:b/>
              </w:rPr>
              <w:t>Children</w:t>
            </w:r>
          </w:p>
        </w:tc>
        <w:tc>
          <w:tcPr>
            <w:tcW w:w="2341" w:type="dxa"/>
            <w:shd w:val="clear" w:color="auto" w:fill="F2F2F2" w:themeFill="background1" w:themeFillShade="F2"/>
          </w:tcPr>
          <w:p w14:paraId="285D869B" w14:textId="14E8D431" w:rsidR="00F8101A" w:rsidRPr="002E4B80" w:rsidRDefault="005B4292" w:rsidP="005B4292">
            <w:pPr>
              <w:widowControl/>
              <w:tabs>
                <w:tab w:val="left" w:pos="1140"/>
              </w:tabs>
              <w:rPr>
                <w:rFonts w:eastAsiaTheme="minorHAnsi"/>
                <w:b/>
              </w:rPr>
            </w:pPr>
            <w:r>
              <w:rPr>
                <w:rFonts w:eastAsiaTheme="minorHAnsi"/>
                <w:b/>
              </w:rPr>
              <w:t>A</w:t>
            </w:r>
            <w:r w:rsidR="00F8101A" w:rsidRPr="002E4B80">
              <w:rPr>
                <w:rFonts w:eastAsiaTheme="minorHAnsi"/>
                <w:b/>
              </w:rPr>
              <w:t>dults</w:t>
            </w:r>
          </w:p>
        </w:tc>
        <w:tc>
          <w:tcPr>
            <w:tcW w:w="2384" w:type="dxa"/>
            <w:shd w:val="clear" w:color="auto" w:fill="F2F2F2" w:themeFill="background1" w:themeFillShade="F2"/>
          </w:tcPr>
          <w:p w14:paraId="2701AD2B" w14:textId="43210CCE" w:rsidR="00F8101A" w:rsidRPr="002E4B80" w:rsidRDefault="005B4292" w:rsidP="005B4292">
            <w:pPr>
              <w:widowControl/>
              <w:tabs>
                <w:tab w:val="left" w:pos="1140"/>
              </w:tabs>
              <w:rPr>
                <w:rFonts w:eastAsiaTheme="minorHAnsi"/>
                <w:b/>
              </w:rPr>
            </w:pPr>
            <w:r>
              <w:rPr>
                <w:rFonts w:eastAsiaTheme="minorHAnsi"/>
                <w:b/>
              </w:rPr>
              <w:t>A</w:t>
            </w:r>
            <w:r w:rsidR="00F8101A" w:rsidRPr="002E4B80">
              <w:rPr>
                <w:rFonts w:eastAsiaTheme="minorHAnsi"/>
                <w:b/>
              </w:rPr>
              <w:t>dults</w:t>
            </w:r>
          </w:p>
        </w:tc>
      </w:tr>
      <w:tr w:rsidR="00F8101A" w:rsidRPr="00F8101A" w14:paraId="6FC9B2B5" w14:textId="77777777" w:rsidTr="002E4B80">
        <w:tc>
          <w:tcPr>
            <w:tcW w:w="2211" w:type="dxa"/>
          </w:tcPr>
          <w:p w14:paraId="3DE23953" w14:textId="7D44929C" w:rsidR="00F8101A" w:rsidRPr="00F8101A" w:rsidRDefault="00AC51E8" w:rsidP="00A111E9">
            <w:pPr>
              <w:widowControl/>
              <w:tabs>
                <w:tab w:val="left" w:pos="1140"/>
              </w:tabs>
              <w:rPr>
                <w:rFonts w:eastAsiaTheme="minorHAnsi" w:cstheme="minorBidi"/>
                <w:szCs w:val="22"/>
                <w:lang w:bidi="ar-SA"/>
              </w:rPr>
            </w:pPr>
            <w:r>
              <w:rPr>
                <w:rFonts w:eastAsiaTheme="minorHAnsi" w:cstheme="minorBidi"/>
                <w:szCs w:val="22"/>
                <w:lang w:bidi="ar-SA"/>
              </w:rPr>
              <w:t xml:space="preserve">Skuladottir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00F8101A" w:rsidRPr="00F8101A">
              <w:rPr>
                <w:rFonts w:eastAsiaTheme="minorHAnsi" w:cstheme="minorBidi"/>
                <w:szCs w:val="22"/>
                <w:lang w:bidi="ar-SA"/>
              </w:rPr>
              <w:t>2015</w:t>
            </w:r>
          </w:p>
        </w:tc>
        <w:tc>
          <w:tcPr>
            <w:tcW w:w="2386" w:type="dxa"/>
          </w:tcPr>
          <w:p w14:paraId="2ABDFD92" w14:textId="46A1E0FC" w:rsidR="00F8101A" w:rsidRPr="00F8101A" w:rsidRDefault="002E4B80" w:rsidP="00A111E9">
            <w:pPr>
              <w:widowControl/>
              <w:tabs>
                <w:tab w:val="left" w:pos="1140"/>
              </w:tabs>
              <w:rPr>
                <w:rFonts w:eastAsiaTheme="minorHAnsi" w:cstheme="minorBidi"/>
                <w:szCs w:val="22"/>
                <w:lang w:bidi="ar-SA"/>
              </w:rPr>
            </w:pPr>
            <w:r>
              <w:rPr>
                <w:rFonts w:eastAsiaTheme="minorHAnsi" w:cstheme="minorBidi"/>
                <w:szCs w:val="22"/>
                <w:lang w:bidi="ar-SA"/>
              </w:rPr>
              <w:t xml:space="preserve">Frisbee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F8101A">
              <w:rPr>
                <w:rFonts w:eastAsiaTheme="minorHAnsi" w:cstheme="minorBidi"/>
                <w:szCs w:val="22"/>
                <w:lang w:bidi="ar-SA"/>
              </w:rPr>
              <w:t>2010</w:t>
            </w:r>
          </w:p>
        </w:tc>
        <w:tc>
          <w:tcPr>
            <w:tcW w:w="2341" w:type="dxa"/>
          </w:tcPr>
          <w:p w14:paraId="55B58A67" w14:textId="15BBC25B" w:rsidR="00F8101A" w:rsidRPr="00F8101A" w:rsidRDefault="00AC51E8" w:rsidP="00A111E9">
            <w:pPr>
              <w:widowControl/>
              <w:tabs>
                <w:tab w:val="left" w:pos="1140"/>
                <w:tab w:val="left" w:pos="2535"/>
              </w:tabs>
              <w:rPr>
                <w:rFonts w:eastAsiaTheme="minorHAnsi" w:cstheme="minorBidi"/>
                <w:szCs w:val="22"/>
                <w:lang w:bidi="ar-SA"/>
              </w:rPr>
            </w:pPr>
            <w:r>
              <w:rPr>
                <w:rFonts w:eastAsiaTheme="minorHAnsi" w:cstheme="minorBidi"/>
                <w:szCs w:val="22"/>
                <w:lang w:bidi="ar-SA"/>
              </w:rPr>
              <w:t xml:space="preserve">Chateau-Degat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00F8101A" w:rsidRPr="00F8101A">
              <w:rPr>
                <w:rFonts w:eastAsiaTheme="minorHAnsi" w:cstheme="minorBidi"/>
                <w:szCs w:val="22"/>
                <w:lang w:bidi="ar-SA"/>
              </w:rPr>
              <w:t>2010</w:t>
            </w:r>
          </w:p>
        </w:tc>
        <w:tc>
          <w:tcPr>
            <w:tcW w:w="2384" w:type="dxa"/>
          </w:tcPr>
          <w:p w14:paraId="308B6C62" w14:textId="4D299AC1" w:rsidR="00F8101A" w:rsidRPr="00F8101A" w:rsidRDefault="002E4B80" w:rsidP="00A111E9">
            <w:pPr>
              <w:widowControl/>
              <w:tabs>
                <w:tab w:val="left" w:pos="1140"/>
              </w:tabs>
              <w:rPr>
                <w:rFonts w:eastAsiaTheme="minorHAnsi" w:cstheme="minorBidi"/>
                <w:szCs w:val="22"/>
                <w:lang w:bidi="ar-SA"/>
              </w:rPr>
            </w:pPr>
            <w:r w:rsidRPr="00F8101A">
              <w:rPr>
                <w:rFonts w:eastAsiaTheme="minorHAnsi" w:cstheme="minorBidi"/>
                <w:szCs w:val="22"/>
                <w:lang w:bidi="ar-SA"/>
              </w:rPr>
              <w:t>Christiansen</w:t>
            </w:r>
            <w:r w:rsidR="00AC51E8">
              <w:rPr>
                <w:rFonts w:eastAsiaTheme="minorHAnsi" w:cstheme="minorBidi"/>
                <w:szCs w:val="22"/>
                <w:lang w:bidi="ar-SA"/>
              </w:rPr>
              <w:t xml:space="preserve">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F8101A">
              <w:rPr>
                <w:rFonts w:eastAsiaTheme="minorHAnsi" w:cstheme="minorBidi"/>
                <w:szCs w:val="22"/>
                <w:lang w:bidi="ar-SA"/>
              </w:rPr>
              <w:t>2016</w:t>
            </w:r>
          </w:p>
        </w:tc>
      </w:tr>
      <w:tr w:rsidR="00F8101A" w:rsidRPr="00F8101A" w14:paraId="74675989" w14:textId="77777777" w:rsidTr="002E4B80">
        <w:tc>
          <w:tcPr>
            <w:tcW w:w="2211" w:type="dxa"/>
          </w:tcPr>
          <w:p w14:paraId="27D9B20E" w14:textId="602B6F79" w:rsidR="00F8101A" w:rsidRPr="00F8101A" w:rsidRDefault="00AC51E8" w:rsidP="00A111E9">
            <w:pPr>
              <w:widowControl/>
              <w:tabs>
                <w:tab w:val="left" w:pos="1140"/>
              </w:tabs>
              <w:rPr>
                <w:rFonts w:eastAsiaTheme="minorHAnsi" w:cstheme="minorBidi"/>
                <w:szCs w:val="22"/>
                <w:lang w:bidi="ar-SA"/>
              </w:rPr>
            </w:pPr>
            <w:r>
              <w:rPr>
                <w:rFonts w:eastAsiaTheme="minorHAnsi" w:cstheme="minorBidi"/>
                <w:szCs w:val="22"/>
                <w:lang w:bidi="ar-SA"/>
              </w:rPr>
              <w:t xml:space="preserve">Starling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00F8101A" w:rsidRPr="00F8101A">
              <w:rPr>
                <w:rFonts w:eastAsiaTheme="minorHAnsi" w:cstheme="minorBidi"/>
                <w:szCs w:val="22"/>
                <w:lang w:bidi="ar-SA"/>
              </w:rPr>
              <w:t>2014</w:t>
            </w:r>
          </w:p>
        </w:tc>
        <w:tc>
          <w:tcPr>
            <w:tcW w:w="2386" w:type="dxa"/>
          </w:tcPr>
          <w:p w14:paraId="659096EE" w14:textId="7592F90F" w:rsidR="00F8101A" w:rsidRPr="00F8101A" w:rsidRDefault="002E4B80" w:rsidP="00A111E9">
            <w:pPr>
              <w:widowControl/>
              <w:tabs>
                <w:tab w:val="left" w:pos="1140"/>
              </w:tabs>
              <w:rPr>
                <w:rFonts w:eastAsiaTheme="minorHAnsi" w:cstheme="minorBidi"/>
                <w:szCs w:val="22"/>
                <w:lang w:bidi="ar-SA"/>
              </w:rPr>
            </w:pPr>
            <w:r>
              <w:rPr>
                <w:rFonts w:eastAsiaTheme="minorHAnsi" w:cstheme="minorBidi"/>
                <w:szCs w:val="22"/>
                <w:lang w:bidi="ar-SA"/>
              </w:rPr>
              <w:t xml:space="preserve">Geiger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F8101A">
              <w:rPr>
                <w:rFonts w:eastAsiaTheme="minorHAnsi" w:cstheme="minorBidi"/>
                <w:szCs w:val="22"/>
                <w:lang w:bidi="ar-SA"/>
              </w:rPr>
              <w:t>2014</w:t>
            </w:r>
          </w:p>
        </w:tc>
        <w:tc>
          <w:tcPr>
            <w:tcW w:w="2341" w:type="dxa"/>
          </w:tcPr>
          <w:p w14:paraId="76FB0C1D" w14:textId="4B3048D4" w:rsidR="00F8101A" w:rsidRPr="00F8101A" w:rsidRDefault="00F8101A" w:rsidP="00A111E9">
            <w:pPr>
              <w:widowControl/>
              <w:tabs>
                <w:tab w:val="left" w:pos="1140"/>
              </w:tabs>
              <w:rPr>
                <w:rFonts w:eastAsiaTheme="minorHAnsi" w:cstheme="minorBidi"/>
                <w:szCs w:val="22"/>
                <w:lang w:bidi="ar-SA"/>
              </w:rPr>
            </w:pPr>
            <w:r w:rsidRPr="00F8101A">
              <w:rPr>
                <w:rFonts w:eastAsiaTheme="minorHAnsi" w:cstheme="minorBidi"/>
                <w:szCs w:val="22"/>
                <w:lang w:bidi="ar-SA"/>
              </w:rPr>
              <w:t xml:space="preserve">Olsen </w:t>
            </w:r>
            <w:r w:rsidR="00180A32" w:rsidRPr="00180A32">
              <w:rPr>
                <w:rFonts w:eastAsiaTheme="minorHAnsi" w:cstheme="minorBidi"/>
                <w:i/>
                <w:szCs w:val="22"/>
                <w:lang w:bidi="ar-SA"/>
              </w:rPr>
              <w:t xml:space="preserve">et al. </w:t>
            </w:r>
            <w:r w:rsidR="005B4292">
              <w:rPr>
                <w:rFonts w:eastAsiaTheme="minorHAnsi" w:cstheme="minorBidi"/>
                <w:szCs w:val="22"/>
                <w:lang w:bidi="ar-SA"/>
              </w:rPr>
              <w:t xml:space="preserve"> </w:t>
            </w:r>
            <w:r w:rsidRPr="00F8101A">
              <w:rPr>
                <w:rFonts w:eastAsiaTheme="minorHAnsi" w:cstheme="minorBidi"/>
                <w:szCs w:val="22"/>
                <w:lang w:bidi="ar-SA"/>
              </w:rPr>
              <w:t>2007 (PFOA)</w:t>
            </w:r>
          </w:p>
          <w:p w14:paraId="180CA4B5" w14:textId="02AD914A" w:rsidR="00F8101A" w:rsidRPr="00F8101A" w:rsidRDefault="00F8101A" w:rsidP="00A111E9">
            <w:pPr>
              <w:widowControl/>
              <w:tabs>
                <w:tab w:val="left" w:pos="1140"/>
              </w:tabs>
              <w:rPr>
                <w:rFonts w:eastAsiaTheme="minorHAnsi" w:cstheme="minorBidi"/>
                <w:szCs w:val="22"/>
                <w:lang w:bidi="ar-SA"/>
              </w:rPr>
            </w:pPr>
            <w:r w:rsidRPr="00F8101A">
              <w:rPr>
                <w:rFonts w:eastAsiaTheme="minorHAnsi" w:cstheme="minorBidi"/>
                <w:szCs w:val="22"/>
                <w:lang w:bidi="ar-SA"/>
              </w:rPr>
              <w:t xml:space="preserve">Olsen </w:t>
            </w:r>
            <w:r w:rsidR="00180A32" w:rsidRPr="00180A32">
              <w:rPr>
                <w:rFonts w:eastAsiaTheme="minorHAnsi" w:cstheme="minorBidi"/>
                <w:i/>
                <w:szCs w:val="22"/>
                <w:lang w:bidi="ar-SA"/>
              </w:rPr>
              <w:t xml:space="preserve">et al. </w:t>
            </w:r>
            <w:r w:rsidR="005B4292">
              <w:rPr>
                <w:rFonts w:eastAsiaTheme="minorHAnsi" w:cstheme="minorBidi"/>
                <w:szCs w:val="22"/>
                <w:lang w:bidi="ar-SA"/>
              </w:rPr>
              <w:t xml:space="preserve"> </w:t>
            </w:r>
            <w:r w:rsidRPr="00F8101A">
              <w:rPr>
                <w:rFonts w:eastAsiaTheme="minorHAnsi" w:cstheme="minorBidi"/>
                <w:szCs w:val="22"/>
                <w:lang w:bidi="ar-SA"/>
              </w:rPr>
              <w:t>2003 (PFOS)</w:t>
            </w:r>
          </w:p>
        </w:tc>
        <w:tc>
          <w:tcPr>
            <w:tcW w:w="2384" w:type="dxa"/>
          </w:tcPr>
          <w:p w14:paraId="38176415" w14:textId="6AAC97F6" w:rsidR="00F8101A" w:rsidRPr="00F8101A" w:rsidRDefault="00AC51E8" w:rsidP="00A111E9">
            <w:pPr>
              <w:widowControl/>
              <w:tabs>
                <w:tab w:val="left" w:pos="1140"/>
              </w:tabs>
              <w:rPr>
                <w:rFonts w:eastAsiaTheme="minorHAnsi" w:cstheme="minorBidi"/>
                <w:szCs w:val="22"/>
                <w:lang w:bidi="ar-SA"/>
              </w:rPr>
            </w:pPr>
            <w:r>
              <w:rPr>
                <w:rFonts w:eastAsiaTheme="minorHAnsi" w:cstheme="minorBidi"/>
                <w:szCs w:val="22"/>
                <w:lang w:bidi="ar-SA"/>
              </w:rPr>
              <w:t xml:space="preserve">Costa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00F8101A" w:rsidRPr="00F8101A">
              <w:rPr>
                <w:rFonts w:eastAsiaTheme="minorHAnsi" w:cstheme="minorBidi"/>
                <w:szCs w:val="22"/>
                <w:lang w:bidi="ar-SA"/>
              </w:rPr>
              <w:t>2009</w:t>
            </w:r>
          </w:p>
        </w:tc>
      </w:tr>
      <w:tr w:rsidR="00F8101A" w:rsidRPr="00F8101A" w14:paraId="2187D6BA" w14:textId="77777777" w:rsidTr="002E4B80">
        <w:tc>
          <w:tcPr>
            <w:tcW w:w="2211" w:type="dxa"/>
          </w:tcPr>
          <w:p w14:paraId="3BE2C9CA" w14:textId="19EC2B7E" w:rsidR="00F8101A" w:rsidRPr="00F8101A" w:rsidRDefault="00F8101A" w:rsidP="00A111E9">
            <w:pPr>
              <w:widowControl/>
              <w:tabs>
                <w:tab w:val="left" w:pos="1140"/>
              </w:tabs>
              <w:rPr>
                <w:rFonts w:eastAsiaTheme="minorHAnsi" w:cstheme="minorBidi"/>
                <w:szCs w:val="22"/>
                <w:lang w:bidi="ar-SA"/>
              </w:rPr>
            </w:pPr>
          </w:p>
        </w:tc>
        <w:tc>
          <w:tcPr>
            <w:tcW w:w="2386" w:type="dxa"/>
          </w:tcPr>
          <w:p w14:paraId="06642F51" w14:textId="3681E7F0" w:rsidR="00F8101A" w:rsidRPr="00F8101A" w:rsidRDefault="002E4B80" w:rsidP="00A111E9">
            <w:pPr>
              <w:widowControl/>
              <w:tabs>
                <w:tab w:val="left" w:pos="1140"/>
              </w:tabs>
              <w:rPr>
                <w:rFonts w:eastAsiaTheme="minorHAnsi" w:cstheme="minorBidi"/>
                <w:szCs w:val="22"/>
                <w:lang w:bidi="ar-SA"/>
              </w:rPr>
            </w:pPr>
            <w:r w:rsidRPr="00F8101A">
              <w:rPr>
                <w:rFonts w:eastAsiaTheme="minorHAnsi" w:cstheme="minorBidi"/>
                <w:szCs w:val="22"/>
                <w:lang w:bidi="ar-SA"/>
              </w:rPr>
              <w:t xml:space="preserve">Lin </w:t>
            </w:r>
            <w:r w:rsidR="00180A32" w:rsidRPr="00180A32">
              <w:rPr>
                <w:rFonts w:eastAsiaTheme="minorHAnsi" w:cstheme="minorBidi"/>
                <w:i/>
                <w:szCs w:val="22"/>
                <w:lang w:bidi="ar-SA"/>
              </w:rPr>
              <w:t xml:space="preserve">et al. </w:t>
            </w:r>
            <w:r w:rsidR="005B4292">
              <w:rPr>
                <w:rFonts w:eastAsiaTheme="minorHAnsi" w:cstheme="minorBidi"/>
                <w:szCs w:val="22"/>
                <w:lang w:bidi="ar-SA"/>
              </w:rPr>
              <w:t xml:space="preserve"> </w:t>
            </w:r>
            <w:r w:rsidRPr="00F8101A">
              <w:rPr>
                <w:rFonts w:eastAsiaTheme="minorHAnsi" w:cstheme="minorBidi"/>
                <w:szCs w:val="22"/>
                <w:lang w:bidi="ar-SA"/>
              </w:rPr>
              <w:t xml:space="preserve">2013 </w:t>
            </w:r>
          </w:p>
        </w:tc>
        <w:tc>
          <w:tcPr>
            <w:tcW w:w="2341" w:type="dxa"/>
          </w:tcPr>
          <w:p w14:paraId="4C77DD3D" w14:textId="48E018A0" w:rsidR="00F8101A" w:rsidRPr="00F8101A" w:rsidRDefault="00AC51E8" w:rsidP="00A111E9">
            <w:pPr>
              <w:widowControl/>
              <w:tabs>
                <w:tab w:val="left" w:pos="1140"/>
              </w:tabs>
              <w:rPr>
                <w:rFonts w:eastAsiaTheme="minorHAnsi" w:cstheme="minorBidi"/>
                <w:szCs w:val="22"/>
                <w:lang w:bidi="ar-SA"/>
              </w:rPr>
            </w:pPr>
            <w:r>
              <w:rPr>
                <w:rFonts w:eastAsiaTheme="minorHAnsi" w:cstheme="minorBidi"/>
                <w:szCs w:val="22"/>
                <w:lang w:bidi="ar-SA"/>
              </w:rPr>
              <w:t xml:space="preserve">Steenland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00F8101A" w:rsidRPr="00F8101A">
              <w:rPr>
                <w:rFonts w:eastAsiaTheme="minorHAnsi" w:cstheme="minorBidi"/>
                <w:szCs w:val="22"/>
                <w:lang w:bidi="ar-SA"/>
              </w:rPr>
              <w:t>2009</w:t>
            </w:r>
          </w:p>
        </w:tc>
        <w:tc>
          <w:tcPr>
            <w:tcW w:w="2384" w:type="dxa"/>
          </w:tcPr>
          <w:p w14:paraId="2D6F4A73" w14:textId="02BCFB51" w:rsidR="00F8101A" w:rsidRPr="00F8101A" w:rsidRDefault="002E4B80" w:rsidP="00A111E9">
            <w:pPr>
              <w:widowControl/>
              <w:tabs>
                <w:tab w:val="left" w:pos="1140"/>
              </w:tabs>
              <w:rPr>
                <w:rFonts w:eastAsiaTheme="minorHAnsi" w:cstheme="minorBidi"/>
                <w:szCs w:val="22"/>
                <w:lang w:bidi="ar-SA"/>
              </w:rPr>
            </w:pPr>
            <w:r>
              <w:rPr>
                <w:rFonts w:eastAsiaTheme="minorHAnsi" w:cstheme="minorBidi"/>
                <w:szCs w:val="22"/>
                <w:lang w:bidi="ar-SA"/>
              </w:rPr>
              <w:t>Fisher</w:t>
            </w:r>
            <w:r w:rsidR="00AC51E8">
              <w:rPr>
                <w:rFonts w:eastAsiaTheme="minorHAnsi" w:cstheme="minorBidi"/>
                <w:szCs w:val="22"/>
                <w:lang w:bidi="ar-SA"/>
              </w:rPr>
              <w:t xml:space="preserve">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F8101A">
              <w:rPr>
                <w:rFonts w:eastAsiaTheme="minorHAnsi" w:cstheme="minorBidi"/>
                <w:szCs w:val="22"/>
                <w:lang w:bidi="ar-SA"/>
              </w:rPr>
              <w:t>2013</w:t>
            </w:r>
          </w:p>
        </w:tc>
      </w:tr>
      <w:tr w:rsidR="00F8101A" w:rsidRPr="00F8101A" w14:paraId="061B7E5B" w14:textId="77777777" w:rsidTr="002E4B80">
        <w:tc>
          <w:tcPr>
            <w:tcW w:w="2211" w:type="dxa"/>
          </w:tcPr>
          <w:p w14:paraId="734552D7" w14:textId="1F68A1C7" w:rsidR="00F8101A" w:rsidRPr="00F8101A" w:rsidRDefault="00F8101A" w:rsidP="00A111E9">
            <w:pPr>
              <w:widowControl/>
              <w:tabs>
                <w:tab w:val="left" w:pos="1140"/>
              </w:tabs>
              <w:rPr>
                <w:rFonts w:eastAsiaTheme="minorHAnsi" w:cstheme="minorBidi"/>
                <w:szCs w:val="22"/>
                <w:lang w:bidi="ar-SA"/>
              </w:rPr>
            </w:pPr>
          </w:p>
        </w:tc>
        <w:tc>
          <w:tcPr>
            <w:tcW w:w="2386" w:type="dxa"/>
          </w:tcPr>
          <w:p w14:paraId="458807ED" w14:textId="1483B6C4" w:rsidR="00F8101A" w:rsidRPr="00F8101A" w:rsidRDefault="002E4B80" w:rsidP="00A111E9">
            <w:pPr>
              <w:widowControl/>
              <w:tabs>
                <w:tab w:val="left" w:pos="1140"/>
              </w:tabs>
              <w:rPr>
                <w:rFonts w:eastAsiaTheme="minorHAnsi" w:cstheme="minorBidi"/>
                <w:szCs w:val="22"/>
                <w:lang w:bidi="ar-SA"/>
              </w:rPr>
            </w:pPr>
            <w:r w:rsidRPr="00F8101A">
              <w:rPr>
                <w:rFonts w:eastAsiaTheme="minorHAnsi" w:cstheme="minorBidi"/>
                <w:szCs w:val="22"/>
                <w:lang w:bidi="ar-SA"/>
              </w:rPr>
              <w:t>Maisonet</w:t>
            </w:r>
            <w:r w:rsidR="00AC51E8">
              <w:rPr>
                <w:rFonts w:eastAsiaTheme="minorHAnsi" w:cstheme="minorBidi"/>
                <w:szCs w:val="22"/>
                <w:lang w:bidi="ar-SA"/>
              </w:rPr>
              <w:t xml:space="preserve">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00F8101A" w:rsidRPr="00F8101A">
              <w:rPr>
                <w:rFonts w:eastAsiaTheme="minorHAnsi" w:cstheme="minorBidi"/>
                <w:szCs w:val="22"/>
                <w:lang w:bidi="ar-SA"/>
              </w:rPr>
              <w:t>2015</w:t>
            </w:r>
          </w:p>
        </w:tc>
        <w:tc>
          <w:tcPr>
            <w:tcW w:w="2341" w:type="dxa"/>
          </w:tcPr>
          <w:p w14:paraId="0EA4F8AD" w14:textId="5D5318D1" w:rsidR="00F8101A" w:rsidRPr="00F8101A" w:rsidRDefault="00AC51E8" w:rsidP="00A111E9">
            <w:pPr>
              <w:widowControl/>
              <w:tabs>
                <w:tab w:val="left" w:pos="1140"/>
              </w:tabs>
              <w:rPr>
                <w:rFonts w:eastAsiaTheme="minorHAnsi" w:cstheme="minorBidi"/>
                <w:szCs w:val="22"/>
                <w:lang w:bidi="ar-SA"/>
              </w:rPr>
            </w:pPr>
            <w:r>
              <w:rPr>
                <w:rFonts w:eastAsiaTheme="minorHAnsi" w:cstheme="minorBidi"/>
                <w:szCs w:val="22"/>
                <w:lang w:bidi="ar-SA"/>
              </w:rPr>
              <w:t xml:space="preserve">Nelson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00F8101A" w:rsidRPr="00F8101A">
              <w:rPr>
                <w:rFonts w:eastAsiaTheme="minorHAnsi" w:cstheme="minorBidi"/>
                <w:szCs w:val="22"/>
                <w:lang w:bidi="ar-SA"/>
              </w:rPr>
              <w:t>2010</w:t>
            </w:r>
          </w:p>
        </w:tc>
        <w:tc>
          <w:tcPr>
            <w:tcW w:w="2384" w:type="dxa"/>
          </w:tcPr>
          <w:p w14:paraId="69E4B5B3" w14:textId="13731B00" w:rsidR="00F8101A" w:rsidRPr="00F8101A" w:rsidRDefault="002E4B80" w:rsidP="00A111E9">
            <w:pPr>
              <w:widowControl/>
              <w:tabs>
                <w:tab w:val="left" w:pos="1140"/>
              </w:tabs>
              <w:rPr>
                <w:rFonts w:eastAsiaTheme="minorHAnsi" w:cstheme="minorBidi"/>
                <w:szCs w:val="22"/>
                <w:lang w:bidi="ar-SA"/>
              </w:rPr>
            </w:pPr>
            <w:r>
              <w:rPr>
                <w:rFonts w:eastAsiaTheme="minorHAnsi" w:cstheme="minorBidi"/>
                <w:szCs w:val="22"/>
                <w:lang w:bidi="ar-SA"/>
              </w:rPr>
              <w:t>Fu</w:t>
            </w:r>
            <w:r w:rsidR="00AC51E8">
              <w:rPr>
                <w:rFonts w:eastAsiaTheme="minorHAnsi" w:cstheme="minorBidi"/>
                <w:szCs w:val="22"/>
                <w:lang w:bidi="ar-SA"/>
              </w:rPr>
              <w:t xml:space="preserve">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F8101A">
              <w:rPr>
                <w:rFonts w:eastAsiaTheme="minorHAnsi" w:cstheme="minorBidi"/>
                <w:szCs w:val="22"/>
                <w:lang w:bidi="ar-SA"/>
              </w:rPr>
              <w:t>2014</w:t>
            </w:r>
          </w:p>
        </w:tc>
      </w:tr>
      <w:tr w:rsidR="00F8101A" w:rsidRPr="00F8101A" w14:paraId="6C3532F1" w14:textId="77777777" w:rsidTr="002E4B80">
        <w:tc>
          <w:tcPr>
            <w:tcW w:w="2211" w:type="dxa"/>
          </w:tcPr>
          <w:p w14:paraId="67CB12DE" w14:textId="7655E3CC" w:rsidR="00F8101A" w:rsidRPr="00F8101A" w:rsidRDefault="00F8101A" w:rsidP="00A111E9">
            <w:pPr>
              <w:widowControl/>
              <w:tabs>
                <w:tab w:val="left" w:pos="1140"/>
              </w:tabs>
              <w:rPr>
                <w:rFonts w:eastAsiaTheme="minorHAnsi" w:cstheme="minorBidi"/>
                <w:szCs w:val="22"/>
                <w:lang w:bidi="ar-SA"/>
              </w:rPr>
            </w:pPr>
          </w:p>
        </w:tc>
        <w:tc>
          <w:tcPr>
            <w:tcW w:w="2386" w:type="dxa"/>
          </w:tcPr>
          <w:p w14:paraId="749FB61F" w14:textId="3AB684CA" w:rsidR="00F8101A" w:rsidRPr="00F8101A" w:rsidRDefault="002E4B80" w:rsidP="00A111E9">
            <w:pPr>
              <w:widowControl/>
              <w:tabs>
                <w:tab w:val="left" w:pos="1140"/>
              </w:tabs>
              <w:rPr>
                <w:rFonts w:eastAsiaTheme="minorHAnsi" w:cstheme="minorBidi"/>
                <w:szCs w:val="22"/>
                <w:lang w:bidi="ar-SA"/>
              </w:rPr>
            </w:pPr>
            <w:r>
              <w:rPr>
                <w:rFonts w:eastAsiaTheme="minorHAnsi" w:cstheme="minorBidi"/>
                <w:szCs w:val="22"/>
                <w:lang w:bidi="ar-SA"/>
              </w:rPr>
              <w:t>Zeng</w:t>
            </w:r>
            <w:r w:rsidR="00AC51E8">
              <w:rPr>
                <w:rFonts w:eastAsiaTheme="minorHAnsi" w:cstheme="minorBidi"/>
                <w:szCs w:val="22"/>
                <w:lang w:bidi="ar-SA"/>
              </w:rPr>
              <w:t xml:space="preserve">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F8101A">
              <w:rPr>
                <w:rFonts w:eastAsiaTheme="minorHAnsi" w:cstheme="minorBidi"/>
                <w:szCs w:val="22"/>
                <w:lang w:bidi="ar-SA"/>
              </w:rPr>
              <w:t>2015</w:t>
            </w:r>
          </w:p>
        </w:tc>
        <w:tc>
          <w:tcPr>
            <w:tcW w:w="2341" w:type="dxa"/>
          </w:tcPr>
          <w:p w14:paraId="2E1ABD8C" w14:textId="33D671FE" w:rsidR="00F8101A" w:rsidRPr="00F8101A" w:rsidRDefault="00AC51E8" w:rsidP="00A111E9">
            <w:pPr>
              <w:widowControl/>
              <w:tabs>
                <w:tab w:val="left" w:pos="1140"/>
              </w:tabs>
              <w:rPr>
                <w:rFonts w:eastAsiaTheme="minorHAnsi" w:cstheme="minorBidi"/>
                <w:szCs w:val="22"/>
                <w:lang w:bidi="ar-SA"/>
              </w:rPr>
            </w:pPr>
            <w:r>
              <w:rPr>
                <w:rFonts w:eastAsiaTheme="minorHAnsi" w:cstheme="minorBidi"/>
                <w:szCs w:val="22"/>
                <w:lang w:bidi="ar-SA"/>
              </w:rPr>
              <w:t xml:space="preserve">Eriksen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00F8101A" w:rsidRPr="00F8101A">
              <w:rPr>
                <w:rFonts w:eastAsiaTheme="minorHAnsi" w:cstheme="minorBidi"/>
                <w:szCs w:val="22"/>
                <w:lang w:bidi="ar-SA"/>
              </w:rPr>
              <w:t>2013</w:t>
            </w:r>
          </w:p>
        </w:tc>
        <w:tc>
          <w:tcPr>
            <w:tcW w:w="2384" w:type="dxa"/>
          </w:tcPr>
          <w:p w14:paraId="52E6681E" w14:textId="5FD2BCCD" w:rsidR="00F8101A" w:rsidRPr="00F8101A" w:rsidRDefault="002E4B80" w:rsidP="00A111E9">
            <w:pPr>
              <w:widowControl/>
              <w:tabs>
                <w:tab w:val="left" w:pos="1140"/>
              </w:tabs>
              <w:rPr>
                <w:rFonts w:eastAsiaTheme="minorHAnsi" w:cstheme="minorBidi"/>
                <w:szCs w:val="22"/>
                <w:lang w:bidi="ar-SA"/>
              </w:rPr>
            </w:pPr>
            <w:r>
              <w:rPr>
                <w:rFonts w:eastAsiaTheme="minorHAnsi" w:cstheme="minorBidi"/>
                <w:szCs w:val="22"/>
                <w:lang w:bidi="ar-SA"/>
              </w:rPr>
              <w:t>Wang</w:t>
            </w:r>
            <w:r w:rsidR="00F8101A" w:rsidRPr="00F8101A">
              <w:rPr>
                <w:rFonts w:eastAsiaTheme="minorHAnsi" w:cstheme="minorBidi"/>
                <w:szCs w:val="22"/>
                <w:lang w:bidi="ar-SA"/>
              </w:rPr>
              <w:t xml:space="preserve">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F8101A">
              <w:rPr>
                <w:rFonts w:eastAsiaTheme="minorHAnsi" w:cstheme="minorBidi"/>
                <w:szCs w:val="22"/>
                <w:lang w:bidi="ar-SA"/>
              </w:rPr>
              <w:t>2012</w:t>
            </w:r>
          </w:p>
        </w:tc>
      </w:tr>
    </w:tbl>
    <w:p w14:paraId="4F904DC6" w14:textId="77777777" w:rsidR="00F8101A" w:rsidRPr="00F8101A" w:rsidRDefault="00F8101A" w:rsidP="00A111E9">
      <w:pPr>
        <w:widowControl/>
        <w:tabs>
          <w:tab w:val="left" w:pos="1140"/>
        </w:tabs>
        <w:rPr>
          <w:rFonts w:eastAsiaTheme="minorHAnsi" w:cstheme="minorBidi"/>
          <w:szCs w:val="22"/>
          <w:lang w:bidi="ar-SA"/>
        </w:rPr>
      </w:pPr>
    </w:p>
    <w:p w14:paraId="6E04886F" w14:textId="77777777" w:rsidR="00F8101A" w:rsidRPr="00F8101A" w:rsidRDefault="00F8101A" w:rsidP="004264B6">
      <w:pPr>
        <w:pStyle w:val="Heading5"/>
        <w:rPr>
          <w:rFonts w:eastAsiaTheme="minorHAnsi"/>
        </w:rPr>
      </w:pPr>
      <w:r w:rsidRPr="00F8101A">
        <w:rPr>
          <w:rFonts w:eastAsiaTheme="minorHAnsi"/>
        </w:rPr>
        <w:t>Graphical presentation</w:t>
      </w:r>
    </w:p>
    <w:p w14:paraId="0869E286" w14:textId="423D093B" w:rsidR="00F8101A" w:rsidRPr="00F8101A" w:rsidRDefault="00F8101A" w:rsidP="00A111E9">
      <w:pPr>
        <w:widowControl/>
        <w:rPr>
          <w:rFonts w:eastAsiaTheme="minorHAnsi" w:cstheme="minorBidi"/>
          <w:szCs w:val="22"/>
          <w:lang w:bidi="ar-SA"/>
        </w:rPr>
      </w:pPr>
      <w:r w:rsidRPr="00F8101A">
        <w:rPr>
          <w:rFonts w:eastAsiaTheme="minorHAnsi" w:cstheme="minorBidi"/>
          <w:szCs w:val="22"/>
          <w:lang w:bidi="ar-SA"/>
        </w:rPr>
        <w:t>The literature can be grouped in several different ways</w:t>
      </w:r>
      <w:r w:rsidR="00FB16D3">
        <w:rPr>
          <w:rFonts w:eastAsiaTheme="minorHAnsi" w:cstheme="minorBidi"/>
          <w:szCs w:val="22"/>
          <w:lang w:bidi="ar-SA"/>
        </w:rPr>
        <w:t>:</w:t>
      </w:r>
    </w:p>
    <w:p w14:paraId="6123E779" w14:textId="65F50CBB" w:rsidR="00F8101A" w:rsidRPr="00F8101A" w:rsidRDefault="005B4292" w:rsidP="00DE222C">
      <w:pPr>
        <w:pStyle w:val="FSBullet1"/>
        <w:rPr>
          <w:rFonts w:eastAsiaTheme="minorHAnsi"/>
        </w:rPr>
      </w:pPr>
      <w:r>
        <w:rPr>
          <w:rFonts w:eastAsiaTheme="minorHAnsi"/>
        </w:rPr>
        <w:t>c</w:t>
      </w:r>
      <w:r w:rsidR="00F8101A" w:rsidRPr="00F8101A">
        <w:rPr>
          <w:rFonts w:eastAsiaTheme="minorHAnsi"/>
        </w:rPr>
        <w:t>ross-sectional versus multiple measurements over time</w:t>
      </w:r>
    </w:p>
    <w:p w14:paraId="39740106" w14:textId="393804FD" w:rsidR="00F8101A" w:rsidRPr="00F8101A" w:rsidRDefault="00986779" w:rsidP="00DE222C">
      <w:pPr>
        <w:pStyle w:val="FSBullet1"/>
        <w:rPr>
          <w:rFonts w:eastAsiaTheme="minorHAnsi"/>
        </w:rPr>
      </w:pPr>
      <w:r>
        <w:rPr>
          <w:rFonts w:eastAsiaTheme="minorHAnsi"/>
        </w:rPr>
        <w:t>b</w:t>
      </w:r>
      <w:r w:rsidR="00F8101A" w:rsidRPr="00F8101A">
        <w:rPr>
          <w:rFonts w:eastAsiaTheme="minorHAnsi"/>
        </w:rPr>
        <w:t>y age and stage: children (including adolescents), pregnant women and non-pregnant adults</w:t>
      </w:r>
    </w:p>
    <w:p w14:paraId="32580485" w14:textId="3524331B" w:rsidR="00F8101A" w:rsidRPr="00F8101A" w:rsidRDefault="00986779" w:rsidP="00DE222C">
      <w:pPr>
        <w:pStyle w:val="FSBullet1"/>
        <w:rPr>
          <w:rFonts w:eastAsiaTheme="minorHAnsi"/>
        </w:rPr>
      </w:pPr>
      <w:r>
        <w:rPr>
          <w:rFonts w:eastAsiaTheme="minorHAnsi"/>
        </w:rPr>
        <w:t>d</w:t>
      </w:r>
      <w:r w:rsidR="00F8101A" w:rsidRPr="00F8101A">
        <w:rPr>
          <w:rFonts w:eastAsiaTheme="minorHAnsi"/>
        </w:rPr>
        <w:t>egree of exposure: occupational studies, highly exposed populations, general populations</w:t>
      </w:r>
      <w:r w:rsidR="00FB16D3">
        <w:rPr>
          <w:rFonts w:eastAsiaTheme="minorHAnsi"/>
        </w:rPr>
        <w:t>.</w:t>
      </w:r>
    </w:p>
    <w:p w14:paraId="75B224C6" w14:textId="77777777" w:rsidR="00F8101A" w:rsidRPr="00F8101A" w:rsidRDefault="00F8101A" w:rsidP="00A111E9">
      <w:pPr>
        <w:widowControl/>
        <w:rPr>
          <w:rFonts w:eastAsiaTheme="minorHAnsi" w:cstheme="minorBidi"/>
          <w:szCs w:val="22"/>
          <w:lang w:bidi="ar-SA"/>
        </w:rPr>
      </w:pPr>
    </w:p>
    <w:p w14:paraId="4E39C48D" w14:textId="6F9F6D66" w:rsidR="00F8101A" w:rsidRPr="00F8101A" w:rsidRDefault="00F8101A" w:rsidP="00A111E9">
      <w:pPr>
        <w:widowControl/>
        <w:rPr>
          <w:rFonts w:eastAsiaTheme="minorHAnsi" w:cstheme="minorBidi"/>
          <w:szCs w:val="22"/>
          <w:lang w:bidi="ar-SA"/>
        </w:rPr>
      </w:pPr>
      <w:r w:rsidRPr="00F8101A">
        <w:rPr>
          <w:rFonts w:eastAsiaTheme="minorHAnsi" w:cstheme="minorBidi"/>
          <w:szCs w:val="22"/>
          <w:lang w:bidi="ar-SA"/>
        </w:rPr>
        <w:lastRenderedPageBreak/>
        <w:t>Most papers describe cross-sectional associations. As not all occupations involving PFAS confer the same degree of exposure, FSANZ does not think it is useful to consider these as a group without examining the degree of exposure as has been done by some authors. Instead, FSANZ has chosen to group papers using age/stage and examine the association across all ranges of exposure.</w:t>
      </w:r>
    </w:p>
    <w:p w14:paraId="3116B9E8" w14:textId="77777777" w:rsidR="00C52465" w:rsidRPr="00F8101A" w:rsidRDefault="00C52465" w:rsidP="00A111E9">
      <w:pPr>
        <w:widowControl/>
        <w:rPr>
          <w:rFonts w:eastAsiaTheme="minorHAnsi" w:cstheme="minorBidi"/>
          <w:szCs w:val="22"/>
          <w:lang w:bidi="ar-SA"/>
        </w:rPr>
      </w:pPr>
    </w:p>
    <w:p w14:paraId="19364265" w14:textId="06E3145A" w:rsidR="00F8101A" w:rsidRPr="00CA37F9" w:rsidRDefault="00F8101A" w:rsidP="00A111E9">
      <w:pPr>
        <w:widowControl/>
        <w:rPr>
          <w:rFonts w:eastAsiaTheme="minorHAnsi" w:cstheme="minorBidi"/>
          <w:szCs w:val="22"/>
          <w:lang w:bidi="ar-SA"/>
        </w:rPr>
      </w:pPr>
      <w:r w:rsidRPr="00F8101A">
        <w:rPr>
          <w:rFonts w:eastAsiaTheme="minorHAnsi" w:cstheme="minorBidi"/>
          <w:szCs w:val="22"/>
          <w:lang w:bidi="ar-SA"/>
        </w:rPr>
        <w:t xml:space="preserve">The variable reporting format used by the authors of papers makes it hard to compare the study results. Even when results are reported for quartiles, these are not comparable because the range of serum PFAS concentrations varies across the study populations and so the quartiles in each study describe a different exposure. Therefore FSANZ has presented the results graphically to illustrate the range of exposure in each study and the effect on serum cholesterol concentrations. The most adjusted result was extracted, except in the case of Maisonet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004974B8">
        <w:rPr>
          <w:rFonts w:eastAsiaTheme="minorHAnsi" w:cstheme="minorBidi"/>
          <w:szCs w:val="22"/>
          <w:lang w:bidi="ar-SA"/>
        </w:rPr>
        <w:t>(2015;</w:t>
      </w:r>
      <w:r w:rsidRPr="00F8101A">
        <w:rPr>
          <w:rFonts w:eastAsiaTheme="minorHAnsi" w:cstheme="minorBidi"/>
          <w:szCs w:val="22"/>
          <w:lang w:bidi="ar-SA"/>
        </w:rPr>
        <w:t xml:space="preserve"> see below). It is noted that several studies did not adjust their results for confounders or comment on why this was not done. When a study reported both a linear and a categorical analysis, the categorical result was chosen as this analysis contains fewer assumptions (i.e. the continuous analyses usually assumed a log-linear association). Results for each quantile was chosen in </w:t>
      </w:r>
      <w:r w:rsidRPr="00CA37F9">
        <w:rPr>
          <w:rFonts w:eastAsiaTheme="minorHAnsi" w:cstheme="minorBidi"/>
          <w:szCs w:val="22"/>
          <w:lang w:bidi="ar-SA"/>
        </w:rPr>
        <w:t>preference to the difference for an interquartile range, when both were reported, because the former would provide more detail.</w:t>
      </w:r>
    </w:p>
    <w:p w14:paraId="519DE91E" w14:textId="56074927" w:rsidR="00F8101A" w:rsidRPr="00F8101A" w:rsidRDefault="00F8101A" w:rsidP="00A111E9">
      <w:pPr>
        <w:widowControl/>
        <w:tabs>
          <w:tab w:val="left" w:pos="1140"/>
        </w:tabs>
        <w:rPr>
          <w:rFonts w:eastAsiaTheme="minorHAnsi" w:cstheme="minorBidi"/>
          <w:szCs w:val="22"/>
          <w:lang w:bidi="ar-SA"/>
        </w:rPr>
      </w:pPr>
      <w:r w:rsidRPr="004766BF">
        <w:rPr>
          <w:rFonts w:eastAsiaTheme="minorHAnsi" w:cstheme="minorBidi"/>
          <w:szCs w:val="22"/>
          <w:lang w:bidi="ar-SA"/>
        </w:rPr>
        <w:t>Where papers report values for quantiles</w:t>
      </w:r>
      <w:r w:rsidRPr="004461DC">
        <w:rPr>
          <w:rFonts w:eastAsiaTheme="minorHAnsi" w:cstheme="minorBidi"/>
          <w:szCs w:val="22"/>
          <w:lang w:bidi="ar-SA"/>
        </w:rPr>
        <w:t xml:space="preserve"> of PFAS (e.g. tertiles, quintiles), then the data are graphed as difference in mean cholesterol concentration compared to the lowest quantile value. Most papers presented their data in this form. Some papers provide the upper and lower bound of each quant</w:t>
      </w:r>
      <w:r w:rsidRPr="00AE1CEA">
        <w:rPr>
          <w:rFonts w:eastAsiaTheme="minorHAnsi" w:cstheme="minorBidi"/>
          <w:szCs w:val="22"/>
          <w:lang w:bidi="ar-SA"/>
        </w:rPr>
        <w:t>ile</w:t>
      </w:r>
      <w:r w:rsidR="00CA37F9" w:rsidRPr="00537AC4">
        <w:rPr>
          <w:rFonts w:eastAsiaTheme="minorHAnsi" w:cstheme="minorBidi"/>
          <w:szCs w:val="22"/>
          <w:lang w:bidi="ar-SA"/>
        </w:rPr>
        <w:t xml:space="preserve"> </w:t>
      </w:r>
      <w:r w:rsidR="00CA37F9" w:rsidRPr="00CA37F9">
        <w:rPr>
          <w:rFonts w:eastAsiaTheme="minorHAnsi" w:cstheme="minorBidi"/>
          <w:szCs w:val="22"/>
          <w:lang w:bidi="ar-SA"/>
        </w:rPr>
        <w:t>and t</w:t>
      </w:r>
      <w:r w:rsidRPr="00CA37F9">
        <w:rPr>
          <w:rFonts w:eastAsiaTheme="minorHAnsi" w:cstheme="minorBidi"/>
          <w:szCs w:val="22"/>
          <w:lang w:bidi="ar-SA"/>
        </w:rPr>
        <w:t>he data were graphed as steps</w:t>
      </w:r>
      <w:r w:rsidR="00CA37F9" w:rsidRPr="00CA37F9">
        <w:rPr>
          <w:rFonts w:eastAsiaTheme="minorHAnsi" w:cstheme="minorBidi"/>
          <w:szCs w:val="22"/>
          <w:lang w:bidi="ar-SA"/>
        </w:rPr>
        <w:t>.  In this case</w:t>
      </w:r>
      <w:r w:rsidRPr="00CA37F9">
        <w:rPr>
          <w:rFonts w:eastAsiaTheme="minorHAnsi" w:cstheme="minorBidi"/>
          <w:szCs w:val="22"/>
          <w:lang w:bidi="ar-SA"/>
        </w:rPr>
        <w:t xml:space="preserve">the lowest and highest ‘step’ is shown as a single point and the reader should understand that the plot extends to each side of what has been graphed, but for an unstated </w:t>
      </w:r>
      <w:r w:rsidR="00CA37F9" w:rsidRPr="00CA37F9">
        <w:rPr>
          <w:rFonts w:eastAsiaTheme="minorHAnsi" w:cstheme="minorBidi"/>
          <w:szCs w:val="22"/>
          <w:lang w:bidi="ar-SA"/>
        </w:rPr>
        <w:t xml:space="preserve">distance because many authors did not describe the maximum and minimum PFAS concenrations in their populations. </w:t>
      </w:r>
      <w:r w:rsidRPr="00CA37F9">
        <w:rPr>
          <w:rFonts w:eastAsiaTheme="minorHAnsi" w:cstheme="minorBidi"/>
          <w:szCs w:val="22"/>
          <w:lang w:bidi="ar-SA"/>
        </w:rPr>
        <w:t xml:space="preserve"> Where the authors gave the median (or occasionally the mean) value in the quantile, the medians are plotted and joined with a line. If the line had been fitted </w:t>
      </w:r>
      <w:r w:rsidRPr="00F8101A">
        <w:rPr>
          <w:rFonts w:eastAsiaTheme="minorHAnsi" w:cstheme="minorBidi"/>
          <w:szCs w:val="22"/>
          <w:lang w:bidi="ar-SA"/>
        </w:rPr>
        <w:t xml:space="preserve"> then the line was extracted and is plotted without markers. In one instance (Maisonet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F8101A">
        <w:rPr>
          <w:rFonts w:eastAsiaTheme="minorHAnsi" w:cstheme="minorBidi"/>
          <w:szCs w:val="22"/>
          <w:lang w:bidi="ar-SA"/>
        </w:rPr>
        <w:t>2015) a piecewise regression was fitted and this was extracted. In these latter cases, the lowest point on the line has been used to start the line at the zero mark. The width of the line was scaled to increase with the sample size of the studies.</w:t>
      </w:r>
    </w:p>
    <w:p w14:paraId="3205083B" w14:textId="77777777" w:rsidR="00F8101A" w:rsidRPr="00F8101A" w:rsidRDefault="00F8101A" w:rsidP="00A111E9">
      <w:pPr>
        <w:widowControl/>
        <w:tabs>
          <w:tab w:val="left" w:pos="1140"/>
        </w:tabs>
        <w:rPr>
          <w:rFonts w:eastAsiaTheme="minorHAnsi" w:cstheme="minorBidi"/>
          <w:szCs w:val="22"/>
          <w:lang w:bidi="ar-SA"/>
        </w:rPr>
      </w:pPr>
    </w:p>
    <w:p w14:paraId="06197B3B" w14:textId="20D0A399" w:rsidR="00F8101A" w:rsidRPr="00F8101A" w:rsidRDefault="00F8101A" w:rsidP="00A111E9">
      <w:pPr>
        <w:widowControl/>
        <w:rPr>
          <w:rFonts w:eastAsiaTheme="minorHAnsi" w:cstheme="minorBidi"/>
          <w:szCs w:val="22"/>
          <w:lang w:bidi="ar-SA"/>
        </w:rPr>
      </w:pPr>
      <w:r w:rsidRPr="00F8101A">
        <w:rPr>
          <w:rFonts w:eastAsiaTheme="minorHAnsi" w:cstheme="minorBidi"/>
          <w:szCs w:val="22"/>
          <w:lang w:bidi="ar-SA"/>
        </w:rPr>
        <w:t xml:space="preserve">Furthermore, some studies did not report sufficient numerical information to allow their results to be plotted, usually </w:t>
      </w:r>
      <w:r w:rsidRPr="00CA37F9">
        <w:rPr>
          <w:rFonts w:eastAsiaTheme="minorHAnsi" w:cstheme="minorBidi"/>
          <w:szCs w:val="22"/>
          <w:lang w:bidi="ar-SA"/>
        </w:rPr>
        <w:t xml:space="preserve">because they were not statistically significant. A table of results from  papers which could not be graphed is presented as part of each figure. Results have been plotted regardless of statistical significance because p-values are not a measure of effect but </w:t>
      </w:r>
      <w:r w:rsidR="00CA37F9" w:rsidRPr="00CA37F9">
        <w:rPr>
          <w:rFonts w:eastAsiaTheme="minorHAnsi" w:cstheme="minorBidi"/>
          <w:szCs w:val="22"/>
          <w:lang w:bidi="ar-SA"/>
        </w:rPr>
        <w:t xml:space="preserve">describe </w:t>
      </w:r>
      <w:r w:rsidRPr="00CA37F9">
        <w:rPr>
          <w:rFonts w:eastAsiaTheme="minorHAnsi" w:cstheme="minorBidi"/>
          <w:szCs w:val="22"/>
          <w:lang w:bidi="ar-SA"/>
        </w:rPr>
        <w:t>e of chance. If there is truly no</w:t>
      </w:r>
      <w:r w:rsidRPr="00F8101A">
        <w:rPr>
          <w:rFonts w:eastAsiaTheme="minorHAnsi" w:cstheme="minorBidi"/>
          <w:szCs w:val="22"/>
          <w:lang w:bidi="ar-SA"/>
        </w:rPr>
        <w:t xml:space="preserve"> association, then this can never be statistically significant and so ignoring non-significant results as being </w:t>
      </w:r>
      <w:r w:rsidR="005B4292">
        <w:rPr>
          <w:rFonts w:eastAsiaTheme="minorHAnsi" w:cstheme="minorBidi"/>
          <w:szCs w:val="22"/>
          <w:lang w:bidi="ar-SA"/>
        </w:rPr>
        <w:t>uninformative</w:t>
      </w:r>
      <w:r w:rsidRPr="00F8101A">
        <w:rPr>
          <w:rFonts w:eastAsiaTheme="minorHAnsi" w:cstheme="minorBidi"/>
          <w:szCs w:val="22"/>
          <w:lang w:bidi="ar-SA"/>
        </w:rPr>
        <w:t xml:space="preserve"> would automatically skew the body of evidence. Where necessary, data were extracted from graphs using WebPlot Digitiser Version 3.10 (</w:t>
      </w:r>
      <w:r w:rsidRPr="00F8101A">
        <w:rPr>
          <w:rFonts w:eastAsiaTheme="minorHAnsi" w:cstheme="minorBidi"/>
          <w:color w:val="0000FF" w:themeColor="hyperlink"/>
          <w:szCs w:val="22"/>
          <w:u w:val="single"/>
          <w:lang w:bidi="ar-SA"/>
        </w:rPr>
        <w:t>http://arohatgi.info/WebPlotDigitizer/</w:t>
      </w:r>
      <w:r w:rsidRPr="00F8101A">
        <w:rPr>
          <w:rFonts w:eastAsiaTheme="minorHAnsi" w:cstheme="minorBidi"/>
          <w:szCs w:val="22"/>
          <w:lang w:bidi="ar-SA"/>
        </w:rPr>
        <w:t>). Cholesterol concentrations</w:t>
      </w:r>
      <w:r w:rsidR="005B4292">
        <w:rPr>
          <w:rFonts w:eastAsiaTheme="minorHAnsi" w:cstheme="minorBidi"/>
          <w:szCs w:val="22"/>
          <w:lang w:bidi="ar-SA"/>
        </w:rPr>
        <w:t xml:space="preserve"> reported</w:t>
      </w:r>
      <w:r w:rsidRPr="00F8101A">
        <w:rPr>
          <w:rFonts w:eastAsiaTheme="minorHAnsi" w:cstheme="minorBidi"/>
          <w:szCs w:val="22"/>
          <w:lang w:bidi="ar-SA"/>
        </w:rPr>
        <w:t xml:space="preserve"> in mg/dL were converted to mmol/L by dividing by 3</w:t>
      </w:r>
      <w:r w:rsidR="00FB16D3">
        <w:rPr>
          <w:rFonts w:eastAsiaTheme="minorHAnsi" w:cstheme="minorBidi"/>
          <w:szCs w:val="22"/>
          <w:lang w:bidi="ar-SA"/>
        </w:rPr>
        <w:t>8.6</w:t>
      </w:r>
      <w:r w:rsidRPr="00F8101A">
        <w:rPr>
          <w:rFonts w:eastAsiaTheme="minorHAnsi" w:cstheme="minorBidi"/>
          <w:szCs w:val="22"/>
          <w:lang w:bidi="ar-SA"/>
        </w:rPr>
        <w:t>. PFAS concentrations reported as ppm were converted to ng/mL by assuming a density of 1 mL</w:t>
      </w:r>
      <w:r w:rsidR="00F768EC">
        <w:rPr>
          <w:rFonts w:eastAsiaTheme="minorHAnsi" w:cstheme="minorBidi"/>
          <w:szCs w:val="22"/>
          <w:lang w:bidi="ar-SA"/>
        </w:rPr>
        <w:t xml:space="preserve"> </w:t>
      </w:r>
      <w:r w:rsidRPr="00F8101A">
        <w:rPr>
          <w:rFonts w:eastAsiaTheme="minorHAnsi" w:cstheme="minorBidi"/>
          <w:szCs w:val="22"/>
          <w:lang w:bidi="ar-SA"/>
        </w:rPr>
        <w:t>=</w:t>
      </w:r>
      <w:r w:rsidR="00F768EC">
        <w:rPr>
          <w:rFonts w:eastAsiaTheme="minorHAnsi" w:cstheme="minorBidi"/>
          <w:szCs w:val="22"/>
          <w:lang w:bidi="ar-SA"/>
        </w:rPr>
        <w:t xml:space="preserve"> </w:t>
      </w:r>
      <w:r w:rsidR="00F768EC" w:rsidRPr="00F8101A">
        <w:rPr>
          <w:rFonts w:eastAsiaTheme="minorHAnsi" w:cstheme="minorBidi"/>
          <w:szCs w:val="22"/>
          <w:lang w:bidi="ar-SA"/>
        </w:rPr>
        <w:t>1</w:t>
      </w:r>
      <w:r w:rsidR="00F768EC">
        <w:rPr>
          <w:rFonts w:eastAsiaTheme="minorHAnsi" w:cstheme="minorBidi"/>
          <w:szCs w:val="22"/>
          <w:lang w:bidi="ar-SA"/>
        </w:rPr>
        <w:t> </w:t>
      </w:r>
      <w:r w:rsidRPr="00F8101A">
        <w:rPr>
          <w:rFonts w:eastAsiaTheme="minorHAnsi" w:cstheme="minorBidi"/>
          <w:szCs w:val="22"/>
          <w:lang w:bidi="ar-SA"/>
        </w:rPr>
        <w:t>g.</w:t>
      </w:r>
    </w:p>
    <w:p w14:paraId="0304B4AF" w14:textId="77777777" w:rsidR="00F8101A" w:rsidRPr="00F8101A" w:rsidRDefault="00F8101A" w:rsidP="004264B6">
      <w:pPr>
        <w:pStyle w:val="Heading4"/>
      </w:pPr>
      <w:bookmarkStart w:id="597" w:name="_Toc468693991"/>
      <w:bookmarkStart w:id="598" w:name="_Toc468712807"/>
      <w:bookmarkStart w:id="599" w:name="_Toc468716499"/>
      <w:bookmarkStart w:id="600" w:name="_Toc468709486"/>
      <w:bookmarkStart w:id="601" w:name="_Toc468717786"/>
      <w:bookmarkStart w:id="602" w:name="_Toc468718430"/>
      <w:bookmarkStart w:id="603" w:name="_Toc468719410"/>
      <w:r w:rsidRPr="00F8101A">
        <w:t>Association of PFOA with cholesterol concentrations</w:t>
      </w:r>
      <w:bookmarkEnd w:id="597"/>
      <w:bookmarkEnd w:id="598"/>
      <w:bookmarkEnd w:id="599"/>
      <w:bookmarkEnd w:id="600"/>
      <w:bookmarkEnd w:id="601"/>
      <w:bookmarkEnd w:id="602"/>
      <w:bookmarkEnd w:id="603"/>
    </w:p>
    <w:p w14:paraId="669448A8" w14:textId="5F05D47E" w:rsidR="00F8101A" w:rsidRPr="00F8101A" w:rsidRDefault="00DE222C" w:rsidP="004264B6">
      <w:pPr>
        <w:pStyle w:val="Heading5"/>
        <w:rPr>
          <w:rFonts w:eastAsiaTheme="majorEastAsia"/>
        </w:rPr>
      </w:pPr>
      <w:bookmarkStart w:id="604" w:name="_Toc468693992"/>
      <w:bookmarkStart w:id="605" w:name="_Toc468712808"/>
      <w:bookmarkStart w:id="606" w:name="_Toc468716500"/>
      <w:bookmarkStart w:id="607" w:name="_Toc468709487"/>
      <w:bookmarkStart w:id="608" w:name="_Toc468717787"/>
      <w:bookmarkStart w:id="609" w:name="_Toc468718431"/>
      <w:bookmarkStart w:id="610" w:name="_Toc468719411"/>
      <w:r>
        <w:t>N</w:t>
      </w:r>
      <w:r w:rsidR="00F8101A" w:rsidRPr="00F8101A">
        <w:rPr>
          <w:rFonts w:eastAsiaTheme="majorEastAsia"/>
        </w:rPr>
        <w:t>on-pregnant adults</w:t>
      </w:r>
      <w:bookmarkEnd w:id="604"/>
      <w:bookmarkEnd w:id="605"/>
      <w:bookmarkEnd w:id="606"/>
      <w:bookmarkEnd w:id="607"/>
      <w:bookmarkEnd w:id="608"/>
      <w:bookmarkEnd w:id="609"/>
      <w:bookmarkEnd w:id="610"/>
    </w:p>
    <w:p w14:paraId="61B43FE1" w14:textId="1BD0A79E" w:rsidR="00F8101A" w:rsidRPr="00F8101A" w:rsidRDefault="00F8101A" w:rsidP="00A111E9">
      <w:pPr>
        <w:widowControl/>
        <w:rPr>
          <w:rFonts w:eastAsiaTheme="minorHAnsi" w:cstheme="minorBidi"/>
          <w:szCs w:val="22"/>
          <w:lang w:bidi="ar-SA"/>
        </w:rPr>
      </w:pPr>
      <w:r w:rsidRPr="00F8101A">
        <w:rPr>
          <w:rFonts w:eastAsiaTheme="minorHAnsi" w:cstheme="minorBidi"/>
          <w:szCs w:val="22"/>
          <w:lang w:bidi="ar-SA"/>
        </w:rPr>
        <w:t xml:space="preserve">The results for studies reporting associations between PFOA and total-C are shown in Figure </w:t>
      </w:r>
      <w:r w:rsidR="00C52465">
        <w:rPr>
          <w:rFonts w:eastAsiaTheme="minorHAnsi" w:cstheme="minorBidi"/>
          <w:szCs w:val="22"/>
          <w:lang w:bidi="ar-SA"/>
        </w:rPr>
        <w:t>A2.</w:t>
      </w:r>
      <w:r w:rsidRPr="00F8101A">
        <w:rPr>
          <w:rFonts w:eastAsiaTheme="minorHAnsi" w:cstheme="minorBidi"/>
          <w:szCs w:val="22"/>
          <w:lang w:bidi="ar-SA"/>
        </w:rPr>
        <w:t xml:space="preserve">1, for LDL-C in Figure </w:t>
      </w:r>
      <w:r w:rsidR="00C52465">
        <w:rPr>
          <w:rFonts w:eastAsiaTheme="minorHAnsi" w:cstheme="minorBidi"/>
          <w:szCs w:val="22"/>
          <w:lang w:bidi="ar-SA"/>
        </w:rPr>
        <w:t>A2.</w:t>
      </w:r>
      <w:r w:rsidRPr="00F8101A">
        <w:rPr>
          <w:rFonts w:eastAsiaTheme="minorHAnsi" w:cstheme="minorBidi"/>
          <w:szCs w:val="22"/>
          <w:lang w:bidi="ar-SA"/>
        </w:rPr>
        <w:t xml:space="preserve">2 and HDL-C in Figure </w:t>
      </w:r>
      <w:r w:rsidR="00C52465">
        <w:rPr>
          <w:rFonts w:eastAsiaTheme="minorHAnsi" w:cstheme="minorBidi"/>
          <w:szCs w:val="22"/>
          <w:lang w:bidi="ar-SA"/>
        </w:rPr>
        <w:t>A2.</w:t>
      </w:r>
      <w:r w:rsidRPr="00F8101A">
        <w:rPr>
          <w:rFonts w:eastAsiaTheme="minorHAnsi" w:cstheme="minorBidi"/>
          <w:szCs w:val="22"/>
          <w:lang w:bidi="ar-SA"/>
        </w:rPr>
        <w:t>3. All studies are cross-sectional. The graphs show the results for in</w:t>
      </w:r>
      <w:r w:rsidR="00F97564">
        <w:rPr>
          <w:rFonts w:eastAsiaTheme="minorHAnsi" w:cstheme="minorBidi"/>
          <w:szCs w:val="22"/>
          <w:lang w:bidi="ar-SA"/>
        </w:rPr>
        <w:t xml:space="preserve">dustrially exposed (Olsen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F8101A">
        <w:rPr>
          <w:rFonts w:eastAsiaTheme="minorHAnsi" w:cstheme="minorBidi"/>
          <w:szCs w:val="22"/>
          <w:lang w:bidi="ar-SA"/>
        </w:rPr>
        <w:t xml:space="preserve">2007; Steenland </w:t>
      </w:r>
      <w:r w:rsidR="00180A32" w:rsidRPr="00180A32">
        <w:rPr>
          <w:rFonts w:eastAsiaTheme="minorHAnsi" w:cstheme="minorBidi"/>
          <w:i/>
          <w:szCs w:val="22"/>
          <w:lang w:bidi="ar-SA"/>
        </w:rPr>
        <w:t xml:space="preserve">et al. </w:t>
      </w:r>
      <w:r w:rsidRPr="00F8101A">
        <w:rPr>
          <w:rFonts w:eastAsiaTheme="minorHAnsi" w:cstheme="minorBidi"/>
          <w:szCs w:val="22"/>
          <w:lang w:bidi="ar-SA"/>
        </w:rPr>
        <w:t xml:space="preserve"> 2009) and general populations, including the NHANES population (Nelson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F8101A">
        <w:rPr>
          <w:rFonts w:eastAsiaTheme="minorHAnsi" w:cstheme="minorBidi"/>
          <w:szCs w:val="22"/>
          <w:lang w:bidi="ar-SA"/>
        </w:rPr>
        <w:t>2012). By far the largest</w:t>
      </w:r>
      <w:r w:rsidR="00FB16D3">
        <w:rPr>
          <w:rFonts w:eastAsiaTheme="minorHAnsi" w:cstheme="minorBidi"/>
          <w:szCs w:val="22"/>
          <w:lang w:bidi="ar-SA"/>
        </w:rPr>
        <w:t xml:space="preserve"> study is that from the C8 group (Steenl</w:t>
      </w:r>
      <w:r w:rsidRPr="00F8101A">
        <w:rPr>
          <w:rFonts w:eastAsiaTheme="minorHAnsi" w:cstheme="minorBidi"/>
          <w:szCs w:val="22"/>
          <w:lang w:bidi="ar-SA"/>
        </w:rPr>
        <w:t xml:space="preserve">and </w:t>
      </w:r>
      <w:r w:rsidR="00180A32" w:rsidRPr="00180A32">
        <w:rPr>
          <w:rFonts w:eastAsiaTheme="minorHAnsi" w:cstheme="minorBidi"/>
          <w:i/>
          <w:szCs w:val="22"/>
          <w:lang w:bidi="ar-SA"/>
        </w:rPr>
        <w:t xml:space="preserve">et al. </w:t>
      </w:r>
      <w:r w:rsidR="00FB16D3">
        <w:rPr>
          <w:rFonts w:eastAsiaTheme="minorHAnsi" w:cstheme="minorBidi"/>
          <w:szCs w:val="22"/>
          <w:lang w:bidi="ar-SA"/>
        </w:rPr>
        <w:t xml:space="preserve">, </w:t>
      </w:r>
      <w:r w:rsidRPr="00F8101A">
        <w:rPr>
          <w:rFonts w:eastAsiaTheme="minorHAnsi" w:cstheme="minorBidi"/>
          <w:szCs w:val="22"/>
          <w:lang w:bidi="ar-SA"/>
        </w:rPr>
        <w:t xml:space="preserve">2009) </w:t>
      </w:r>
      <w:r w:rsidR="00FB16D3">
        <w:rPr>
          <w:rFonts w:eastAsiaTheme="minorHAnsi" w:cstheme="minorBidi"/>
          <w:szCs w:val="22"/>
          <w:lang w:bidi="ar-SA"/>
        </w:rPr>
        <w:t xml:space="preserve">with </w:t>
      </w:r>
      <w:r w:rsidRPr="00F8101A">
        <w:rPr>
          <w:rFonts w:eastAsiaTheme="minorHAnsi" w:cstheme="minorBidi"/>
          <w:szCs w:val="22"/>
          <w:lang w:bidi="ar-SA"/>
        </w:rPr>
        <w:t>more than 46,000 adults</w:t>
      </w:r>
      <w:r w:rsidR="00FB16D3">
        <w:rPr>
          <w:rFonts w:eastAsiaTheme="minorHAnsi" w:cstheme="minorBidi"/>
          <w:szCs w:val="22"/>
          <w:lang w:bidi="ar-SA"/>
        </w:rPr>
        <w:t xml:space="preserve"> whereas </w:t>
      </w:r>
      <w:r w:rsidRPr="00F8101A">
        <w:rPr>
          <w:rFonts w:eastAsiaTheme="minorHAnsi" w:cstheme="minorBidi"/>
          <w:szCs w:val="22"/>
          <w:lang w:bidi="ar-SA"/>
        </w:rPr>
        <w:t xml:space="preserve">the other three studies shown in the graphs </w:t>
      </w:r>
      <w:r w:rsidR="00FB16D3">
        <w:rPr>
          <w:rFonts w:eastAsiaTheme="minorHAnsi" w:cstheme="minorBidi"/>
          <w:szCs w:val="22"/>
          <w:lang w:bidi="ar-SA"/>
        </w:rPr>
        <w:t xml:space="preserve">have </w:t>
      </w:r>
      <w:r w:rsidRPr="00F8101A">
        <w:rPr>
          <w:rFonts w:eastAsiaTheme="minorHAnsi" w:cstheme="minorBidi"/>
          <w:szCs w:val="22"/>
          <w:lang w:bidi="ar-SA"/>
        </w:rPr>
        <w:t xml:space="preserve">between 500 and 900 subjects. Several studies could not be graphed owing to the way that their data </w:t>
      </w:r>
      <w:r w:rsidRPr="00CA37F9">
        <w:rPr>
          <w:rFonts w:eastAsiaTheme="minorHAnsi" w:cstheme="minorBidi"/>
          <w:szCs w:val="22"/>
          <w:lang w:bidi="ar-SA"/>
        </w:rPr>
        <w:t xml:space="preserve">were </w:t>
      </w:r>
      <w:r w:rsidRPr="00CA37F9">
        <w:rPr>
          <w:rFonts w:eastAsiaTheme="minorHAnsi" w:cstheme="minorBidi"/>
          <w:szCs w:val="22"/>
          <w:lang w:bidi="ar-SA"/>
        </w:rPr>
        <w:lastRenderedPageBreak/>
        <w:t>expressed. It is difficult to know how to interpret the data in the tabl</w:t>
      </w:r>
      <w:r w:rsidRPr="004766BF">
        <w:rPr>
          <w:rFonts w:eastAsiaTheme="minorHAnsi" w:cstheme="minorBidi"/>
          <w:szCs w:val="22"/>
          <w:lang w:bidi="ar-SA"/>
        </w:rPr>
        <w:t xml:space="preserve">es because the size of a log unit depends </w:t>
      </w:r>
      <w:r w:rsidR="00104C8E" w:rsidRPr="004766BF">
        <w:rPr>
          <w:rFonts w:eastAsiaTheme="minorHAnsi" w:cstheme="minorBidi"/>
          <w:szCs w:val="22"/>
          <w:lang w:bidi="ar-SA"/>
        </w:rPr>
        <w:t xml:space="preserve">on </w:t>
      </w:r>
      <w:r w:rsidRPr="004766BF">
        <w:rPr>
          <w:rFonts w:eastAsiaTheme="minorHAnsi" w:cstheme="minorBidi"/>
          <w:szCs w:val="22"/>
          <w:lang w:bidi="ar-SA"/>
        </w:rPr>
        <w:t xml:space="preserve">the </w:t>
      </w:r>
      <w:r w:rsidRPr="00CA37F9">
        <w:rPr>
          <w:rFonts w:eastAsiaTheme="minorHAnsi" w:cstheme="minorBidi"/>
          <w:szCs w:val="22"/>
          <w:lang w:bidi="ar-SA"/>
        </w:rPr>
        <w:t>base used for transformation and the s</w:t>
      </w:r>
      <w:r w:rsidR="00CA37F9">
        <w:rPr>
          <w:rFonts w:eastAsiaTheme="minorHAnsi" w:cstheme="minorBidi"/>
          <w:szCs w:val="22"/>
          <w:lang w:bidi="ar-SA"/>
        </w:rPr>
        <w:t>cale</w:t>
      </w:r>
      <w:r w:rsidRPr="00CA37F9">
        <w:rPr>
          <w:rFonts w:eastAsiaTheme="minorHAnsi" w:cstheme="minorBidi"/>
          <w:szCs w:val="22"/>
          <w:lang w:bidi="ar-SA"/>
        </w:rPr>
        <w:t xml:space="preserve"> of the variable</w:t>
      </w:r>
      <w:r w:rsidR="00CA37F9" w:rsidRPr="00CA37F9">
        <w:rPr>
          <w:rFonts w:eastAsiaTheme="minorHAnsi" w:cstheme="minorBidi"/>
          <w:szCs w:val="22"/>
          <w:lang w:bidi="ar-SA"/>
        </w:rPr>
        <w:t>.</w:t>
      </w:r>
    </w:p>
    <w:p w14:paraId="5B038C54" w14:textId="77777777" w:rsidR="00F8101A" w:rsidRPr="00F8101A" w:rsidRDefault="00F8101A" w:rsidP="00A111E9">
      <w:pPr>
        <w:widowControl/>
        <w:rPr>
          <w:rFonts w:eastAsiaTheme="minorHAnsi" w:cstheme="minorBidi"/>
          <w:szCs w:val="22"/>
          <w:lang w:bidi="ar-SA"/>
        </w:rPr>
      </w:pPr>
    </w:p>
    <w:p w14:paraId="322B5A71" w14:textId="2C67271A" w:rsidR="00F8101A" w:rsidRPr="00F8101A" w:rsidRDefault="00F8101A" w:rsidP="00A111E9">
      <w:pPr>
        <w:widowControl/>
        <w:rPr>
          <w:rFonts w:eastAsiaTheme="minorHAnsi" w:cstheme="minorBidi"/>
          <w:szCs w:val="22"/>
          <w:lang w:bidi="ar-SA"/>
        </w:rPr>
      </w:pPr>
      <w:r w:rsidRPr="00F8101A">
        <w:rPr>
          <w:rFonts w:eastAsiaTheme="minorHAnsi" w:cstheme="minorBidi"/>
          <w:szCs w:val="22"/>
          <w:lang w:bidi="ar-SA"/>
        </w:rPr>
        <w:t xml:space="preserve">The graph has been calculated to compare results </w:t>
      </w:r>
      <w:r w:rsidR="00863976">
        <w:rPr>
          <w:rFonts w:eastAsiaTheme="minorHAnsi" w:cstheme="minorBidi"/>
          <w:szCs w:val="22"/>
          <w:lang w:bidi="ar-SA"/>
        </w:rPr>
        <w:t xml:space="preserve">for different PFAS concentrations </w:t>
      </w:r>
      <w:r w:rsidRPr="00F8101A">
        <w:rPr>
          <w:rFonts w:eastAsiaTheme="minorHAnsi" w:cstheme="minorBidi"/>
          <w:szCs w:val="22"/>
          <w:lang w:bidi="ar-SA"/>
        </w:rPr>
        <w:t>to the lowest</w:t>
      </w:r>
      <w:r w:rsidR="00863976">
        <w:rPr>
          <w:rFonts w:eastAsiaTheme="minorHAnsi" w:cstheme="minorBidi"/>
          <w:szCs w:val="22"/>
          <w:lang w:bidi="ar-SA"/>
        </w:rPr>
        <w:t xml:space="preserve"> PFAS concentration</w:t>
      </w:r>
      <w:r w:rsidRPr="00F8101A">
        <w:rPr>
          <w:rFonts w:eastAsiaTheme="minorHAnsi" w:cstheme="minorBidi"/>
          <w:szCs w:val="22"/>
          <w:lang w:bidi="ar-SA"/>
        </w:rPr>
        <w:t xml:space="preserve"> group in </w:t>
      </w:r>
      <w:r w:rsidR="00863976">
        <w:rPr>
          <w:rFonts w:eastAsiaTheme="minorHAnsi" w:cstheme="minorBidi"/>
          <w:szCs w:val="22"/>
          <w:lang w:bidi="ar-SA"/>
        </w:rPr>
        <w:t>the same</w:t>
      </w:r>
      <w:r w:rsidRPr="00F8101A">
        <w:rPr>
          <w:rFonts w:eastAsiaTheme="minorHAnsi" w:cstheme="minorBidi"/>
          <w:szCs w:val="22"/>
          <w:lang w:bidi="ar-SA"/>
        </w:rPr>
        <w:t xml:space="preserve"> study. However, the range of exposure </w:t>
      </w:r>
      <w:r w:rsidR="00863976">
        <w:rPr>
          <w:rFonts w:eastAsiaTheme="minorHAnsi" w:cstheme="minorBidi"/>
          <w:szCs w:val="22"/>
          <w:lang w:bidi="ar-SA"/>
        </w:rPr>
        <w:t xml:space="preserve">varies across the </w:t>
      </w:r>
      <w:r w:rsidRPr="00F8101A">
        <w:rPr>
          <w:rFonts w:eastAsiaTheme="minorHAnsi" w:cstheme="minorBidi"/>
          <w:szCs w:val="22"/>
          <w:lang w:bidi="ar-SA"/>
        </w:rPr>
        <w:t xml:space="preserve">studies </w:t>
      </w:r>
      <w:r w:rsidR="00863976">
        <w:rPr>
          <w:rFonts w:eastAsiaTheme="minorHAnsi" w:cstheme="minorBidi"/>
          <w:szCs w:val="22"/>
          <w:lang w:bidi="ar-SA"/>
        </w:rPr>
        <w:t>as does the number of subjects</w:t>
      </w:r>
      <w:r w:rsidRPr="00F8101A">
        <w:rPr>
          <w:rFonts w:eastAsiaTheme="minorHAnsi" w:cstheme="minorBidi"/>
          <w:szCs w:val="22"/>
          <w:lang w:bidi="ar-SA"/>
        </w:rPr>
        <w:t xml:space="preserve">. For example, the lowest point plotted for Steenland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F8101A">
        <w:rPr>
          <w:rFonts w:eastAsiaTheme="minorHAnsi" w:cstheme="minorBidi"/>
          <w:szCs w:val="22"/>
          <w:lang w:bidi="ar-SA"/>
        </w:rPr>
        <w:t xml:space="preserve">(2009) is the midpoint of their lowest decile. Thus, about 2,500 subjects in this study have concentrations less than that plotted </w:t>
      </w:r>
      <w:r w:rsidR="00863976">
        <w:rPr>
          <w:rFonts w:eastAsiaTheme="minorHAnsi" w:cstheme="minorBidi"/>
          <w:szCs w:val="22"/>
          <w:lang w:bidi="ar-SA"/>
        </w:rPr>
        <w:t xml:space="preserve">(Figure A2.1B) and this is more that the total number of subjects in </w:t>
      </w:r>
      <w:r w:rsidR="00F52C10">
        <w:rPr>
          <w:rFonts w:eastAsiaTheme="minorHAnsi" w:cstheme="minorBidi"/>
          <w:szCs w:val="22"/>
          <w:lang w:bidi="ar-SA"/>
        </w:rPr>
        <w:t xml:space="preserve">the other studies combined. </w:t>
      </w:r>
    </w:p>
    <w:p w14:paraId="4439786B" w14:textId="77777777" w:rsidR="00F8101A" w:rsidRPr="00F8101A" w:rsidRDefault="00F8101A" w:rsidP="00A111E9">
      <w:pPr>
        <w:widowControl/>
        <w:rPr>
          <w:rFonts w:eastAsiaTheme="minorHAnsi" w:cstheme="minorBidi"/>
          <w:szCs w:val="22"/>
          <w:lang w:bidi="ar-SA"/>
        </w:rPr>
      </w:pPr>
    </w:p>
    <w:p w14:paraId="6BCD72C4" w14:textId="0C53E4D1" w:rsidR="00F8101A" w:rsidRPr="00F8101A" w:rsidRDefault="00F8101A" w:rsidP="00A111E9">
      <w:pPr>
        <w:widowControl/>
        <w:rPr>
          <w:rFonts w:eastAsiaTheme="minorHAnsi" w:cstheme="minorBidi"/>
          <w:szCs w:val="22"/>
          <w:lang w:bidi="ar-SA"/>
        </w:rPr>
      </w:pPr>
      <w:r w:rsidRPr="00F8101A">
        <w:rPr>
          <w:rFonts w:eastAsiaTheme="minorHAnsi" w:cstheme="minorBidi"/>
          <w:szCs w:val="22"/>
          <w:lang w:bidi="ar-SA"/>
        </w:rPr>
        <w:t>The range of exposure in the combined set of studies is wide. Total-C is positively associated with PFOA at least when PFOA concentrations are greater than about 5</w:t>
      </w:r>
      <w:r w:rsidR="00F52C10">
        <w:rPr>
          <w:rFonts w:eastAsiaTheme="minorHAnsi" w:cstheme="minorBidi"/>
          <w:szCs w:val="22"/>
          <w:lang w:bidi="ar-SA"/>
        </w:rPr>
        <w:t>-10</w:t>
      </w:r>
      <w:r w:rsidRPr="00F8101A">
        <w:rPr>
          <w:rFonts w:eastAsiaTheme="minorHAnsi" w:cstheme="minorBidi"/>
          <w:szCs w:val="22"/>
          <w:lang w:bidi="ar-SA"/>
        </w:rPr>
        <w:t xml:space="preserve"> ng/mL and plateaus, or almost plateaus at a concentration of around 25 ng/mL, based on visual inspection of the graph.</w:t>
      </w:r>
      <w:r w:rsidR="00F52C10">
        <w:rPr>
          <w:rFonts w:eastAsiaTheme="minorHAnsi" w:cstheme="minorBidi"/>
          <w:szCs w:val="22"/>
          <w:lang w:bidi="ar-SA"/>
        </w:rPr>
        <w:t xml:space="preserve"> </w:t>
      </w:r>
      <w:r w:rsidR="00F52C10" w:rsidRPr="00F8101A">
        <w:rPr>
          <w:rFonts w:eastAsiaTheme="minorHAnsi" w:cstheme="minorBidi"/>
          <w:szCs w:val="22"/>
          <w:lang w:bidi="ar-SA"/>
        </w:rPr>
        <w:t>The studies in the tables that could not be graphed do not conflict with the graphed data in a qualitative sense, although a quantitative comparison is not possible.</w:t>
      </w:r>
    </w:p>
    <w:p w14:paraId="43B8B77F" w14:textId="77777777" w:rsidR="00F8101A" w:rsidRPr="00F8101A" w:rsidRDefault="00F8101A" w:rsidP="00A111E9">
      <w:pPr>
        <w:widowControl/>
        <w:rPr>
          <w:rFonts w:eastAsiaTheme="minorHAnsi" w:cstheme="minorBidi"/>
          <w:szCs w:val="22"/>
          <w:lang w:bidi="ar-SA"/>
        </w:rPr>
      </w:pPr>
    </w:p>
    <w:p w14:paraId="20646B5D" w14:textId="3841F83A"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t xml:space="preserve">Several studies examine serum PFOA concentration up to </w:t>
      </w:r>
      <w:r w:rsidR="00FB16D3">
        <w:rPr>
          <w:rFonts w:eastAsiaTheme="minorHAnsi" w:cstheme="minorBidi"/>
          <w:szCs w:val="22"/>
          <w:lang w:bidi="ar-SA"/>
        </w:rPr>
        <w:t>apprximately</w:t>
      </w:r>
      <w:r w:rsidRPr="00D01373">
        <w:rPr>
          <w:rFonts w:eastAsiaTheme="minorHAnsi" w:cstheme="minorBidi"/>
          <w:szCs w:val="22"/>
          <w:lang w:bidi="ar-SA"/>
        </w:rPr>
        <w:t xml:space="preserve"> 10 ng/mL</w:t>
      </w:r>
      <w:r w:rsidR="00F52C10">
        <w:rPr>
          <w:rFonts w:eastAsiaTheme="minorHAnsi" w:cstheme="minorBidi"/>
          <w:szCs w:val="22"/>
          <w:lang w:bidi="ar-SA"/>
        </w:rPr>
        <w:t xml:space="preserve"> (Figure A</w:t>
      </w:r>
      <w:r w:rsidR="00537AC4">
        <w:rPr>
          <w:rFonts w:eastAsiaTheme="minorHAnsi" w:cstheme="minorBidi"/>
          <w:szCs w:val="22"/>
          <w:lang w:bidi="ar-SA"/>
        </w:rPr>
        <w:t>2</w:t>
      </w:r>
      <w:r w:rsidR="00F52C10">
        <w:rPr>
          <w:rFonts w:eastAsiaTheme="minorHAnsi" w:cstheme="minorBidi"/>
          <w:szCs w:val="22"/>
          <w:lang w:bidi="ar-SA"/>
        </w:rPr>
        <w:t>.1B)</w:t>
      </w:r>
      <w:r w:rsidRPr="00D01373">
        <w:rPr>
          <w:rFonts w:eastAsiaTheme="minorHAnsi" w:cstheme="minorBidi"/>
          <w:szCs w:val="22"/>
          <w:lang w:bidi="ar-SA"/>
        </w:rPr>
        <w:t xml:space="preserve">. Those on the graph show a rise in total-C of 0.1-0.3 mmol/L across this range. The smaller studies show larger, but variable increases compared to the large study of Steenland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 xml:space="preserve">2009 and suggest that the maximal point is reached at lower concentrations (around 5 ng/mL) compared to the much larger study of Steenland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(2009). The occurrence of an increase is also present in studies which could not be a</w:t>
      </w:r>
      <w:r w:rsidR="00F97564" w:rsidRPr="00D01373">
        <w:rPr>
          <w:rFonts w:eastAsiaTheme="minorHAnsi" w:cstheme="minorBidi"/>
          <w:szCs w:val="22"/>
          <w:lang w:bidi="ar-SA"/>
        </w:rPr>
        <w:t xml:space="preserve">dded to the graph (Fisher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00F97564" w:rsidRPr="00D01373">
        <w:rPr>
          <w:rFonts w:eastAsiaTheme="minorHAnsi" w:cstheme="minorBidi"/>
          <w:szCs w:val="22"/>
          <w:lang w:bidi="ar-SA"/>
        </w:rPr>
        <w:t xml:space="preserve">2013; Fu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 xml:space="preserve">2014). The final study, Christensen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(2016) is also consistent in finding an increased odds ratio for self-reported elevated cholesterol in this exposure range.</w:t>
      </w:r>
    </w:p>
    <w:p w14:paraId="47779BA9" w14:textId="77777777" w:rsidR="00F8101A" w:rsidRPr="00D01373" w:rsidRDefault="00F8101A" w:rsidP="00A111E9">
      <w:pPr>
        <w:widowControl/>
        <w:rPr>
          <w:rFonts w:eastAsiaTheme="minorHAnsi" w:cstheme="minorBidi"/>
          <w:szCs w:val="22"/>
          <w:lang w:bidi="ar-SA"/>
        </w:rPr>
      </w:pPr>
    </w:p>
    <w:p w14:paraId="529B8A2B" w14:textId="088E626C"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t xml:space="preserve">Steenland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 xml:space="preserve">(2009) describe exposures up to </w:t>
      </w:r>
      <w:r w:rsidR="00FB16D3">
        <w:rPr>
          <w:rFonts w:eastAsiaTheme="minorHAnsi" w:cstheme="minorBidi"/>
          <w:szCs w:val="22"/>
          <w:lang w:bidi="ar-SA"/>
        </w:rPr>
        <w:t>approximately</w:t>
      </w:r>
      <w:r w:rsidRPr="00D01373">
        <w:rPr>
          <w:rFonts w:eastAsiaTheme="minorHAnsi" w:cstheme="minorBidi"/>
          <w:szCs w:val="22"/>
          <w:lang w:bidi="ar-SA"/>
        </w:rPr>
        <w:t xml:space="preserve"> 400 ng/mL. They </w:t>
      </w:r>
      <w:r w:rsidR="00267CD6">
        <w:rPr>
          <w:rFonts w:eastAsiaTheme="minorHAnsi" w:cstheme="minorBidi"/>
          <w:szCs w:val="22"/>
          <w:lang w:bidi="ar-SA"/>
        </w:rPr>
        <w:t>reported</w:t>
      </w:r>
      <w:r w:rsidRPr="00D01373">
        <w:rPr>
          <w:rFonts w:eastAsiaTheme="minorHAnsi" w:cstheme="minorBidi"/>
          <w:szCs w:val="22"/>
          <w:lang w:bidi="ar-SA"/>
        </w:rPr>
        <w:t xml:space="preserve"> a small increase of about 0.1 mmol/L </w:t>
      </w:r>
      <w:r w:rsidR="00F52C10">
        <w:rPr>
          <w:rFonts w:eastAsiaTheme="minorHAnsi" w:cstheme="minorBidi"/>
          <w:szCs w:val="22"/>
          <w:lang w:bidi="ar-SA"/>
        </w:rPr>
        <w:t xml:space="preserve">in total-C </w:t>
      </w:r>
      <w:r w:rsidRPr="00D01373">
        <w:rPr>
          <w:rFonts w:eastAsiaTheme="minorHAnsi" w:cstheme="minorBidi"/>
          <w:szCs w:val="22"/>
          <w:lang w:bidi="ar-SA"/>
        </w:rPr>
        <w:t>across the rang</w:t>
      </w:r>
      <w:r w:rsidR="00D60FEF" w:rsidRPr="00D01373">
        <w:rPr>
          <w:rFonts w:eastAsiaTheme="minorHAnsi" w:cstheme="minorBidi"/>
          <w:szCs w:val="22"/>
          <w:lang w:bidi="ar-SA"/>
        </w:rPr>
        <w:t xml:space="preserve">e </w:t>
      </w:r>
      <w:r w:rsidR="00267CD6">
        <w:rPr>
          <w:rFonts w:eastAsiaTheme="minorHAnsi" w:cstheme="minorBidi"/>
          <w:szCs w:val="22"/>
          <w:lang w:bidi="ar-SA"/>
        </w:rPr>
        <w:t>from</w:t>
      </w:r>
      <w:r w:rsidR="00D60FEF" w:rsidRPr="00D01373">
        <w:rPr>
          <w:rFonts w:eastAsiaTheme="minorHAnsi" w:cstheme="minorBidi"/>
          <w:szCs w:val="22"/>
          <w:lang w:bidi="ar-SA"/>
        </w:rPr>
        <w:t xml:space="preserve"> about 25 ng/mL to 400 ng/mL</w:t>
      </w:r>
      <w:r w:rsidRPr="00D01373">
        <w:rPr>
          <w:rFonts w:eastAsiaTheme="minorHAnsi" w:cstheme="minorBidi"/>
          <w:szCs w:val="22"/>
          <w:lang w:bidi="ar-SA"/>
        </w:rPr>
        <w:t xml:space="preserve">; </w:t>
      </w:r>
      <w:r w:rsidR="007F02A2">
        <w:rPr>
          <w:rFonts w:eastAsiaTheme="minorHAnsi" w:cstheme="minorBidi"/>
          <w:szCs w:val="22"/>
          <w:lang w:bidi="ar-SA"/>
        </w:rPr>
        <w:t>that is</w:t>
      </w:r>
      <w:r w:rsidRPr="00D01373">
        <w:rPr>
          <w:rFonts w:eastAsiaTheme="minorHAnsi" w:cstheme="minorBidi"/>
          <w:szCs w:val="22"/>
          <w:lang w:bidi="ar-SA"/>
        </w:rPr>
        <w:t xml:space="preserve"> almost a plateau. The lowest group in Olsen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 xml:space="preserve">(2007) had a median concentration of 60 ng/mL and higher groups exhibited a small decline of 0.1 mmol/L over the same range. The remaining study to cover this range was the nearby resident group (n=132) of Wang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(2012). This group had a median PFOA concentration of 284 ng/mL but there was no relationship with total-C</w:t>
      </w:r>
      <w:r w:rsidR="00F52C10">
        <w:rPr>
          <w:rFonts w:eastAsiaTheme="minorHAnsi" w:cstheme="minorBidi"/>
          <w:szCs w:val="22"/>
          <w:lang w:bidi="ar-SA"/>
        </w:rPr>
        <w:t xml:space="preserve"> (Figure A2.1C)</w:t>
      </w:r>
      <w:r w:rsidRPr="00D01373">
        <w:rPr>
          <w:rFonts w:eastAsiaTheme="minorHAnsi" w:cstheme="minorBidi"/>
          <w:szCs w:val="22"/>
          <w:lang w:bidi="ar-SA"/>
        </w:rPr>
        <w:t xml:space="preserve">. Overall, the three studies indicate that there is a plateau, or no relationship </w:t>
      </w:r>
      <w:r w:rsidR="00FB16D3">
        <w:rPr>
          <w:rFonts w:eastAsiaTheme="minorHAnsi" w:cstheme="minorBidi"/>
          <w:szCs w:val="22"/>
          <w:lang w:bidi="ar-SA"/>
        </w:rPr>
        <w:t xml:space="preserve">with total-C </w:t>
      </w:r>
      <w:r w:rsidRPr="00D01373">
        <w:rPr>
          <w:rFonts w:eastAsiaTheme="minorHAnsi" w:cstheme="minorBidi"/>
          <w:szCs w:val="22"/>
          <w:lang w:bidi="ar-SA"/>
        </w:rPr>
        <w:t>in the mid-range</w:t>
      </w:r>
      <w:r w:rsidR="00FB16D3">
        <w:rPr>
          <w:rFonts w:eastAsiaTheme="minorHAnsi" w:cstheme="minorBidi"/>
          <w:szCs w:val="22"/>
          <w:lang w:bidi="ar-SA"/>
        </w:rPr>
        <w:t xml:space="preserve"> of PFOA concentration</w:t>
      </w:r>
      <w:r w:rsidRPr="00D01373">
        <w:rPr>
          <w:rFonts w:eastAsiaTheme="minorHAnsi" w:cstheme="minorBidi"/>
          <w:szCs w:val="22"/>
          <w:lang w:bidi="ar-SA"/>
        </w:rPr>
        <w:t>.</w:t>
      </w:r>
    </w:p>
    <w:p w14:paraId="3410836A" w14:textId="77777777" w:rsidR="00F8101A" w:rsidRPr="00D01373" w:rsidRDefault="00F8101A" w:rsidP="00A111E9">
      <w:pPr>
        <w:widowControl/>
        <w:rPr>
          <w:rFonts w:eastAsiaTheme="minorHAnsi" w:cstheme="minorBidi"/>
          <w:szCs w:val="22"/>
          <w:lang w:bidi="ar-SA"/>
        </w:rPr>
      </w:pPr>
    </w:p>
    <w:p w14:paraId="788E53A5" w14:textId="678FDA54"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t xml:space="preserve">Three papers described study groups with much higher average exposures than the C8 group reported by Steenland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 xml:space="preserve">(2009). Olsen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 xml:space="preserve">(2007) reports </w:t>
      </w:r>
      <w:r w:rsidR="00F52C10">
        <w:rPr>
          <w:rFonts w:eastAsiaTheme="minorHAnsi" w:cstheme="minorBidi"/>
          <w:szCs w:val="22"/>
          <w:lang w:bidi="ar-SA"/>
        </w:rPr>
        <w:t xml:space="preserve">a variation around a zero change between </w:t>
      </w:r>
      <w:r w:rsidRPr="00D01373">
        <w:rPr>
          <w:rFonts w:eastAsiaTheme="minorHAnsi" w:cstheme="minorBidi"/>
          <w:szCs w:val="22"/>
          <w:lang w:bidi="ar-SA"/>
        </w:rPr>
        <w:t xml:space="preserve"> 60 ng/mL </w:t>
      </w:r>
      <w:r w:rsidR="00F52C10">
        <w:rPr>
          <w:rFonts w:eastAsiaTheme="minorHAnsi" w:cstheme="minorBidi"/>
          <w:szCs w:val="22"/>
          <w:lang w:bidi="ar-SA"/>
        </w:rPr>
        <w:t xml:space="preserve">and </w:t>
      </w:r>
      <w:r w:rsidRPr="00D01373">
        <w:rPr>
          <w:rFonts w:eastAsiaTheme="minorHAnsi" w:cstheme="minorBidi"/>
          <w:szCs w:val="22"/>
          <w:lang w:bidi="ar-SA"/>
        </w:rPr>
        <w:t xml:space="preserve"> 4940 ng/mL. In the worker group (n=55) of Wang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(2012) the median concentration was 1636 ng/mL and there was a positive association between the natural log of PFOA and the natural log of total-C</w:t>
      </w:r>
      <w:r w:rsidR="00F52C10">
        <w:rPr>
          <w:rFonts w:eastAsiaTheme="minorHAnsi" w:cstheme="minorBidi"/>
          <w:szCs w:val="22"/>
          <w:lang w:bidi="ar-SA"/>
        </w:rPr>
        <w:t xml:space="preserve"> (Figure A2.1C)</w:t>
      </w:r>
      <w:r w:rsidRPr="00D01373">
        <w:rPr>
          <w:rFonts w:eastAsiaTheme="minorHAnsi" w:cstheme="minorBidi"/>
          <w:szCs w:val="22"/>
          <w:lang w:bidi="ar-SA"/>
        </w:rPr>
        <w:t xml:space="preserve">. Costa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(2009) compared 34 highly exposed workers (median concentration 5270 ng/mL) to 34 unexposed workers whose concentrations were not described. The authors refer to seven unexposed workers who had concentrations ranging from 50 to 181 ng/mL PFOA. Therefore it is difficult to interpret the difference of 0.8 mmol/L total-C in this group because it is not certain what range of PFOA exposure it relates to.</w:t>
      </w:r>
    </w:p>
    <w:p w14:paraId="072BCE7E" w14:textId="77777777" w:rsidR="00F8101A" w:rsidRPr="00D01373" w:rsidRDefault="00F8101A" w:rsidP="00A111E9">
      <w:pPr>
        <w:widowControl/>
        <w:rPr>
          <w:rFonts w:eastAsiaTheme="minorHAnsi" w:cstheme="minorBidi"/>
          <w:szCs w:val="22"/>
          <w:lang w:bidi="ar-SA"/>
        </w:rPr>
      </w:pPr>
    </w:p>
    <w:p w14:paraId="369D5A51" w14:textId="79C5FFA2"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t>Overall, studies examining the lower ranges of exposure are consistent in reporting an increase in total-C with increasing blood PFOA concentrations which then plateaus</w:t>
      </w:r>
      <w:r w:rsidR="00FB16D3">
        <w:rPr>
          <w:rFonts w:eastAsiaTheme="minorHAnsi" w:cstheme="minorBidi"/>
          <w:szCs w:val="22"/>
          <w:lang w:bidi="ar-SA"/>
        </w:rPr>
        <w:t xml:space="preserve"> at higher PFOA concentrations</w:t>
      </w:r>
      <w:r w:rsidRPr="00D01373">
        <w:rPr>
          <w:rFonts w:eastAsiaTheme="minorHAnsi" w:cstheme="minorBidi"/>
          <w:szCs w:val="22"/>
          <w:lang w:bidi="ar-SA"/>
        </w:rPr>
        <w:t xml:space="preserve">. The largest study reports that the association attenuates, which might reflect a plateau or an ongoing but much slower increase, from about 25 ng/mL. Other studies either do not cover this range or </w:t>
      </w:r>
      <w:r w:rsidR="00FB16D3">
        <w:rPr>
          <w:rFonts w:eastAsiaTheme="minorHAnsi" w:cstheme="minorBidi"/>
          <w:szCs w:val="22"/>
          <w:lang w:bidi="ar-SA"/>
        </w:rPr>
        <w:t>do not have enough sample size</w:t>
      </w:r>
      <w:r w:rsidRPr="00D01373">
        <w:rPr>
          <w:rFonts w:eastAsiaTheme="minorHAnsi" w:cstheme="minorBidi"/>
          <w:szCs w:val="22"/>
          <w:lang w:bidi="ar-SA"/>
        </w:rPr>
        <w:t xml:space="preserve"> to examine where the change in slope might occur.</w:t>
      </w:r>
    </w:p>
    <w:p w14:paraId="4D9EA526" w14:textId="77777777" w:rsidR="00F8101A" w:rsidRPr="00D01373" w:rsidRDefault="00F8101A" w:rsidP="00A111E9">
      <w:pPr>
        <w:widowControl/>
        <w:rPr>
          <w:rFonts w:eastAsiaTheme="minorHAnsi" w:cstheme="minorBidi"/>
          <w:szCs w:val="22"/>
          <w:lang w:bidi="ar-SA"/>
        </w:rPr>
      </w:pPr>
    </w:p>
    <w:p w14:paraId="5A3286D5" w14:textId="0E81D48F"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lastRenderedPageBreak/>
        <w:t>Two of the studies reporting results for total-C did not report whether they had analysed their</w:t>
      </w:r>
      <w:r w:rsidR="00F97564" w:rsidRPr="00D01373">
        <w:rPr>
          <w:rFonts w:eastAsiaTheme="minorHAnsi" w:cstheme="minorBidi"/>
          <w:szCs w:val="22"/>
          <w:lang w:bidi="ar-SA"/>
        </w:rPr>
        <w:t xml:space="preserve"> samples for LDL-C (Costa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00F97564" w:rsidRPr="00D01373">
        <w:rPr>
          <w:rFonts w:eastAsiaTheme="minorHAnsi" w:cstheme="minorBidi"/>
          <w:szCs w:val="22"/>
          <w:lang w:bidi="ar-SA"/>
        </w:rPr>
        <w:t xml:space="preserve">2009; Christiansen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 xml:space="preserve">2016) although one of these did analyse for HDL-C (Costa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2009). Most report a similar pattern but a smaller effect on LDL-C than total</w:t>
      </w:r>
      <w:r w:rsidR="007F02A2">
        <w:rPr>
          <w:rFonts w:eastAsiaTheme="minorHAnsi" w:cstheme="minorBidi"/>
          <w:szCs w:val="22"/>
          <w:lang w:bidi="ar-SA"/>
        </w:rPr>
        <w:t>-</w:t>
      </w:r>
      <w:r w:rsidRPr="00D01373">
        <w:rPr>
          <w:rFonts w:eastAsiaTheme="minorHAnsi" w:cstheme="minorBidi"/>
          <w:szCs w:val="22"/>
          <w:lang w:bidi="ar-SA"/>
        </w:rPr>
        <w:t xml:space="preserve">C (Figure </w:t>
      </w:r>
      <w:r w:rsidR="00C52465" w:rsidRPr="00D01373">
        <w:rPr>
          <w:rFonts w:eastAsiaTheme="minorHAnsi" w:cstheme="minorBidi"/>
          <w:szCs w:val="22"/>
          <w:lang w:bidi="ar-SA"/>
        </w:rPr>
        <w:t>A2.</w:t>
      </w:r>
      <w:r w:rsidRPr="00D01373">
        <w:rPr>
          <w:rFonts w:eastAsiaTheme="minorHAnsi" w:cstheme="minorBidi"/>
          <w:szCs w:val="22"/>
          <w:lang w:bidi="ar-SA"/>
        </w:rPr>
        <w:t xml:space="preserve">2). For example, Steenland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 xml:space="preserve">(2009) report an increase of 0.1 mmol/L at a PFOA concentration of about 25 ng/dL. An exception is the worker group of Wang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(2012) in whom the effect on LDL-C was larger than the effect on total-C.</w:t>
      </w:r>
    </w:p>
    <w:p w14:paraId="5F6B8606" w14:textId="77777777" w:rsidR="00F8101A" w:rsidRPr="00D01373" w:rsidRDefault="00F8101A" w:rsidP="00A111E9">
      <w:pPr>
        <w:widowControl/>
        <w:rPr>
          <w:rFonts w:eastAsiaTheme="minorHAnsi" w:cstheme="minorBidi"/>
          <w:szCs w:val="22"/>
          <w:lang w:bidi="ar-SA"/>
        </w:rPr>
      </w:pPr>
    </w:p>
    <w:p w14:paraId="3B017C8E" w14:textId="77777777"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br w:type="page"/>
      </w:r>
      <w:r w:rsidRPr="00D01373">
        <w:rPr>
          <w:rFonts w:eastAsiaTheme="minorHAnsi" w:cstheme="minorBidi"/>
          <w:szCs w:val="22"/>
          <w:lang w:bidi="ar-SA"/>
        </w:rPr>
        <w:lastRenderedPageBreak/>
        <w:t>A</w:t>
      </w:r>
    </w:p>
    <w:p w14:paraId="16639AD2" w14:textId="3F639766" w:rsidR="00DE222C" w:rsidRDefault="00F8101A" w:rsidP="00A111E9">
      <w:pPr>
        <w:widowControl/>
        <w:rPr>
          <w:rFonts w:eastAsiaTheme="minorHAnsi" w:cstheme="minorBidi"/>
          <w:szCs w:val="22"/>
          <w:lang w:bidi="ar-SA"/>
        </w:rPr>
      </w:pPr>
      <w:r w:rsidRPr="00D01373">
        <w:rPr>
          <w:rFonts w:eastAsiaTheme="minorHAnsi" w:cstheme="minorBidi"/>
          <w:noProof/>
          <w:szCs w:val="22"/>
          <w:lang w:eastAsia="en-GB" w:bidi="ar-SA"/>
        </w:rPr>
        <w:drawing>
          <wp:inline distT="0" distB="0" distL="0" distR="0" wp14:anchorId="746D10F8" wp14:editId="1730E52B">
            <wp:extent cx="5462337" cy="2514600"/>
            <wp:effectExtent l="0" t="0" r="5080" b="0"/>
            <wp:docPr id="15" name="Picture 15" title="Figure A2.1 Association between PFOA and serum total cholesterol concentrations in adults A: papers which provided enough information to graph their results B: magnified view of the low PFOA concentration range C: tabulation of results reported in paper which provided insufficient data for graphical presen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5467991" cy="2517203"/>
                    </a:xfrm>
                    <a:prstGeom prst="rect">
                      <a:avLst/>
                    </a:prstGeom>
                  </pic:spPr>
                </pic:pic>
              </a:graphicData>
            </a:graphic>
          </wp:inline>
        </w:drawing>
      </w:r>
    </w:p>
    <w:p w14:paraId="063737FE" w14:textId="3595657F" w:rsidR="00DE222C" w:rsidRPr="00D01373" w:rsidRDefault="00DE222C" w:rsidP="00A111E9">
      <w:pPr>
        <w:widowControl/>
        <w:rPr>
          <w:rFonts w:eastAsiaTheme="minorHAnsi" w:cstheme="minorBidi"/>
          <w:szCs w:val="22"/>
          <w:lang w:bidi="ar-SA"/>
        </w:rPr>
      </w:pPr>
      <w:r>
        <w:rPr>
          <w:rFonts w:eastAsiaTheme="minorHAnsi" w:cstheme="minorBidi"/>
          <w:szCs w:val="22"/>
          <w:lang w:bidi="ar-SA"/>
        </w:rPr>
        <w:t>B</w:t>
      </w:r>
    </w:p>
    <w:p w14:paraId="7844DE96" w14:textId="6AB3EADC" w:rsidR="00F8101A" w:rsidRPr="00D01373" w:rsidRDefault="00F768EC" w:rsidP="00A111E9">
      <w:pPr>
        <w:widowControl/>
        <w:rPr>
          <w:rFonts w:eastAsiaTheme="minorHAnsi" w:cstheme="minorBidi"/>
          <w:szCs w:val="22"/>
          <w:lang w:bidi="ar-SA"/>
        </w:rPr>
      </w:pPr>
      <w:r w:rsidRPr="00D01373">
        <w:rPr>
          <w:rFonts w:eastAsiaTheme="minorHAnsi" w:cstheme="minorBidi"/>
          <w:noProof/>
          <w:szCs w:val="22"/>
          <w:lang w:eastAsia="en-GB" w:bidi="ar-SA"/>
        </w:rPr>
        <w:drawing>
          <wp:inline distT="0" distB="0" distL="0" distR="0" wp14:anchorId="7F2980FC" wp14:editId="76463AE8">
            <wp:extent cx="4752975" cy="2452858"/>
            <wp:effectExtent l="0" t="0" r="0" b="5080"/>
            <wp:docPr id="46" name="Picture 46" title="Figure A2.1 Association between PFOA and serum total cholesterol concentrations in adults A: papers which provided enough information to graph their results B: magnified view of the low PFOA concentration range C: tabulation of results reported in paper which provided insufficient data for graphical presentation Figure A2.1 Association between PFOA and serum total cholesterol concentrations in adults A: papers which provided enough information to graph their results B: magnified view of the low PFOA concentration range C: tabulation of results reported in paper which provided insufficient data for graphical presen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4756183" cy="2454513"/>
                    </a:xfrm>
                    <a:prstGeom prst="rect">
                      <a:avLst/>
                    </a:prstGeom>
                  </pic:spPr>
                </pic:pic>
              </a:graphicData>
            </a:graphic>
          </wp:inline>
        </w:drawing>
      </w:r>
    </w:p>
    <w:p w14:paraId="7599FCFF" w14:textId="77777777" w:rsidR="00DE222C" w:rsidRDefault="00DE222C">
      <w:pPr>
        <w:widowControl/>
        <w:rPr>
          <w:rFonts w:eastAsiaTheme="minorHAnsi" w:cstheme="minorBidi"/>
          <w:szCs w:val="22"/>
          <w:lang w:bidi="ar-SA"/>
        </w:rPr>
      </w:pPr>
      <w:r>
        <w:rPr>
          <w:rFonts w:eastAsiaTheme="minorHAnsi" w:cstheme="minorBidi"/>
          <w:szCs w:val="22"/>
          <w:lang w:bidi="ar-SA"/>
        </w:rPr>
        <w:br w:type="page"/>
      </w:r>
    </w:p>
    <w:p w14:paraId="20C6595E" w14:textId="4489CD69"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lastRenderedPageBreak/>
        <w:t>C</w:t>
      </w:r>
    </w:p>
    <w:tbl>
      <w:tblPr>
        <w:tblStyle w:val="TableGrid10"/>
        <w:tblW w:w="0" w:type="auto"/>
        <w:tblLook w:val="04A0" w:firstRow="1" w:lastRow="0" w:firstColumn="1" w:lastColumn="0" w:noHBand="0" w:noVBand="1"/>
        <w:tblCaption w:val="Figure c: tabulation of results reported in paper which provided insufficient data for graphical presentation"/>
        <w:tblDescription w:val="This table contains data relating to the tabulation of results reported in paper which provided insufficient data for graphical presentation."/>
      </w:tblPr>
      <w:tblGrid>
        <w:gridCol w:w="1242"/>
        <w:gridCol w:w="3828"/>
        <w:gridCol w:w="4216"/>
      </w:tblGrid>
      <w:tr w:rsidR="00F8101A" w:rsidRPr="00D01373" w14:paraId="0FEB3239" w14:textId="77777777" w:rsidTr="000830C5">
        <w:trPr>
          <w:tblHeader/>
        </w:trPr>
        <w:tc>
          <w:tcPr>
            <w:tcW w:w="1242" w:type="dxa"/>
            <w:shd w:val="clear" w:color="auto" w:fill="F2F2F2" w:themeFill="background1" w:themeFillShade="F2"/>
          </w:tcPr>
          <w:p w14:paraId="745F2F7B" w14:textId="43A09C19" w:rsidR="00F8101A" w:rsidRPr="00D01373" w:rsidRDefault="00F8101A" w:rsidP="00A111E9">
            <w:pPr>
              <w:widowControl/>
              <w:rPr>
                <w:rFonts w:eastAsiaTheme="minorHAnsi" w:cstheme="minorBidi"/>
                <w:b/>
                <w:sz w:val="20"/>
                <w:szCs w:val="20"/>
                <w:lang w:bidi="ar-SA"/>
              </w:rPr>
            </w:pPr>
            <w:r w:rsidRPr="00D01373">
              <w:rPr>
                <w:rFonts w:eastAsiaTheme="minorHAnsi" w:cstheme="minorBidi"/>
                <w:b/>
                <w:sz w:val="20"/>
                <w:szCs w:val="20"/>
                <w:lang w:bidi="ar-SA"/>
              </w:rPr>
              <w:t>Author</w:t>
            </w:r>
          </w:p>
        </w:tc>
        <w:tc>
          <w:tcPr>
            <w:tcW w:w="3828" w:type="dxa"/>
            <w:shd w:val="clear" w:color="auto" w:fill="F2F2F2" w:themeFill="background1" w:themeFillShade="F2"/>
          </w:tcPr>
          <w:p w14:paraId="02AD74B4" w14:textId="77777777" w:rsidR="00F8101A" w:rsidRPr="00D01373" w:rsidRDefault="00F8101A" w:rsidP="00A111E9">
            <w:pPr>
              <w:widowControl/>
              <w:rPr>
                <w:rFonts w:eastAsiaTheme="minorHAnsi" w:cstheme="minorBidi"/>
                <w:b/>
                <w:sz w:val="20"/>
                <w:szCs w:val="20"/>
                <w:lang w:bidi="ar-SA"/>
              </w:rPr>
            </w:pPr>
            <w:r w:rsidRPr="00D01373">
              <w:rPr>
                <w:rFonts w:eastAsiaTheme="minorHAnsi" w:cstheme="minorBidi"/>
                <w:b/>
                <w:sz w:val="20"/>
                <w:szCs w:val="20"/>
                <w:lang w:bidi="ar-SA"/>
              </w:rPr>
              <w:t>Range of PFOA concentration in population</w:t>
            </w:r>
          </w:p>
        </w:tc>
        <w:tc>
          <w:tcPr>
            <w:tcW w:w="4216" w:type="dxa"/>
            <w:shd w:val="clear" w:color="auto" w:fill="F2F2F2" w:themeFill="background1" w:themeFillShade="F2"/>
          </w:tcPr>
          <w:p w14:paraId="5362C9F9" w14:textId="77777777" w:rsidR="00F8101A" w:rsidRPr="00D01373" w:rsidRDefault="00F8101A" w:rsidP="00A111E9">
            <w:pPr>
              <w:widowControl/>
              <w:rPr>
                <w:rFonts w:eastAsiaTheme="minorHAnsi" w:cstheme="minorBidi"/>
                <w:b/>
                <w:sz w:val="20"/>
                <w:szCs w:val="20"/>
                <w:lang w:bidi="ar-SA"/>
              </w:rPr>
            </w:pPr>
            <w:r w:rsidRPr="00D01373">
              <w:rPr>
                <w:rFonts w:eastAsiaTheme="minorHAnsi" w:cstheme="minorBidi"/>
                <w:b/>
                <w:sz w:val="20"/>
                <w:szCs w:val="20"/>
                <w:lang w:bidi="ar-SA"/>
              </w:rPr>
              <w:t>Description of association</w:t>
            </w:r>
          </w:p>
        </w:tc>
      </w:tr>
      <w:tr w:rsidR="00F8101A" w:rsidRPr="00D01373" w14:paraId="65E27D62" w14:textId="77777777" w:rsidTr="00F6284E">
        <w:tc>
          <w:tcPr>
            <w:tcW w:w="1242" w:type="dxa"/>
            <w:vAlign w:val="center"/>
          </w:tcPr>
          <w:p w14:paraId="4CF27A3D" w14:textId="73075F4F" w:rsidR="00F8101A" w:rsidRPr="00D01373" w:rsidRDefault="00F8101A" w:rsidP="00A111E9">
            <w:pPr>
              <w:widowControl/>
              <w:rPr>
                <w:rFonts w:eastAsiaTheme="minorHAnsi"/>
                <w:sz w:val="18"/>
              </w:rPr>
            </w:pPr>
            <w:r w:rsidRPr="00D01373">
              <w:rPr>
                <w:rFonts w:eastAsiaTheme="minorHAnsi"/>
                <w:sz w:val="18"/>
              </w:rPr>
              <w:t xml:space="preserve">Costa </w:t>
            </w:r>
            <w:r w:rsidR="00180A32" w:rsidRPr="00180A32">
              <w:rPr>
                <w:rFonts w:eastAsiaTheme="minorHAnsi"/>
                <w:i/>
                <w:sz w:val="18"/>
              </w:rPr>
              <w:t xml:space="preserve">et al. </w:t>
            </w:r>
            <w:r w:rsidR="00CC50B8">
              <w:rPr>
                <w:rFonts w:eastAsiaTheme="minorHAnsi"/>
                <w:sz w:val="18"/>
              </w:rPr>
              <w:t xml:space="preserve"> </w:t>
            </w:r>
            <w:r w:rsidRPr="00D01373">
              <w:rPr>
                <w:rFonts w:eastAsiaTheme="minorHAnsi"/>
                <w:sz w:val="18"/>
              </w:rPr>
              <w:t>2009</w:t>
            </w:r>
          </w:p>
        </w:tc>
        <w:tc>
          <w:tcPr>
            <w:tcW w:w="3828" w:type="dxa"/>
            <w:vAlign w:val="center"/>
          </w:tcPr>
          <w:p w14:paraId="0D486595" w14:textId="4DF6FB3A" w:rsidR="00F8101A" w:rsidRPr="00D01373" w:rsidRDefault="00F8101A" w:rsidP="00A111E9">
            <w:pPr>
              <w:widowControl/>
              <w:rPr>
                <w:rFonts w:eastAsiaTheme="minorHAnsi"/>
                <w:sz w:val="18"/>
              </w:rPr>
            </w:pPr>
            <w:r w:rsidRPr="00D01373">
              <w:rPr>
                <w:rFonts w:eastAsiaTheme="minorHAnsi"/>
                <w:sz w:val="18"/>
              </w:rPr>
              <w:t xml:space="preserve">In 2007 production workers had a median of 5.71 </w:t>
            </w:r>
            <w:r w:rsidR="009D71F9" w:rsidRPr="00D01373">
              <w:rPr>
                <w:rFonts w:eastAsiaTheme="minorHAnsi" w:cs="Arial"/>
                <w:sz w:val="18"/>
              </w:rPr>
              <w:t>µ</w:t>
            </w:r>
            <w:r w:rsidRPr="00D01373">
              <w:rPr>
                <w:rFonts w:eastAsiaTheme="minorHAnsi"/>
                <w:sz w:val="18"/>
              </w:rPr>
              <w:t>g/mL (i.e. 5270 ng/mL) vs seven clerical workers whose PFOA concentrations ranged from 0.05 to 0.181</w:t>
            </w:r>
            <w:r w:rsidR="009D71F9" w:rsidRPr="00D01373">
              <w:rPr>
                <w:rFonts w:eastAsiaTheme="minorHAnsi" w:cs="Arial"/>
                <w:sz w:val="18"/>
              </w:rPr>
              <w:t>µ</w:t>
            </w:r>
            <w:r w:rsidRPr="00D01373">
              <w:rPr>
                <w:rFonts w:eastAsiaTheme="minorHAnsi"/>
                <w:sz w:val="18"/>
              </w:rPr>
              <w:t>g/mL in 2006</w:t>
            </w:r>
          </w:p>
        </w:tc>
        <w:tc>
          <w:tcPr>
            <w:tcW w:w="4216" w:type="dxa"/>
            <w:vAlign w:val="center"/>
          </w:tcPr>
          <w:p w14:paraId="2D6DBC6D" w14:textId="0C79DA37" w:rsidR="00F8101A" w:rsidRPr="00D01373" w:rsidRDefault="00F8101A" w:rsidP="00A111E9">
            <w:pPr>
              <w:widowControl/>
              <w:rPr>
                <w:rFonts w:eastAsiaTheme="minorHAnsi"/>
                <w:sz w:val="18"/>
              </w:rPr>
            </w:pPr>
            <w:r w:rsidRPr="00D01373">
              <w:rPr>
                <w:rFonts w:eastAsiaTheme="minorHAnsi"/>
                <w:sz w:val="18"/>
              </w:rPr>
              <w:t>Mean difference of 0.8 mmol/L higher in 34 exposed workers and 34 matched staff from other departments</w:t>
            </w:r>
          </w:p>
        </w:tc>
      </w:tr>
      <w:tr w:rsidR="00F8101A" w:rsidRPr="00D01373" w14:paraId="5D21DEB9" w14:textId="77777777" w:rsidTr="00F6284E">
        <w:tc>
          <w:tcPr>
            <w:tcW w:w="1242" w:type="dxa"/>
            <w:vAlign w:val="center"/>
          </w:tcPr>
          <w:p w14:paraId="3CF105FF" w14:textId="419E9603" w:rsidR="00F8101A" w:rsidRPr="00D01373" w:rsidRDefault="00F97564" w:rsidP="00A111E9">
            <w:pPr>
              <w:widowControl/>
              <w:rPr>
                <w:rFonts w:eastAsiaTheme="minorHAnsi"/>
                <w:sz w:val="18"/>
              </w:rPr>
            </w:pPr>
            <w:r w:rsidRPr="00D01373">
              <w:rPr>
                <w:rFonts w:eastAsiaTheme="minorHAnsi"/>
                <w:sz w:val="18"/>
              </w:rPr>
              <w:t xml:space="preserve">Fisher </w:t>
            </w:r>
            <w:r w:rsidR="00180A32" w:rsidRPr="00180A32">
              <w:rPr>
                <w:rFonts w:eastAsiaTheme="minorHAnsi"/>
                <w:i/>
                <w:sz w:val="18"/>
              </w:rPr>
              <w:t xml:space="preserve">et al. </w:t>
            </w:r>
            <w:r w:rsidR="00CC50B8">
              <w:rPr>
                <w:rFonts w:eastAsiaTheme="minorHAnsi"/>
                <w:sz w:val="18"/>
              </w:rPr>
              <w:t xml:space="preserve"> </w:t>
            </w:r>
            <w:r w:rsidR="00F8101A" w:rsidRPr="00D01373">
              <w:rPr>
                <w:rFonts w:eastAsiaTheme="minorHAnsi"/>
                <w:sz w:val="18"/>
              </w:rPr>
              <w:t>2013</w:t>
            </w:r>
          </w:p>
        </w:tc>
        <w:tc>
          <w:tcPr>
            <w:tcW w:w="3828" w:type="dxa"/>
            <w:vAlign w:val="center"/>
          </w:tcPr>
          <w:p w14:paraId="057FE8F9" w14:textId="77777777" w:rsidR="00F8101A" w:rsidRPr="00D01373" w:rsidRDefault="00F8101A" w:rsidP="00A111E9">
            <w:pPr>
              <w:widowControl/>
              <w:tabs>
                <w:tab w:val="left" w:pos="2505"/>
              </w:tabs>
              <w:rPr>
                <w:rFonts w:eastAsiaTheme="minorHAnsi"/>
                <w:sz w:val="18"/>
              </w:rPr>
            </w:pPr>
            <w:r w:rsidRPr="00D01373">
              <w:rPr>
                <w:rFonts w:eastAsiaTheme="minorHAnsi"/>
                <w:sz w:val="18"/>
              </w:rPr>
              <w:t>25</w:t>
            </w:r>
            <w:r w:rsidRPr="00D01373">
              <w:rPr>
                <w:rFonts w:eastAsiaTheme="minorHAnsi"/>
                <w:sz w:val="18"/>
                <w:vertAlign w:val="superscript"/>
              </w:rPr>
              <w:t>th</w:t>
            </w:r>
            <w:r w:rsidRPr="00D01373">
              <w:rPr>
                <w:rFonts w:eastAsiaTheme="minorHAnsi"/>
                <w:sz w:val="18"/>
              </w:rPr>
              <w:t xml:space="preserve"> centile: 1.85 ng/mL</w:t>
            </w:r>
            <w:r w:rsidRPr="00D01373">
              <w:rPr>
                <w:rFonts w:eastAsiaTheme="minorHAnsi"/>
                <w:sz w:val="18"/>
              </w:rPr>
              <w:tab/>
            </w:r>
          </w:p>
          <w:p w14:paraId="17194A10" w14:textId="14B7B863" w:rsidR="00F8101A" w:rsidRPr="00D01373" w:rsidRDefault="00F8101A" w:rsidP="00A111E9">
            <w:pPr>
              <w:widowControl/>
              <w:rPr>
                <w:rFonts w:eastAsiaTheme="minorHAnsi"/>
                <w:sz w:val="18"/>
              </w:rPr>
            </w:pPr>
            <w:r w:rsidRPr="00D01373">
              <w:rPr>
                <w:rFonts w:eastAsiaTheme="minorHAnsi"/>
                <w:sz w:val="18"/>
              </w:rPr>
              <w:t>Median: 2.</w:t>
            </w:r>
            <w:r w:rsidR="004461DC">
              <w:rPr>
                <w:rFonts w:eastAsiaTheme="minorHAnsi"/>
                <w:sz w:val="18"/>
              </w:rPr>
              <w:t>5</w:t>
            </w:r>
            <w:r w:rsidRPr="00D01373">
              <w:rPr>
                <w:rFonts w:eastAsiaTheme="minorHAnsi"/>
                <w:sz w:val="18"/>
              </w:rPr>
              <w:t>8 ng/mL</w:t>
            </w:r>
          </w:p>
          <w:p w14:paraId="33314743" w14:textId="2AE6BEF0" w:rsidR="00F8101A" w:rsidRPr="00D01373" w:rsidRDefault="00F8101A" w:rsidP="00A111E9">
            <w:pPr>
              <w:widowControl/>
              <w:rPr>
                <w:rFonts w:eastAsiaTheme="minorHAnsi"/>
                <w:sz w:val="18"/>
              </w:rPr>
            </w:pPr>
            <w:r w:rsidRPr="00D01373">
              <w:rPr>
                <w:rFonts w:eastAsiaTheme="minorHAnsi"/>
                <w:sz w:val="18"/>
              </w:rPr>
              <w:t>75</w:t>
            </w:r>
            <w:r w:rsidRPr="00D01373">
              <w:rPr>
                <w:rFonts w:eastAsiaTheme="minorHAnsi"/>
                <w:sz w:val="18"/>
                <w:vertAlign w:val="superscript"/>
              </w:rPr>
              <w:t>th</w:t>
            </w:r>
            <w:r w:rsidRPr="00D01373">
              <w:rPr>
                <w:rFonts w:eastAsiaTheme="minorHAnsi"/>
                <w:sz w:val="18"/>
              </w:rPr>
              <w:t xml:space="preserve"> centile: 3.55 ng/mL</w:t>
            </w:r>
          </w:p>
        </w:tc>
        <w:tc>
          <w:tcPr>
            <w:tcW w:w="4216" w:type="dxa"/>
            <w:vAlign w:val="center"/>
          </w:tcPr>
          <w:p w14:paraId="04879A34" w14:textId="77777777" w:rsidR="00F8101A" w:rsidRPr="00D01373" w:rsidRDefault="00F8101A" w:rsidP="00A111E9">
            <w:pPr>
              <w:widowControl/>
              <w:rPr>
                <w:rFonts w:eastAsiaTheme="minorHAnsi"/>
                <w:sz w:val="18"/>
              </w:rPr>
            </w:pPr>
            <w:r w:rsidRPr="00D01373">
              <w:rPr>
                <w:rFonts w:eastAsiaTheme="minorHAnsi"/>
                <w:sz w:val="18"/>
              </w:rPr>
              <w:t>Adjusted difference: 0.03 log mmol/L total-C (mmol/L) per log ng/mL PFOA</w:t>
            </w:r>
          </w:p>
          <w:p w14:paraId="61336D98" w14:textId="77777777" w:rsidR="00F8101A" w:rsidRPr="00D01373" w:rsidRDefault="00F8101A" w:rsidP="00A111E9">
            <w:pPr>
              <w:widowControl/>
              <w:rPr>
                <w:rFonts w:eastAsiaTheme="minorHAnsi"/>
                <w:sz w:val="18"/>
              </w:rPr>
            </w:pPr>
          </w:p>
          <w:p w14:paraId="0D003C9C" w14:textId="77777777" w:rsidR="00F8101A" w:rsidRPr="00D01373" w:rsidRDefault="00F8101A" w:rsidP="00A111E9">
            <w:pPr>
              <w:widowControl/>
              <w:rPr>
                <w:rFonts w:eastAsiaTheme="minorHAnsi"/>
                <w:sz w:val="18"/>
              </w:rPr>
            </w:pPr>
            <w:r w:rsidRPr="00D01373">
              <w:rPr>
                <w:rFonts w:eastAsiaTheme="minorHAnsi"/>
                <w:sz w:val="18"/>
              </w:rPr>
              <w:t>Base used for log transformation not described</w:t>
            </w:r>
          </w:p>
        </w:tc>
      </w:tr>
      <w:tr w:rsidR="00F8101A" w:rsidRPr="00D01373" w14:paraId="63748918" w14:textId="77777777" w:rsidTr="00F6284E">
        <w:tc>
          <w:tcPr>
            <w:tcW w:w="1242" w:type="dxa"/>
            <w:vAlign w:val="center"/>
          </w:tcPr>
          <w:p w14:paraId="776A45EE" w14:textId="6E2CCB82" w:rsidR="00F8101A" w:rsidRPr="00D01373" w:rsidRDefault="00F97564" w:rsidP="00A111E9">
            <w:pPr>
              <w:widowControl/>
              <w:rPr>
                <w:rFonts w:eastAsiaTheme="minorHAnsi"/>
                <w:sz w:val="18"/>
              </w:rPr>
            </w:pPr>
            <w:r w:rsidRPr="00D01373">
              <w:rPr>
                <w:rFonts w:eastAsiaTheme="minorHAnsi"/>
                <w:sz w:val="18"/>
              </w:rPr>
              <w:t xml:space="preserve">Fu </w:t>
            </w:r>
            <w:r w:rsidR="00180A32" w:rsidRPr="00180A32">
              <w:rPr>
                <w:rFonts w:eastAsiaTheme="minorHAnsi"/>
                <w:i/>
                <w:sz w:val="18"/>
              </w:rPr>
              <w:t xml:space="preserve">et al. </w:t>
            </w:r>
            <w:r w:rsidR="00CC50B8">
              <w:rPr>
                <w:rFonts w:eastAsiaTheme="minorHAnsi"/>
                <w:sz w:val="18"/>
              </w:rPr>
              <w:t xml:space="preserve"> </w:t>
            </w:r>
            <w:r w:rsidR="00F8101A" w:rsidRPr="00D01373">
              <w:rPr>
                <w:rFonts w:eastAsiaTheme="minorHAnsi"/>
                <w:sz w:val="18"/>
              </w:rPr>
              <w:t>2014</w:t>
            </w:r>
          </w:p>
          <w:p w14:paraId="4309BCCA" w14:textId="77777777" w:rsidR="00F8101A" w:rsidRPr="00D01373" w:rsidRDefault="00F8101A" w:rsidP="00A111E9">
            <w:pPr>
              <w:widowControl/>
              <w:rPr>
                <w:rFonts w:eastAsiaTheme="minorHAnsi"/>
                <w:sz w:val="18"/>
              </w:rPr>
            </w:pPr>
          </w:p>
        </w:tc>
        <w:tc>
          <w:tcPr>
            <w:tcW w:w="3828" w:type="dxa"/>
            <w:vAlign w:val="center"/>
          </w:tcPr>
          <w:p w14:paraId="679C587D" w14:textId="77777777" w:rsidR="00F8101A" w:rsidRPr="00D01373" w:rsidRDefault="00F8101A" w:rsidP="00A111E9">
            <w:pPr>
              <w:widowControl/>
              <w:rPr>
                <w:rFonts w:eastAsiaTheme="minorHAnsi"/>
                <w:sz w:val="18"/>
              </w:rPr>
            </w:pPr>
            <w:r w:rsidRPr="00D01373">
              <w:rPr>
                <w:rFonts w:eastAsiaTheme="minorHAnsi"/>
                <w:sz w:val="18"/>
              </w:rPr>
              <w:t>Lowest quartile: median 0.7ng/mL</w:t>
            </w:r>
          </w:p>
          <w:p w14:paraId="73FB9BB5" w14:textId="77777777" w:rsidR="00F8101A" w:rsidRPr="00D01373" w:rsidRDefault="00F8101A" w:rsidP="00A111E9">
            <w:pPr>
              <w:widowControl/>
              <w:rPr>
                <w:rFonts w:eastAsiaTheme="minorHAnsi"/>
                <w:sz w:val="18"/>
              </w:rPr>
            </w:pPr>
            <w:r w:rsidRPr="00D01373">
              <w:rPr>
                <w:rFonts w:eastAsiaTheme="minorHAnsi"/>
                <w:sz w:val="18"/>
              </w:rPr>
              <w:t>Highest quartile: median 4.9 ng/mL</w:t>
            </w:r>
          </w:p>
        </w:tc>
        <w:tc>
          <w:tcPr>
            <w:tcW w:w="4216" w:type="dxa"/>
            <w:vAlign w:val="center"/>
          </w:tcPr>
          <w:p w14:paraId="169168F7" w14:textId="77777777" w:rsidR="00F8101A" w:rsidRPr="00D01373" w:rsidRDefault="00F8101A" w:rsidP="00A111E9">
            <w:pPr>
              <w:widowControl/>
              <w:rPr>
                <w:rFonts w:eastAsiaTheme="minorHAnsi"/>
                <w:sz w:val="18"/>
              </w:rPr>
            </w:pPr>
            <w:r w:rsidRPr="00D01373">
              <w:rPr>
                <w:rFonts w:eastAsiaTheme="minorHAnsi"/>
                <w:sz w:val="18"/>
              </w:rPr>
              <w:t>Irregular increase from lowest to highest quartile, of approximately 0.3 natural log mmol/L total-C</w:t>
            </w:r>
          </w:p>
        </w:tc>
      </w:tr>
      <w:tr w:rsidR="00F8101A" w:rsidRPr="00D01373" w14:paraId="4155219A" w14:textId="77777777" w:rsidTr="00F6284E">
        <w:tc>
          <w:tcPr>
            <w:tcW w:w="1242" w:type="dxa"/>
            <w:vAlign w:val="center"/>
          </w:tcPr>
          <w:p w14:paraId="08BC54DC" w14:textId="4D78FF43" w:rsidR="00F8101A" w:rsidRPr="00D01373" w:rsidRDefault="00F8101A" w:rsidP="00A111E9">
            <w:pPr>
              <w:widowControl/>
              <w:rPr>
                <w:rFonts w:eastAsiaTheme="minorHAnsi"/>
                <w:sz w:val="18"/>
              </w:rPr>
            </w:pPr>
            <w:r w:rsidRPr="00D01373">
              <w:rPr>
                <w:rFonts w:eastAsiaTheme="minorHAnsi"/>
                <w:sz w:val="18"/>
              </w:rPr>
              <w:t xml:space="preserve">Christiansen </w:t>
            </w:r>
            <w:r w:rsidR="00180A32" w:rsidRPr="00180A32">
              <w:rPr>
                <w:rFonts w:eastAsiaTheme="minorHAnsi"/>
                <w:i/>
                <w:sz w:val="18"/>
              </w:rPr>
              <w:t xml:space="preserve">et al. </w:t>
            </w:r>
            <w:r w:rsidR="00CC50B8">
              <w:rPr>
                <w:rFonts w:eastAsiaTheme="minorHAnsi"/>
                <w:sz w:val="18"/>
              </w:rPr>
              <w:t xml:space="preserve"> </w:t>
            </w:r>
            <w:r w:rsidRPr="00D01373">
              <w:rPr>
                <w:rFonts w:eastAsiaTheme="minorHAnsi"/>
                <w:sz w:val="18"/>
              </w:rPr>
              <w:t>2016</w:t>
            </w:r>
          </w:p>
        </w:tc>
        <w:tc>
          <w:tcPr>
            <w:tcW w:w="3828" w:type="dxa"/>
            <w:vAlign w:val="center"/>
          </w:tcPr>
          <w:p w14:paraId="3C10280E" w14:textId="77777777" w:rsidR="00F8101A" w:rsidRPr="00D01373" w:rsidRDefault="00F8101A" w:rsidP="00A111E9">
            <w:pPr>
              <w:widowControl/>
              <w:rPr>
                <w:rFonts w:eastAsiaTheme="minorHAnsi"/>
                <w:sz w:val="18"/>
              </w:rPr>
            </w:pPr>
            <w:r w:rsidRPr="00D01373">
              <w:rPr>
                <w:rFonts w:eastAsiaTheme="minorHAnsi"/>
                <w:sz w:val="18"/>
              </w:rPr>
              <w:t>Median 2.50 ng/mL</w:t>
            </w:r>
          </w:p>
          <w:p w14:paraId="52DD7A66" w14:textId="77777777" w:rsidR="00F8101A" w:rsidRPr="00D01373" w:rsidRDefault="00F8101A" w:rsidP="00A111E9">
            <w:pPr>
              <w:widowControl/>
              <w:rPr>
                <w:rFonts w:eastAsiaTheme="minorHAnsi"/>
                <w:sz w:val="18"/>
              </w:rPr>
            </w:pPr>
            <w:r w:rsidRPr="00D01373">
              <w:rPr>
                <w:rFonts w:eastAsiaTheme="minorHAnsi"/>
                <w:sz w:val="18"/>
              </w:rPr>
              <w:t>25</w:t>
            </w:r>
            <w:r w:rsidRPr="00D01373">
              <w:rPr>
                <w:rFonts w:eastAsiaTheme="minorHAnsi"/>
                <w:sz w:val="18"/>
                <w:vertAlign w:val="superscript"/>
              </w:rPr>
              <w:t>th</w:t>
            </w:r>
            <w:r w:rsidRPr="00D01373">
              <w:rPr>
                <w:rFonts w:eastAsiaTheme="minorHAnsi"/>
                <w:sz w:val="18"/>
              </w:rPr>
              <w:t xml:space="preserve"> centile 1.80 ng/mL</w:t>
            </w:r>
          </w:p>
          <w:p w14:paraId="15AD88AD" w14:textId="77777777" w:rsidR="00F8101A" w:rsidRPr="00D01373" w:rsidRDefault="00F8101A" w:rsidP="00A111E9">
            <w:pPr>
              <w:widowControl/>
              <w:rPr>
                <w:rFonts w:eastAsiaTheme="minorHAnsi"/>
                <w:sz w:val="18"/>
              </w:rPr>
            </w:pPr>
            <w:r w:rsidRPr="00D01373">
              <w:rPr>
                <w:rFonts w:eastAsiaTheme="minorHAnsi"/>
                <w:sz w:val="18"/>
              </w:rPr>
              <w:t>75</w:t>
            </w:r>
            <w:r w:rsidRPr="00D01373">
              <w:rPr>
                <w:rFonts w:eastAsiaTheme="minorHAnsi"/>
                <w:sz w:val="18"/>
                <w:vertAlign w:val="superscript"/>
              </w:rPr>
              <w:t>th</w:t>
            </w:r>
            <w:r w:rsidRPr="00D01373">
              <w:rPr>
                <w:rFonts w:eastAsiaTheme="minorHAnsi"/>
                <w:sz w:val="18"/>
              </w:rPr>
              <w:t xml:space="preserve"> centile 3.30 ng/mL</w:t>
            </w:r>
          </w:p>
          <w:p w14:paraId="3D6124B9" w14:textId="77777777" w:rsidR="00F8101A" w:rsidRPr="00D01373" w:rsidRDefault="00F8101A" w:rsidP="00A111E9">
            <w:pPr>
              <w:widowControl/>
              <w:rPr>
                <w:rFonts w:eastAsiaTheme="minorHAnsi"/>
                <w:sz w:val="18"/>
              </w:rPr>
            </w:pPr>
            <w:r w:rsidRPr="00D01373">
              <w:rPr>
                <w:rFonts w:eastAsiaTheme="minorHAnsi"/>
                <w:sz w:val="18"/>
              </w:rPr>
              <w:t>95</w:t>
            </w:r>
            <w:r w:rsidRPr="00D01373">
              <w:rPr>
                <w:rFonts w:eastAsiaTheme="minorHAnsi"/>
                <w:sz w:val="18"/>
                <w:vertAlign w:val="superscript"/>
              </w:rPr>
              <w:t>th</w:t>
            </w:r>
            <w:r w:rsidRPr="00D01373">
              <w:rPr>
                <w:rFonts w:eastAsiaTheme="minorHAnsi"/>
                <w:sz w:val="18"/>
              </w:rPr>
              <w:t xml:space="preserve"> centile 5.1 ng/mL</w:t>
            </w:r>
          </w:p>
        </w:tc>
        <w:tc>
          <w:tcPr>
            <w:tcW w:w="4216" w:type="dxa"/>
            <w:vAlign w:val="center"/>
          </w:tcPr>
          <w:p w14:paraId="52CA98CF" w14:textId="39B517FE" w:rsidR="00F8101A" w:rsidRPr="00D01373" w:rsidRDefault="00F8101A" w:rsidP="00A111E9">
            <w:pPr>
              <w:widowControl/>
              <w:rPr>
                <w:rFonts w:eastAsiaTheme="minorHAnsi"/>
                <w:sz w:val="18"/>
              </w:rPr>
            </w:pPr>
            <w:r w:rsidRPr="00D01373">
              <w:rPr>
                <w:rFonts w:eastAsiaTheme="minorHAnsi"/>
                <w:sz w:val="18"/>
              </w:rPr>
              <w:t xml:space="preserve">Adjusted </w:t>
            </w:r>
            <w:r w:rsidR="000C6F4B">
              <w:rPr>
                <w:rFonts w:eastAsiaTheme="minorHAnsi"/>
                <w:sz w:val="18"/>
              </w:rPr>
              <w:t>OR</w:t>
            </w:r>
            <w:r w:rsidRPr="00D01373">
              <w:rPr>
                <w:rFonts w:eastAsiaTheme="minorHAnsi"/>
                <w:sz w:val="18"/>
              </w:rPr>
              <w:t xml:space="preserve"> for self-reported elevated total-C = </w:t>
            </w:r>
            <w:r w:rsidRPr="00D01373">
              <w:rPr>
                <w:rFonts w:eastAsia="Gulliver"/>
                <w:sz w:val="18"/>
              </w:rPr>
              <w:t xml:space="preserve">1.12. </w:t>
            </w:r>
            <w:r w:rsidRPr="00D01373">
              <w:rPr>
                <w:rFonts w:eastAsiaTheme="minorHAnsi"/>
                <w:sz w:val="18"/>
              </w:rPr>
              <w:t>However, the units of PFOA that this relates to are not given; i.e. whether the OR desc</w:t>
            </w:r>
            <w:r w:rsidR="00D60FEF" w:rsidRPr="00D01373">
              <w:rPr>
                <w:rFonts w:eastAsiaTheme="minorHAnsi"/>
                <w:sz w:val="18"/>
              </w:rPr>
              <w:t>ribes increase in odds per ng/mL</w:t>
            </w:r>
            <w:r w:rsidRPr="00D01373">
              <w:rPr>
                <w:rFonts w:eastAsiaTheme="minorHAnsi"/>
                <w:sz w:val="18"/>
              </w:rPr>
              <w:t xml:space="preserve">, per unit natural logarithm etc. </w:t>
            </w:r>
          </w:p>
        </w:tc>
      </w:tr>
      <w:tr w:rsidR="00F8101A" w:rsidRPr="00D01373" w14:paraId="6A7A3E00" w14:textId="77777777" w:rsidTr="00F6284E">
        <w:tc>
          <w:tcPr>
            <w:tcW w:w="1242" w:type="dxa"/>
            <w:vAlign w:val="center"/>
          </w:tcPr>
          <w:p w14:paraId="79F6FA11" w14:textId="43B0482A" w:rsidR="00F8101A" w:rsidRPr="00D01373" w:rsidRDefault="00F97564" w:rsidP="00A111E9">
            <w:pPr>
              <w:widowControl/>
              <w:rPr>
                <w:rFonts w:eastAsiaTheme="minorHAnsi"/>
                <w:sz w:val="18"/>
              </w:rPr>
            </w:pPr>
            <w:r w:rsidRPr="00D01373">
              <w:rPr>
                <w:rFonts w:eastAsiaTheme="minorHAnsi"/>
                <w:sz w:val="18"/>
              </w:rPr>
              <w:t xml:space="preserve">Wang </w:t>
            </w:r>
            <w:r w:rsidR="00180A32" w:rsidRPr="00180A32">
              <w:rPr>
                <w:rFonts w:eastAsiaTheme="minorHAnsi"/>
                <w:i/>
                <w:sz w:val="18"/>
              </w:rPr>
              <w:t xml:space="preserve">et al. </w:t>
            </w:r>
            <w:r w:rsidR="00CC50B8">
              <w:rPr>
                <w:rFonts w:eastAsiaTheme="minorHAnsi"/>
                <w:sz w:val="18"/>
              </w:rPr>
              <w:t xml:space="preserve"> </w:t>
            </w:r>
            <w:r w:rsidR="00F8101A" w:rsidRPr="00D01373">
              <w:rPr>
                <w:rFonts w:eastAsiaTheme="minorHAnsi"/>
                <w:sz w:val="18"/>
              </w:rPr>
              <w:t>2012</w:t>
            </w:r>
          </w:p>
        </w:tc>
        <w:tc>
          <w:tcPr>
            <w:tcW w:w="3828" w:type="dxa"/>
            <w:vAlign w:val="center"/>
          </w:tcPr>
          <w:p w14:paraId="12E45850" w14:textId="77777777" w:rsidR="00F8101A" w:rsidRPr="00D01373" w:rsidRDefault="00F8101A" w:rsidP="00A111E9">
            <w:pPr>
              <w:widowControl/>
              <w:rPr>
                <w:rFonts w:eastAsiaTheme="minorHAnsi"/>
                <w:sz w:val="18"/>
              </w:rPr>
            </w:pPr>
            <w:r w:rsidRPr="00D01373">
              <w:rPr>
                <w:rFonts w:eastAsiaTheme="minorHAnsi"/>
                <w:sz w:val="18"/>
              </w:rPr>
              <w:t>Nearby residents: median 284 ng/mL; minimum 10 ng/mL; maximum 2437 ng/mL</w:t>
            </w:r>
          </w:p>
          <w:p w14:paraId="5D1CAB62" w14:textId="77777777" w:rsidR="00F8101A" w:rsidRPr="00D01373" w:rsidRDefault="00F8101A" w:rsidP="00A111E9">
            <w:pPr>
              <w:widowControl/>
              <w:rPr>
                <w:rFonts w:eastAsiaTheme="minorHAnsi"/>
                <w:sz w:val="18"/>
              </w:rPr>
            </w:pPr>
            <w:r w:rsidRPr="00D01373">
              <w:rPr>
                <w:rFonts w:eastAsiaTheme="minorHAnsi"/>
                <w:sz w:val="18"/>
              </w:rPr>
              <w:t>Workers: median 1636 ng/mL; minimum 85 ng/mL; maximum 7737 ng/mL</w:t>
            </w:r>
          </w:p>
        </w:tc>
        <w:tc>
          <w:tcPr>
            <w:tcW w:w="4216" w:type="dxa"/>
            <w:vAlign w:val="center"/>
          </w:tcPr>
          <w:p w14:paraId="2FE7C2E4" w14:textId="736644F6" w:rsidR="00F8101A" w:rsidRPr="00D01373" w:rsidRDefault="00F8101A" w:rsidP="00A111E9">
            <w:pPr>
              <w:widowControl/>
              <w:rPr>
                <w:rFonts w:eastAsiaTheme="minorHAnsi"/>
                <w:sz w:val="18"/>
              </w:rPr>
            </w:pPr>
            <w:r w:rsidRPr="00D01373">
              <w:rPr>
                <w:rFonts w:eastAsiaTheme="minorHAnsi"/>
                <w:sz w:val="18"/>
              </w:rPr>
              <w:t>Residents: -0.00 natural log mmol/L total-C (mmol/L) per natural log ng/mL PFOA</w:t>
            </w:r>
          </w:p>
          <w:p w14:paraId="692C7B12" w14:textId="35707B77" w:rsidR="00F8101A" w:rsidRPr="00D01373" w:rsidRDefault="00F8101A" w:rsidP="00A111E9">
            <w:pPr>
              <w:widowControl/>
              <w:rPr>
                <w:rFonts w:eastAsiaTheme="minorHAnsi"/>
                <w:sz w:val="18"/>
              </w:rPr>
            </w:pPr>
            <w:r w:rsidRPr="00D01373">
              <w:rPr>
                <w:rFonts w:eastAsiaTheme="minorHAnsi"/>
                <w:sz w:val="18"/>
              </w:rPr>
              <w:t xml:space="preserve">Workers: 0.02 natural log mmol/L total-C (mmol/L) per natural log ng/mL PFOA </w:t>
            </w:r>
          </w:p>
        </w:tc>
      </w:tr>
    </w:tbl>
    <w:p w14:paraId="73A34334" w14:textId="1FB46EE9" w:rsidR="00F8101A" w:rsidRPr="007D047A" w:rsidRDefault="00F8101A" w:rsidP="00A111E9">
      <w:pPr>
        <w:pStyle w:val="FSFigureTitle"/>
        <w:rPr>
          <w:rFonts w:eastAsiaTheme="minorHAnsi"/>
        </w:rPr>
      </w:pPr>
      <w:r w:rsidRPr="00D01373">
        <w:rPr>
          <w:rFonts w:eastAsiaTheme="minorHAnsi"/>
        </w:rPr>
        <w:t xml:space="preserve">Figure </w:t>
      </w:r>
      <w:r w:rsidR="00C52465" w:rsidRPr="007D047A">
        <w:rPr>
          <w:rFonts w:eastAsiaTheme="minorHAnsi"/>
        </w:rPr>
        <w:t>A2.</w:t>
      </w:r>
      <w:r w:rsidRPr="007D047A">
        <w:rPr>
          <w:rFonts w:eastAsiaTheme="minorHAnsi"/>
        </w:rPr>
        <w:t>1 Association between PFOA and serum total cholesterol concentrations in adults A: papers which provided enough information to graph their results B: magnified view of the low PFOA concentration range</w:t>
      </w:r>
      <w:r w:rsidR="00170A03" w:rsidRPr="007D047A">
        <w:rPr>
          <w:rFonts w:eastAsiaTheme="minorHAnsi"/>
        </w:rPr>
        <w:t xml:space="preserve"> </w:t>
      </w:r>
      <w:r w:rsidRPr="007D047A">
        <w:rPr>
          <w:rFonts w:eastAsiaTheme="minorHAnsi"/>
        </w:rPr>
        <w:t>C: tabulation of results reported in paper which provided insufficient data for graphical presentation</w:t>
      </w:r>
    </w:p>
    <w:p w14:paraId="1D6D2296" w14:textId="77777777"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t>A</w:t>
      </w:r>
    </w:p>
    <w:p w14:paraId="7ED4A3FD" w14:textId="77777777" w:rsidR="00F8101A" w:rsidRDefault="00F8101A" w:rsidP="00A111E9">
      <w:pPr>
        <w:widowControl/>
        <w:rPr>
          <w:rFonts w:eastAsiaTheme="minorHAnsi" w:cstheme="minorBidi"/>
          <w:b/>
          <w:szCs w:val="22"/>
          <w:lang w:bidi="ar-SA"/>
        </w:rPr>
      </w:pPr>
      <w:r w:rsidRPr="00D01373">
        <w:rPr>
          <w:rFonts w:eastAsiaTheme="minorHAnsi" w:cstheme="minorBidi"/>
          <w:noProof/>
          <w:szCs w:val="22"/>
          <w:lang w:eastAsia="en-GB" w:bidi="ar-SA"/>
        </w:rPr>
        <w:drawing>
          <wp:inline distT="0" distB="0" distL="0" distR="0" wp14:anchorId="5C6BCF45" wp14:editId="3B86A475">
            <wp:extent cx="5642811" cy="2627525"/>
            <wp:effectExtent l="0" t="0" r="0" b="0"/>
            <wp:docPr id="17" name="Picture 17" title="Figure A2.2 Association between PFOA and serum LDL cholesterol concentrations in adults A: papers which provided enough information to graph their results B: magnified view of the low PFOA concentration range; C: tabulation of results reported in paper which provided insufficient data for graphical presen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45764" cy="2628900"/>
                    </a:xfrm>
                    <a:prstGeom prst="rect">
                      <a:avLst/>
                    </a:prstGeom>
                  </pic:spPr>
                </pic:pic>
              </a:graphicData>
            </a:graphic>
          </wp:inline>
        </w:drawing>
      </w:r>
    </w:p>
    <w:p w14:paraId="3C9A45F0" w14:textId="77777777" w:rsidR="00DE222C" w:rsidRDefault="00DE222C">
      <w:pPr>
        <w:widowControl/>
        <w:rPr>
          <w:rFonts w:eastAsiaTheme="minorHAnsi" w:cstheme="minorBidi"/>
          <w:szCs w:val="22"/>
          <w:lang w:bidi="ar-SA"/>
        </w:rPr>
      </w:pPr>
      <w:r>
        <w:rPr>
          <w:rFonts w:eastAsiaTheme="minorHAnsi" w:cstheme="minorBidi"/>
          <w:szCs w:val="22"/>
          <w:lang w:bidi="ar-SA"/>
        </w:rPr>
        <w:br w:type="page"/>
      </w:r>
    </w:p>
    <w:p w14:paraId="1B133C61" w14:textId="11E5EBF8" w:rsidR="00DE222C" w:rsidRPr="00D01373" w:rsidRDefault="00DE222C" w:rsidP="00DE222C">
      <w:pPr>
        <w:widowControl/>
        <w:rPr>
          <w:rFonts w:eastAsiaTheme="minorHAnsi" w:cstheme="minorBidi"/>
          <w:szCs w:val="22"/>
          <w:lang w:bidi="ar-SA"/>
        </w:rPr>
      </w:pPr>
      <w:r w:rsidRPr="00D01373">
        <w:rPr>
          <w:rFonts w:eastAsiaTheme="minorHAnsi" w:cstheme="minorBidi"/>
          <w:szCs w:val="22"/>
          <w:lang w:bidi="ar-SA"/>
        </w:rPr>
        <w:lastRenderedPageBreak/>
        <w:t>B</w:t>
      </w:r>
    </w:p>
    <w:p w14:paraId="37FC19B4" w14:textId="77777777" w:rsidR="00F8101A" w:rsidRDefault="00F8101A" w:rsidP="00A111E9">
      <w:pPr>
        <w:widowControl/>
        <w:rPr>
          <w:rFonts w:eastAsiaTheme="minorHAnsi" w:cstheme="minorBidi"/>
          <w:szCs w:val="22"/>
          <w:lang w:bidi="ar-SA"/>
        </w:rPr>
      </w:pPr>
      <w:r w:rsidRPr="00D01373">
        <w:rPr>
          <w:rFonts w:eastAsiaTheme="minorHAnsi" w:cstheme="minorBidi"/>
          <w:noProof/>
          <w:szCs w:val="22"/>
          <w:lang w:eastAsia="en-GB" w:bidi="ar-SA"/>
        </w:rPr>
        <w:drawing>
          <wp:inline distT="0" distB="0" distL="0" distR="0" wp14:anchorId="010BA0BA" wp14:editId="73DFA927">
            <wp:extent cx="4791075" cy="2638425"/>
            <wp:effectExtent l="0" t="0" r="9525" b="3175"/>
            <wp:docPr id="18" name="Picture 18" title="Figure A2.2 Association between PFOA and serum LDL cholesterol concentrations in adults A: papers which provided enough information to graph their results B: magnified view of the low PFOA concentration range; C: tabulation of results reported in paper which provided insufficient data for graphical presen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791075" cy="2638425"/>
                    </a:xfrm>
                    <a:prstGeom prst="rect">
                      <a:avLst/>
                    </a:prstGeom>
                  </pic:spPr>
                </pic:pic>
              </a:graphicData>
            </a:graphic>
          </wp:inline>
        </w:drawing>
      </w:r>
    </w:p>
    <w:p w14:paraId="5D72CF47" w14:textId="77777777"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t>C</w:t>
      </w:r>
    </w:p>
    <w:tbl>
      <w:tblPr>
        <w:tblStyle w:val="TableGrid10"/>
        <w:tblW w:w="0" w:type="auto"/>
        <w:tblLook w:val="04A0" w:firstRow="1" w:lastRow="0" w:firstColumn="1" w:lastColumn="0" w:noHBand="0" w:noVBand="1"/>
        <w:tblCaption w:val="Figure C: tabulation of results reported in paper which provided insufficient data for graphical presentation"/>
        <w:tblDescription w:val="This table contains data relating to tabulation of results reported in paper which provided insufficient data for graphical presentation."/>
      </w:tblPr>
      <w:tblGrid>
        <w:gridCol w:w="1242"/>
        <w:gridCol w:w="3969"/>
        <w:gridCol w:w="4075"/>
      </w:tblGrid>
      <w:tr w:rsidR="00F8101A" w:rsidRPr="00D01373" w14:paraId="343B7DFE" w14:textId="77777777" w:rsidTr="000830C5">
        <w:trPr>
          <w:tblHeader/>
        </w:trPr>
        <w:tc>
          <w:tcPr>
            <w:tcW w:w="1242" w:type="dxa"/>
            <w:shd w:val="clear" w:color="auto" w:fill="F2F2F2" w:themeFill="background1" w:themeFillShade="F2"/>
          </w:tcPr>
          <w:p w14:paraId="1886BC2C" w14:textId="77777777" w:rsidR="00F8101A" w:rsidRPr="00D01373" w:rsidRDefault="00F8101A" w:rsidP="00A111E9">
            <w:pPr>
              <w:widowControl/>
              <w:rPr>
                <w:rFonts w:eastAsiaTheme="minorHAnsi" w:cstheme="minorBidi"/>
                <w:b/>
                <w:szCs w:val="22"/>
                <w:lang w:bidi="ar-SA"/>
              </w:rPr>
            </w:pPr>
            <w:r w:rsidRPr="00D01373">
              <w:rPr>
                <w:rFonts w:eastAsiaTheme="minorHAnsi" w:cstheme="minorBidi"/>
                <w:b/>
                <w:szCs w:val="22"/>
                <w:lang w:bidi="ar-SA"/>
              </w:rPr>
              <w:t>Author</w:t>
            </w:r>
          </w:p>
        </w:tc>
        <w:tc>
          <w:tcPr>
            <w:tcW w:w="3969" w:type="dxa"/>
            <w:shd w:val="clear" w:color="auto" w:fill="F2F2F2" w:themeFill="background1" w:themeFillShade="F2"/>
          </w:tcPr>
          <w:p w14:paraId="03EDB49C" w14:textId="77777777" w:rsidR="00F8101A" w:rsidRPr="00D01373" w:rsidRDefault="00F8101A" w:rsidP="00A111E9">
            <w:pPr>
              <w:widowControl/>
              <w:rPr>
                <w:rFonts w:eastAsiaTheme="minorHAnsi" w:cstheme="minorBidi"/>
                <w:b/>
                <w:szCs w:val="22"/>
                <w:lang w:bidi="ar-SA"/>
              </w:rPr>
            </w:pPr>
            <w:r w:rsidRPr="00D01373">
              <w:rPr>
                <w:rFonts w:eastAsiaTheme="minorHAnsi" w:cstheme="minorBidi"/>
                <w:b/>
                <w:szCs w:val="22"/>
                <w:lang w:bidi="ar-SA"/>
              </w:rPr>
              <w:t>Range of PFOA concentration in population</w:t>
            </w:r>
          </w:p>
        </w:tc>
        <w:tc>
          <w:tcPr>
            <w:tcW w:w="4075" w:type="dxa"/>
            <w:shd w:val="clear" w:color="auto" w:fill="F2F2F2" w:themeFill="background1" w:themeFillShade="F2"/>
          </w:tcPr>
          <w:p w14:paraId="5136893B" w14:textId="77777777" w:rsidR="00F8101A" w:rsidRPr="00D01373" w:rsidRDefault="00F8101A" w:rsidP="00A111E9">
            <w:pPr>
              <w:widowControl/>
              <w:rPr>
                <w:rFonts w:eastAsiaTheme="minorHAnsi" w:cstheme="minorBidi"/>
                <w:b/>
                <w:szCs w:val="22"/>
                <w:lang w:bidi="ar-SA"/>
              </w:rPr>
            </w:pPr>
            <w:r w:rsidRPr="00D01373">
              <w:rPr>
                <w:rFonts w:eastAsiaTheme="minorHAnsi" w:cstheme="minorBidi"/>
                <w:b/>
                <w:szCs w:val="22"/>
                <w:lang w:bidi="ar-SA"/>
              </w:rPr>
              <w:t>Description of association</w:t>
            </w:r>
          </w:p>
        </w:tc>
      </w:tr>
      <w:tr w:rsidR="00F8101A" w:rsidRPr="00D01373" w14:paraId="4A51E9D3" w14:textId="77777777" w:rsidTr="00F6284E">
        <w:tc>
          <w:tcPr>
            <w:tcW w:w="1242" w:type="dxa"/>
            <w:vAlign w:val="center"/>
          </w:tcPr>
          <w:p w14:paraId="695D3FC7" w14:textId="4B4FE70A" w:rsidR="00F8101A" w:rsidRPr="00D01373" w:rsidRDefault="00F97564" w:rsidP="00A111E9">
            <w:pPr>
              <w:widowControl/>
              <w:rPr>
                <w:rFonts w:eastAsiaTheme="minorHAnsi"/>
                <w:sz w:val="18"/>
              </w:rPr>
            </w:pPr>
            <w:r w:rsidRPr="00D01373">
              <w:rPr>
                <w:rFonts w:eastAsiaTheme="minorHAnsi"/>
                <w:sz w:val="18"/>
              </w:rPr>
              <w:t xml:space="preserve">Fisher </w:t>
            </w:r>
            <w:r w:rsidR="00180A32" w:rsidRPr="00180A32">
              <w:rPr>
                <w:rFonts w:eastAsiaTheme="minorHAnsi"/>
                <w:i/>
                <w:sz w:val="18"/>
              </w:rPr>
              <w:t xml:space="preserve">et al. </w:t>
            </w:r>
            <w:r w:rsidR="00CC50B8">
              <w:rPr>
                <w:rFonts w:eastAsiaTheme="minorHAnsi"/>
                <w:sz w:val="18"/>
              </w:rPr>
              <w:t xml:space="preserve"> </w:t>
            </w:r>
            <w:r w:rsidR="00F8101A" w:rsidRPr="00D01373">
              <w:rPr>
                <w:rFonts w:eastAsiaTheme="minorHAnsi"/>
                <w:sz w:val="18"/>
              </w:rPr>
              <w:t>2013</w:t>
            </w:r>
          </w:p>
        </w:tc>
        <w:tc>
          <w:tcPr>
            <w:tcW w:w="3969" w:type="dxa"/>
            <w:vAlign w:val="center"/>
          </w:tcPr>
          <w:p w14:paraId="3964B293" w14:textId="77777777" w:rsidR="00F8101A" w:rsidRPr="00D01373" w:rsidRDefault="00F8101A" w:rsidP="00A111E9">
            <w:pPr>
              <w:widowControl/>
              <w:tabs>
                <w:tab w:val="left" w:pos="2505"/>
              </w:tabs>
              <w:rPr>
                <w:rFonts w:eastAsiaTheme="minorHAnsi"/>
                <w:sz w:val="18"/>
              </w:rPr>
            </w:pPr>
            <w:r w:rsidRPr="00D01373">
              <w:rPr>
                <w:rFonts w:eastAsiaTheme="minorHAnsi"/>
                <w:sz w:val="18"/>
              </w:rPr>
              <w:t>25</w:t>
            </w:r>
            <w:r w:rsidRPr="00D01373">
              <w:rPr>
                <w:rFonts w:eastAsiaTheme="minorHAnsi"/>
                <w:sz w:val="18"/>
                <w:vertAlign w:val="superscript"/>
              </w:rPr>
              <w:t>th</w:t>
            </w:r>
            <w:r w:rsidRPr="00D01373">
              <w:rPr>
                <w:rFonts w:eastAsiaTheme="minorHAnsi"/>
                <w:sz w:val="18"/>
              </w:rPr>
              <w:t xml:space="preserve"> centile: 1.85 ng/mL</w:t>
            </w:r>
            <w:r w:rsidRPr="00D01373">
              <w:rPr>
                <w:rFonts w:eastAsiaTheme="minorHAnsi"/>
                <w:sz w:val="18"/>
              </w:rPr>
              <w:tab/>
            </w:r>
          </w:p>
          <w:p w14:paraId="67237FDA" w14:textId="672968B5" w:rsidR="00F8101A" w:rsidRPr="00D01373" w:rsidRDefault="00F8101A" w:rsidP="00A111E9">
            <w:pPr>
              <w:widowControl/>
              <w:rPr>
                <w:rFonts w:eastAsiaTheme="minorHAnsi"/>
                <w:sz w:val="18"/>
              </w:rPr>
            </w:pPr>
            <w:r w:rsidRPr="00D01373">
              <w:rPr>
                <w:rFonts w:eastAsiaTheme="minorHAnsi"/>
                <w:sz w:val="18"/>
              </w:rPr>
              <w:t>Median: 2.</w:t>
            </w:r>
            <w:r w:rsidR="004461DC">
              <w:rPr>
                <w:rFonts w:eastAsiaTheme="minorHAnsi"/>
                <w:sz w:val="18"/>
              </w:rPr>
              <w:t>5</w:t>
            </w:r>
            <w:r w:rsidRPr="00D01373">
              <w:rPr>
                <w:rFonts w:eastAsiaTheme="minorHAnsi"/>
                <w:sz w:val="18"/>
              </w:rPr>
              <w:t>8 ng/mL</w:t>
            </w:r>
          </w:p>
          <w:p w14:paraId="2DFCC72D" w14:textId="4F7376BC" w:rsidR="00F8101A" w:rsidRPr="00D01373" w:rsidRDefault="00F8101A" w:rsidP="00A111E9">
            <w:pPr>
              <w:widowControl/>
              <w:rPr>
                <w:rFonts w:eastAsiaTheme="minorHAnsi"/>
                <w:sz w:val="18"/>
              </w:rPr>
            </w:pPr>
            <w:r w:rsidRPr="00D01373">
              <w:rPr>
                <w:rFonts w:eastAsiaTheme="minorHAnsi"/>
                <w:sz w:val="18"/>
              </w:rPr>
              <w:t>75</w:t>
            </w:r>
            <w:r w:rsidRPr="00D01373">
              <w:rPr>
                <w:rFonts w:eastAsiaTheme="minorHAnsi"/>
                <w:sz w:val="18"/>
                <w:vertAlign w:val="superscript"/>
              </w:rPr>
              <w:t>th</w:t>
            </w:r>
            <w:r w:rsidRPr="00D01373">
              <w:rPr>
                <w:rFonts w:eastAsiaTheme="minorHAnsi"/>
                <w:sz w:val="18"/>
              </w:rPr>
              <w:t xml:space="preserve"> centile: 3.55 ng/mL</w:t>
            </w:r>
          </w:p>
        </w:tc>
        <w:tc>
          <w:tcPr>
            <w:tcW w:w="4075" w:type="dxa"/>
          </w:tcPr>
          <w:p w14:paraId="5571C4FD" w14:textId="77777777" w:rsidR="00F8101A" w:rsidRPr="00D01373" w:rsidRDefault="00F8101A" w:rsidP="00A111E9">
            <w:pPr>
              <w:widowControl/>
              <w:rPr>
                <w:rFonts w:eastAsiaTheme="minorHAnsi"/>
                <w:sz w:val="18"/>
              </w:rPr>
            </w:pPr>
            <w:r w:rsidRPr="00D01373">
              <w:rPr>
                <w:rFonts w:eastAsiaTheme="minorHAnsi"/>
                <w:sz w:val="18"/>
              </w:rPr>
              <w:t>Adjusted difference: 0.03 log mmol/L total-C per log ng/mL PFOA</w:t>
            </w:r>
          </w:p>
          <w:p w14:paraId="089F0E3B" w14:textId="77777777" w:rsidR="00F8101A" w:rsidRPr="00D01373" w:rsidRDefault="00F8101A" w:rsidP="00A111E9">
            <w:pPr>
              <w:widowControl/>
              <w:rPr>
                <w:rFonts w:eastAsiaTheme="minorHAnsi"/>
                <w:sz w:val="18"/>
              </w:rPr>
            </w:pPr>
          </w:p>
          <w:p w14:paraId="58F1AB9F" w14:textId="77777777" w:rsidR="00F8101A" w:rsidRPr="00D01373" w:rsidRDefault="00F8101A" w:rsidP="00A111E9">
            <w:pPr>
              <w:widowControl/>
              <w:rPr>
                <w:rFonts w:eastAsiaTheme="minorHAnsi"/>
                <w:sz w:val="18"/>
              </w:rPr>
            </w:pPr>
            <w:r w:rsidRPr="00D01373">
              <w:rPr>
                <w:rFonts w:eastAsiaTheme="minorHAnsi"/>
                <w:sz w:val="18"/>
              </w:rPr>
              <w:t>Base used for log transformation not described</w:t>
            </w:r>
          </w:p>
        </w:tc>
      </w:tr>
      <w:tr w:rsidR="00F8101A" w:rsidRPr="00D01373" w14:paraId="69ABDF85" w14:textId="77777777" w:rsidTr="00F6284E">
        <w:tc>
          <w:tcPr>
            <w:tcW w:w="1242" w:type="dxa"/>
            <w:vAlign w:val="center"/>
          </w:tcPr>
          <w:p w14:paraId="43840F2E" w14:textId="0748D95A" w:rsidR="00F8101A" w:rsidRPr="00D01373" w:rsidRDefault="00F97564" w:rsidP="00A111E9">
            <w:pPr>
              <w:widowControl/>
              <w:rPr>
                <w:rFonts w:eastAsiaTheme="minorHAnsi"/>
                <w:sz w:val="18"/>
              </w:rPr>
            </w:pPr>
            <w:r w:rsidRPr="00D01373">
              <w:rPr>
                <w:rFonts w:eastAsiaTheme="minorHAnsi"/>
                <w:sz w:val="18"/>
              </w:rPr>
              <w:t xml:space="preserve">Fu </w:t>
            </w:r>
            <w:r w:rsidR="00180A32" w:rsidRPr="00180A32">
              <w:rPr>
                <w:rFonts w:eastAsiaTheme="minorHAnsi"/>
                <w:i/>
                <w:sz w:val="18"/>
              </w:rPr>
              <w:t xml:space="preserve">et al. </w:t>
            </w:r>
            <w:r w:rsidR="00CC50B8">
              <w:rPr>
                <w:rFonts w:eastAsiaTheme="minorHAnsi"/>
                <w:sz w:val="18"/>
              </w:rPr>
              <w:t xml:space="preserve"> </w:t>
            </w:r>
            <w:r w:rsidR="00F8101A" w:rsidRPr="00D01373">
              <w:rPr>
                <w:rFonts w:eastAsiaTheme="minorHAnsi"/>
                <w:sz w:val="18"/>
              </w:rPr>
              <w:t>2014</w:t>
            </w:r>
          </w:p>
          <w:p w14:paraId="3C473526" w14:textId="77777777" w:rsidR="00F8101A" w:rsidRPr="00D01373" w:rsidRDefault="00F8101A" w:rsidP="00A111E9">
            <w:pPr>
              <w:widowControl/>
              <w:rPr>
                <w:rFonts w:eastAsiaTheme="minorHAnsi"/>
                <w:sz w:val="18"/>
              </w:rPr>
            </w:pPr>
          </w:p>
        </w:tc>
        <w:tc>
          <w:tcPr>
            <w:tcW w:w="3969" w:type="dxa"/>
            <w:vAlign w:val="center"/>
          </w:tcPr>
          <w:p w14:paraId="12CEB9B1" w14:textId="77777777" w:rsidR="00F8101A" w:rsidRPr="00D01373" w:rsidRDefault="00F8101A" w:rsidP="00A111E9">
            <w:pPr>
              <w:widowControl/>
              <w:rPr>
                <w:rFonts w:eastAsiaTheme="minorHAnsi"/>
                <w:sz w:val="18"/>
              </w:rPr>
            </w:pPr>
            <w:r w:rsidRPr="00D01373">
              <w:rPr>
                <w:rFonts w:eastAsiaTheme="minorHAnsi"/>
                <w:sz w:val="18"/>
              </w:rPr>
              <w:t>Lowest quartile: median 0.7ng/mL</w:t>
            </w:r>
          </w:p>
          <w:p w14:paraId="1FB66856" w14:textId="77777777" w:rsidR="00F8101A" w:rsidRPr="00D01373" w:rsidRDefault="00F8101A" w:rsidP="00A111E9">
            <w:pPr>
              <w:widowControl/>
              <w:rPr>
                <w:rFonts w:eastAsiaTheme="minorHAnsi"/>
                <w:sz w:val="18"/>
              </w:rPr>
            </w:pPr>
            <w:r w:rsidRPr="00D01373">
              <w:rPr>
                <w:rFonts w:eastAsiaTheme="minorHAnsi"/>
                <w:sz w:val="18"/>
              </w:rPr>
              <w:t>Highest quartile: median 4.9 ng/mL</w:t>
            </w:r>
          </w:p>
        </w:tc>
        <w:tc>
          <w:tcPr>
            <w:tcW w:w="4075" w:type="dxa"/>
          </w:tcPr>
          <w:p w14:paraId="33CD6517" w14:textId="77777777" w:rsidR="00F8101A" w:rsidRPr="00D01373" w:rsidRDefault="00F8101A" w:rsidP="00A111E9">
            <w:pPr>
              <w:widowControl/>
              <w:rPr>
                <w:rFonts w:eastAsiaTheme="minorHAnsi"/>
                <w:sz w:val="18"/>
              </w:rPr>
            </w:pPr>
            <w:r w:rsidRPr="00D01373">
              <w:rPr>
                <w:rFonts w:eastAsiaTheme="minorHAnsi"/>
                <w:sz w:val="18"/>
              </w:rPr>
              <w:t>Irregular increase, from lowest to highest quartile, of approximately 0.3 natural log mmol/L LDL-C</w:t>
            </w:r>
          </w:p>
        </w:tc>
      </w:tr>
      <w:tr w:rsidR="00F8101A" w:rsidRPr="00D01373" w14:paraId="78A92165" w14:textId="77777777" w:rsidTr="00F6284E">
        <w:tc>
          <w:tcPr>
            <w:tcW w:w="1242" w:type="dxa"/>
            <w:vAlign w:val="center"/>
          </w:tcPr>
          <w:p w14:paraId="01AAEC0E" w14:textId="3C6C2E2F" w:rsidR="00F8101A" w:rsidRPr="00D01373" w:rsidRDefault="00F97564" w:rsidP="00A111E9">
            <w:pPr>
              <w:widowControl/>
              <w:rPr>
                <w:rFonts w:eastAsiaTheme="minorHAnsi"/>
                <w:sz w:val="18"/>
              </w:rPr>
            </w:pPr>
            <w:r w:rsidRPr="00D01373">
              <w:rPr>
                <w:rFonts w:eastAsiaTheme="minorHAnsi"/>
                <w:sz w:val="18"/>
              </w:rPr>
              <w:t xml:space="preserve">Wang </w:t>
            </w:r>
            <w:r w:rsidR="00180A32" w:rsidRPr="00180A32">
              <w:rPr>
                <w:rFonts w:eastAsiaTheme="minorHAnsi"/>
                <w:i/>
                <w:sz w:val="18"/>
              </w:rPr>
              <w:t xml:space="preserve">et al. </w:t>
            </w:r>
            <w:r w:rsidR="00CC50B8">
              <w:rPr>
                <w:rFonts w:eastAsiaTheme="minorHAnsi"/>
                <w:sz w:val="18"/>
              </w:rPr>
              <w:t xml:space="preserve"> </w:t>
            </w:r>
            <w:r w:rsidR="00F8101A" w:rsidRPr="00D01373">
              <w:rPr>
                <w:rFonts w:eastAsiaTheme="minorHAnsi"/>
                <w:sz w:val="18"/>
              </w:rPr>
              <w:t>2012</w:t>
            </w:r>
          </w:p>
        </w:tc>
        <w:tc>
          <w:tcPr>
            <w:tcW w:w="3969" w:type="dxa"/>
            <w:vAlign w:val="center"/>
          </w:tcPr>
          <w:p w14:paraId="152E766F" w14:textId="77777777" w:rsidR="00F8101A" w:rsidRPr="00D01373" w:rsidRDefault="00F8101A" w:rsidP="00A111E9">
            <w:pPr>
              <w:widowControl/>
              <w:rPr>
                <w:rFonts w:eastAsiaTheme="minorHAnsi"/>
                <w:sz w:val="18"/>
              </w:rPr>
            </w:pPr>
            <w:r w:rsidRPr="00D01373">
              <w:rPr>
                <w:rFonts w:eastAsiaTheme="minorHAnsi"/>
                <w:sz w:val="18"/>
              </w:rPr>
              <w:t>Nearby residents: median 284 ng/mL; minimum 10 ng/mL; maximum 2437 ng/mL</w:t>
            </w:r>
          </w:p>
          <w:p w14:paraId="32822D49" w14:textId="77777777" w:rsidR="00F8101A" w:rsidRPr="00D01373" w:rsidRDefault="00F8101A" w:rsidP="00A111E9">
            <w:pPr>
              <w:widowControl/>
              <w:rPr>
                <w:rFonts w:eastAsiaTheme="minorHAnsi"/>
                <w:sz w:val="18"/>
              </w:rPr>
            </w:pPr>
            <w:r w:rsidRPr="00D01373">
              <w:rPr>
                <w:rFonts w:eastAsiaTheme="minorHAnsi"/>
                <w:sz w:val="18"/>
              </w:rPr>
              <w:t>Workers: median 1636 ng/mL; minimum 85 ng/mL; maximum 7737 ng/mL</w:t>
            </w:r>
          </w:p>
        </w:tc>
        <w:tc>
          <w:tcPr>
            <w:tcW w:w="4075" w:type="dxa"/>
          </w:tcPr>
          <w:p w14:paraId="47101366" w14:textId="77777777" w:rsidR="00F8101A" w:rsidRPr="00D01373" w:rsidRDefault="00F8101A" w:rsidP="00A111E9">
            <w:pPr>
              <w:widowControl/>
              <w:rPr>
                <w:rFonts w:eastAsiaTheme="minorHAnsi"/>
                <w:sz w:val="18"/>
              </w:rPr>
            </w:pPr>
            <w:r w:rsidRPr="00D01373">
              <w:rPr>
                <w:rFonts w:eastAsiaTheme="minorHAnsi"/>
                <w:sz w:val="18"/>
              </w:rPr>
              <w:t>Residents: -0.00 natural log mmol/L LDL-C per natural log ng/mL PFOA</w:t>
            </w:r>
          </w:p>
          <w:p w14:paraId="4EC50DA4" w14:textId="373D65DD" w:rsidR="00F8101A" w:rsidRPr="00D01373" w:rsidRDefault="00F8101A" w:rsidP="00A111E9">
            <w:pPr>
              <w:widowControl/>
              <w:rPr>
                <w:rFonts w:eastAsiaTheme="minorHAnsi"/>
                <w:sz w:val="18"/>
              </w:rPr>
            </w:pPr>
            <w:r w:rsidRPr="00D01373">
              <w:rPr>
                <w:rFonts w:eastAsiaTheme="minorHAnsi"/>
                <w:sz w:val="18"/>
              </w:rPr>
              <w:t>Workers: 0.03 natural log mmol/L LDL-C per natural log ng/mL PFOA</w:t>
            </w:r>
          </w:p>
        </w:tc>
      </w:tr>
    </w:tbl>
    <w:p w14:paraId="0B731136" w14:textId="77777777" w:rsidR="00F8101A" w:rsidRPr="00D01373" w:rsidRDefault="00F8101A" w:rsidP="00A111E9">
      <w:pPr>
        <w:widowControl/>
        <w:rPr>
          <w:rFonts w:eastAsiaTheme="minorHAnsi" w:cstheme="minorBidi"/>
          <w:szCs w:val="22"/>
          <w:lang w:bidi="ar-SA"/>
        </w:rPr>
      </w:pPr>
    </w:p>
    <w:p w14:paraId="5867FF49" w14:textId="0C892EC4" w:rsidR="00F8101A" w:rsidRPr="007D047A" w:rsidRDefault="00F8101A" w:rsidP="00A111E9">
      <w:pPr>
        <w:pStyle w:val="FSFigureTitle"/>
        <w:rPr>
          <w:rFonts w:eastAsiaTheme="minorHAnsi"/>
        </w:rPr>
      </w:pPr>
      <w:r w:rsidRPr="00D01373">
        <w:rPr>
          <w:rFonts w:eastAsiaTheme="minorHAnsi"/>
        </w:rPr>
        <w:t xml:space="preserve">Figure </w:t>
      </w:r>
      <w:r w:rsidR="00C52465" w:rsidRPr="007D047A">
        <w:rPr>
          <w:rFonts w:eastAsiaTheme="minorHAnsi"/>
        </w:rPr>
        <w:t>A2.</w:t>
      </w:r>
      <w:r w:rsidRPr="007D047A">
        <w:rPr>
          <w:rFonts w:eastAsiaTheme="minorHAnsi"/>
        </w:rPr>
        <w:t>2 Association between PFOA and serum LDL cholesterol concentrations in adults A: papers which provided enough information to graph their results B: magnified view of the low PFOA concentration range; C: tabulation of results reported in paper which provided insufficient data for graphical presentation</w:t>
      </w:r>
    </w:p>
    <w:p w14:paraId="33EA0507" w14:textId="77777777" w:rsidR="00F768EC" w:rsidRPr="00D01373" w:rsidRDefault="00F768EC" w:rsidP="00A111E9">
      <w:pPr>
        <w:widowControl/>
        <w:rPr>
          <w:rFonts w:eastAsiaTheme="minorHAnsi" w:cstheme="minorBidi"/>
          <w:i/>
          <w:szCs w:val="22"/>
          <w:lang w:bidi="ar-SA"/>
        </w:rPr>
      </w:pPr>
      <w:r w:rsidRPr="00D01373">
        <w:rPr>
          <w:rFonts w:eastAsiaTheme="minorHAnsi" w:cstheme="minorBidi"/>
          <w:i/>
          <w:szCs w:val="22"/>
          <w:lang w:bidi="ar-SA"/>
        </w:rPr>
        <w:br w:type="page"/>
      </w:r>
    </w:p>
    <w:p w14:paraId="28B975FA" w14:textId="082CA607" w:rsidR="00F8101A" w:rsidRPr="00D01373" w:rsidRDefault="00F8101A" w:rsidP="00A111E9">
      <w:pPr>
        <w:widowControl/>
        <w:rPr>
          <w:rFonts w:eastAsiaTheme="minorHAnsi" w:cstheme="minorBidi"/>
          <w:i/>
          <w:szCs w:val="22"/>
          <w:lang w:bidi="ar-SA"/>
        </w:rPr>
      </w:pPr>
      <w:r w:rsidRPr="00D01373">
        <w:rPr>
          <w:rFonts w:eastAsiaTheme="minorHAnsi" w:cstheme="minorBidi"/>
          <w:i/>
          <w:szCs w:val="22"/>
          <w:lang w:bidi="ar-SA"/>
        </w:rPr>
        <w:lastRenderedPageBreak/>
        <w:t>A</w:t>
      </w:r>
    </w:p>
    <w:p w14:paraId="6DEFC538" w14:textId="77777777" w:rsidR="00F8101A" w:rsidRPr="00D01373" w:rsidRDefault="00F8101A" w:rsidP="00A111E9">
      <w:pPr>
        <w:widowControl/>
        <w:rPr>
          <w:rFonts w:eastAsiaTheme="minorHAnsi" w:cstheme="minorBidi"/>
          <w:noProof/>
          <w:szCs w:val="22"/>
          <w:lang w:val="en-AU" w:eastAsia="en-AU" w:bidi="ar-SA"/>
        </w:rPr>
      </w:pPr>
      <w:r w:rsidRPr="00D01373">
        <w:rPr>
          <w:rFonts w:eastAsiaTheme="minorHAnsi" w:cstheme="minorBidi"/>
          <w:noProof/>
          <w:szCs w:val="22"/>
          <w:lang w:eastAsia="en-GB" w:bidi="ar-SA"/>
        </w:rPr>
        <w:drawing>
          <wp:inline distT="0" distB="0" distL="0" distR="0" wp14:anchorId="474E947B" wp14:editId="7FF36D11">
            <wp:extent cx="5618748" cy="2189747"/>
            <wp:effectExtent l="0" t="0" r="0" b="0"/>
            <wp:docPr id="19" name="Picture 19" title="Figure A2.3 Association between PFOA and serum HDL cholesterol concentrations in adults A: papers which provided enough information to graph their results B: magnified view of the low PFOA concentration range C: tabulation of results reported in paper which provided insufficient data for graphical presen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21322" cy="2190750"/>
                    </a:xfrm>
                    <a:prstGeom prst="rect">
                      <a:avLst/>
                    </a:prstGeom>
                  </pic:spPr>
                </pic:pic>
              </a:graphicData>
            </a:graphic>
          </wp:inline>
        </w:drawing>
      </w:r>
    </w:p>
    <w:p w14:paraId="226DE789" w14:textId="77777777" w:rsidR="00F8101A" w:rsidRPr="00D01373" w:rsidRDefault="00F8101A" w:rsidP="00A111E9">
      <w:pPr>
        <w:widowControl/>
        <w:rPr>
          <w:rFonts w:eastAsiaTheme="minorHAnsi" w:cstheme="minorBidi"/>
          <w:b/>
          <w:noProof/>
          <w:szCs w:val="22"/>
          <w:lang w:val="en-AU" w:eastAsia="en-AU" w:bidi="ar-SA"/>
        </w:rPr>
      </w:pPr>
    </w:p>
    <w:p w14:paraId="6D5845B6" w14:textId="77777777" w:rsidR="00F8101A" w:rsidRPr="00D01373" w:rsidRDefault="00F8101A" w:rsidP="00A111E9">
      <w:pPr>
        <w:widowControl/>
        <w:rPr>
          <w:rFonts w:eastAsiaTheme="minorHAnsi" w:cstheme="minorBidi"/>
          <w:noProof/>
          <w:szCs w:val="22"/>
          <w:lang w:val="en-AU" w:eastAsia="en-AU" w:bidi="ar-SA"/>
        </w:rPr>
      </w:pPr>
      <w:r w:rsidRPr="00D01373">
        <w:rPr>
          <w:rFonts w:eastAsiaTheme="minorHAnsi" w:cstheme="minorBidi"/>
          <w:noProof/>
          <w:szCs w:val="22"/>
          <w:lang w:eastAsia="en-GB" w:bidi="ar-SA"/>
        </w:rPr>
        <w:drawing>
          <wp:inline distT="0" distB="0" distL="0" distR="0" wp14:anchorId="037B0101" wp14:editId="3F7EC7D9">
            <wp:extent cx="4705350" cy="2257425"/>
            <wp:effectExtent l="0" t="0" r="0" b="3175"/>
            <wp:docPr id="20" name="Picture 20" title="Figure A2.3 Association between PFOA and serum HDL cholesterol concentrations in adults A: papers which provided enough information to graph their results B: magnified view of the low PFOA concentration range C: tabulation of results reported in paper which provided insufficient data for graphical presen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705350" cy="2257425"/>
                    </a:xfrm>
                    <a:prstGeom prst="rect">
                      <a:avLst/>
                    </a:prstGeom>
                  </pic:spPr>
                </pic:pic>
              </a:graphicData>
            </a:graphic>
          </wp:inline>
        </w:drawing>
      </w:r>
    </w:p>
    <w:p w14:paraId="6E775A3D" w14:textId="77777777" w:rsidR="00F8101A" w:rsidRPr="00D01373" w:rsidRDefault="00F8101A" w:rsidP="00A111E9">
      <w:pPr>
        <w:widowControl/>
        <w:rPr>
          <w:rFonts w:eastAsiaTheme="minorHAnsi" w:cstheme="minorBidi"/>
          <w:szCs w:val="22"/>
          <w:lang w:bidi="ar-SA"/>
        </w:rPr>
      </w:pPr>
      <w:r w:rsidRPr="00D01373">
        <w:rPr>
          <w:rFonts w:eastAsiaTheme="minorHAnsi" w:cstheme="minorBidi"/>
          <w:noProof/>
          <w:szCs w:val="22"/>
          <w:lang w:val="en-AU" w:eastAsia="en-AU" w:bidi="ar-SA"/>
        </w:rPr>
        <w:t>C</w:t>
      </w:r>
    </w:p>
    <w:tbl>
      <w:tblPr>
        <w:tblStyle w:val="TableGrid10"/>
        <w:tblW w:w="9180" w:type="dxa"/>
        <w:tblLook w:val="04A0" w:firstRow="1" w:lastRow="0" w:firstColumn="1" w:lastColumn="0" w:noHBand="0" w:noVBand="1"/>
        <w:tblCaption w:val="Figure c: tabulation of results reported in paper which provided insufficient data for graphical presentation"/>
        <w:tblDescription w:val="This table contains data relating to tabulation of results reported in paper which provided insufficient data for graphical presentation."/>
      </w:tblPr>
      <w:tblGrid>
        <w:gridCol w:w="1242"/>
        <w:gridCol w:w="4253"/>
        <w:gridCol w:w="3685"/>
      </w:tblGrid>
      <w:tr w:rsidR="00F8101A" w:rsidRPr="00D01373" w14:paraId="07EEAFCD" w14:textId="77777777" w:rsidTr="000830C5">
        <w:trPr>
          <w:tblHeader/>
        </w:trPr>
        <w:tc>
          <w:tcPr>
            <w:tcW w:w="1242" w:type="dxa"/>
            <w:shd w:val="clear" w:color="auto" w:fill="F2F2F2" w:themeFill="background1" w:themeFillShade="F2"/>
          </w:tcPr>
          <w:p w14:paraId="73CDD16A" w14:textId="77777777" w:rsidR="00F8101A" w:rsidRPr="00D01373" w:rsidRDefault="00F8101A" w:rsidP="00A111E9">
            <w:pPr>
              <w:widowControl/>
              <w:rPr>
                <w:rFonts w:eastAsiaTheme="minorHAnsi" w:cstheme="minorBidi"/>
                <w:b/>
                <w:szCs w:val="22"/>
                <w:lang w:bidi="ar-SA"/>
              </w:rPr>
            </w:pPr>
            <w:r w:rsidRPr="00D01373">
              <w:rPr>
                <w:rFonts w:eastAsiaTheme="minorHAnsi" w:cstheme="minorBidi"/>
                <w:b/>
                <w:szCs w:val="22"/>
                <w:lang w:bidi="ar-SA"/>
              </w:rPr>
              <w:t>Author</w:t>
            </w:r>
          </w:p>
        </w:tc>
        <w:tc>
          <w:tcPr>
            <w:tcW w:w="4253" w:type="dxa"/>
            <w:shd w:val="clear" w:color="auto" w:fill="F2F2F2" w:themeFill="background1" w:themeFillShade="F2"/>
          </w:tcPr>
          <w:p w14:paraId="39E7C811" w14:textId="77777777" w:rsidR="00F8101A" w:rsidRPr="00D01373" w:rsidRDefault="00F8101A" w:rsidP="00A111E9">
            <w:pPr>
              <w:widowControl/>
              <w:rPr>
                <w:rFonts w:eastAsiaTheme="minorHAnsi" w:cstheme="minorBidi"/>
                <w:b/>
                <w:szCs w:val="22"/>
                <w:lang w:bidi="ar-SA"/>
              </w:rPr>
            </w:pPr>
            <w:r w:rsidRPr="00D01373">
              <w:rPr>
                <w:rFonts w:eastAsiaTheme="minorHAnsi" w:cstheme="minorBidi"/>
                <w:b/>
                <w:szCs w:val="22"/>
                <w:lang w:bidi="ar-SA"/>
              </w:rPr>
              <w:t>Range of PFOA concentration in population</w:t>
            </w:r>
          </w:p>
        </w:tc>
        <w:tc>
          <w:tcPr>
            <w:tcW w:w="3685" w:type="dxa"/>
            <w:shd w:val="clear" w:color="auto" w:fill="F2F2F2" w:themeFill="background1" w:themeFillShade="F2"/>
          </w:tcPr>
          <w:p w14:paraId="0BF3180F" w14:textId="77777777" w:rsidR="00F8101A" w:rsidRPr="00D01373" w:rsidRDefault="00F8101A" w:rsidP="00A111E9">
            <w:pPr>
              <w:widowControl/>
              <w:rPr>
                <w:rFonts w:eastAsiaTheme="minorHAnsi" w:cstheme="minorBidi"/>
                <w:b/>
                <w:szCs w:val="22"/>
                <w:lang w:bidi="ar-SA"/>
              </w:rPr>
            </w:pPr>
            <w:r w:rsidRPr="00D01373">
              <w:rPr>
                <w:rFonts w:eastAsiaTheme="minorHAnsi" w:cstheme="minorBidi"/>
                <w:b/>
                <w:szCs w:val="22"/>
                <w:lang w:bidi="ar-SA"/>
              </w:rPr>
              <w:t>Description of association</w:t>
            </w:r>
          </w:p>
        </w:tc>
      </w:tr>
      <w:tr w:rsidR="00F8101A" w:rsidRPr="00D01373" w14:paraId="5BE9E43F" w14:textId="77777777" w:rsidTr="00F6284E">
        <w:tc>
          <w:tcPr>
            <w:tcW w:w="1242" w:type="dxa"/>
            <w:vAlign w:val="center"/>
          </w:tcPr>
          <w:p w14:paraId="6ADAEF5C" w14:textId="075B66D8" w:rsidR="00F8101A" w:rsidRPr="00D01373" w:rsidRDefault="00F97564" w:rsidP="00A111E9">
            <w:pPr>
              <w:widowControl/>
              <w:rPr>
                <w:rFonts w:eastAsiaTheme="minorHAnsi"/>
                <w:sz w:val="18"/>
              </w:rPr>
            </w:pPr>
            <w:r w:rsidRPr="00D01373">
              <w:rPr>
                <w:rFonts w:eastAsiaTheme="minorHAnsi"/>
                <w:sz w:val="18"/>
              </w:rPr>
              <w:t xml:space="preserve">Costa </w:t>
            </w:r>
            <w:r w:rsidR="00180A32" w:rsidRPr="00180A32">
              <w:rPr>
                <w:rFonts w:eastAsiaTheme="minorHAnsi"/>
                <w:i/>
                <w:sz w:val="18"/>
              </w:rPr>
              <w:t xml:space="preserve">et al. </w:t>
            </w:r>
            <w:r w:rsidR="00CC50B8">
              <w:rPr>
                <w:rFonts w:eastAsiaTheme="minorHAnsi"/>
                <w:sz w:val="18"/>
              </w:rPr>
              <w:t xml:space="preserve"> </w:t>
            </w:r>
            <w:r w:rsidR="00F8101A" w:rsidRPr="00D01373">
              <w:rPr>
                <w:rFonts w:eastAsiaTheme="minorHAnsi"/>
                <w:sz w:val="18"/>
              </w:rPr>
              <w:t>2009</w:t>
            </w:r>
          </w:p>
        </w:tc>
        <w:tc>
          <w:tcPr>
            <w:tcW w:w="4253" w:type="dxa"/>
            <w:vAlign w:val="center"/>
          </w:tcPr>
          <w:p w14:paraId="6C1D9CD9" w14:textId="7EA9FE73" w:rsidR="00F8101A" w:rsidRPr="00D01373" w:rsidRDefault="00F8101A" w:rsidP="00A111E9">
            <w:pPr>
              <w:widowControl/>
              <w:rPr>
                <w:rFonts w:eastAsiaTheme="minorHAnsi"/>
                <w:sz w:val="18"/>
              </w:rPr>
            </w:pPr>
            <w:r w:rsidRPr="00D01373">
              <w:rPr>
                <w:rFonts w:eastAsiaTheme="minorHAnsi"/>
                <w:sz w:val="18"/>
              </w:rPr>
              <w:t xml:space="preserve">In 2007 production workers had a median of 5.71 </w:t>
            </w:r>
            <w:r w:rsidR="009D71F9" w:rsidRPr="00D01373">
              <w:rPr>
                <w:rFonts w:eastAsiaTheme="minorHAnsi" w:cs="Arial"/>
                <w:sz w:val="18"/>
              </w:rPr>
              <w:t>µ</w:t>
            </w:r>
            <w:r w:rsidRPr="00D01373">
              <w:rPr>
                <w:rFonts w:eastAsiaTheme="minorHAnsi"/>
                <w:sz w:val="18"/>
              </w:rPr>
              <w:t xml:space="preserve">g/mL (i.e. 5270 ng/mL) vs seven clerical workers whose PFOA concentrations ranged from 0.05 to 0.181 </w:t>
            </w:r>
            <w:r w:rsidR="009D71F9" w:rsidRPr="00D01373">
              <w:rPr>
                <w:rFonts w:eastAsiaTheme="minorHAnsi" w:cs="Arial"/>
                <w:sz w:val="18"/>
              </w:rPr>
              <w:t>µ</w:t>
            </w:r>
            <w:r w:rsidRPr="00D01373">
              <w:rPr>
                <w:rFonts w:eastAsiaTheme="minorHAnsi"/>
                <w:sz w:val="18"/>
              </w:rPr>
              <w:t>g/mL in 2006</w:t>
            </w:r>
          </w:p>
        </w:tc>
        <w:tc>
          <w:tcPr>
            <w:tcW w:w="3685" w:type="dxa"/>
            <w:vAlign w:val="center"/>
          </w:tcPr>
          <w:p w14:paraId="47171769" w14:textId="77777777" w:rsidR="00F8101A" w:rsidRPr="00D01373" w:rsidRDefault="00F8101A" w:rsidP="00A111E9">
            <w:pPr>
              <w:widowControl/>
              <w:rPr>
                <w:rFonts w:eastAsiaTheme="minorHAnsi"/>
                <w:sz w:val="18"/>
              </w:rPr>
            </w:pPr>
            <w:r w:rsidRPr="00D01373">
              <w:rPr>
                <w:rFonts w:eastAsiaTheme="minorHAnsi"/>
                <w:sz w:val="18"/>
              </w:rPr>
              <w:t>Mean difference of 0.3 mmol/L higher in 34 exposed workers and 34 matched staff from other departments</w:t>
            </w:r>
          </w:p>
        </w:tc>
      </w:tr>
      <w:tr w:rsidR="00F8101A" w:rsidRPr="00D01373" w14:paraId="48934C4B" w14:textId="77777777" w:rsidTr="00F6284E">
        <w:tc>
          <w:tcPr>
            <w:tcW w:w="1242" w:type="dxa"/>
            <w:vAlign w:val="center"/>
          </w:tcPr>
          <w:p w14:paraId="36E61B34" w14:textId="08FE97DF" w:rsidR="00F8101A" w:rsidRPr="00D01373" w:rsidRDefault="00F97564" w:rsidP="00A111E9">
            <w:pPr>
              <w:widowControl/>
              <w:rPr>
                <w:rFonts w:eastAsiaTheme="minorHAnsi"/>
                <w:sz w:val="18"/>
              </w:rPr>
            </w:pPr>
            <w:r w:rsidRPr="00D01373">
              <w:rPr>
                <w:rFonts w:eastAsiaTheme="minorHAnsi"/>
                <w:sz w:val="18"/>
              </w:rPr>
              <w:t xml:space="preserve">Fisher </w:t>
            </w:r>
            <w:r w:rsidR="00180A32" w:rsidRPr="00180A32">
              <w:rPr>
                <w:rFonts w:eastAsiaTheme="minorHAnsi"/>
                <w:i/>
                <w:sz w:val="18"/>
              </w:rPr>
              <w:t xml:space="preserve">et al. </w:t>
            </w:r>
            <w:r w:rsidR="00CC50B8">
              <w:rPr>
                <w:rFonts w:eastAsiaTheme="minorHAnsi"/>
                <w:sz w:val="18"/>
              </w:rPr>
              <w:t xml:space="preserve"> </w:t>
            </w:r>
            <w:r w:rsidR="00F8101A" w:rsidRPr="00D01373">
              <w:rPr>
                <w:rFonts w:eastAsiaTheme="minorHAnsi"/>
                <w:sz w:val="18"/>
              </w:rPr>
              <w:t>2013</w:t>
            </w:r>
          </w:p>
        </w:tc>
        <w:tc>
          <w:tcPr>
            <w:tcW w:w="4253" w:type="dxa"/>
            <w:vAlign w:val="center"/>
          </w:tcPr>
          <w:p w14:paraId="34AE7D52" w14:textId="77777777" w:rsidR="00F8101A" w:rsidRPr="00D01373" w:rsidRDefault="00F8101A" w:rsidP="00A111E9">
            <w:pPr>
              <w:widowControl/>
              <w:tabs>
                <w:tab w:val="left" w:pos="2505"/>
              </w:tabs>
              <w:rPr>
                <w:rFonts w:eastAsiaTheme="minorHAnsi"/>
                <w:sz w:val="18"/>
              </w:rPr>
            </w:pPr>
            <w:r w:rsidRPr="00D01373">
              <w:rPr>
                <w:rFonts w:eastAsiaTheme="minorHAnsi"/>
                <w:sz w:val="18"/>
              </w:rPr>
              <w:t>25</w:t>
            </w:r>
            <w:r w:rsidRPr="00D01373">
              <w:rPr>
                <w:rFonts w:eastAsiaTheme="minorHAnsi"/>
                <w:sz w:val="18"/>
                <w:vertAlign w:val="superscript"/>
              </w:rPr>
              <w:t>th</w:t>
            </w:r>
            <w:r w:rsidRPr="00D01373">
              <w:rPr>
                <w:rFonts w:eastAsiaTheme="minorHAnsi"/>
                <w:sz w:val="18"/>
              </w:rPr>
              <w:t xml:space="preserve"> centile: 1.85 ng/mL</w:t>
            </w:r>
            <w:r w:rsidRPr="00D01373">
              <w:rPr>
                <w:rFonts w:eastAsiaTheme="minorHAnsi"/>
                <w:sz w:val="18"/>
              </w:rPr>
              <w:tab/>
            </w:r>
          </w:p>
          <w:p w14:paraId="250A8E0E" w14:textId="3AA2D12E" w:rsidR="00F8101A" w:rsidRPr="00D01373" w:rsidRDefault="00F8101A" w:rsidP="00A111E9">
            <w:pPr>
              <w:widowControl/>
              <w:rPr>
                <w:rFonts w:eastAsiaTheme="minorHAnsi"/>
                <w:sz w:val="18"/>
              </w:rPr>
            </w:pPr>
            <w:r w:rsidRPr="00D01373">
              <w:rPr>
                <w:rFonts w:eastAsiaTheme="minorHAnsi"/>
                <w:sz w:val="18"/>
              </w:rPr>
              <w:t>Median: 2.</w:t>
            </w:r>
            <w:r w:rsidR="004461DC">
              <w:rPr>
                <w:rFonts w:eastAsiaTheme="minorHAnsi"/>
                <w:sz w:val="18"/>
              </w:rPr>
              <w:t>5</w:t>
            </w:r>
            <w:r w:rsidRPr="00D01373">
              <w:rPr>
                <w:rFonts w:eastAsiaTheme="minorHAnsi"/>
                <w:sz w:val="18"/>
              </w:rPr>
              <w:t>8 ng/mL</w:t>
            </w:r>
          </w:p>
          <w:p w14:paraId="20F86BB5" w14:textId="77777777" w:rsidR="00F8101A" w:rsidRPr="00D01373" w:rsidRDefault="00F8101A" w:rsidP="00A111E9">
            <w:pPr>
              <w:widowControl/>
              <w:rPr>
                <w:rFonts w:eastAsiaTheme="minorHAnsi"/>
                <w:sz w:val="18"/>
              </w:rPr>
            </w:pPr>
            <w:r w:rsidRPr="00D01373">
              <w:rPr>
                <w:rFonts w:eastAsiaTheme="minorHAnsi"/>
                <w:sz w:val="18"/>
              </w:rPr>
              <w:t>75</w:t>
            </w:r>
            <w:r w:rsidRPr="00D01373">
              <w:rPr>
                <w:rFonts w:eastAsiaTheme="minorHAnsi"/>
                <w:sz w:val="18"/>
                <w:vertAlign w:val="superscript"/>
              </w:rPr>
              <w:t>th</w:t>
            </w:r>
            <w:r w:rsidRPr="00D01373">
              <w:rPr>
                <w:rFonts w:eastAsiaTheme="minorHAnsi"/>
                <w:sz w:val="18"/>
              </w:rPr>
              <w:t xml:space="preserve"> centile: 3.55 ng/mL</w:t>
            </w:r>
          </w:p>
          <w:p w14:paraId="7548B034" w14:textId="77777777" w:rsidR="00F8101A" w:rsidRPr="00D01373" w:rsidRDefault="00F8101A" w:rsidP="00A111E9">
            <w:pPr>
              <w:widowControl/>
              <w:rPr>
                <w:rFonts w:eastAsiaTheme="minorHAnsi"/>
                <w:sz w:val="18"/>
              </w:rPr>
            </w:pPr>
          </w:p>
        </w:tc>
        <w:tc>
          <w:tcPr>
            <w:tcW w:w="3685" w:type="dxa"/>
            <w:vAlign w:val="center"/>
          </w:tcPr>
          <w:p w14:paraId="009CB69A" w14:textId="77777777" w:rsidR="00F8101A" w:rsidRPr="00D01373" w:rsidRDefault="00F8101A" w:rsidP="00A111E9">
            <w:pPr>
              <w:widowControl/>
              <w:rPr>
                <w:rFonts w:eastAsiaTheme="minorHAnsi"/>
                <w:sz w:val="18"/>
              </w:rPr>
            </w:pPr>
            <w:r w:rsidRPr="00D01373">
              <w:rPr>
                <w:rFonts w:eastAsiaTheme="minorHAnsi"/>
                <w:sz w:val="18"/>
              </w:rPr>
              <w:t>Adjusted difference: 0.0009 log mmol/L HDL-C per log ng/mL PFOA</w:t>
            </w:r>
          </w:p>
          <w:p w14:paraId="1715E13A" w14:textId="77777777" w:rsidR="00F8101A" w:rsidRPr="00D01373" w:rsidRDefault="00F8101A" w:rsidP="00A111E9">
            <w:pPr>
              <w:widowControl/>
              <w:rPr>
                <w:rFonts w:eastAsiaTheme="minorHAnsi"/>
                <w:sz w:val="18"/>
              </w:rPr>
            </w:pPr>
          </w:p>
          <w:p w14:paraId="3D6E3926" w14:textId="77777777" w:rsidR="00F8101A" w:rsidRPr="00D01373" w:rsidRDefault="00F8101A" w:rsidP="00A111E9">
            <w:pPr>
              <w:widowControl/>
              <w:rPr>
                <w:rFonts w:eastAsiaTheme="minorHAnsi"/>
                <w:sz w:val="18"/>
              </w:rPr>
            </w:pPr>
            <w:r w:rsidRPr="00D01373">
              <w:rPr>
                <w:rFonts w:eastAsiaTheme="minorHAnsi"/>
                <w:sz w:val="18"/>
              </w:rPr>
              <w:t>Base used for log transformation not described</w:t>
            </w:r>
          </w:p>
        </w:tc>
      </w:tr>
      <w:tr w:rsidR="00F8101A" w:rsidRPr="00D01373" w14:paraId="5FC141D4" w14:textId="77777777" w:rsidTr="00F6284E">
        <w:tc>
          <w:tcPr>
            <w:tcW w:w="1242" w:type="dxa"/>
            <w:vAlign w:val="center"/>
          </w:tcPr>
          <w:p w14:paraId="55E2C78A" w14:textId="009D2EA1" w:rsidR="00F8101A" w:rsidRPr="00D01373" w:rsidRDefault="00F97564" w:rsidP="00A111E9">
            <w:pPr>
              <w:widowControl/>
              <w:rPr>
                <w:rFonts w:eastAsiaTheme="minorHAnsi"/>
                <w:sz w:val="18"/>
              </w:rPr>
            </w:pPr>
            <w:r w:rsidRPr="00D01373">
              <w:rPr>
                <w:rFonts w:eastAsiaTheme="minorHAnsi"/>
                <w:sz w:val="18"/>
              </w:rPr>
              <w:t xml:space="preserve">Fu </w:t>
            </w:r>
            <w:r w:rsidR="00180A32" w:rsidRPr="00180A32">
              <w:rPr>
                <w:rFonts w:eastAsiaTheme="minorHAnsi"/>
                <w:i/>
                <w:sz w:val="18"/>
              </w:rPr>
              <w:t xml:space="preserve">et al. </w:t>
            </w:r>
            <w:r w:rsidR="00CC50B8">
              <w:rPr>
                <w:rFonts w:eastAsiaTheme="minorHAnsi"/>
                <w:sz w:val="18"/>
              </w:rPr>
              <w:t xml:space="preserve"> </w:t>
            </w:r>
            <w:r w:rsidR="00F8101A" w:rsidRPr="00D01373">
              <w:rPr>
                <w:rFonts w:eastAsiaTheme="minorHAnsi"/>
                <w:sz w:val="18"/>
              </w:rPr>
              <w:t>2014</w:t>
            </w:r>
          </w:p>
          <w:p w14:paraId="780DE15B" w14:textId="77777777" w:rsidR="00F8101A" w:rsidRPr="00D01373" w:rsidRDefault="00F8101A" w:rsidP="00A111E9">
            <w:pPr>
              <w:widowControl/>
              <w:rPr>
                <w:rFonts w:eastAsiaTheme="minorHAnsi"/>
                <w:sz w:val="18"/>
              </w:rPr>
            </w:pPr>
          </w:p>
        </w:tc>
        <w:tc>
          <w:tcPr>
            <w:tcW w:w="4253" w:type="dxa"/>
            <w:vAlign w:val="center"/>
          </w:tcPr>
          <w:p w14:paraId="478B534C" w14:textId="77777777" w:rsidR="00F8101A" w:rsidRPr="00D01373" w:rsidRDefault="00F8101A" w:rsidP="00A111E9">
            <w:pPr>
              <w:widowControl/>
              <w:rPr>
                <w:rFonts w:eastAsiaTheme="minorHAnsi"/>
                <w:sz w:val="18"/>
              </w:rPr>
            </w:pPr>
            <w:r w:rsidRPr="00D01373">
              <w:rPr>
                <w:rFonts w:eastAsiaTheme="minorHAnsi"/>
                <w:sz w:val="18"/>
              </w:rPr>
              <w:t>Lowest quartile: median 0.7ng/mL</w:t>
            </w:r>
          </w:p>
          <w:p w14:paraId="47077263" w14:textId="77777777" w:rsidR="00F8101A" w:rsidRPr="00D01373" w:rsidRDefault="00F8101A" w:rsidP="00A111E9">
            <w:pPr>
              <w:widowControl/>
              <w:rPr>
                <w:rFonts w:eastAsiaTheme="minorHAnsi"/>
                <w:sz w:val="18"/>
              </w:rPr>
            </w:pPr>
            <w:r w:rsidRPr="00D01373">
              <w:rPr>
                <w:rFonts w:eastAsiaTheme="minorHAnsi"/>
                <w:sz w:val="18"/>
              </w:rPr>
              <w:t>Highest quartile: median 4.9 ng/mL</w:t>
            </w:r>
          </w:p>
        </w:tc>
        <w:tc>
          <w:tcPr>
            <w:tcW w:w="3685" w:type="dxa"/>
            <w:vAlign w:val="center"/>
          </w:tcPr>
          <w:p w14:paraId="03BC0966" w14:textId="77777777" w:rsidR="00F8101A" w:rsidRPr="00D01373" w:rsidRDefault="00F8101A" w:rsidP="00A111E9">
            <w:pPr>
              <w:widowControl/>
              <w:rPr>
                <w:rFonts w:eastAsiaTheme="minorHAnsi"/>
                <w:sz w:val="18"/>
              </w:rPr>
            </w:pPr>
            <w:r w:rsidRPr="00D01373">
              <w:rPr>
                <w:rFonts w:eastAsiaTheme="minorHAnsi"/>
                <w:sz w:val="18"/>
              </w:rPr>
              <w:t>Little change across quartiles; highest quartile &lt;0.05 natural log mmol/L HDL-C higher than lowest quartile</w:t>
            </w:r>
          </w:p>
        </w:tc>
      </w:tr>
      <w:tr w:rsidR="00F8101A" w:rsidRPr="00D01373" w14:paraId="62EBEF25" w14:textId="77777777" w:rsidTr="00F6284E">
        <w:tc>
          <w:tcPr>
            <w:tcW w:w="1242" w:type="dxa"/>
            <w:vAlign w:val="center"/>
          </w:tcPr>
          <w:p w14:paraId="14074F90" w14:textId="499C5F60" w:rsidR="00F8101A" w:rsidRPr="00D01373" w:rsidRDefault="00F97564" w:rsidP="00A111E9">
            <w:pPr>
              <w:widowControl/>
              <w:rPr>
                <w:rFonts w:eastAsiaTheme="minorHAnsi"/>
                <w:sz w:val="18"/>
              </w:rPr>
            </w:pPr>
            <w:r w:rsidRPr="00D01373">
              <w:rPr>
                <w:rFonts w:eastAsiaTheme="minorHAnsi"/>
                <w:sz w:val="18"/>
              </w:rPr>
              <w:t xml:space="preserve">Wang </w:t>
            </w:r>
            <w:r w:rsidR="00180A32" w:rsidRPr="00180A32">
              <w:rPr>
                <w:rFonts w:eastAsiaTheme="minorHAnsi"/>
                <w:i/>
                <w:sz w:val="18"/>
              </w:rPr>
              <w:t xml:space="preserve">et al. </w:t>
            </w:r>
            <w:r w:rsidR="00CC50B8">
              <w:rPr>
                <w:rFonts w:eastAsiaTheme="minorHAnsi"/>
                <w:sz w:val="18"/>
              </w:rPr>
              <w:t xml:space="preserve"> </w:t>
            </w:r>
            <w:r w:rsidR="00F8101A" w:rsidRPr="00D01373">
              <w:rPr>
                <w:rFonts w:eastAsiaTheme="minorHAnsi"/>
                <w:sz w:val="18"/>
              </w:rPr>
              <w:t>2012</w:t>
            </w:r>
          </w:p>
        </w:tc>
        <w:tc>
          <w:tcPr>
            <w:tcW w:w="4253" w:type="dxa"/>
            <w:vAlign w:val="center"/>
          </w:tcPr>
          <w:p w14:paraId="77841037" w14:textId="77777777" w:rsidR="00F8101A" w:rsidRPr="00D01373" w:rsidRDefault="00F8101A" w:rsidP="00A111E9">
            <w:pPr>
              <w:widowControl/>
              <w:rPr>
                <w:rFonts w:eastAsiaTheme="minorHAnsi"/>
                <w:sz w:val="18"/>
              </w:rPr>
            </w:pPr>
            <w:r w:rsidRPr="00D01373">
              <w:rPr>
                <w:rFonts w:eastAsiaTheme="minorHAnsi"/>
                <w:sz w:val="18"/>
              </w:rPr>
              <w:t>Nearby residents: median 284 ng/mL; minimum 10 ng/mL; maximum 2437 ng/mL</w:t>
            </w:r>
          </w:p>
          <w:p w14:paraId="206F0412" w14:textId="77777777" w:rsidR="00F8101A" w:rsidRPr="00D01373" w:rsidRDefault="00F8101A" w:rsidP="00A111E9">
            <w:pPr>
              <w:widowControl/>
              <w:rPr>
                <w:rFonts w:eastAsiaTheme="minorHAnsi"/>
                <w:sz w:val="18"/>
              </w:rPr>
            </w:pPr>
            <w:r w:rsidRPr="00D01373">
              <w:rPr>
                <w:rFonts w:eastAsiaTheme="minorHAnsi"/>
                <w:sz w:val="18"/>
              </w:rPr>
              <w:t>Workers: median 1636 ng/mL; minimum 85 ng/mL; maximum 7737 ng/mL</w:t>
            </w:r>
          </w:p>
        </w:tc>
        <w:tc>
          <w:tcPr>
            <w:tcW w:w="3685" w:type="dxa"/>
            <w:vAlign w:val="center"/>
          </w:tcPr>
          <w:p w14:paraId="5DFBE434" w14:textId="77777777" w:rsidR="00F8101A" w:rsidRPr="00D01373" w:rsidRDefault="00F8101A" w:rsidP="00A111E9">
            <w:pPr>
              <w:widowControl/>
              <w:rPr>
                <w:rFonts w:eastAsiaTheme="minorHAnsi"/>
                <w:sz w:val="18"/>
              </w:rPr>
            </w:pPr>
            <w:r w:rsidRPr="00D01373">
              <w:rPr>
                <w:rFonts w:eastAsiaTheme="minorHAnsi"/>
                <w:sz w:val="18"/>
              </w:rPr>
              <w:t>Residents: 0.02 natural log mmol/L HDL-C per natural log ng/mL PFOA</w:t>
            </w:r>
          </w:p>
          <w:p w14:paraId="236E8B8A" w14:textId="49799CC3" w:rsidR="00F8101A" w:rsidRPr="00D01373" w:rsidRDefault="00F8101A" w:rsidP="00A111E9">
            <w:pPr>
              <w:widowControl/>
              <w:rPr>
                <w:rFonts w:eastAsiaTheme="minorHAnsi"/>
                <w:sz w:val="18"/>
              </w:rPr>
            </w:pPr>
            <w:r w:rsidRPr="00D01373">
              <w:rPr>
                <w:rFonts w:eastAsiaTheme="minorHAnsi"/>
                <w:sz w:val="18"/>
              </w:rPr>
              <w:t>Workers: -0.07 natural log mmol/L HDL-C (mmol/L) per natural log ng/mL PFOA</w:t>
            </w:r>
          </w:p>
        </w:tc>
      </w:tr>
    </w:tbl>
    <w:p w14:paraId="10423942" w14:textId="77777777" w:rsidR="00F8101A" w:rsidRPr="00D01373" w:rsidRDefault="00F8101A" w:rsidP="00A111E9">
      <w:pPr>
        <w:widowControl/>
        <w:rPr>
          <w:rFonts w:eastAsiaTheme="minorHAnsi" w:cstheme="minorBidi"/>
          <w:i/>
          <w:szCs w:val="22"/>
          <w:lang w:bidi="ar-SA"/>
        </w:rPr>
      </w:pPr>
    </w:p>
    <w:p w14:paraId="579B5225" w14:textId="776AC9DE" w:rsidR="00F8101A" w:rsidRPr="007D047A" w:rsidRDefault="00F8101A" w:rsidP="00A111E9">
      <w:pPr>
        <w:pStyle w:val="FSFigureTitle"/>
        <w:rPr>
          <w:rFonts w:eastAsiaTheme="minorHAnsi"/>
        </w:rPr>
      </w:pPr>
      <w:r w:rsidRPr="00D01373">
        <w:rPr>
          <w:rFonts w:eastAsiaTheme="minorHAnsi"/>
        </w:rPr>
        <w:t xml:space="preserve">Figure </w:t>
      </w:r>
      <w:r w:rsidR="00C52465" w:rsidRPr="007D047A">
        <w:rPr>
          <w:rFonts w:eastAsiaTheme="minorHAnsi"/>
        </w:rPr>
        <w:t>A2.</w:t>
      </w:r>
      <w:r w:rsidRPr="007D047A">
        <w:rPr>
          <w:rFonts w:eastAsiaTheme="minorHAnsi"/>
        </w:rPr>
        <w:t>3 Association between PFOA and serum HDL cholesterol concentrations in adults A: papers which provided enough information to graph their results B: magnified view of t</w:t>
      </w:r>
      <w:r w:rsidR="00170A03" w:rsidRPr="007D047A">
        <w:rPr>
          <w:rFonts w:eastAsiaTheme="minorHAnsi"/>
        </w:rPr>
        <w:t>he low PFOA concentration range</w:t>
      </w:r>
      <w:r w:rsidRPr="007D047A">
        <w:rPr>
          <w:rFonts w:eastAsiaTheme="minorHAnsi"/>
        </w:rPr>
        <w:t xml:space="preserve"> C: tabulation of results reported in paper which provided insufficient data for graphical presentation</w:t>
      </w:r>
    </w:p>
    <w:p w14:paraId="7CAB45FB" w14:textId="77777777" w:rsidR="00F8101A" w:rsidRPr="00D01373" w:rsidRDefault="00F8101A" w:rsidP="00A111E9">
      <w:pPr>
        <w:widowControl/>
        <w:rPr>
          <w:rFonts w:eastAsiaTheme="minorHAnsi" w:cstheme="minorBidi"/>
          <w:i/>
          <w:szCs w:val="22"/>
          <w:lang w:bidi="ar-SA"/>
        </w:rPr>
      </w:pPr>
    </w:p>
    <w:p w14:paraId="1B9585FF" w14:textId="77777777" w:rsidR="00F768EC" w:rsidRPr="00D01373" w:rsidRDefault="00F768EC" w:rsidP="00A111E9">
      <w:pPr>
        <w:widowControl/>
        <w:rPr>
          <w:rFonts w:eastAsiaTheme="minorHAnsi" w:cstheme="minorBidi"/>
          <w:szCs w:val="22"/>
          <w:lang w:bidi="ar-SA"/>
        </w:rPr>
      </w:pPr>
      <w:r w:rsidRPr="00D01373">
        <w:rPr>
          <w:rFonts w:eastAsiaTheme="minorHAnsi" w:cstheme="minorBidi"/>
          <w:szCs w:val="22"/>
          <w:lang w:bidi="ar-SA"/>
        </w:rPr>
        <w:br w:type="page"/>
      </w:r>
    </w:p>
    <w:p w14:paraId="51A8A7A4" w14:textId="00E2EDC0"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lastRenderedPageBreak/>
        <w:t xml:space="preserve">The results across studies are much more variable for HDL-C (Figure </w:t>
      </w:r>
      <w:r w:rsidR="00C52465" w:rsidRPr="00D01373">
        <w:rPr>
          <w:rFonts w:eastAsiaTheme="minorHAnsi" w:cstheme="minorBidi"/>
          <w:szCs w:val="22"/>
          <w:lang w:bidi="ar-SA"/>
        </w:rPr>
        <w:t>A2.</w:t>
      </w:r>
      <w:r w:rsidRPr="00D01373">
        <w:rPr>
          <w:rFonts w:eastAsiaTheme="minorHAnsi" w:cstheme="minorBidi"/>
          <w:szCs w:val="22"/>
          <w:lang w:bidi="ar-SA"/>
        </w:rPr>
        <w:t xml:space="preserve">3). At low </w:t>
      </w:r>
      <w:r w:rsidR="00F52C10">
        <w:rPr>
          <w:rFonts w:eastAsiaTheme="minorHAnsi" w:cstheme="minorBidi"/>
          <w:szCs w:val="22"/>
          <w:lang w:bidi="ar-SA"/>
        </w:rPr>
        <w:t xml:space="preserve">PFOA </w:t>
      </w:r>
      <w:r w:rsidRPr="00D01373">
        <w:rPr>
          <w:rFonts w:eastAsiaTheme="minorHAnsi" w:cstheme="minorBidi"/>
          <w:szCs w:val="22"/>
          <w:lang w:bidi="ar-SA"/>
        </w:rPr>
        <w:t xml:space="preserve">concentrations, </w:t>
      </w:r>
      <w:r w:rsidR="00F52C10">
        <w:rPr>
          <w:rFonts w:eastAsiaTheme="minorHAnsi" w:cstheme="minorBidi"/>
          <w:szCs w:val="22"/>
          <w:lang w:bidi="ar-SA"/>
        </w:rPr>
        <w:t>both the graphical and tabulated</w:t>
      </w:r>
      <w:r w:rsidRPr="00D01373">
        <w:rPr>
          <w:rFonts w:eastAsiaTheme="minorHAnsi" w:cstheme="minorBidi"/>
          <w:szCs w:val="22"/>
          <w:lang w:bidi="ar-SA"/>
        </w:rPr>
        <w:t xml:space="preserve"> results </w:t>
      </w:r>
      <w:r w:rsidR="00F52C10">
        <w:rPr>
          <w:rFonts w:eastAsiaTheme="minorHAnsi" w:cstheme="minorBidi"/>
          <w:szCs w:val="22"/>
          <w:lang w:bidi="ar-SA"/>
        </w:rPr>
        <w:t>show little or no effect on HDL-C</w:t>
      </w:r>
      <w:r w:rsidR="004F26D6">
        <w:rPr>
          <w:rFonts w:eastAsiaTheme="minorHAnsi" w:cstheme="minorBidi"/>
          <w:szCs w:val="22"/>
          <w:lang w:bidi="ar-SA"/>
        </w:rPr>
        <w:t xml:space="preserve">. </w:t>
      </w:r>
      <w:r w:rsidRPr="00D01373">
        <w:rPr>
          <w:rFonts w:eastAsiaTheme="minorHAnsi" w:cstheme="minorBidi"/>
          <w:szCs w:val="22"/>
          <w:lang w:bidi="ar-SA"/>
        </w:rPr>
        <w:t xml:space="preserve"> At concentrations </w:t>
      </w:r>
      <w:r w:rsidR="004F26D6">
        <w:rPr>
          <w:rFonts w:eastAsiaTheme="minorHAnsi" w:cstheme="minorBidi"/>
          <w:szCs w:val="22"/>
          <w:lang w:bidi="ar-SA"/>
        </w:rPr>
        <w:t>greater than</w:t>
      </w:r>
      <w:r w:rsidRPr="00D01373">
        <w:rPr>
          <w:rFonts w:eastAsiaTheme="minorHAnsi" w:cstheme="minorBidi"/>
          <w:szCs w:val="22"/>
          <w:lang w:bidi="ar-SA"/>
        </w:rPr>
        <w:t xml:space="preserve"> 1000 ng/dL, Wang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 xml:space="preserve">(2012) reports an inverse effect whereas Costa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(2009) reports a positive effect. FSANZ concludes that there is no association between PFOA and HDL-C concentration.</w:t>
      </w:r>
    </w:p>
    <w:p w14:paraId="4E34295A" w14:textId="77777777" w:rsidR="00F8101A" w:rsidRPr="00D01373" w:rsidRDefault="00F8101A" w:rsidP="004264B6">
      <w:pPr>
        <w:pStyle w:val="Heading5"/>
        <w:rPr>
          <w:rFonts w:eastAsiaTheme="majorEastAsia"/>
        </w:rPr>
      </w:pPr>
      <w:bookmarkStart w:id="611" w:name="_Toc468693993"/>
      <w:bookmarkStart w:id="612" w:name="_Toc468712809"/>
      <w:bookmarkStart w:id="613" w:name="_Toc468716501"/>
      <w:bookmarkStart w:id="614" w:name="_Toc468709488"/>
      <w:bookmarkStart w:id="615" w:name="_Toc468717788"/>
      <w:bookmarkStart w:id="616" w:name="_Toc468718432"/>
      <w:bookmarkStart w:id="617" w:name="_Toc468719412"/>
      <w:r w:rsidRPr="00D01373">
        <w:rPr>
          <w:rFonts w:eastAsiaTheme="majorEastAsia"/>
        </w:rPr>
        <w:t>Pregnant women</w:t>
      </w:r>
      <w:bookmarkEnd w:id="611"/>
      <w:bookmarkEnd w:id="612"/>
      <w:bookmarkEnd w:id="613"/>
      <w:bookmarkEnd w:id="614"/>
      <w:bookmarkEnd w:id="615"/>
      <w:bookmarkEnd w:id="616"/>
      <w:bookmarkEnd w:id="617"/>
    </w:p>
    <w:p w14:paraId="42233551" w14:textId="4249F925"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t xml:space="preserve">Figure </w:t>
      </w:r>
      <w:r w:rsidR="00C52465" w:rsidRPr="00D01373">
        <w:rPr>
          <w:rFonts w:eastAsiaTheme="minorHAnsi" w:cstheme="minorBidi"/>
          <w:szCs w:val="22"/>
          <w:lang w:bidi="ar-SA"/>
        </w:rPr>
        <w:t>A2.</w:t>
      </w:r>
      <w:r w:rsidRPr="00D01373">
        <w:rPr>
          <w:rFonts w:eastAsiaTheme="minorHAnsi" w:cstheme="minorBidi"/>
          <w:szCs w:val="22"/>
          <w:lang w:bidi="ar-SA"/>
        </w:rPr>
        <w:t xml:space="preserve">4 shows the results for two studies of PFOA and </w:t>
      </w:r>
      <w:r w:rsidR="00891A7F">
        <w:rPr>
          <w:rFonts w:eastAsiaTheme="minorHAnsi" w:cstheme="minorBidi"/>
          <w:szCs w:val="22"/>
          <w:lang w:bidi="ar-SA"/>
        </w:rPr>
        <w:t>total-C, LDL-C and HDL-C</w:t>
      </w:r>
      <w:r w:rsidRPr="00D01373">
        <w:rPr>
          <w:rFonts w:eastAsiaTheme="minorHAnsi" w:cstheme="minorBidi"/>
          <w:szCs w:val="22"/>
          <w:lang w:bidi="ar-SA"/>
        </w:rPr>
        <w:t xml:space="preserve"> concentrations in pregnant women</w:t>
      </w:r>
      <w:r w:rsidR="00891A7F">
        <w:rPr>
          <w:rFonts w:eastAsiaTheme="minorHAnsi" w:cstheme="minorBidi"/>
          <w:szCs w:val="22"/>
          <w:lang w:bidi="ar-SA"/>
        </w:rPr>
        <w:t>.</w:t>
      </w:r>
      <w:r w:rsidRPr="00D01373">
        <w:rPr>
          <w:rFonts w:eastAsiaTheme="minorHAnsi" w:cstheme="minorBidi"/>
          <w:szCs w:val="22"/>
          <w:lang w:bidi="ar-SA"/>
        </w:rPr>
        <w:t xml:space="preserve"> </w:t>
      </w:r>
      <w:r w:rsidR="00891A7F">
        <w:rPr>
          <w:rFonts w:eastAsiaTheme="minorHAnsi" w:cstheme="minorBidi"/>
          <w:szCs w:val="22"/>
          <w:lang w:bidi="ar-SA"/>
        </w:rPr>
        <w:t>Both studies</w:t>
      </w:r>
      <w:r w:rsidRPr="00D01373">
        <w:rPr>
          <w:rFonts w:eastAsiaTheme="minorHAnsi" w:cstheme="minorBidi"/>
          <w:szCs w:val="22"/>
          <w:lang w:bidi="ar-SA"/>
        </w:rPr>
        <w:t xml:space="preserve"> have more than 800 subjects. Blood was drawn at 30 weeks in the Danish group (Skuladottir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2015). In the Norwegian study, 99% of women provided blood between 14-26 wee</w:t>
      </w:r>
      <w:r w:rsidR="00E22442" w:rsidRPr="00D01373">
        <w:rPr>
          <w:rFonts w:eastAsiaTheme="minorHAnsi" w:cstheme="minorBidi"/>
          <w:szCs w:val="22"/>
          <w:lang w:bidi="ar-SA"/>
        </w:rPr>
        <w:t xml:space="preserve">ks of pregnancy (Starling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2014) and so might have had an overall lower degree of haemodilution due to blood volume expansion</w:t>
      </w:r>
      <w:r w:rsidR="00891A7F">
        <w:rPr>
          <w:rFonts w:eastAsiaTheme="minorHAnsi" w:cstheme="minorBidi"/>
          <w:szCs w:val="22"/>
          <w:lang w:bidi="ar-SA"/>
        </w:rPr>
        <w:t xml:space="preserve"> than the Danish gorup</w:t>
      </w:r>
      <w:r w:rsidRPr="00D01373">
        <w:rPr>
          <w:rFonts w:eastAsiaTheme="minorHAnsi" w:cstheme="minorBidi"/>
          <w:szCs w:val="22"/>
          <w:lang w:bidi="ar-SA"/>
        </w:rPr>
        <w:t xml:space="preserve">. The studies had partially overlapping ranges of PFOA exposure but the total range of exposure was much smaller than </w:t>
      </w:r>
      <w:r w:rsidR="00891A7F">
        <w:rPr>
          <w:rFonts w:eastAsiaTheme="minorHAnsi" w:cstheme="minorBidi"/>
          <w:szCs w:val="22"/>
          <w:lang w:bidi="ar-SA"/>
        </w:rPr>
        <w:t xml:space="preserve">that </w:t>
      </w:r>
      <w:r w:rsidRPr="00D01373">
        <w:rPr>
          <w:rFonts w:eastAsiaTheme="minorHAnsi" w:cstheme="minorBidi"/>
          <w:szCs w:val="22"/>
          <w:lang w:bidi="ar-SA"/>
        </w:rPr>
        <w:t xml:space="preserve">shown  in non-pregnant adults (Figure </w:t>
      </w:r>
      <w:r w:rsidR="00C52465" w:rsidRPr="00D01373">
        <w:rPr>
          <w:rFonts w:eastAsiaTheme="minorHAnsi" w:cstheme="minorBidi"/>
          <w:szCs w:val="22"/>
          <w:lang w:bidi="ar-SA"/>
        </w:rPr>
        <w:t>A2.</w:t>
      </w:r>
      <w:r w:rsidRPr="00D01373">
        <w:rPr>
          <w:rFonts w:eastAsiaTheme="minorHAnsi" w:cstheme="minorBidi"/>
          <w:szCs w:val="22"/>
          <w:lang w:bidi="ar-SA"/>
        </w:rPr>
        <w:t>1).</w:t>
      </w:r>
    </w:p>
    <w:p w14:paraId="5BC1332D" w14:textId="77777777" w:rsidR="00F8101A" w:rsidRPr="00D01373" w:rsidRDefault="00F8101A" w:rsidP="00A111E9">
      <w:pPr>
        <w:widowControl/>
        <w:rPr>
          <w:rFonts w:eastAsiaTheme="minorHAnsi" w:cstheme="minorBidi"/>
          <w:szCs w:val="22"/>
          <w:lang w:bidi="ar-SA"/>
        </w:rPr>
      </w:pPr>
    </w:p>
    <w:p w14:paraId="1DD51B85" w14:textId="2AE7E5F9"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t>One study described its results in quarti</w:t>
      </w:r>
      <w:r w:rsidR="00E22442" w:rsidRPr="00D01373">
        <w:rPr>
          <w:rFonts w:eastAsiaTheme="minorHAnsi" w:cstheme="minorBidi"/>
          <w:szCs w:val="22"/>
          <w:lang w:bidi="ar-SA"/>
        </w:rPr>
        <w:t xml:space="preserve">les of </w:t>
      </w:r>
      <w:r w:rsidR="00267CD6">
        <w:rPr>
          <w:rFonts w:eastAsiaTheme="minorHAnsi" w:cstheme="minorBidi"/>
          <w:szCs w:val="22"/>
          <w:lang w:bidi="ar-SA"/>
        </w:rPr>
        <w:t>PFAS concentration</w:t>
      </w:r>
      <w:r w:rsidR="00E22442" w:rsidRPr="00D01373">
        <w:rPr>
          <w:rFonts w:eastAsiaTheme="minorHAnsi" w:cstheme="minorBidi"/>
          <w:szCs w:val="22"/>
          <w:lang w:bidi="ar-SA"/>
        </w:rPr>
        <w:t xml:space="preserve"> (Starling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 xml:space="preserve">2014) and the other in quintiles (Skuladottir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 xml:space="preserve">2015). Hence 25% of the population lie below the bottom point and above the top point plotted for the first study and 20% for the second. Consequently, more than half of the population studied by Starling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 xml:space="preserve">(2014) had PFOA concentrations less than 80% of the population studied by Skuladottir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(2015).</w:t>
      </w:r>
    </w:p>
    <w:p w14:paraId="138D6C73" w14:textId="77777777" w:rsidR="00F8101A" w:rsidRPr="00D01373" w:rsidRDefault="00F8101A" w:rsidP="00A111E9">
      <w:pPr>
        <w:widowControl/>
        <w:rPr>
          <w:rFonts w:eastAsiaTheme="minorHAnsi" w:cstheme="minorBidi"/>
          <w:szCs w:val="22"/>
          <w:lang w:bidi="ar-SA"/>
        </w:rPr>
      </w:pPr>
    </w:p>
    <w:p w14:paraId="338634EB" w14:textId="4EFA81F5"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t>Both studies found that total-C increased</w:t>
      </w:r>
      <w:r w:rsidR="00891A7F">
        <w:rPr>
          <w:rFonts w:eastAsiaTheme="minorHAnsi" w:cstheme="minorBidi"/>
          <w:szCs w:val="22"/>
          <w:lang w:bidi="ar-SA"/>
        </w:rPr>
        <w:t xml:space="preserve"> as PFOA increased</w:t>
      </w:r>
      <w:r w:rsidRPr="00D01373">
        <w:rPr>
          <w:rFonts w:eastAsiaTheme="minorHAnsi" w:cstheme="minorBidi"/>
          <w:szCs w:val="22"/>
          <w:lang w:bidi="ar-SA"/>
        </w:rPr>
        <w:t xml:space="preserve">, and this was larger than was seen in the non-pregnant group </w:t>
      </w:r>
      <w:r w:rsidR="00891A7F">
        <w:rPr>
          <w:rFonts w:eastAsiaTheme="minorHAnsi" w:cstheme="minorBidi"/>
          <w:szCs w:val="22"/>
          <w:lang w:bidi="ar-SA"/>
        </w:rPr>
        <w:t xml:space="preserve">and occurred across a smaller increment in PFOA </w:t>
      </w:r>
      <w:r w:rsidRPr="00D01373">
        <w:rPr>
          <w:rFonts w:eastAsiaTheme="minorHAnsi" w:cstheme="minorBidi"/>
          <w:szCs w:val="22"/>
          <w:lang w:bidi="ar-SA"/>
        </w:rPr>
        <w:t xml:space="preserve">(Figure </w:t>
      </w:r>
      <w:r w:rsidR="00C52465" w:rsidRPr="00D01373">
        <w:rPr>
          <w:rFonts w:eastAsiaTheme="minorHAnsi" w:cstheme="minorBidi"/>
          <w:szCs w:val="22"/>
          <w:lang w:bidi="ar-SA"/>
        </w:rPr>
        <w:t>A2.</w:t>
      </w:r>
      <w:r w:rsidRPr="00D01373">
        <w:rPr>
          <w:rFonts w:eastAsiaTheme="minorHAnsi" w:cstheme="minorBidi"/>
          <w:szCs w:val="22"/>
          <w:lang w:bidi="ar-SA"/>
        </w:rPr>
        <w:t>1). Only one of these studies reported on cholesterol sub</w:t>
      </w:r>
      <w:r w:rsidR="00CC26CA">
        <w:rPr>
          <w:rFonts w:eastAsiaTheme="minorHAnsi" w:cstheme="minorBidi"/>
          <w:szCs w:val="22"/>
          <w:lang w:bidi="ar-SA"/>
        </w:rPr>
        <w:t>fractions</w:t>
      </w:r>
      <w:r w:rsidRPr="00D01373">
        <w:rPr>
          <w:rFonts w:eastAsiaTheme="minorHAnsi" w:cstheme="minorBidi"/>
          <w:szCs w:val="22"/>
          <w:lang w:bidi="ar-SA"/>
        </w:rPr>
        <w:t>. The one study reporting the association for sub</w:t>
      </w:r>
      <w:r w:rsidR="00CC26CA">
        <w:rPr>
          <w:rFonts w:eastAsiaTheme="minorHAnsi" w:cstheme="minorBidi"/>
          <w:szCs w:val="22"/>
          <w:lang w:bidi="ar-SA"/>
        </w:rPr>
        <w:t>fractions</w:t>
      </w:r>
      <w:r w:rsidRPr="00D01373">
        <w:rPr>
          <w:rFonts w:eastAsiaTheme="minorHAnsi" w:cstheme="minorBidi"/>
          <w:szCs w:val="22"/>
          <w:lang w:bidi="ar-SA"/>
        </w:rPr>
        <w:t xml:space="preserve"> shows that LDL-C and HDL-C both increased by a small amount. The study reporting larger increases in total-C did not analyse their samples for LDL-C and HDL-C.</w:t>
      </w:r>
    </w:p>
    <w:p w14:paraId="3EA8FD9A" w14:textId="77777777" w:rsidR="00F8101A" w:rsidRPr="00D01373" w:rsidRDefault="00F8101A" w:rsidP="004264B6">
      <w:pPr>
        <w:pStyle w:val="Heading5"/>
        <w:rPr>
          <w:rFonts w:eastAsiaTheme="majorEastAsia"/>
        </w:rPr>
      </w:pPr>
      <w:bookmarkStart w:id="618" w:name="_Toc468693994"/>
      <w:bookmarkStart w:id="619" w:name="_Toc468712810"/>
      <w:bookmarkStart w:id="620" w:name="_Toc468716502"/>
      <w:bookmarkStart w:id="621" w:name="_Toc468709489"/>
      <w:bookmarkStart w:id="622" w:name="_Toc468717789"/>
      <w:bookmarkStart w:id="623" w:name="_Toc468718433"/>
      <w:bookmarkStart w:id="624" w:name="_Toc468719413"/>
      <w:r w:rsidRPr="00D01373">
        <w:rPr>
          <w:rFonts w:eastAsiaTheme="majorEastAsia"/>
        </w:rPr>
        <w:t>Children and young people</w:t>
      </w:r>
      <w:bookmarkEnd w:id="618"/>
      <w:bookmarkEnd w:id="619"/>
      <w:bookmarkEnd w:id="620"/>
      <w:bookmarkEnd w:id="621"/>
      <w:bookmarkEnd w:id="622"/>
      <w:bookmarkEnd w:id="623"/>
      <w:bookmarkEnd w:id="624"/>
    </w:p>
    <w:p w14:paraId="7415DBCD" w14:textId="409B7952"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t xml:space="preserve">Figure </w:t>
      </w:r>
      <w:r w:rsidR="00C52465" w:rsidRPr="00D01373">
        <w:rPr>
          <w:rFonts w:eastAsiaTheme="minorHAnsi" w:cstheme="minorBidi"/>
          <w:szCs w:val="22"/>
          <w:lang w:bidi="ar-SA"/>
        </w:rPr>
        <w:t>A2.</w:t>
      </w:r>
      <w:r w:rsidRPr="00D01373">
        <w:rPr>
          <w:rFonts w:eastAsiaTheme="minorHAnsi" w:cstheme="minorBidi"/>
          <w:szCs w:val="22"/>
          <w:lang w:bidi="ar-SA"/>
        </w:rPr>
        <w:t xml:space="preserve">5 shows the results of studies which have examined children or young people. All except </w:t>
      </w:r>
      <w:r w:rsidRPr="00CA37F9">
        <w:rPr>
          <w:rFonts w:eastAsiaTheme="minorHAnsi" w:cstheme="minorBidi"/>
          <w:szCs w:val="22"/>
          <w:lang w:bidi="ar-SA"/>
        </w:rPr>
        <w:t xml:space="preserve">Maisonet </w:t>
      </w:r>
      <w:r w:rsidR="00180A32" w:rsidRPr="00180A32">
        <w:rPr>
          <w:rFonts w:eastAsiaTheme="minorHAnsi" w:cstheme="minorBidi"/>
          <w:i/>
          <w:szCs w:val="22"/>
          <w:lang w:bidi="ar-SA"/>
        </w:rPr>
        <w:t xml:space="preserve">et al. </w:t>
      </w:r>
      <w:r w:rsidR="00CC50B8" w:rsidRPr="00CA37F9">
        <w:rPr>
          <w:rFonts w:eastAsiaTheme="minorHAnsi" w:cstheme="minorBidi"/>
          <w:szCs w:val="22"/>
          <w:lang w:bidi="ar-SA"/>
        </w:rPr>
        <w:t xml:space="preserve"> </w:t>
      </w:r>
      <w:r w:rsidRPr="00CA37F9">
        <w:rPr>
          <w:rFonts w:eastAsiaTheme="minorHAnsi" w:cstheme="minorBidi"/>
          <w:szCs w:val="22"/>
          <w:lang w:bidi="ar-SA"/>
        </w:rPr>
        <w:t xml:space="preserve">(2015) are cross-sectional studies. Unlike the studies in adults and pregnant women, two studies only described their results as regression coefficients and thus have been shown on the graph as lines without points. It is difficult to know how to represent this fairly compared to the studies which report results in PFOA quantiles. Frisbee </w:t>
      </w:r>
      <w:r w:rsidR="00180A32" w:rsidRPr="00180A32">
        <w:rPr>
          <w:rFonts w:eastAsiaTheme="minorHAnsi" w:cstheme="minorBidi"/>
          <w:i/>
          <w:szCs w:val="22"/>
          <w:lang w:bidi="ar-SA"/>
        </w:rPr>
        <w:t xml:space="preserve">et al. </w:t>
      </w:r>
      <w:r w:rsidR="00CC50B8" w:rsidRPr="00CA37F9">
        <w:rPr>
          <w:rFonts w:eastAsiaTheme="minorHAnsi" w:cstheme="minorBidi"/>
          <w:szCs w:val="22"/>
          <w:lang w:bidi="ar-SA"/>
        </w:rPr>
        <w:t xml:space="preserve"> </w:t>
      </w:r>
      <w:r w:rsidRPr="00CA37F9">
        <w:rPr>
          <w:rFonts w:eastAsiaTheme="minorHAnsi" w:cstheme="minorBidi"/>
          <w:szCs w:val="22"/>
          <w:lang w:bidi="ar-SA"/>
        </w:rPr>
        <w:t>(2010) analysed 12,000 children which was a much larger sample than the other studies. It should be noted that this is the only age group in which papers did not report</w:t>
      </w:r>
      <w:r w:rsidRPr="00D01373">
        <w:rPr>
          <w:rFonts w:eastAsiaTheme="minorHAnsi" w:cstheme="minorBidi"/>
          <w:szCs w:val="22"/>
          <w:lang w:bidi="ar-SA"/>
        </w:rPr>
        <w:t xml:space="preserve"> results as quantiles, and so it is difficult to know how to zero the presentation of the regression lines of Frisbee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 xml:space="preserve">(2010) and Maisonet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(2015) relative to the other studies.</w:t>
      </w:r>
    </w:p>
    <w:p w14:paraId="059E4608" w14:textId="77777777" w:rsidR="00F8101A" w:rsidRPr="00D01373" w:rsidRDefault="00F8101A" w:rsidP="00A111E9">
      <w:pPr>
        <w:widowControl/>
        <w:rPr>
          <w:rFonts w:eastAsiaTheme="minorHAnsi" w:cstheme="minorBidi"/>
          <w:szCs w:val="22"/>
          <w:lang w:bidi="ar-SA"/>
        </w:rPr>
      </w:pPr>
    </w:p>
    <w:p w14:paraId="23F14C71" w14:textId="1E33919F"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t xml:space="preserve">Frisbee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 xml:space="preserve">(2010) describe the relationship between PFOA and cholesterol in 12,000 children from the C8 </w:t>
      </w:r>
      <w:r w:rsidR="00060C53">
        <w:rPr>
          <w:rFonts w:eastAsiaTheme="minorHAnsi" w:cstheme="minorBidi"/>
          <w:szCs w:val="22"/>
          <w:lang w:bidi="ar-SA"/>
        </w:rPr>
        <w:t>s</w:t>
      </w:r>
      <w:r w:rsidRPr="00D01373">
        <w:rPr>
          <w:rFonts w:eastAsiaTheme="minorHAnsi" w:cstheme="minorBidi"/>
          <w:szCs w:val="22"/>
          <w:lang w:bidi="ar-SA"/>
        </w:rPr>
        <w:t xml:space="preserve">tudy and show the same effect that was seen in the adults of the same study in Figure </w:t>
      </w:r>
      <w:r w:rsidR="00C52465" w:rsidRPr="00D01373">
        <w:rPr>
          <w:rFonts w:eastAsiaTheme="minorHAnsi" w:cstheme="minorBidi"/>
          <w:szCs w:val="22"/>
          <w:lang w:bidi="ar-SA"/>
        </w:rPr>
        <w:t>A2.</w:t>
      </w:r>
      <w:r w:rsidR="00E22442" w:rsidRPr="00D01373">
        <w:rPr>
          <w:rFonts w:eastAsiaTheme="minorHAnsi" w:cstheme="minorBidi"/>
          <w:szCs w:val="22"/>
          <w:lang w:bidi="ar-SA"/>
        </w:rPr>
        <w:t xml:space="preserve">1 (Steenland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 xml:space="preserve">2009). Geiger </w:t>
      </w:r>
      <w:r w:rsidR="00180A32" w:rsidRPr="00180A32">
        <w:rPr>
          <w:rFonts w:eastAsiaTheme="minorHAnsi" w:cstheme="minorBidi"/>
          <w:i/>
          <w:szCs w:val="22"/>
          <w:lang w:bidi="ar-SA"/>
        </w:rPr>
        <w:t xml:space="preserve">et al. </w:t>
      </w:r>
      <w:r w:rsidRPr="00D01373">
        <w:rPr>
          <w:rFonts w:eastAsiaTheme="minorHAnsi" w:cstheme="minorBidi"/>
          <w:szCs w:val="22"/>
          <w:lang w:bidi="ar-SA"/>
        </w:rPr>
        <w:t xml:space="preserve"> analysed data from the NHANES as did Nelson </w:t>
      </w:r>
      <w:r w:rsidR="00180A32" w:rsidRPr="00180A32">
        <w:rPr>
          <w:rFonts w:eastAsiaTheme="minorHAnsi" w:cstheme="minorBidi"/>
          <w:i/>
          <w:szCs w:val="22"/>
          <w:lang w:bidi="ar-SA"/>
        </w:rPr>
        <w:t xml:space="preserve">et al. </w:t>
      </w:r>
      <w:r w:rsidRPr="00D01373">
        <w:rPr>
          <w:rFonts w:eastAsiaTheme="minorHAnsi" w:cstheme="minorBidi"/>
          <w:szCs w:val="22"/>
          <w:lang w:bidi="ar-SA"/>
        </w:rPr>
        <w:t xml:space="preserve"> (Figure </w:t>
      </w:r>
      <w:r w:rsidR="00C52465" w:rsidRPr="00D01373">
        <w:rPr>
          <w:rFonts w:eastAsiaTheme="minorHAnsi" w:cstheme="minorBidi"/>
          <w:szCs w:val="22"/>
          <w:lang w:bidi="ar-SA"/>
        </w:rPr>
        <w:t>A2.</w:t>
      </w:r>
      <w:r w:rsidRPr="00D01373">
        <w:rPr>
          <w:rFonts w:eastAsiaTheme="minorHAnsi" w:cstheme="minorBidi"/>
          <w:szCs w:val="22"/>
          <w:lang w:bidi="ar-SA"/>
        </w:rPr>
        <w:t xml:space="preserve">1), albeit from a slightly different range of years. They found essentially the same pattern in children that was shown for adults (Figure </w:t>
      </w:r>
      <w:r w:rsidR="00C52465" w:rsidRPr="00D01373">
        <w:rPr>
          <w:rFonts w:eastAsiaTheme="minorHAnsi" w:cstheme="minorBidi"/>
          <w:szCs w:val="22"/>
          <w:lang w:bidi="ar-SA"/>
        </w:rPr>
        <w:t>A2.</w:t>
      </w:r>
      <w:r w:rsidRPr="00D01373">
        <w:rPr>
          <w:rFonts w:eastAsiaTheme="minorHAnsi" w:cstheme="minorBidi"/>
          <w:szCs w:val="22"/>
          <w:lang w:bidi="ar-SA"/>
        </w:rPr>
        <w:t xml:space="preserve">1). The smaller studies of Zeng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 xml:space="preserve">(2015) and Lin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(2013) from Taiwan examined low concentrations of PFOA in this age group and had opposite results for LDL-C.</w:t>
      </w:r>
    </w:p>
    <w:p w14:paraId="7B0E52FB" w14:textId="77777777" w:rsidR="00F8101A" w:rsidRPr="00D01373" w:rsidRDefault="00F8101A" w:rsidP="00A111E9">
      <w:pPr>
        <w:widowControl/>
        <w:rPr>
          <w:rFonts w:eastAsiaTheme="minorHAnsi" w:cstheme="minorBidi"/>
          <w:szCs w:val="22"/>
          <w:lang w:bidi="ar-SA"/>
        </w:rPr>
      </w:pPr>
    </w:p>
    <w:p w14:paraId="6F924F68" w14:textId="5C396AF5"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t xml:space="preserve">Maisonet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(2015) examined 88 girls and used different methods from the other studies. Firstly</w:t>
      </w:r>
      <w:r w:rsidR="00340A26">
        <w:rPr>
          <w:rFonts w:eastAsiaTheme="minorHAnsi" w:cstheme="minorBidi"/>
          <w:szCs w:val="22"/>
          <w:lang w:bidi="ar-SA"/>
        </w:rPr>
        <w:t xml:space="preserve">, their study is </w:t>
      </w:r>
      <w:r w:rsidRPr="00D01373">
        <w:rPr>
          <w:rFonts w:eastAsiaTheme="minorHAnsi" w:cstheme="minorBidi"/>
          <w:szCs w:val="22"/>
          <w:lang w:bidi="ar-SA"/>
        </w:rPr>
        <w:t xml:space="preserve">longitudinal </w:t>
      </w:r>
      <w:r w:rsidR="00340A26">
        <w:rPr>
          <w:rFonts w:eastAsiaTheme="minorHAnsi" w:cstheme="minorBidi"/>
          <w:szCs w:val="22"/>
          <w:lang w:bidi="ar-SA"/>
        </w:rPr>
        <w:t>and compared</w:t>
      </w:r>
      <w:r w:rsidRPr="00D01373">
        <w:rPr>
          <w:rFonts w:eastAsiaTheme="minorHAnsi" w:cstheme="minorBidi"/>
          <w:szCs w:val="22"/>
          <w:lang w:bidi="ar-SA"/>
        </w:rPr>
        <w:t xml:space="preserve"> PFOA concentrations from prenatal maternal blood to the girls’ cholesterol concentrations at age 7 and age 15 years. The plot shows the unadjusted data at age 15, but this was similar to the adjusted data at the same age and at 7 years old.</w:t>
      </w:r>
    </w:p>
    <w:p w14:paraId="5AFD3C18" w14:textId="53CBEB79" w:rsidR="00F8101A" w:rsidRDefault="00DE222C" w:rsidP="00A111E9">
      <w:pPr>
        <w:widowControl/>
        <w:rPr>
          <w:rFonts w:eastAsiaTheme="minorHAnsi" w:cstheme="minorBidi"/>
          <w:szCs w:val="22"/>
          <w:lang w:bidi="ar-SA"/>
        </w:rPr>
      </w:pPr>
      <w:r>
        <w:rPr>
          <w:rFonts w:eastAsiaTheme="minorHAnsi" w:cstheme="minorBidi"/>
          <w:szCs w:val="22"/>
          <w:lang w:bidi="ar-SA"/>
        </w:rPr>
        <w:lastRenderedPageBreak/>
        <w:t>A</w:t>
      </w:r>
    </w:p>
    <w:p w14:paraId="3FF7538A" w14:textId="733C5F6F" w:rsidR="00F8101A" w:rsidRDefault="00F8101A" w:rsidP="00A111E9">
      <w:pPr>
        <w:widowControl/>
        <w:rPr>
          <w:rFonts w:eastAsiaTheme="minorHAnsi" w:cstheme="minorBidi"/>
          <w:szCs w:val="22"/>
          <w:lang w:bidi="ar-SA"/>
        </w:rPr>
      </w:pPr>
      <w:r w:rsidRPr="00D01373">
        <w:rPr>
          <w:rFonts w:eastAsiaTheme="minorHAnsi" w:cstheme="minorBidi"/>
          <w:noProof/>
          <w:szCs w:val="22"/>
          <w:lang w:eastAsia="en-GB" w:bidi="ar-SA"/>
        </w:rPr>
        <w:drawing>
          <wp:inline distT="0" distB="0" distL="0" distR="0" wp14:anchorId="23F0EA2A" wp14:editId="66338D73">
            <wp:extent cx="4591050" cy="2914650"/>
            <wp:effectExtent l="0" t="0" r="6350" b="6350"/>
            <wp:docPr id="21" name="Picture 21" title="Figure A2.4 Association between PFOA and serum cholesterol concentrations in pregnant women A: total choleste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4591050" cy="2914650"/>
                    </a:xfrm>
                    <a:prstGeom prst="rect">
                      <a:avLst/>
                    </a:prstGeom>
                  </pic:spPr>
                </pic:pic>
              </a:graphicData>
            </a:graphic>
          </wp:inline>
        </w:drawing>
      </w:r>
    </w:p>
    <w:p w14:paraId="724F370E" w14:textId="64001BEE" w:rsidR="00DE222C" w:rsidRPr="00D01373" w:rsidRDefault="00DE222C" w:rsidP="00A111E9">
      <w:pPr>
        <w:widowControl/>
        <w:rPr>
          <w:rFonts w:eastAsiaTheme="minorHAnsi" w:cstheme="minorBidi"/>
          <w:szCs w:val="22"/>
          <w:lang w:bidi="ar-SA"/>
        </w:rPr>
      </w:pPr>
      <w:r>
        <w:rPr>
          <w:rFonts w:eastAsiaTheme="minorHAnsi" w:cstheme="minorBidi"/>
          <w:szCs w:val="22"/>
          <w:lang w:bidi="ar-SA"/>
        </w:rPr>
        <w:t>B</w:t>
      </w:r>
    </w:p>
    <w:p w14:paraId="0E4CA16A" w14:textId="77777777" w:rsidR="00F8101A" w:rsidRDefault="00F8101A" w:rsidP="00A111E9">
      <w:pPr>
        <w:widowControl/>
        <w:rPr>
          <w:rFonts w:eastAsiaTheme="minorHAnsi" w:cstheme="minorBidi"/>
          <w:szCs w:val="22"/>
          <w:lang w:bidi="ar-SA"/>
        </w:rPr>
      </w:pPr>
      <w:r w:rsidRPr="00D01373">
        <w:rPr>
          <w:rFonts w:eastAsiaTheme="minorHAnsi" w:cstheme="minorBidi"/>
          <w:noProof/>
          <w:szCs w:val="22"/>
          <w:lang w:eastAsia="en-GB" w:bidi="ar-SA"/>
        </w:rPr>
        <w:drawing>
          <wp:inline distT="0" distB="0" distL="0" distR="0" wp14:anchorId="6FE9043B" wp14:editId="10AD5F74">
            <wp:extent cx="4619625" cy="2790825"/>
            <wp:effectExtent l="0" t="0" r="3175" b="3175"/>
            <wp:docPr id="22" name="Picture 22" title="Figure A2.4 Association between PFOA and serum cholesterol concentrations in pregnant women B: LDL choleste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4619625" cy="2790825"/>
                    </a:xfrm>
                    <a:prstGeom prst="rect">
                      <a:avLst/>
                    </a:prstGeom>
                  </pic:spPr>
                </pic:pic>
              </a:graphicData>
            </a:graphic>
          </wp:inline>
        </w:drawing>
      </w:r>
    </w:p>
    <w:p w14:paraId="5894C7E9" w14:textId="5EC62390" w:rsidR="00DE222C" w:rsidRPr="00D01373" w:rsidRDefault="00DE222C" w:rsidP="00A111E9">
      <w:pPr>
        <w:widowControl/>
        <w:rPr>
          <w:rFonts w:eastAsiaTheme="minorHAnsi" w:cstheme="minorBidi"/>
          <w:szCs w:val="22"/>
          <w:lang w:bidi="ar-SA"/>
        </w:rPr>
      </w:pPr>
      <w:r>
        <w:rPr>
          <w:rFonts w:eastAsiaTheme="minorHAnsi" w:cstheme="minorBidi"/>
          <w:szCs w:val="22"/>
          <w:lang w:bidi="ar-SA"/>
        </w:rPr>
        <w:t>C</w:t>
      </w:r>
    </w:p>
    <w:p w14:paraId="2CD90F8A" w14:textId="77777777" w:rsidR="00F8101A" w:rsidRPr="00D01373" w:rsidRDefault="00F8101A" w:rsidP="00A111E9">
      <w:pPr>
        <w:widowControl/>
        <w:rPr>
          <w:rFonts w:eastAsiaTheme="minorHAnsi" w:cstheme="minorBidi"/>
          <w:szCs w:val="22"/>
          <w:lang w:bidi="ar-SA"/>
        </w:rPr>
      </w:pPr>
      <w:r w:rsidRPr="00D01373">
        <w:rPr>
          <w:rFonts w:eastAsiaTheme="minorHAnsi" w:cstheme="minorBidi"/>
          <w:noProof/>
          <w:szCs w:val="22"/>
          <w:lang w:eastAsia="en-GB" w:bidi="ar-SA"/>
        </w:rPr>
        <w:drawing>
          <wp:inline distT="0" distB="0" distL="0" distR="0" wp14:anchorId="0FAD5792" wp14:editId="70EA6538">
            <wp:extent cx="4552950" cy="2105025"/>
            <wp:effectExtent l="0" t="0" r="0" b="3175"/>
            <wp:docPr id="23" name="Picture 23" title="Figure A2.4 Association between PFOA and serum cholesterol concentrations in pregnant women C: HDL cholester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4552950" cy="2105025"/>
                    </a:xfrm>
                    <a:prstGeom prst="rect">
                      <a:avLst/>
                    </a:prstGeom>
                  </pic:spPr>
                </pic:pic>
              </a:graphicData>
            </a:graphic>
          </wp:inline>
        </w:drawing>
      </w:r>
    </w:p>
    <w:p w14:paraId="2B3D1132" w14:textId="6FF7AFBC" w:rsidR="00F8101A" w:rsidRPr="007D047A" w:rsidRDefault="00F8101A" w:rsidP="00A111E9">
      <w:pPr>
        <w:pStyle w:val="FSFigureTitle"/>
        <w:rPr>
          <w:rFonts w:eastAsiaTheme="minorHAnsi"/>
        </w:rPr>
      </w:pPr>
      <w:r w:rsidRPr="00D01373">
        <w:rPr>
          <w:rFonts w:eastAsiaTheme="minorHAnsi"/>
        </w:rPr>
        <w:t xml:space="preserve">Figure </w:t>
      </w:r>
      <w:r w:rsidR="00C52465" w:rsidRPr="007D047A">
        <w:rPr>
          <w:rFonts w:eastAsiaTheme="minorHAnsi"/>
        </w:rPr>
        <w:t>A2.</w:t>
      </w:r>
      <w:r w:rsidRPr="007D047A">
        <w:rPr>
          <w:rFonts w:eastAsiaTheme="minorHAnsi"/>
        </w:rPr>
        <w:t>4 Association between PFOA and serum cholesterol concentrations in pregnant women A: total cholesterol B: LDL cholesterol C: HDL cholesterol</w:t>
      </w:r>
    </w:p>
    <w:p w14:paraId="60C97F75" w14:textId="77777777" w:rsidR="00F8101A" w:rsidRPr="00D01373" w:rsidRDefault="00F8101A" w:rsidP="00A111E9">
      <w:pPr>
        <w:widowControl/>
        <w:rPr>
          <w:rFonts w:eastAsiaTheme="minorHAnsi" w:cstheme="minorBidi"/>
          <w:szCs w:val="22"/>
          <w:lang w:bidi="ar-SA"/>
        </w:rPr>
      </w:pPr>
    </w:p>
    <w:p w14:paraId="7BA41BBF" w14:textId="4B62C300"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lastRenderedPageBreak/>
        <w:t>A</w:t>
      </w:r>
    </w:p>
    <w:p w14:paraId="61C96D9D" w14:textId="51C8AC04" w:rsidR="00F8101A" w:rsidRPr="00D01373" w:rsidRDefault="00F8101A" w:rsidP="00A111E9">
      <w:pPr>
        <w:widowControl/>
        <w:rPr>
          <w:rFonts w:eastAsiaTheme="minorHAnsi" w:cstheme="minorBidi"/>
          <w:szCs w:val="22"/>
          <w:lang w:bidi="ar-SA"/>
        </w:rPr>
      </w:pPr>
      <w:r w:rsidRPr="00D01373">
        <w:rPr>
          <w:rFonts w:eastAsiaTheme="minorHAnsi" w:cstheme="minorBidi"/>
          <w:noProof/>
          <w:szCs w:val="22"/>
          <w:lang w:eastAsia="en-GB" w:bidi="ar-SA"/>
        </w:rPr>
        <w:drawing>
          <wp:inline distT="0" distB="0" distL="0" distR="0" wp14:anchorId="4C836F87" wp14:editId="3611CB18">
            <wp:extent cx="4933950" cy="2619375"/>
            <wp:effectExtent l="0" t="0" r="0" b="0"/>
            <wp:docPr id="24" name="Picture 24" title="Figure A2.5 Association between PFOA and serum cholesterol concentrations in children and young people A: total choleste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933950" cy="2619375"/>
                    </a:xfrm>
                    <a:prstGeom prst="rect">
                      <a:avLst/>
                    </a:prstGeom>
                  </pic:spPr>
                </pic:pic>
              </a:graphicData>
            </a:graphic>
          </wp:inline>
        </w:drawing>
      </w:r>
    </w:p>
    <w:p w14:paraId="077F0A36" w14:textId="77777777"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t>B</w:t>
      </w:r>
    </w:p>
    <w:p w14:paraId="2FB77BDB" w14:textId="77777777" w:rsidR="00F8101A" w:rsidRPr="00D01373" w:rsidRDefault="00F8101A" w:rsidP="00A111E9">
      <w:pPr>
        <w:widowControl/>
        <w:rPr>
          <w:rFonts w:eastAsiaTheme="minorHAnsi" w:cstheme="minorBidi"/>
          <w:szCs w:val="22"/>
          <w:lang w:bidi="ar-SA"/>
        </w:rPr>
      </w:pPr>
      <w:r w:rsidRPr="00D01373">
        <w:rPr>
          <w:rFonts w:eastAsiaTheme="minorHAnsi" w:cstheme="minorBidi"/>
          <w:noProof/>
          <w:szCs w:val="22"/>
          <w:lang w:eastAsia="en-GB" w:bidi="ar-SA"/>
        </w:rPr>
        <w:drawing>
          <wp:inline distT="0" distB="0" distL="0" distR="0" wp14:anchorId="4B44C6CD" wp14:editId="6BB13A33">
            <wp:extent cx="4932948" cy="2634915"/>
            <wp:effectExtent l="0" t="0" r="0" b="6985"/>
            <wp:docPr id="25" name="Picture 25" title="Figure A2.5 Association between PFOA and serum cholesterol concentrations in children and young people B: LDL choleste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939519" cy="2638425"/>
                    </a:xfrm>
                    <a:prstGeom prst="rect">
                      <a:avLst/>
                    </a:prstGeom>
                  </pic:spPr>
                </pic:pic>
              </a:graphicData>
            </a:graphic>
          </wp:inline>
        </w:drawing>
      </w:r>
    </w:p>
    <w:p w14:paraId="2D1749EA" w14:textId="77777777"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t>C</w:t>
      </w:r>
    </w:p>
    <w:p w14:paraId="717B692D" w14:textId="77777777" w:rsidR="00F8101A" w:rsidRPr="00D01373" w:rsidRDefault="00F8101A" w:rsidP="00A111E9">
      <w:pPr>
        <w:widowControl/>
        <w:rPr>
          <w:rFonts w:eastAsiaTheme="minorHAnsi" w:cstheme="minorBidi"/>
          <w:szCs w:val="22"/>
          <w:lang w:bidi="ar-SA"/>
        </w:rPr>
      </w:pPr>
      <w:r w:rsidRPr="00D01373">
        <w:rPr>
          <w:rFonts w:eastAsiaTheme="minorHAnsi" w:cstheme="minorBidi"/>
          <w:noProof/>
          <w:szCs w:val="22"/>
          <w:lang w:eastAsia="en-GB" w:bidi="ar-SA"/>
        </w:rPr>
        <w:drawing>
          <wp:inline distT="0" distB="0" distL="0" distR="0" wp14:anchorId="0AA6B029" wp14:editId="29C3061B">
            <wp:extent cx="4932948" cy="2207367"/>
            <wp:effectExtent l="0" t="0" r="0" b="2540"/>
            <wp:docPr id="26" name="Picture 26" title="Figure A2.5 Association between PFOA and serum cholesterol concentrations in children and young people C: HDL cholester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938385" cy="2209800"/>
                    </a:xfrm>
                    <a:prstGeom prst="rect">
                      <a:avLst/>
                    </a:prstGeom>
                  </pic:spPr>
                </pic:pic>
              </a:graphicData>
            </a:graphic>
          </wp:inline>
        </w:drawing>
      </w:r>
    </w:p>
    <w:p w14:paraId="267ED504" w14:textId="5E23A418" w:rsidR="00F8101A" w:rsidRDefault="00F8101A" w:rsidP="00A111E9">
      <w:pPr>
        <w:pStyle w:val="FSFigureTitle"/>
        <w:rPr>
          <w:rFonts w:eastAsiaTheme="minorHAnsi"/>
        </w:rPr>
      </w:pPr>
      <w:r w:rsidRPr="00BF7834">
        <w:rPr>
          <w:rFonts w:eastAsiaTheme="minorHAnsi"/>
        </w:rPr>
        <w:t xml:space="preserve">Figure </w:t>
      </w:r>
      <w:r w:rsidR="00C52465" w:rsidRPr="00D01373">
        <w:rPr>
          <w:rFonts w:eastAsiaTheme="minorHAnsi"/>
        </w:rPr>
        <w:t>A2.</w:t>
      </w:r>
      <w:r w:rsidRPr="00D01373">
        <w:rPr>
          <w:rFonts w:eastAsiaTheme="minorHAnsi"/>
        </w:rPr>
        <w:t xml:space="preserve">5 Association between </w:t>
      </w:r>
      <w:r w:rsidRPr="00D01373">
        <w:rPr>
          <w:rFonts w:eastAsiaTheme="minorHAnsi"/>
          <w:b/>
        </w:rPr>
        <w:t>PFOA</w:t>
      </w:r>
      <w:r w:rsidRPr="00D01373">
        <w:rPr>
          <w:rFonts w:eastAsiaTheme="minorHAnsi"/>
        </w:rPr>
        <w:t xml:space="preserve"> and serum cholesterol concentrations in children and young people A: total cholesterol </w:t>
      </w:r>
      <w:r w:rsidR="00170A03" w:rsidRPr="00D01373">
        <w:rPr>
          <w:rFonts w:eastAsiaTheme="minorHAnsi"/>
        </w:rPr>
        <w:t>B:</w:t>
      </w:r>
      <w:r w:rsidRPr="00D01373">
        <w:rPr>
          <w:rFonts w:eastAsiaTheme="minorHAnsi"/>
        </w:rPr>
        <w:t xml:space="preserve"> LDL cholesterol C</w:t>
      </w:r>
      <w:r w:rsidR="00170A03" w:rsidRPr="00D01373">
        <w:rPr>
          <w:rFonts w:eastAsiaTheme="minorHAnsi"/>
        </w:rPr>
        <w:t>:</w:t>
      </w:r>
      <w:r w:rsidRPr="00D01373">
        <w:rPr>
          <w:rFonts w:eastAsiaTheme="minorHAnsi"/>
        </w:rPr>
        <w:t xml:space="preserve"> HDL cholesterol</w:t>
      </w:r>
    </w:p>
    <w:p w14:paraId="318DD7F1" w14:textId="370F39EF" w:rsidR="00E12275" w:rsidRDefault="00E12275" w:rsidP="00BC19E6">
      <w:pPr>
        <w:rPr>
          <w:rFonts w:eastAsiaTheme="minorHAnsi"/>
        </w:rPr>
      </w:pPr>
    </w:p>
    <w:p w14:paraId="6E61BFFD" w14:textId="086DE01E" w:rsidR="00E12275" w:rsidRPr="00E12275" w:rsidRDefault="00E12275" w:rsidP="00BC19E6">
      <w:pPr>
        <w:rPr>
          <w:rFonts w:eastAsiaTheme="minorHAnsi"/>
        </w:rPr>
      </w:pPr>
      <w:r>
        <w:rPr>
          <w:rFonts w:eastAsiaTheme="minorHAnsi"/>
        </w:rPr>
        <w:t>New version for Figure A2.5 below</w:t>
      </w:r>
    </w:p>
    <w:p w14:paraId="6ABEC30E" w14:textId="77777777" w:rsidR="00F8101A" w:rsidRPr="00D01373" w:rsidRDefault="00F8101A" w:rsidP="00A111E9">
      <w:pPr>
        <w:pStyle w:val="FSFigureTitle"/>
        <w:rPr>
          <w:rFonts w:eastAsiaTheme="minorHAnsi" w:cstheme="minorBidi"/>
          <w:szCs w:val="22"/>
          <w:lang w:bidi="ar-SA"/>
        </w:rPr>
      </w:pPr>
    </w:p>
    <w:p w14:paraId="334DF0AA" w14:textId="0DEE80DF" w:rsidR="00F8101A" w:rsidRDefault="00E12275" w:rsidP="00A111E9">
      <w:pPr>
        <w:widowControl/>
        <w:rPr>
          <w:rFonts w:eastAsiaTheme="minorHAnsi" w:cstheme="minorBidi"/>
          <w:szCs w:val="22"/>
          <w:lang w:bidi="ar-SA"/>
        </w:rPr>
      </w:pPr>
      <w:r>
        <w:rPr>
          <w:rFonts w:eastAsiaTheme="minorHAnsi" w:cstheme="minorBidi"/>
          <w:szCs w:val="22"/>
          <w:lang w:bidi="ar-SA"/>
        </w:rPr>
        <w:lastRenderedPageBreak/>
        <w:t>A</w:t>
      </w:r>
    </w:p>
    <w:p w14:paraId="52B5164D" w14:textId="6E3DD323" w:rsidR="00E12275" w:rsidRDefault="00E12275" w:rsidP="00A111E9">
      <w:pPr>
        <w:widowControl/>
        <w:rPr>
          <w:rFonts w:eastAsiaTheme="minorHAnsi" w:cstheme="minorBidi"/>
          <w:szCs w:val="22"/>
          <w:lang w:bidi="ar-SA"/>
        </w:rPr>
      </w:pPr>
      <w:r>
        <w:rPr>
          <w:noProof/>
          <w:lang w:eastAsia="en-GB" w:bidi="ar-SA"/>
        </w:rPr>
        <w:drawing>
          <wp:inline distT="0" distB="0" distL="0" distR="0" wp14:anchorId="54D9C852" wp14:editId="4FFE231D">
            <wp:extent cx="5019675" cy="2638425"/>
            <wp:effectExtent l="0" t="0" r="9525" b="9525"/>
            <wp:docPr id="6" name="Picture 6" descr="This image depicts data relating to the difference in total cholesterol compared to lowest group in the same study. " title="Figure A: Difference in total cholesterol compared to lowest group in the same stu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019675" cy="2638425"/>
                    </a:xfrm>
                    <a:prstGeom prst="rect">
                      <a:avLst/>
                    </a:prstGeom>
                  </pic:spPr>
                </pic:pic>
              </a:graphicData>
            </a:graphic>
          </wp:inline>
        </w:drawing>
      </w:r>
    </w:p>
    <w:p w14:paraId="1D9541C2" w14:textId="3E527C92" w:rsidR="00E12275" w:rsidRDefault="00E12275" w:rsidP="00A111E9">
      <w:pPr>
        <w:widowControl/>
        <w:rPr>
          <w:rFonts w:eastAsiaTheme="minorHAnsi" w:cstheme="minorBidi"/>
          <w:szCs w:val="22"/>
          <w:lang w:bidi="ar-SA"/>
        </w:rPr>
      </w:pPr>
      <w:r>
        <w:rPr>
          <w:rFonts w:eastAsiaTheme="minorHAnsi" w:cstheme="minorBidi"/>
          <w:szCs w:val="22"/>
          <w:lang w:bidi="ar-SA"/>
        </w:rPr>
        <w:t>B</w:t>
      </w:r>
    </w:p>
    <w:p w14:paraId="20C3D098" w14:textId="716F1312" w:rsidR="00E12275" w:rsidRDefault="00E12275" w:rsidP="00A111E9">
      <w:pPr>
        <w:widowControl/>
        <w:rPr>
          <w:rFonts w:eastAsiaTheme="minorHAnsi" w:cstheme="minorBidi"/>
          <w:szCs w:val="22"/>
          <w:lang w:bidi="ar-SA"/>
        </w:rPr>
      </w:pPr>
      <w:r>
        <w:rPr>
          <w:noProof/>
          <w:lang w:eastAsia="en-GB" w:bidi="ar-SA"/>
        </w:rPr>
        <w:drawing>
          <wp:inline distT="0" distB="0" distL="0" distR="0" wp14:anchorId="4D3BA0A2" wp14:editId="31D37B64">
            <wp:extent cx="4962525" cy="2876550"/>
            <wp:effectExtent l="0" t="0" r="9525" b="0"/>
            <wp:docPr id="16" name="Picture 16" descr="This image depicts data relating to the difference in LDL cholesterol compared to lowest group in the same study. " title="Figure B: difference in LDL cholesterol compared to lowest group in the sam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962525" cy="2876550"/>
                    </a:xfrm>
                    <a:prstGeom prst="rect">
                      <a:avLst/>
                    </a:prstGeom>
                  </pic:spPr>
                </pic:pic>
              </a:graphicData>
            </a:graphic>
          </wp:inline>
        </w:drawing>
      </w:r>
    </w:p>
    <w:p w14:paraId="125495D4" w14:textId="19865D46" w:rsidR="00E12275" w:rsidRPr="00D01373" w:rsidRDefault="00E12275" w:rsidP="00A111E9">
      <w:pPr>
        <w:widowControl/>
        <w:rPr>
          <w:rFonts w:eastAsiaTheme="minorHAnsi" w:cstheme="minorBidi"/>
          <w:szCs w:val="22"/>
          <w:lang w:bidi="ar-SA"/>
        </w:rPr>
      </w:pPr>
      <w:r>
        <w:rPr>
          <w:rFonts w:eastAsiaTheme="minorHAnsi" w:cstheme="minorBidi"/>
          <w:szCs w:val="22"/>
          <w:lang w:bidi="ar-SA"/>
        </w:rPr>
        <w:t>C</w:t>
      </w:r>
    </w:p>
    <w:p w14:paraId="063476DE" w14:textId="56411A6F" w:rsidR="00E12275" w:rsidRDefault="00E12275" w:rsidP="00A111E9">
      <w:pPr>
        <w:widowControl/>
        <w:rPr>
          <w:rFonts w:eastAsiaTheme="minorHAnsi" w:cstheme="minorBidi"/>
          <w:szCs w:val="22"/>
          <w:lang w:bidi="ar-SA"/>
        </w:rPr>
      </w:pPr>
      <w:r>
        <w:rPr>
          <w:noProof/>
          <w:lang w:eastAsia="en-GB" w:bidi="ar-SA"/>
        </w:rPr>
        <w:drawing>
          <wp:inline distT="0" distB="0" distL="0" distR="0" wp14:anchorId="1A9FEED7" wp14:editId="74A5A076">
            <wp:extent cx="4991100" cy="2333625"/>
            <wp:effectExtent l="0" t="0" r="0" b="9525"/>
            <wp:docPr id="42" name="Picture 42" descr="This image depicts data relating to the difference in HDL cholesterol compared to lowest group in the same study. " title="Figure C: Difference in HDL cholesterol compared to lowest group in the same stu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991100" cy="2333625"/>
                    </a:xfrm>
                    <a:prstGeom prst="rect">
                      <a:avLst/>
                    </a:prstGeom>
                  </pic:spPr>
                </pic:pic>
              </a:graphicData>
            </a:graphic>
          </wp:inline>
        </w:drawing>
      </w:r>
    </w:p>
    <w:p w14:paraId="6AF5B4AA" w14:textId="77777777" w:rsidR="00E12275" w:rsidRDefault="00E12275" w:rsidP="00A111E9">
      <w:pPr>
        <w:widowControl/>
        <w:rPr>
          <w:rFonts w:eastAsiaTheme="minorHAnsi" w:cstheme="minorBidi"/>
          <w:szCs w:val="22"/>
          <w:lang w:bidi="ar-SA"/>
        </w:rPr>
      </w:pPr>
    </w:p>
    <w:p w14:paraId="0902EA6F" w14:textId="1B159EA4"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t xml:space="preserve">The pattern shown in the study of Maisonet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 xml:space="preserve">(2015) was very different from that of the other studies. The apparent size of effect may be related to the zeroing problem mentioned </w:t>
      </w:r>
      <w:r w:rsidRPr="00D01373">
        <w:rPr>
          <w:rFonts w:eastAsiaTheme="minorHAnsi" w:cstheme="minorBidi"/>
          <w:szCs w:val="22"/>
          <w:lang w:bidi="ar-SA"/>
        </w:rPr>
        <w:lastRenderedPageBreak/>
        <w:t xml:space="preserve">above when graphing the results from the various studies. It is difficult to explain how maternal PFOA concentrations during pregnancy would have an effect at only one concentration </w:t>
      </w:r>
      <w:r w:rsidR="00311E79">
        <w:rPr>
          <w:rFonts w:eastAsiaTheme="minorHAnsi" w:cstheme="minorBidi"/>
          <w:szCs w:val="22"/>
          <w:lang w:bidi="ar-SA"/>
        </w:rPr>
        <w:t xml:space="preserve">in children aged 15 years. </w:t>
      </w:r>
      <w:r w:rsidRPr="00D01373">
        <w:rPr>
          <w:rFonts w:eastAsiaTheme="minorHAnsi" w:cstheme="minorBidi"/>
          <w:szCs w:val="22"/>
          <w:lang w:bidi="ar-SA"/>
        </w:rPr>
        <w:t xml:space="preserve"> As noted, this shows the unadjusted results which were </w:t>
      </w:r>
      <w:r w:rsidR="00340A26">
        <w:rPr>
          <w:rFonts w:eastAsiaTheme="minorHAnsi" w:cstheme="minorBidi"/>
          <w:szCs w:val="22"/>
          <w:lang w:bidi="ar-SA"/>
        </w:rPr>
        <w:t>not very</w:t>
      </w:r>
      <w:r w:rsidRPr="00D01373">
        <w:rPr>
          <w:rFonts w:eastAsiaTheme="minorHAnsi" w:cstheme="minorBidi"/>
          <w:szCs w:val="22"/>
          <w:lang w:bidi="ar-SA"/>
        </w:rPr>
        <w:t xml:space="preserve"> different from the adjusted results. However, the only adjustment factors considered were maternal age at delivery, maternal education and previous live births. 25% of maternal blood samples were drawn after 28 weeks and so there could be differences in PFAS concentration due to haemodilution which occurs in the later weeks of pregnancy. No </w:t>
      </w:r>
      <w:r w:rsidR="00311E79">
        <w:rPr>
          <w:rFonts w:eastAsiaTheme="minorHAnsi" w:cstheme="minorBidi"/>
          <w:szCs w:val="22"/>
          <w:lang w:bidi="ar-SA"/>
        </w:rPr>
        <w:t xml:space="preserve">other </w:t>
      </w:r>
      <w:r w:rsidRPr="00D01373">
        <w:rPr>
          <w:rFonts w:eastAsiaTheme="minorHAnsi" w:cstheme="minorBidi"/>
          <w:szCs w:val="22"/>
          <w:lang w:bidi="ar-SA"/>
        </w:rPr>
        <w:t xml:space="preserve">factors related to cholesterol  seem to have been considered, such as weight or diet, and there could be correlations between these and maternal PFAS owing to similarity in the familial environment. However, with only 88 subjects, it is not appropriate to include a large number of covariates in a regression model. The authors comment that they are conducting a similar analysis on blood from boys who are members of the same cohort study but these data </w:t>
      </w:r>
      <w:r w:rsidR="00340A26">
        <w:rPr>
          <w:rFonts w:eastAsiaTheme="minorHAnsi" w:cstheme="minorBidi"/>
          <w:szCs w:val="22"/>
          <w:lang w:bidi="ar-SA"/>
        </w:rPr>
        <w:t xml:space="preserve">were not </w:t>
      </w:r>
      <w:r w:rsidRPr="00D01373">
        <w:rPr>
          <w:rFonts w:eastAsiaTheme="minorHAnsi" w:cstheme="minorBidi"/>
          <w:szCs w:val="22"/>
          <w:lang w:bidi="ar-SA"/>
        </w:rPr>
        <w:t>available.</w:t>
      </w:r>
    </w:p>
    <w:p w14:paraId="1E0775F6" w14:textId="77777777" w:rsidR="00F8101A" w:rsidRPr="00D01373" w:rsidRDefault="00F8101A" w:rsidP="004264B6">
      <w:pPr>
        <w:pStyle w:val="Heading4"/>
      </w:pPr>
      <w:bookmarkStart w:id="625" w:name="_Toc468693995"/>
      <w:bookmarkStart w:id="626" w:name="_Toc468712811"/>
      <w:bookmarkStart w:id="627" w:name="_Toc468716503"/>
      <w:bookmarkStart w:id="628" w:name="_Toc468709490"/>
      <w:bookmarkStart w:id="629" w:name="_Toc468717790"/>
      <w:bookmarkStart w:id="630" w:name="_Toc468718434"/>
      <w:bookmarkStart w:id="631" w:name="_Toc468719414"/>
      <w:r w:rsidRPr="00D01373">
        <w:t>Association of PFOS with cholesterol concentrations</w:t>
      </w:r>
      <w:bookmarkEnd w:id="625"/>
      <w:bookmarkEnd w:id="626"/>
      <w:bookmarkEnd w:id="627"/>
      <w:bookmarkEnd w:id="628"/>
      <w:bookmarkEnd w:id="629"/>
      <w:bookmarkEnd w:id="630"/>
      <w:bookmarkEnd w:id="631"/>
    </w:p>
    <w:p w14:paraId="1F45100C" w14:textId="54DEAD51"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t xml:space="preserve">Many papers reported results for both PFOA and PFOS. Some only reported results for PFOA (Costa </w:t>
      </w:r>
      <w:r w:rsidR="00180A32" w:rsidRPr="00180A32">
        <w:rPr>
          <w:rFonts w:eastAsiaTheme="minorHAnsi" w:cstheme="minorBidi"/>
          <w:i/>
          <w:szCs w:val="22"/>
          <w:lang w:bidi="ar-SA"/>
        </w:rPr>
        <w:t xml:space="preserve">et al. </w:t>
      </w:r>
      <w:r w:rsidR="00340A26">
        <w:rPr>
          <w:rFonts w:eastAsiaTheme="minorHAnsi" w:cstheme="minorBidi"/>
          <w:szCs w:val="22"/>
          <w:lang w:bidi="ar-SA"/>
        </w:rPr>
        <w:t>,</w:t>
      </w:r>
      <w:r w:rsidRPr="00D01373">
        <w:rPr>
          <w:rFonts w:eastAsiaTheme="minorHAnsi" w:cstheme="minorBidi"/>
          <w:szCs w:val="22"/>
          <w:lang w:bidi="ar-SA"/>
        </w:rPr>
        <w:t xml:space="preserve"> 2009). Wang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(2012) report</w:t>
      </w:r>
      <w:r w:rsidR="00104C8E" w:rsidRPr="00D01373">
        <w:rPr>
          <w:rFonts w:eastAsiaTheme="minorHAnsi" w:cstheme="minorBidi"/>
          <w:szCs w:val="22"/>
          <w:lang w:bidi="ar-SA"/>
        </w:rPr>
        <w:t>ed</w:t>
      </w:r>
      <w:r w:rsidRPr="00D01373">
        <w:rPr>
          <w:rFonts w:eastAsiaTheme="minorHAnsi" w:cstheme="minorBidi"/>
          <w:szCs w:val="22"/>
          <w:lang w:bidi="ar-SA"/>
        </w:rPr>
        <w:t xml:space="preserve"> that the median concentration of PF</w:t>
      </w:r>
      <w:r w:rsidR="00340A26">
        <w:rPr>
          <w:rFonts w:eastAsiaTheme="minorHAnsi" w:cstheme="minorBidi"/>
          <w:szCs w:val="22"/>
          <w:lang w:bidi="ar-SA"/>
        </w:rPr>
        <w:t>O</w:t>
      </w:r>
      <w:r w:rsidRPr="00D01373">
        <w:rPr>
          <w:rFonts w:eastAsiaTheme="minorHAnsi" w:cstheme="minorBidi"/>
          <w:szCs w:val="22"/>
          <w:lang w:bidi="ar-SA"/>
        </w:rPr>
        <w:t>S was about 33 ng/mL in both their worker and resident populations. However</w:t>
      </w:r>
      <w:r w:rsidR="007F02A2">
        <w:rPr>
          <w:rFonts w:eastAsiaTheme="minorHAnsi" w:cstheme="minorBidi"/>
          <w:szCs w:val="22"/>
          <w:lang w:bidi="ar-SA"/>
        </w:rPr>
        <w:t>,</w:t>
      </w:r>
      <w:r w:rsidRPr="00D01373">
        <w:rPr>
          <w:rFonts w:eastAsiaTheme="minorHAnsi" w:cstheme="minorBidi"/>
          <w:szCs w:val="22"/>
          <w:lang w:bidi="ar-SA"/>
        </w:rPr>
        <w:t xml:space="preserve"> they did not present any results examining the association of PFOS with cholesterol </w:t>
      </w:r>
      <w:r w:rsidR="00311E79">
        <w:rPr>
          <w:rFonts w:eastAsiaTheme="minorHAnsi" w:cstheme="minorBidi"/>
          <w:szCs w:val="22"/>
          <w:lang w:bidi="ar-SA"/>
        </w:rPr>
        <w:t xml:space="preserve">concentrations </w:t>
      </w:r>
      <w:r w:rsidRPr="00D01373">
        <w:rPr>
          <w:rFonts w:eastAsiaTheme="minorHAnsi" w:cstheme="minorBidi"/>
          <w:szCs w:val="22"/>
          <w:lang w:bidi="ar-SA"/>
        </w:rPr>
        <w:t xml:space="preserve">despite doing this for PFOA. They state that they chose PFOA because it had a wider range of exposure </w:t>
      </w:r>
      <w:r w:rsidR="00311E79">
        <w:rPr>
          <w:rFonts w:eastAsiaTheme="minorHAnsi" w:cstheme="minorBidi"/>
          <w:szCs w:val="22"/>
          <w:lang w:bidi="ar-SA"/>
        </w:rPr>
        <w:t>but</w:t>
      </w:r>
      <w:r w:rsidRPr="00D01373">
        <w:rPr>
          <w:rFonts w:eastAsiaTheme="minorHAnsi" w:cstheme="minorBidi"/>
          <w:szCs w:val="22"/>
          <w:lang w:bidi="ar-SA"/>
        </w:rPr>
        <w:t xml:space="preserve"> do not indicate whether associations with other PFAS were not significant (and therefore not reported) or were not </w:t>
      </w:r>
      <w:r w:rsidR="00267CD6">
        <w:rPr>
          <w:rFonts w:eastAsiaTheme="minorHAnsi" w:cstheme="minorBidi"/>
          <w:szCs w:val="22"/>
          <w:lang w:bidi="ar-SA"/>
        </w:rPr>
        <w:t>analysed</w:t>
      </w:r>
      <w:r w:rsidRPr="00D01373">
        <w:rPr>
          <w:rFonts w:eastAsiaTheme="minorHAnsi" w:cstheme="minorBidi"/>
          <w:szCs w:val="22"/>
          <w:lang w:bidi="ar-SA"/>
        </w:rPr>
        <w:t xml:space="preserve">. Olsen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 xml:space="preserve">(2007) only presented results for PFOA from the </w:t>
      </w:r>
      <w:r w:rsidR="00311E79">
        <w:rPr>
          <w:rFonts w:eastAsiaTheme="minorHAnsi" w:cstheme="minorBidi"/>
          <w:szCs w:val="22"/>
          <w:lang w:bidi="ar-SA"/>
        </w:rPr>
        <w:t>3M</w:t>
      </w:r>
      <w:r w:rsidRPr="00D01373">
        <w:rPr>
          <w:rFonts w:eastAsiaTheme="minorHAnsi" w:cstheme="minorBidi"/>
          <w:szCs w:val="22"/>
          <w:lang w:bidi="ar-SA"/>
        </w:rPr>
        <w:t xml:space="preserve"> population, and so their earlier paper has been used in the a</w:t>
      </w:r>
      <w:r w:rsidR="007E6400" w:rsidRPr="00D01373">
        <w:rPr>
          <w:rFonts w:eastAsiaTheme="minorHAnsi" w:cstheme="minorBidi"/>
          <w:szCs w:val="22"/>
          <w:lang w:bidi="ar-SA"/>
        </w:rPr>
        <w:t xml:space="preserve">ssessment for PFOS (Olsen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 xml:space="preserve">2003). Chateau-Degat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(2010) measured PFOS but not PFOA.</w:t>
      </w:r>
    </w:p>
    <w:p w14:paraId="3785603F" w14:textId="77777777" w:rsidR="00F8101A" w:rsidRPr="00D01373" w:rsidRDefault="00F8101A" w:rsidP="004264B6">
      <w:pPr>
        <w:pStyle w:val="Heading5"/>
        <w:rPr>
          <w:rFonts w:eastAsiaTheme="majorEastAsia"/>
        </w:rPr>
      </w:pPr>
      <w:bookmarkStart w:id="632" w:name="_Toc468693996"/>
      <w:bookmarkStart w:id="633" w:name="_Toc468712812"/>
      <w:bookmarkStart w:id="634" w:name="_Toc468716504"/>
      <w:bookmarkStart w:id="635" w:name="_Toc468709491"/>
      <w:bookmarkStart w:id="636" w:name="_Toc468717791"/>
      <w:bookmarkStart w:id="637" w:name="_Toc468718435"/>
      <w:bookmarkStart w:id="638" w:name="_Toc468719415"/>
      <w:r w:rsidRPr="00D01373">
        <w:rPr>
          <w:rFonts w:eastAsiaTheme="majorEastAsia"/>
        </w:rPr>
        <w:t>Non-pregnant adults</w:t>
      </w:r>
      <w:bookmarkEnd w:id="632"/>
      <w:bookmarkEnd w:id="633"/>
      <w:bookmarkEnd w:id="634"/>
      <w:bookmarkEnd w:id="635"/>
      <w:bookmarkEnd w:id="636"/>
      <w:bookmarkEnd w:id="637"/>
      <w:bookmarkEnd w:id="638"/>
    </w:p>
    <w:p w14:paraId="12CA1A18" w14:textId="021395BF"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t xml:space="preserve">The results for studies reporting associations between PFOS and total-C are shown in Figure </w:t>
      </w:r>
      <w:r w:rsidR="00C52465" w:rsidRPr="00D01373">
        <w:rPr>
          <w:rFonts w:eastAsiaTheme="minorHAnsi" w:cstheme="minorBidi"/>
          <w:szCs w:val="22"/>
          <w:lang w:bidi="ar-SA"/>
        </w:rPr>
        <w:t>A2.</w:t>
      </w:r>
      <w:r w:rsidRPr="00D01373">
        <w:rPr>
          <w:rFonts w:eastAsiaTheme="minorHAnsi" w:cstheme="minorBidi"/>
          <w:szCs w:val="22"/>
          <w:lang w:bidi="ar-SA"/>
        </w:rPr>
        <w:t xml:space="preserve">6, for LDL-C in Figure </w:t>
      </w:r>
      <w:r w:rsidR="00C52465" w:rsidRPr="00D01373">
        <w:rPr>
          <w:rFonts w:eastAsiaTheme="minorHAnsi" w:cstheme="minorBidi"/>
          <w:szCs w:val="22"/>
          <w:lang w:bidi="ar-SA"/>
        </w:rPr>
        <w:t>A2.</w:t>
      </w:r>
      <w:r w:rsidRPr="00D01373">
        <w:rPr>
          <w:rFonts w:eastAsiaTheme="minorHAnsi" w:cstheme="minorBidi"/>
          <w:szCs w:val="22"/>
          <w:lang w:bidi="ar-SA"/>
        </w:rPr>
        <w:t xml:space="preserve">7 and HDL-C in Figure </w:t>
      </w:r>
      <w:r w:rsidR="00C52465" w:rsidRPr="00D01373">
        <w:rPr>
          <w:rFonts w:eastAsiaTheme="minorHAnsi" w:cstheme="minorBidi"/>
          <w:szCs w:val="22"/>
          <w:lang w:bidi="ar-SA"/>
        </w:rPr>
        <w:t>A2.</w:t>
      </w:r>
      <w:r w:rsidRPr="00D01373">
        <w:rPr>
          <w:rFonts w:eastAsiaTheme="minorHAnsi" w:cstheme="minorBidi"/>
          <w:szCs w:val="22"/>
          <w:lang w:bidi="ar-SA"/>
        </w:rPr>
        <w:t xml:space="preserve">8. All studies are cross-sectional. As was the case for PFOA, by far the largest is the study of Steenland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 xml:space="preserve">(2009) from the C8 group. The only study which examined the association at PFOS concentrations greater than 60 ng/mL was Olsen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(2003) which had a total sample size of less than 100 women and less than 500 men.</w:t>
      </w:r>
    </w:p>
    <w:p w14:paraId="1832312A" w14:textId="77777777" w:rsidR="00DE222C" w:rsidRDefault="00DE222C" w:rsidP="00A111E9">
      <w:pPr>
        <w:widowControl/>
        <w:rPr>
          <w:rFonts w:eastAsiaTheme="minorHAnsi" w:cstheme="minorBidi"/>
          <w:szCs w:val="22"/>
          <w:lang w:bidi="ar-SA"/>
        </w:rPr>
      </w:pPr>
    </w:p>
    <w:p w14:paraId="39D19730" w14:textId="7FF86779"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t xml:space="preserve">Four studies with low concentrations (Figure </w:t>
      </w:r>
      <w:r w:rsidR="00C52465" w:rsidRPr="00D01373">
        <w:rPr>
          <w:rFonts w:eastAsiaTheme="minorHAnsi" w:cstheme="minorBidi"/>
          <w:szCs w:val="22"/>
          <w:lang w:bidi="ar-SA"/>
        </w:rPr>
        <w:t>A2.</w:t>
      </w:r>
      <w:r w:rsidRPr="00D01373">
        <w:rPr>
          <w:rFonts w:eastAsiaTheme="minorHAnsi" w:cstheme="minorBidi"/>
          <w:szCs w:val="22"/>
          <w:lang w:bidi="ar-SA"/>
        </w:rPr>
        <w:t xml:space="preserve">6B) reported that total-C concentration was positively associated with PFOS concentration with </w:t>
      </w:r>
      <w:r w:rsidR="00340A26">
        <w:rPr>
          <w:rFonts w:eastAsiaTheme="minorHAnsi" w:cstheme="minorBidi"/>
          <w:szCs w:val="22"/>
          <w:lang w:bidi="ar-SA"/>
        </w:rPr>
        <w:t>a possible</w:t>
      </w:r>
      <w:r w:rsidRPr="00D01373">
        <w:rPr>
          <w:rFonts w:eastAsiaTheme="minorHAnsi" w:cstheme="minorBidi"/>
          <w:szCs w:val="22"/>
          <w:lang w:bidi="ar-SA"/>
        </w:rPr>
        <w:t xml:space="preserve"> maximal increase of 0.3 mmol/L at a concentration of about 40 ng/mL. Olsen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 xml:space="preserve">(2003) </w:t>
      </w:r>
      <w:r w:rsidR="006333FD" w:rsidRPr="00D01373">
        <w:rPr>
          <w:rFonts w:eastAsiaTheme="minorHAnsi" w:cstheme="minorBidi"/>
          <w:szCs w:val="22"/>
          <w:lang w:bidi="ar-SA"/>
        </w:rPr>
        <w:t xml:space="preserve">examined a population with much higher blood concentrations and </w:t>
      </w:r>
      <w:r w:rsidRPr="00D01373">
        <w:rPr>
          <w:rFonts w:eastAsiaTheme="minorHAnsi" w:cstheme="minorBidi"/>
          <w:szCs w:val="22"/>
          <w:lang w:bidi="ar-SA"/>
        </w:rPr>
        <w:t xml:space="preserve">reported that, in women, total-C declined and then returned to the starting point </w:t>
      </w:r>
      <w:r w:rsidR="003E0167">
        <w:rPr>
          <w:rFonts w:eastAsiaTheme="minorHAnsi" w:cstheme="minorBidi"/>
          <w:szCs w:val="22"/>
          <w:lang w:bidi="ar-SA"/>
        </w:rPr>
        <w:t xml:space="preserve">as PFOS concentration </w:t>
      </w:r>
      <w:r w:rsidR="00340A26">
        <w:rPr>
          <w:rFonts w:eastAsiaTheme="minorHAnsi" w:cstheme="minorBidi"/>
          <w:szCs w:val="22"/>
          <w:lang w:bidi="ar-SA"/>
        </w:rPr>
        <w:t xml:space="preserve"> </w:t>
      </w:r>
      <w:r w:rsidRPr="00D01373">
        <w:rPr>
          <w:rFonts w:eastAsiaTheme="minorHAnsi" w:cstheme="minorBidi"/>
          <w:szCs w:val="22"/>
          <w:lang w:bidi="ar-SA"/>
        </w:rPr>
        <w:t xml:space="preserve">increased </w:t>
      </w:r>
      <w:r w:rsidR="003E0167">
        <w:rPr>
          <w:rFonts w:eastAsiaTheme="minorHAnsi" w:cstheme="minorBidi"/>
          <w:szCs w:val="22"/>
          <w:lang w:bidi="ar-SA"/>
        </w:rPr>
        <w:t>above</w:t>
      </w:r>
      <w:r w:rsidRPr="00D01373">
        <w:rPr>
          <w:rFonts w:eastAsiaTheme="minorHAnsi" w:cstheme="minorBidi"/>
          <w:szCs w:val="22"/>
          <w:lang w:bidi="ar-SA"/>
        </w:rPr>
        <w:t xml:space="preserve"> 70 ng</w:t>
      </w:r>
      <w:r w:rsidR="00340A26">
        <w:rPr>
          <w:rFonts w:eastAsiaTheme="minorHAnsi" w:cstheme="minorBidi"/>
          <w:szCs w:val="22"/>
          <w:lang w:bidi="ar-SA"/>
        </w:rPr>
        <w:t>/mL. I</w:t>
      </w:r>
      <w:r w:rsidRPr="00D01373">
        <w:rPr>
          <w:rFonts w:eastAsiaTheme="minorHAnsi" w:cstheme="minorBidi"/>
          <w:szCs w:val="22"/>
          <w:lang w:bidi="ar-SA"/>
        </w:rPr>
        <w:t xml:space="preserve">n men, </w:t>
      </w:r>
      <w:r w:rsidR="00340A26">
        <w:rPr>
          <w:rFonts w:eastAsiaTheme="minorHAnsi" w:cstheme="minorBidi"/>
          <w:szCs w:val="22"/>
          <w:lang w:bidi="ar-SA"/>
        </w:rPr>
        <w:t xml:space="preserve">however, </w:t>
      </w:r>
      <w:r w:rsidRPr="00D01373">
        <w:rPr>
          <w:rFonts w:eastAsiaTheme="minorHAnsi" w:cstheme="minorBidi"/>
          <w:szCs w:val="22"/>
          <w:lang w:bidi="ar-SA"/>
        </w:rPr>
        <w:t xml:space="preserve">there was no association in the range of 270 ng/mL </w:t>
      </w:r>
      <w:r w:rsidR="009F1102" w:rsidRPr="00D01373">
        <w:rPr>
          <w:rFonts w:eastAsiaTheme="minorHAnsi" w:cstheme="minorBidi"/>
          <w:szCs w:val="22"/>
          <w:lang w:bidi="ar-SA"/>
        </w:rPr>
        <w:t>to</w:t>
      </w:r>
      <w:r w:rsidRPr="00D01373">
        <w:rPr>
          <w:rFonts w:eastAsiaTheme="minorHAnsi" w:cstheme="minorBidi"/>
          <w:szCs w:val="22"/>
          <w:lang w:bidi="ar-SA"/>
        </w:rPr>
        <w:t xml:space="preserve"> 1190 ng/mL</w:t>
      </w:r>
      <w:r w:rsidR="006333FD" w:rsidRPr="00D01373">
        <w:rPr>
          <w:rFonts w:eastAsiaTheme="minorHAnsi" w:cstheme="minorBidi"/>
          <w:szCs w:val="22"/>
          <w:lang w:bidi="ar-SA"/>
        </w:rPr>
        <w:t xml:space="preserve"> followed by an increase</w:t>
      </w:r>
      <w:r w:rsidRPr="00D01373">
        <w:rPr>
          <w:rFonts w:eastAsiaTheme="minorHAnsi" w:cstheme="minorBidi"/>
          <w:szCs w:val="22"/>
          <w:lang w:bidi="ar-SA"/>
        </w:rPr>
        <w:t xml:space="preserve">. </w:t>
      </w:r>
      <w:r w:rsidR="00311E79">
        <w:rPr>
          <w:rFonts w:eastAsiaTheme="minorHAnsi" w:cstheme="minorBidi"/>
          <w:szCs w:val="22"/>
          <w:lang w:bidi="ar-SA"/>
        </w:rPr>
        <w:t>T</w:t>
      </w:r>
      <w:r w:rsidRPr="00D01373">
        <w:rPr>
          <w:rFonts w:eastAsiaTheme="minorHAnsi" w:cstheme="minorBidi"/>
          <w:szCs w:val="22"/>
          <w:lang w:bidi="ar-SA"/>
        </w:rPr>
        <w:t>hese variations may reflect random variation around a null effect</w:t>
      </w:r>
      <w:r w:rsidR="00311E79">
        <w:rPr>
          <w:rFonts w:eastAsiaTheme="minorHAnsi" w:cstheme="minorBidi"/>
          <w:szCs w:val="22"/>
          <w:lang w:bidi="ar-SA"/>
        </w:rPr>
        <w:t xml:space="preserve"> or plateau at higher concentrations</w:t>
      </w:r>
      <w:r w:rsidRPr="00D01373">
        <w:rPr>
          <w:rFonts w:eastAsiaTheme="minorHAnsi" w:cstheme="minorBidi"/>
          <w:szCs w:val="22"/>
          <w:lang w:bidi="ar-SA"/>
        </w:rPr>
        <w:t>.</w:t>
      </w:r>
    </w:p>
    <w:p w14:paraId="38A1D44B" w14:textId="77777777" w:rsidR="00F8101A" w:rsidRPr="00D01373" w:rsidRDefault="00F8101A" w:rsidP="00A111E9">
      <w:pPr>
        <w:widowControl/>
        <w:rPr>
          <w:rFonts w:eastAsiaTheme="minorHAnsi" w:cstheme="minorBidi"/>
          <w:szCs w:val="22"/>
          <w:lang w:bidi="ar-SA"/>
        </w:rPr>
      </w:pPr>
    </w:p>
    <w:p w14:paraId="335A2281" w14:textId="63F2670C"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t xml:space="preserve">Three of the four studies measuring total-C </w:t>
      </w:r>
      <w:r w:rsidR="00340A26">
        <w:rPr>
          <w:rFonts w:eastAsiaTheme="minorHAnsi" w:cstheme="minorBidi"/>
          <w:szCs w:val="22"/>
          <w:lang w:bidi="ar-SA"/>
        </w:rPr>
        <w:t xml:space="preserve">also </w:t>
      </w:r>
      <w:r w:rsidRPr="00D01373">
        <w:rPr>
          <w:rFonts w:eastAsiaTheme="minorHAnsi" w:cstheme="minorBidi"/>
          <w:szCs w:val="22"/>
          <w:lang w:bidi="ar-SA"/>
        </w:rPr>
        <w:t xml:space="preserve">reported LDL-C data. Two of these found that LDL-C increased in parallel and to much the same extent as total-C whereas Chateau-Degat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 xml:space="preserve">(2010) found a much lower increase in LDL-C (Figure </w:t>
      </w:r>
      <w:r w:rsidR="00C52465" w:rsidRPr="00D01373">
        <w:rPr>
          <w:rFonts w:eastAsiaTheme="minorHAnsi" w:cstheme="minorBidi"/>
          <w:szCs w:val="22"/>
          <w:lang w:bidi="ar-SA"/>
        </w:rPr>
        <w:t>A2.</w:t>
      </w:r>
      <w:r w:rsidRPr="00D01373">
        <w:rPr>
          <w:rFonts w:eastAsiaTheme="minorHAnsi" w:cstheme="minorBidi"/>
          <w:szCs w:val="22"/>
          <w:lang w:bidi="ar-SA"/>
        </w:rPr>
        <w:t xml:space="preserve">7B). Chateau-Degat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(2010) examined an Inuit population who had high consumption of fish; however</w:t>
      </w:r>
      <w:r w:rsidR="007F02A2">
        <w:rPr>
          <w:rFonts w:eastAsiaTheme="minorHAnsi" w:cstheme="minorBidi"/>
          <w:szCs w:val="22"/>
          <w:lang w:bidi="ar-SA"/>
        </w:rPr>
        <w:t>,</w:t>
      </w:r>
      <w:r w:rsidRPr="00D01373">
        <w:rPr>
          <w:rFonts w:eastAsiaTheme="minorHAnsi" w:cstheme="minorBidi"/>
          <w:szCs w:val="22"/>
          <w:lang w:bidi="ar-SA"/>
        </w:rPr>
        <w:t xml:space="preserve"> long-chain omega-3 fatty acids are generally thought to affect triglyceride concentration rather than choleste</w:t>
      </w:r>
      <w:r w:rsidR="007E6400" w:rsidRPr="00D01373">
        <w:rPr>
          <w:rFonts w:eastAsiaTheme="minorHAnsi" w:cstheme="minorBidi"/>
          <w:szCs w:val="22"/>
          <w:lang w:bidi="ar-SA"/>
        </w:rPr>
        <w:t xml:space="preserve">rol concentration (Nestel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2015)</w:t>
      </w:r>
      <w:r w:rsidR="00311E79">
        <w:rPr>
          <w:rFonts w:eastAsiaTheme="minorHAnsi" w:cstheme="minorBidi"/>
          <w:szCs w:val="22"/>
          <w:lang w:bidi="ar-SA"/>
        </w:rPr>
        <w:t xml:space="preserve"> and so this would not seem to explain the relatively small difference in LDL-C</w:t>
      </w:r>
      <w:r w:rsidRPr="00D01373">
        <w:rPr>
          <w:rFonts w:eastAsiaTheme="minorHAnsi" w:cstheme="minorBidi"/>
          <w:szCs w:val="22"/>
          <w:lang w:bidi="ar-SA"/>
        </w:rPr>
        <w:t xml:space="preserve">. Olsen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(2003) d</w:t>
      </w:r>
      <w:r w:rsidR="00340A26">
        <w:rPr>
          <w:rFonts w:eastAsiaTheme="minorHAnsi" w:cstheme="minorBidi"/>
          <w:szCs w:val="22"/>
          <w:lang w:bidi="ar-SA"/>
        </w:rPr>
        <w:t xml:space="preserve">id </w:t>
      </w:r>
      <w:r w:rsidRPr="00D01373">
        <w:rPr>
          <w:rFonts w:eastAsiaTheme="minorHAnsi" w:cstheme="minorBidi"/>
          <w:szCs w:val="22"/>
          <w:lang w:bidi="ar-SA"/>
        </w:rPr>
        <w:t>not report measur</w:t>
      </w:r>
      <w:r w:rsidR="00340A26">
        <w:rPr>
          <w:rFonts w:eastAsiaTheme="minorHAnsi" w:cstheme="minorBidi"/>
          <w:szCs w:val="22"/>
          <w:lang w:bidi="ar-SA"/>
        </w:rPr>
        <w:t>ing</w:t>
      </w:r>
      <w:r w:rsidRPr="00D01373">
        <w:rPr>
          <w:rFonts w:eastAsiaTheme="minorHAnsi" w:cstheme="minorBidi"/>
          <w:szCs w:val="22"/>
          <w:lang w:bidi="ar-SA"/>
        </w:rPr>
        <w:t xml:space="preserve"> LDL-C.</w:t>
      </w:r>
      <w:r w:rsidR="00311E79">
        <w:rPr>
          <w:rFonts w:eastAsiaTheme="minorHAnsi" w:cstheme="minorBidi"/>
          <w:szCs w:val="22"/>
          <w:lang w:bidi="ar-SA"/>
        </w:rPr>
        <w:t xml:space="preserve"> Studies examining HDL-C reported results varying around a null effect (</w:t>
      </w:r>
      <w:r w:rsidR="0002067B">
        <w:rPr>
          <w:rFonts w:eastAsiaTheme="minorHAnsi" w:cstheme="minorBidi"/>
          <w:szCs w:val="22"/>
          <w:lang w:bidi="ar-SA"/>
        </w:rPr>
        <w:t>Figure A2.8).</w:t>
      </w:r>
      <w:r w:rsidRPr="00D01373">
        <w:rPr>
          <w:rFonts w:eastAsiaTheme="minorHAnsi" w:cstheme="minorBidi"/>
          <w:szCs w:val="22"/>
          <w:lang w:bidi="ar-SA"/>
        </w:rPr>
        <w:t xml:space="preserve"> The studies which could not be graphed are general</w:t>
      </w:r>
      <w:r w:rsidR="00340A26">
        <w:rPr>
          <w:rFonts w:eastAsiaTheme="minorHAnsi" w:cstheme="minorBidi"/>
          <w:szCs w:val="22"/>
          <w:lang w:bidi="ar-SA"/>
        </w:rPr>
        <w:t>ly</w:t>
      </w:r>
      <w:r w:rsidRPr="00D01373">
        <w:rPr>
          <w:rFonts w:eastAsiaTheme="minorHAnsi" w:cstheme="minorBidi"/>
          <w:szCs w:val="22"/>
          <w:lang w:bidi="ar-SA"/>
        </w:rPr>
        <w:t xml:space="preserve"> consistent with the graphed results in </w:t>
      </w:r>
      <w:r w:rsidRPr="00D01373">
        <w:rPr>
          <w:rFonts w:eastAsiaTheme="minorHAnsi" w:cstheme="minorBidi"/>
          <w:szCs w:val="22"/>
          <w:lang w:bidi="ar-SA"/>
        </w:rPr>
        <w:lastRenderedPageBreak/>
        <w:t>showing that total-C and LDL-C are positively associated with PFOS in the low concentration range and that HDL-C has little or no association.</w:t>
      </w:r>
    </w:p>
    <w:p w14:paraId="23EA7FDD" w14:textId="77777777"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br w:type="page"/>
      </w:r>
      <w:r w:rsidRPr="00D01373">
        <w:rPr>
          <w:rFonts w:eastAsiaTheme="minorHAnsi" w:cstheme="minorBidi"/>
          <w:szCs w:val="22"/>
          <w:lang w:bidi="ar-SA"/>
        </w:rPr>
        <w:lastRenderedPageBreak/>
        <w:t>A</w:t>
      </w:r>
    </w:p>
    <w:p w14:paraId="76380252" w14:textId="77777777" w:rsidR="00F8101A" w:rsidRPr="00D01373" w:rsidRDefault="00F8101A" w:rsidP="00A111E9">
      <w:pPr>
        <w:widowControl/>
        <w:rPr>
          <w:rFonts w:eastAsiaTheme="minorHAnsi" w:cstheme="minorBidi"/>
          <w:szCs w:val="22"/>
          <w:lang w:bidi="ar-SA"/>
        </w:rPr>
      </w:pPr>
      <w:r w:rsidRPr="00D01373">
        <w:rPr>
          <w:rFonts w:eastAsiaTheme="minorHAnsi" w:cstheme="minorBidi"/>
          <w:noProof/>
          <w:szCs w:val="22"/>
          <w:lang w:eastAsia="en-GB" w:bidi="ar-SA"/>
        </w:rPr>
        <w:drawing>
          <wp:inline distT="0" distB="0" distL="0" distR="0" wp14:anchorId="7ACDCAEE" wp14:editId="68EBD9EB">
            <wp:extent cx="5702969" cy="2610853"/>
            <wp:effectExtent l="0" t="0" r="0" b="5715"/>
            <wp:docPr id="27" name="Picture 27" title="Figure A2.6 Association between PFOS and serum total cholesterol concentrations in adults A: papers which provided enough information to graph their results B: magnified view of the low PFOA concentration range; C: tabulation of results reported in paper which provided insufficient data for graphical presen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00778" cy="2609850"/>
                    </a:xfrm>
                    <a:prstGeom prst="rect">
                      <a:avLst/>
                    </a:prstGeom>
                  </pic:spPr>
                </pic:pic>
              </a:graphicData>
            </a:graphic>
          </wp:inline>
        </w:drawing>
      </w:r>
    </w:p>
    <w:p w14:paraId="5DBDF71A" w14:textId="77777777"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t>B</w:t>
      </w:r>
    </w:p>
    <w:p w14:paraId="5BBD8F43" w14:textId="77777777" w:rsidR="00F8101A" w:rsidRPr="00D01373" w:rsidRDefault="00F8101A" w:rsidP="00A111E9">
      <w:pPr>
        <w:widowControl/>
        <w:rPr>
          <w:rFonts w:eastAsiaTheme="minorHAnsi" w:cstheme="minorBidi"/>
          <w:szCs w:val="22"/>
          <w:lang w:bidi="ar-SA"/>
        </w:rPr>
      </w:pPr>
      <w:r w:rsidRPr="00D01373">
        <w:rPr>
          <w:rFonts w:eastAsiaTheme="minorHAnsi" w:cstheme="minorBidi"/>
          <w:noProof/>
          <w:szCs w:val="22"/>
          <w:lang w:eastAsia="en-GB" w:bidi="ar-SA"/>
        </w:rPr>
        <w:drawing>
          <wp:inline distT="0" distB="0" distL="0" distR="0" wp14:anchorId="42B79F19" wp14:editId="06DAC721">
            <wp:extent cx="5276850" cy="2705100"/>
            <wp:effectExtent l="0" t="0" r="6350" b="12700"/>
            <wp:docPr id="28" name="Picture 28" title="Figure A2.6 Association between PFOS and serum total cholesterol concentrations in adults A: papers which provided enough information to graph their results B: magnified view of the low PFOA concentration range; C: tabulation of results reported in paper which provided insufficient data for graphical presen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276850" cy="2705100"/>
                    </a:xfrm>
                    <a:prstGeom prst="rect">
                      <a:avLst/>
                    </a:prstGeom>
                  </pic:spPr>
                </pic:pic>
              </a:graphicData>
            </a:graphic>
          </wp:inline>
        </w:drawing>
      </w:r>
    </w:p>
    <w:p w14:paraId="122DEFFC" w14:textId="77777777"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t>C</w:t>
      </w:r>
    </w:p>
    <w:tbl>
      <w:tblPr>
        <w:tblStyle w:val="TableGrid10"/>
        <w:tblW w:w="0" w:type="auto"/>
        <w:tblLook w:val="04A0" w:firstRow="1" w:lastRow="0" w:firstColumn="1" w:lastColumn="0" w:noHBand="0" w:noVBand="1"/>
        <w:tblCaption w:val="Figure C: tabulation of results reported in paper which provided insufficient data for graphical presentation"/>
        <w:tblDescription w:val="This table contains data relating to the tabulation of results reported in paper which provided insufficient data for graphical presentation."/>
      </w:tblPr>
      <w:tblGrid>
        <w:gridCol w:w="1526"/>
        <w:gridCol w:w="3402"/>
        <w:gridCol w:w="4358"/>
      </w:tblGrid>
      <w:tr w:rsidR="00F8101A" w:rsidRPr="00D01373" w14:paraId="480AF477" w14:textId="77777777" w:rsidTr="000830C5">
        <w:trPr>
          <w:tblHeader/>
        </w:trPr>
        <w:tc>
          <w:tcPr>
            <w:tcW w:w="1526" w:type="dxa"/>
            <w:shd w:val="clear" w:color="auto" w:fill="F2F2F2" w:themeFill="background1" w:themeFillShade="F2"/>
          </w:tcPr>
          <w:p w14:paraId="075C4694" w14:textId="77777777" w:rsidR="00F8101A" w:rsidRPr="00D01373" w:rsidRDefault="00F8101A" w:rsidP="00A111E9">
            <w:pPr>
              <w:widowControl/>
              <w:rPr>
                <w:rFonts w:eastAsiaTheme="minorHAnsi"/>
                <w:b/>
                <w:sz w:val="20"/>
              </w:rPr>
            </w:pPr>
            <w:r w:rsidRPr="00D01373">
              <w:rPr>
                <w:rFonts w:eastAsiaTheme="minorHAnsi"/>
                <w:b/>
                <w:sz w:val="20"/>
              </w:rPr>
              <w:t>Author</w:t>
            </w:r>
          </w:p>
        </w:tc>
        <w:tc>
          <w:tcPr>
            <w:tcW w:w="3402" w:type="dxa"/>
            <w:shd w:val="clear" w:color="auto" w:fill="F2F2F2" w:themeFill="background1" w:themeFillShade="F2"/>
          </w:tcPr>
          <w:p w14:paraId="7A0C5FCC" w14:textId="77777777" w:rsidR="00F8101A" w:rsidRPr="00D01373" w:rsidRDefault="00F8101A" w:rsidP="00A111E9">
            <w:pPr>
              <w:widowControl/>
              <w:rPr>
                <w:rFonts w:eastAsiaTheme="minorHAnsi"/>
                <w:b/>
                <w:sz w:val="20"/>
              </w:rPr>
            </w:pPr>
            <w:r w:rsidRPr="00D01373">
              <w:rPr>
                <w:rFonts w:eastAsiaTheme="minorHAnsi"/>
                <w:b/>
                <w:sz w:val="20"/>
              </w:rPr>
              <w:t>Range of PFOS concentration in population</w:t>
            </w:r>
            <w:r w:rsidRPr="00D01373">
              <w:rPr>
                <w:rFonts w:eastAsiaTheme="minorHAnsi"/>
                <w:b/>
                <w:color w:val="FF0000"/>
                <w:sz w:val="20"/>
              </w:rPr>
              <w:t xml:space="preserve"> </w:t>
            </w:r>
          </w:p>
        </w:tc>
        <w:tc>
          <w:tcPr>
            <w:tcW w:w="4358" w:type="dxa"/>
            <w:shd w:val="clear" w:color="auto" w:fill="F2F2F2" w:themeFill="background1" w:themeFillShade="F2"/>
          </w:tcPr>
          <w:p w14:paraId="47C4129D" w14:textId="77777777" w:rsidR="00F8101A" w:rsidRPr="00D01373" w:rsidRDefault="00F8101A" w:rsidP="00A111E9">
            <w:pPr>
              <w:widowControl/>
              <w:rPr>
                <w:rFonts w:eastAsiaTheme="minorHAnsi"/>
                <w:b/>
                <w:sz w:val="20"/>
              </w:rPr>
            </w:pPr>
            <w:r w:rsidRPr="00D01373">
              <w:rPr>
                <w:rFonts w:eastAsiaTheme="minorHAnsi"/>
                <w:b/>
                <w:sz w:val="20"/>
              </w:rPr>
              <w:t>Description of association</w:t>
            </w:r>
          </w:p>
        </w:tc>
      </w:tr>
      <w:tr w:rsidR="00F8101A" w:rsidRPr="00D01373" w14:paraId="55A61F06" w14:textId="77777777" w:rsidTr="00F6284E">
        <w:tc>
          <w:tcPr>
            <w:tcW w:w="1526" w:type="dxa"/>
            <w:vAlign w:val="center"/>
          </w:tcPr>
          <w:p w14:paraId="1BBB59ED" w14:textId="684E1652" w:rsidR="007E6400" w:rsidRPr="00D01373" w:rsidRDefault="007E6400" w:rsidP="00A111E9">
            <w:pPr>
              <w:widowControl/>
              <w:rPr>
                <w:rFonts w:eastAsiaTheme="minorHAnsi"/>
                <w:sz w:val="18"/>
              </w:rPr>
            </w:pPr>
            <w:r w:rsidRPr="00D01373">
              <w:rPr>
                <w:rFonts w:eastAsiaTheme="minorHAnsi"/>
                <w:sz w:val="18"/>
              </w:rPr>
              <w:t xml:space="preserve">Fisher </w:t>
            </w:r>
            <w:r w:rsidR="00180A32" w:rsidRPr="00180A32">
              <w:rPr>
                <w:rFonts w:eastAsiaTheme="minorHAnsi"/>
                <w:i/>
                <w:sz w:val="18"/>
              </w:rPr>
              <w:t xml:space="preserve">et al. </w:t>
            </w:r>
          </w:p>
          <w:p w14:paraId="6751547E" w14:textId="56B292EC" w:rsidR="00F8101A" w:rsidRPr="00D01373" w:rsidRDefault="00F8101A" w:rsidP="00A111E9">
            <w:pPr>
              <w:widowControl/>
              <w:rPr>
                <w:rFonts w:eastAsiaTheme="minorHAnsi"/>
                <w:sz w:val="18"/>
              </w:rPr>
            </w:pPr>
            <w:r w:rsidRPr="00D01373">
              <w:rPr>
                <w:rFonts w:eastAsiaTheme="minorHAnsi"/>
                <w:sz w:val="18"/>
              </w:rPr>
              <w:t>2013</w:t>
            </w:r>
          </w:p>
        </w:tc>
        <w:tc>
          <w:tcPr>
            <w:tcW w:w="3402" w:type="dxa"/>
            <w:vAlign w:val="center"/>
          </w:tcPr>
          <w:p w14:paraId="362348C1" w14:textId="77A684FD" w:rsidR="00F8101A" w:rsidRPr="00D01373" w:rsidRDefault="00F8101A" w:rsidP="00A111E9">
            <w:pPr>
              <w:widowControl/>
              <w:tabs>
                <w:tab w:val="left" w:pos="2505"/>
              </w:tabs>
              <w:rPr>
                <w:rFonts w:eastAsiaTheme="minorHAnsi"/>
                <w:sz w:val="18"/>
              </w:rPr>
            </w:pPr>
            <w:r w:rsidRPr="00D01373">
              <w:rPr>
                <w:rFonts w:eastAsiaTheme="minorHAnsi"/>
                <w:sz w:val="18"/>
              </w:rPr>
              <w:t>25</w:t>
            </w:r>
            <w:r w:rsidRPr="00D01373">
              <w:rPr>
                <w:rFonts w:eastAsiaTheme="minorHAnsi"/>
                <w:sz w:val="18"/>
                <w:vertAlign w:val="superscript"/>
              </w:rPr>
              <w:t>th</w:t>
            </w:r>
            <w:r w:rsidRPr="00D01373">
              <w:rPr>
                <w:rFonts w:eastAsiaTheme="minorHAnsi"/>
                <w:sz w:val="18"/>
              </w:rPr>
              <w:t xml:space="preserve"> centile: </w:t>
            </w:r>
            <w:r w:rsidR="004461DC">
              <w:rPr>
                <w:rFonts w:eastAsiaTheme="minorHAnsi"/>
                <w:sz w:val="18"/>
              </w:rPr>
              <w:t xml:space="preserve"> 5.42</w:t>
            </w:r>
            <w:r w:rsidRPr="00D01373">
              <w:rPr>
                <w:rFonts w:eastAsiaTheme="minorHAnsi"/>
                <w:sz w:val="18"/>
              </w:rPr>
              <w:t xml:space="preserve"> ng/mL</w:t>
            </w:r>
            <w:r w:rsidRPr="00D01373">
              <w:rPr>
                <w:rFonts w:eastAsiaTheme="minorHAnsi"/>
                <w:sz w:val="18"/>
              </w:rPr>
              <w:tab/>
            </w:r>
          </w:p>
          <w:p w14:paraId="02AAEBEF" w14:textId="4A48DDD0" w:rsidR="00F8101A" w:rsidRPr="00D01373" w:rsidRDefault="00F8101A" w:rsidP="00A111E9">
            <w:pPr>
              <w:widowControl/>
              <w:rPr>
                <w:rFonts w:eastAsiaTheme="minorHAnsi"/>
                <w:sz w:val="18"/>
              </w:rPr>
            </w:pPr>
            <w:r w:rsidRPr="00D01373">
              <w:rPr>
                <w:rFonts w:eastAsiaTheme="minorHAnsi"/>
                <w:sz w:val="18"/>
              </w:rPr>
              <w:t xml:space="preserve">Median: </w:t>
            </w:r>
            <w:r w:rsidR="004461DC">
              <w:rPr>
                <w:rFonts w:eastAsiaTheme="minorHAnsi"/>
                <w:sz w:val="18"/>
              </w:rPr>
              <w:t>8.54</w:t>
            </w:r>
            <w:r w:rsidRPr="00D01373">
              <w:rPr>
                <w:rFonts w:eastAsiaTheme="minorHAnsi"/>
                <w:sz w:val="18"/>
              </w:rPr>
              <w:t xml:space="preserve"> ng/mL</w:t>
            </w:r>
          </w:p>
          <w:p w14:paraId="7229DECD" w14:textId="687250CC" w:rsidR="00F8101A" w:rsidRPr="00D01373" w:rsidRDefault="00F8101A" w:rsidP="00A111E9">
            <w:pPr>
              <w:widowControl/>
              <w:rPr>
                <w:rFonts w:eastAsiaTheme="minorHAnsi"/>
                <w:sz w:val="18"/>
              </w:rPr>
            </w:pPr>
            <w:r w:rsidRPr="00D01373">
              <w:rPr>
                <w:rFonts w:eastAsiaTheme="minorHAnsi"/>
                <w:sz w:val="18"/>
              </w:rPr>
              <w:t>75</w:t>
            </w:r>
            <w:r w:rsidRPr="00D01373">
              <w:rPr>
                <w:rFonts w:eastAsiaTheme="minorHAnsi"/>
                <w:sz w:val="18"/>
                <w:vertAlign w:val="superscript"/>
              </w:rPr>
              <w:t>th</w:t>
            </w:r>
            <w:r w:rsidRPr="00D01373">
              <w:rPr>
                <w:rFonts w:eastAsiaTheme="minorHAnsi"/>
                <w:sz w:val="18"/>
              </w:rPr>
              <w:t xml:space="preserve"> centile: </w:t>
            </w:r>
            <w:r w:rsidR="004461DC">
              <w:rPr>
                <w:rFonts w:eastAsiaTheme="minorHAnsi"/>
                <w:sz w:val="18"/>
              </w:rPr>
              <w:t>12.91</w:t>
            </w:r>
            <w:r w:rsidRPr="00D01373">
              <w:rPr>
                <w:rFonts w:eastAsiaTheme="minorHAnsi"/>
                <w:sz w:val="18"/>
              </w:rPr>
              <w:t xml:space="preserve"> ng/mL</w:t>
            </w:r>
          </w:p>
          <w:p w14:paraId="4B555A68" w14:textId="77777777" w:rsidR="00F8101A" w:rsidRPr="00D01373" w:rsidRDefault="00F8101A" w:rsidP="00A111E9">
            <w:pPr>
              <w:widowControl/>
              <w:rPr>
                <w:rFonts w:eastAsiaTheme="minorHAnsi"/>
                <w:sz w:val="18"/>
              </w:rPr>
            </w:pPr>
          </w:p>
        </w:tc>
        <w:tc>
          <w:tcPr>
            <w:tcW w:w="4358" w:type="dxa"/>
            <w:vAlign w:val="center"/>
          </w:tcPr>
          <w:p w14:paraId="247A22D2" w14:textId="77777777" w:rsidR="00F8101A" w:rsidRPr="00D01373" w:rsidRDefault="00F8101A" w:rsidP="00A111E9">
            <w:pPr>
              <w:widowControl/>
              <w:rPr>
                <w:rFonts w:eastAsiaTheme="minorHAnsi"/>
                <w:sz w:val="18"/>
              </w:rPr>
            </w:pPr>
            <w:r w:rsidRPr="00D01373">
              <w:rPr>
                <w:rFonts w:eastAsiaTheme="minorHAnsi"/>
                <w:sz w:val="18"/>
              </w:rPr>
              <w:t>Adjusted difference: 0.014 log units of total-C (mmol/L) per log unit of PFOS (ng/mL)</w:t>
            </w:r>
          </w:p>
          <w:p w14:paraId="7C96A05C" w14:textId="77777777" w:rsidR="00F8101A" w:rsidRPr="00D01373" w:rsidRDefault="00F8101A" w:rsidP="00A111E9">
            <w:pPr>
              <w:widowControl/>
              <w:rPr>
                <w:rFonts w:eastAsiaTheme="minorHAnsi"/>
                <w:sz w:val="18"/>
              </w:rPr>
            </w:pPr>
          </w:p>
          <w:p w14:paraId="3992F3F7" w14:textId="77777777" w:rsidR="00F8101A" w:rsidRPr="00D01373" w:rsidRDefault="00F8101A" w:rsidP="00A111E9">
            <w:pPr>
              <w:widowControl/>
              <w:rPr>
                <w:rFonts w:eastAsiaTheme="minorHAnsi"/>
                <w:sz w:val="18"/>
              </w:rPr>
            </w:pPr>
            <w:r w:rsidRPr="00D01373">
              <w:rPr>
                <w:rFonts w:eastAsiaTheme="minorHAnsi"/>
                <w:sz w:val="18"/>
              </w:rPr>
              <w:t>Base used for log transformation not described</w:t>
            </w:r>
          </w:p>
        </w:tc>
      </w:tr>
      <w:tr w:rsidR="00F8101A" w:rsidRPr="00D01373" w14:paraId="4C557B49" w14:textId="77777777" w:rsidTr="00F6284E">
        <w:tc>
          <w:tcPr>
            <w:tcW w:w="1526" w:type="dxa"/>
            <w:vAlign w:val="center"/>
          </w:tcPr>
          <w:p w14:paraId="61011048" w14:textId="281F1FF5" w:rsidR="00F8101A" w:rsidRPr="00D01373" w:rsidRDefault="007E6400" w:rsidP="00A111E9">
            <w:pPr>
              <w:widowControl/>
              <w:rPr>
                <w:rFonts w:eastAsiaTheme="minorHAnsi"/>
                <w:sz w:val="18"/>
              </w:rPr>
            </w:pPr>
            <w:r w:rsidRPr="00D01373">
              <w:rPr>
                <w:rFonts w:eastAsiaTheme="minorHAnsi"/>
                <w:sz w:val="18"/>
              </w:rPr>
              <w:t xml:space="preserve">Fu </w:t>
            </w:r>
            <w:r w:rsidR="00180A32" w:rsidRPr="00180A32">
              <w:rPr>
                <w:rFonts w:eastAsiaTheme="minorHAnsi"/>
                <w:i/>
                <w:sz w:val="18"/>
              </w:rPr>
              <w:t xml:space="preserve">et al. </w:t>
            </w:r>
            <w:r w:rsidR="00CC50B8">
              <w:rPr>
                <w:rFonts w:eastAsiaTheme="minorHAnsi"/>
                <w:sz w:val="18"/>
              </w:rPr>
              <w:t xml:space="preserve"> </w:t>
            </w:r>
            <w:r w:rsidR="00F8101A" w:rsidRPr="00D01373">
              <w:rPr>
                <w:rFonts w:eastAsiaTheme="minorHAnsi"/>
                <w:sz w:val="18"/>
              </w:rPr>
              <w:t>2014</w:t>
            </w:r>
          </w:p>
          <w:p w14:paraId="00DA719A" w14:textId="77777777" w:rsidR="00F8101A" w:rsidRPr="00D01373" w:rsidRDefault="00F8101A" w:rsidP="00A111E9">
            <w:pPr>
              <w:widowControl/>
              <w:rPr>
                <w:rFonts w:eastAsiaTheme="minorHAnsi"/>
                <w:sz w:val="18"/>
              </w:rPr>
            </w:pPr>
          </w:p>
        </w:tc>
        <w:tc>
          <w:tcPr>
            <w:tcW w:w="3402" w:type="dxa"/>
            <w:vAlign w:val="center"/>
          </w:tcPr>
          <w:p w14:paraId="5744D372" w14:textId="049292F5" w:rsidR="00F8101A" w:rsidRPr="00D01373" w:rsidRDefault="00F8101A" w:rsidP="00A111E9">
            <w:pPr>
              <w:widowControl/>
              <w:rPr>
                <w:rFonts w:eastAsiaTheme="minorHAnsi"/>
                <w:sz w:val="18"/>
              </w:rPr>
            </w:pPr>
            <w:r w:rsidRPr="00D01373">
              <w:rPr>
                <w:rFonts w:eastAsiaTheme="minorHAnsi"/>
                <w:sz w:val="18"/>
              </w:rPr>
              <w:t>Lowest quartile: median 0.</w:t>
            </w:r>
            <w:r w:rsidR="008144B2">
              <w:rPr>
                <w:rFonts w:eastAsiaTheme="minorHAnsi"/>
                <w:sz w:val="18"/>
              </w:rPr>
              <w:t>6</w:t>
            </w:r>
            <w:r w:rsidRPr="00D01373">
              <w:rPr>
                <w:rFonts w:eastAsiaTheme="minorHAnsi"/>
                <w:sz w:val="18"/>
              </w:rPr>
              <w:t xml:space="preserve"> ng/mL</w:t>
            </w:r>
          </w:p>
          <w:p w14:paraId="0670A698" w14:textId="77777777" w:rsidR="00F8101A" w:rsidRPr="00D01373" w:rsidRDefault="00F8101A" w:rsidP="00A111E9">
            <w:pPr>
              <w:widowControl/>
              <w:rPr>
                <w:rFonts w:eastAsiaTheme="minorHAnsi"/>
                <w:sz w:val="18"/>
              </w:rPr>
            </w:pPr>
            <w:r w:rsidRPr="00D01373">
              <w:rPr>
                <w:rFonts w:eastAsiaTheme="minorHAnsi"/>
                <w:sz w:val="18"/>
              </w:rPr>
              <w:t>Highest quartile: median 2.6 ng/mL</w:t>
            </w:r>
          </w:p>
        </w:tc>
        <w:tc>
          <w:tcPr>
            <w:tcW w:w="4358" w:type="dxa"/>
            <w:vAlign w:val="center"/>
          </w:tcPr>
          <w:p w14:paraId="2AB3BC8F" w14:textId="77777777" w:rsidR="00F8101A" w:rsidRPr="00D01373" w:rsidRDefault="00F8101A" w:rsidP="00A111E9">
            <w:pPr>
              <w:widowControl/>
              <w:rPr>
                <w:rFonts w:eastAsiaTheme="minorHAnsi"/>
                <w:sz w:val="18"/>
              </w:rPr>
            </w:pPr>
            <w:r w:rsidRPr="00D01373">
              <w:rPr>
                <w:rFonts w:eastAsiaTheme="minorHAnsi"/>
                <w:sz w:val="18"/>
              </w:rPr>
              <w:t>Total-C ~0.2 natural log mmol/L total-C in highest vs lowest quartile</w:t>
            </w:r>
          </w:p>
        </w:tc>
      </w:tr>
      <w:tr w:rsidR="00F8101A" w:rsidRPr="00D01373" w14:paraId="638AC11F" w14:textId="77777777" w:rsidTr="00F6284E">
        <w:tc>
          <w:tcPr>
            <w:tcW w:w="1526" w:type="dxa"/>
            <w:vAlign w:val="center"/>
          </w:tcPr>
          <w:p w14:paraId="06678859" w14:textId="719C05C0" w:rsidR="00F8101A" w:rsidRPr="00D01373" w:rsidRDefault="007E6400" w:rsidP="00A111E9">
            <w:pPr>
              <w:widowControl/>
              <w:rPr>
                <w:rFonts w:eastAsiaTheme="minorHAnsi"/>
                <w:sz w:val="18"/>
              </w:rPr>
            </w:pPr>
            <w:r w:rsidRPr="00D01373">
              <w:rPr>
                <w:rFonts w:eastAsiaTheme="minorHAnsi"/>
                <w:sz w:val="18"/>
              </w:rPr>
              <w:t xml:space="preserve">Christiansen </w:t>
            </w:r>
            <w:r w:rsidR="00180A32" w:rsidRPr="00180A32">
              <w:rPr>
                <w:rFonts w:eastAsiaTheme="minorHAnsi"/>
                <w:i/>
                <w:sz w:val="18"/>
              </w:rPr>
              <w:t xml:space="preserve">et al. </w:t>
            </w:r>
            <w:r w:rsidR="00CC50B8">
              <w:rPr>
                <w:rFonts w:eastAsiaTheme="minorHAnsi"/>
                <w:sz w:val="18"/>
              </w:rPr>
              <w:t xml:space="preserve"> </w:t>
            </w:r>
            <w:r w:rsidR="00F8101A" w:rsidRPr="00D01373">
              <w:rPr>
                <w:rFonts w:eastAsiaTheme="minorHAnsi"/>
                <w:sz w:val="18"/>
              </w:rPr>
              <w:t>2016</w:t>
            </w:r>
          </w:p>
        </w:tc>
        <w:tc>
          <w:tcPr>
            <w:tcW w:w="3402" w:type="dxa"/>
            <w:vAlign w:val="center"/>
          </w:tcPr>
          <w:p w14:paraId="4CE6763A" w14:textId="77777777" w:rsidR="00F8101A" w:rsidRPr="00D01373" w:rsidRDefault="00F8101A" w:rsidP="00A111E9">
            <w:pPr>
              <w:widowControl/>
              <w:rPr>
                <w:rFonts w:eastAsiaTheme="minorHAnsi"/>
                <w:sz w:val="18"/>
              </w:rPr>
            </w:pPr>
            <w:r w:rsidRPr="00D01373">
              <w:rPr>
                <w:rFonts w:eastAsiaTheme="minorHAnsi"/>
                <w:sz w:val="18"/>
              </w:rPr>
              <w:t>Median 19.00 ng/dL</w:t>
            </w:r>
          </w:p>
          <w:p w14:paraId="40527C3E" w14:textId="77777777" w:rsidR="00F8101A" w:rsidRPr="00D01373" w:rsidRDefault="00F8101A" w:rsidP="00A111E9">
            <w:pPr>
              <w:widowControl/>
              <w:rPr>
                <w:rFonts w:eastAsiaTheme="minorHAnsi"/>
                <w:sz w:val="18"/>
              </w:rPr>
            </w:pPr>
            <w:r w:rsidRPr="00D01373">
              <w:rPr>
                <w:rFonts w:eastAsiaTheme="minorHAnsi"/>
                <w:sz w:val="18"/>
              </w:rPr>
              <w:t>25</w:t>
            </w:r>
            <w:r w:rsidRPr="00D01373">
              <w:rPr>
                <w:rFonts w:eastAsiaTheme="minorHAnsi"/>
                <w:sz w:val="18"/>
                <w:vertAlign w:val="superscript"/>
              </w:rPr>
              <w:t>th</w:t>
            </w:r>
            <w:r w:rsidRPr="00D01373">
              <w:rPr>
                <w:rFonts w:eastAsiaTheme="minorHAnsi"/>
                <w:sz w:val="18"/>
              </w:rPr>
              <w:t xml:space="preserve"> centile 9.80 ng/dL</w:t>
            </w:r>
          </w:p>
          <w:p w14:paraId="377522F3" w14:textId="77777777" w:rsidR="00F8101A" w:rsidRPr="00D01373" w:rsidRDefault="00F8101A" w:rsidP="00A111E9">
            <w:pPr>
              <w:widowControl/>
              <w:rPr>
                <w:rFonts w:eastAsiaTheme="minorHAnsi"/>
                <w:sz w:val="18"/>
              </w:rPr>
            </w:pPr>
            <w:r w:rsidRPr="00D01373">
              <w:rPr>
                <w:rFonts w:eastAsiaTheme="minorHAnsi"/>
                <w:sz w:val="18"/>
              </w:rPr>
              <w:t>75</w:t>
            </w:r>
            <w:r w:rsidRPr="00D01373">
              <w:rPr>
                <w:rFonts w:eastAsiaTheme="minorHAnsi"/>
                <w:sz w:val="18"/>
                <w:vertAlign w:val="superscript"/>
              </w:rPr>
              <w:t>th</w:t>
            </w:r>
            <w:r w:rsidRPr="00D01373">
              <w:rPr>
                <w:rFonts w:eastAsiaTheme="minorHAnsi"/>
                <w:sz w:val="18"/>
              </w:rPr>
              <w:t xml:space="preserve"> centile 28.00 ng/dL</w:t>
            </w:r>
          </w:p>
          <w:p w14:paraId="23CAA89C" w14:textId="77777777" w:rsidR="00F8101A" w:rsidRPr="00D01373" w:rsidRDefault="00F8101A" w:rsidP="00A111E9">
            <w:pPr>
              <w:widowControl/>
              <w:rPr>
                <w:rFonts w:eastAsiaTheme="minorHAnsi"/>
                <w:sz w:val="18"/>
              </w:rPr>
            </w:pPr>
            <w:r w:rsidRPr="00D01373">
              <w:rPr>
                <w:rFonts w:eastAsiaTheme="minorHAnsi"/>
                <w:sz w:val="18"/>
              </w:rPr>
              <w:t>95</w:t>
            </w:r>
            <w:r w:rsidRPr="00D01373">
              <w:rPr>
                <w:rFonts w:eastAsiaTheme="minorHAnsi"/>
                <w:sz w:val="18"/>
                <w:vertAlign w:val="superscript"/>
              </w:rPr>
              <w:t>th</w:t>
            </w:r>
            <w:r w:rsidRPr="00D01373">
              <w:rPr>
                <w:rFonts w:eastAsiaTheme="minorHAnsi"/>
                <w:sz w:val="18"/>
              </w:rPr>
              <w:t xml:space="preserve"> centile 54.00 ng/dL</w:t>
            </w:r>
          </w:p>
        </w:tc>
        <w:tc>
          <w:tcPr>
            <w:tcW w:w="4358" w:type="dxa"/>
            <w:vAlign w:val="center"/>
          </w:tcPr>
          <w:p w14:paraId="30B32477" w14:textId="6906D7DF" w:rsidR="00F8101A" w:rsidRPr="00D01373" w:rsidRDefault="00F8101A" w:rsidP="00A111E9">
            <w:pPr>
              <w:widowControl/>
              <w:rPr>
                <w:rFonts w:eastAsiaTheme="minorHAnsi"/>
                <w:sz w:val="18"/>
              </w:rPr>
            </w:pPr>
            <w:r w:rsidRPr="00D01373">
              <w:rPr>
                <w:rFonts w:eastAsiaTheme="minorHAnsi"/>
                <w:sz w:val="18"/>
              </w:rPr>
              <w:t>O</w:t>
            </w:r>
            <w:r w:rsidR="000C6F4B">
              <w:rPr>
                <w:rFonts w:eastAsiaTheme="minorHAnsi"/>
                <w:sz w:val="18"/>
              </w:rPr>
              <w:t>R</w:t>
            </w:r>
            <w:r w:rsidRPr="00D01373">
              <w:rPr>
                <w:rFonts w:eastAsiaTheme="minorHAnsi"/>
                <w:sz w:val="18"/>
              </w:rPr>
              <w:t xml:space="preserve"> for self-reported elevated total-C= </w:t>
            </w:r>
            <w:r w:rsidRPr="00D01373">
              <w:rPr>
                <w:rFonts w:eastAsia="Gulliver"/>
                <w:sz w:val="18"/>
              </w:rPr>
              <w:t xml:space="preserve">1.02 (95% CI: 1.00-1.04) </w:t>
            </w:r>
            <w:r w:rsidRPr="00D01373">
              <w:rPr>
                <w:rFonts w:eastAsiaTheme="minorHAnsi"/>
                <w:sz w:val="18"/>
              </w:rPr>
              <w:t>adjusted for age, BMI, work status, and alcohol consumption However, the units of PFOSA that this relates to are not given; i.e. whether the OR desc</w:t>
            </w:r>
            <w:r w:rsidR="0094109C" w:rsidRPr="00D01373">
              <w:rPr>
                <w:rFonts w:eastAsiaTheme="minorHAnsi"/>
                <w:sz w:val="18"/>
              </w:rPr>
              <w:t>ribes increase in odds per ng/mL</w:t>
            </w:r>
            <w:r w:rsidRPr="00D01373">
              <w:rPr>
                <w:rFonts w:eastAsiaTheme="minorHAnsi"/>
                <w:sz w:val="18"/>
              </w:rPr>
              <w:t xml:space="preserve">, per unit natural logarithm etc. </w:t>
            </w:r>
          </w:p>
        </w:tc>
      </w:tr>
    </w:tbl>
    <w:p w14:paraId="132A5E71" w14:textId="77777777" w:rsidR="007D047A" w:rsidRPr="007D047A" w:rsidRDefault="007D047A" w:rsidP="00A111E9">
      <w:pPr>
        <w:pStyle w:val="FSFigureTitle"/>
        <w:rPr>
          <w:rFonts w:eastAsiaTheme="minorHAnsi"/>
        </w:rPr>
      </w:pPr>
    </w:p>
    <w:p w14:paraId="5D1F9E92" w14:textId="022D7F3F" w:rsidR="00F8101A" w:rsidRPr="007D047A" w:rsidRDefault="00F8101A" w:rsidP="00A111E9">
      <w:pPr>
        <w:pStyle w:val="FSFigureTitle"/>
        <w:rPr>
          <w:rFonts w:eastAsiaTheme="minorHAnsi"/>
        </w:rPr>
      </w:pPr>
      <w:r w:rsidRPr="00D01373">
        <w:rPr>
          <w:rFonts w:eastAsiaTheme="minorHAnsi"/>
        </w:rPr>
        <w:t xml:space="preserve">Figure </w:t>
      </w:r>
      <w:r w:rsidR="00C52465" w:rsidRPr="007D047A">
        <w:rPr>
          <w:rFonts w:eastAsiaTheme="minorHAnsi"/>
        </w:rPr>
        <w:t>A2.</w:t>
      </w:r>
      <w:r w:rsidRPr="007D047A">
        <w:rPr>
          <w:rFonts w:eastAsiaTheme="minorHAnsi"/>
        </w:rPr>
        <w:t>6 Association between PFOS and serum total cholesterol concentrations in adults A: papers which provided enough information to graph their results B: magnified view of the low PFOA concentration range; C: tabulation of results reported in paper which provided insufficient data for graphical presentation</w:t>
      </w:r>
    </w:p>
    <w:p w14:paraId="21133EDA" w14:textId="77777777" w:rsidR="00F8101A" w:rsidRPr="00D01373" w:rsidRDefault="00F8101A" w:rsidP="00A111E9">
      <w:pPr>
        <w:widowControl/>
        <w:rPr>
          <w:rFonts w:eastAsiaTheme="minorHAnsi" w:cstheme="minorBidi"/>
          <w:szCs w:val="22"/>
          <w:lang w:bidi="ar-SA"/>
        </w:rPr>
      </w:pPr>
    </w:p>
    <w:p w14:paraId="6590C68B" w14:textId="77777777" w:rsidR="00F768EC" w:rsidRPr="00D01373" w:rsidRDefault="00F768EC" w:rsidP="00A111E9">
      <w:pPr>
        <w:widowControl/>
        <w:rPr>
          <w:rFonts w:eastAsiaTheme="minorHAnsi" w:cstheme="minorBidi"/>
          <w:szCs w:val="22"/>
          <w:lang w:bidi="ar-SA"/>
        </w:rPr>
      </w:pPr>
      <w:r w:rsidRPr="00D01373">
        <w:rPr>
          <w:rFonts w:eastAsiaTheme="minorHAnsi" w:cstheme="minorBidi"/>
          <w:szCs w:val="22"/>
          <w:lang w:bidi="ar-SA"/>
        </w:rPr>
        <w:br w:type="page"/>
      </w:r>
    </w:p>
    <w:p w14:paraId="7A5EF5AD" w14:textId="494134BB"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lastRenderedPageBreak/>
        <w:t>A</w:t>
      </w:r>
    </w:p>
    <w:p w14:paraId="2803EECD" w14:textId="77777777" w:rsidR="00F8101A" w:rsidRPr="00D01373" w:rsidRDefault="00F8101A" w:rsidP="00A111E9">
      <w:pPr>
        <w:widowControl/>
        <w:rPr>
          <w:rFonts w:eastAsiaTheme="minorHAnsi" w:cstheme="minorBidi"/>
          <w:szCs w:val="22"/>
          <w:lang w:bidi="ar-SA"/>
        </w:rPr>
      </w:pPr>
      <w:r w:rsidRPr="00D01373">
        <w:rPr>
          <w:rFonts w:eastAsiaTheme="minorHAnsi" w:cstheme="minorBidi"/>
          <w:noProof/>
          <w:szCs w:val="22"/>
          <w:lang w:eastAsia="en-GB" w:bidi="ar-SA"/>
        </w:rPr>
        <w:drawing>
          <wp:inline distT="0" distB="0" distL="0" distR="0" wp14:anchorId="784DF5D0" wp14:editId="57EE511D">
            <wp:extent cx="4619625" cy="3257550"/>
            <wp:effectExtent l="0" t="0" r="3175" b="0"/>
            <wp:docPr id="29" name="Picture 29" title="Figure A2.7 Association between PFOS and serum LDL cholesterol concentrations in adults A: papers which provided enough information to graph their results (truncated at 60 ng/mL B: tabulation of results reported in paper which provided insufficient data for graphical presen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619625" cy="3257550"/>
                    </a:xfrm>
                    <a:prstGeom prst="rect">
                      <a:avLst/>
                    </a:prstGeom>
                  </pic:spPr>
                </pic:pic>
              </a:graphicData>
            </a:graphic>
          </wp:inline>
        </w:drawing>
      </w:r>
    </w:p>
    <w:p w14:paraId="103395C7" w14:textId="6D736694"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t>B</w:t>
      </w:r>
    </w:p>
    <w:p w14:paraId="26059C35" w14:textId="77777777" w:rsidR="00F8101A" w:rsidRPr="00D01373" w:rsidRDefault="00F8101A" w:rsidP="00A111E9">
      <w:pPr>
        <w:widowControl/>
        <w:rPr>
          <w:rFonts w:eastAsiaTheme="minorHAnsi" w:cstheme="minorBidi"/>
          <w:szCs w:val="22"/>
          <w:lang w:bidi="ar-SA"/>
        </w:rPr>
      </w:pPr>
    </w:p>
    <w:tbl>
      <w:tblPr>
        <w:tblStyle w:val="TableGrid10"/>
        <w:tblW w:w="0" w:type="auto"/>
        <w:tblLook w:val="04A0" w:firstRow="1" w:lastRow="0" w:firstColumn="1" w:lastColumn="0" w:noHBand="0" w:noVBand="1"/>
        <w:tblCaption w:val="Figure b: tabulation of results reported in paper which provided insufficient data for graphical presentation)"/>
        <w:tblDescription w:val="This table contains data relating to the tabulation of results reported in paper which provided insufficient data for graphical presentation)."/>
      </w:tblPr>
      <w:tblGrid>
        <w:gridCol w:w="1668"/>
        <w:gridCol w:w="3543"/>
        <w:gridCol w:w="4075"/>
      </w:tblGrid>
      <w:tr w:rsidR="00F8101A" w:rsidRPr="00D01373" w14:paraId="7D94197F" w14:textId="77777777" w:rsidTr="000830C5">
        <w:trPr>
          <w:tblHeader/>
        </w:trPr>
        <w:tc>
          <w:tcPr>
            <w:tcW w:w="1668" w:type="dxa"/>
            <w:shd w:val="clear" w:color="auto" w:fill="F2F2F2" w:themeFill="background1" w:themeFillShade="F2"/>
            <w:vAlign w:val="center"/>
          </w:tcPr>
          <w:p w14:paraId="40465779" w14:textId="77777777" w:rsidR="00F8101A" w:rsidRPr="002E4B80" w:rsidRDefault="00F8101A" w:rsidP="00A111E9">
            <w:pPr>
              <w:widowControl/>
              <w:rPr>
                <w:rFonts w:eastAsiaTheme="minorHAnsi"/>
                <w:b/>
              </w:rPr>
            </w:pPr>
            <w:r w:rsidRPr="002E4B80">
              <w:rPr>
                <w:rFonts w:eastAsiaTheme="minorHAnsi"/>
                <w:b/>
              </w:rPr>
              <w:t>Author</w:t>
            </w:r>
          </w:p>
        </w:tc>
        <w:tc>
          <w:tcPr>
            <w:tcW w:w="3543" w:type="dxa"/>
            <w:shd w:val="clear" w:color="auto" w:fill="F2F2F2" w:themeFill="background1" w:themeFillShade="F2"/>
          </w:tcPr>
          <w:p w14:paraId="65969BF7" w14:textId="77777777" w:rsidR="00F8101A" w:rsidRPr="002E4B80" w:rsidRDefault="00F8101A" w:rsidP="00A111E9">
            <w:pPr>
              <w:widowControl/>
              <w:rPr>
                <w:rFonts w:eastAsiaTheme="minorHAnsi"/>
                <w:b/>
              </w:rPr>
            </w:pPr>
            <w:r w:rsidRPr="002E4B80">
              <w:rPr>
                <w:rFonts w:eastAsiaTheme="minorHAnsi"/>
                <w:b/>
              </w:rPr>
              <w:t>Range of PFOS concentration in population</w:t>
            </w:r>
          </w:p>
        </w:tc>
        <w:tc>
          <w:tcPr>
            <w:tcW w:w="4075" w:type="dxa"/>
            <w:shd w:val="clear" w:color="auto" w:fill="F2F2F2" w:themeFill="background1" w:themeFillShade="F2"/>
          </w:tcPr>
          <w:p w14:paraId="5DEA38DB" w14:textId="77777777" w:rsidR="00F8101A" w:rsidRPr="002E4B80" w:rsidRDefault="00F8101A" w:rsidP="00A111E9">
            <w:pPr>
              <w:widowControl/>
              <w:rPr>
                <w:rFonts w:eastAsiaTheme="minorHAnsi"/>
                <w:b/>
              </w:rPr>
            </w:pPr>
            <w:r w:rsidRPr="002E4B80">
              <w:rPr>
                <w:rFonts w:eastAsiaTheme="minorHAnsi"/>
                <w:b/>
              </w:rPr>
              <w:t>Description of association</w:t>
            </w:r>
          </w:p>
        </w:tc>
      </w:tr>
      <w:tr w:rsidR="00F8101A" w:rsidRPr="00D01373" w14:paraId="54E9448A" w14:textId="77777777" w:rsidTr="00F6284E">
        <w:tc>
          <w:tcPr>
            <w:tcW w:w="1668" w:type="dxa"/>
          </w:tcPr>
          <w:p w14:paraId="35A32B94" w14:textId="4B87B7E8" w:rsidR="00F8101A" w:rsidRPr="00D01373" w:rsidRDefault="007E6400" w:rsidP="00A111E9">
            <w:pPr>
              <w:widowControl/>
              <w:rPr>
                <w:rFonts w:eastAsiaTheme="minorHAnsi" w:cstheme="minorBidi"/>
                <w:szCs w:val="22"/>
                <w:lang w:bidi="ar-SA"/>
              </w:rPr>
            </w:pPr>
            <w:r w:rsidRPr="00D01373">
              <w:rPr>
                <w:rFonts w:eastAsiaTheme="minorHAnsi" w:cstheme="minorBidi"/>
                <w:szCs w:val="22"/>
                <w:lang w:bidi="ar-SA"/>
              </w:rPr>
              <w:t xml:space="preserve">Fisher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00F8101A" w:rsidRPr="00D01373">
              <w:rPr>
                <w:rFonts w:eastAsiaTheme="minorHAnsi" w:cstheme="minorBidi"/>
                <w:szCs w:val="22"/>
                <w:lang w:bidi="ar-SA"/>
              </w:rPr>
              <w:t>2013</w:t>
            </w:r>
          </w:p>
        </w:tc>
        <w:tc>
          <w:tcPr>
            <w:tcW w:w="3543" w:type="dxa"/>
            <w:vAlign w:val="center"/>
          </w:tcPr>
          <w:p w14:paraId="4FCB8BC8" w14:textId="061C6340" w:rsidR="00F8101A" w:rsidRPr="00D01373" w:rsidRDefault="00F8101A" w:rsidP="00A111E9">
            <w:pPr>
              <w:widowControl/>
              <w:tabs>
                <w:tab w:val="left" w:pos="2505"/>
              </w:tabs>
              <w:rPr>
                <w:rFonts w:eastAsiaTheme="minorHAnsi" w:cs="Arial"/>
                <w:sz w:val="20"/>
                <w:szCs w:val="20"/>
                <w:lang w:bidi="ar-SA"/>
              </w:rPr>
            </w:pPr>
            <w:r w:rsidRPr="00D01373">
              <w:rPr>
                <w:rFonts w:eastAsiaTheme="minorHAnsi" w:cs="Arial"/>
                <w:sz w:val="20"/>
                <w:szCs w:val="20"/>
                <w:lang w:bidi="ar-SA"/>
              </w:rPr>
              <w:t>25</w:t>
            </w:r>
            <w:r w:rsidRPr="00D01373">
              <w:rPr>
                <w:rFonts w:eastAsiaTheme="minorHAnsi" w:cs="Arial"/>
                <w:sz w:val="20"/>
                <w:szCs w:val="20"/>
                <w:vertAlign w:val="superscript"/>
                <w:lang w:bidi="ar-SA"/>
              </w:rPr>
              <w:t>th</w:t>
            </w:r>
            <w:r w:rsidRPr="00D01373">
              <w:rPr>
                <w:rFonts w:eastAsiaTheme="minorHAnsi" w:cs="Arial"/>
                <w:sz w:val="20"/>
                <w:szCs w:val="20"/>
                <w:lang w:bidi="ar-SA"/>
              </w:rPr>
              <w:t xml:space="preserve"> centile: </w:t>
            </w:r>
            <w:r w:rsidR="004461DC">
              <w:rPr>
                <w:rFonts w:eastAsiaTheme="minorHAnsi" w:cs="Arial"/>
                <w:sz w:val="20"/>
                <w:szCs w:val="20"/>
                <w:lang w:bidi="ar-SA"/>
              </w:rPr>
              <w:t>5.42</w:t>
            </w:r>
            <w:r w:rsidRPr="00D01373">
              <w:rPr>
                <w:rFonts w:eastAsiaTheme="minorHAnsi" w:cs="Arial"/>
                <w:sz w:val="20"/>
                <w:szCs w:val="20"/>
                <w:lang w:bidi="ar-SA"/>
              </w:rPr>
              <w:t xml:space="preserve"> ng/mL</w:t>
            </w:r>
            <w:r w:rsidRPr="00D01373">
              <w:rPr>
                <w:rFonts w:eastAsiaTheme="minorHAnsi" w:cs="Arial"/>
                <w:sz w:val="20"/>
                <w:szCs w:val="20"/>
                <w:lang w:bidi="ar-SA"/>
              </w:rPr>
              <w:tab/>
            </w:r>
          </w:p>
          <w:p w14:paraId="4EBE4847" w14:textId="0A18421B" w:rsidR="00F8101A" w:rsidRPr="00D01373" w:rsidRDefault="00F8101A" w:rsidP="00A111E9">
            <w:pPr>
              <w:widowControl/>
              <w:rPr>
                <w:rFonts w:eastAsiaTheme="minorHAnsi" w:cs="Arial"/>
                <w:sz w:val="20"/>
                <w:szCs w:val="20"/>
                <w:lang w:bidi="ar-SA"/>
              </w:rPr>
            </w:pPr>
            <w:r w:rsidRPr="00D01373">
              <w:rPr>
                <w:rFonts w:eastAsiaTheme="minorHAnsi" w:cs="Arial"/>
                <w:sz w:val="20"/>
                <w:szCs w:val="20"/>
                <w:lang w:bidi="ar-SA"/>
              </w:rPr>
              <w:t xml:space="preserve">Median: </w:t>
            </w:r>
            <w:r w:rsidR="004461DC">
              <w:rPr>
                <w:rFonts w:eastAsiaTheme="minorHAnsi" w:cs="Arial"/>
                <w:sz w:val="20"/>
                <w:szCs w:val="20"/>
                <w:lang w:bidi="ar-SA"/>
              </w:rPr>
              <w:t>8.54</w:t>
            </w:r>
            <w:r w:rsidRPr="00D01373">
              <w:rPr>
                <w:rFonts w:eastAsiaTheme="minorHAnsi" w:cs="Arial"/>
                <w:sz w:val="20"/>
                <w:szCs w:val="20"/>
                <w:lang w:bidi="ar-SA"/>
              </w:rPr>
              <w:t xml:space="preserve"> ng/mL</w:t>
            </w:r>
          </w:p>
          <w:p w14:paraId="74E7B6B6" w14:textId="5FACAD98" w:rsidR="00F8101A" w:rsidRPr="00D01373" w:rsidRDefault="00F8101A" w:rsidP="00A111E9">
            <w:pPr>
              <w:widowControl/>
              <w:rPr>
                <w:rFonts w:eastAsiaTheme="minorHAnsi" w:cs="Arial"/>
                <w:sz w:val="20"/>
                <w:szCs w:val="20"/>
                <w:lang w:bidi="ar-SA"/>
              </w:rPr>
            </w:pPr>
            <w:r w:rsidRPr="00D01373">
              <w:rPr>
                <w:rFonts w:eastAsiaTheme="minorHAnsi" w:cs="Arial"/>
                <w:sz w:val="20"/>
                <w:szCs w:val="20"/>
                <w:lang w:bidi="ar-SA"/>
              </w:rPr>
              <w:t>75</w:t>
            </w:r>
            <w:r w:rsidRPr="00D01373">
              <w:rPr>
                <w:rFonts w:eastAsiaTheme="minorHAnsi" w:cs="Arial"/>
                <w:sz w:val="20"/>
                <w:szCs w:val="20"/>
                <w:vertAlign w:val="superscript"/>
                <w:lang w:bidi="ar-SA"/>
              </w:rPr>
              <w:t>th</w:t>
            </w:r>
            <w:r w:rsidRPr="00D01373">
              <w:rPr>
                <w:rFonts w:eastAsiaTheme="minorHAnsi" w:cs="Arial"/>
                <w:sz w:val="20"/>
                <w:szCs w:val="20"/>
                <w:lang w:bidi="ar-SA"/>
              </w:rPr>
              <w:t xml:space="preserve"> centile: </w:t>
            </w:r>
            <w:r w:rsidR="004461DC">
              <w:rPr>
                <w:rFonts w:eastAsiaTheme="minorHAnsi" w:cs="Arial"/>
                <w:sz w:val="20"/>
                <w:szCs w:val="20"/>
                <w:lang w:bidi="ar-SA"/>
              </w:rPr>
              <w:t>12.91</w:t>
            </w:r>
            <w:r w:rsidRPr="00D01373">
              <w:rPr>
                <w:rFonts w:eastAsiaTheme="minorHAnsi" w:cs="Arial"/>
                <w:sz w:val="20"/>
                <w:szCs w:val="20"/>
                <w:lang w:bidi="ar-SA"/>
              </w:rPr>
              <w:t xml:space="preserve"> ng/mL</w:t>
            </w:r>
          </w:p>
          <w:p w14:paraId="78596C09" w14:textId="77777777" w:rsidR="00F8101A" w:rsidRPr="00D01373" w:rsidRDefault="00F8101A" w:rsidP="00A111E9">
            <w:pPr>
              <w:widowControl/>
              <w:rPr>
                <w:rFonts w:eastAsiaTheme="minorHAnsi" w:cstheme="minorBidi"/>
                <w:szCs w:val="22"/>
                <w:lang w:bidi="ar-SA"/>
              </w:rPr>
            </w:pPr>
          </w:p>
        </w:tc>
        <w:tc>
          <w:tcPr>
            <w:tcW w:w="4075" w:type="dxa"/>
          </w:tcPr>
          <w:p w14:paraId="19928225" w14:textId="6BCB4DC1" w:rsidR="00F8101A" w:rsidRPr="00D01373" w:rsidRDefault="00F8101A" w:rsidP="00A111E9">
            <w:pPr>
              <w:widowControl/>
              <w:rPr>
                <w:rFonts w:eastAsiaTheme="minorHAnsi" w:cs="Arial"/>
                <w:sz w:val="20"/>
                <w:szCs w:val="20"/>
                <w:lang w:bidi="ar-SA"/>
              </w:rPr>
            </w:pPr>
            <w:r w:rsidRPr="00D01373">
              <w:rPr>
                <w:rFonts w:eastAsiaTheme="minorHAnsi" w:cs="Arial"/>
                <w:sz w:val="20"/>
                <w:szCs w:val="20"/>
                <w:lang w:bidi="ar-SA"/>
              </w:rPr>
              <w:t xml:space="preserve">Adjusted difference: 0.02 log units of </w:t>
            </w:r>
            <w:r w:rsidR="00104C8E" w:rsidRPr="00D01373">
              <w:rPr>
                <w:rFonts w:eastAsiaTheme="minorHAnsi" w:cs="Arial"/>
                <w:sz w:val="20"/>
                <w:szCs w:val="20"/>
                <w:lang w:bidi="ar-SA"/>
              </w:rPr>
              <w:t>LDL</w:t>
            </w:r>
            <w:r w:rsidRPr="00D01373">
              <w:rPr>
                <w:rFonts w:eastAsiaTheme="minorHAnsi" w:cs="Arial"/>
                <w:sz w:val="20"/>
                <w:szCs w:val="20"/>
                <w:lang w:bidi="ar-SA"/>
              </w:rPr>
              <w:t>-C (mmol/L) per log unit of PFOS (ng/mL)</w:t>
            </w:r>
          </w:p>
          <w:p w14:paraId="24977612" w14:textId="77777777" w:rsidR="00F8101A" w:rsidRPr="00D01373" w:rsidRDefault="00F8101A" w:rsidP="00A111E9">
            <w:pPr>
              <w:widowControl/>
              <w:rPr>
                <w:rFonts w:eastAsiaTheme="minorHAnsi" w:cs="Arial"/>
                <w:sz w:val="20"/>
                <w:szCs w:val="20"/>
                <w:lang w:bidi="ar-SA"/>
              </w:rPr>
            </w:pPr>
          </w:p>
          <w:p w14:paraId="619965F5" w14:textId="77777777" w:rsidR="00F8101A" w:rsidRPr="00D01373" w:rsidRDefault="00F8101A" w:rsidP="00A111E9">
            <w:pPr>
              <w:widowControl/>
              <w:rPr>
                <w:rFonts w:eastAsiaTheme="minorHAnsi" w:cstheme="minorBidi"/>
                <w:szCs w:val="22"/>
                <w:lang w:bidi="ar-SA"/>
              </w:rPr>
            </w:pPr>
            <w:r w:rsidRPr="00D01373">
              <w:rPr>
                <w:rFonts w:eastAsiaTheme="minorHAnsi" w:cs="Arial"/>
                <w:sz w:val="20"/>
                <w:szCs w:val="20"/>
                <w:lang w:bidi="ar-SA"/>
              </w:rPr>
              <w:t>Base used for log transformation not described</w:t>
            </w:r>
          </w:p>
        </w:tc>
      </w:tr>
      <w:tr w:rsidR="00F8101A" w:rsidRPr="00D01373" w14:paraId="203CFBE7" w14:textId="77777777" w:rsidTr="00F6284E">
        <w:tc>
          <w:tcPr>
            <w:tcW w:w="1668" w:type="dxa"/>
          </w:tcPr>
          <w:p w14:paraId="13F7487D" w14:textId="15842B8C" w:rsidR="00F8101A" w:rsidRPr="00D01373" w:rsidRDefault="007E6400" w:rsidP="00A111E9">
            <w:pPr>
              <w:widowControl/>
              <w:rPr>
                <w:rFonts w:eastAsiaTheme="minorHAnsi"/>
              </w:rPr>
            </w:pPr>
            <w:r w:rsidRPr="00D01373">
              <w:rPr>
                <w:rFonts w:eastAsiaTheme="minorHAnsi"/>
              </w:rPr>
              <w:t xml:space="preserve">Fu </w:t>
            </w:r>
            <w:r w:rsidR="00180A32" w:rsidRPr="00180A32">
              <w:rPr>
                <w:rFonts w:eastAsiaTheme="minorHAnsi"/>
                <w:i/>
              </w:rPr>
              <w:t xml:space="preserve">et al. </w:t>
            </w:r>
            <w:r w:rsidR="00CC50B8">
              <w:rPr>
                <w:rFonts w:eastAsiaTheme="minorHAnsi"/>
              </w:rPr>
              <w:t xml:space="preserve"> </w:t>
            </w:r>
            <w:r w:rsidR="00F8101A" w:rsidRPr="00D01373">
              <w:rPr>
                <w:rFonts w:eastAsiaTheme="minorHAnsi"/>
              </w:rPr>
              <w:t>2014</w:t>
            </w:r>
          </w:p>
          <w:p w14:paraId="10A49B89" w14:textId="77777777" w:rsidR="00F8101A" w:rsidRPr="00D01373" w:rsidRDefault="00F8101A" w:rsidP="00A111E9">
            <w:pPr>
              <w:widowControl/>
              <w:rPr>
                <w:rFonts w:eastAsiaTheme="minorHAnsi" w:cstheme="minorBidi"/>
                <w:szCs w:val="22"/>
                <w:lang w:bidi="ar-SA"/>
              </w:rPr>
            </w:pPr>
          </w:p>
        </w:tc>
        <w:tc>
          <w:tcPr>
            <w:tcW w:w="3543" w:type="dxa"/>
            <w:vAlign w:val="center"/>
          </w:tcPr>
          <w:p w14:paraId="15EF8C1F" w14:textId="7E8C8B5D" w:rsidR="00F8101A" w:rsidRPr="00D01373" w:rsidRDefault="00F8101A" w:rsidP="00A111E9">
            <w:pPr>
              <w:widowControl/>
              <w:rPr>
                <w:rFonts w:eastAsiaTheme="minorHAnsi" w:cs="Arial"/>
                <w:sz w:val="20"/>
                <w:szCs w:val="20"/>
                <w:lang w:bidi="ar-SA"/>
              </w:rPr>
            </w:pPr>
            <w:r w:rsidRPr="00D01373">
              <w:rPr>
                <w:rFonts w:eastAsiaTheme="minorHAnsi" w:cs="Arial"/>
                <w:sz w:val="20"/>
                <w:szCs w:val="20"/>
                <w:lang w:bidi="ar-SA"/>
              </w:rPr>
              <w:t>Lowest quartile: median 0.</w:t>
            </w:r>
            <w:r w:rsidR="008144B2">
              <w:rPr>
                <w:rFonts w:eastAsiaTheme="minorHAnsi" w:cs="Arial"/>
                <w:sz w:val="20"/>
                <w:szCs w:val="20"/>
                <w:lang w:bidi="ar-SA"/>
              </w:rPr>
              <w:t>6</w:t>
            </w:r>
            <w:r w:rsidRPr="00D01373">
              <w:rPr>
                <w:rFonts w:eastAsiaTheme="minorHAnsi" w:cs="Arial"/>
                <w:sz w:val="20"/>
                <w:szCs w:val="20"/>
                <w:lang w:bidi="ar-SA"/>
              </w:rPr>
              <w:t xml:space="preserve"> ng/mL</w:t>
            </w:r>
          </w:p>
          <w:p w14:paraId="21DF4154" w14:textId="77777777" w:rsidR="00F8101A" w:rsidRPr="00D01373" w:rsidRDefault="00F8101A" w:rsidP="00A111E9">
            <w:pPr>
              <w:widowControl/>
              <w:rPr>
                <w:rFonts w:eastAsiaTheme="minorHAnsi" w:cstheme="minorBidi"/>
                <w:szCs w:val="22"/>
                <w:lang w:bidi="ar-SA"/>
              </w:rPr>
            </w:pPr>
            <w:r w:rsidRPr="00D01373">
              <w:rPr>
                <w:rFonts w:eastAsiaTheme="minorHAnsi" w:cs="Arial"/>
                <w:sz w:val="20"/>
                <w:szCs w:val="20"/>
                <w:lang w:bidi="ar-SA"/>
              </w:rPr>
              <w:t>Highest quartile: median 2.6 ng/mL</w:t>
            </w:r>
          </w:p>
        </w:tc>
        <w:tc>
          <w:tcPr>
            <w:tcW w:w="4075" w:type="dxa"/>
          </w:tcPr>
          <w:p w14:paraId="0CD9F29C" w14:textId="479DC3CE" w:rsidR="00F8101A" w:rsidRPr="00D01373" w:rsidRDefault="00F8101A" w:rsidP="00A111E9">
            <w:pPr>
              <w:widowControl/>
              <w:rPr>
                <w:rFonts w:eastAsiaTheme="minorHAnsi" w:cstheme="minorBidi"/>
                <w:szCs w:val="22"/>
                <w:lang w:bidi="ar-SA"/>
              </w:rPr>
            </w:pPr>
            <w:r w:rsidRPr="00D01373">
              <w:rPr>
                <w:rFonts w:eastAsiaTheme="minorHAnsi" w:cs="Arial"/>
                <w:sz w:val="20"/>
                <w:szCs w:val="20"/>
                <w:lang w:bidi="ar-SA"/>
              </w:rPr>
              <w:t>LDL-C ~0.4 natural log mmol/L higher than lowest quartile</w:t>
            </w:r>
          </w:p>
        </w:tc>
      </w:tr>
    </w:tbl>
    <w:p w14:paraId="5E988D5B" w14:textId="77777777" w:rsidR="00F8101A" w:rsidRPr="00D01373" w:rsidRDefault="00F8101A" w:rsidP="00A111E9">
      <w:pPr>
        <w:widowControl/>
        <w:rPr>
          <w:rFonts w:eastAsiaTheme="minorHAnsi" w:cstheme="minorBidi"/>
          <w:szCs w:val="22"/>
          <w:lang w:bidi="ar-SA"/>
        </w:rPr>
      </w:pPr>
    </w:p>
    <w:p w14:paraId="45991532" w14:textId="325015DE" w:rsidR="00F8101A" w:rsidRPr="00D01373" w:rsidRDefault="00F8101A" w:rsidP="00C97E64">
      <w:pPr>
        <w:pStyle w:val="FSFigureTitle"/>
        <w:rPr>
          <w:rFonts w:eastAsiaTheme="minorHAnsi" w:cstheme="minorBidi"/>
          <w:szCs w:val="22"/>
          <w:lang w:bidi="ar-SA"/>
        </w:rPr>
      </w:pPr>
      <w:r w:rsidRPr="00D01373">
        <w:rPr>
          <w:rFonts w:eastAsiaTheme="minorHAnsi"/>
        </w:rPr>
        <w:t xml:space="preserve">Figure </w:t>
      </w:r>
      <w:r w:rsidR="006333FD" w:rsidRPr="007D047A">
        <w:rPr>
          <w:rFonts w:eastAsiaTheme="minorHAnsi"/>
        </w:rPr>
        <w:t>A2.</w:t>
      </w:r>
      <w:r w:rsidRPr="007D047A">
        <w:rPr>
          <w:rFonts w:eastAsiaTheme="minorHAnsi"/>
        </w:rPr>
        <w:t xml:space="preserve">7 Association between PFOS and serum LDL cholesterol concentrations in adults A: papers which provided enough information to graph their </w:t>
      </w:r>
      <w:r w:rsidR="00104C8E" w:rsidRPr="007D047A">
        <w:rPr>
          <w:rFonts w:eastAsiaTheme="minorHAnsi"/>
        </w:rPr>
        <w:t>results (</w:t>
      </w:r>
      <w:r w:rsidRPr="007D047A">
        <w:rPr>
          <w:rFonts w:eastAsiaTheme="minorHAnsi"/>
        </w:rPr>
        <w:t>truncated at 60 ng/mL B: tabulation of results reported in paper which provided insufficient data for graphical presentation</w:t>
      </w:r>
      <w:r w:rsidR="00104C8E" w:rsidRPr="007D047A">
        <w:rPr>
          <w:rFonts w:eastAsiaTheme="minorHAnsi"/>
        </w:rPr>
        <w:t>)</w:t>
      </w:r>
      <w:r w:rsidR="00C97E64" w:rsidRPr="00D01373">
        <w:rPr>
          <w:rFonts w:eastAsiaTheme="minorHAnsi" w:cstheme="minorBidi"/>
          <w:szCs w:val="22"/>
          <w:lang w:bidi="ar-SA"/>
        </w:rPr>
        <w:t xml:space="preserve"> </w:t>
      </w:r>
    </w:p>
    <w:p w14:paraId="1CCEE6B9" w14:textId="77777777"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br w:type="page"/>
      </w:r>
    </w:p>
    <w:p w14:paraId="48760C97" w14:textId="77777777"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lastRenderedPageBreak/>
        <w:t>A</w:t>
      </w:r>
    </w:p>
    <w:p w14:paraId="73CDDE56" w14:textId="77777777" w:rsidR="00F8101A" w:rsidRPr="00D01373" w:rsidRDefault="00F8101A" w:rsidP="00A111E9">
      <w:pPr>
        <w:widowControl/>
        <w:rPr>
          <w:rFonts w:eastAsiaTheme="minorHAnsi" w:cstheme="minorBidi"/>
          <w:szCs w:val="22"/>
          <w:lang w:bidi="ar-SA"/>
        </w:rPr>
      </w:pPr>
      <w:r w:rsidRPr="00D01373">
        <w:rPr>
          <w:rFonts w:eastAsiaTheme="minorHAnsi" w:cstheme="minorBidi"/>
          <w:noProof/>
          <w:szCs w:val="22"/>
          <w:lang w:eastAsia="en-GB" w:bidi="ar-SA"/>
        </w:rPr>
        <w:drawing>
          <wp:inline distT="0" distB="0" distL="0" distR="0" wp14:anchorId="5369B282" wp14:editId="395E6700">
            <wp:extent cx="5486400" cy="2352675"/>
            <wp:effectExtent l="0" t="0" r="0" b="9525"/>
            <wp:docPr id="30" name="Picture 30" title="Figure A2.8 Association between PFOS and serum HDL cholesterol concentrations in adults A: papers which provided enough information to graph their results B: magnified view of the low PFOA concentration range; C: tabulation of results reported in paper which provided insufficient data for graphical presen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486400" cy="2352675"/>
                    </a:xfrm>
                    <a:prstGeom prst="rect">
                      <a:avLst/>
                    </a:prstGeom>
                  </pic:spPr>
                </pic:pic>
              </a:graphicData>
            </a:graphic>
          </wp:inline>
        </w:drawing>
      </w:r>
    </w:p>
    <w:p w14:paraId="3BD76F25" w14:textId="77777777"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t>B</w:t>
      </w:r>
    </w:p>
    <w:p w14:paraId="52CFB97A" w14:textId="77777777" w:rsidR="00F8101A" w:rsidRPr="00D01373" w:rsidRDefault="00F8101A" w:rsidP="00A111E9">
      <w:pPr>
        <w:widowControl/>
        <w:rPr>
          <w:rFonts w:eastAsiaTheme="minorHAnsi" w:cstheme="minorBidi"/>
          <w:szCs w:val="22"/>
          <w:lang w:bidi="ar-SA"/>
        </w:rPr>
      </w:pPr>
      <w:r w:rsidRPr="00D01373">
        <w:rPr>
          <w:rFonts w:eastAsiaTheme="minorHAnsi" w:cstheme="minorBidi"/>
          <w:noProof/>
          <w:szCs w:val="22"/>
          <w:lang w:eastAsia="en-GB" w:bidi="ar-SA"/>
        </w:rPr>
        <w:drawing>
          <wp:inline distT="0" distB="0" distL="0" distR="0" wp14:anchorId="1840106D" wp14:editId="6A5ABEC1">
            <wp:extent cx="5524500" cy="2390775"/>
            <wp:effectExtent l="0" t="0" r="12700" b="0"/>
            <wp:docPr id="31" name="Picture 31" title="Figure A2.8 Association between PFOS and serum HDL cholesterol concentrations in adults A: papers which provided enough information to graph their results B: magnified view of the low PFOA concentration range; C: tabulation of results reported in paper which provided insufficient data for graphical presen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524500" cy="2390775"/>
                    </a:xfrm>
                    <a:prstGeom prst="rect">
                      <a:avLst/>
                    </a:prstGeom>
                  </pic:spPr>
                </pic:pic>
              </a:graphicData>
            </a:graphic>
          </wp:inline>
        </w:drawing>
      </w:r>
    </w:p>
    <w:p w14:paraId="060B71C3" w14:textId="77777777"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t>C</w:t>
      </w:r>
    </w:p>
    <w:p w14:paraId="001803A9" w14:textId="77777777" w:rsidR="00F8101A" w:rsidRPr="00D01373" w:rsidRDefault="00F8101A" w:rsidP="00A111E9">
      <w:pPr>
        <w:widowControl/>
        <w:rPr>
          <w:rFonts w:eastAsiaTheme="minorHAnsi" w:cstheme="minorBidi"/>
          <w:szCs w:val="22"/>
          <w:lang w:bidi="ar-SA"/>
        </w:rPr>
      </w:pPr>
    </w:p>
    <w:tbl>
      <w:tblPr>
        <w:tblStyle w:val="TableGrid10"/>
        <w:tblW w:w="9180" w:type="dxa"/>
        <w:tblLook w:val="04A0" w:firstRow="1" w:lastRow="0" w:firstColumn="1" w:lastColumn="0" w:noHBand="0" w:noVBand="1"/>
        <w:tblCaption w:val="Figure C: tabulation of results reported in paper which provided insufficient data for graphical presentation"/>
        <w:tblDescription w:val="This table contains data relating to the tabulation of results reported in paper which provided insufficient data for graphical presentation."/>
      </w:tblPr>
      <w:tblGrid>
        <w:gridCol w:w="1242"/>
        <w:gridCol w:w="4111"/>
        <w:gridCol w:w="3827"/>
      </w:tblGrid>
      <w:tr w:rsidR="00F8101A" w:rsidRPr="00D01373" w14:paraId="5895B236" w14:textId="77777777" w:rsidTr="00965C6B">
        <w:trPr>
          <w:tblHeader/>
        </w:trPr>
        <w:tc>
          <w:tcPr>
            <w:tcW w:w="1242" w:type="dxa"/>
            <w:shd w:val="clear" w:color="auto" w:fill="F2F2F2" w:themeFill="background1" w:themeFillShade="F2"/>
          </w:tcPr>
          <w:p w14:paraId="34511840" w14:textId="77777777" w:rsidR="00F8101A" w:rsidRPr="002E4B80" w:rsidRDefault="00F8101A" w:rsidP="00A111E9">
            <w:pPr>
              <w:widowControl/>
              <w:rPr>
                <w:rFonts w:eastAsiaTheme="minorHAnsi"/>
                <w:b/>
              </w:rPr>
            </w:pPr>
            <w:r w:rsidRPr="002E4B80">
              <w:rPr>
                <w:rFonts w:eastAsiaTheme="minorHAnsi"/>
                <w:b/>
              </w:rPr>
              <w:t>Author</w:t>
            </w:r>
          </w:p>
        </w:tc>
        <w:tc>
          <w:tcPr>
            <w:tcW w:w="4111" w:type="dxa"/>
            <w:shd w:val="clear" w:color="auto" w:fill="F2F2F2" w:themeFill="background1" w:themeFillShade="F2"/>
          </w:tcPr>
          <w:p w14:paraId="261C2F63" w14:textId="77777777" w:rsidR="00F8101A" w:rsidRPr="002E4B80" w:rsidRDefault="00F8101A" w:rsidP="00A111E9">
            <w:pPr>
              <w:widowControl/>
              <w:rPr>
                <w:rFonts w:eastAsiaTheme="minorHAnsi"/>
                <w:b/>
              </w:rPr>
            </w:pPr>
            <w:r w:rsidRPr="002E4B80">
              <w:rPr>
                <w:rFonts w:eastAsiaTheme="minorHAnsi"/>
                <w:b/>
              </w:rPr>
              <w:t>Range of PFOS concentration in population</w:t>
            </w:r>
          </w:p>
        </w:tc>
        <w:tc>
          <w:tcPr>
            <w:tcW w:w="3827" w:type="dxa"/>
            <w:shd w:val="clear" w:color="auto" w:fill="F2F2F2" w:themeFill="background1" w:themeFillShade="F2"/>
          </w:tcPr>
          <w:p w14:paraId="2252ABCE" w14:textId="77777777" w:rsidR="00F8101A" w:rsidRPr="002E4B80" w:rsidRDefault="00F8101A" w:rsidP="00A111E9">
            <w:pPr>
              <w:widowControl/>
              <w:rPr>
                <w:rFonts w:eastAsiaTheme="minorHAnsi"/>
                <w:b/>
              </w:rPr>
            </w:pPr>
            <w:r w:rsidRPr="002E4B80">
              <w:rPr>
                <w:rFonts w:eastAsiaTheme="minorHAnsi"/>
                <w:b/>
              </w:rPr>
              <w:t>Description of association</w:t>
            </w:r>
          </w:p>
        </w:tc>
      </w:tr>
      <w:tr w:rsidR="00F8101A" w:rsidRPr="00D01373" w14:paraId="7376F7D0" w14:textId="77777777" w:rsidTr="00CC7CF1">
        <w:tc>
          <w:tcPr>
            <w:tcW w:w="1242" w:type="dxa"/>
          </w:tcPr>
          <w:p w14:paraId="01E29A30" w14:textId="0782E1D1"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t xml:space="preserve">Fisher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2013</w:t>
            </w:r>
          </w:p>
        </w:tc>
        <w:tc>
          <w:tcPr>
            <w:tcW w:w="4111" w:type="dxa"/>
            <w:vAlign w:val="center"/>
          </w:tcPr>
          <w:p w14:paraId="6D41CB5F" w14:textId="70CB653E" w:rsidR="00F8101A" w:rsidRPr="00D01373" w:rsidRDefault="00F8101A" w:rsidP="00A111E9">
            <w:pPr>
              <w:widowControl/>
              <w:tabs>
                <w:tab w:val="left" w:pos="2505"/>
              </w:tabs>
              <w:rPr>
                <w:rFonts w:eastAsiaTheme="minorHAnsi" w:cs="Arial"/>
                <w:sz w:val="20"/>
                <w:szCs w:val="20"/>
                <w:lang w:bidi="ar-SA"/>
              </w:rPr>
            </w:pPr>
            <w:r w:rsidRPr="00D01373">
              <w:rPr>
                <w:rFonts w:eastAsiaTheme="minorHAnsi" w:cs="Arial"/>
                <w:sz w:val="20"/>
                <w:szCs w:val="20"/>
                <w:lang w:bidi="ar-SA"/>
              </w:rPr>
              <w:t>25</w:t>
            </w:r>
            <w:r w:rsidRPr="00D01373">
              <w:rPr>
                <w:rFonts w:eastAsiaTheme="minorHAnsi" w:cs="Arial"/>
                <w:sz w:val="20"/>
                <w:szCs w:val="20"/>
                <w:vertAlign w:val="superscript"/>
                <w:lang w:bidi="ar-SA"/>
              </w:rPr>
              <w:t>th</w:t>
            </w:r>
            <w:r w:rsidRPr="00D01373">
              <w:rPr>
                <w:rFonts w:eastAsiaTheme="minorHAnsi" w:cs="Arial"/>
                <w:sz w:val="20"/>
                <w:szCs w:val="20"/>
                <w:lang w:bidi="ar-SA"/>
              </w:rPr>
              <w:t xml:space="preserve"> centile: </w:t>
            </w:r>
            <w:r w:rsidR="004461DC">
              <w:rPr>
                <w:rFonts w:eastAsiaTheme="minorHAnsi" w:cs="Arial"/>
                <w:sz w:val="20"/>
                <w:szCs w:val="20"/>
                <w:lang w:bidi="ar-SA"/>
              </w:rPr>
              <w:t>5.42</w:t>
            </w:r>
            <w:r w:rsidRPr="00D01373">
              <w:rPr>
                <w:rFonts w:eastAsiaTheme="minorHAnsi" w:cs="Arial"/>
                <w:sz w:val="20"/>
                <w:szCs w:val="20"/>
                <w:lang w:bidi="ar-SA"/>
              </w:rPr>
              <w:t xml:space="preserve"> ng/mL</w:t>
            </w:r>
            <w:r w:rsidRPr="00D01373">
              <w:rPr>
                <w:rFonts w:eastAsiaTheme="minorHAnsi" w:cs="Arial"/>
                <w:sz w:val="20"/>
                <w:szCs w:val="20"/>
                <w:lang w:bidi="ar-SA"/>
              </w:rPr>
              <w:tab/>
            </w:r>
          </w:p>
          <w:p w14:paraId="1023F49A" w14:textId="45F80278" w:rsidR="00F8101A" w:rsidRPr="00D01373" w:rsidRDefault="00F8101A" w:rsidP="00A111E9">
            <w:pPr>
              <w:widowControl/>
              <w:rPr>
                <w:rFonts w:eastAsiaTheme="minorHAnsi" w:cs="Arial"/>
                <w:sz w:val="20"/>
                <w:szCs w:val="20"/>
                <w:lang w:bidi="ar-SA"/>
              </w:rPr>
            </w:pPr>
            <w:r w:rsidRPr="00D01373">
              <w:rPr>
                <w:rFonts w:eastAsiaTheme="minorHAnsi" w:cs="Arial"/>
                <w:sz w:val="20"/>
                <w:szCs w:val="20"/>
                <w:lang w:bidi="ar-SA"/>
              </w:rPr>
              <w:t xml:space="preserve">Median: </w:t>
            </w:r>
            <w:r w:rsidR="004461DC">
              <w:rPr>
                <w:rFonts w:eastAsiaTheme="minorHAnsi" w:cs="Arial"/>
                <w:sz w:val="20"/>
                <w:szCs w:val="20"/>
                <w:lang w:bidi="ar-SA"/>
              </w:rPr>
              <w:t>8.54</w:t>
            </w:r>
            <w:r w:rsidRPr="00D01373">
              <w:rPr>
                <w:rFonts w:eastAsiaTheme="minorHAnsi" w:cs="Arial"/>
                <w:sz w:val="20"/>
                <w:szCs w:val="20"/>
                <w:lang w:bidi="ar-SA"/>
              </w:rPr>
              <w:t xml:space="preserve"> ng/mL</w:t>
            </w:r>
          </w:p>
          <w:p w14:paraId="4E6B705E" w14:textId="568394AD" w:rsidR="00F8101A" w:rsidRPr="00D01373" w:rsidRDefault="00F8101A" w:rsidP="00A111E9">
            <w:pPr>
              <w:widowControl/>
              <w:rPr>
                <w:rFonts w:eastAsiaTheme="minorHAnsi" w:cs="Arial"/>
                <w:sz w:val="20"/>
                <w:szCs w:val="20"/>
                <w:lang w:bidi="ar-SA"/>
              </w:rPr>
            </w:pPr>
            <w:r w:rsidRPr="00D01373">
              <w:rPr>
                <w:rFonts w:eastAsiaTheme="minorHAnsi" w:cs="Arial"/>
                <w:sz w:val="20"/>
                <w:szCs w:val="20"/>
                <w:lang w:bidi="ar-SA"/>
              </w:rPr>
              <w:t>75</w:t>
            </w:r>
            <w:r w:rsidRPr="00D01373">
              <w:rPr>
                <w:rFonts w:eastAsiaTheme="minorHAnsi" w:cs="Arial"/>
                <w:sz w:val="20"/>
                <w:szCs w:val="20"/>
                <w:vertAlign w:val="superscript"/>
                <w:lang w:bidi="ar-SA"/>
              </w:rPr>
              <w:t>th</w:t>
            </w:r>
            <w:r w:rsidRPr="00D01373">
              <w:rPr>
                <w:rFonts w:eastAsiaTheme="minorHAnsi" w:cs="Arial"/>
                <w:sz w:val="20"/>
                <w:szCs w:val="20"/>
                <w:lang w:bidi="ar-SA"/>
              </w:rPr>
              <w:t xml:space="preserve"> centile: </w:t>
            </w:r>
            <w:r w:rsidR="004461DC">
              <w:rPr>
                <w:rFonts w:eastAsiaTheme="minorHAnsi" w:cs="Arial"/>
                <w:sz w:val="20"/>
                <w:szCs w:val="20"/>
                <w:lang w:bidi="ar-SA"/>
              </w:rPr>
              <w:t>12.91</w:t>
            </w:r>
            <w:r w:rsidRPr="00D01373">
              <w:rPr>
                <w:rFonts w:eastAsiaTheme="minorHAnsi" w:cs="Arial"/>
                <w:sz w:val="20"/>
                <w:szCs w:val="20"/>
                <w:lang w:bidi="ar-SA"/>
              </w:rPr>
              <w:t xml:space="preserve"> ng/mL</w:t>
            </w:r>
          </w:p>
          <w:p w14:paraId="0AC29760" w14:textId="77777777" w:rsidR="00F8101A" w:rsidRPr="00D01373" w:rsidRDefault="00F8101A" w:rsidP="00A111E9">
            <w:pPr>
              <w:widowControl/>
              <w:rPr>
                <w:rFonts w:eastAsiaTheme="minorHAnsi" w:cstheme="minorBidi"/>
                <w:szCs w:val="22"/>
                <w:lang w:bidi="ar-SA"/>
              </w:rPr>
            </w:pPr>
          </w:p>
        </w:tc>
        <w:tc>
          <w:tcPr>
            <w:tcW w:w="3827" w:type="dxa"/>
          </w:tcPr>
          <w:p w14:paraId="6635ED74" w14:textId="77777777" w:rsidR="00F8101A" w:rsidRPr="00D01373" w:rsidRDefault="00F8101A" w:rsidP="00A111E9">
            <w:pPr>
              <w:widowControl/>
              <w:rPr>
                <w:rFonts w:eastAsiaTheme="minorHAnsi" w:cs="Arial"/>
                <w:sz w:val="20"/>
                <w:szCs w:val="20"/>
                <w:lang w:bidi="ar-SA"/>
              </w:rPr>
            </w:pPr>
            <w:r w:rsidRPr="00D01373">
              <w:rPr>
                <w:rFonts w:eastAsiaTheme="minorHAnsi" w:cs="Arial"/>
                <w:sz w:val="20"/>
                <w:szCs w:val="20"/>
                <w:lang w:bidi="ar-SA"/>
              </w:rPr>
              <w:t>Adjusted difference: -0.02 log units of HDL-C (mmol/L) per log unit of PFOS (ng/mL)</w:t>
            </w:r>
          </w:p>
          <w:p w14:paraId="3DE36218" w14:textId="77777777" w:rsidR="00F8101A" w:rsidRPr="00D01373" w:rsidRDefault="00F8101A" w:rsidP="00A111E9">
            <w:pPr>
              <w:widowControl/>
              <w:rPr>
                <w:rFonts w:eastAsiaTheme="minorHAnsi" w:cs="Arial"/>
                <w:sz w:val="20"/>
                <w:szCs w:val="20"/>
                <w:lang w:bidi="ar-SA"/>
              </w:rPr>
            </w:pPr>
          </w:p>
          <w:p w14:paraId="5736FC39" w14:textId="77777777" w:rsidR="00F8101A" w:rsidRPr="00D01373" w:rsidRDefault="00F8101A" w:rsidP="00A111E9">
            <w:pPr>
              <w:widowControl/>
              <w:rPr>
                <w:rFonts w:eastAsiaTheme="minorHAnsi" w:cstheme="minorBidi"/>
                <w:szCs w:val="22"/>
                <w:lang w:bidi="ar-SA"/>
              </w:rPr>
            </w:pPr>
            <w:r w:rsidRPr="00D01373">
              <w:rPr>
                <w:rFonts w:eastAsiaTheme="minorHAnsi" w:cs="Arial"/>
                <w:sz w:val="20"/>
                <w:szCs w:val="20"/>
                <w:lang w:bidi="ar-SA"/>
              </w:rPr>
              <w:t>Base used for log transformation not described</w:t>
            </w:r>
          </w:p>
        </w:tc>
      </w:tr>
      <w:tr w:rsidR="00F8101A" w:rsidRPr="00D01373" w14:paraId="481BEC45" w14:textId="77777777" w:rsidTr="00CC7CF1">
        <w:tc>
          <w:tcPr>
            <w:tcW w:w="1242" w:type="dxa"/>
          </w:tcPr>
          <w:p w14:paraId="360DCFFD" w14:textId="69C5C36C" w:rsidR="00F8101A" w:rsidRPr="00D01373" w:rsidRDefault="007E6400" w:rsidP="00A111E9">
            <w:pPr>
              <w:widowControl/>
              <w:rPr>
                <w:rFonts w:eastAsiaTheme="minorHAnsi"/>
              </w:rPr>
            </w:pPr>
            <w:r w:rsidRPr="00D01373">
              <w:rPr>
                <w:rFonts w:eastAsiaTheme="minorHAnsi"/>
              </w:rPr>
              <w:t xml:space="preserve">Fu </w:t>
            </w:r>
            <w:r w:rsidR="00180A32" w:rsidRPr="00180A32">
              <w:rPr>
                <w:rFonts w:eastAsiaTheme="minorHAnsi"/>
                <w:i/>
              </w:rPr>
              <w:t xml:space="preserve">et al. </w:t>
            </w:r>
            <w:r w:rsidR="00CC50B8">
              <w:rPr>
                <w:rFonts w:eastAsiaTheme="minorHAnsi"/>
              </w:rPr>
              <w:t xml:space="preserve"> </w:t>
            </w:r>
            <w:r w:rsidR="00F8101A" w:rsidRPr="00D01373">
              <w:rPr>
                <w:rFonts w:eastAsiaTheme="minorHAnsi"/>
              </w:rPr>
              <w:t>2014</w:t>
            </w:r>
          </w:p>
          <w:p w14:paraId="4AF0E644" w14:textId="77777777" w:rsidR="00F8101A" w:rsidRPr="00D01373" w:rsidRDefault="00F8101A" w:rsidP="00A111E9">
            <w:pPr>
              <w:widowControl/>
              <w:rPr>
                <w:rFonts w:eastAsiaTheme="minorHAnsi" w:cstheme="minorBidi"/>
                <w:szCs w:val="22"/>
                <w:lang w:bidi="ar-SA"/>
              </w:rPr>
            </w:pPr>
          </w:p>
        </w:tc>
        <w:tc>
          <w:tcPr>
            <w:tcW w:w="4111" w:type="dxa"/>
            <w:vAlign w:val="center"/>
          </w:tcPr>
          <w:p w14:paraId="16BE91E0" w14:textId="10EB9DF2" w:rsidR="00F8101A" w:rsidRPr="00D01373" w:rsidRDefault="00F8101A" w:rsidP="00A111E9">
            <w:pPr>
              <w:widowControl/>
              <w:rPr>
                <w:rFonts w:eastAsiaTheme="minorHAnsi" w:cs="Arial"/>
                <w:sz w:val="20"/>
                <w:szCs w:val="20"/>
                <w:lang w:bidi="ar-SA"/>
              </w:rPr>
            </w:pPr>
            <w:r w:rsidRPr="00D01373">
              <w:rPr>
                <w:rFonts w:eastAsiaTheme="minorHAnsi" w:cs="Arial"/>
                <w:sz w:val="20"/>
                <w:szCs w:val="20"/>
                <w:lang w:bidi="ar-SA"/>
              </w:rPr>
              <w:t>Lowest quartile: median 0.</w:t>
            </w:r>
            <w:r w:rsidR="008144B2">
              <w:rPr>
                <w:rFonts w:eastAsiaTheme="minorHAnsi" w:cs="Arial"/>
                <w:sz w:val="20"/>
                <w:szCs w:val="20"/>
                <w:lang w:bidi="ar-SA"/>
              </w:rPr>
              <w:t>6</w:t>
            </w:r>
            <w:r w:rsidRPr="00D01373">
              <w:rPr>
                <w:rFonts w:eastAsiaTheme="minorHAnsi" w:cs="Arial"/>
                <w:sz w:val="20"/>
                <w:szCs w:val="20"/>
                <w:lang w:bidi="ar-SA"/>
              </w:rPr>
              <w:t xml:space="preserve"> ng/mL</w:t>
            </w:r>
          </w:p>
          <w:p w14:paraId="27EF09AE" w14:textId="77777777" w:rsidR="00F8101A" w:rsidRPr="00D01373" w:rsidRDefault="00F8101A" w:rsidP="00A111E9">
            <w:pPr>
              <w:widowControl/>
              <w:rPr>
                <w:rFonts w:eastAsiaTheme="minorHAnsi" w:cstheme="minorBidi"/>
                <w:szCs w:val="22"/>
                <w:lang w:bidi="ar-SA"/>
              </w:rPr>
            </w:pPr>
            <w:r w:rsidRPr="00D01373">
              <w:rPr>
                <w:rFonts w:eastAsiaTheme="minorHAnsi" w:cs="Arial"/>
                <w:sz w:val="20"/>
                <w:szCs w:val="20"/>
                <w:lang w:bidi="ar-SA"/>
              </w:rPr>
              <w:t>Highest quartile: median 2.6 ng/mL</w:t>
            </w:r>
          </w:p>
        </w:tc>
        <w:tc>
          <w:tcPr>
            <w:tcW w:w="3827" w:type="dxa"/>
          </w:tcPr>
          <w:p w14:paraId="185320BF" w14:textId="77777777"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t>Inconsistent increase of &lt;0.1 natural log units across quartiles</w:t>
            </w:r>
          </w:p>
        </w:tc>
      </w:tr>
    </w:tbl>
    <w:p w14:paraId="7243E556" w14:textId="77777777" w:rsidR="00F8101A" w:rsidRPr="00D01373" w:rsidRDefault="00F8101A" w:rsidP="00A111E9">
      <w:pPr>
        <w:widowControl/>
        <w:rPr>
          <w:rFonts w:eastAsiaTheme="minorHAnsi" w:cstheme="minorBidi"/>
          <w:szCs w:val="22"/>
          <w:lang w:bidi="ar-SA"/>
        </w:rPr>
      </w:pPr>
    </w:p>
    <w:p w14:paraId="7A611025" w14:textId="265366DC" w:rsidR="00F8101A" w:rsidRPr="007D047A" w:rsidRDefault="00F8101A" w:rsidP="00A111E9">
      <w:pPr>
        <w:pStyle w:val="FSFigureTitle"/>
        <w:rPr>
          <w:rFonts w:eastAsiaTheme="minorHAnsi"/>
        </w:rPr>
      </w:pPr>
      <w:r w:rsidRPr="00D01373">
        <w:rPr>
          <w:rFonts w:eastAsiaTheme="minorHAnsi"/>
        </w:rPr>
        <w:t xml:space="preserve">Figure </w:t>
      </w:r>
      <w:r w:rsidR="006333FD" w:rsidRPr="00D01373">
        <w:rPr>
          <w:rFonts w:eastAsiaTheme="minorHAnsi"/>
        </w:rPr>
        <w:t>A2.</w:t>
      </w:r>
      <w:r w:rsidRPr="00D01373">
        <w:rPr>
          <w:rFonts w:eastAsiaTheme="minorHAnsi"/>
        </w:rPr>
        <w:t xml:space="preserve">8 Association between </w:t>
      </w:r>
      <w:r w:rsidRPr="00D01373">
        <w:rPr>
          <w:rFonts w:eastAsiaTheme="minorHAnsi"/>
          <w:b/>
        </w:rPr>
        <w:t>PFOS</w:t>
      </w:r>
      <w:r w:rsidRPr="00D01373">
        <w:rPr>
          <w:rFonts w:eastAsiaTheme="minorHAnsi"/>
        </w:rPr>
        <w:t xml:space="preserve"> and serum </w:t>
      </w:r>
      <w:r w:rsidRPr="00D01373">
        <w:rPr>
          <w:rFonts w:eastAsiaTheme="minorHAnsi"/>
          <w:b/>
        </w:rPr>
        <w:t>HDL</w:t>
      </w:r>
      <w:r w:rsidRPr="00D01373">
        <w:rPr>
          <w:rFonts w:eastAsiaTheme="minorHAnsi"/>
        </w:rPr>
        <w:t xml:space="preserve"> cholesterol concentrations in</w:t>
      </w:r>
      <w:r w:rsidRPr="00D01373">
        <w:rPr>
          <w:rFonts w:eastAsiaTheme="minorHAnsi"/>
          <w:b/>
        </w:rPr>
        <w:t xml:space="preserve"> adults</w:t>
      </w:r>
      <w:r w:rsidRPr="00D01373">
        <w:rPr>
          <w:rFonts w:eastAsiaTheme="minorHAnsi"/>
        </w:rPr>
        <w:t xml:space="preserve"> A: papers which provided enough information to graph their results B: magnified view of the low PFOA concentration range; C: tabulation of results reported in paper which provided insufficient data for graphical presentation</w:t>
      </w:r>
    </w:p>
    <w:p w14:paraId="78B55785" w14:textId="77777777"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br w:type="page"/>
      </w:r>
    </w:p>
    <w:p w14:paraId="5FEB81B9" w14:textId="77777777" w:rsidR="00F8101A" w:rsidRPr="00D01373" w:rsidRDefault="00F8101A" w:rsidP="00DE222C">
      <w:pPr>
        <w:pStyle w:val="Heading5"/>
        <w:rPr>
          <w:rFonts w:eastAsiaTheme="minorHAnsi"/>
        </w:rPr>
      </w:pPr>
      <w:r w:rsidRPr="00D01373">
        <w:rPr>
          <w:rFonts w:eastAsiaTheme="minorHAnsi"/>
        </w:rPr>
        <w:lastRenderedPageBreak/>
        <w:t>Pregnant women</w:t>
      </w:r>
    </w:p>
    <w:p w14:paraId="651BA800" w14:textId="3A171260"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t xml:space="preserve">Two studies examined the association between total-C and PFOS concentration in the range of 10-30 ng/mL PFOS </w:t>
      </w:r>
      <w:r w:rsidR="0002067B">
        <w:rPr>
          <w:rFonts w:eastAsiaTheme="minorHAnsi" w:cstheme="minorBidi"/>
          <w:szCs w:val="22"/>
          <w:lang w:bidi="ar-SA"/>
        </w:rPr>
        <w:t>in</w:t>
      </w:r>
      <w:r w:rsidR="00340A26">
        <w:rPr>
          <w:rFonts w:eastAsiaTheme="minorHAnsi" w:cstheme="minorBidi"/>
          <w:szCs w:val="22"/>
          <w:lang w:bidi="ar-SA"/>
        </w:rPr>
        <w:t xml:space="preserve"> pregnant women </w:t>
      </w:r>
      <w:r w:rsidRPr="00D01373">
        <w:rPr>
          <w:rFonts w:eastAsiaTheme="minorHAnsi" w:cstheme="minorBidi"/>
          <w:szCs w:val="22"/>
          <w:lang w:bidi="ar-SA"/>
        </w:rPr>
        <w:t xml:space="preserve">and found a positive association. </w:t>
      </w:r>
      <w:r w:rsidR="0002067B">
        <w:rPr>
          <w:rFonts w:eastAsiaTheme="minorHAnsi" w:cstheme="minorBidi"/>
          <w:szCs w:val="22"/>
          <w:lang w:bidi="ar-SA"/>
        </w:rPr>
        <w:t xml:space="preserve">The range of PFOS concentrations covered by the studies was more similar to the general population (See Figure A2.6B) than was the case for PFOA. </w:t>
      </w:r>
      <w:r w:rsidRPr="00D01373">
        <w:rPr>
          <w:rFonts w:eastAsiaTheme="minorHAnsi" w:cstheme="minorBidi"/>
          <w:szCs w:val="22"/>
          <w:lang w:bidi="ar-SA"/>
        </w:rPr>
        <w:t xml:space="preserve">The greatest increase was 0.44 mmol/L for the quintile with PFOS concentration </w:t>
      </w:r>
      <w:r w:rsidR="00340A26">
        <w:rPr>
          <w:rFonts w:eastAsiaTheme="minorHAnsi" w:cstheme="minorBidi"/>
          <w:szCs w:val="22"/>
          <w:lang w:bidi="ar-SA"/>
        </w:rPr>
        <w:t xml:space="preserve">of </w:t>
      </w:r>
      <w:r w:rsidRPr="00D01373">
        <w:rPr>
          <w:rFonts w:eastAsiaTheme="minorHAnsi" w:cstheme="minorBidi"/>
          <w:szCs w:val="22"/>
          <w:lang w:bidi="ar-SA"/>
        </w:rPr>
        <w:t xml:space="preserve">27.7 ng/mL or greater. This was paralleled by LDL-C and there was as an increase in HDL-C (good cholesterol) of the same magnitude (Figure </w:t>
      </w:r>
      <w:r w:rsidR="006333FD" w:rsidRPr="00D01373">
        <w:rPr>
          <w:rFonts w:eastAsiaTheme="minorHAnsi" w:cstheme="minorBidi"/>
          <w:szCs w:val="22"/>
          <w:lang w:bidi="ar-SA"/>
        </w:rPr>
        <w:t>A2.</w:t>
      </w:r>
      <w:r w:rsidRPr="00D01373">
        <w:rPr>
          <w:rFonts w:eastAsiaTheme="minorHAnsi" w:cstheme="minorBidi"/>
          <w:szCs w:val="22"/>
          <w:lang w:bidi="ar-SA"/>
        </w:rPr>
        <w:t>9).</w:t>
      </w:r>
    </w:p>
    <w:p w14:paraId="7DE67A1A" w14:textId="43B46006" w:rsidR="00F8101A" w:rsidRPr="00D01373" w:rsidRDefault="00DE222C" w:rsidP="00DE222C">
      <w:pPr>
        <w:pStyle w:val="Heading5"/>
        <w:rPr>
          <w:rFonts w:eastAsiaTheme="minorHAnsi"/>
        </w:rPr>
      </w:pPr>
      <w:r>
        <w:rPr>
          <w:rFonts w:eastAsiaTheme="minorHAnsi"/>
        </w:rPr>
        <w:t>C</w:t>
      </w:r>
      <w:r w:rsidR="00F8101A" w:rsidRPr="00D01373">
        <w:rPr>
          <w:rFonts w:eastAsiaTheme="minorHAnsi"/>
        </w:rPr>
        <w:t>hildren and young people</w:t>
      </w:r>
    </w:p>
    <w:p w14:paraId="773550BE" w14:textId="2228AEF7"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t>The results in children are similar to the results in adults</w:t>
      </w:r>
      <w:r w:rsidR="006333FD" w:rsidRPr="00D01373">
        <w:rPr>
          <w:rFonts w:eastAsiaTheme="minorHAnsi" w:cstheme="minorBidi"/>
          <w:szCs w:val="22"/>
          <w:lang w:bidi="ar-SA"/>
        </w:rPr>
        <w:t xml:space="preserve"> (Figure A2.10)</w:t>
      </w:r>
      <w:r w:rsidRPr="00D01373">
        <w:rPr>
          <w:rFonts w:eastAsiaTheme="minorHAnsi" w:cstheme="minorBidi"/>
          <w:szCs w:val="22"/>
          <w:lang w:bidi="ar-SA"/>
        </w:rPr>
        <w:t xml:space="preserve">. As noted above, Maisonet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 xml:space="preserve">(2015) </w:t>
      </w:r>
      <w:r w:rsidR="00340A26">
        <w:rPr>
          <w:rFonts w:eastAsiaTheme="minorHAnsi" w:cstheme="minorBidi"/>
          <w:szCs w:val="22"/>
          <w:lang w:bidi="ar-SA"/>
        </w:rPr>
        <w:t>reported on a</w:t>
      </w:r>
      <w:r w:rsidRPr="00D01373">
        <w:rPr>
          <w:rFonts w:eastAsiaTheme="minorHAnsi" w:cstheme="minorBidi"/>
          <w:szCs w:val="22"/>
          <w:lang w:bidi="ar-SA"/>
        </w:rPr>
        <w:t xml:space="preserve"> longitudinal study which compared the concentration of PFAS in maternal blood during pregnancy to the cholesterol concentration of daughters at age 15 and the apparent size of the effect relative to other studies may be related to a zeroing problem. The association between LDL-C and </w:t>
      </w:r>
      <w:r w:rsidR="0002067B">
        <w:rPr>
          <w:rFonts w:eastAsiaTheme="minorHAnsi" w:cstheme="minorBidi"/>
          <w:szCs w:val="22"/>
          <w:lang w:bidi="ar-SA"/>
        </w:rPr>
        <w:t>PFOS</w:t>
      </w:r>
      <w:r w:rsidRPr="00D01373">
        <w:rPr>
          <w:rFonts w:eastAsiaTheme="minorHAnsi" w:cstheme="minorBidi"/>
          <w:szCs w:val="22"/>
          <w:lang w:bidi="ar-SA"/>
        </w:rPr>
        <w:t xml:space="preserve"> parallels that for total-C and is consistent in direction across the studies. By contrast, the studies have variable findings relating to HDL-C which suggests that there is no association overall.</w:t>
      </w:r>
    </w:p>
    <w:p w14:paraId="44FCF3C5" w14:textId="77777777" w:rsidR="00F8101A" w:rsidRPr="00D01373" w:rsidRDefault="00F8101A" w:rsidP="004264B6">
      <w:pPr>
        <w:pStyle w:val="Heading4"/>
      </w:pPr>
      <w:bookmarkStart w:id="639" w:name="_Toc468693997"/>
      <w:bookmarkStart w:id="640" w:name="_Toc468712813"/>
      <w:bookmarkStart w:id="641" w:name="_Toc468716505"/>
      <w:bookmarkStart w:id="642" w:name="_Toc468709492"/>
      <w:bookmarkStart w:id="643" w:name="_Toc468717792"/>
      <w:bookmarkStart w:id="644" w:name="_Toc468718436"/>
      <w:bookmarkStart w:id="645" w:name="_Toc468719416"/>
      <w:r w:rsidRPr="00D01373">
        <w:t>Commentary</w:t>
      </w:r>
      <w:bookmarkEnd w:id="639"/>
      <w:bookmarkEnd w:id="640"/>
      <w:bookmarkEnd w:id="641"/>
      <w:bookmarkEnd w:id="642"/>
      <w:bookmarkEnd w:id="643"/>
      <w:bookmarkEnd w:id="644"/>
      <w:bookmarkEnd w:id="645"/>
    </w:p>
    <w:p w14:paraId="3720A595" w14:textId="4BA42F27"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t xml:space="preserve">This report has focused on describing the results from the studies </w:t>
      </w:r>
      <w:r w:rsidR="0002067B">
        <w:rPr>
          <w:rFonts w:eastAsiaTheme="minorHAnsi" w:cstheme="minorBidi"/>
          <w:szCs w:val="22"/>
          <w:lang w:bidi="ar-SA"/>
        </w:rPr>
        <w:t>of</w:t>
      </w:r>
      <w:r w:rsidR="00340A26">
        <w:rPr>
          <w:rFonts w:eastAsiaTheme="minorHAnsi" w:cstheme="minorBidi"/>
          <w:szCs w:val="22"/>
          <w:lang w:bidi="ar-SA"/>
        </w:rPr>
        <w:t xml:space="preserve"> PFAS chemicals and cholesterol concentrations but </w:t>
      </w:r>
      <w:r w:rsidRPr="00D01373">
        <w:rPr>
          <w:rFonts w:eastAsiaTheme="minorHAnsi" w:cstheme="minorBidi"/>
          <w:szCs w:val="22"/>
          <w:lang w:bidi="ar-SA"/>
        </w:rPr>
        <w:t>has not considered either p-values or standard errors for several reasons. Firstly, p-</w:t>
      </w:r>
      <w:r w:rsidRPr="00CA37F9">
        <w:rPr>
          <w:rFonts w:eastAsiaTheme="minorHAnsi" w:cstheme="minorBidi"/>
          <w:szCs w:val="22"/>
          <w:lang w:bidi="ar-SA"/>
        </w:rPr>
        <w:t xml:space="preserve">values are not a measure of effect; </w:t>
      </w:r>
      <w:r w:rsidR="00CA37F9" w:rsidRPr="00CA37F9">
        <w:rPr>
          <w:rFonts w:eastAsiaTheme="minorHAnsi" w:cstheme="minorBidi"/>
          <w:szCs w:val="22"/>
          <w:lang w:bidi="ar-SA"/>
        </w:rPr>
        <w:t xml:space="preserve">they describe the probability of obtaining the observed result, or a more extreme result, if the null hypothesis is true.  It is customary to set some value, such as &lt;0.05 to reject the null hypothsis and this is called ‘statistically significant’. </w:t>
      </w:r>
      <w:r w:rsidRPr="00CA37F9">
        <w:rPr>
          <w:rFonts w:eastAsiaTheme="minorHAnsi" w:cstheme="minorBidi"/>
          <w:szCs w:val="22"/>
          <w:lang w:bidi="ar-SA"/>
        </w:rPr>
        <w:t xml:space="preserve"> If there is truly no effect or association</w:t>
      </w:r>
      <w:r w:rsidR="00CA37F9" w:rsidRPr="00CA37F9">
        <w:rPr>
          <w:rFonts w:eastAsiaTheme="minorHAnsi" w:cstheme="minorBidi"/>
          <w:szCs w:val="22"/>
          <w:lang w:bidi="ar-SA"/>
        </w:rPr>
        <w:t xml:space="preserve"> (the null hypothesis seems to be correct)</w:t>
      </w:r>
      <w:r w:rsidRPr="00CA37F9">
        <w:rPr>
          <w:rFonts w:eastAsiaTheme="minorHAnsi" w:cstheme="minorBidi"/>
          <w:szCs w:val="22"/>
          <w:lang w:bidi="ar-SA"/>
        </w:rPr>
        <w:t>, then this will not be statistically significant, by definition</w:t>
      </w:r>
      <w:r w:rsidRPr="00D01373">
        <w:rPr>
          <w:rFonts w:eastAsiaTheme="minorHAnsi" w:cstheme="minorBidi"/>
          <w:szCs w:val="22"/>
          <w:lang w:bidi="ar-SA"/>
        </w:rPr>
        <w:t xml:space="preserve">. It is not possible to determine whether the inconsistent </w:t>
      </w:r>
      <w:r w:rsidR="003E0167">
        <w:rPr>
          <w:rFonts w:eastAsiaTheme="minorHAnsi" w:cstheme="minorBidi"/>
          <w:szCs w:val="22"/>
          <w:lang w:bidi="ar-SA"/>
        </w:rPr>
        <w:t xml:space="preserve">presentation of </w:t>
      </w:r>
      <w:r w:rsidRPr="00D01373">
        <w:rPr>
          <w:rFonts w:eastAsiaTheme="minorHAnsi" w:cstheme="minorBidi"/>
          <w:szCs w:val="22"/>
          <w:lang w:bidi="ar-SA"/>
        </w:rPr>
        <w:t xml:space="preserve">information across the studies </w:t>
      </w:r>
      <w:r w:rsidR="003E0167">
        <w:rPr>
          <w:rFonts w:eastAsiaTheme="minorHAnsi" w:cstheme="minorBidi"/>
          <w:szCs w:val="22"/>
          <w:lang w:bidi="ar-SA"/>
        </w:rPr>
        <w:t>occurs</w:t>
      </w:r>
      <w:r w:rsidRPr="00D01373">
        <w:rPr>
          <w:rFonts w:eastAsiaTheme="minorHAnsi" w:cstheme="minorBidi"/>
          <w:szCs w:val="22"/>
          <w:lang w:bidi="ar-SA"/>
        </w:rPr>
        <w:t xml:space="preserve"> because the samples were not tested for certain cholesterol fractions or whether the authors have failed to report non-significant associations. It is also notable that some papers do not report all results, possibly because they were not statistically significant. For example, Lin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 xml:space="preserve">(2013) provide numerical data for their non-significant LDL-C analyses, but not for their total-C or HDL-C analyses. Gilliland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 xml:space="preserve">(1996) found non-significant </w:t>
      </w:r>
      <w:r w:rsidR="00340A26">
        <w:rPr>
          <w:rFonts w:eastAsiaTheme="minorHAnsi" w:cstheme="minorBidi"/>
          <w:szCs w:val="22"/>
          <w:lang w:bidi="ar-SA"/>
        </w:rPr>
        <w:t xml:space="preserve">associations </w:t>
      </w:r>
      <w:r w:rsidRPr="00D01373">
        <w:rPr>
          <w:rFonts w:eastAsiaTheme="minorHAnsi" w:cstheme="minorBidi"/>
          <w:szCs w:val="22"/>
          <w:lang w:bidi="ar-SA"/>
        </w:rPr>
        <w:t xml:space="preserve">between all </w:t>
      </w:r>
      <w:r w:rsidR="0002067B">
        <w:rPr>
          <w:rFonts w:eastAsiaTheme="minorHAnsi" w:cstheme="minorBidi"/>
          <w:szCs w:val="22"/>
          <w:lang w:bidi="ar-SA"/>
        </w:rPr>
        <w:t>three</w:t>
      </w:r>
      <w:r w:rsidRPr="00D01373">
        <w:rPr>
          <w:rFonts w:eastAsiaTheme="minorHAnsi" w:cstheme="minorBidi"/>
          <w:szCs w:val="22"/>
          <w:lang w:bidi="ar-SA"/>
        </w:rPr>
        <w:t xml:space="preserve"> cholesterol</w:t>
      </w:r>
      <w:r w:rsidR="0002067B">
        <w:rPr>
          <w:rFonts w:eastAsiaTheme="minorHAnsi" w:cstheme="minorBidi"/>
          <w:szCs w:val="22"/>
          <w:lang w:bidi="ar-SA"/>
        </w:rPr>
        <w:t xml:space="preserve"> fraction</w:t>
      </w:r>
      <w:r w:rsidRPr="00D01373">
        <w:rPr>
          <w:rFonts w:eastAsiaTheme="minorHAnsi" w:cstheme="minorBidi"/>
          <w:szCs w:val="22"/>
          <w:lang w:bidi="ar-SA"/>
        </w:rPr>
        <w:t>s and total serum fluorine</w:t>
      </w:r>
      <w:r w:rsidR="00340A26">
        <w:rPr>
          <w:rFonts w:eastAsiaTheme="minorHAnsi" w:cstheme="minorBidi"/>
          <w:szCs w:val="22"/>
          <w:lang w:bidi="ar-SA"/>
        </w:rPr>
        <w:t xml:space="preserve"> (as a surrogate for PFAS)</w:t>
      </w:r>
      <w:r w:rsidRPr="00D01373">
        <w:rPr>
          <w:rFonts w:eastAsiaTheme="minorHAnsi" w:cstheme="minorBidi"/>
          <w:szCs w:val="22"/>
          <w:lang w:bidi="ar-SA"/>
        </w:rPr>
        <w:t xml:space="preserve">, but then presented a significant reduction </w:t>
      </w:r>
      <w:r w:rsidR="00340A26">
        <w:rPr>
          <w:rFonts w:eastAsiaTheme="minorHAnsi" w:cstheme="minorBidi"/>
          <w:szCs w:val="22"/>
          <w:lang w:bidi="ar-SA"/>
        </w:rPr>
        <w:t>in</w:t>
      </w:r>
      <w:r w:rsidRPr="00D01373">
        <w:rPr>
          <w:rFonts w:eastAsiaTheme="minorHAnsi" w:cstheme="minorBidi"/>
          <w:szCs w:val="22"/>
          <w:lang w:bidi="ar-SA"/>
        </w:rPr>
        <w:t xml:space="preserve"> HDL-C from a regression analysis in which a categorised HDL-C variable appears to have been analysed as a continuous variable. Therefore the question of whether there is publication bias affecting this body of literature must be raised.</w:t>
      </w:r>
    </w:p>
    <w:p w14:paraId="7A7D16DF" w14:textId="77777777" w:rsidR="00F8101A" w:rsidRPr="00D01373" w:rsidRDefault="00F8101A" w:rsidP="00A111E9">
      <w:pPr>
        <w:widowControl/>
        <w:rPr>
          <w:rFonts w:eastAsiaTheme="minorHAnsi" w:cstheme="minorBidi"/>
          <w:szCs w:val="22"/>
          <w:lang w:bidi="ar-SA"/>
        </w:rPr>
      </w:pPr>
    </w:p>
    <w:p w14:paraId="2BE36FBC" w14:textId="74B1D2CA"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t xml:space="preserve">Studies have been included </w:t>
      </w:r>
      <w:r w:rsidR="003E0167">
        <w:rPr>
          <w:rFonts w:eastAsiaTheme="minorHAnsi" w:cstheme="minorBidi"/>
          <w:szCs w:val="22"/>
          <w:lang w:bidi="ar-SA"/>
        </w:rPr>
        <w:t xml:space="preserve">in this review </w:t>
      </w:r>
      <w:r w:rsidRPr="00D01373">
        <w:rPr>
          <w:rFonts w:eastAsiaTheme="minorHAnsi" w:cstheme="minorBidi"/>
          <w:szCs w:val="22"/>
          <w:lang w:bidi="ar-SA"/>
        </w:rPr>
        <w:t xml:space="preserve">regardless of whether or not they have reported their results in a common format because failure to do this may have introduced a bias into the </w:t>
      </w:r>
      <w:r w:rsidR="003E0167">
        <w:rPr>
          <w:rFonts w:eastAsiaTheme="minorHAnsi" w:cstheme="minorBidi"/>
          <w:szCs w:val="22"/>
          <w:lang w:bidi="ar-SA"/>
        </w:rPr>
        <w:t>body of evidence</w:t>
      </w:r>
      <w:r w:rsidRPr="00D01373">
        <w:rPr>
          <w:rFonts w:eastAsiaTheme="minorHAnsi" w:cstheme="minorBidi"/>
          <w:szCs w:val="22"/>
          <w:lang w:bidi="ar-SA"/>
        </w:rPr>
        <w:t>. As far as it is possible to tell, the results of studies which could not be graphed do not contradict the results of studies which could be graphed in a qualitative sense although it is not possible to make a quantitative comparison.</w:t>
      </w:r>
    </w:p>
    <w:p w14:paraId="4F424966" w14:textId="77777777" w:rsidR="00F8101A" w:rsidRPr="00D01373" w:rsidRDefault="00F8101A" w:rsidP="00A111E9">
      <w:pPr>
        <w:widowControl/>
        <w:rPr>
          <w:rFonts w:eastAsiaTheme="minorHAnsi" w:cstheme="minorBidi"/>
          <w:szCs w:val="22"/>
          <w:lang w:bidi="ar-SA"/>
        </w:rPr>
      </w:pPr>
    </w:p>
    <w:p w14:paraId="3D06C08C" w14:textId="2EABC528"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t>In addition, some of the methods used to analyse data in some papers seem questionable and so their p-values and standard errors are also questionable. For example, in one paper it seems that the PFAS data have been grouped into quantiles and then the quantiles have been entered into the regression equation as a continuous variable instead of being treated as a set of dummy variables. No quantitative results can be derived from some studies because one or both of the PFAS and cholesterol variable</w:t>
      </w:r>
      <w:r w:rsidR="00340A26">
        <w:rPr>
          <w:rFonts w:eastAsiaTheme="minorHAnsi" w:cstheme="minorBidi"/>
          <w:szCs w:val="22"/>
          <w:lang w:bidi="ar-SA"/>
        </w:rPr>
        <w:t>s</w:t>
      </w:r>
      <w:r w:rsidRPr="00D01373">
        <w:rPr>
          <w:rFonts w:eastAsiaTheme="minorHAnsi" w:cstheme="minorBidi"/>
          <w:szCs w:val="22"/>
          <w:lang w:bidi="ar-SA"/>
        </w:rPr>
        <w:t xml:space="preserve"> have been logarithmical</w:t>
      </w:r>
      <w:r w:rsidR="00340A26">
        <w:rPr>
          <w:rFonts w:eastAsiaTheme="minorHAnsi" w:cstheme="minorBidi"/>
          <w:szCs w:val="22"/>
          <w:lang w:bidi="ar-SA"/>
        </w:rPr>
        <w:t>ly transformed but the authors d</w:t>
      </w:r>
      <w:r w:rsidRPr="00D01373">
        <w:rPr>
          <w:rFonts w:eastAsiaTheme="minorHAnsi" w:cstheme="minorBidi"/>
          <w:szCs w:val="22"/>
          <w:lang w:bidi="ar-SA"/>
        </w:rPr>
        <w:t xml:space="preserve">o not state the base used in the transformation </w:t>
      </w:r>
      <w:r w:rsidR="00340A26">
        <w:rPr>
          <w:rFonts w:eastAsiaTheme="minorHAnsi" w:cstheme="minorBidi"/>
          <w:szCs w:val="22"/>
          <w:lang w:bidi="ar-SA"/>
        </w:rPr>
        <w:t>or</w:t>
      </w:r>
      <w:r w:rsidRPr="00D01373">
        <w:rPr>
          <w:rFonts w:eastAsiaTheme="minorHAnsi" w:cstheme="minorBidi"/>
          <w:szCs w:val="22"/>
          <w:lang w:bidi="ar-SA"/>
        </w:rPr>
        <w:t xml:space="preserve"> provide any back-transformed results. In this case, it is only possible to state the direction of the association found in the study.</w:t>
      </w:r>
    </w:p>
    <w:p w14:paraId="1F5B86B5" w14:textId="77777777"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lastRenderedPageBreak/>
        <w:t>A</w:t>
      </w:r>
    </w:p>
    <w:p w14:paraId="154B7DC9" w14:textId="77777777" w:rsidR="00F8101A" w:rsidRPr="00D01373" w:rsidRDefault="00F8101A" w:rsidP="00A111E9">
      <w:pPr>
        <w:widowControl/>
        <w:rPr>
          <w:rFonts w:eastAsiaTheme="minorHAnsi" w:cstheme="minorBidi"/>
          <w:noProof/>
          <w:szCs w:val="22"/>
          <w:lang w:eastAsia="en-GB" w:bidi="ar-SA"/>
        </w:rPr>
      </w:pPr>
      <w:r w:rsidRPr="00D01373">
        <w:rPr>
          <w:rFonts w:eastAsiaTheme="minorHAnsi" w:cstheme="minorBidi"/>
          <w:noProof/>
          <w:szCs w:val="22"/>
          <w:lang w:eastAsia="en-GB" w:bidi="ar-SA"/>
        </w:rPr>
        <w:drawing>
          <wp:inline distT="0" distB="0" distL="0" distR="0" wp14:anchorId="0C0B48B0" wp14:editId="60107951">
            <wp:extent cx="4552950" cy="2743200"/>
            <wp:effectExtent l="0" t="0" r="0" b="0"/>
            <wp:docPr id="32" name="Picture 32" title="Figure A2.9 Association between PFOS and serum cholesterol concentrations in pregnant women A: total choleste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4552950" cy="2743200"/>
                    </a:xfrm>
                    <a:prstGeom prst="rect">
                      <a:avLst/>
                    </a:prstGeom>
                  </pic:spPr>
                </pic:pic>
              </a:graphicData>
            </a:graphic>
          </wp:inline>
        </w:drawing>
      </w:r>
    </w:p>
    <w:p w14:paraId="0C254C0F" w14:textId="77777777" w:rsidR="00F8101A" w:rsidRPr="00D01373" w:rsidRDefault="00F8101A" w:rsidP="00A111E9">
      <w:pPr>
        <w:widowControl/>
        <w:rPr>
          <w:rFonts w:eastAsiaTheme="minorHAnsi" w:cstheme="minorBidi"/>
          <w:noProof/>
          <w:szCs w:val="22"/>
          <w:lang w:val="en-AU" w:eastAsia="en-AU" w:bidi="ar-SA"/>
        </w:rPr>
      </w:pPr>
      <w:r w:rsidRPr="00D01373">
        <w:rPr>
          <w:rFonts w:eastAsiaTheme="minorHAnsi" w:cstheme="minorBidi"/>
          <w:noProof/>
          <w:szCs w:val="22"/>
          <w:lang w:val="en-AU" w:eastAsia="en-AU" w:bidi="ar-SA"/>
        </w:rPr>
        <w:t>B</w:t>
      </w:r>
    </w:p>
    <w:p w14:paraId="0DE38C3B" w14:textId="77777777" w:rsidR="00F8101A" w:rsidRPr="00D01373" w:rsidRDefault="00F8101A" w:rsidP="00A111E9">
      <w:pPr>
        <w:widowControl/>
        <w:rPr>
          <w:rFonts w:eastAsiaTheme="minorHAnsi" w:cstheme="minorBidi"/>
          <w:noProof/>
          <w:szCs w:val="22"/>
          <w:lang w:val="en-AU" w:eastAsia="en-AU" w:bidi="ar-SA"/>
        </w:rPr>
      </w:pPr>
      <w:r w:rsidRPr="00D01373">
        <w:rPr>
          <w:rFonts w:eastAsiaTheme="minorHAnsi" w:cstheme="minorBidi"/>
          <w:noProof/>
          <w:szCs w:val="22"/>
          <w:lang w:eastAsia="en-GB" w:bidi="ar-SA"/>
        </w:rPr>
        <w:drawing>
          <wp:inline distT="0" distB="0" distL="0" distR="0" wp14:anchorId="4601A4BB" wp14:editId="730B0B70">
            <wp:extent cx="4629150" cy="2466975"/>
            <wp:effectExtent l="0" t="0" r="0" b="0"/>
            <wp:docPr id="33" name="Picture 33" title="Figure A2.9 Association between PFOS and serum cholesterol concentrations in pregnant women B: LDL choleste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4629150" cy="2466975"/>
                    </a:xfrm>
                    <a:prstGeom prst="rect">
                      <a:avLst/>
                    </a:prstGeom>
                  </pic:spPr>
                </pic:pic>
              </a:graphicData>
            </a:graphic>
          </wp:inline>
        </w:drawing>
      </w:r>
    </w:p>
    <w:p w14:paraId="6D87706C" w14:textId="77777777" w:rsidR="00F8101A" w:rsidRPr="00D01373" w:rsidRDefault="00F8101A" w:rsidP="00A111E9">
      <w:pPr>
        <w:widowControl/>
        <w:rPr>
          <w:rFonts w:eastAsiaTheme="minorHAnsi" w:cstheme="minorBidi"/>
          <w:noProof/>
          <w:szCs w:val="22"/>
          <w:lang w:val="en-AU" w:eastAsia="en-AU" w:bidi="ar-SA"/>
        </w:rPr>
      </w:pPr>
      <w:r w:rsidRPr="00D01373">
        <w:rPr>
          <w:rFonts w:eastAsiaTheme="minorHAnsi" w:cstheme="minorBidi"/>
          <w:noProof/>
          <w:szCs w:val="22"/>
          <w:lang w:val="en-AU" w:eastAsia="en-AU" w:bidi="ar-SA"/>
        </w:rPr>
        <w:t>C</w:t>
      </w:r>
    </w:p>
    <w:p w14:paraId="7FF0D9E3" w14:textId="77777777" w:rsidR="00F8101A" w:rsidRPr="00D01373" w:rsidRDefault="00F8101A" w:rsidP="00A111E9">
      <w:pPr>
        <w:widowControl/>
        <w:rPr>
          <w:rFonts w:eastAsiaTheme="minorHAnsi" w:cstheme="minorBidi"/>
          <w:szCs w:val="22"/>
          <w:lang w:bidi="ar-SA"/>
        </w:rPr>
      </w:pPr>
      <w:r w:rsidRPr="00D01373">
        <w:rPr>
          <w:rFonts w:eastAsiaTheme="minorHAnsi" w:cstheme="minorBidi"/>
          <w:noProof/>
          <w:szCs w:val="22"/>
          <w:lang w:eastAsia="en-GB" w:bidi="ar-SA"/>
        </w:rPr>
        <w:drawing>
          <wp:inline distT="0" distB="0" distL="0" distR="0" wp14:anchorId="1513723D" wp14:editId="0F6FF3AE">
            <wp:extent cx="4629150" cy="2000250"/>
            <wp:effectExtent l="0" t="0" r="0" b="6350"/>
            <wp:docPr id="34" name="Picture 34" title="Figure A2.9 Association between PFOS and serum cholesterol concentrations in pregnant women C: HDL cholester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4629150" cy="2000250"/>
                    </a:xfrm>
                    <a:prstGeom prst="rect">
                      <a:avLst/>
                    </a:prstGeom>
                  </pic:spPr>
                </pic:pic>
              </a:graphicData>
            </a:graphic>
          </wp:inline>
        </w:drawing>
      </w:r>
    </w:p>
    <w:p w14:paraId="55E3E701" w14:textId="77777777" w:rsidR="00F8101A" w:rsidRPr="00D01373" w:rsidRDefault="00F8101A" w:rsidP="00A111E9">
      <w:pPr>
        <w:widowControl/>
        <w:rPr>
          <w:rFonts w:eastAsiaTheme="minorHAnsi" w:cstheme="minorBidi"/>
          <w:b/>
          <w:szCs w:val="22"/>
          <w:lang w:bidi="ar-SA"/>
        </w:rPr>
      </w:pPr>
    </w:p>
    <w:p w14:paraId="1D8A765A" w14:textId="4563B2D3" w:rsidR="00E12275" w:rsidRPr="00E12275" w:rsidRDefault="00F8101A" w:rsidP="00C97E64">
      <w:pPr>
        <w:pStyle w:val="FSFigureTitle"/>
        <w:rPr>
          <w:rFonts w:eastAsiaTheme="minorHAnsi"/>
        </w:rPr>
      </w:pPr>
      <w:r w:rsidRPr="00D01373">
        <w:rPr>
          <w:rFonts w:eastAsiaTheme="minorHAnsi"/>
        </w:rPr>
        <w:t xml:space="preserve">Figure </w:t>
      </w:r>
      <w:r w:rsidR="006333FD" w:rsidRPr="007D047A">
        <w:rPr>
          <w:rFonts w:eastAsiaTheme="minorHAnsi"/>
        </w:rPr>
        <w:t>A2.</w:t>
      </w:r>
      <w:r w:rsidRPr="007D047A">
        <w:rPr>
          <w:rFonts w:eastAsiaTheme="minorHAnsi"/>
        </w:rPr>
        <w:t>9 Association between PFOS and serum cholesterol concentrations in pregnant women A: total cholesterol B: LDL cholesterol C: HDL cholesterol</w:t>
      </w:r>
    </w:p>
    <w:p w14:paraId="4DAEB34D" w14:textId="4815FF03" w:rsidR="002A00A6" w:rsidRDefault="00E12275" w:rsidP="00A111E9">
      <w:pPr>
        <w:pStyle w:val="FSFigureTitle"/>
        <w:rPr>
          <w:rFonts w:eastAsiaTheme="minorHAnsi"/>
        </w:rPr>
      </w:pPr>
      <w:r>
        <w:rPr>
          <w:rFonts w:eastAsiaTheme="minorHAnsi"/>
        </w:rPr>
        <w:t>A</w:t>
      </w:r>
    </w:p>
    <w:p w14:paraId="26BD5296" w14:textId="005AEE19" w:rsidR="00E12275" w:rsidRDefault="00E12275" w:rsidP="00BC19E6">
      <w:pPr>
        <w:rPr>
          <w:rFonts w:eastAsiaTheme="minorHAnsi"/>
        </w:rPr>
      </w:pPr>
      <w:r w:rsidRPr="00BC19E6">
        <w:rPr>
          <w:noProof/>
          <w:lang w:eastAsia="en-GB" w:bidi="ar-SA"/>
        </w:rPr>
        <w:lastRenderedPageBreak/>
        <w:drawing>
          <wp:inline distT="0" distB="0" distL="0" distR="0" wp14:anchorId="7C695863" wp14:editId="6EABCE99">
            <wp:extent cx="4905375" cy="2743200"/>
            <wp:effectExtent l="0" t="0" r="9525" b="0"/>
            <wp:docPr id="48" name="Picture 48" descr="This figure depicts data relating to the difference in total cholesterol compared to lowest group in same study." title="Figure B: Difference in total cholesterol compared to lowest group in sam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905375" cy="2743200"/>
                    </a:xfrm>
                    <a:prstGeom prst="rect">
                      <a:avLst/>
                    </a:prstGeom>
                  </pic:spPr>
                </pic:pic>
              </a:graphicData>
            </a:graphic>
          </wp:inline>
        </w:drawing>
      </w:r>
    </w:p>
    <w:p w14:paraId="70486FA3" w14:textId="79BA6140" w:rsidR="00E12275" w:rsidRDefault="00E12275" w:rsidP="00BC19E6">
      <w:pPr>
        <w:rPr>
          <w:rFonts w:eastAsiaTheme="minorHAnsi"/>
        </w:rPr>
      </w:pPr>
      <w:r>
        <w:rPr>
          <w:rFonts w:eastAsiaTheme="minorHAnsi"/>
        </w:rPr>
        <w:t>B</w:t>
      </w:r>
    </w:p>
    <w:p w14:paraId="383F916A" w14:textId="77777777" w:rsidR="00E12275" w:rsidRDefault="00E12275" w:rsidP="00BC19E6">
      <w:pPr>
        <w:rPr>
          <w:rFonts w:eastAsiaTheme="minorHAnsi"/>
        </w:rPr>
      </w:pPr>
    </w:p>
    <w:p w14:paraId="0AED0866" w14:textId="31323983" w:rsidR="00E12275" w:rsidRDefault="00E12275" w:rsidP="00BC19E6">
      <w:pPr>
        <w:rPr>
          <w:rFonts w:eastAsiaTheme="minorHAnsi"/>
        </w:rPr>
      </w:pPr>
      <w:r w:rsidRPr="00BC19E6">
        <w:rPr>
          <w:noProof/>
          <w:lang w:eastAsia="en-GB" w:bidi="ar-SA"/>
        </w:rPr>
        <w:drawing>
          <wp:inline distT="0" distB="0" distL="0" distR="0" wp14:anchorId="02119281" wp14:editId="16EE7C7E">
            <wp:extent cx="4819650" cy="2857500"/>
            <wp:effectExtent l="0" t="0" r="0" b="0"/>
            <wp:docPr id="49" name="Picture 49" descr="This figure depicts data relating to the difference in LDLl cholesterol compared to lowest group in same study." title="Figure B: This figure depicts data relating to the difference in LDL cholesterol compared to lowest group in sam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819650" cy="2857500"/>
                    </a:xfrm>
                    <a:prstGeom prst="rect">
                      <a:avLst/>
                    </a:prstGeom>
                  </pic:spPr>
                </pic:pic>
              </a:graphicData>
            </a:graphic>
          </wp:inline>
        </w:drawing>
      </w:r>
    </w:p>
    <w:p w14:paraId="3BD338AE" w14:textId="074A222C" w:rsidR="00E12275" w:rsidRDefault="00E12275" w:rsidP="00BC19E6">
      <w:pPr>
        <w:rPr>
          <w:rFonts w:eastAsiaTheme="minorHAnsi"/>
        </w:rPr>
      </w:pPr>
    </w:p>
    <w:p w14:paraId="16475968" w14:textId="6D77EBB6" w:rsidR="00E12275" w:rsidRDefault="00E12275" w:rsidP="00BC19E6">
      <w:pPr>
        <w:rPr>
          <w:rFonts w:eastAsiaTheme="minorHAnsi"/>
        </w:rPr>
      </w:pPr>
      <w:r>
        <w:rPr>
          <w:rFonts w:eastAsiaTheme="minorHAnsi"/>
        </w:rPr>
        <w:t xml:space="preserve"> C</w:t>
      </w:r>
    </w:p>
    <w:p w14:paraId="76DA2FC6" w14:textId="1CD025F1" w:rsidR="002A00A6" w:rsidRDefault="00E12275" w:rsidP="00C97E64">
      <w:pPr>
        <w:rPr>
          <w:rFonts w:eastAsiaTheme="minorHAnsi"/>
        </w:rPr>
      </w:pPr>
      <w:r w:rsidRPr="00BC19E6">
        <w:rPr>
          <w:noProof/>
          <w:lang w:eastAsia="en-GB" w:bidi="ar-SA"/>
        </w:rPr>
        <w:drawing>
          <wp:inline distT="0" distB="0" distL="0" distR="0" wp14:anchorId="5835227E" wp14:editId="25A03A42">
            <wp:extent cx="4867275" cy="2343150"/>
            <wp:effectExtent l="0" t="0" r="9525" b="0"/>
            <wp:docPr id="51" name="Picture 51" descr="This figure depicts data relating to the difference in total cholesterol compared to lowest group in same study." title="Figure C: difference in HDL cholesterol compared to lowest group in sam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867275" cy="2343150"/>
                    </a:xfrm>
                    <a:prstGeom prst="rect">
                      <a:avLst/>
                    </a:prstGeom>
                  </pic:spPr>
                </pic:pic>
              </a:graphicData>
            </a:graphic>
          </wp:inline>
        </w:drawing>
      </w:r>
    </w:p>
    <w:p w14:paraId="38F49F8A" w14:textId="0D894522" w:rsidR="00F8101A" w:rsidRPr="007D047A" w:rsidRDefault="00F8101A" w:rsidP="00A111E9">
      <w:pPr>
        <w:pStyle w:val="FSFigureTitle"/>
        <w:rPr>
          <w:rFonts w:eastAsiaTheme="minorHAnsi"/>
        </w:rPr>
      </w:pPr>
      <w:r w:rsidRPr="00E12275">
        <w:rPr>
          <w:rFonts w:eastAsiaTheme="minorHAnsi"/>
        </w:rPr>
        <w:t xml:space="preserve">Figure </w:t>
      </w:r>
      <w:r w:rsidR="006333FD" w:rsidRPr="00E12275">
        <w:rPr>
          <w:rFonts w:eastAsiaTheme="minorHAnsi"/>
        </w:rPr>
        <w:t>A2.</w:t>
      </w:r>
      <w:r w:rsidRPr="00E12275">
        <w:rPr>
          <w:rFonts w:eastAsiaTheme="minorHAnsi"/>
        </w:rPr>
        <w:t xml:space="preserve">10 Association between PFOS and serum cholesterol concentrations in children </w:t>
      </w:r>
      <w:r w:rsidRPr="00E12275">
        <w:rPr>
          <w:rFonts w:eastAsiaTheme="minorHAnsi"/>
        </w:rPr>
        <w:lastRenderedPageBreak/>
        <w:t>and young people A: total cholesterol B</w:t>
      </w:r>
      <w:r w:rsidR="00170A03" w:rsidRPr="004766BF">
        <w:rPr>
          <w:rFonts w:eastAsiaTheme="minorHAnsi"/>
        </w:rPr>
        <w:t>:</w:t>
      </w:r>
      <w:r w:rsidRPr="004766BF">
        <w:rPr>
          <w:rFonts w:eastAsiaTheme="minorHAnsi"/>
        </w:rPr>
        <w:t xml:space="preserve"> LDL cholesterol C</w:t>
      </w:r>
      <w:r w:rsidR="00170A03" w:rsidRPr="00AE1CEA">
        <w:rPr>
          <w:rFonts w:eastAsiaTheme="minorHAnsi"/>
        </w:rPr>
        <w:t>:</w:t>
      </w:r>
      <w:r w:rsidRPr="00E12275">
        <w:rPr>
          <w:rFonts w:eastAsiaTheme="minorHAnsi"/>
        </w:rPr>
        <w:t xml:space="preserve"> HDL cholesterol</w:t>
      </w:r>
    </w:p>
    <w:p w14:paraId="1B993625" w14:textId="77777777" w:rsidR="00F8101A" w:rsidRPr="00D01373" w:rsidRDefault="00F8101A" w:rsidP="00A111E9">
      <w:pPr>
        <w:widowControl/>
        <w:rPr>
          <w:rFonts w:eastAsiaTheme="minorHAnsi" w:cstheme="minorBidi"/>
          <w:szCs w:val="22"/>
          <w:lang w:bidi="ar-SA"/>
        </w:rPr>
      </w:pPr>
    </w:p>
    <w:p w14:paraId="39DA41C6" w14:textId="11F69467"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t xml:space="preserve">The extent of control for confounding </w:t>
      </w:r>
      <w:r w:rsidR="00285536">
        <w:rPr>
          <w:rFonts w:eastAsiaTheme="minorHAnsi" w:cstheme="minorBidi"/>
          <w:szCs w:val="22"/>
          <w:lang w:bidi="ar-SA"/>
        </w:rPr>
        <w:t xml:space="preserve">across the studies is variable </w:t>
      </w:r>
      <w:r w:rsidRPr="00D01373">
        <w:rPr>
          <w:rFonts w:eastAsiaTheme="minorHAnsi" w:cstheme="minorBidi"/>
          <w:szCs w:val="22"/>
          <w:lang w:bidi="ar-SA"/>
        </w:rPr>
        <w:t xml:space="preserve">depends on the other </w:t>
      </w:r>
      <w:r w:rsidR="00285536">
        <w:rPr>
          <w:rFonts w:eastAsiaTheme="minorHAnsi" w:cstheme="minorBidi"/>
          <w:szCs w:val="22"/>
          <w:lang w:bidi="ar-SA"/>
        </w:rPr>
        <w:t>characteristics</w:t>
      </w:r>
      <w:r w:rsidRPr="00D01373">
        <w:rPr>
          <w:rFonts w:eastAsiaTheme="minorHAnsi" w:cstheme="minorBidi"/>
          <w:szCs w:val="22"/>
          <w:lang w:bidi="ar-SA"/>
        </w:rPr>
        <w:t xml:space="preserve"> that </w:t>
      </w:r>
      <w:r w:rsidR="00285536">
        <w:rPr>
          <w:rFonts w:eastAsiaTheme="minorHAnsi" w:cstheme="minorBidi"/>
          <w:szCs w:val="22"/>
          <w:lang w:bidi="ar-SA"/>
        </w:rPr>
        <w:t>were included.</w:t>
      </w:r>
      <w:r w:rsidRPr="00D01373">
        <w:rPr>
          <w:rFonts w:eastAsiaTheme="minorHAnsi" w:cstheme="minorBidi"/>
          <w:szCs w:val="22"/>
          <w:lang w:bidi="ar-SA"/>
        </w:rPr>
        <w:t xml:space="preserve"> </w:t>
      </w:r>
      <w:r w:rsidR="0002067B">
        <w:rPr>
          <w:rFonts w:eastAsiaTheme="minorHAnsi" w:cstheme="minorBidi"/>
          <w:szCs w:val="22"/>
          <w:lang w:bidi="ar-SA"/>
        </w:rPr>
        <w:t xml:space="preserve">A </w:t>
      </w:r>
      <w:r w:rsidR="00285536" w:rsidRPr="00285536">
        <w:rPr>
          <w:rFonts w:eastAsiaTheme="minorHAnsi" w:cstheme="minorBidi"/>
          <w:szCs w:val="22"/>
          <w:lang w:bidi="ar-SA"/>
        </w:rPr>
        <w:t xml:space="preserve">number of studies note the correlation between the concentrations of PFOA and PFOS but they do not adjust the results of each PFAS for the other. For example, Nelson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00285536" w:rsidRPr="00285536">
        <w:rPr>
          <w:rFonts w:eastAsiaTheme="minorHAnsi" w:cstheme="minorBidi"/>
          <w:szCs w:val="22"/>
          <w:lang w:bidi="ar-SA"/>
        </w:rPr>
        <w:t xml:space="preserve">(2010) report a correlation of 0.65 between PFOS and PFOA in the NHANES dataset. Lin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00285536" w:rsidRPr="00285536">
        <w:rPr>
          <w:rFonts w:eastAsiaTheme="minorHAnsi" w:cstheme="minorBidi"/>
          <w:szCs w:val="22"/>
          <w:lang w:bidi="ar-SA"/>
        </w:rPr>
        <w:t>(2013) is an exception</w:t>
      </w:r>
      <w:r w:rsidR="00285536">
        <w:rPr>
          <w:rFonts w:eastAsiaTheme="minorHAnsi" w:cstheme="minorBidi"/>
          <w:szCs w:val="22"/>
          <w:lang w:bidi="ar-SA"/>
        </w:rPr>
        <w:t xml:space="preserve"> as t</w:t>
      </w:r>
      <w:r w:rsidR="00285536" w:rsidRPr="00285536">
        <w:rPr>
          <w:rFonts w:eastAsiaTheme="minorHAnsi" w:cstheme="minorBidi"/>
          <w:szCs w:val="22"/>
          <w:lang w:bidi="ar-SA"/>
        </w:rPr>
        <w:t xml:space="preserve">hey measured four PFAS (PFOS, </w:t>
      </w:r>
      <w:r w:rsidR="00285536" w:rsidRPr="00285536">
        <w:rPr>
          <w:rFonts w:eastAsiaTheme="minorHAnsi" w:cs="Arial"/>
          <w:szCs w:val="22"/>
          <w:lang w:bidi="ar-SA"/>
        </w:rPr>
        <w:t>PFOA, perfluorononanoic acid and perfluorodecanoic acid</w:t>
      </w:r>
      <w:r w:rsidR="00285536">
        <w:rPr>
          <w:rFonts w:eastAsiaTheme="minorHAnsi" w:cs="Arial"/>
          <w:szCs w:val="22"/>
          <w:lang w:bidi="ar-SA"/>
        </w:rPr>
        <w:t>)</w:t>
      </w:r>
      <w:r w:rsidR="00285536" w:rsidRPr="00285536">
        <w:rPr>
          <w:rFonts w:eastAsiaTheme="minorHAnsi" w:cs="Arial"/>
          <w:szCs w:val="22"/>
          <w:lang w:bidi="ar-SA"/>
        </w:rPr>
        <w:t xml:space="preserve"> in</w:t>
      </w:r>
      <w:r w:rsidR="00285536" w:rsidRPr="00285536">
        <w:rPr>
          <w:rFonts w:eastAsiaTheme="minorHAnsi" w:cstheme="minorBidi"/>
          <w:szCs w:val="22"/>
          <w:lang w:bidi="ar-SA"/>
        </w:rPr>
        <w:t xml:space="preserve"> adolescents and young adults and conducted a composite analysis</w:t>
      </w:r>
      <w:r w:rsidR="00285536" w:rsidRPr="00D01373">
        <w:rPr>
          <w:rFonts w:eastAsiaTheme="minorHAnsi" w:cstheme="minorBidi"/>
          <w:szCs w:val="22"/>
          <w:lang w:bidi="ar-SA"/>
        </w:rPr>
        <w:t xml:space="preserve"> </w:t>
      </w:r>
      <w:r w:rsidRPr="00D01373">
        <w:rPr>
          <w:rFonts w:eastAsiaTheme="minorHAnsi" w:cstheme="minorBidi"/>
          <w:szCs w:val="22"/>
          <w:lang w:bidi="ar-SA"/>
        </w:rPr>
        <w:t xml:space="preserve">of </w:t>
      </w:r>
      <w:r w:rsidR="003E0167">
        <w:rPr>
          <w:rFonts w:eastAsiaTheme="minorHAnsi" w:cstheme="minorBidi"/>
          <w:szCs w:val="22"/>
          <w:lang w:bidi="ar-SA"/>
        </w:rPr>
        <w:t>effects on</w:t>
      </w:r>
      <w:r w:rsidR="003E0167">
        <w:rPr>
          <w:rFonts w:ascii="Tahoma" w:eastAsiaTheme="minorHAnsi" w:hAnsi="Tahoma" w:cs="Tahoma"/>
          <w:color w:val="000000"/>
          <w:sz w:val="20"/>
          <w:szCs w:val="20"/>
          <w:lang w:bidi="ar-SA"/>
        </w:rPr>
        <w:t xml:space="preserve"> carotid intima medial thickness, which was their focus, but not of other outcomes such as cholesterol concentrations</w:t>
      </w:r>
      <w:r w:rsidRPr="00D01373">
        <w:rPr>
          <w:rFonts w:eastAsiaTheme="minorHAnsi" w:cstheme="minorBidi"/>
          <w:szCs w:val="22"/>
          <w:lang w:bidi="ar-SA"/>
        </w:rPr>
        <w:t>. Similarly, populations with high exposure to PFAS due to occupation or environmental contamination might have exposure to other contaminants and these have not been considered in the studies.</w:t>
      </w:r>
    </w:p>
    <w:p w14:paraId="051A2219" w14:textId="77777777" w:rsidR="00F8101A" w:rsidRPr="00D01373" w:rsidRDefault="00F8101A" w:rsidP="00A111E9">
      <w:pPr>
        <w:widowControl/>
        <w:rPr>
          <w:rFonts w:eastAsiaTheme="minorHAnsi" w:cstheme="minorBidi"/>
          <w:szCs w:val="22"/>
          <w:lang w:bidi="ar-SA"/>
        </w:rPr>
      </w:pPr>
    </w:p>
    <w:p w14:paraId="569AD267" w14:textId="755AA09E"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t xml:space="preserve">Most studies do not adjust for diet. Skuladottir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(2015) is an exception; they used semi</w:t>
      </w:r>
      <w:r w:rsidR="00CC26CA">
        <w:rPr>
          <w:rFonts w:eastAsiaTheme="minorHAnsi" w:cstheme="minorBidi"/>
          <w:szCs w:val="22"/>
          <w:lang w:bidi="ar-SA"/>
        </w:rPr>
        <w:t>quantitative</w:t>
      </w:r>
      <w:r w:rsidRPr="00D01373">
        <w:rPr>
          <w:rFonts w:eastAsiaTheme="minorHAnsi" w:cstheme="minorBidi"/>
          <w:szCs w:val="22"/>
          <w:lang w:bidi="ar-SA"/>
        </w:rPr>
        <w:t xml:space="preserve"> </w:t>
      </w:r>
      <w:r w:rsidR="00BA190A" w:rsidRPr="00D01373">
        <w:rPr>
          <w:rFonts w:eastAsiaTheme="minorHAnsi" w:cstheme="minorBidi"/>
          <w:szCs w:val="22"/>
          <w:lang w:bidi="ar-SA"/>
        </w:rPr>
        <w:t>food frequency questionnaire</w:t>
      </w:r>
      <w:r w:rsidR="00285536">
        <w:rPr>
          <w:rFonts w:eastAsiaTheme="minorHAnsi" w:cstheme="minorBidi"/>
          <w:szCs w:val="22"/>
          <w:lang w:bidi="ar-SA"/>
        </w:rPr>
        <w:t>s</w:t>
      </w:r>
      <w:r w:rsidRPr="00D01373">
        <w:rPr>
          <w:rFonts w:eastAsiaTheme="minorHAnsi" w:cstheme="minorBidi"/>
          <w:szCs w:val="22"/>
          <w:lang w:bidi="ar-SA"/>
        </w:rPr>
        <w:t xml:space="preserve"> and</w:t>
      </w:r>
      <w:r w:rsidR="00285536">
        <w:rPr>
          <w:rFonts w:eastAsiaTheme="minorHAnsi" w:cstheme="minorBidi"/>
          <w:szCs w:val="22"/>
          <w:lang w:bidi="ar-SA"/>
        </w:rPr>
        <w:t xml:space="preserve"> examined various associations.</w:t>
      </w:r>
      <w:r w:rsidRPr="00D01373">
        <w:rPr>
          <w:rFonts w:eastAsiaTheme="minorHAnsi" w:cstheme="minorBidi"/>
          <w:szCs w:val="22"/>
          <w:lang w:bidi="ar-SA"/>
        </w:rPr>
        <w:t xml:space="preserve"> In their population of pregnant women</w:t>
      </w:r>
      <w:r w:rsidR="00285536">
        <w:rPr>
          <w:rFonts w:eastAsiaTheme="minorHAnsi" w:cstheme="minorBidi"/>
          <w:szCs w:val="22"/>
          <w:lang w:bidi="ar-SA"/>
        </w:rPr>
        <w:t xml:space="preserve">, </w:t>
      </w:r>
      <w:r w:rsidRPr="00D01373">
        <w:rPr>
          <w:rFonts w:eastAsiaTheme="minorHAnsi" w:cstheme="minorBidi"/>
          <w:szCs w:val="22"/>
          <w:lang w:bidi="ar-SA"/>
        </w:rPr>
        <w:t>the highest quartile of saturated fat intake had total-C concentration that was 0.61 mmol/L higher than women in the lowest quartile. Intake of PFOS was positively associated with saturated fat intake but intake of PFOA was not. However, adding dietary factors to an adjusted model already containing age, parity, education, smoking and pre</w:t>
      </w:r>
      <w:r w:rsidR="00CC26CA">
        <w:rPr>
          <w:rFonts w:eastAsiaTheme="minorHAnsi" w:cstheme="minorBidi"/>
          <w:szCs w:val="22"/>
          <w:lang w:bidi="ar-SA"/>
        </w:rPr>
        <w:t>pregnancy</w:t>
      </w:r>
      <w:r w:rsidRPr="00D01373">
        <w:rPr>
          <w:rFonts w:eastAsiaTheme="minorHAnsi" w:cstheme="minorBidi"/>
          <w:szCs w:val="22"/>
          <w:lang w:bidi="ar-SA"/>
        </w:rPr>
        <w:t xml:space="preserve"> </w:t>
      </w:r>
      <w:r w:rsidR="00060C53">
        <w:rPr>
          <w:rFonts w:eastAsiaTheme="minorHAnsi" w:cstheme="minorBidi"/>
          <w:szCs w:val="22"/>
          <w:lang w:bidi="ar-SA"/>
        </w:rPr>
        <w:t>BMI</w:t>
      </w:r>
      <w:r w:rsidRPr="00D01373">
        <w:rPr>
          <w:rFonts w:eastAsiaTheme="minorHAnsi" w:cstheme="minorBidi"/>
          <w:szCs w:val="22"/>
          <w:lang w:bidi="ar-SA"/>
        </w:rPr>
        <w:t xml:space="preserve"> did not alter the effect associated with either PFOS or PFOA. Hence, the non-inclusion of dietary measurement might be more or less important depending on what other factors have also been measured and controlled for.</w:t>
      </w:r>
    </w:p>
    <w:p w14:paraId="0C869189" w14:textId="77777777" w:rsidR="00F8101A" w:rsidRPr="00D01373" w:rsidRDefault="00F8101A" w:rsidP="00A111E9">
      <w:pPr>
        <w:widowControl/>
        <w:rPr>
          <w:rFonts w:eastAsiaTheme="minorHAnsi" w:cstheme="minorBidi"/>
          <w:szCs w:val="22"/>
          <w:lang w:bidi="ar-SA"/>
        </w:rPr>
      </w:pPr>
    </w:p>
    <w:p w14:paraId="2189FFA0" w14:textId="35D593E5"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t>The results shown in the graphs are cross-sectional studies wit</w:t>
      </w:r>
      <w:r w:rsidR="007E6400" w:rsidRPr="00D01373">
        <w:rPr>
          <w:rFonts w:eastAsiaTheme="minorHAnsi" w:cstheme="minorBidi"/>
          <w:szCs w:val="22"/>
          <w:lang w:bidi="ar-SA"/>
        </w:rPr>
        <w:t xml:space="preserve">h one exception (Maisonet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00285536">
        <w:rPr>
          <w:rFonts w:eastAsiaTheme="minorHAnsi" w:cstheme="minorBidi"/>
          <w:szCs w:val="22"/>
          <w:lang w:bidi="ar-SA"/>
        </w:rPr>
        <w:t>2105).</w:t>
      </w:r>
      <w:r w:rsidRPr="00D01373">
        <w:rPr>
          <w:rFonts w:eastAsiaTheme="minorHAnsi" w:cstheme="minorBidi"/>
          <w:szCs w:val="22"/>
          <w:lang w:bidi="ar-SA"/>
        </w:rPr>
        <w:t xml:space="preserve"> Fitz-Simon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(2013) examined the change in total-C, LDL-C and HDL-C that occurred between the two cross-sectional analyses in the C8 population that were conducted 4.4 years apart. People who were taking lipid lowering medication were excluded</w:t>
      </w:r>
      <w:r w:rsidR="007C3ED5">
        <w:rPr>
          <w:rFonts w:eastAsiaTheme="minorHAnsi" w:cstheme="minorBidi"/>
          <w:szCs w:val="22"/>
          <w:lang w:bidi="ar-SA"/>
        </w:rPr>
        <w:t>,</w:t>
      </w:r>
      <w:r w:rsidRPr="00D01373">
        <w:rPr>
          <w:rFonts w:eastAsiaTheme="minorHAnsi" w:cstheme="minorBidi"/>
          <w:szCs w:val="22"/>
          <w:lang w:bidi="ar-SA"/>
        </w:rPr>
        <w:t xml:space="preserve"> as were people with elevated triglycerides (because LDL-C was calculated using the Friedewald equation) leaving 521 for the analyses involving LDL-C and 560 for the other analyses. The geometric mean </w:t>
      </w:r>
      <w:r w:rsidR="00285536">
        <w:rPr>
          <w:rFonts w:eastAsiaTheme="minorHAnsi" w:cstheme="minorBidi"/>
          <w:szCs w:val="22"/>
          <w:lang w:bidi="ar-SA"/>
        </w:rPr>
        <w:t xml:space="preserve">for </w:t>
      </w:r>
      <w:r w:rsidRPr="00D01373">
        <w:rPr>
          <w:rFonts w:eastAsiaTheme="minorHAnsi" w:cstheme="minorBidi"/>
          <w:szCs w:val="22"/>
          <w:lang w:bidi="ar-SA"/>
        </w:rPr>
        <w:t xml:space="preserve">PFOA declined from 74.8 ng/mL to 30.8 ng/mL and </w:t>
      </w:r>
      <w:r w:rsidR="00285536">
        <w:rPr>
          <w:rFonts w:eastAsiaTheme="minorHAnsi" w:cstheme="minorBidi"/>
          <w:szCs w:val="22"/>
          <w:lang w:bidi="ar-SA"/>
        </w:rPr>
        <w:t>for</w:t>
      </w:r>
      <w:r w:rsidRPr="00D01373">
        <w:rPr>
          <w:rFonts w:eastAsiaTheme="minorHAnsi" w:cstheme="minorBidi"/>
          <w:szCs w:val="22"/>
          <w:lang w:bidi="ar-SA"/>
        </w:rPr>
        <w:t xml:space="preserve"> PFOS</w:t>
      </w:r>
      <w:r w:rsidR="00285536">
        <w:rPr>
          <w:rFonts w:eastAsiaTheme="minorHAnsi" w:cstheme="minorBidi"/>
          <w:szCs w:val="22"/>
          <w:lang w:bidi="ar-SA"/>
        </w:rPr>
        <w:t>,</w:t>
      </w:r>
      <w:r w:rsidRPr="00D01373">
        <w:rPr>
          <w:rFonts w:eastAsiaTheme="minorHAnsi" w:cstheme="minorBidi"/>
          <w:szCs w:val="22"/>
          <w:lang w:bidi="ar-SA"/>
        </w:rPr>
        <w:t xml:space="preserve"> from 18.5 ng/mL to 8.2 ng/mL. However</w:t>
      </w:r>
      <w:r w:rsidR="007F02A2">
        <w:rPr>
          <w:rFonts w:eastAsiaTheme="minorHAnsi" w:cstheme="minorBidi"/>
          <w:szCs w:val="22"/>
          <w:lang w:bidi="ar-SA"/>
        </w:rPr>
        <w:t>,</w:t>
      </w:r>
      <w:r w:rsidRPr="00D01373">
        <w:rPr>
          <w:rFonts w:eastAsiaTheme="minorHAnsi" w:cstheme="minorBidi"/>
          <w:szCs w:val="22"/>
          <w:lang w:bidi="ar-SA"/>
        </w:rPr>
        <w:t xml:space="preserve"> there was little difference in either total-C (+0.01</w:t>
      </w:r>
      <w:r w:rsidR="00315715" w:rsidRPr="00D01373">
        <w:rPr>
          <w:rFonts w:eastAsiaTheme="minorHAnsi" w:cstheme="minorBidi"/>
          <w:szCs w:val="22"/>
          <w:lang w:bidi="ar-SA"/>
        </w:rPr>
        <w:t xml:space="preserve"> </w:t>
      </w:r>
      <w:r w:rsidRPr="00D01373">
        <w:rPr>
          <w:rFonts w:eastAsiaTheme="minorHAnsi" w:cstheme="minorBidi"/>
          <w:szCs w:val="22"/>
          <w:lang w:bidi="ar-SA"/>
        </w:rPr>
        <w:t>mmol/L) LDL-C (0.05 mmol/L</w:t>
      </w:r>
      <w:r w:rsidR="003E0167">
        <w:rPr>
          <w:rFonts w:eastAsiaTheme="minorHAnsi" w:cstheme="minorBidi"/>
          <w:szCs w:val="22"/>
          <w:lang w:bidi="ar-SA"/>
        </w:rPr>
        <w:t>)</w:t>
      </w:r>
      <w:r w:rsidRPr="00D01373">
        <w:rPr>
          <w:rFonts w:eastAsiaTheme="minorHAnsi" w:cstheme="minorBidi"/>
          <w:szCs w:val="22"/>
          <w:lang w:bidi="ar-SA"/>
        </w:rPr>
        <w:t xml:space="preserve"> or HDL-C (-0.03</w:t>
      </w:r>
      <w:r w:rsidR="003D7363" w:rsidRPr="00D01373">
        <w:rPr>
          <w:rFonts w:eastAsiaTheme="minorHAnsi" w:cstheme="minorBidi"/>
          <w:szCs w:val="22"/>
          <w:lang w:bidi="ar-SA"/>
        </w:rPr>
        <w:t xml:space="preserve"> </w:t>
      </w:r>
      <w:r w:rsidRPr="00D01373">
        <w:rPr>
          <w:rFonts w:eastAsiaTheme="minorHAnsi" w:cstheme="minorBidi"/>
          <w:szCs w:val="22"/>
          <w:lang w:bidi="ar-SA"/>
        </w:rPr>
        <w:t xml:space="preserve">mmol/L). </w:t>
      </w:r>
      <w:r w:rsidR="00285536">
        <w:rPr>
          <w:rFonts w:eastAsiaTheme="minorHAnsi" w:cstheme="minorBidi"/>
          <w:szCs w:val="22"/>
          <w:lang w:bidi="ar-SA"/>
        </w:rPr>
        <w:t>Moreover</w:t>
      </w:r>
      <w:r w:rsidRPr="00D01373">
        <w:rPr>
          <w:rFonts w:eastAsiaTheme="minorHAnsi" w:cstheme="minorBidi"/>
          <w:szCs w:val="22"/>
          <w:lang w:bidi="ar-SA"/>
        </w:rPr>
        <w:t>, the cross-sectional data for PFOA from this study would not suggest that a large change would be anticipated</w:t>
      </w:r>
      <w:r w:rsidR="0002067B">
        <w:rPr>
          <w:rFonts w:eastAsiaTheme="minorHAnsi" w:cstheme="minorBidi"/>
          <w:szCs w:val="22"/>
          <w:lang w:bidi="ar-SA"/>
        </w:rPr>
        <w:t>.</w:t>
      </w:r>
      <w:r w:rsidRPr="00D01373">
        <w:rPr>
          <w:rFonts w:eastAsiaTheme="minorHAnsi" w:cstheme="minorBidi"/>
          <w:szCs w:val="22"/>
          <w:lang w:bidi="ar-SA"/>
        </w:rPr>
        <w:t xml:space="preserve"> Figures </w:t>
      </w:r>
      <w:r w:rsidR="007C3ED5">
        <w:rPr>
          <w:rFonts w:eastAsiaTheme="minorHAnsi" w:cstheme="minorBidi"/>
          <w:szCs w:val="22"/>
          <w:lang w:bidi="ar-SA"/>
        </w:rPr>
        <w:t>A2.</w:t>
      </w:r>
      <w:r w:rsidRPr="00D01373">
        <w:rPr>
          <w:rFonts w:eastAsiaTheme="minorHAnsi" w:cstheme="minorBidi"/>
          <w:szCs w:val="22"/>
          <w:lang w:bidi="ar-SA"/>
        </w:rPr>
        <w:t xml:space="preserve">1, </w:t>
      </w:r>
      <w:r w:rsidR="007C3ED5">
        <w:rPr>
          <w:rFonts w:eastAsiaTheme="minorHAnsi" w:cstheme="minorBidi"/>
          <w:szCs w:val="22"/>
          <w:lang w:bidi="ar-SA"/>
        </w:rPr>
        <w:t>A2.</w:t>
      </w:r>
      <w:r w:rsidRPr="00D01373">
        <w:rPr>
          <w:rFonts w:eastAsiaTheme="minorHAnsi" w:cstheme="minorBidi"/>
          <w:szCs w:val="22"/>
          <w:lang w:bidi="ar-SA"/>
        </w:rPr>
        <w:t xml:space="preserve">2 and </w:t>
      </w:r>
      <w:r w:rsidR="007C3ED5">
        <w:rPr>
          <w:rFonts w:eastAsiaTheme="minorHAnsi" w:cstheme="minorBidi"/>
          <w:szCs w:val="22"/>
          <w:lang w:bidi="ar-SA"/>
        </w:rPr>
        <w:t>A2.</w:t>
      </w:r>
      <w:r w:rsidRPr="00D01373">
        <w:rPr>
          <w:rFonts w:eastAsiaTheme="minorHAnsi" w:cstheme="minorBidi"/>
          <w:szCs w:val="22"/>
          <w:lang w:bidi="ar-SA"/>
        </w:rPr>
        <w:t>3 show that both the baseline and follow-up mean concentrations descri</w:t>
      </w:r>
      <w:r w:rsidR="007C3ED5">
        <w:rPr>
          <w:rFonts w:eastAsiaTheme="minorHAnsi" w:cstheme="minorBidi"/>
          <w:szCs w:val="22"/>
          <w:lang w:bidi="ar-SA"/>
        </w:rPr>
        <w:t>b</w:t>
      </w:r>
      <w:r w:rsidRPr="00D01373">
        <w:rPr>
          <w:rFonts w:eastAsiaTheme="minorHAnsi" w:cstheme="minorBidi"/>
          <w:szCs w:val="22"/>
          <w:lang w:bidi="ar-SA"/>
        </w:rPr>
        <w:t xml:space="preserve">ed by Fitz-Simon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(2013) lie in the plateau section of the curve for PFOA f</w:t>
      </w:r>
      <w:r w:rsidR="007E6400" w:rsidRPr="00D01373">
        <w:rPr>
          <w:rFonts w:eastAsiaTheme="minorHAnsi" w:cstheme="minorBidi"/>
          <w:szCs w:val="22"/>
          <w:lang w:bidi="ar-SA"/>
        </w:rPr>
        <w:t>rom th</w:t>
      </w:r>
      <w:r w:rsidR="003E0167">
        <w:rPr>
          <w:rFonts w:eastAsiaTheme="minorHAnsi" w:cstheme="minorBidi"/>
          <w:szCs w:val="22"/>
          <w:lang w:bidi="ar-SA"/>
        </w:rPr>
        <w:t>e C8</w:t>
      </w:r>
      <w:r w:rsidR="007E6400" w:rsidRPr="00D01373">
        <w:rPr>
          <w:rFonts w:eastAsiaTheme="minorHAnsi" w:cstheme="minorBidi"/>
          <w:szCs w:val="22"/>
          <w:lang w:bidi="ar-SA"/>
        </w:rPr>
        <w:t xml:space="preserve"> study (Steenland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2009). However</w:t>
      </w:r>
      <w:r w:rsidR="007F02A2">
        <w:rPr>
          <w:rFonts w:eastAsiaTheme="minorHAnsi" w:cstheme="minorBidi"/>
          <w:szCs w:val="22"/>
          <w:lang w:bidi="ar-SA"/>
        </w:rPr>
        <w:t>,</w:t>
      </w:r>
      <w:r w:rsidRPr="00D01373">
        <w:rPr>
          <w:rFonts w:eastAsiaTheme="minorHAnsi" w:cstheme="minorBidi"/>
          <w:szCs w:val="22"/>
          <w:lang w:bidi="ar-SA"/>
        </w:rPr>
        <w:t xml:space="preserve"> the same is not true for PFOS: both points lie on the increasing portion of the curve (Figure</w:t>
      </w:r>
      <w:r w:rsidR="007C3ED5">
        <w:rPr>
          <w:rFonts w:eastAsiaTheme="minorHAnsi" w:cstheme="minorBidi"/>
          <w:szCs w:val="22"/>
          <w:lang w:bidi="ar-SA"/>
        </w:rPr>
        <w:t>s A2.</w:t>
      </w:r>
      <w:r w:rsidRPr="00D01373">
        <w:rPr>
          <w:rFonts w:eastAsiaTheme="minorHAnsi" w:cstheme="minorBidi"/>
          <w:szCs w:val="22"/>
          <w:lang w:bidi="ar-SA"/>
        </w:rPr>
        <w:t xml:space="preserve">6, </w:t>
      </w:r>
      <w:r w:rsidR="007C3ED5">
        <w:rPr>
          <w:rFonts w:eastAsiaTheme="minorHAnsi" w:cstheme="minorBidi"/>
          <w:szCs w:val="22"/>
          <w:lang w:bidi="ar-SA"/>
        </w:rPr>
        <w:t>A2.</w:t>
      </w:r>
      <w:r w:rsidRPr="00D01373">
        <w:rPr>
          <w:rFonts w:eastAsiaTheme="minorHAnsi" w:cstheme="minorBidi"/>
          <w:szCs w:val="22"/>
          <w:lang w:bidi="ar-SA"/>
        </w:rPr>
        <w:t>7</w:t>
      </w:r>
      <w:r w:rsidR="007C3ED5">
        <w:rPr>
          <w:rFonts w:eastAsiaTheme="minorHAnsi" w:cstheme="minorBidi"/>
          <w:szCs w:val="22"/>
          <w:lang w:bidi="ar-SA"/>
        </w:rPr>
        <w:t xml:space="preserve"> and</w:t>
      </w:r>
      <w:r w:rsidRPr="00D01373">
        <w:rPr>
          <w:rFonts w:eastAsiaTheme="minorHAnsi" w:cstheme="minorBidi"/>
          <w:szCs w:val="22"/>
          <w:lang w:bidi="ar-SA"/>
        </w:rPr>
        <w:t xml:space="preserve"> </w:t>
      </w:r>
      <w:r w:rsidR="007C3ED5">
        <w:rPr>
          <w:rFonts w:eastAsiaTheme="minorHAnsi" w:cstheme="minorBidi"/>
          <w:szCs w:val="22"/>
          <w:lang w:bidi="ar-SA"/>
        </w:rPr>
        <w:t>A2.</w:t>
      </w:r>
      <w:r w:rsidRPr="00D01373">
        <w:rPr>
          <w:rFonts w:eastAsiaTheme="minorHAnsi" w:cstheme="minorBidi"/>
          <w:szCs w:val="22"/>
          <w:lang w:bidi="ar-SA"/>
        </w:rPr>
        <w:t xml:space="preserve">8) and so a difference would have been expected if the cross-sectional results reflect longitudinal effects. Further analysis compared the degree of change within individuals in both PFAS. For PFOA, the people with </w:t>
      </w:r>
      <w:r w:rsidR="000A6B12">
        <w:rPr>
          <w:rFonts w:eastAsiaTheme="minorHAnsi" w:cstheme="minorBidi"/>
          <w:szCs w:val="22"/>
          <w:lang w:bidi="ar-SA"/>
        </w:rPr>
        <w:t>baseline</w:t>
      </w:r>
      <w:r w:rsidRPr="00D01373">
        <w:rPr>
          <w:rFonts w:eastAsiaTheme="minorHAnsi" w:cstheme="minorBidi"/>
          <w:szCs w:val="22"/>
          <w:lang w:bidi="ar-SA"/>
        </w:rPr>
        <w:t xml:space="preserve"> PFOA concentrations &lt;44.4 ng/mL had much larger reduction</w:t>
      </w:r>
      <w:r w:rsidR="00285536">
        <w:rPr>
          <w:rFonts w:eastAsiaTheme="minorHAnsi" w:cstheme="minorBidi"/>
          <w:szCs w:val="22"/>
          <w:lang w:bidi="ar-SA"/>
        </w:rPr>
        <w:t>s</w:t>
      </w:r>
      <w:r w:rsidRPr="00D01373">
        <w:rPr>
          <w:rFonts w:eastAsiaTheme="minorHAnsi" w:cstheme="minorBidi"/>
          <w:szCs w:val="22"/>
          <w:lang w:bidi="ar-SA"/>
        </w:rPr>
        <w:t xml:space="preserve"> (0.8 mmol/L</w:t>
      </w:r>
      <w:r w:rsidR="00285536">
        <w:rPr>
          <w:rFonts w:eastAsiaTheme="minorHAnsi" w:cstheme="minorBidi"/>
          <w:szCs w:val="22"/>
          <w:lang w:bidi="ar-SA"/>
        </w:rPr>
        <w:t xml:space="preserve"> </w:t>
      </w:r>
      <w:r w:rsidR="004C42C7">
        <w:rPr>
          <w:rFonts w:eastAsiaTheme="minorHAnsi" w:cstheme="minorBidi"/>
          <w:szCs w:val="22"/>
          <w:lang w:bidi="ar-SA"/>
        </w:rPr>
        <w:t>LDL-C</w:t>
      </w:r>
      <w:r w:rsidRPr="00D01373">
        <w:rPr>
          <w:rFonts w:eastAsiaTheme="minorHAnsi" w:cstheme="minorBidi"/>
          <w:szCs w:val="22"/>
          <w:lang w:bidi="ar-SA"/>
        </w:rPr>
        <w:t xml:space="preserve">) than those with </w:t>
      </w:r>
      <w:r w:rsidR="000A6B12">
        <w:rPr>
          <w:rFonts w:eastAsiaTheme="minorHAnsi" w:cstheme="minorBidi"/>
          <w:szCs w:val="22"/>
          <w:lang w:bidi="ar-SA"/>
        </w:rPr>
        <w:t xml:space="preserve">baseline PFOA </w:t>
      </w:r>
      <w:r w:rsidRPr="00D01373">
        <w:rPr>
          <w:rFonts w:eastAsiaTheme="minorHAnsi" w:cstheme="minorBidi"/>
          <w:szCs w:val="22"/>
          <w:lang w:bidi="ar-SA"/>
        </w:rPr>
        <w:t xml:space="preserve">concentrations higher than this. Although not statistically significant, this is consistent with the shape of the cross-sectional association. There was no consistent effect by initial </w:t>
      </w:r>
      <w:r w:rsidR="00285536">
        <w:rPr>
          <w:rFonts w:eastAsiaTheme="minorHAnsi" w:cstheme="minorBidi"/>
          <w:szCs w:val="22"/>
          <w:lang w:bidi="ar-SA"/>
        </w:rPr>
        <w:t>concentration</w:t>
      </w:r>
      <w:r w:rsidRPr="00D01373">
        <w:rPr>
          <w:rFonts w:eastAsiaTheme="minorHAnsi" w:cstheme="minorBidi"/>
          <w:szCs w:val="22"/>
          <w:lang w:bidi="ar-SA"/>
        </w:rPr>
        <w:t xml:space="preserve"> of PFOS</w:t>
      </w:r>
    </w:p>
    <w:p w14:paraId="46206235" w14:textId="77777777" w:rsidR="00F8101A" w:rsidRPr="00D01373" w:rsidRDefault="00F8101A" w:rsidP="00A111E9">
      <w:pPr>
        <w:widowControl/>
        <w:rPr>
          <w:rFonts w:eastAsiaTheme="minorHAnsi" w:cstheme="minorBidi"/>
          <w:szCs w:val="22"/>
          <w:lang w:bidi="ar-SA"/>
        </w:rPr>
      </w:pPr>
    </w:p>
    <w:p w14:paraId="63647739" w14:textId="6142D720"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t>A much smaller longitudinal study was conducted in 179 3M workers involved in demolishing the factor</w:t>
      </w:r>
      <w:r w:rsidR="00285536">
        <w:rPr>
          <w:rFonts w:eastAsiaTheme="minorHAnsi" w:cstheme="minorBidi"/>
          <w:szCs w:val="22"/>
          <w:lang w:bidi="ar-SA"/>
        </w:rPr>
        <w:t>y and who were not taking lipid</w:t>
      </w:r>
      <w:r w:rsidR="001012A5">
        <w:rPr>
          <w:rFonts w:eastAsiaTheme="minorHAnsi" w:cstheme="minorBidi"/>
          <w:szCs w:val="22"/>
          <w:lang w:bidi="ar-SA"/>
        </w:rPr>
        <w:t xml:space="preserve"> </w:t>
      </w:r>
      <w:r w:rsidRPr="00D01373">
        <w:rPr>
          <w:rFonts w:eastAsiaTheme="minorHAnsi" w:cstheme="minorBidi"/>
          <w:szCs w:val="22"/>
          <w:lang w:bidi="ar-SA"/>
        </w:rPr>
        <w:t>lowering medication</w:t>
      </w:r>
      <w:r w:rsidR="00386C09">
        <w:rPr>
          <w:rFonts w:eastAsiaTheme="minorHAnsi" w:cstheme="minorBidi"/>
          <w:szCs w:val="22"/>
          <w:lang w:bidi="ar-SA"/>
        </w:rPr>
        <w:t xml:space="preserve"> (Olsen </w:t>
      </w:r>
      <w:r w:rsidR="00180A32" w:rsidRPr="00180A32">
        <w:rPr>
          <w:rFonts w:eastAsiaTheme="minorHAnsi" w:cstheme="minorBidi"/>
          <w:i/>
          <w:szCs w:val="22"/>
          <w:lang w:bidi="ar-SA"/>
        </w:rPr>
        <w:t xml:space="preserve">et al. </w:t>
      </w:r>
      <w:r w:rsidR="007F02A2">
        <w:rPr>
          <w:rFonts w:eastAsiaTheme="minorHAnsi" w:cstheme="minorBidi"/>
          <w:szCs w:val="22"/>
          <w:lang w:bidi="ar-SA"/>
        </w:rPr>
        <w:t xml:space="preserve"> </w:t>
      </w:r>
      <w:r w:rsidR="00386C09">
        <w:rPr>
          <w:rFonts w:eastAsiaTheme="minorHAnsi" w:cstheme="minorBidi"/>
          <w:szCs w:val="22"/>
          <w:lang w:bidi="ar-SA"/>
        </w:rPr>
        <w:t>2012)</w:t>
      </w:r>
      <w:r w:rsidRPr="00D01373">
        <w:rPr>
          <w:rFonts w:eastAsiaTheme="minorHAnsi" w:cstheme="minorBidi"/>
          <w:szCs w:val="22"/>
          <w:lang w:bidi="ar-SA"/>
        </w:rPr>
        <w:t>. In long</w:t>
      </w:r>
      <w:r w:rsidR="001012A5">
        <w:rPr>
          <w:rFonts w:eastAsiaTheme="minorHAnsi" w:cstheme="minorBidi"/>
          <w:szCs w:val="22"/>
          <w:lang w:bidi="ar-SA"/>
        </w:rPr>
        <w:t xml:space="preserve"> </w:t>
      </w:r>
      <w:r w:rsidRPr="00D01373">
        <w:rPr>
          <w:rFonts w:eastAsiaTheme="minorHAnsi" w:cstheme="minorBidi"/>
          <w:szCs w:val="22"/>
          <w:lang w:bidi="ar-SA"/>
        </w:rPr>
        <w:t>term workers</w:t>
      </w:r>
      <w:r w:rsidR="00285536">
        <w:rPr>
          <w:rFonts w:eastAsiaTheme="minorHAnsi" w:cstheme="minorBidi"/>
          <w:szCs w:val="22"/>
          <w:lang w:bidi="ar-SA"/>
        </w:rPr>
        <w:t>,</w:t>
      </w:r>
      <w:r w:rsidRPr="00D01373">
        <w:rPr>
          <w:rFonts w:eastAsiaTheme="minorHAnsi" w:cstheme="minorBidi"/>
          <w:szCs w:val="22"/>
          <w:lang w:bidi="ar-SA"/>
        </w:rPr>
        <w:t xml:space="preserve"> the PF</w:t>
      </w:r>
      <w:r w:rsidR="007C3ED5">
        <w:rPr>
          <w:rFonts w:eastAsiaTheme="minorHAnsi" w:cstheme="minorBidi"/>
          <w:szCs w:val="22"/>
          <w:lang w:bidi="ar-SA"/>
        </w:rPr>
        <w:t>OA</w:t>
      </w:r>
      <w:r w:rsidRPr="00D01373">
        <w:rPr>
          <w:rFonts w:eastAsiaTheme="minorHAnsi" w:cstheme="minorBidi"/>
          <w:szCs w:val="22"/>
          <w:lang w:bidi="ar-SA"/>
        </w:rPr>
        <w:t xml:space="preserve"> concentrations decreased by 7.4 ng/mL whereas in contractors it increased by 6.8 ng/mL over duration of the project. Total</w:t>
      </w:r>
      <w:r w:rsidR="007C3ED5">
        <w:rPr>
          <w:rFonts w:eastAsiaTheme="minorHAnsi" w:cstheme="minorBidi"/>
          <w:szCs w:val="22"/>
          <w:lang w:bidi="ar-SA"/>
        </w:rPr>
        <w:t>-C</w:t>
      </w:r>
      <w:r w:rsidRPr="00D01373">
        <w:rPr>
          <w:rFonts w:eastAsiaTheme="minorHAnsi" w:cstheme="minorBidi"/>
          <w:szCs w:val="22"/>
          <w:lang w:bidi="ar-SA"/>
        </w:rPr>
        <w:t xml:space="preserve">, HDL-C and non-HDL-C all rose in both groups. An analysis was conducted in those with baseline PFOA concentration &lt;15 ng/mL and PFOS &lt; 50 ng/mL. Median PFOA increased by 5.3 ng/mL, PFOA by 0.7 ng/mL and total-C increased by 0.08 mmol/L. Although not significant, </w:t>
      </w:r>
      <w:r w:rsidR="00285536">
        <w:rPr>
          <w:rFonts w:eastAsiaTheme="minorHAnsi" w:cstheme="minorBidi"/>
          <w:szCs w:val="22"/>
          <w:lang w:bidi="ar-SA"/>
        </w:rPr>
        <w:t xml:space="preserve">this </w:t>
      </w:r>
      <w:r w:rsidRPr="00D01373">
        <w:rPr>
          <w:rFonts w:eastAsiaTheme="minorHAnsi" w:cstheme="minorBidi"/>
          <w:szCs w:val="22"/>
          <w:lang w:bidi="ar-SA"/>
        </w:rPr>
        <w:t xml:space="preserve">is consistent with the pattern shown in Figure </w:t>
      </w:r>
      <w:r w:rsidR="00386C09">
        <w:rPr>
          <w:rFonts w:eastAsiaTheme="minorHAnsi" w:cstheme="minorBidi"/>
          <w:szCs w:val="22"/>
          <w:lang w:bidi="ar-SA"/>
        </w:rPr>
        <w:t>A2.</w:t>
      </w:r>
      <w:r w:rsidRPr="00D01373">
        <w:rPr>
          <w:rFonts w:eastAsiaTheme="minorHAnsi" w:cstheme="minorBidi"/>
          <w:szCs w:val="22"/>
          <w:lang w:bidi="ar-SA"/>
        </w:rPr>
        <w:t>1.</w:t>
      </w:r>
    </w:p>
    <w:p w14:paraId="203EBC19" w14:textId="77777777" w:rsidR="00F8101A" w:rsidRPr="00D01373" w:rsidRDefault="00F8101A" w:rsidP="00A111E9">
      <w:pPr>
        <w:widowControl/>
        <w:rPr>
          <w:rFonts w:eastAsiaTheme="minorHAnsi" w:cstheme="minorBidi"/>
          <w:szCs w:val="22"/>
          <w:lang w:bidi="ar-SA"/>
        </w:rPr>
      </w:pPr>
    </w:p>
    <w:p w14:paraId="21C2BE43" w14:textId="5D978F2F"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lastRenderedPageBreak/>
        <w:t xml:space="preserve">Although some studies have examined a range of other biochemical parameters, such as </w:t>
      </w:r>
      <w:r w:rsidR="00104C8E" w:rsidRPr="00D01373">
        <w:rPr>
          <w:rFonts w:eastAsiaTheme="minorHAnsi" w:cstheme="minorBidi"/>
          <w:szCs w:val="22"/>
          <w:lang w:bidi="ar-SA"/>
        </w:rPr>
        <w:t>thyroid</w:t>
      </w:r>
      <w:r w:rsidRPr="00D01373">
        <w:rPr>
          <w:rFonts w:eastAsiaTheme="minorHAnsi" w:cstheme="minorBidi"/>
          <w:szCs w:val="22"/>
          <w:lang w:bidi="ar-SA"/>
        </w:rPr>
        <w:t xml:space="preserve"> function, kidney function does not seem to have been examined together with cholesterol concentrations. This may be relevant </w:t>
      </w:r>
      <w:r w:rsidR="0002067B">
        <w:rPr>
          <w:rFonts w:eastAsiaTheme="minorHAnsi" w:cstheme="minorBidi"/>
          <w:szCs w:val="22"/>
          <w:lang w:bidi="ar-SA"/>
        </w:rPr>
        <w:t>because</w:t>
      </w:r>
      <w:r w:rsidRPr="00D01373">
        <w:rPr>
          <w:rFonts w:eastAsiaTheme="minorHAnsi" w:cstheme="minorBidi"/>
          <w:szCs w:val="22"/>
          <w:lang w:bidi="ar-SA"/>
        </w:rPr>
        <w:t xml:space="preserve"> PFAS concentrations increase as glomerular filtration rate decreases. This is a possible factor that might also lead to changes in cholesterol metabolism.</w:t>
      </w:r>
    </w:p>
    <w:p w14:paraId="4709C623" w14:textId="77777777" w:rsidR="00F8101A" w:rsidRPr="00D01373" w:rsidRDefault="00F8101A" w:rsidP="00A111E9">
      <w:pPr>
        <w:widowControl/>
        <w:rPr>
          <w:rFonts w:eastAsiaTheme="minorHAnsi" w:cstheme="minorBidi"/>
          <w:szCs w:val="22"/>
          <w:lang w:bidi="ar-SA"/>
        </w:rPr>
      </w:pPr>
    </w:p>
    <w:p w14:paraId="5D031696" w14:textId="2F57FA1A"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t xml:space="preserve">No randomised controlled trials were found. One striking feature is that the observational studies in humans have the opposite </w:t>
      </w:r>
      <w:r w:rsidR="00285536">
        <w:rPr>
          <w:rFonts w:eastAsiaTheme="minorHAnsi" w:cstheme="minorBidi"/>
          <w:szCs w:val="22"/>
          <w:lang w:bidi="ar-SA"/>
        </w:rPr>
        <w:t xml:space="preserve">finding to studies in animals. </w:t>
      </w:r>
      <w:r w:rsidRPr="00D01373">
        <w:rPr>
          <w:rFonts w:eastAsiaTheme="minorHAnsi" w:cstheme="minorBidi"/>
          <w:szCs w:val="22"/>
          <w:lang w:bidi="ar-SA"/>
        </w:rPr>
        <w:t>A conference abstract reporting on a Phase 1 study investigating an ammonium salt of PFOA as a cancer treatment was found but did not meet the inclusion criterion of being conducted in healthy people. This study used a dose-escalation strategy until a dose-limiting toxicity was found. Among 41 middle-aged adults with advanced cancer who received a single dose of between 50 and 1200 mg of the ammonium PFOA salt for a median of 6.5 weeks, the authors reported “reductions in LDL-C consistent with</w:t>
      </w:r>
      <w:r w:rsidR="007E6400" w:rsidRPr="00D01373">
        <w:rPr>
          <w:rFonts w:eastAsiaTheme="minorHAnsi" w:cstheme="minorBidi"/>
          <w:szCs w:val="22"/>
          <w:lang w:bidi="ar-SA"/>
        </w:rPr>
        <w:t xml:space="preserve"> a PD effect” (MacPherson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2011). While there is no randomised control group, this is a longitudinal study with a clearly defined exposure. Patients had a range of cancers and so it is unlikely that they all had disturbed lipid metabolism. It adds to the debate concerning whether the increases in LDL-C observed in the human epidemiological studies are an adverse effect caused by PFAS exposure or reflect some concurrent biological process that is not yet understood.</w:t>
      </w:r>
    </w:p>
    <w:p w14:paraId="71DA0CF7" w14:textId="77777777" w:rsidR="00F8101A" w:rsidRPr="00D01373" w:rsidRDefault="00F8101A" w:rsidP="004264B6">
      <w:pPr>
        <w:pStyle w:val="Heading5"/>
        <w:rPr>
          <w:rFonts w:eastAsiaTheme="minorHAnsi"/>
        </w:rPr>
      </w:pPr>
      <w:r w:rsidRPr="00D01373">
        <w:rPr>
          <w:rFonts w:eastAsiaTheme="minorHAnsi"/>
        </w:rPr>
        <w:t>PFAS concentrations in Australia</w:t>
      </w:r>
    </w:p>
    <w:p w14:paraId="3AA3D398" w14:textId="0DF3C75C"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t xml:space="preserve">There is no data regarding PFOA concentration in Australia from a nationally representative survey. Karrman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(2006) reported that pooled samples in stored serum available to a nationwide pathology company between November 2002 and April 2003 had median PFOA concentration</w:t>
      </w:r>
      <w:r w:rsidR="00285536">
        <w:rPr>
          <w:rFonts w:eastAsiaTheme="minorHAnsi" w:cstheme="minorBidi"/>
          <w:szCs w:val="22"/>
          <w:lang w:bidi="ar-SA"/>
        </w:rPr>
        <w:t>s</w:t>
      </w:r>
      <w:r w:rsidRPr="00D01373">
        <w:rPr>
          <w:rFonts w:eastAsiaTheme="minorHAnsi" w:cstheme="minorBidi"/>
          <w:szCs w:val="22"/>
          <w:lang w:bidi="ar-SA"/>
        </w:rPr>
        <w:t xml:space="preserve"> of 7.</w:t>
      </w:r>
      <w:r w:rsidR="003E0167">
        <w:rPr>
          <w:rFonts w:eastAsiaTheme="minorHAnsi" w:cstheme="minorBidi"/>
          <w:szCs w:val="22"/>
          <w:lang w:bidi="ar-SA"/>
        </w:rPr>
        <w:t>6</w:t>
      </w:r>
      <w:r w:rsidR="003E0167" w:rsidRPr="00D01373">
        <w:rPr>
          <w:rFonts w:eastAsiaTheme="minorHAnsi" w:cstheme="minorBidi"/>
          <w:szCs w:val="22"/>
          <w:lang w:bidi="ar-SA"/>
        </w:rPr>
        <w:t xml:space="preserve"> </w:t>
      </w:r>
      <w:r w:rsidRPr="00D01373">
        <w:rPr>
          <w:rFonts w:eastAsiaTheme="minorHAnsi" w:cstheme="minorBidi"/>
          <w:szCs w:val="22"/>
          <w:lang w:bidi="ar-SA"/>
        </w:rPr>
        <w:t xml:space="preserve">ng/mL (IQR: </w:t>
      </w:r>
      <w:r w:rsidR="003E0167">
        <w:rPr>
          <w:rFonts w:eastAsiaTheme="minorHAnsi" w:cstheme="minorBidi"/>
          <w:szCs w:val="22"/>
          <w:lang w:bidi="ar-SA"/>
        </w:rPr>
        <w:t>6.6-8.6</w:t>
      </w:r>
      <w:r w:rsidRPr="00D01373">
        <w:rPr>
          <w:rFonts w:eastAsiaTheme="minorHAnsi" w:cstheme="minorBidi"/>
          <w:szCs w:val="22"/>
          <w:lang w:bidi="ar-SA"/>
        </w:rPr>
        <w:t xml:space="preserve">, minimum 5.0; maximum 9.9 ng/mL). Samples from the same pathology company for the south-eastern Queensland area were followed over time. Mean serum PFOA concentration declined from </w:t>
      </w:r>
      <w:r w:rsidR="003E0167">
        <w:rPr>
          <w:rFonts w:eastAsiaTheme="minorHAnsi" w:cstheme="minorBidi"/>
          <w:szCs w:val="22"/>
          <w:lang w:bidi="ar-SA"/>
        </w:rPr>
        <w:t>9.7</w:t>
      </w:r>
      <w:r w:rsidRPr="00D01373">
        <w:rPr>
          <w:rFonts w:eastAsiaTheme="minorHAnsi" w:cstheme="minorBidi"/>
          <w:szCs w:val="22"/>
          <w:lang w:bidi="ar-SA"/>
        </w:rPr>
        <w:t xml:space="preserve"> ng/mL in 2002-3 to 4.3 in 2010-11 in people aged over 16 years</w:t>
      </w:r>
      <w:r w:rsidR="003E0167">
        <w:rPr>
          <w:rFonts w:eastAsiaTheme="minorHAnsi" w:cstheme="minorBidi"/>
          <w:szCs w:val="22"/>
          <w:lang w:bidi="ar-SA"/>
        </w:rPr>
        <w:t xml:space="preserve"> </w:t>
      </w:r>
      <w:r w:rsidR="003E0167" w:rsidRPr="00D01373">
        <w:rPr>
          <w:rFonts w:eastAsiaTheme="minorHAnsi" w:cstheme="minorBidi"/>
          <w:szCs w:val="22"/>
          <w:lang w:bidi="ar-SA"/>
        </w:rPr>
        <w:t xml:space="preserve">(Toms </w:t>
      </w:r>
      <w:r w:rsidR="00180A32" w:rsidRPr="00180A32">
        <w:rPr>
          <w:rFonts w:eastAsiaTheme="minorHAnsi" w:cstheme="minorBidi"/>
          <w:i/>
          <w:szCs w:val="22"/>
          <w:lang w:bidi="ar-SA"/>
        </w:rPr>
        <w:t xml:space="preserve">et al. </w:t>
      </w:r>
      <w:r w:rsidR="003E0167">
        <w:rPr>
          <w:rFonts w:eastAsiaTheme="minorHAnsi" w:cstheme="minorBidi"/>
          <w:szCs w:val="22"/>
          <w:lang w:bidi="ar-SA"/>
        </w:rPr>
        <w:t xml:space="preserve"> </w:t>
      </w:r>
      <w:r w:rsidR="003E0167" w:rsidRPr="00D01373">
        <w:rPr>
          <w:rFonts w:eastAsiaTheme="minorHAnsi" w:cstheme="minorBidi"/>
          <w:szCs w:val="22"/>
          <w:lang w:bidi="ar-SA"/>
        </w:rPr>
        <w:t>2014)</w:t>
      </w:r>
      <w:r w:rsidRPr="00D01373">
        <w:rPr>
          <w:rFonts w:eastAsiaTheme="minorHAnsi" w:cstheme="minorBidi"/>
          <w:szCs w:val="22"/>
          <w:lang w:bidi="ar-SA"/>
        </w:rPr>
        <w:t xml:space="preserve">. </w:t>
      </w:r>
    </w:p>
    <w:p w14:paraId="39F93C72" w14:textId="77777777" w:rsidR="00F8101A" w:rsidRPr="00D01373" w:rsidRDefault="00F8101A" w:rsidP="00A111E9">
      <w:pPr>
        <w:widowControl/>
        <w:rPr>
          <w:rFonts w:eastAsiaTheme="minorHAnsi" w:cstheme="minorBidi"/>
          <w:szCs w:val="22"/>
          <w:lang w:bidi="ar-SA"/>
        </w:rPr>
      </w:pPr>
    </w:p>
    <w:p w14:paraId="2990AD2B" w14:textId="5C33D7B5"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t xml:space="preserve">The same studies also examined data for PFOS. Karrman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(2006) reported a nationwide median PFOS concentration of 20.8 ng/mL (IQR: 18.5-25.0, minimum 12.7; maximum 29.5</w:t>
      </w:r>
      <w:r w:rsidR="0007229B">
        <w:rPr>
          <w:rFonts w:eastAsiaTheme="minorHAnsi" w:cstheme="minorBidi"/>
          <w:szCs w:val="22"/>
          <w:lang w:bidi="ar-SA"/>
        </w:rPr>
        <w:t>)</w:t>
      </w:r>
      <w:r w:rsidRPr="00D01373">
        <w:rPr>
          <w:rFonts w:eastAsiaTheme="minorHAnsi" w:cstheme="minorBidi"/>
          <w:szCs w:val="22"/>
          <w:lang w:bidi="ar-SA"/>
        </w:rPr>
        <w:t>. Over time, in south-eastern Queensland, mean PFOS concentration</w:t>
      </w:r>
      <w:r w:rsidR="00285536">
        <w:rPr>
          <w:rFonts w:eastAsiaTheme="minorHAnsi" w:cstheme="minorBidi"/>
          <w:szCs w:val="22"/>
          <w:lang w:bidi="ar-SA"/>
        </w:rPr>
        <w:t>s</w:t>
      </w:r>
      <w:r w:rsidRPr="00D01373">
        <w:rPr>
          <w:rFonts w:eastAsiaTheme="minorHAnsi" w:cstheme="minorBidi"/>
          <w:szCs w:val="22"/>
          <w:lang w:bidi="ar-SA"/>
        </w:rPr>
        <w:t xml:space="preserve"> declined from 2</w:t>
      </w:r>
      <w:r w:rsidR="003E0167">
        <w:rPr>
          <w:rFonts w:eastAsiaTheme="minorHAnsi" w:cstheme="minorBidi"/>
          <w:szCs w:val="22"/>
          <w:lang w:bidi="ar-SA"/>
        </w:rPr>
        <w:t>7.0</w:t>
      </w:r>
      <w:r w:rsidRPr="00D01373">
        <w:rPr>
          <w:rFonts w:eastAsiaTheme="minorHAnsi" w:cstheme="minorBidi"/>
          <w:szCs w:val="22"/>
          <w:lang w:bidi="ar-SA"/>
        </w:rPr>
        <w:t xml:space="preserve"> ng/mL to 12.0 between 2002-3 and </w:t>
      </w:r>
      <w:r w:rsidR="007E6400" w:rsidRPr="00D01373">
        <w:rPr>
          <w:rFonts w:eastAsiaTheme="minorHAnsi" w:cstheme="minorBidi"/>
          <w:szCs w:val="22"/>
          <w:lang w:bidi="ar-SA"/>
        </w:rPr>
        <w:t xml:space="preserve">20010-11 (Toms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2014). Children had lower concentrations.</w:t>
      </w:r>
    </w:p>
    <w:p w14:paraId="2E50169A" w14:textId="77777777" w:rsidR="00F8101A" w:rsidRPr="00D01373" w:rsidRDefault="00F8101A" w:rsidP="00A111E9">
      <w:pPr>
        <w:widowControl/>
        <w:rPr>
          <w:rFonts w:eastAsiaTheme="minorHAnsi" w:cstheme="minorBidi"/>
          <w:szCs w:val="22"/>
          <w:lang w:bidi="ar-SA"/>
        </w:rPr>
      </w:pPr>
    </w:p>
    <w:p w14:paraId="517FCC77" w14:textId="4BE718F0" w:rsidR="00F8101A" w:rsidRPr="00D01373" w:rsidRDefault="00F8101A" w:rsidP="00A111E9">
      <w:pPr>
        <w:widowControl/>
        <w:rPr>
          <w:rFonts w:eastAsiaTheme="minorHAnsi" w:cstheme="minorBidi"/>
          <w:szCs w:val="22"/>
          <w:lang w:bidi="ar-SA"/>
        </w:rPr>
      </w:pPr>
      <w:r w:rsidRPr="00D01373">
        <w:rPr>
          <w:rFonts w:eastAsiaTheme="minorHAnsi" w:cstheme="minorBidi"/>
          <w:szCs w:val="22"/>
          <w:lang w:bidi="ar-SA"/>
        </w:rPr>
        <w:t xml:space="preserve">From this, it </w:t>
      </w:r>
      <w:r w:rsidR="00285536">
        <w:rPr>
          <w:rFonts w:eastAsiaTheme="minorHAnsi" w:cstheme="minorBidi"/>
          <w:szCs w:val="22"/>
          <w:lang w:bidi="ar-SA"/>
        </w:rPr>
        <w:t>could be concluded</w:t>
      </w:r>
      <w:r w:rsidRPr="00D01373">
        <w:rPr>
          <w:rFonts w:eastAsiaTheme="minorHAnsi" w:cstheme="minorBidi"/>
          <w:szCs w:val="22"/>
          <w:lang w:bidi="ar-SA"/>
        </w:rPr>
        <w:t xml:space="preserve"> that the general Australian population has PFOA concentrations in the range shown for the NHANES surveys, but PFOS concentrations in the lower half of the range for the NHANES surveys (N</w:t>
      </w:r>
      <w:r w:rsidR="007E6400" w:rsidRPr="00D01373">
        <w:rPr>
          <w:rFonts w:eastAsiaTheme="minorHAnsi" w:cstheme="minorBidi"/>
          <w:szCs w:val="22"/>
          <w:lang w:bidi="ar-SA"/>
        </w:rPr>
        <w:t xml:space="preserve">elson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007E6400" w:rsidRPr="00D01373">
        <w:rPr>
          <w:rFonts w:eastAsiaTheme="minorHAnsi" w:cstheme="minorBidi"/>
          <w:szCs w:val="22"/>
          <w:lang w:bidi="ar-SA"/>
        </w:rPr>
        <w:t xml:space="preserve">2010; Geiger </w:t>
      </w:r>
      <w:r w:rsidR="00180A32" w:rsidRPr="00180A32">
        <w:rPr>
          <w:rFonts w:eastAsiaTheme="minorHAnsi" w:cstheme="minorBidi"/>
          <w:i/>
          <w:szCs w:val="22"/>
          <w:lang w:bidi="ar-SA"/>
        </w:rPr>
        <w:t xml:space="preserve">et al. </w:t>
      </w:r>
      <w:r w:rsidR="00CC50B8">
        <w:rPr>
          <w:rFonts w:eastAsiaTheme="minorHAnsi" w:cstheme="minorBidi"/>
          <w:szCs w:val="22"/>
          <w:lang w:bidi="ar-SA"/>
        </w:rPr>
        <w:t xml:space="preserve"> </w:t>
      </w:r>
      <w:r w:rsidRPr="00D01373">
        <w:rPr>
          <w:rFonts w:eastAsiaTheme="minorHAnsi" w:cstheme="minorBidi"/>
          <w:szCs w:val="22"/>
          <w:lang w:bidi="ar-SA"/>
        </w:rPr>
        <w:t>2014) above. Data regarding concentrations in specific sub</w:t>
      </w:r>
      <w:r w:rsidR="00CC26CA">
        <w:rPr>
          <w:rFonts w:eastAsiaTheme="minorHAnsi" w:cstheme="minorBidi"/>
          <w:szCs w:val="22"/>
          <w:lang w:bidi="ar-SA"/>
        </w:rPr>
        <w:t>groups</w:t>
      </w:r>
      <w:r w:rsidRPr="00D01373">
        <w:rPr>
          <w:rFonts w:eastAsiaTheme="minorHAnsi" w:cstheme="minorBidi"/>
          <w:szCs w:val="22"/>
          <w:lang w:bidi="ar-SA"/>
        </w:rPr>
        <w:t xml:space="preserve"> of the population were not found.</w:t>
      </w:r>
    </w:p>
    <w:p w14:paraId="0D562C65" w14:textId="77777777" w:rsidR="00F8101A" w:rsidRPr="00D01373" w:rsidRDefault="00F8101A" w:rsidP="004264B6">
      <w:pPr>
        <w:pStyle w:val="Heading4"/>
      </w:pPr>
      <w:bookmarkStart w:id="646" w:name="_Toc468693998"/>
      <w:bookmarkStart w:id="647" w:name="_Toc468712814"/>
      <w:bookmarkStart w:id="648" w:name="_Toc468716506"/>
      <w:bookmarkStart w:id="649" w:name="_Toc468709493"/>
      <w:bookmarkStart w:id="650" w:name="_Toc468717793"/>
      <w:bookmarkStart w:id="651" w:name="_Toc468718437"/>
      <w:bookmarkStart w:id="652" w:name="_Toc468719417"/>
      <w:r w:rsidRPr="00D01373">
        <w:t>Summary</w:t>
      </w:r>
      <w:bookmarkEnd w:id="646"/>
      <w:bookmarkEnd w:id="647"/>
      <w:bookmarkEnd w:id="648"/>
      <w:bookmarkEnd w:id="649"/>
      <w:bookmarkEnd w:id="650"/>
      <w:bookmarkEnd w:id="651"/>
      <w:bookmarkEnd w:id="652"/>
    </w:p>
    <w:p w14:paraId="15C0F432" w14:textId="32598E68" w:rsidR="00822BD7" w:rsidRDefault="00F8101A" w:rsidP="00A111E9">
      <w:pPr>
        <w:widowControl/>
        <w:rPr>
          <w:rFonts w:eastAsiaTheme="minorHAnsi" w:cstheme="minorBidi"/>
          <w:szCs w:val="22"/>
          <w:lang w:bidi="ar-SA"/>
        </w:rPr>
      </w:pPr>
      <w:r w:rsidRPr="00D01373">
        <w:rPr>
          <w:rFonts w:eastAsiaTheme="minorHAnsi" w:cstheme="minorBidi"/>
          <w:szCs w:val="22"/>
          <w:lang w:bidi="ar-SA"/>
        </w:rPr>
        <w:t>In summary, the cross-sectional studies overall present a fairly consistent picture. Studies in both adults and children suggest a positive association between total-C and LDL-C and PFOA concentration at very low concentrations of PFOA but not at higher concentrations. At around 25 ng/mL, total cholesterol is about 0.2-0.3 mmol/</w:t>
      </w:r>
      <w:r w:rsidR="00315148" w:rsidRPr="00D01373">
        <w:rPr>
          <w:rFonts w:eastAsiaTheme="minorHAnsi" w:cstheme="minorBidi"/>
          <w:szCs w:val="22"/>
          <w:lang w:bidi="ar-SA"/>
        </w:rPr>
        <w:t>L</w:t>
      </w:r>
      <w:r w:rsidRPr="00D01373">
        <w:rPr>
          <w:rFonts w:eastAsiaTheme="minorHAnsi" w:cstheme="minorBidi"/>
          <w:szCs w:val="22"/>
          <w:lang w:bidi="ar-SA"/>
        </w:rPr>
        <w:t xml:space="preserve"> higher </w:t>
      </w:r>
      <w:r w:rsidR="00285536">
        <w:rPr>
          <w:rFonts w:eastAsiaTheme="minorHAnsi" w:cstheme="minorBidi"/>
          <w:szCs w:val="22"/>
          <w:lang w:bidi="ar-SA"/>
        </w:rPr>
        <w:t xml:space="preserve">than at the lowest concentrations measured; after this point </w:t>
      </w:r>
      <w:r w:rsidRPr="00D01373">
        <w:rPr>
          <w:rFonts w:eastAsiaTheme="minorHAnsi" w:cstheme="minorBidi"/>
          <w:szCs w:val="22"/>
          <w:lang w:bidi="ar-SA"/>
        </w:rPr>
        <w:t>the association plateaus. The peak may be reached a</w:t>
      </w:r>
      <w:r w:rsidR="00285536">
        <w:rPr>
          <w:rFonts w:eastAsiaTheme="minorHAnsi" w:cstheme="minorBidi"/>
          <w:szCs w:val="22"/>
          <w:lang w:bidi="ar-SA"/>
        </w:rPr>
        <w:t xml:space="preserve">t lower concetrations </w:t>
      </w:r>
      <w:r w:rsidRPr="00D01373">
        <w:rPr>
          <w:rFonts w:eastAsiaTheme="minorHAnsi" w:cstheme="minorBidi"/>
          <w:szCs w:val="22"/>
          <w:lang w:bidi="ar-SA"/>
        </w:rPr>
        <w:t>or be a little higher. The quantitative results from pregnant women are more inconsistent, but this may be related to haemo</w:t>
      </w:r>
      <w:r w:rsidR="00BA190A" w:rsidRPr="00D01373">
        <w:rPr>
          <w:rFonts w:eastAsiaTheme="minorHAnsi" w:cstheme="minorBidi"/>
          <w:szCs w:val="22"/>
          <w:lang w:bidi="ar-SA"/>
        </w:rPr>
        <w:t>diluation</w:t>
      </w:r>
      <w:r w:rsidRPr="00D01373">
        <w:rPr>
          <w:rFonts w:eastAsiaTheme="minorHAnsi" w:cstheme="minorBidi"/>
          <w:szCs w:val="22"/>
          <w:lang w:bidi="ar-SA"/>
        </w:rPr>
        <w:t xml:space="preserve"> changes during pregnancy. There appears to be little or no effect on HDL-C, and not all studies have adverse findings. Similar results were seen for PFOS with a maximum </w:t>
      </w:r>
      <w:r w:rsidR="000F0238">
        <w:rPr>
          <w:rFonts w:eastAsiaTheme="minorHAnsi" w:cstheme="minorBidi"/>
          <w:szCs w:val="22"/>
          <w:lang w:bidi="ar-SA"/>
        </w:rPr>
        <w:t xml:space="preserve">increment in total-C </w:t>
      </w:r>
      <w:r w:rsidRPr="00D01373">
        <w:rPr>
          <w:rFonts w:eastAsiaTheme="minorHAnsi" w:cstheme="minorBidi"/>
          <w:szCs w:val="22"/>
          <w:lang w:bidi="ar-SA"/>
        </w:rPr>
        <w:t xml:space="preserve">of 0.3 mmol/L which is reached at around 40 ng/mL. The lack of association reported in some occupational groups might be </w:t>
      </w:r>
      <w:r w:rsidR="0002067B">
        <w:rPr>
          <w:rFonts w:eastAsiaTheme="minorHAnsi" w:cstheme="minorBidi"/>
          <w:szCs w:val="22"/>
          <w:lang w:bidi="ar-SA"/>
        </w:rPr>
        <w:t xml:space="preserve">due to the lack of sufficient subjects with </w:t>
      </w:r>
      <w:r w:rsidRPr="00D01373">
        <w:rPr>
          <w:rFonts w:eastAsiaTheme="minorHAnsi" w:cstheme="minorBidi"/>
          <w:szCs w:val="22"/>
          <w:lang w:bidi="ar-SA"/>
        </w:rPr>
        <w:t xml:space="preserve">low concentrations </w:t>
      </w:r>
      <w:r w:rsidR="000F0238">
        <w:rPr>
          <w:rFonts w:eastAsiaTheme="minorHAnsi" w:cstheme="minorBidi"/>
          <w:szCs w:val="22"/>
          <w:lang w:bidi="ar-SA"/>
        </w:rPr>
        <w:t xml:space="preserve">of </w:t>
      </w:r>
      <w:r w:rsidR="000F0238">
        <w:rPr>
          <w:rFonts w:eastAsiaTheme="minorHAnsi" w:cstheme="minorBidi"/>
          <w:szCs w:val="22"/>
          <w:lang w:bidi="ar-SA"/>
        </w:rPr>
        <w:lastRenderedPageBreak/>
        <w:t xml:space="preserve">PFAS </w:t>
      </w:r>
      <w:r w:rsidRPr="00D01373">
        <w:rPr>
          <w:rFonts w:eastAsiaTheme="minorHAnsi" w:cstheme="minorBidi"/>
          <w:szCs w:val="22"/>
          <w:lang w:bidi="ar-SA"/>
        </w:rPr>
        <w:t>to detect the effect. The few longitudinal data that are available do not contradict the findings in the cross-sectional studies.</w:t>
      </w:r>
    </w:p>
    <w:p w14:paraId="68F11B4E" w14:textId="77777777" w:rsidR="00822BD7" w:rsidRPr="00822BD7" w:rsidRDefault="00822BD7" w:rsidP="004264B6">
      <w:pPr>
        <w:pStyle w:val="Heading4"/>
      </w:pPr>
      <w:r w:rsidRPr="00822BD7">
        <w:t>References</w:t>
      </w:r>
    </w:p>
    <w:p w14:paraId="260BCC7F" w14:textId="77777777" w:rsidR="00822BD7" w:rsidRPr="000C4C17" w:rsidRDefault="00822BD7" w:rsidP="00A111E9">
      <w:pPr>
        <w:widowControl/>
        <w:autoSpaceDE w:val="0"/>
        <w:autoSpaceDN w:val="0"/>
        <w:adjustRightInd w:val="0"/>
        <w:rPr>
          <w:rFonts w:eastAsiaTheme="minorHAnsi" w:cs="Arial"/>
          <w:szCs w:val="22"/>
          <w:lang w:bidi="ar-SA"/>
        </w:rPr>
      </w:pPr>
      <w:r w:rsidRPr="000C4C17">
        <w:rPr>
          <w:rFonts w:eastAsiaTheme="minorHAnsi" w:cs="Arial"/>
          <w:szCs w:val="22"/>
          <w:lang w:bidi="ar-SA"/>
        </w:rPr>
        <w:t>Chateau-Degat ML, Pereg D, Dallaire R, Ayotte P, Dery S, Dewailly E. (2010) Effects of perfluorooctane sulfonate exposure on plasma lipid levels in the Inuit population of Nunavik (Northern Quebec). Environ Res. 110:710–717.</w:t>
      </w:r>
    </w:p>
    <w:p w14:paraId="2DB0E254" w14:textId="77777777" w:rsidR="00822BD7" w:rsidRPr="000C4C17" w:rsidRDefault="00822BD7" w:rsidP="00A111E9">
      <w:pPr>
        <w:widowControl/>
        <w:autoSpaceDE w:val="0"/>
        <w:autoSpaceDN w:val="0"/>
        <w:adjustRightInd w:val="0"/>
        <w:rPr>
          <w:rFonts w:eastAsiaTheme="minorHAnsi" w:cs="Arial"/>
          <w:szCs w:val="22"/>
          <w:lang w:bidi="ar-SA"/>
        </w:rPr>
      </w:pPr>
    </w:p>
    <w:p w14:paraId="75E78136" w14:textId="77777777" w:rsidR="00822BD7" w:rsidRPr="000C4C17" w:rsidRDefault="00822BD7" w:rsidP="00A111E9">
      <w:pPr>
        <w:widowControl/>
        <w:rPr>
          <w:rFonts w:eastAsiaTheme="minorHAnsi" w:cs="Arial"/>
          <w:szCs w:val="22"/>
          <w:lang w:bidi="ar-SA"/>
        </w:rPr>
      </w:pPr>
      <w:r w:rsidRPr="000C4C17">
        <w:rPr>
          <w:rFonts w:eastAsiaTheme="minorHAnsi" w:cs="Arial"/>
          <w:color w:val="000000"/>
          <w:szCs w:val="22"/>
          <w:lang w:bidi="ar-SA"/>
        </w:rPr>
        <w:t xml:space="preserve">Christensen KY, Raymond M, Thompson BA, Anderson HA. </w:t>
      </w:r>
      <w:r w:rsidRPr="000C4C17">
        <w:rPr>
          <w:rFonts w:eastAsiaTheme="minorHAnsi" w:cs="Arial"/>
          <w:szCs w:val="22"/>
          <w:lang w:bidi="ar-SA"/>
        </w:rPr>
        <w:t xml:space="preserve">(2016) </w:t>
      </w:r>
      <w:r w:rsidRPr="000C4C17">
        <w:rPr>
          <w:rFonts w:eastAsiaTheme="minorHAnsi" w:cs="Arial"/>
          <w:color w:val="000000"/>
          <w:szCs w:val="22"/>
          <w:lang w:bidi="ar-SA"/>
        </w:rPr>
        <w:t>Perfluoroalkyl substances in older male anglers in Wisconsin</w:t>
      </w:r>
      <w:r w:rsidRPr="000C4C17">
        <w:rPr>
          <w:rFonts w:eastAsiaTheme="minorHAnsi" w:cs="Arial"/>
          <w:szCs w:val="22"/>
          <w:lang w:bidi="ar-SA"/>
        </w:rPr>
        <w:t>. Environment International 91:312–318.</w:t>
      </w:r>
    </w:p>
    <w:p w14:paraId="4D54E682" w14:textId="77777777" w:rsidR="00822BD7" w:rsidRPr="000C4C17" w:rsidRDefault="00822BD7" w:rsidP="00A111E9">
      <w:pPr>
        <w:widowControl/>
        <w:rPr>
          <w:rFonts w:eastAsiaTheme="minorHAnsi" w:cs="Arial"/>
          <w:szCs w:val="22"/>
          <w:lang w:bidi="ar-SA"/>
        </w:rPr>
      </w:pPr>
    </w:p>
    <w:p w14:paraId="4D1BE6A9" w14:textId="77777777" w:rsidR="00822BD7" w:rsidRPr="000C4C17" w:rsidRDefault="00822BD7" w:rsidP="00A111E9">
      <w:pPr>
        <w:widowControl/>
        <w:autoSpaceDE w:val="0"/>
        <w:autoSpaceDN w:val="0"/>
        <w:adjustRightInd w:val="0"/>
        <w:rPr>
          <w:rFonts w:eastAsia="UniversLTStd-Cn" w:cs="Arial"/>
          <w:szCs w:val="22"/>
          <w:lang w:bidi="ar-SA"/>
        </w:rPr>
      </w:pPr>
      <w:r w:rsidRPr="000C4C17">
        <w:rPr>
          <w:rFonts w:eastAsia="UniversLTStd-Cn" w:cs="Arial"/>
          <w:szCs w:val="22"/>
          <w:lang w:bidi="ar-SA"/>
        </w:rPr>
        <w:t>Costa G, Sartori S, Consonni D. (2009) Thirty years of medical surveillance in perfluooctanoic acid production workers. J Occup Environ Med 51:364–372.</w:t>
      </w:r>
    </w:p>
    <w:p w14:paraId="426CCEA4" w14:textId="77777777" w:rsidR="00822BD7" w:rsidRDefault="00822BD7" w:rsidP="00A111E9">
      <w:pPr>
        <w:widowControl/>
        <w:autoSpaceDE w:val="0"/>
        <w:autoSpaceDN w:val="0"/>
        <w:adjustRightInd w:val="0"/>
        <w:rPr>
          <w:rFonts w:eastAsia="UniversLTStd-Cn" w:cs="Arial"/>
          <w:szCs w:val="22"/>
          <w:lang w:bidi="ar-SA"/>
        </w:rPr>
      </w:pPr>
    </w:p>
    <w:p w14:paraId="165558C5" w14:textId="77777777" w:rsidR="00B64733" w:rsidRPr="000C4C17" w:rsidRDefault="00B64733" w:rsidP="00A111E9">
      <w:pPr>
        <w:widowControl/>
        <w:autoSpaceDE w:val="0"/>
        <w:autoSpaceDN w:val="0"/>
        <w:adjustRightInd w:val="0"/>
        <w:rPr>
          <w:rFonts w:eastAsiaTheme="minorHAnsi" w:cs="Arial"/>
          <w:szCs w:val="22"/>
          <w:lang w:bidi="ar-SA"/>
        </w:rPr>
      </w:pPr>
      <w:r w:rsidRPr="000C4C17">
        <w:rPr>
          <w:rFonts w:eastAsiaTheme="minorHAnsi" w:cs="Arial"/>
          <w:szCs w:val="22"/>
          <w:lang w:bidi="ar-SA"/>
        </w:rPr>
        <w:t xml:space="preserve">EFSA </w:t>
      </w:r>
      <w:r w:rsidRPr="000C4C17">
        <w:rPr>
          <w:rFonts w:eastAsiaTheme="minorHAnsi" w:cs="Arial"/>
          <w:bCs/>
          <w:szCs w:val="22"/>
          <w:lang w:val="en-AU" w:bidi="ar-SA"/>
        </w:rPr>
        <w:t xml:space="preserve">Perfluorooctane sulfonate (PFOS), perfluorooctanoic acid (PFOA) and their salts. Scientific Opinion of the Panel on Contaminants in the Food chain. </w:t>
      </w:r>
      <w:r w:rsidRPr="000C4C17">
        <w:rPr>
          <w:rFonts w:eastAsiaTheme="minorHAnsi" w:cs="Arial"/>
          <w:bCs/>
          <w:i/>
          <w:iCs/>
          <w:szCs w:val="22"/>
          <w:lang w:val="en-AU" w:bidi="ar-SA"/>
        </w:rPr>
        <w:t xml:space="preserve">The EFSA Journal </w:t>
      </w:r>
      <w:r>
        <w:rPr>
          <w:rFonts w:eastAsiaTheme="minorHAnsi" w:cs="Arial"/>
          <w:bCs/>
          <w:szCs w:val="22"/>
          <w:lang w:val="en-AU" w:bidi="ar-SA"/>
        </w:rPr>
        <w:t>(2008) 653:</w:t>
      </w:r>
      <w:r w:rsidRPr="000C4C17">
        <w:rPr>
          <w:rFonts w:eastAsiaTheme="minorHAnsi" w:cs="Arial"/>
          <w:bCs/>
          <w:szCs w:val="22"/>
          <w:lang w:val="en-AU" w:bidi="ar-SA"/>
        </w:rPr>
        <w:t xml:space="preserve"> 1-131.</w:t>
      </w:r>
    </w:p>
    <w:p w14:paraId="6657CD9A" w14:textId="77777777" w:rsidR="00B64733" w:rsidRPr="000C4C17" w:rsidRDefault="00B64733" w:rsidP="00A111E9">
      <w:pPr>
        <w:widowControl/>
        <w:autoSpaceDE w:val="0"/>
        <w:autoSpaceDN w:val="0"/>
        <w:adjustRightInd w:val="0"/>
        <w:rPr>
          <w:rFonts w:eastAsia="UniversLTStd-Cn" w:cs="Arial"/>
          <w:szCs w:val="22"/>
          <w:lang w:bidi="ar-SA"/>
        </w:rPr>
      </w:pPr>
    </w:p>
    <w:p w14:paraId="63403CF9" w14:textId="468EEB80" w:rsidR="00822BD7" w:rsidRPr="000C4C17" w:rsidRDefault="00822BD7" w:rsidP="00A111E9">
      <w:pPr>
        <w:widowControl/>
        <w:autoSpaceDE w:val="0"/>
        <w:autoSpaceDN w:val="0"/>
        <w:adjustRightInd w:val="0"/>
        <w:rPr>
          <w:rFonts w:eastAsia="UniversLTStd-Cn" w:cs="Arial"/>
          <w:szCs w:val="22"/>
          <w:lang w:bidi="ar-SA"/>
        </w:rPr>
      </w:pPr>
      <w:r w:rsidRPr="000C4C17">
        <w:rPr>
          <w:rFonts w:eastAsia="UniversLTStd-Cn" w:cs="Arial"/>
          <w:szCs w:val="22"/>
          <w:lang w:bidi="ar-SA"/>
        </w:rPr>
        <w:t xml:space="preserve">Emmett EA, Zhang H, Shofer FS, Freeman D, Rodway NV, Desai C, </w:t>
      </w:r>
      <w:r w:rsidR="00180A32" w:rsidRPr="00180A32">
        <w:rPr>
          <w:rFonts w:eastAsia="UniversLTStd-Cn" w:cs="Arial"/>
          <w:i/>
          <w:szCs w:val="22"/>
          <w:lang w:bidi="ar-SA"/>
        </w:rPr>
        <w:t xml:space="preserve">et al. </w:t>
      </w:r>
      <w:r>
        <w:rPr>
          <w:rFonts w:eastAsia="UniversLTStd-Cn" w:cs="Arial"/>
          <w:szCs w:val="22"/>
          <w:lang w:bidi="ar-SA"/>
        </w:rPr>
        <w:t xml:space="preserve"> </w:t>
      </w:r>
      <w:r w:rsidRPr="000C4C17">
        <w:rPr>
          <w:rFonts w:eastAsia="UniversLTStd-Cn" w:cs="Arial"/>
          <w:szCs w:val="22"/>
          <w:lang w:bidi="ar-SA"/>
        </w:rPr>
        <w:t>(2006). Community exposure to perfluorooctanoate: relationships between serum levels and certain health parameters. J Occup Environ Med 48:771–779.</w:t>
      </w:r>
      <w:r w:rsidRPr="000C4C17">
        <w:rPr>
          <w:rFonts w:eastAsia="UniversLTStd-Cn" w:cs="Arial"/>
          <w:szCs w:val="22"/>
          <w:lang w:bidi="ar-SA"/>
        </w:rPr>
        <w:tab/>
      </w:r>
    </w:p>
    <w:p w14:paraId="326FFCAB" w14:textId="77777777" w:rsidR="00822BD7" w:rsidRPr="000C4C17" w:rsidRDefault="00822BD7" w:rsidP="00A111E9">
      <w:pPr>
        <w:widowControl/>
        <w:autoSpaceDE w:val="0"/>
        <w:autoSpaceDN w:val="0"/>
        <w:adjustRightInd w:val="0"/>
        <w:rPr>
          <w:rFonts w:eastAsia="UniversLTStd-Cn" w:cs="Arial"/>
          <w:szCs w:val="22"/>
          <w:lang w:bidi="ar-SA"/>
        </w:rPr>
      </w:pPr>
    </w:p>
    <w:p w14:paraId="0D3CE84B" w14:textId="77A4CF20" w:rsidR="00822BD7" w:rsidRPr="000C4C17" w:rsidRDefault="00822BD7" w:rsidP="00A111E9">
      <w:pPr>
        <w:widowControl/>
        <w:autoSpaceDE w:val="0"/>
        <w:autoSpaceDN w:val="0"/>
        <w:adjustRightInd w:val="0"/>
        <w:rPr>
          <w:rFonts w:eastAsia="UniversLTStd-Cn" w:cs="Arial"/>
          <w:szCs w:val="22"/>
          <w:lang w:bidi="ar-SA"/>
        </w:rPr>
      </w:pPr>
      <w:r w:rsidRPr="000C4C17">
        <w:rPr>
          <w:rFonts w:eastAsia="UniversLTStd-Cn" w:cs="Arial"/>
          <w:szCs w:val="22"/>
          <w:lang w:bidi="ar-SA"/>
        </w:rPr>
        <w:t xml:space="preserve">Eriksen KT, Raaschou-Nielsen O, McLaughlin JK, Lipworth L, Tjonneland A, Overvad K, </w:t>
      </w:r>
      <w:r w:rsidR="00180A32" w:rsidRPr="00180A32">
        <w:rPr>
          <w:rFonts w:eastAsia="UniversLTStd-Cn" w:cs="Arial"/>
          <w:i/>
          <w:szCs w:val="22"/>
          <w:lang w:bidi="ar-SA"/>
        </w:rPr>
        <w:t xml:space="preserve">et al. </w:t>
      </w:r>
      <w:r>
        <w:rPr>
          <w:rFonts w:eastAsia="UniversLTStd-Cn" w:cs="Arial"/>
          <w:szCs w:val="22"/>
          <w:lang w:bidi="ar-SA"/>
        </w:rPr>
        <w:t xml:space="preserve"> </w:t>
      </w:r>
      <w:r w:rsidRPr="000C4C17">
        <w:rPr>
          <w:rFonts w:eastAsia="UniversLTStd-Cn" w:cs="Arial"/>
          <w:szCs w:val="22"/>
          <w:lang w:bidi="ar-SA"/>
        </w:rPr>
        <w:t>(2013). Association between plasma PFOA and PFOS levels and total cholesterol in</w:t>
      </w:r>
    </w:p>
    <w:p w14:paraId="74A83340" w14:textId="77777777" w:rsidR="00822BD7" w:rsidRPr="000C4C17" w:rsidRDefault="00822BD7" w:rsidP="00A111E9">
      <w:pPr>
        <w:widowControl/>
        <w:autoSpaceDE w:val="0"/>
        <w:autoSpaceDN w:val="0"/>
        <w:adjustRightInd w:val="0"/>
        <w:rPr>
          <w:rFonts w:eastAsia="UniversLTStd-Cn" w:cs="Arial"/>
          <w:szCs w:val="22"/>
          <w:lang w:bidi="ar-SA"/>
        </w:rPr>
      </w:pPr>
      <w:r w:rsidRPr="000C4C17">
        <w:rPr>
          <w:rFonts w:eastAsia="UniversLTStd-Cn" w:cs="Arial"/>
          <w:szCs w:val="22"/>
          <w:lang w:bidi="ar-SA"/>
        </w:rPr>
        <w:t>a middle-aged Danish population. Plos One 8(2):e56969; doi:10.1371/journal.pone.0056969.</w:t>
      </w:r>
    </w:p>
    <w:p w14:paraId="73C30C51" w14:textId="77777777" w:rsidR="00822BD7" w:rsidRPr="000C4C17" w:rsidRDefault="00822BD7" w:rsidP="00A111E9">
      <w:pPr>
        <w:widowControl/>
        <w:autoSpaceDE w:val="0"/>
        <w:autoSpaceDN w:val="0"/>
        <w:adjustRightInd w:val="0"/>
        <w:rPr>
          <w:rFonts w:eastAsia="UniversLTStd-Cn" w:cs="Arial"/>
          <w:szCs w:val="22"/>
          <w:lang w:bidi="ar-SA"/>
        </w:rPr>
      </w:pPr>
    </w:p>
    <w:p w14:paraId="1CBC7930" w14:textId="77777777" w:rsidR="00822BD7" w:rsidRPr="000C4C17" w:rsidRDefault="00822BD7" w:rsidP="00A111E9">
      <w:pPr>
        <w:widowControl/>
        <w:autoSpaceDE w:val="0"/>
        <w:autoSpaceDN w:val="0"/>
        <w:adjustRightInd w:val="0"/>
        <w:rPr>
          <w:rFonts w:eastAsia="UniversLTStd-Cn" w:cs="Arial"/>
          <w:szCs w:val="22"/>
          <w:lang w:bidi="ar-SA"/>
        </w:rPr>
      </w:pPr>
      <w:r w:rsidRPr="000C4C17">
        <w:rPr>
          <w:rFonts w:eastAsia="UniversLTStd-Cn" w:cs="Arial"/>
          <w:szCs w:val="22"/>
          <w:lang w:bidi="ar-SA"/>
        </w:rPr>
        <w:t>Fisher M, Arbuckle TE, Wade M, Haines DA. (2013). Do perfluoroalkyl substances affect metabolic function and plasma lipids?—Analysis of the 2007–2009, Canadian Health Measures Survey (CHMS) Cycle 1. Environ Res 121:95–103.</w:t>
      </w:r>
    </w:p>
    <w:p w14:paraId="0581E05C" w14:textId="77777777" w:rsidR="00822BD7" w:rsidRPr="000C4C17" w:rsidRDefault="00822BD7" w:rsidP="00A111E9">
      <w:pPr>
        <w:widowControl/>
        <w:autoSpaceDE w:val="0"/>
        <w:autoSpaceDN w:val="0"/>
        <w:adjustRightInd w:val="0"/>
        <w:rPr>
          <w:rFonts w:eastAsia="UniversLTStd-Cn" w:cs="Arial"/>
          <w:szCs w:val="22"/>
          <w:lang w:bidi="ar-SA"/>
        </w:rPr>
      </w:pPr>
    </w:p>
    <w:p w14:paraId="6288EC8E" w14:textId="21A02C8B" w:rsidR="00822BD7" w:rsidRPr="000C4C17" w:rsidRDefault="00822BD7" w:rsidP="00A111E9">
      <w:pPr>
        <w:widowControl/>
        <w:autoSpaceDE w:val="0"/>
        <w:autoSpaceDN w:val="0"/>
        <w:adjustRightInd w:val="0"/>
        <w:rPr>
          <w:rFonts w:eastAsia="UniversLTStd-Cn" w:cs="Arial"/>
          <w:szCs w:val="22"/>
          <w:lang w:bidi="ar-SA"/>
        </w:rPr>
      </w:pPr>
      <w:r w:rsidRPr="000C4C17">
        <w:rPr>
          <w:rFonts w:eastAsia="UniversLTStd-Cn" w:cs="Arial"/>
          <w:szCs w:val="22"/>
          <w:lang w:bidi="ar-SA"/>
        </w:rPr>
        <w:t xml:space="preserve">Fitz-Simon N, Fletcher T, Luster MI, Steenland K, Calafat AM, Kato K, </w:t>
      </w:r>
      <w:r w:rsidR="00180A32" w:rsidRPr="00180A32">
        <w:rPr>
          <w:rFonts w:eastAsia="UniversLTStd-Cn" w:cs="Arial"/>
          <w:i/>
          <w:szCs w:val="22"/>
          <w:lang w:bidi="ar-SA"/>
        </w:rPr>
        <w:t xml:space="preserve">et al. </w:t>
      </w:r>
      <w:r>
        <w:rPr>
          <w:rFonts w:eastAsia="UniversLTStd-Cn" w:cs="Arial"/>
          <w:szCs w:val="22"/>
          <w:lang w:bidi="ar-SA"/>
        </w:rPr>
        <w:t xml:space="preserve"> </w:t>
      </w:r>
      <w:r w:rsidRPr="000C4C17">
        <w:rPr>
          <w:rFonts w:eastAsia="UniversLTStd-Cn" w:cs="Arial"/>
          <w:szCs w:val="22"/>
          <w:lang w:bidi="ar-SA"/>
        </w:rPr>
        <w:t>(2013). Reductions in serum lipids with a 4-year decline in serum perfluorooctanoic acid and</w:t>
      </w:r>
    </w:p>
    <w:p w14:paraId="39E7FA33" w14:textId="77777777" w:rsidR="00822BD7" w:rsidRPr="000C4C17" w:rsidRDefault="00822BD7" w:rsidP="00A111E9">
      <w:pPr>
        <w:widowControl/>
        <w:autoSpaceDE w:val="0"/>
        <w:autoSpaceDN w:val="0"/>
        <w:adjustRightInd w:val="0"/>
        <w:rPr>
          <w:rFonts w:eastAsia="UniversLTStd-Cn" w:cs="Arial"/>
          <w:szCs w:val="22"/>
          <w:lang w:bidi="ar-SA"/>
        </w:rPr>
      </w:pPr>
      <w:r w:rsidRPr="000C4C17">
        <w:rPr>
          <w:rFonts w:eastAsia="UniversLTStd-Cn" w:cs="Arial"/>
          <w:szCs w:val="22"/>
          <w:lang w:bidi="ar-SA"/>
        </w:rPr>
        <w:t>perfluorooctanesulfonic acid. Epidemiology 24:569–576.</w:t>
      </w:r>
    </w:p>
    <w:p w14:paraId="13763E9D" w14:textId="77777777" w:rsidR="00822BD7" w:rsidRPr="000C4C17" w:rsidRDefault="00822BD7" w:rsidP="00A111E9">
      <w:pPr>
        <w:widowControl/>
        <w:autoSpaceDE w:val="0"/>
        <w:autoSpaceDN w:val="0"/>
        <w:adjustRightInd w:val="0"/>
        <w:rPr>
          <w:rFonts w:eastAsia="UniversLTStd-Cn" w:cs="Arial"/>
          <w:szCs w:val="22"/>
          <w:lang w:bidi="ar-SA"/>
        </w:rPr>
      </w:pPr>
    </w:p>
    <w:p w14:paraId="3A4CB679" w14:textId="6D3E06E4" w:rsidR="00822BD7" w:rsidRPr="000C4C17" w:rsidRDefault="00822BD7" w:rsidP="00A111E9">
      <w:pPr>
        <w:widowControl/>
        <w:autoSpaceDE w:val="0"/>
        <w:autoSpaceDN w:val="0"/>
        <w:adjustRightInd w:val="0"/>
        <w:rPr>
          <w:rFonts w:eastAsia="UniversLTStd-Cn" w:cs="Arial"/>
          <w:szCs w:val="22"/>
          <w:lang w:bidi="ar-SA"/>
        </w:rPr>
      </w:pPr>
      <w:r w:rsidRPr="000C4C17">
        <w:rPr>
          <w:rFonts w:eastAsia="UniversLTStd-Cn" w:cs="Arial"/>
          <w:szCs w:val="22"/>
          <w:lang w:bidi="ar-SA"/>
        </w:rPr>
        <w:t xml:space="preserve">Frisbee SJ, Shankar A, Knox SS, Steenland K, Savitz DA, Fletcher T, </w:t>
      </w:r>
      <w:r w:rsidR="00180A32" w:rsidRPr="00180A32">
        <w:rPr>
          <w:rFonts w:eastAsia="UniversLTStd-Cn" w:cs="Arial"/>
          <w:i/>
          <w:szCs w:val="22"/>
          <w:lang w:bidi="ar-SA"/>
        </w:rPr>
        <w:t xml:space="preserve">et al. </w:t>
      </w:r>
      <w:r>
        <w:rPr>
          <w:rFonts w:eastAsia="UniversLTStd-Cn" w:cs="Arial"/>
          <w:szCs w:val="22"/>
          <w:lang w:bidi="ar-SA"/>
        </w:rPr>
        <w:t xml:space="preserve"> </w:t>
      </w:r>
      <w:r w:rsidRPr="000C4C17">
        <w:rPr>
          <w:rFonts w:eastAsia="UniversLTStd-Cn" w:cs="Arial"/>
          <w:szCs w:val="22"/>
          <w:lang w:bidi="ar-SA"/>
        </w:rPr>
        <w:t>(2010) Perfluorooctanoic acid, perfluorooctanesulfonate, and serum lipids in children and</w:t>
      </w:r>
    </w:p>
    <w:p w14:paraId="2C010498" w14:textId="77777777" w:rsidR="00822BD7" w:rsidRPr="000C4C17" w:rsidRDefault="00822BD7" w:rsidP="00A111E9">
      <w:pPr>
        <w:widowControl/>
        <w:autoSpaceDE w:val="0"/>
        <w:autoSpaceDN w:val="0"/>
        <w:adjustRightInd w:val="0"/>
        <w:rPr>
          <w:rFonts w:eastAsia="UniversLTStd-Cn" w:cs="Arial"/>
          <w:szCs w:val="22"/>
          <w:lang w:bidi="ar-SA"/>
        </w:rPr>
      </w:pPr>
      <w:r w:rsidRPr="000C4C17">
        <w:rPr>
          <w:rFonts w:eastAsia="UniversLTStd-Cn" w:cs="Arial"/>
          <w:szCs w:val="22"/>
          <w:lang w:bidi="ar-SA"/>
        </w:rPr>
        <w:t>adolescents: results from the C8 Health Project. Arch Pediatr Adolesc Med 164:860–869.</w:t>
      </w:r>
    </w:p>
    <w:p w14:paraId="3E19FD62" w14:textId="77777777" w:rsidR="00822BD7" w:rsidRPr="000C4C17" w:rsidRDefault="00822BD7" w:rsidP="00A111E9">
      <w:pPr>
        <w:widowControl/>
        <w:tabs>
          <w:tab w:val="left" w:pos="2370"/>
        </w:tabs>
        <w:rPr>
          <w:rFonts w:eastAsiaTheme="minorHAnsi" w:cs="Arial"/>
          <w:szCs w:val="22"/>
          <w:lang w:bidi="ar-SA"/>
        </w:rPr>
      </w:pPr>
    </w:p>
    <w:p w14:paraId="061A5AFE" w14:textId="77777777" w:rsidR="00822BD7" w:rsidRPr="000C4C17" w:rsidRDefault="00822BD7" w:rsidP="00A111E9">
      <w:pPr>
        <w:widowControl/>
        <w:shd w:val="clear" w:color="auto" w:fill="FFFFFF"/>
        <w:rPr>
          <w:rFonts w:cs="Arial"/>
          <w:szCs w:val="22"/>
          <w:lang w:eastAsia="en-GB" w:bidi="ar-SA"/>
        </w:rPr>
      </w:pPr>
      <w:r w:rsidRPr="000C4C17">
        <w:rPr>
          <w:rFonts w:cs="Arial"/>
          <w:szCs w:val="22"/>
          <w:lang w:eastAsia="en-GB" w:bidi="ar-SA"/>
        </w:rPr>
        <w:t xml:space="preserve">Fu Y, Wang T, Fu Q, Wang P, Lu Y (2014). </w:t>
      </w:r>
      <w:hyperlink r:id="rId91" w:history="1">
        <w:r w:rsidRPr="000C4C17">
          <w:rPr>
            <w:rFonts w:cs="Arial"/>
            <w:szCs w:val="22"/>
            <w:lang w:eastAsia="en-GB" w:bidi="ar-SA"/>
          </w:rPr>
          <w:t>Associations between serum concentrations of perfluoroalkyl acids and serum lipid levels in a Chinese population.</w:t>
        </w:r>
      </w:hyperlink>
      <w:r w:rsidRPr="000C4C17">
        <w:rPr>
          <w:rFonts w:cs="Arial"/>
          <w:color w:val="2222CC"/>
          <w:szCs w:val="22"/>
          <w:u w:val="single"/>
          <w:lang w:eastAsia="en-GB" w:bidi="ar-SA"/>
        </w:rPr>
        <w:t xml:space="preserve"> </w:t>
      </w:r>
      <w:r w:rsidRPr="000C4C17">
        <w:rPr>
          <w:rFonts w:cs="Arial"/>
          <w:szCs w:val="22"/>
          <w:lang w:eastAsia="en-GB" w:bidi="ar-SA"/>
        </w:rPr>
        <w:t>Ecotoxicol Environ Saf. 106:246-52. doi: 10.1016/j.ecoenv.2014.04.039.</w:t>
      </w:r>
    </w:p>
    <w:p w14:paraId="3C217334" w14:textId="77777777" w:rsidR="00822BD7" w:rsidRPr="000C4C17" w:rsidRDefault="00822BD7" w:rsidP="00A111E9">
      <w:pPr>
        <w:widowControl/>
        <w:tabs>
          <w:tab w:val="left" w:pos="2370"/>
        </w:tabs>
        <w:rPr>
          <w:rFonts w:eastAsiaTheme="minorHAnsi" w:cs="Arial"/>
          <w:szCs w:val="22"/>
          <w:lang w:bidi="ar-SA"/>
        </w:rPr>
      </w:pPr>
    </w:p>
    <w:p w14:paraId="6A4D5CD1" w14:textId="1AA7D29F" w:rsidR="00822BD7" w:rsidRPr="000C4C17" w:rsidRDefault="00822BD7" w:rsidP="00A111E9">
      <w:pPr>
        <w:widowControl/>
        <w:tabs>
          <w:tab w:val="left" w:pos="2370"/>
        </w:tabs>
        <w:rPr>
          <w:rFonts w:eastAsiaTheme="minorHAnsi" w:cs="Arial"/>
          <w:szCs w:val="22"/>
          <w:lang w:bidi="ar-SA"/>
        </w:rPr>
      </w:pPr>
      <w:r w:rsidRPr="000C4C17">
        <w:rPr>
          <w:rFonts w:eastAsiaTheme="minorHAnsi" w:cs="Arial"/>
          <w:szCs w:val="22"/>
          <w:lang w:bidi="ar-SA"/>
        </w:rPr>
        <w:t xml:space="preserve">Geiger, S.D., J. Xiao, A. Ducatmen, S. Frisbee, </w:t>
      </w:r>
      <w:r w:rsidR="00B17E0E">
        <w:rPr>
          <w:rFonts w:eastAsiaTheme="minorHAnsi" w:cs="Arial"/>
          <w:szCs w:val="22"/>
          <w:lang w:bidi="ar-SA"/>
        </w:rPr>
        <w:t>K. Innes, and A. Shankar. (2014</w:t>
      </w:r>
      <w:r w:rsidRPr="000C4C17">
        <w:rPr>
          <w:rFonts w:eastAsiaTheme="minorHAnsi" w:cs="Arial"/>
          <w:szCs w:val="22"/>
          <w:lang w:bidi="ar-SA"/>
        </w:rPr>
        <w:t xml:space="preserve">). The association between PFOA, PFOS and serum lipid levels in adolescents. </w:t>
      </w:r>
      <w:r w:rsidRPr="000C4C17">
        <w:rPr>
          <w:rFonts w:eastAsiaTheme="minorHAnsi"/>
        </w:rPr>
        <w:t>Chemosphere</w:t>
      </w:r>
      <w:r w:rsidRPr="000C4C17">
        <w:rPr>
          <w:rFonts w:eastAsiaTheme="minorHAnsi" w:cs="Arial"/>
          <w:i/>
          <w:iCs/>
          <w:szCs w:val="22"/>
          <w:lang w:bidi="ar-SA"/>
        </w:rPr>
        <w:t xml:space="preserve"> </w:t>
      </w:r>
      <w:r w:rsidRPr="000C4C17">
        <w:rPr>
          <w:rFonts w:eastAsiaTheme="minorHAnsi" w:cs="Arial"/>
          <w:szCs w:val="22"/>
          <w:lang w:bidi="ar-SA"/>
        </w:rPr>
        <w:t>98:78–83.</w:t>
      </w:r>
    </w:p>
    <w:p w14:paraId="34EEB058" w14:textId="77777777" w:rsidR="00822BD7" w:rsidRPr="000C4C17" w:rsidRDefault="00822BD7" w:rsidP="00A111E9">
      <w:pPr>
        <w:widowControl/>
        <w:tabs>
          <w:tab w:val="left" w:pos="2370"/>
        </w:tabs>
        <w:rPr>
          <w:rFonts w:eastAsiaTheme="minorHAnsi" w:cs="Arial"/>
          <w:szCs w:val="22"/>
          <w:lang w:bidi="ar-SA"/>
        </w:rPr>
      </w:pPr>
    </w:p>
    <w:p w14:paraId="43EFE175" w14:textId="77777777" w:rsidR="00822BD7" w:rsidRPr="000C4C17" w:rsidRDefault="00822BD7" w:rsidP="00A111E9">
      <w:pPr>
        <w:widowControl/>
        <w:autoSpaceDE w:val="0"/>
        <w:autoSpaceDN w:val="0"/>
        <w:adjustRightInd w:val="0"/>
        <w:rPr>
          <w:rFonts w:eastAsiaTheme="minorHAnsi" w:cs="Arial"/>
          <w:szCs w:val="22"/>
          <w:lang w:bidi="ar-SA"/>
        </w:rPr>
      </w:pPr>
      <w:r w:rsidRPr="000C4C17">
        <w:rPr>
          <w:rFonts w:eastAsiaTheme="minorHAnsi" w:cs="Arial"/>
          <w:szCs w:val="22"/>
          <w:lang w:bidi="ar-SA"/>
        </w:rPr>
        <w:t>Gilliland FD, Mandel JS. (1996) Serum perfluorooctanoic acid and hepatic enzymes,</w:t>
      </w:r>
    </w:p>
    <w:p w14:paraId="64A915E6" w14:textId="77777777" w:rsidR="00822BD7" w:rsidRPr="000C4C17" w:rsidRDefault="00822BD7" w:rsidP="00A111E9">
      <w:pPr>
        <w:widowControl/>
        <w:autoSpaceDE w:val="0"/>
        <w:autoSpaceDN w:val="0"/>
        <w:adjustRightInd w:val="0"/>
        <w:rPr>
          <w:rFonts w:eastAsiaTheme="minorHAnsi" w:cs="Arial"/>
          <w:szCs w:val="22"/>
          <w:lang w:bidi="ar-SA"/>
        </w:rPr>
      </w:pPr>
      <w:r w:rsidRPr="000C4C17">
        <w:rPr>
          <w:rFonts w:eastAsiaTheme="minorHAnsi" w:cs="Arial"/>
          <w:szCs w:val="22"/>
          <w:lang w:bidi="ar-SA"/>
        </w:rPr>
        <w:t>lipoproteins, and cholesterol: a study of occupationally exposed men. Am.J.Ind.Med. 29,</w:t>
      </w:r>
    </w:p>
    <w:p w14:paraId="45BA14F0" w14:textId="77777777" w:rsidR="00822BD7" w:rsidRPr="000C4C17" w:rsidRDefault="00822BD7" w:rsidP="00A111E9">
      <w:pPr>
        <w:widowControl/>
        <w:tabs>
          <w:tab w:val="left" w:pos="2370"/>
        </w:tabs>
        <w:rPr>
          <w:rFonts w:eastAsiaTheme="minorHAnsi" w:cs="Arial"/>
          <w:szCs w:val="22"/>
          <w:lang w:bidi="ar-SA"/>
        </w:rPr>
      </w:pPr>
      <w:r w:rsidRPr="000C4C17">
        <w:rPr>
          <w:rFonts w:eastAsiaTheme="minorHAnsi" w:cs="Arial"/>
          <w:szCs w:val="22"/>
          <w:lang w:bidi="ar-SA"/>
        </w:rPr>
        <w:t>560-568.</w:t>
      </w:r>
    </w:p>
    <w:p w14:paraId="0EC202BF" w14:textId="77777777" w:rsidR="00822BD7" w:rsidRPr="000C4C17" w:rsidRDefault="00822BD7" w:rsidP="00A111E9">
      <w:pPr>
        <w:widowControl/>
        <w:tabs>
          <w:tab w:val="left" w:pos="2370"/>
        </w:tabs>
        <w:rPr>
          <w:rFonts w:eastAsiaTheme="minorHAnsi" w:cs="Arial"/>
          <w:szCs w:val="22"/>
          <w:lang w:bidi="ar-SA"/>
        </w:rPr>
      </w:pPr>
    </w:p>
    <w:p w14:paraId="43F01EC5" w14:textId="77777777" w:rsidR="00822BD7" w:rsidRPr="000C4C17" w:rsidRDefault="00822BD7" w:rsidP="00A111E9">
      <w:pPr>
        <w:widowControl/>
        <w:shd w:val="clear" w:color="auto" w:fill="FFFFFF"/>
        <w:rPr>
          <w:rFonts w:cs="Arial"/>
          <w:szCs w:val="22"/>
          <w:lang w:eastAsia="en-GB" w:bidi="ar-SA"/>
        </w:rPr>
      </w:pPr>
      <w:r w:rsidRPr="000C4C17">
        <w:rPr>
          <w:rFonts w:eastAsiaTheme="minorHAnsi" w:cs="Arial"/>
          <w:szCs w:val="22"/>
          <w:lang w:bidi="ar-SA"/>
        </w:rPr>
        <w:t xml:space="preserve">Jain RB. (2013) Effect of pregnancy on the levels of selected perfluoroalkyl compounds for females aged 17-39 years: data from National Health and Nutrition Examination Survey 2003-2008. </w:t>
      </w:r>
      <w:hyperlink r:id="rId92" w:anchor="comments" w:history="1">
        <w:r w:rsidRPr="000C4C17">
          <w:rPr>
            <w:rFonts w:cs="Arial"/>
            <w:vanish/>
            <w:szCs w:val="22"/>
            <w:lang w:eastAsia="en-GB" w:bidi="ar-SA"/>
          </w:rPr>
          <w:t>See comment in PubMed Commons below</w:t>
        </w:r>
      </w:hyperlink>
      <w:hyperlink r:id="rId93" w:tooltip="Journal of toxicology and environmental health. Part A." w:history="1">
        <w:r w:rsidRPr="000C4C17">
          <w:rPr>
            <w:rFonts w:cs="Arial"/>
            <w:szCs w:val="22"/>
            <w:lang w:eastAsia="en-GB" w:bidi="ar-SA"/>
          </w:rPr>
          <w:t>J Toxicol Environ Health A.</w:t>
        </w:r>
      </w:hyperlink>
      <w:r w:rsidRPr="000C4C17">
        <w:rPr>
          <w:rFonts w:cs="Arial"/>
          <w:szCs w:val="22"/>
          <w:lang w:eastAsia="en-GB" w:bidi="ar-SA"/>
        </w:rPr>
        <w:t xml:space="preserve"> 76(7):409-21.</w:t>
      </w:r>
    </w:p>
    <w:p w14:paraId="6DD94D0C" w14:textId="77777777" w:rsidR="00822BD7" w:rsidRPr="000C4C17" w:rsidRDefault="00822BD7" w:rsidP="00A111E9">
      <w:pPr>
        <w:widowControl/>
        <w:tabs>
          <w:tab w:val="left" w:pos="2370"/>
        </w:tabs>
        <w:rPr>
          <w:rFonts w:eastAsiaTheme="minorHAnsi" w:cs="Arial"/>
          <w:szCs w:val="22"/>
          <w:lang w:bidi="ar-SA"/>
        </w:rPr>
      </w:pPr>
    </w:p>
    <w:p w14:paraId="446DAB43" w14:textId="77777777" w:rsidR="00822BD7" w:rsidRDefault="00822BD7" w:rsidP="00A111E9">
      <w:pPr>
        <w:widowControl/>
        <w:autoSpaceDE w:val="0"/>
        <w:autoSpaceDN w:val="0"/>
        <w:adjustRightInd w:val="0"/>
        <w:rPr>
          <w:rFonts w:eastAsiaTheme="minorHAnsi" w:cs="Arial"/>
          <w:szCs w:val="22"/>
          <w:lang w:bidi="ar-SA"/>
        </w:rPr>
      </w:pPr>
      <w:r w:rsidRPr="000C4C17">
        <w:rPr>
          <w:rFonts w:eastAsiaTheme="minorHAnsi" w:cs="Arial"/>
          <w:szCs w:val="22"/>
          <w:lang w:bidi="ar-SA"/>
        </w:rPr>
        <w:t>Kaplan AM (2004) Ammonium perfluorooctanoate. US EPA docket AR-226-1867 and AR 226-1868. US Environmental Protection Agency, Washington, DC</w:t>
      </w:r>
    </w:p>
    <w:p w14:paraId="3EED3AB4" w14:textId="7BBB96AC" w:rsidR="00D356A8" w:rsidRDefault="00D356A8" w:rsidP="00A111E9">
      <w:pPr>
        <w:widowControl/>
        <w:autoSpaceDE w:val="0"/>
        <w:autoSpaceDN w:val="0"/>
        <w:adjustRightInd w:val="0"/>
        <w:rPr>
          <w:rFonts w:eastAsiaTheme="minorHAnsi" w:cs="Arial"/>
          <w:szCs w:val="22"/>
          <w:lang w:bidi="ar-SA"/>
        </w:rPr>
      </w:pPr>
    </w:p>
    <w:p w14:paraId="211D4A64" w14:textId="123CA7BB" w:rsidR="00D356A8" w:rsidRPr="000C4C17" w:rsidRDefault="00D356A8" w:rsidP="00A111E9">
      <w:pPr>
        <w:widowControl/>
        <w:autoSpaceDE w:val="0"/>
        <w:autoSpaceDN w:val="0"/>
        <w:adjustRightInd w:val="0"/>
        <w:rPr>
          <w:rFonts w:eastAsiaTheme="minorHAnsi" w:cs="Arial"/>
          <w:szCs w:val="22"/>
          <w:lang w:bidi="ar-SA"/>
        </w:rPr>
      </w:pPr>
      <w:r w:rsidRPr="00D356A8">
        <w:rPr>
          <w:rFonts w:eastAsiaTheme="minorHAnsi" w:cs="Arial"/>
          <w:szCs w:val="22"/>
          <w:lang w:bidi="ar-SA"/>
        </w:rPr>
        <w:t>Kärrman A, Mueller JF, van Bavel B, Harden F, Toms LM, Lindström G</w:t>
      </w:r>
      <w:r>
        <w:rPr>
          <w:rFonts w:eastAsiaTheme="minorHAnsi" w:cs="Arial"/>
          <w:szCs w:val="22"/>
          <w:lang w:bidi="ar-SA"/>
        </w:rPr>
        <w:t xml:space="preserve">. (2006) </w:t>
      </w:r>
      <w:r w:rsidRPr="00D356A8">
        <w:rPr>
          <w:rFonts w:eastAsiaTheme="minorHAnsi" w:cs="Arial"/>
          <w:szCs w:val="22"/>
          <w:lang w:bidi="ar-SA"/>
        </w:rPr>
        <w:t>Levels of 12 perf</w:t>
      </w:r>
      <w:r>
        <w:rPr>
          <w:rFonts w:eastAsiaTheme="minorHAnsi" w:cs="Arial"/>
          <w:szCs w:val="22"/>
          <w:lang w:bidi="ar-SA"/>
        </w:rPr>
        <w:t>luorinated chemicals in pooled a</w:t>
      </w:r>
      <w:r w:rsidRPr="00D356A8">
        <w:rPr>
          <w:rFonts w:eastAsiaTheme="minorHAnsi" w:cs="Arial"/>
          <w:szCs w:val="22"/>
          <w:lang w:bidi="ar-SA"/>
        </w:rPr>
        <w:t>ustralian serum, collected 2002-2003, in relation to age, gender, and region.</w:t>
      </w:r>
      <w:r>
        <w:rPr>
          <w:rFonts w:eastAsiaTheme="minorHAnsi" w:cs="Arial"/>
          <w:szCs w:val="22"/>
          <w:lang w:bidi="ar-SA"/>
        </w:rPr>
        <w:t xml:space="preserve"> Environ Sci Technol 40: 3742-8. </w:t>
      </w:r>
    </w:p>
    <w:p w14:paraId="3E500461" w14:textId="77777777" w:rsidR="00822BD7" w:rsidRPr="000C4C17" w:rsidRDefault="00822BD7" w:rsidP="00A111E9">
      <w:pPr>
        <w:widowControl/>
        <w:tabs>
          <w:tab w:val="left" w:pos="2370"/>
        </w:tabs>
        <w:rPr>
          <w:rFonts w:eastAsiaTheme="minorHAnsi" w:cs="Arial"/>
          <w:szCs w:val="22"/>
          <w:lang w:bidi="ar-SA"/>
        </w:rPr>
      </w:pPr>
    </w:p>
    <w:p w14:paraId="1EC4CB51" w14:textId="77777777" w:rsidR="00822BD7" w:rsidRPr="000C4C17" w:rsidRDefault="00FA183D" w:rsidP="00A111E9">
      <w:pPr>
        <w:widowControl/>
        <w:tabs>
          <w:tab w:val="left" w:pos="2370"/>
        </w:tabs>
        <w:rPr>
          <w:rFonts w:eastAsiaTheme="minorHAnsi" w:cs="Arial"/>
          <w:szCs w:val="22"/>
          <w:lang w:bidi="ar-SA"/>
        </w:rPr>
      </w:pPr>
      <w:hyperlink r:id="rId94" w:history="1">
        <w:r w:rsidR="00822BD7" w:rsidRPr="000C4C17">
          <w:rPr>
            <w:rFonts w:eastAsiaTheme="minorHAnsi" w:cs="Arial"/>
            <w:szCs w:val="22"/>
            <w:lang w:bidi="ar-SA"/>
          </w:rPr>
          <w:t>Kerger BD</w:t>
        </w:r>
      </w:hyperlink>
      <w:r w:rsidR="00822BD7" w:rsidRPr="000C4C17">
        <w:rPr>
          <w:rFonts w:eastAsiaTheme="minorHAnsi" w:cs="Arial"/>
          <w:szCs w:val="22"/>
          <w:lang w:bidi="ar-SA"/>
        </w:rPr>
        <w:t xml:space="preserve">, </w:t>
      </w:r>
      <w:hyperlink r:id="rId95" w:history="1">
        <w:r w:rsidR="00822BD7" w:rsidRPr="000C4C17">
          <w:rPr>
            <w:rFonts w:eastAsiaTheme="minorHAnsi" w:cs="Arial"/>
            <w:szCs w:val="22"/>
            <w:lang w:bidi="ar-SA"/>
          </w:rPr>
          <w:t>Copeland TL</w:t>
        </w:r>
      </w:hyperlink>
      <w:r w:rsidR="00822BD7" w:rsidRPr="000C4C17">
        <w:rPr>
          <w:rFonts w:eastAsiaTheme="minorHAnsi" w:cs="Arial"/>
          <w:szCs w:val="22"/>
          <w:lang w:bidi="ar-SA"/>
        </w:rPr>
        <w:t xml:space="preserve">, </w:t>
      </w:r>
      <w:hyperlink r:id="rId96" w:history="1">
        <w:r w:rsidR="00822BD7" w:rsidRPr="000C4C17">
          <w:rPr>
            <w:rFonts w:eastAsiaTheme="minorHAnsi" w:cs="Arial"/>
            <w:szCs w:val="22"/>
            <w:lang w:bidi="ar-SA"/>
          </w:rPr>
          <w:t>DeCaprio AP</w:t>
        </w:r>
      </w:hyperlink>
      <w:r w:rsidR="00822BD7" w:rsidRPr="000C4C17">
        <w:rPr>
          <w:rFonts w:eastAsiaTheme="minorHAnsi" w:cs="Arial"/>
          <w:szCs w:val="22"/>
          <w:lang w:bidi="ar-SA"/>
        </w:rPr>
        <w:t xml:space="preserve">. (2011) Tenuous dose-response correlations for common disease states: case study of cholesterol and perfluorooctanoate/sulfonate (PFOA/PFOS) in the C8 Health Project. </w:t>
      </w:r>
      <w:hyperlink r:id="rId97" w:tooltip="Drug and chemical toxicology." w:history="1">
        <w:r w:rsidR="00822BD7" w:rsidRPr="000C4C17">
          <w:rPr>
            <w:rFonts w:eastAsiaTheme="minorHAnsi" w:cs="Arial"/>
            <w:szCs w:val="22"/>
            <w:lang w:bidi="ar-SA"/>
          </w:rPr>
          <w:t>Drug Chem Toxicol.</w:t>
        </w:r>
      </w:hyperlink>
      <w:r w:rsidR="00822BD7" w:rsidRPr="000C4C17">
        <w:rPr>
          <w:rFonts w:eastAsiaTheme="minorHAnsi" w:cs="Arial"/>
          <w:szCs w:val="22"/>
          <w:lang w:bidi="ar-SA"/>
        </w:rPr>
        <w:t xml:space="preserve"> 34(4):396-404.</w:t>
      </w:r>
    </w:p>
    <w:p w14:paraId="7EB8A03D" w14:textId="77777777" w:rsidR="00822BD7" w:rsidRPr="000C4C17" w:rsidRDefault="00822BD7" w:rsidP="00A111E9">
      <w:pPr>
        <w:widowControl/>
        <w:tabs>
          <w:tab w:val="left" w:pos="2370"/>
        </w:tabs>
        <w:rPr>
          <w:rFonts w:eastAsiaTheme="minorHAnsi" w:cs="Arial"/>
          <w:szCs w:val="22"/>
          <w:lang w:bidi="ar-SA"/>
        </w:rPr>
      </w:pPr>
    </w:p>
    <w:p w14:paraId="0BE83EBF" w14:textId="77777777" w:rsidR="00822BD7" w:rsidRPr="000C4C17" w:rsidRDefault="00822BD7" w:rsidP="00A111E9">
      <w:pPr>
        <w:widowControl/>
        <w:tabs>
          <w:tab w:val="left" w:pos="2370"/>
        </w:tabs>
        <w:rPr>
          <w:rFonts w:eastAsiaTheme="minorHAnsi" w:cs="Arial"/>
          <w:szCs w:val="22"/>
          <w:lang w:bidi="ar-SA"/>
        </w:rPr>
      </w:pPr>
      <w:r w:rsidRPr="000C4C17">
        <w:rPr>
          <w:rFonts w:eastAsiaTheme="minorHAnsi" w:cs="Arial"/>
          <w:szCs w:val="22"/>
          <w:lang w:bidi="ar-SA"/>
        </w:rPr>
        <w:t xml:space="preserve">Lin, C.-Y., Chen, P.-C., Lin, Y.-C., &amp; Lin, L.-Y. (2009). Association among serum perfluoroalkyl chemicals, glucose homeostasis, and metabolic syndrome in adolescents and adults. </w:t>
      </w:r>
      <w:r w:rsidRPr="000C4C17">
        <w:rPr>
          <w:rFonts w:eastAsiaTheme="minorHAnsi"/>
        </w:rPr>
        <w:t>Diabetes Care</w:t>
      </w:r>
      <w:r w:rsidRPr="000C4C17">
        <w:rPr>
          <w:rFonts w:eastAsiaTheme="minorHAnsi" w:cs="Arial"/>
          <w:szCs w:val="22"/>
          <w:lang w:bidi="ar-SA"/>
        </w:rPr>
        <w:t xml:space="preserve">, </w:t>
      </w:r>
      <w:r w:rsidRPr="000C4C17">
        <w:rPr>
          <w:rFonts w:eastAsiaTheme="minorHAnsi"/>
        </w:rPr>
        <w:t>32</w:t>
      </w:r>
      <w:r w:rsidRPr="000C4C17">
        <w:rPr>
          <w:rFonts w:eastAsiaTheme="minorHAnsi" w:cs="Arial"/>
          <w:szCs w:val="22"/>
          <w:lang w:bidi="ar-SA"/>
        </w:rPr>
        <w:t>(4), 702–707.</w:t>
      </w:r>
    </w:p>
    <w:p w14:paraId="67BBDF28" w14:textId="77777777" w:rsidR="00822BD7" w:rsidRPr="000C4C17" w:rsidRDefault="00822BD7" w:rsidP="00A111E9">
      <w:pPr>
        <w:widowControl/>
        <w:tabs>
          <w:tab w:val="left" w:pos="2370"/>
        </w:tabs>
        <w:rPr>
          <w:rFonts w:eastAsiaTheme="minorHAnsi" w:cs="Arial"/>
          <w:szCs w:val="22"/>
          <w:lang w:bidi="ar-SA"/>
        </w:rPr>
      </w:pPr>
    </w:p>
    <w:p w14:paraId="2D6CDD18" w14:textId="77777777" w:rsidR="00822BD7" w:rsidRPr="000C4C17" w:rsidRDefault="00FA183D" w:rsidP="00A111E9">
      <w:pPr>
        <w:widowControl/>
        <w:shd w:val="clear" w:color="auto" w:fill="FFFFFF"/>
        <w:rPr>
          <w:rFonts w:eastAsiaTheme="minorHAnsi" w:cs="Arial"/>
          <w:szCs w:val="22"/>
          <w:lang w:bidi="ar-SA"/>
        </w:rPr>
      </w:pPr>
      <w:hyperlink r:id="rId98" w:history="1">
        <w:r w:rsidR="00822BD7" w:rsidRPr="000C4C17">
          <w:rPr>
            <w:rFonts w:eastAsiaTheme="minorHAnsi" w:cs="Arial"/>
            <w:szCs w:val="22"/>
            <w:lang w:bidi="ar-SA"/>
          </w:rPr>
          <w:t>Lin CY</w:t>
        </w:r>
      </w:hyperlink>
      <w:r w:rsidR="00822BD7" w:rsidRPr="000C4C17">
        <w:rPr>
          <w:rFonts w:eastAsiaTheme="minorHAnsi" w:cs="Arial"/>
          <w:szCs w:val="22"/>
          <w:lang w:bidi="ar-SA"/>
        </w:rPr>
        <w:t xml:space="preserve">, </w:t>
      </w:r>
      <w:hyperlink r:id="rId99" w:history="1">
        <w:r w:rsidR="00822BD7" w:rsidRPr="000C4C17">
          <w:rPr>
            <w:rFonts w:eastAsiaTheme="minorHAnsi" w:cs="Arial"/>
            <w:szCs w:val="22"/>
            <w:lang w:bidi="ar-SA"/>
          </w:rPr>
          <w:t>Lin LY</w:t>
        </w:r>
      </w:hyperlink>
      <w:r w:rsidR="00822BD7" w:rsidRPr="000C4C17">
        <w:rPr>
          <w:rFonts w:eastAsiaTheme="minorHAnsi" w:cs="Arial"/>
          <w:szCs w:val="22"/>
          <w:lang w:bidi="ar-SA"/>
        </w:rPr>
        <w:t xml:space="preserve">, </w:t>
      </w:r>
      <w:hyperlink r:id="rId100" w:history="1">
        <w:r w:rsidR="00822BD7" w:rsidRPr="000C4C17">
          <w:rPr>
            <w:rFonts w:eastAsiaTheme="minorHAnsi" w:cs="Arial"/>
            <w:szCs w:val="22"/>
            <w:lang w:bidi="ar-SA"/>
          </w:rPr>
          <w:t>Wen TW</w:t>
        </w:r>
      </w:hyperlink>
      <w:r w:rsidR="00822BD7" w:rsidRPr="000C4C17">
        <w:rPr>
          <w:rFonts w:eastAsiaTheme="minorHAnsi" w:cs="Arial"/>
          <w:szCs w:val="22"/>
          <w:lang w:bidi="ar-SA"/>
        </w:rPr>
        <w:t xml:space="preserve">, </w:t>
      </w:r>
      <w:hyperlink r:id="rId101" w:history="1">
        <w:r w:rsidR="00822BD7" w:rsidRPr="000C4C17">
          <w:rPr>
            <w:rFonts w:eastAsiaTheme="minorHAnsi" w:cs="Arial"/>
            <w:szCs w:val="22"/>
            <w:lang w:bidi="ar-SA"/>
          </w:rPr>
          <w:t>Lien GW</w:t>
        </w:r>
      </w:hyperlink>
      <w:r w:rsidR="00822BD7" w:rsidRPr="000C4C17">
        <w:rPr>
          <w:rFonts w:eastAsiaTheme="minorHAnsi" w:cs="Arial"/>
          <w:szCs w:val="22"/>
          <w:lang w:bidi="ar-SA"/>
        </w:rPr>
        <w:t xml:space="preserve">, </w:t>
      </w:r>
      <w:hyperlink r:id="rId102" w:history="1">
        <w:r w:rsidR="00822BD7" w:rsidRPr="000C4C17">
          <w:rPr>
            <w:rFonts w:eastAsiaTheme="minorHAnsi" w:cs="Arial"/>
            <w:szCs w:val="22"/>
            <w:lang w:bidi="ar-SA"/>
          </w:rPr>
          <w:t>Chien KL</w:t>
        </w:r>
      </w:hyperlink>
      <w:r w:rsidR="00822BD7" w:rsidRPr="000C4C17">
        <w:rPr>
          <w:rFonts w:eastAsiaTheme="minorHAnsi" w:cs="Arial"/>
          <w:szCs w:val="22"/>
          <w:lang w:bidi="ar-SA"/>
        </w:rPr>
        <w:t xml:space="preserve">, </w:t>
      </w:r>
      <w:hyperlink r:id="rId103" w:history="1">
        <w:r w:rsidR="00822BD7" w:rsidRPr="000C4C17">
          <w:rPr>
            <w:rFonts w:eastAsiaTheme="minorHAnsi" w:cs="Arial"/>
            <w:szCs w:val="22"/>
            <w:lang w:bidi="ar-SA"/>
          </w:rPr>
          <w:t>Hsu SH</w:t>
        </w:r>
      </w:hyperlink>
      <w:r w:rsidR="00822BD7" w:rsidRPr="000C4C17">
        <w:rPr>
          <w:rFonts w:eastAsiaTheme="minorHAnsi" w:cs="Arial"/>
          <w:szCs w:val="22"/>
          <w:lang w:bidi="ar-SA"/>
        </w:rPr>
        <w:t xml:space="preserve">, </w:t>
      </w:r>
      <w:hyperlink r:id="rId104" w:history="1">
        <w:r w:rsidR="00822BD7" w:rsidRPr="000C4C17">
          <w:rPr>
            <w:rFonts w:eastAsiaTheme="minorHAnsi" w:cs="Arial"/>
            <w:szCs w:val="22"/>
            <w:lang w:bidi="ar-SA"/>
          </w:rPr>
          <w:t>Liao CC</w:t>
        </w:r>
      </w:hyperlink>
      <w:r w:rsidR="00822BD7" w:rsidRPr="000C4C17">
        <w:rPr>
          <w:rFonts w:eastAsiaTheme="minorHAnsi" w:cs="Arial"/>
          <w:szCs w:val="22"/>
          <w:lang w:bidi="ar-SA"/>
        </w:rPr>
        <w:t xml:space="preserve">, </w:t>
      </w:r>
      <w:hyperlink r:id="rId105" w:history="1">
        <w:r w:rsidR="00822BD7" w:rsidRPr="000C4C17">
          <w:rPr>
            <w:rFonts w:eastAsiaTheme="minorHAnsi" w:cs="Arial"/>
            <w:szCs w:val="22"/>
            <w:lang w:bidi="ar-SA"/>
          </w:rPr>
          <w:t>Sung FC</w:t>
        </w:r>
      </w:hyperlink>
      <w:r w:rsidR="00822BD7" w:rsidRPr="000C4C17">
        <w:rPr>
          <w:rFonts w:eastAsiaTheme="minorHAnsi" w:cs="Arial"/>
          <w:szCs w:val="22"/>
          <w:lang w:bidi="ar-SA"/>
        </w:rPr>
        <w:t xml:space="preserve">, </w:t>
      </w:r>
      <w:hyperlink r:id="rId106" w:history="1">
        <w:r w:rsidR="00822BD7" w:rsidRPr="000C4C17">
          <w:rPr>
            <w:rFonts w:eastAsiaTheme="minorHAnsi" w:cs="Arial"/>
            <w:szCs w:val="22"/>
            <w:lang w:bidi="ar-SA"/>
          </w:rPr>
          <w:t>Chen PC</w:t>
        </w:r>
      </w:hyperlink>
      <w:r w:rsidR="00822BD7" w:rsidRPr="000C4C17">
        <w:rPr>
          <w:rFonts w:eastAsiaTheme="minorHAnsi" w:cs="Arial"/>
          <w:szCs w:val="22"/>
          <w:lang w:bidi="ar-SA"/>
        </w:rPr>
        <w:t xml:space="preserve">, </w:t>
      </w:r>
      <w:hyperlink r:id="rId107" w:history="1">
        <w:r w:rsidR="00822BD7" w:rsidRPr="000C4C17">
          <w:rPr>
            <w:rFonts w:eastAsiaTheme="minorHAnsi" w:cs="Arial"/>
            <w:szCs w:val="22"/>
            <w:lang w:bidi="ar-SA"/>
          </w:rPr>
          <w:t xml:space="preserve">Su </w:t>
        </w:r>
        <w:r w:rsidR="00822BD7">
          <w:rPr>
            <w:rFonts w:eastAsiaTheme="minorHAnsi" w:cs="Arial"/>
            <w:szCs w:val="22"/>
            <w:lang w:bidi="ar-SA"/>
          </w:rPr>
          <w:t>TC</w:t>
        </w:r>
      </w:hyperlink>
      <w:r w:rsidR="00822BD7" w:rsidRPr="000C4C17">
        <w:rPr>
          <w:rFonts w:eastAsiaTheme="minorHAnsi" w:cs="Arial"/>
          <w:szCs w:val="22"/>
          <w:lang w:bidi="ar-SA"/>
        </w:rPr>
        <w:t xml:space="preserve"> (2013) Association between levels of serum perfluorooctane sulfate and carotid artery intima-media thickness in adolescents and young adults. </w:t>
      </w:r>
      <w:hyperlink r:id="rId108" w:tooltip="International journal of cardiology." w:history="1">
        <w:r w:rsidR="00822BD7" w:rsidRPr="000C4C17">
          <w:rPr>
            <w:rFonts w:eastAsiaTheme="minorHAnsi" w:cs="Arial"/>
            <w:szCs w:val="22"/>
            <w:lang w:bidi="ar-SA"/>
          </w:rPr>
          <w:t>Int J Cardiol.</w:t>
        </w:r>
      </w:hyperlink>
      <w:r w:rsidR="00822BD7" w:rsidRPr="000C4C17">
        <w:rPr>
          <w:rFonts w:eastAsiaTheme="minorHAnsi" w:cs="Arial"/>
          <w:szCs w:val="22"/>
          <w:lang w:bidi="ar-SA"/>
        </w:rPr>
        <w:t xml:space="preserve"> 2013 Oct 9;168(4):3309-16.</w:t>
      </w:r>
    </w:p>
    <w:p w14:paraId="446ABA36" w14:textId="77777777" w:rsidR="00822BD7" w:rsidRPr="000C4C17" w:rsidRDefault="00822BD7" w:rsidP="00A111E9">
      <w:pPr>
        <w:widowControl/>
        <w:tabs>
          <w:tab w:val="left" w:pos="2370"/>
        </w:tabs>
        <w:rPr>
          <w:rFonts w:eastAsiaTheme="minorHAnsi" w:cs="Arial"/>
          <w:szCs w:val="22"/>
          <w:lang w:bidi="ar-SA"/>
        </w:rPr>
      </w:pPr>
    </w:p>
    <w:p w14:paraId="4D7670F3" w14:textId="04CA8435" w:rsidR="00822BD7" w:rsidRPr="000C4C17" w:rsidRDefault="00822BD7" w:rsidP="00A111E9">
      <w:pPr>
        <w:widowControl/>
        <w:autoSpaceDE w:val="0"/>
        <w:autoSpaceDN w:val="0"/>
        <w:adjustRightInd w:val="0"/>
        <w:rPr>
          <w:rFonts w:eastAsiaTheme="minorHAnsi" w:cs="Arial"/>
          <w:szCs w:val="22"/>
          <w:lang w:bidi="ar-SA"/>
        </w:rPr>
      </w:pPr>
      <w:r w:rsidRPr="000C4C17">
        <w:rPr>
          <w:rFonts w:eastAsiaTheme="minorHAnsi" w:cs="Arial"/>
          <w:szCs w:val="22"/>
          <w:lang w:bidi="ar-SA"/>
        </w:rPr>
        <w:t xml:space="preserve">MacPherson IR, Bissett D, Petty RD, </w:t>
      </w:r>
      <w:r w:rsidR="00180A32" w:rsidRPr="00180A32">
        <w:rPr>
          <w:rFonts w:eastAsiaTheme="minorHAnsi" w:cs="Arial"/>
          <w:i/>
          <w:szCs w:val="22"/>
          <w:lang w:bidi="ar-SA"/>
        </w:rPr>
        <w:t xml:space="preserve">et al. </w:t>
      </w:r>
      <w:r>
        <w:rPr>
          <w:rFonts w:eastAsiaTheme="minorHAnsi" w:cs="Arial"/>
          <w:szCs w:val="22"/>
          <w:lang w:bidi="ar-SA"/>
        </w:rPr>
        <w:t xml:space="preserve"> </w:t>
      </w:r>
      <w:r w:rsidRPr="000C4C17">
        <w:rPr>
          <w:rFonts w:eastAsiaTheme="minorHAnsi" w:cs="Arial"/>
          <w:szCs w:val="22"/>
          <w:lang w:bidi="ar-SA"/>
        </w:rPr>
        <w:t>(2011). A first-in-human phase I clinical trial of</w:t>
      </w:r>
    </w:p>
    <w:p w14:paraId="53D7F11E" w14:textId="50CE847B" w:rsidR="00822BD7" w:rsidRPr="000C4C17" w:rsidRDefault="00822BD7" w:rsidP="00A111E9">
      <w:pPr>
        <w:widowControl/>
        <w:rPr>
          <w:rFonts w:eastAsiaTheme="minorHAnsi" w:cs="Arial"/>
          <w:noProof/>
          <w:szCs w:val="22"/>
          <w:lang w:eastAsia="en-GB" w:bidi="ar-SA"/>
        </w:rPr>
      </w:pPr>
      <w:r w:rsidRPr="000C4C17">
        <w:rPr>
          <w:rFonts w:eastAsiaTheme="minorHAnsi" w:cs="Arial"/>
          <w:szCs w:val="22"/>
          <w:lang w:bidi="ar-SA"/>
        </w:rPr>
        <w:t xml:space="preserve">CXR1002 in patients with advanced cancer. J Clin Oncol 29:3063 [Suppl.; abstr </w:t>
      </w:r>
      <w:r w:rsidRPr="000C4C17">
        <w:rPr>
          <w:rFonts w:eastAsiaTheme="minorHAnsi" w:cs="Arial"/>
          <w:noProof/>
          <w:szCs w:val="22"/>
          <w:lang w:eastAsia="en-GB" w:bidi="ar-SA"/>
        </w:rPr>
        <w:t xml:space="preserve">Available at </w:t>
      </w:r>
      <w:r w:rsidRPr="000C4C17">
        <w:rPr>
          <w:rFonts w:eastAsiaTheme="minorHAnsi" w:cs="Arial"/>
          <w:noProof/>
          <w:szCs w:val="22"/>
          <w:u w:val="single"/>
          <w:lang w:eastAsia="en-GB" w:bidi="ar-SA"/>
        </w:rPr>
        <w:t>http://ascopubs.org/doi/abs/10.1200/jco.2011.29.15_suppl.3063</w:t>
      </w:r>
      <w:r w:rsidRPr="000C4C17">
        <w:rPr>
          <w:rFonts w:eastAsiaTheme="minorHAnsi" w:cs="Arial"/>
          <w:noProof/>
          <w:szCs w:val="22"/>
          <w:lang w:eastAsia="en-GB" w:bidi="ar-SA"/>
        </w:rPr>
        <w:t xml:space="preserve"> (accessed 16 Nov 2016)</w:t>
      </w:r>
    </w:p>
    <w:p w14:paraId="1E49F9BF" w14:textId="77777777" w:rsidR="00822BD7" w:rsidRPr="000C4C17" w:rsidRDefault="00822BD7" w:rsidP="00A111E9">
      <w:pPr>
        <w:widowControl/>
        <w:tabs>
          <w:tab w:val="left" w:pos="2370"/>
        </w:tabs>
        <w:rPr>
          <w:rFonts w:eastAsiaTheme="minorHAnsi" w:cs="Arial"/>
          <w:szCs w:val="22"/>
          <w:lang w:bidi="ar-SA"/>
        </w:rPr>
      </w:pPr>
    </w:p>
    <w:p w14:paraId="16FED2CE" w14:textId="77777777" w:rsidR="00822BD7" w:rsidRPr="000C4C17" w:rsidRDefault="00822BD7" w:rsidP="00A111E9">
      <w:pPr>
        <w:widowControl/>
        <w:shd w:val="clear" w:color="auto" w:fill="FFFFFF"/>
        <w:rPr>
          <w:rFonts w:cs="Arial"/>
          <w:szCs w:val="22"/>
          <w:lang w:eastAsia="en-GB" w:bidi="ar-SA"/>
        </w:rPr>
      </w:pPr>
      <w:r w:rsidRPr="000C4C17">
        <w:rPr>
          <w:rFonts w:cs="Arial"/>
          <w:szCs w:val="22"/>
          <w:lang w:eastAsia="en-GB" w:bidi="ar-SA"/>
        </w:rPr>
        <w:t xml:space="preserve">Maisonet M, Näyhä S, Lawlor DA, Marcus M. (2015) </w:t>
      </w:r>
      <w:hyperlink r:id="rId109" w:history="1">
        <w:r w:rsidRPr="000C4C17">
          <w:rPr>
            <w:rFonts w:cs="Arial"/>
            <w:szCs w:val="22"/>
            <w:lang w:eastAsia="en-GB" w:bidi="ar-SA"/>
          </w:rPr>
          <w:t>Prenatal exposures to perfluoroalkyl acids and serum lipids at ages 7 and 15 in females.</w:t>
        </w:r>
      </w:hyperlink>
      <w:r w:rsidRPr="000C4C17">
        <w:rPr>
          <w:rFonts w:cs="Arial"/>
          <w:szCs w:val="22"/>
          <w:lang w:eastAsia="en-GB" w:bidi="ar-SA"/>
        </w:rPr>
        <w:t xml:space="preserve"> Environ Int. 82:49-60.</w:t>
      </w:r>
    </w:p>
    <w:p w14:paraId="48E9E813" w14:textId="77777777" w:rsidR="00822BD7" w:rsidRPr="000C4C17" w:rsidRDefault="00822BD7" w:rsidP="00A111E9">
      <w:pPr>
        <w:widowControl/>
        <w:shd w:val="clear" w:color="auto" w:fill="FFFFFF"/>
        <w:rPr>
          <w:rFonts w:cs="Arial"/>
          <w:szCs w:val="22"/>
          <w:lang w:eastAsia="en-GB" w:bidi="ar-SA"/>
        </w:rPr>
      </w:pPr>
    </w:p>
    <w:p w14:paraId="5079066E" w14:textId="77777777" w:rsidR="00822BD7" w:rsidRPr="000C4C17" w:rsidRDefault="00822BD7" w:rsidP="00A111E9">
      <w:pPr>
        <w:widowControl/>
        <w:shd w:val="clear" w:color="auto" w:fill="FFFFFF"/>
        <w:rPr>
          <w:rFonts w:eastAsia="UniversLTStd-Cn" w:cs="Arial"/>
          <w:szCs w:val="22"/>
          <w:lang w:bidi="ar-SA"/>
        </w:rPr>
      </w:pPr>
      <w:r w:rsidRPr="000C4C17">
        <w:rPr>
          <w:rFonts w:eastAsia="UniversLTStd-Cn" w:cs="Arial"/>
          <w:szCs w:val="22"/>
          <w:lang w:bidi="ar-SA"/>
        </w:rPr>
        <w:t>Nelson JW, Hatch EE, Webster TF. (2010). Exposure to polyfluoroalkyl chemicals and cholesterol, body weight, and insulin resistance in the general U.S. population. Environ Health Perspect 118:197–202.</w:t>
      </w:r>
    </w:p>
    <w:p w14:paraId="4DF88885" w14:textId="77777777" w:rsidR="00822BD7" w:rsidRPr="000C4C17" w:rsidRDefault="00822BD7" w:rsidP="00A111E9">
      <w:pPr>
        <w:widowControl/>
        <w:autoSpaceDE w:val="0"/>
        <w:autoSpaceDN w:val="0"/>
        <w:adjustRightInd w:val="0"/>
        <w:rPr>
          <w:rFonts w:eastAsia="UniversLTStd-Cn" w:cs="Arial"/>
          <w:szCs w:val="22"/>
          <w:lang w:bidi="ar-SA"/>
        </w:rPr>
      </w:pPr>
    </w:p>
    <w:p w14:paraId="529A38FF" w14:textId="77777777" w:rsidR="00822BD7" w:rsidRPr="000C4C17" w:rsidRDefault="00FA183D" w:rsidP="00A111E9">
      <w:pPr>
        <w:widowControl/>
        <w:shd w:val="clear" w:color="auto" w:fill="FFFFFF"/>
        <w:rPr>
          <w:rFonts w:eastAsiaTheme="minorHAnsi" w:cs="Arial"/>
          <w:szCs w:val="22"/>
          <w:lang w:bidi="ar-SA"/>
        </w:rPr>
      </w:pPr>
      <w:hyperlink r:id="rId110" w:history="1">
        <w:r w:rsidR="00822BD7" w:rsidRPr="000C4C17">
          <w:rPr>
            <w:rFonts w:eastAsiaTheme="minorHAnsi" w:cs="Arial"/>
            <w:szCs w:val="22"/>
            <w:lang w:bidi="ar-SA"/>
          </w:rPr>
          <w:t>Nestel P</w:t>
        </w:r>
      </w:hyperlink>
      <w:r w:rsidR="00822BD7" w:rsidRPr="000C4C17">
        <w:rPr>
          <w:rFonts w:eastAsiaTheme="minorHAnsi" w:cs="Arial"/>
          <w:szCs w:val="22"/>
          <w:lang w:bidi="ar-SA"/>
        </w:rPr>
        <w:t xml:space="preserve">, </w:t>
      </w:r>
      <w:hyperlink r:id="rId111" w:history="1">
        <w:r w:rsidR="00822BD7" w:rsidRPr="000C4C17">
          <w:rPr>
            <w:rFonts w:eastAsiaTheme="minorHAnsi" w:cs="Arial"/>
            <w:szCs w:val="22"/>
            <w:lang w:bidi="ar-SA"/>
          </w:rPr>
          <w:t>Clifton P</w:t>
        </w:r>
      </w:hyperlink>
      <w:r w:rsidR="00822BD7" w:rsidRPr="000C4C17">
        <w:rPr>
          <w:rFonts w:eastAsiaTheme="minorHAnsi" w:cs="Arial"/>
          <w:szCs w:val="22"/>
          <w:lang w:bidi="ar-SA"/>
        </w:rPr>
        <w:t xml:space="preserve">, </w:t>
      </w:r>
      <w:hyperlink r:id="rId112" w:history="1">
        <w:r w:rsidR="00822BD7" w:rsidRPr="000C4C17">
          <w:rPr>
            <w:rFonts w:eastAsiaTheme="minorHAnsi" w:cs="Arial"/>
            <w:szCs w:val="22"/>
            <w:lang w:bidi="ar-SA"/>
          </w:rPr>
          <w:t>Colquhoun D</w:t>
        </w:r>
      </w:hyperlink>
      <w:r w:rsidR="00822BD7" w:rsidRPr="000C4C17">
        <w:rPr>
          <w:rFonts w:eastAsiaTheme="minorHAnsi" w:cs="Arial"/>
          <w:szCs w:val="22"/>
          <w:lang w:bidi="ar-SA"/>
        </w:rPr>
        <w:t xml:space="preserve">, </w:t>
      </w:r>
      <w:hyperlink r:id="rId113" w:history="1">
        <w:r w:rsidR="00822BD7" w:rsidRPr="000C4C17">
          <w:rPr>
            <w:rFonts w:eastAsiaTheme="minorHAnsi" w:cs="Arial"/>
            <w:szCs w:val="22"/>
            <w:lang w:bidi="ar-SA"/>
          </w:rPr>
          <w:t>Noakes M</w:t>
        </w:r>
      </w:hyperlink>
      <w:r w:rsidR="00822BD7" w:rsidRPr="000C4C17">
        <w:rPr>
          <w:rFonts w:eastAsiaTheme="minorHAnsi" w:cs="Arial"/>
          <w:szCs w:val="22"/>
          <w:lang w:bidi="ar-SA"/>
        </w:rPr>
        <w:t xml:space="preserve">, </w:t>
      </w:r>
      <w:hyperlink r:id="rId114" w:history="1">
        <w:r w:rsidR="00822BD7" w:rsidRPr="000C4C17">
          <w:rPr>
            <w:rFonts w:eastAsiaTheme="minorHAnsi" w:cs="Arial"/>
            <w:szCs w:val="22"/>
            <w:lang w:bidi="ar-SA"/>
          </w:rPr>
          <w:t>Mori TA</w:t>
        </w:r>
      </w:hyperlink>
      <w:r w:rsidR="00822BD7" w:rsidRPr="000C4C17">
        <w:rPr>
          <w:rFonts w:eastAsiaTheme="minorHAnsi" w:cs="Arial"/>
          <w:szCs w:val="22"/>
          <w:lang w:bidi="ar-SA"/>
        </w:rPr>
        <w:t xml:space="preserve">, </w:t>
      </w:r>
      <w:hyperlink r:id="rId115" w:history="1">
        <w:r w:rsidR="00822BD7" w:rsidRPr="000C4C17">
          <w:rPr>
            <w:rFonts w:eastAsiaTheme="minorHAnsi" w:cs="Arial"/>
            <w:szCs w:val="22"/>
            <w:lang w:bidi="ar-SA"/>
          </w:rPr>
          <w:t>Sullivan D</w:t>
        </w:r>
      </w:hyperlink>
      <w:r w:rsidR="00822BD7" w:rsidRPr="000C4C17">
        <w:rPr>
          <w:rFonts w:eastAsiaTheme="minorHAnsi" w:cs="Arial"/>
          <w:szCs w:val="22"/>
          <w:lang w:bidi="ar-SA"/>
        </w:rPr>
        <w:t xml:space="preserve">, </w:t>
      </w:r>
      <w:hyperlink r:id="rId116" w:history="1">
        <w:r w:rsidR="00822BD7" w:rsidRPr="000C4C17">
          <w:rPr>
            <w:rFonts w:eastAsiaTheme="minorHAnsi" w:cs="Arial"/>
            <w:szCs w:val="22"/>
            <w:lang w:bidi="ar-SA"/>
          </w:rPr>
          <w:t>Thomas B</w:t>
        </w:r>
      </w:hyperlink>
      <w:r w:rsidR="00822BD7" w:rsidRPr="000C4C17">
        <w:rPr>
          <w:rFonts w:eastAsiaTheme="minorHAnsi" w:cs="Arial"/>
          <w:szCs w:val="22"/>
          <w:lang w:bidi="ar-SA"/>
        </w:rPr>
        <w:t xml:space="preserve"> (2015) Indications for omega-3 long</w:t>
      </w:r>
      <w:r w:rsidR="00822BD7">
        <w:rPr>
          <w:rFonts w:eastAsiaTheme="minorHAnsi" w:cs="Arial"/>
          <w:szCs w:val="22"/>
          <w:lang w:bidi="ar-SA"/>
        </w:rPr>
        <w:t>-</w:t>
      </w:r>
      <w:r w:rsidR="00822BD7" w:rsidRPr="000C4C17">
        <w:rPr>
          <w:rFonts w:eastAsiaTheme="minorHAnsi" w:cs="Arial"/>
          <w:szCs w:val="22"/>
          <w:lang w:bidi="ar-SA"/>
        </w:rPr>
        <w:t xml:space="preserve">chain polyunsaturated fatty acid in the prevention and treatment of cardiovasculard. </w:t>
      </w:r>
      <w:hyperlink r:id="rId117" w:tooltip="Heart, lung &amp; circulation." w:history="1">
        <w:r w:rsidR="00822BD7" w:rsidRPr="000C4C17">
          <w:rPr>
            <w:rFonts w:eastAsiaTheme="minorHAnsi" w:cs="Arial"/>
            <w:szCs w:val="22"/>
            <w:lang w:bidi="ar-SA"/>
          </w:rPr>
          <w:t>Heart Lung Circ.</w:t>
        </w:r>
      </w:hyperlink>
      <w:r w:rsidR="00822BD7" w:rsidRPr="000C4C17">
        <w:rPr>
          <w:rFonts w:eastAsiaTheme="minorHAnsi" w:cs="Arial"/>
          <w:szCs w:val="22"/>
          <w:lang w:bidi="ar-SA"/>
        </w:rPr>
        <w:t xml:space="preserve"> 24(8):769-79.</w:t>
      </w:r>
    </w:p>
    <w:p w14:paraId="018970F2" w14:textId="77777777" w:rsidR="00822BD7" w:rsidRPr="000C4C17" w:rsidRDefault="00822BD7" w:rsidP="00A111E9">
      <w:pPr>
        <w:widowControl/>
        <w:shd w:val="clear" w:color="auto" w:fill="FFFFFF"/>
        <w:rPr>
          <w:rFonts w:eastAsiaTheme="minorHAnsi" w:cs="Arial"/>
          <w:szCs w:val="22"/>
          <w:lang w:bidi="ar-SA"/>
        </w:rPr>
      </w:pPr>
    </w:p>
    <w:p w14:paraId="10BEB362" w14:textId="77777777" w:rsidR="00822BD7" w:rsidRPr="000C4C17" w:rsidRDefault="00822BD7" w:rsidP="00A111E9">
      <w:pPr>
        <w:widowControl/>
        <w:autoSpaceDE w:val="0"/>
        <w:autoSpaceDN w:val="0"/>
        <w:adjustRightInd w:val="0"/>
        <w:rPr>
          <w:rFonts w:eastAsiaTheme="minorHAnsi" w:cs="Arial"/>
          <w:szCs w:val="22"/>
          <w:lang w:bidi="ar-SA"/>
        </w:rPr>
      </w:pPr>
      <w:r w:rsidRPr="000C4C17">
        <w:rPr>
          <w:rFonts w:eastAsiaTheme="minorHAnsi" w:cs="Arial"/>
          <w:szCs w:val="22"/>
          <w:lang w:bidi="ar-SA"/>
        </w:rPr>
        <w:t>Olsen GW, Gilliland FD, Burlew MM, Burris JM, Mandel,JS, Mandel JH. (1998.) An epidemiological investigation of reproductive hormones in men with occupational</w:t>
      </w:r>
    </w:p>
    <w:p w14:paraId="7EF4644E" w14:textId="77777777" w:rsidR="00822BD7" w:rsidRPr="000C4C17" w:rsidRDefault="00822BD7" w:rsidP="00A111E9">
      <w:pPr>
        <w:widowControl/>
        <w:autoSpaceDE w:val="0"/>
        <w:autoSpaceDN w:val="0"/>
        <w:adjustRightInd w:val="0"/>
        <w:rPr>
          <w:rFonts w:eastAsia="UniversLTStd-Cn" w:cs="Arial"/>
          <w:szCs w:val="22"/>
          <w:lang w:bidi="ar-SA"/>
        </w:rPr>
      </w:pPr>
      <w:r w:rsidRPr="000C4C17">
        <w:rPr>
          <w:rFonts w:eastAsiaTheme="minorHAnsi" w:cs="Arial"/>
          <w:szCs w:val="22"/>
          <w:lang w:bidi="ar-SA"/>
        </w:rPr>
        <w:t>exposure to perfluorooctanoic acid. J Occ Env Med 40, 614-622.</w:t>
      </w:r>
    </w:p>
    <w:p w14:paraId="00B90867" w14:textId="77777777" w:rsidR="00822BD7" w:rsidRPr="000C4C17" w:rsidRDefault="00822BD7" w:rsidP="00A111E9">
      <w:pPr>
        <w:widowControl/>
        <w:autoSpaceDE w:val="0"/>
        <w:autoSpaceDN w:val="0"/>
        <w:adjustRightInd w:val="0"/>
        <w:rPr>
          <w:rFonts w:eastAsia="UniversLTStd-Cn" w:cs="Arial"/>
          <w:szCs w:val="22"/>
          <w:lang w:bidi="ar-SA"/>
        </w:rPr>
      </w:pPr>
    </w:p>
    <w:p w14:paraId="5583FD1B" w14:textId="77777777" w:rsidR="00822BD7" w:rsidRPr="000C4C17" w:rsidRDefault="00822BD7" w:rsidP="00A111E9">
      <w:pPr>
        <w:widowControl/>
        <w:autoSpaceDE w:val="0"/>
        <w:autoSpaceDN w:val="0"/>
        <w:adjustRightInd w:val="0"/>
        <w:rPr>
          <w:rFonts w:eastAsia="UniversLTStd-Cn" w:cs="Arial"/>
          <w:szCs w:val="22"/>
          <w:lang w:bidi="ar-SA"/>
        </w:rPr>
      </w:pPr>
      <w:r w:rsidRPr="000C4C17">
        <w:rPr>
          <w:rFonts w:eastAsia="UniversLTStd-Cn" w:cs="Arial"/>
          <w:szCs w:val="22"/>
          <w:lang w:bidi="ar-SA"/>
        </w:rPr>
        <w:t>Olsen GW, Burris JM, Burlew MM, Mandel JH. (2000). Plasma cholecystokinin and hepatic enzymes, cholesterol and lipoproteins in ammonium perfluorooctanoate production workers. Drug Chem Toxicol 23:603–620.</w:t>
      </w:r>
    </w:p>
    <w:p w14:paraId="4391DCA9" w14:textId="77777777" w:rsidR="00822BD7" w:rsidRPr="000C4C17" w:rsidRDefault="00822BD7" w:rsidP="00A111E9">
      <w:pPr>
        <w:widowControl/>
        <w:autoSpaceDE w:val="0"/>
        <w:autoSpaceDN w:val="0"/>
        <w:adjustRightInd w:val="0"/>
        <w:rPr>
          <w:rFonts w:eastAsia="UniversLTStd-Cn" w:cs="Arial"/>
          <w:szCs w:val="22"/>
          <w:lang w:bidi="ar-SA"/>
        </w:rPr>
      </w:pPr>
    </w:p>
    <w:p w14:paraId="4DCB1B42" w14:textId="77777777" w:rsidR="00822BD7" w:rsidRPr="000C4C17" w:rsidRDefault="00822BD7" w:rsidP="00A111E9">
      <w:pPr>
        <w:widowControl/>
        <w:autoSpaceDE w:val="0"/>
        <w:autoSpaceDN w:val="0"/>
        <w:adjustRightInd w:val="0"/>
        <w:rPr>
          <w:rFonts w:eastAsiaTheme="minorHAnsi" w:cs="Arial"/>
          <w:szCs w:val="22"/>
          <w:lang w:bidi="ar-SA"/>
        </w:rPr>
      </w:pPr>
      <w:r w:rsidRPr="000C4C17">
        <w:rPr>
          <w:rFonts w:eastAsiaTheme="minorHAnsi" w:cs="Arial"/>
          <w:szCs w:val="22"/>
          <w:lang w:bidi="ar-SA"/>
        </w:rPr>
        <w:t xml:space="preserve">Olsen GW, Burlew MM, Burris JM, Mandel JH. (2001a) </w:t>
      </w:r>
      <w:r w:rsidRPr="000C4C17">
        <w:rPr>
          <w:rFonts w:eastAsiaTheme="minorHAnsi" w:cs="Arial"/>
          <w:i/>
          <w:iCs/>
          <w:szCs w:val="22"/>
          <w:lang w:bidi="ar-SA"/>
        </w:rPr>
        <w:t>A Cross-Sectional Analysis of Serum Perfluorooctane Sulfonate (PFOS) and Perfluorooctanoate (PFOA) in Relation to Clinical Chemistry, Thyroid Hormone, Hematology and Urinalysis Results from Male and Female Employee Participants of the 2000 Antwerp and Decatur Fluorochemical Medical Surveillance Program</w:t>
      </w:r>
      <w:r w:rsidRPr="000C4C17">
        <w:rPr>
          <w:rFonts w:eastAsiaTheme="minorHAnsi" w:cs="Arial"/>
          <w:szCs w:val="22"/>
          <w:lang w:bidi="ar-SA"/>
        </w:rPr>
        <w:t>. Final Report. 3M Company, St. Paul, MN.</w:t>
      </w:r>
    </w:p>
    <w:p w14:paraId="03E180FB" w14:textId="77777777" w:rsidR="00822BD7" w:rsidRPr="000C4C17" w:rsidRDefault="00822BD7" w:rsidP="00A111E9">
      <w:pPr>
        <w:widowControl/>
        <w:autoSpaceDE w:val="0"/>
        <w:autoSpaceDN w:val="0"/>
        <w:adjustRightInd w:val="0"/>
        <w:rPr>
          <w:rFonts w:eastAsiaTheme="minorHAnsi" w:cs="Arial"/>
          <w:szCs w:val="22"/>
          <w:lang w:bidi="ar-SA"/>
        </w:rPr>
      </w:pPr>
    </w:p>
    <w:p w14:paraId="7D1DD407" w14:textId="77777777" w:rsidR="00822BD7" w:rsidRPr="000C4C17" w:rsidRDefault="00822BD7" w:rsidP="00A111E9">
      <w:pPr>
        <w:widowControl/>
        <w:rPr>
          <w:rFonts w:eastAsiaTheme="minorHAnsi" w:cs="Arial"/>
          <w:szCs w:val="22"/>
          <w:lang w:bidi="ar-SA"/>
        </w:rPr>
      </w:pPr>
      <w:r w:rsidRPr="000C4C17">
        <w:rPr>
          <w:rFonts w:eastAsiaTheme="minorHAnsi" w:cs="Arial"/>
          <w:szCs w:val="22"/>
          <w:lang w:bidi="ar-SA"/>
        </w:rPr>
        <w:t xml:space="preserve">Olsen GW, Burlew, M Burris JM, Mandel JH. (2001b.) </w:t>
      </w:r>
      <w:r w:rsidRPr="000C4C17">
        <w:rPr>
          <w:rFonts w:eastAsiaTheme="minorHAnsi" w:cs="Arial"/>
          <w:i/>
          <w:iCs/>
          <w:szCs w:val="22"/>
          <w:lang w:bidi="ar-SA"/>
        </w:rPr>
        <w:t>A Longitudinal Analysis of Serum Perfluorooctane Sulfonate (PFOS) and Perfluorooctanoate (PFOA) Levels in Relation to Lipid and Hepatic Clinical Chemistry Test Results from Male Employee Participants of the 1994/95, 1997 and 2000 Fluorochemical Medical Surveillance Program</w:t>
      </w:r>
      <w:r w:rsidRPr="000C4C17">
        <w:rPr>
          <w:rFonts w:eastAsiaTheme="minorHAnsi" w:cs="Arial"/>
          <w:szCs w:val="22"/>
          <w:lang w:bidi="ar-SA"/>
        </w:rPr>
        <w:t>. Final Report. 3M Company, St. Paul, MN.</w:t>
      </w:r>
    </w:p>
    <w:p w14:paraId="7C5C0F3E" w14:textId="77777777" w:rsidR="00822BD7" w:rsidRPr="000C4C17" w:rsidRDefault="00822BD7" w:rsidP="00A111E9">
      <w:pPr>
        <w:widowControl/>
        <w:tabs>
          <w:tab w:val="left" w:pos="2370"/>
        </w:tabs>
        <w:rPr>
          <w:rFonts w:eastAsiaTheme="minorHAnsi" w:cs="Arial"/>
          <w:szCs w:val="22"/>
          <w:lang w:bidi="ar-SA"/>
        </w:rPr>
      </w:pPr>
    </w:p>
    <w:p w14:paraId="72C1C3B8" w14:textId="77777777" w:rsidR="00822BD7" w:rsidRPr="000C4C17" w:rsidRDefault="00822BD7" w:rsidP="00A111E9">
      <w:pPr>
        <w:widowControl/>
        <w:autoSpaceDE w:val="0"/>
        <w:autoSpaceDN w:val="0"/>
        <w:adjustRightInd w:val="0"/>
        <w:rPr>
          <w:rFonts w:eastAsia="UniversLTStd-Cn" w:cs="Arial"/>
          <w:szCs w:val="22"/>
          <w:lang w:bidi="ar-SA"/>
        </w:rPr>
      </w:pPr>
      <w:r w:rsidRPr="000C4C17">
        <w:rPr>
          <w:rFonts w:eastAsia="UniversLTStd-Cn" w:cs="Arial"/>
          <w:szCs w:val="22"/>
          <w:lang w:bidi="ar-SA"/>
        </w:rPr>
        <w:lastRenderedPageBreak/>
        <w:t>Olsen GW, Burris JM, Burlew MM, Mandel JH. (2003</w:t>
      </w:r>
      <w:r>
        <w:rPr>
          <w:rFonts w:eastAsia="UniversLTStd-Cn" w:cs="Arial"/>
          <w:szCs w:val="22"/>
          <w:lang w:bidi="ar-SA"/>
        </w:rPr>
        <w:t>a</w:t>
      </w:r>
      <w:r w:rsidRPr="000C4C17">
        <w:rPr>
          <w:rFonts w:eastAsia="UniversLTStd-Cn" w:cs="Arial"/>
          <w:szCs w:val="22"/>
          <w:lang w:bidi="ar-SA"/>
        </w:rPr>
        <w:t>). Epidemiologic assessment of worker serum perfluorooctanesulfonate (PFOS) and perfluorooctanoate (PFOA) concentrations and medical surveillance examinations. J Occup Environ Med 45:260–270.</w:t>
      </w:r>
    </w:p>
    <w:p w14:paraId="0E7E4FF9" w14:textId="77777777" w:rsidR="00822BD7" w:rsidRPr="000C4C17" w:rsidRDefault="00822BD7" w:rsidP="00A111E9">
      <w:pPr>
        <w:widowControl/>
        <w:autoSpaceDE w:val="0"/>
        <w:autoSpaceDN w:val="0"/>
        <w:adjustRightInd w:val="0"/>
        <w:rPr>
          <w:rFonts w:eastAsia="UniversLTStd-Cn" w:cs="Arial"/>
          <w:szCs w:val="22"/>
          <w:lang w:bidi="ar-SA"/>
        </w:rPr>
      </w:pPr>
    </w:p>
    <w:p w14:paraId="1ECECD1D" w14:textId="77777777" w:rsidR="00822BD7" w:rsidRPr="000C4C17" w:rsidRDefault="00822BD7" w:rsidP="00A111E9">
      <w:pPr>
        <w:widowControl/>
        <w:autoSpaceDE w:val="0"/>
        <w:autoSpaceDN w:val="0"/>
        <w:adjustRightInd w:val="0"/>
        <w:rPr>
          <w:rFonts w:eastAsiaTheme="minorHAnsi" w:cs="Arial"/>
          <w:szCs w:val="22"/>
          <w:lang w:bidi="ar-SA"/>
        </w:rPr>
      </w:pPr>
      <w:r w:rsidRPr="000C4C17">
        <w:rPr>
          <w:rFonts w:eastAsiaTheme="minorHAnsi" w:cs="Arial"/>
          <w:szCs w:val="22"/>
          <w:lang w:bidi="ar-SA"/>
        </w:rPr>
        <w:t>Olsen GW, Butenhoff JL, Mandel JH (2003</w:t>
      </w:r>
      <w:r>
        <w:rPr>
          <w:rFonts w:eastAsiaTheme="minorHAnsi" w:cs="Arial"/>
          <w:szCs w:val="22"/>
          <w:lang w:bidi="ar-SA"/>
        </w:rPr>
        <w:t>b</w:t>
      </w:r>
      <w:r w:rsidRPr="000C4C17">
        <w:rPr>
          <w:rFonts w:eastAsiaTheme="minorHAnsi" w:cs="Arial"/>
          <w:szCs w:val="22"/>
          <w:lang w:bidi="ar-SA"/>
        </w:rPr>
        <w:t xml:space="preserve">) </w:t>
      </w:r>
      <w:r w:rsidRPr="000C4C17">
        <w:rPr>
          <w:rFonts w:eastAsiaTheme="minorHAnsi"/>
          <w:i/>
        </w:rPr>
        <w:t>Assessment of lipid, hepatic and thyroid function in relation to an occupational biologic limit value for perfluorooctanoate</w:t>
      </w:r>
      <w:r w:rsidRPr="000C4C17">
        <w:rPr>
          <w:rFonts w:eastAsiaTheme="minorHAnsi" w:cs="Arial"/>
          <w:szCs w:val="22"/>
          <w:lang w:bidi="ar-SA"/>
        </w:rPr>
        <w:t>. 3M Company, St Paul. US EPA docket AR-226-1351. US Environmental Protection</w:t>
      </w:r>
    </w:p>
    <w:p w14:paraId="7E9F9A36" w14:textId="77777777" w:rsidR="00822BD7" w:rsidRPr="000C4C17" w:rsidRDefault="00822BD7" w:rsidP="00A111E9">
      <w:pPr>
        <w:widowControl/>
        <w:autoSpaceDE w:val="0"/>
        <w:autoSpaceDN w:val="0"/>
        <w:adjustRightInd w:val="0"/>
        <w:rPr>
          <w:rFonts w:eastAsia="UniversLTStd-Cn" w:cs="Arial"/>
          <w:szCs w:val="22"/>
          <w:lang w:bidi="ar-SA"/>
        </w:rPr>
      </w:pPr>
      <w:r w:rsidRPr="000C4C17">
        <w:rPr>
          <w:rFonts w:eastAsiaTheme="minorHAnsi" w:cs="Arial"/>
          <w:szCs w:val="22"/>
          <w:lang w:bidi="ar-SA"/>
        </w:rPr>
        <w:t>Agency, Washington, DC</w:t>
      </w:r>
    </w:p>
    <w:p w14:paraId="4BEC1129" w14:textId="77777777" w:rsidR="00822BD7" w:rsidRPr="000C4C17" w:rsidRDefault="00822BD7" w:rsidP="00A111E9">
      <w:pPr>
        <w:widowControl/>
        <w:autoSpaceDE w:val="0"/>
        <w:autoSpaceDN w:val="0"/>
        <w:adjustRightInd w:val="0"/>
        <w:rPr>
          <w:rFonts w:eastAsia="UniversLTStd-Cn" w:cs="Arial"/>
          <w:szCs w:val="22"/>
          <w:lang w:bidi="ar-SA"/>
        </w:rPr>
      </w:pPr>
    </w:p>
    <w:p w14:paraId="3A5B425D" w14:textId="77777777" w:rsidR="00822BD7" w:rsidRPr="000C4C17" w:rsidRDefault="00822BD7" w:rsidP="00A111E9">
      <w:pPr>
        <w:widowControl/>
        <w:autoSpaceDE w:val="0"/>
        <w:autoSpaceDN w:val="0"/>
        <w:adjustRightInd w:val="0"/>
        <w:rPr>
          <w:rFonts w:eastAsia="UniversLTStd-Cn" w:cs="Arial"/>
          <w:szCs w:val="22"/>
          <w:lang w:bidi="ar-SA"/>
        </w:rPr>
      </w:pPr>
      <w:r w:rsidRPr="000C4C17">
        <w:rPr>
          <w:rFonts w:eastAsia="UniversLTStd-Cn" w:cs="Arial"/>
          <w:szCs w:val="22"/>
          <w:lang w:bidi="ar-SA"/>
        </w:rPr>
        <w:t>Olsen GW, Zobel LR. (2007). Assessment of lipid, hepatic, and thyroid parameters with serum perfluorooctanoate (PFOA) concentrations in fluorochemical production workers. Int Arch Occup Environ Health 81:231–246.</w:t>
      </w:r>
    </w:p>
    <w:p w14:paraId="5A0DB5E9" w14:textId="77777777" w:rsidR="00822BD7" w:rsidRPr="000C4C17" w:rsidRDefault="00822BD7" w:rsidP="00A111E9">
      <w:pPr>
        <w:widowControl/>
        <w:autoSpaceDE w:val="0"/>
        <w:autoSpaceDN w:val="0"/>
        <w:adjustRightInd w:val="0"/>
        <w:ind w:firstLine="567"/>
        <w:rPr>
          <w:rFonts w:eastAsia="UniversLTStd-Cn" w:cs="Arial"/>
          <w:szCs w:val="22"/>
          <w:lang w:bidi="ar-SA"/>
        </w:rPr>
      </w:pPr>
    </w:p>
    <w:p w14:paraId="5B089A76" w14:textId="77777777" w:rsidR="00822BD7" w:rsidRPr="000C4C17" w:rsidRDefault="00FA183D" w:rsidP="00A111E9">
      <w:pPr>
        <w:widowControl/>
        <w:autoSpaceDE w:val="0"/>
        <w:autoSpaceDN w:val="0"/>
        <w:adjustRightInd w:val="0"/>
        <w:rPr>
          <w:rFonts w:eastAsiaTheme="minorHAnsi" w:cs="Arial"/>
          <w:szCs w:val="22"/>
          <w:lang w:bidi="ar-SA"/>
        </w:rPr>
      </w:pPr>
      <w:hyperlink r:id="rId118" w:history="1">
        <w:r w:rsidR="00822BD7" w:rsidRPr="000C4C17">
          <w:rPr>
            <w:rFonts w:eastAsiaTheme="minorHAnsi" w:cs="Arial"/>
            <w:szCs w:val="22"/>
            <w:lang w:bidi="ar-SA"/>
          </w:rPr>
          <w:t>Olsen GW</w:t>
        </w:r>
      </w:hyperlink>
      <w:r w:rsidR="00822BD7" w:rsidRPr="000C4C17">
        <w:rPr>
          <w:rFonts w:eastAsiaTheme="minorHAnsi" w:cs="Arial"/>
          <w:szCs w:val="22"/>
          <w:lang w:bidi="ar-SA"/>
        </w:rPr>
        <w:t xml:space="preserve">, </w:t>
      </w:r>
      <w:hyperlink r:id="rId119" w:history="1">
        <w:r w:rsidR="00822BD7" w:rsidRPr="000C4C17">
          <w:rPr>
            <w:rFonts w:eastAsiaTheme="minorHAnsi" w:cs="Arial"/>
            <w:szCs w:val="22"/>
            <w:lang w:bidi="ar-SA"/>
          </w:rPr>
          <w:t>Ehresman DJ</w:t>
        </w:r>
      </w:hyperlink>
      <w:r w:rsidR="00822BD7" w:rsidRPr="000C4C17">
        <w:rPr>
          <w:rFonts w:eastAsiaTheme="minorHAnsi" w:cs="Arial"/>
          <w:szCs w:val="22"/>
          <w:lang w:bidi="ar-SA"/>
        </w:rPr>
        <w:t xml:space="preserve">, </w:t>
      </w:r>
      <w:hyperlink r:id="rId120" w:history="1">
        <w:r w:rsidR="00822BD7" w:rsidRPr="000C4C17">
          <w:rPr>
            <w:rFonts w:eastAsiaTheme="minorHAnsi" w:cs="Arial"/>
            <w:szCs w:val="22"/>
            <w:lang w:bidi="ar-SA"/>
          </w:rPr>
          <w:t>Buehrer BD</w:t>
        </w:r>
      </w:hyperlink>
      <w:r w:rsidR="00822BD7" w:rsidRPr="000C4C17">
        <w:rPr>
          <w:rFonts w:eastAsiaTheme="minorHAnsi" w:cs="Arial"/>
          <w:szCs w:val="22"/>
          <w:lang w:bidi="ar-SA"/>
        </w:rPr>
        <w:t xml:space="preserve">, </w:t>
      </w:r>
      <w:hyperlink r:id="rId121" w:history="1">
        <w:r w:rsidR="00822BD7" w:rsidRPr="000C4C17">
          <w:rPr>
            <w:rFonts w:eastAsiaTheme="minorHAnsi" w:cs="Arial"/>
            <w:szCs w:val="22"/>
            <w:lang w:bidi="ar-SA"/>
          </w:rPr>
          <w:t>Gibson BA</w:t>
        </w:r>
      </w:hyperlink>
      <w:r w:rsidR="00822BD7" w:rsidRPr="000C4C17">
        <w:rPr>
          <w:rFonts w:eastAsiaTheme="minorHAnsi" w:cs="Arial"/>
          <w:szCs w:val="22"/>
          <w:lang w:bidi="ar-SA"/>
        </w:rPr>
        <w:t xml:space="preserve">, </w:t>
      </w:r>
      <w:hyperlink r:id="rId122" w:history="1">
        <w:r w:rsidR="00822BD7" w:rsidRPr="000C4C17">
          <w:rPr>
            <w:rFonts w:eastAsiaTheme="minorHAnsi" w:cs="Arial"/>
            <w:szCs w:val="22"/>
            <w:lang w:bidi="ar-SA"/>
          </w:rPr>
          <w:t>Butenhoff JL</w:t>
        </w:r>
      </w:hyperlink>
      <w:r w:rsidR="00822BD7" w:rsidRPr="000C4C17">
        <w:rPr>
          <w:rFonts w:eastAsiaTheme="minorHAnsi" w:cs="Arial"/>
          <w:szCs w:val="22"/>
          <w:lang w:bidi="ar-SA"/>
        </w:rPr>
        <w:t xml:space="preserve">, </w:t>
      </w:r>
      <w:hyperlink r:id="rId123" w:history="1">
        <w:r w:rsidR="00822BD7" w:rsidRPr="000C4C17">
          <w:rPr>
            <w:rFonts w:eastAsiaTheme="minorHAnsi" w:cs="Arial"/>
            <w:szCs w:val="22"/>
            <w:lang w:bidi="ar-SA"/>
          </w:rPr>
          <w:t>Zobel LR</w:t>
        </w:r>
      </w:hyperlink>
      <w:r w:rsidR="00822BD7" w:rsidRPr="000C4C17">
        <w:rPr>
          <w:rFonts w:eastAsiaTheme="minorHAnsi" w:cs="Arial"/>
          <w:szCs w:val="22"/>
          <w:lang w:bidi="ar-SA"/>
        </w:rPr>
        <w:t xml:space="preserve">. (2012) Longitudinal assessment of lipid and hepatic clinical parameters in workers involved with the demolition of perfluoroalkyl manufacturing facilities. </w:t>
      </w:r>
      <w:hyperlink r:id="rId124" w:tooltip="Journal of occupational and environmental medicine." w:history="1">
        <w:r w:rsidR="00822BD7" w:rsidRPr="000C4C17">
          <w:rPr>
            <w:rFonts w:eastAsiaTheme="minorHAnsi" w:cs="Arial"/>
            <w:szCs w:val="22"/>
            <w:lang w:bidi="ar-SA"/>
          </w:rPr>
          <w:t>J Occup Environ Med.</w:t>
        </w:r>
      </w:hyperlink>
      <w:r w:rsidR="00822BD7" w:rsidRPr="000C4C17">
        <w:rPr>
          <w:rFonts w:eastAsiaTheme="minorHAnsi" w:cs="Arial"/>
          <w:szCs w:val="22"/>
          <w:lang w:bidi="ar-SA"/>
        </w:rPr>
        <w:t xml:space="preserve"> 54(8):974-83.</w:t>
      </w:r>
    </w:p>
    <w:p w14:paraId="741A9381" w14:textId="77777777" w:rsidR="00822BD7" w:rsidRPr="000C4C17" w:rsidRDefault="00822BD7" w:rsidP="00A111E9">
      <w:pPr>
        <w:widowControl/>
        <w:autoSpaceDE w:val="0"/>
        <w:autoSpaceDN w:val="0"/>
        <w:adjustRightInd w:val="0"/>
        <w:ind w:firstLine="567"/>
        <w:rPr>
          <w:rFonts w:eastAsia="UniversLTStd-Cn" w:cs="Arial"/>
          <w:szCs w:val="22"/>
          <w:lang w:bidi="ar-SA"/>
        </w:rPr>
      </w:pPr>
    </w:p>
    <w:p w14:paraId="3A99B89F" w14:textId="77777777" w:rsidR="00822BD7" w:rsidRPr="000C4C17" w:rsidRDefault="00822BD7" w:rsidP="00A111E9">
      <w:pPr>
        <w:widowControl/>
        <w:autoSpaceDE w:val="0"/>
        <w:autoSpaceDN w:val="0"/>
        <w:adjustRightInd w:val="0"/>
        <w:rPr>
          <w:rFonts w:eastAsia="UniversLTStd-Cn" w:cs="Arial"/>
          <w:szCs w:val="22"/>
          <w:lang w:bidi="ar-SA"/>
        </w:rPr>
      </w:pPr>
      <w:r w:rsidRPr="000C4C17">
        <w:rPr>
          <w:rFonts w:eastAsia="UniversLTStd-Cn" w:cs="Arial"/>
          <w:szCs w:val="22"/>
          <w:lang w:bidi="ar-SA"/>
        </w:rPr>
        <w:t>Sakr CJ, Kreckmann KH, Green JW, Gillies PJ, Reynolds JL, Leonard RC. (2007a). Cross-sectional study of lipids and liver enzymes related to a serum biomarker of exposure</w:t>
      </w:r>
    </w:p>
    <w:p w14:paraId="364C6FDF" w14:textId="77777777" w:rsidR="00822BD7" w:rsidRPr="000C4C17" w:rsidRDefault="00822BD7" w:rsidP="00A111E9">
      <w:pPr>
        <w:widowControl/>
        <w:autoSpaceDE w:val="0"/>
        <w:autoSpaceDN w:val="0"/>
        <w:adjustRightInd w:val="0"/>
        <w:rPr>
          <w:rFonts w:eastAsia="UniversLTStd-Cn" w:cs="Arial"/>
          <w:szCs w:val="22"/>
          <w:lang w:bidi="ar-SA"/>
        </w:rPr>
      </w:pPr>
      <w:r w:rsidRPr="000C4C17">
        <w:rPr>
          <w:rFonts w:eastAsia="UniversLTStd-Cn" w:cs="Arial"/>
          <w:szCs w:val="22"/>
          <w:lang w:bidi="ar-SA"/>
        </w:rPr>
        <w:t>(ammonium perfluorooctanoate or APFO) as part of a general health survey in a cohort of occupationally exposed workers. J Occup Environ Med 49:1086–1096.</w:t>
      </w:r>
    </w:p>
    <w:p w14:paraId="2D6C9C20" w14:textId="77777777" w:rsidR="00822BD7" w:rsidRPr="000C4C17" w:rsidRDefault="00822BD7" w:rsidP="00A111E9">
      <w:pPr>
        <w:widowControl/>
        <w:autoSpaceDE w:val="0"/>
        <w:autoSpaceDN w:val="0"/>
        <w:adjustRightInd w:val="0"/>
        <w:rPr>
          <w:rFonts w:eastAsia="UniversLTStd-Cn" w:cs="Arial"/>
          <w:szCs w:val="22"/>
          <w:lang w:bidi="ar-SA"/>
        </w:rPr>
      </w:pPr>
    </w:p>
    <w:p w14:paraId="3AAE307F" w14:textId="77777777" w:rsidR="00822BD7" w:rsidRPr="000C4C17" w:rsidRDefault="00822BD7" w:rsidP="00A111E9">
      <w:pPr>
        <w:widowControl/>
        <w:autoSpaceDE w:val="0"/>
        <w:autoSpaceDN w:val="0"/>
        <w:adjustRightInd w:val="0"/>
        <w:rPr>
          <w:rFonts w:eastAsia="UniversLTStd-Cn" w:cs="Arial"/>
          <w:szCs w:val="22"/>
          <w:lang w:bidi="ar-SA"/>
        </w:rPr>
      </w:pPr>
      <w:r w:rsidRPr="000C4C17">
        <w:rPr>
          <w:rFonts w:eastAsia="UniversLTStd-Cn" w:cs="Arial"/>
          <w:szCs w:val="22"/>
          <w:lang w:bidi="ar-SA"/>
        </w:rPr>
        <w:t>Sakr CJ, Leonard RC, Kreckmann KH, Slade MD, Cullen MR. (2007b). Longitudinal study of serum lipids and liver enzymes in workers with occupational exposure to ammonium perfluorooctanoate. J Occup Environ Med 49:872–879.</w:t>
      </w:r>
    </w:p>
    <w:p w14:paraId="47874CCE" w14:textId="77777777" w:rsidR="00822BD7" w:rsidRPr="000C4C17" w:rsidRDefault="00822BD7" w:rsidP="00A111E9">
      <w:pPr>
        <w:widowControl/>
        <w:autoSpaceDE w:val="0"/>
        <w:autoSpaceDN w:val="0"/>
        <w:adjustRightInd w:val="0"/>
        <w:rPr>
          <w:rFonts w:eastAsia="UniversLTStd-Cn" w:cs="Arial"/>
          <w:szCs w:val="22"/>
          <w:lang w:bidi="ar-SA"/>
        </w:rPr>
      </w:pPr>
    </w:p>
    <w:p w14:paraId="2C9A5E6B" w14:textId="77777777" w:rsidR="00822BD7" w:rsidRPr="000C4C17" w:rsidRDefault="00822BD7" w:rsidP="00A111E9">
      <w:pPr>
        <w:widowControl/>
        <w:shd w:val="clear" w:color="auto" w:fill="FFFFFF"/>
        <w:rPr>
          <w:rFonts w:cs="Arial"/>
          <w:szCs w:val="22"/>
          <w:lang w:eastAsia="en-GB" w:bidi="ar-SA"/>
        </w:rPr>
      </w:pPr>
      <w:r w:rsidRPr="000C4C17">
        <w:rPr>
          <w:rFonts w:cs="Arial"/>
          <w:szCs w:val="22"/>
          <w:lang w:eastAsia="en-GB" w:bidi="ar-SA"/>
        </w:rPr>
        <w:t xml:space="preserve">Skuladottir M, Ramel A, Rytter D, Haug LS, Sabaredzovic A, Bech BH, Henriksen TB, Olsen SF, Halldorsson TI. (2015) </w:t>
      </w:r>
      <w:hyperlink r:id="rId125" w:history="1">
        <w:r w:rsidRPr="000C4C17">
          <w:rPr>
            <w:rFonts w:eastAsiaTheme="minorHAnsi" w:cs="Arial"/>
            <w:szCs w:val="22"/>
            <w:lang w:bidi="ar-SA"/>
          </w:rPr>
          <w:t xml:space="preserve">Examining confounding by diet in the association between perfluoroalkyl acids and serum </w:t>
        </w:r>
        <w:r w:rsidRPr="000C4C17">
          <w:rPr>
            <w:rFonts w:eastAsiaTheme="minorHAnsi" w:cs="Arial"/>
            <w:bCs/>
            <w:szCs w:val="22"/>
            <w:lang w:bidi="ar-SA"/>
          </w:rPr>
          <w:t>cholesterol</w:t>
        </w:r>
        <w:r w:rsidRPr="000C4C17">
          <w:rPr>
            <w:rFonts w:eastAsiaTheme="minorHAnsi" w:cs="Arial"/>
            <w:szCs w:val="22"/>
            <w:lang w:bidi="ar-SA"/>
          </w:rPr>
          <w:t xml:space="preserve"> in pregnancy.</w:t>
        </w:r>
      </w:hyperlink>
      <w:r w:rsidRPr="000C4C17">
        <w:rPr>
          <w:rFonts w:eastAsiaTheme="minorHAnsi" w:cs="Arial"/>
          <w:szCs w:val="22"/>
          <w:lang w:bidi="ar-SA"/>
        </w:rPr>
        <w:t xml:space="preserve"> </w:t>
      </w:r>
      <w:r w:rsidRPr="000C4C17">
        <w:rPr>
          <w:rFonts w:cs="Arial"/>
          <w:szCs w:val="22"/>
          <w:lang w:eastAsia="en-GB" w:bidi="ar-SA"/>
        </w:rPr>
        <w:t>Environ Res143(Pt A):33-8.</w:t>
      </w:r>
    </w:p>
    <w:p w14:paraId="3924F1B5" w14:textId="77777777" w:rsidR="00822BD7" w:rsidRPr="000C4C17" w:rsidRDefault="00822BD7" w:rsidP="00A111E9">
      <w:pPr>
        <w:widowControl/>
        <w:autoSpaceDE w:val="0"/>
        <w:autoSpaceDN w:val="0"/>
        <w:adjustRightInd w:val="0"/>
        <w:rPr>
          <w:rFonts w:eastAsia="UniversLTStd-Cn" w:cs="Arial"/>
          <w:szCs w:val="22"/>
          <w:lang w:bidi="ar-SA"/>
        </w:rPr>
      </w:pPr>
    </w:p>
    <w:p w14:paraId="5959877E" w14:textId="44C68BFC" w:rsidR="00822BD7" w:rsidRPr="000C4C17" w:rsidRDefault="00822BD7" w:rsidP="00A111E9">
      <w:pPr>
        <w:widowControl/>
        <w:autoSpaceDE w:val="0"/>
        <w:autoSpaceDN w:val="0"/>
        <w:adjustRightInd w:val="0"/>
        <w:rPr>
          <w:rFonts w:eastAsia="UniversLTStd-Cn" w:cs="Arial"/>
          <w:szCs w:val="22"/>
          <w:lang w:bidi="ar-SA"/>
        </w:rPr>
      </w:pPr>
      <w:r w:rsidRPr="000C4C17">
        <w:rPr>
          <w:rFonts w:eastAsiaTheme="minorHAnsi" w:cs="Arial"/>
          <w:szCs w:val="22"/>
          <w:lang w:bidi="ar-SA"/>
        </w:rPr>
        <w:t xml:space="preserve">Starling AP, Engel SM, Whitworth KW, Richardson DB, Stuebe AM, Daniels JL </w:t>
      </w:r>
      <w:r w:rsidR="00180A32" w:rsidRPr="00180A32">
        <w:rPr>
          <w:rFonts w:eastAsiaTheme="minorHAnsi" w:cs="Arial"/>
          <w:i/>
          <w:szCs w:val="22"/>
          <w:lang w:bidi="ar-SA"/>
        </w:rPr>
        <w:t xml:space="preserve">et al. </w:t>
      </w:r>
      <w:r>
        <w:rPr>
          <w:rFonts w:eastAsiaTheme="minorHAnsi" w:cs="Arial"/>
          <w:szCs w:val="22"/>
          <w:lang w:bidi="ar-SA"/>
        </w:rPr>
        <w:t xml:space="preserve"> </w:t>
      </w:r>
      <w:r w:rsidRPr="000C4C17">
        <w:rPr>
          <w:rFonts w:eastAsiaTheme="minorHAnsi" w:cs="Arial"/>
          <w:szCs w:val="22"/>
          <w:lang w:bidi="ar-SA"/>
        </w:rPr>
        <w:t xml:space="preserve">(2014). Perfluoroalkyl substances and lipid concentrations in plasma during pregnancy among women in the Norwegian Mother and Child Cohort Study. </w:t>
      </w:r>
      <w:r w:rsidRPr="000C4C17">
        <w:rPr>
          <w:rFonts w:eastAsiaTheme="minorHAnsi" w:cs="Arial"/>
          <w:iCs/>
          <w:szCs w:val="22"/>
          <w:lang w:bidi="ar-SA"/>
        </w:rPr>
        <w:t xml:space="preserve">Environ Int </w:t>
      </w:r>
      <w:r w:rsidRPr="000C4C17">
        <w:rPr>
          <w:rFonts w:eastAsiaTheme="minorHAnsi" w:cs="Arial"/>
          <w:szCs w:val="22"/>
          <w:lang w:bidi="ar-SA"/>
        </w:rPr>
        <w:t>62:104–112.</w:t>
      </w:r>
    </w:p>
    <w:p w14:paraId="5AAFC556" w14:textId="77777777" w:rsidR="00822BD7" w:rsidRPr="000C4C17" w:rsidRDefault="00822BD7" w:rsidP="00A111E9">
      <w:pPr>
        <w:widowControl/>
        <w:autoSpaceDE w:val="0"/>
        <w:autoSpaceDN w:val="0"/>
        <w:adjustRightInd w:val="0"/>
        <w:rPr>
          <w:rFonts w:eastAsia="UniversLTStd-Cn" w:cs="Arial"/>
          <w:szCs w:val="22"/>
          <w:lang w:bidi="ar-SA"/>
        </w:rPr>
      </w:pPr>
    </w:p>
    <w:p w14:paraId="243268E8" w14:textId="77777777" w:rsidR="00822BD7" w:rsidRPr="000C4C17" w:rsidRDefault="00822BD7" w:rsidP="00A111E9">
      <w:pPr>
        <w:widowControl/>
        <w:autoSpaceDE w:val="0"/>
        <w:autoSpaceDN w:val="0"/>
        <w:adjustRightInd w:val="0"/>
        <w:rPr>
          <w:rFonts w:eastAsia="UniversLTStd-Cn" w:cs="Arial"/>
          <w:szCs w:val="22"/>
          <w:lang w:bidi="ar-SA"/>
        </w:rPr>
      </w:pPr>
      <w:r w:rsidRPr="000C4C17">
        <w:rPr>
          <w:rFonts w:eastAsia="UniversLTStd-Cn" w:cs="Arial"/>
          <w:szCs w:val="22"/>
          <w:lang w:bidi="ar-SA"/>
        </w:rPr>
        <w:t>Steenland K, Tinker S, Frisbee S, Ducatman A, Vaccarino V. (2009). Association of perfluorooctanoic acid and perfluorooctane sulfonate with serum lipids among adults living near a chemical plant. Am J Epidemiol 170:1268–1278.</w:t>
      </w:r>
    </w:p>
    <w:p w14:paraId="3CEF5F01" w14:textId="77777777" w:rsidR="00822BD7" w:rsidRPr="000C4C17" w:rsidRDefault="00822BD7" w:rsidP="00A111E9">
      <w:pPr>
        <w:widowControl/>
        <w:autoSpaceDE w:val="0"/>
        <w:autoSpaceDN w:val="0"/>
        <w:adjustRightInd w:val="0"/>
        <w:rPr>
          <w:rFonts w:eastAsia="UniversLTStd-Cn" w:cs="Arial"/>
          <w:szCs w:val="22"/>
          <w:lang w:bidi="ar-SA"/>
        </w:rPr>
      </w:pPr>
    </w:p>
    <w:p w14:paraId="461C7138" w14:textId="77777777" w:rsidR="00822BD7" w:rsidRPr="000C4C17" w:rsidRDefault="00FA183D" w:rsidP="00A111E9">
      <w:pPr>
        <w:widowControl/>
        <w:autoSpaceDE w:val="0"/>
        <w:autoSpaceDN w:val="0"/>
        <w:adjustRightInd w:val="0"/>
        <w:rPr>
          <w:rFonts w:eastAsia="UniversLTStd-Cn" w:cs="Arial"/>
          <w:szCs w:val="22"/>
          <w:lang w:bidi="ar-SA"/>
        </w:rPr>
      </w:pPr>
      <w:hyperlink r:id="rId126" w:history="1">
        <w:r w:rsidR="00822BD7" w:rsidRPr="000C4C17">
          <w:rPr>
            <w:rFonts w:eastAsiaTheme="minorHAnsi" w:cs="Arial"/>
            <w:szCs w:val="22"/>
            <w:lang w:bidi="ar-SA"/>
          </w:rPr>
          <w:t>Steenland K</w:t>
        </w:r>
      </w:hyperlink>
      <w:r w:rsidR="00822BD7" w:rsidRPr="000C4C17">
        <w:rPr>
          <w:rFonts w:eastAsiaTheme="minorHAnsi" w:cs="Arial"/>
          <w:szCs w:val="22"/>
          <w:lang w:bidi="ar-SA"/>
        </w:rPr>
        <w:t xml:space="preserve">, </w:t>
      </w:r>
      <w:hyperlink r:id="rId127" w:history="1">
        <w:r w:rsidR="00822BD7" w:rsidRPr="000C4C17">
          <w:rPr>
            <w:rFonts w:eastAsiaTheme="minorHAnsi" w:cs="Arial"/>
            <w:szCs w:val="22"/>
            <w:lang w:bidi="ar-SA"/>
          </w:rPr>
          <w:t>Zhao L</w:t>
        </w:r>
      </w:hyperlink>
      <w:r w:rsidR="00822BD7" w:rsidRPr="000C4C17">
        <w:rPr>
          <w:rFonts w:eastAsiaTheme="minorHAnsi" w:cs="Arial"/>
          <w:szCs w:val="22"/>
          <w:lang w:bidi="ar-SA"/>
        </w:rPr>
        <w:t xml:space="preserve">, </w:t>
      </w:r>
      <w:hyperlink r:id="rId128" w:history="1">
        <w:r w:rsidR="00822BD7" w:rsidRPr="000C4C17">
          <w:rPr>
            <w:rFonts w:eastAsiaTheme="minorHAnsi" w:cs="Arial"/>
            <w:szCs w:val="22"/>
            <w:lang w:bidi="ar-SA"/>
          </w:rPr>
          <w:t>Winquist A</w:t>
        </w:r>
      </w:hyperlink>
      <w:r w:rsidR="00822BD7" w:rsidRPr="000C4C17">
        <w:rPr>
          <w:rFonts w:eastAsiaTheme="minorHAnsi" w:cs="Arial"/>
          <w:szCs w:val="22"/>
          <w:lang w:bidi="ar-SA"/>
        </w:rPr>
        <w:t xml:space="preserve">. (2015) A cohort incidence study of workers exposed to perfluorooctanoic acid (PFOA). </w:t>
      </w:r>
      <w:hyperlink r:id="rId129" w:tooltip="Occupational and environmental medicine." w:history="1">
        <w:r w:rsidR="00822BD7" w:rsidRPr="000C4C17">
          <w:rPr>
            <w:rFonts w:eastAsiaTheme="minorHAnsi" w:cs="Arial"/>
            <w:szCs w:val="22"/>
            <w:lang w:bidi="ar-SA"/>
          </w:rPr>
          <w:t>Occup Environ Med.</w:t>
        </w:r>
      </w:hyperlink>
      <w:r w:rsidR="00822BD7" w:rsidRPr="000C4C17">
        <w:rPr>
          <w:rFonts w:eastAsiaTheme="minorHAnsi" w:cs="Arial"/>
          <w:szCs w:val="22"/>
          <w:lang w:bidi="ar-SA"/>
        </w:rPr>
        <w:t>72(5):373-80.</w:t>
      </w:r>
    </w:p>
    <w:p w14:paraId="4C30529A" w14:textId="77777777" w:rsidR="00822BD7" w:rsidRPr="000C4C17" w:rsidRDefault="00822BD7" w:rsidP="00A111E9">
      <w:pPr>
        <w:widowControl/>
        <w:tabs>
          <w:tab w:val="left" w:pos="3540"/>
        </w:tabs>
        <w:autoSpaceDE w:val="0"/>
        <w:autoSpaceDN w:val="0"/>
        <w:adjustRightInd w:val="0"/>
        <w:rPr>
          <w:rFonts w:eastAsia="UniversLTStd-Cn" w:cs="Arial"/>
          <w:szCs w:val="22"/>
          <w:lang w:bidi="ar-SA"/>
        </w:rPr>
      </w:pPr>
    </w:p>
    <w:p w14:paraId="74DDAEF1" w14:textId="493214EE" w:rsidR="00822BD7" w:rsidRPr="000C4C17" w:rsidRDefault="00822BD7" w:rsidP="00A111E9">
      <w:pPr>
        <w:widowControl/>
        <w:rPr>
          <w:rFonts w:eastAsiaTheme="minorHAnsi" w:cs="Arial"/>
          <w:szCs w:val="22"/>
          <w:lang w:bidi="ar-SA"/>
        </w:rPr>
      </w:pPr>
      <w:r w:rsidRPr="000C4C17">
        <w:rPr>
          <w:rFonts w:eastAsiaTheme="minorHAnsi" w:cs="Arial"/>
          <w:szCs w:val="22"/>
          <w:lang w:bidi="ar-SA"/>
        </w:rPr>
        <w:t xml:space="preserve">Toms LM, Thompson J, Rotander A, Hobson P, Calafat AM, Kato K </w:t>
      </w:r>
      <w:r w:rsidR="00180A32" w:rsidRPr="00180A32">
        <w:rPr>
          <w:rFonts w:eastAsiaTheme="minorHAnsi" w:cs="Arial"/>
          <w:i/>
          <w:szCs w:val="22"/>
          <w:lang w:bidi="ar-SA"/>
        </w:rPr>
        <w:t xml:space="preserve">et al. </w:t>
      </w:r>
      <w:r>
        <w:rPr>
          <w:rFonts w:eastAsiaTheme="minorHAnsi" w:cs="Arial"/>
          <w:szCs w:val="22"/>
          <w:lang w:bidi="ar-SA"/>
        </w:rPr>
        <w:t xml:space="preserve"> </w:t>
      </w:r>
      <w:r w:rsidRPr="000C4C17">
        <w:rPr>
          <w:rFonts w:eastAsiaTheme="minorHAnsi" w:cs="Arial"/>
          <w:szCs w:val="22"/>
          <w:lang w:bidi="ar-SA"/>
        </w:rPr>
        <w:t xml:space="preserve">(2014) </w:t>
      </w:r>
      <w:hyperlink r:id="rId130" w:history="1">
        <w:r w:rsidRPr="000C4C17">
          <w:rPr>
            <w:rFonts w:eastAsiaTheme="minorHAnsi" w:cs="Arial"/>
            <w:bCs/>
            <w:szCs w:val="22"/>
            <w:lang w:bidi="ar-SA"/>
          </w:rPr>
          <w:t>Decline</w:t>
        </w:r>
        <w:r w:rsidRPr="000C4C17">
          <w:rPr>
            <w:rFonts w:eastAsiaTheme="minorHAnsi" w:cs="Arial"/>
            <w:szCs w:val="22"/>
            <w:lang w:bidi="ar-SA"/>
          </w:rPr>
          <w:t xml:space="preserve"> in </w:t>
        </w:r>
        <w:r w:rsidRPr="000C4C17">
          <w:rPr>
            <w:rFonts w:eastAsiaTheme="minorHAnsi" w:cs="Arial"/>
            <w:bCs/>
            <w:szCs w:val="22"/>
            <w:lang w:bidi="ar-SA"/>
          </w:rPr>
          <w:t>perfluorooctane sulfonate</w:t>
        </w:r>
        <w:r w:rsidRPr="000C4C17">
          <w:rPr>
            <w:rFonts w:eastAsiaTheme="minorHAnsi" w:cs="Arial"/>
            <w:szCs w:val="22"/>
            <w:lang w:bidi="ar-SA"/>
          </w:rPr>
          <w:t xml:space="preserve"> and </w:t>
        </w:r>
        <w:r w:rsidRPr="000C4C17">
          <w:rPr>
            <w:rFonts w:eastAsiaTheme="minorHAnsi" w:cs="Arial"/>
            <w:bCs/>
            <w:szCs w:val="22"/>
            <w:lang w:bidi="ar-SA"/>
          </w:rPr>
          <w:t>perfluorooctanoate</w:t>
        </w:r>
        <w:r w:rsidRPr="000C4C17">
          <w:rPr>
            <w:rFonts w:eastAsiaTheme="minorHAnsi" w:cs="Arial"/>
            <w:szCs w:val="22"/>
            <w:lang w:bidi="ar-SA"/>
          </w:rPr>
          <w:t xml:space="preserve"> serum concentrations in an Australian population from 2002 to 2011.</w:t>
        </w:r>
      </w:hyperlink>
      <w:r w:rsidRPr="000C4C17">
        <w:rPr>
          <w:rFonts w:eastAsiaTheme="minorHAnsi" w:cs="Arial"/>
          <w:szCs w:val="22"/>
          <w:lang w:bidi="ar-SA"/>
        </w:rPr>
        <w:t xml:space="preserve"> Environ Int. 2014 Oct;71:74-80.</w:t>
      </w:r>
    </w:p>
    <w:p w14:paraId="778D3AF3" w14:textId="77777777" w:rsidR="00822BD7" w:rsidRPr="000C4C17" w:rsidRDefault="00822BD7" w:rsidP="00A111E9">
      <w:pPr>
        <w:widowControl/>
        <w:tabs>
          <w:tab w:val="left" w:pos="3540"/>
        </w:tabs>
        <w:autoSpaceDE w:val="0"/>
        <w:autoSpaceDN w:val="0"/>
        <w:adjustRightInd w:val="0"/>
        <w:rPr>
          <w:rFonts w:eastAsia="UniversLTStd-Cn" w:cs="Arial"/>
          <w:szCs w:val="22"/>
          <w:lang w:bidi="ar-SA"/>
        </w:rPr>
      </w:pPr>
      <w:r w:rsidRPr="000C4C17">
        <w:rPr>
          <w:rFonts w:eastAsia="UniversLTStd-Cn" w:cs="Arial"/>
          <w:szCs w:val="22"/>
          <w:lang w:bidi="ar-SA"/>
        </w:rPr>
        <w:tab/>
      </w:r>
    </w:p>
    <w:p w14:paraId="001B6F99" w14:textId="77777777" w:rsidR="00822BD7" w:rsidRDefault="00822BD7" w:rsidP="00A111E9">
      <w:pPr>
        <w:widowControl/>
        <w:autoSpaceDE w:val="0"/>
        <w:autoSpaceDN w:val="0"/>
        <w:adjustRightInd w:val="0"/>
        <w:rPr>
          <w:rFonts w:eastAsiaTheme="minorHAnsi" w:cs="Arial"/>
          <w:szCs w:val="22"/>
          <w:lang w:bidi="ar-SA"/>
        </w:rPr>
      </w:pPr>
      <w:r w:rsidRPr="000C4C17">
        <w:rPr>
          <w:rFonts w:eastAsiaTheme="minorHAnsi" w:cs="Arial"/>
          <w:szCs w:val="22"/>
          <w:lang w:bidi="ar-SA"/>
        </w:rPr>
        <w:t>Ubel FA, Sorenson SD, Roach DE (1980) Health status of plant workers exposed to fluorochemicals—a preliminary report. Am Ind Hyg Assoc J 41:584–589</w:t>
      </w:r>
    </w:p>
    <w:p w14:paraId="1B6D09E8" w14:textId="1B03F9D8" w:rsidR="0012486A" w:rsidRDefault="0012486A" w:rsidP="00A111E9">
      <w:pPr>
        <w:widowControl/>
        <w:autoSpaceDE w:val="0"/>
        <w:autoSpaceDN w:val="0"/>
        <w:adjustRightInd w:val="0"/>
        <w:rPr>
          <w:rFonts w:eastAsiaTheme="minorHAnsi" w:cs="Arial"/>
          <w:szCs w:val="22"/>
          <w:lang w:bidi="ar-SA"/>
        </w:rPr>
      </w:pPr>
    </w:p>
    <w:p w14:paraId="5CD0AAA3" w14:textId="77777777" w:rsidR="0012486A" w:rsidRPr="000C4C17" w:rsidRDefault="0012486A" w:rsidP="00A111E9">
      <w:pPr>
        <w:widowControl/>
        <w:rPr>
          <w:lang w:bidi="ar-SA"/>
        </w:rPr>
      </w:pPr>
      <w:r>
        <w:rPr>
          <w:lang w:bidi="ar-SA"/>
        </w:rPr>
        <w:t>US EPA (2014a) Health effects document for p</w:t>
      </w:r>
      <w:r w:rsidRPr="000C4C17">
        <w:rPr>
          <w:lang w:bidi="ar-SA"/>
        </w:rPr>
        <w:t xml:space="preserve">erfluorooctane </w:t>
      </w:r>
      <w:r>
        <w:rPr>
          <w:lang w:bidi="ar-SA"/>
        </w:rPr>
        <w:t>s</w:t>
      </w:r>
      <w:r w:rsidRPr="000C4C17">
        <w:rPr>
          <w:lang w:bidi="ar-SA"/>
        </w:rPr>
        <w:t>ulfonate (PFOS)</w:t>
      </w:r>
      <w:r>
        <w:rPr>
          <w:lang w:bidi="ar-SA"/>
        </w:rPr>
        <w:t xml:space="preserve">. EPA 822-R-14-002. </w:t>
      </w:r>
    </w:p>
    <w:p w14:paraId="4C2F1C76" w14:textId="77777777" w:rsidR="0012486A" w:rsidRPr="000C4C17" w:rsidRDefault="0012486A" w:rsidP="00A111E9">
      <w:pPr>
        <w:widowControl/>
        <w:rPr>
          <w:lang w:bidi="ar-SA"/>
        </w:rPr>
      </w:pPr>
    </w:p>
    <w:p w14:paraId="6D32EAAB" w14:textId="77777777" w:rsidR="00064C40" w:rsidRDefault="0012486A" w:rsidP="00064C40">
      <w:pPr>
        <w:widowControl/>
        <w:rPr>
          <w:rFonts w:eastAsiaTheme="minorHAnsi" w:cs="Arial"/>
          <w:bCs/>
          <w:szCs w:val="22"/>
          <w:lang w:bidi="ar-SA"/>
        </w:rPr>
      </w:pPr>
      <w:r>
        <w:rPr>
          <w:rFonts w:eastAsiaTheme="minorHAnsi" w:cs="Arial"/>
          <w:bCs/>
          <w:szCs w:val="22"/>
          <w:lang w:bidi="ar-SA"/>
        </w:rPr>
        <w:t>US EPA (2014b) Health effects document for perfluorooctanoic acid (PFOA). EPA 822-R-14-001.</w:t>
      </w:r>
    </w:p>
    <w:p w14:paraId="65C8D320" w14:textId="77777777" w:rsidR="00822BD7" w:rsidRPr="000C4C17" w:rsidRDefault="00822BD7" w:rsidP="00A111E9">
      <w:pPr>
        <w:widowControl/>
        <w:autoSpaceDE w:val="0"/>
        <w:autoSpaceDN w:val="0"/>
        <w:adjustRightInd w:val="0"/>
        <w:rPr>
          <w:rFonts w:eastAsia="AGaramondPro-Semibold" w:cs="Arial"/>
          <w:szCs w:val="22"/>
          <w:lang w:bidi="ar-SA"/>
        </w:rPr>
      </w:pPr>
      <w:r w:rsidRPr="000C4C17">
        <w:rPr>
          <w:rFonts w:eastAsia="AGaramondPro-Semibold" w:cs="Arial"/>
          <w:szCs w:val="22"/>
          <w:lang w:bidi="ar-SA"/>
        </w:rPr>
        <w:lastRenderedPageBreak/>
        <w:t>Winquist A, Steenland K. (2014). Modeled PFOA exposure and coronary artery disease, hypertension, and high cholesterol in community and worker cohorts. Environ Health Perspect 122:1299–1305.</w:t>
      </w:r>
    </w:p>
    <w:p w14:paraId="64585767" w14:textId="77777777" w:rsidR="00822BD7" w:rsidRPr="000C4C17" w:rsidRDefault="00822BD7" w:rsidP="00A111E9">
      <w:pPr>
        <w:widowControl/>
        <w:autoSpaceDE w:val="0"/>
        <w:autoSpaceDN w:val="0"/>
        <w:adjustRightInd w:val="0"/>
        <w:rPr>
          <w:rFonts w:eastAsia="AGaramondPro-Semibold" w:cs="Arial"/>
          <w:szCs w:val="22"/>
          <w:lang w:bidi="ar-SA"/>
        </w:rPr>
      </w:pPr>
    </w:p>
    <w:p w14:paraId="2C1DF006" w14:textId="77777777" w:rsidR="00822BD7" w:rsidRPr="000C4C17" w:rsidRDefault="00822BD7" w:rsidP="00A111E9">
      <w:pPr>
        <w:widowControl/>
        <w:autoSpaceDE w:val="0"/>
        <w:autoSpaceDN w:val="0"/>
        <w:adjustRightInd w:val="0"/>
        <w:rPr>
          <w:rFonts w:eastAsia="AGaramondPro-Semibold" w:cs="Arial"/>
          <w:szCs w:val="22"/>
          <w:lang w:bidi="ar-SA"/>
        </w:rPr>
      </w:pPr>
      <w:r w:rsidRPr="000C4C17">
        <w:rPr>
          <w:rFonts w:eastAsia="UniversLTStd-Cn" w:cs="Arial"/>
          <w:szCs w:val="22"/>
          <w:lang w:bidi="ar-SA"/>
        </w:rPr>
        <w:t>Wang JS, Zhang YT, Zhang W, Jin YH, Dai JY. (2012). Association of perfluorooctanoic acid with HDL cholesterol and circulating miR-26b and miR-199-3p in workers of a fluorochemical plant and nearby residents. Environ Sci Technol 46:9274–9281.</w:t>
      </w:r>
    </w:p>
    <w:p w14:paraId="138DD559" w14:textId="77777777" w:rsidR="00822BD7" w:rsidRPr="000C4C17" w:rsidRDefault="00822BD7" w:rsidP="00A111E9">
      <w:pPr>
        <w:widowControl/>
        <w:autoSpaceDE w:val="0"/>
        <w:autoSpaceDN w:val="0"/>
        <w:adjustRightInd w:val="0"/>
        <w:rPr>
          <w:rFonts w:eastAsia="AGaramondPro-Semibold" w:cs="Arial"/>
          <w:szCs w:val="22"/>
          <w:lang w:bidi="ar-SA"/>
        </w:rPr>
      </w:pPr>
    </w:p>
    <w:p w14:paraId="433E6F87" w14:textId="0CC1FF82" w:rsidR="00822BD7" w:rsidRPr="000C4C17" w:rsidRDefault="00FA183D" w:rsidP="00A111E9">
      <w:pPr>
        <w:widowControl/>
        <w:shd w:val="clear" w:color="auto" w:fill="FFFFFF"/>
        <w:rPr>
          <w:rFonts w:cs="Arial"/>
          <w:szCs w:val="22"/>
          <w:lang w:eastAsia="en-GB" w:bidi="ar-SA"/>
        </w:rPr>
      </w:pPr>
      <w:hyperlink r:id="rId131" w:history="1">
        <w:r w:rsidR="00822BD7" w:rsidRPr="000C4C17">
          <w:rPr>
            <w:rFonts w:cs="Arial"/>
            <w:szCs w:val="22"/>
            <w:lang w:eastAsia="en-GB" w:bidi="ar-SA"/>
          </w:rPr>
          <w:t xml:space="preserve">Zeng XW, Qian Z, Emo B, Vaughn M, Bao J, Qin XD </w:t>
        </w:r>
        <w:r w:rsidR="00180A32" w:rsidRPr="00180A32">
          <w:rPr>
            <w:rFonts w:cs="Arial"/>
            <w:i/>
            <w:szCs w:val="22"/>
            <w:lang w:eastAsia="en-GB" w:bidi="ar-SA"/>
          </w:rPr>
          <w:t xml:space="preserve">et al. </w:t>
        </w:r>
        <w:r w:rsidR="00822BD7">
          <w:rPr>
            <w:rFonts w:cs="Arial"/>
            <w:szCs w:val="22"/>
            <w:lang w:eastAsia="en-GB" w:bidi="ar-SA"/>
          </w:rPr>
          <w:t xml:space="preserve"> </w:t>
        </w:r>
        <w:r w:rsidR="00822BD7" w:rsidRPr="000C4C17">
          <w:rPr>
            <w:rFonts w:cs="Arial"/>
            <w:szCs w:val="22"/>
            <w:lang w:eastAsia="en-GB" w:bidi="ar-SA"/>
          </w:rPr>
          <w:t>(2015) Association of polyfluoroalkyl chemical exposure with serum lipids in children.</w:t>
        </w:r>
      </w:hyperlink>
      <w:r w:rsidR="00822BD7" w:rsidRPr="000C4C17">
        <w:rPr>
          <w:rFonts w:cs="Arial"/>
          <w:szCs w:val="22"/>
          <w:lang w:eastAsia="en-GB" w:bidi="ar-SA"/>
        </w:rPr>
        <w:t xml:space="preserve"> Sci Total Environ 15;512-513:364-70.</w:t>
      </w:r>
    </w:p>
    <w:p w14:paraId="04A2048F" w14:textId="04B16551" w:rsidR="00F8101A" w:rsidRPr="00F8101A" w:rsidRDefault="00F8101A" w:rsidP="00A111E9">
      <w:pPr>
        <w:widowControl/>
        <w:rPr>
          <w:rFonts w:eastAsiaTheme="minorHAnsi" w:cstheme="minorBidi"/>
          <w:szCs w:val="22"/>
          <w:lang w:bidi="ar-SA"/>
        </w:rPr>
      </w:pPr>
      <w:r w:rsidRPr="00F8101A">
        <w:rPr>
          <w:rFonts w:eastAsiaTheme="minorHAnsi" w:cstheme="minorBidi"/>
          <w:szCs w:val="22"/>
          <w:lang w:bidi="ar-SA"/>
        </w:rPr>
        <w:br w:type="page"/>
      </w:r>
    </w:p>
    <w:p w14:paraId="17B286E3" w14:textId="1F6DDBE1" w:rsidR="00C1121B" w:rsidRDefault="00931B97" w:rsidP="004264B6">
      <w:pPr>
        <w:pStyle w:val="Heading3"/>
      </w:pPr>
      <w:bookmarkStart w:id="653" w:name="_Toc468699251"/>
      <w:bookmarkStart w:id="654" w:name="_Toc468712816"/>
      <w:bookmarkStart w:id="655" w:name="_Toc468716508"/>
      <w:bookmarkStart w:id="656" w:name="_Toc468709495"/>
      <w:bookmarkStart w:id="657" w:name="_Toc468717795"/>
      <w:bookmarkStart w:id="658" w:name="_Toc468718439"/>
      <w:bookmarkStart w:id="659" w:name="_Toc468719419"/>
      <w:bookmarkStart w:id="660" w:name="_Toc468722204"/>
      <w:bookmarkStart w:id="661" w:name="_Toc468799273"/>
      <w:bookmarkStart w:id="662" w:name="_Toc468806596"/>
      <w:bookmarkStart w:id="663" w:name="_Toc468981010"/>
      <w:bookmarkStart w:id="664" w:name="_Toc482805116"/>
      <w:r>
        <w:lastRenderedPageBreak/>
        <w:t xml:space="preserve">Appendix </w:t>
      </w:r>
      <w:r w:rsidR="00F8101A">
        <w:t>3</w:t>
      </w:r>
      <w:r w:rsidR="00A453F5">
        <w:t>:</w:t>
      </w:r>
      <w:r>
        <w:t xml:space="preserve"> </w:t>
      </w:r>
      <w:r w:rsidR="006F6E97">
        <w:t xml:space="preserve">PFHxS </w:t>
      </w:r>
      <w:r w:rsidR="004A2560">
        <w:t>Pharmacokinetic</w:t>
      </w:r>
      <w:r w:rsidR="006F6E97">
        <w:t xml:space="preserve"> Studies</w:t>
      </w:r>
      <w:bookmarkEnd w:id="653"/>
      <w:bookmarkEnd w:id="654"/>
      <w:bookmarkEnd w:id="655"/>
      <w:bookmarkEnd w:id="656"/>
      <w:bookmarkEnd w:id="657"/>
      <w:bookmarkEnd w:id="658"/>
      <w:bookmarkEnd w:id="659"/>
      <w:bookmarkEnd w:id="660"/>
      <w:bookmarkEnd w:id="661"/>
      <w:bookmarkEnd w:id="662"/>
      <w:bookmarkEnd w:id="663"/>
      <w:bookmarkEnd w:id="664"/>
    </w:p>
    <w:p w14:paraId="6B2EF33F" w14:textId="3E6B5398" w:rsidR="00931B97" w:rsidRPr="00F35AE8" w:rsidRDefault="00931B97" w:rsidP="00F35AE8">
      <w:r w:rsidRPr="00F35AE8">
        <w:t>Sundstr</w:t>
      </w:r>
      <w:r w:rsidR="001B6877" w:rsidRPr="00F35AE8">
        <w:t>ö</w:t>
      </w:r>
      <w:r w:rsidRPr="00F35AE8">
        <w:t xml:space="preserve">m </w:t>
      </w:r>
      <w:r w:rsidR="00180A32" w:rsidRPr="00F35AE8">
        <w:t xml:space="preserve">et al. </w:t>
      </w:r>
      <w:r w:rsidR="00CC50B8" w:rsidRPr="00F35AE8">
        <w:t xml:space="preserve"> </w:t>
      </w:r>
      <w:r w:rsidRPr="00F35AE8">
        <w:t>2012</w:t>
      </w:r>
      <w:r w:rsidR="006F6E97" w:rsidRPr="00F35AE8">
        <w:t xml:space="preserve"> - </w:t>
      </w:r>
      <w:r w:rsidR="00B246AB" w:rsidRPr="00F35AE8">
        <w:t>Comparative iv and oral gavage Pharmacokinetics of PFHxS in mice, rats and monkeys</w:t>
      </w:r>
    </w:p>
    <w:p w14:paraId="2D0E4AE4" w14:textId="77777777" w:rsidR="00F35AE8" w:rsidRDefault="00F35AE8" w:rsidP="00863A5A">
      <w:pPr>
        <w:rPr>
          <w:lang w:eastAsia="en-AU" w:bidi="ar-SA"/>
        </w:rPr>
      </w:pPr>
    </w:p>
    <w:p w14:paraId="0336AB5B" w14:textId="4764ACB7" w:rsidR="00931B97" w:rsidRDefault="00931B97" w:rsidP="00863A5A">
      <w:pPr>
        <w:rPr>
          <w:lang w:eastAsia="en-AU" w:bidi="ar-SA"/>
        </w:rPr>
      </w:pPr>
      <w:r>
        <w:rPr>
          <w:lang w:eastAsia="en-AU" w:bidi="ar-SA"/>
        </w:rPr>
        <w:t>A series of studies were conducted to establish PFHxS concentrations in serum, urine and faeces of mice, rats and monkeys.</w:t>
      </w:r>
    </w:p>
    <w:p w14:paraId="531DA064" w14:textId="77777777" w:rsidR="00931B97" w:rsidRPr="00B246AB" w:rsidRDefault="00931B97" w:rsidP="004264B6">
      <w:pPr>
        <w:pStyle w:val="Heading4"/>
      </w:pPr>
      <w:r w:rsidRPr="00B246AB">
        <w:t>Mice</w:t>
      </w:r>
    </w:p>
    <w:p w14:paraId="1A619E40" w14:textId="0F176441" w:rsidR="00931B97" w:rsidRDefault="00931B97" w:rsidP="00A111E9">
      <w:pPr>
        <w:rPr>
          <w:lang w:eastAsia="en-AU" w:bidi="ar-SA"/>
        </w:rPr>
      </w:pPr>
      <w:r>
        <w:rPr>
          <w:lang w:eastAsia="en-AU" w:bidi="ar-SA"/>
        </w:rPr>
        <w:t>Male and female CD-1 mice, at least 8-10 weeks old, were given a single oral gavage dose of either 1 or 20 mg K</w:t>
      </w:r>
      <w:r>
        <w:rPr>
          <w:vertAlign w:val="superscript"/>
          <w:lang w:eastAsia="en-AU" w:bidi="ar-SA"/>
        </w:rPr>
        <w:t>+</w:t>
      </w:r>
      <w:r>
        <w:rPr>
          <w:lang w:eastAsia="en-AU" w:bidi="ar-SA"/>
        </w:rPr>
        <w:t>PFHxS/kg bw. At 2, 4, and 8 hours and days 1, 8, 15, 22, 36, 50, 64 and 162, four mice/sex/treatment level were euthani</w:t>
      </w:r>
      <w:r w:rsidR="001B6877">
        <w:rPr>
          <w:lang w:eastAsia="en-AU" w:bidi="ar-SA"/>
        </w:rPr>
        <w:t>s</w:t>
      </w:r>
      <w:r>
        <w:rPr>
          <w:lang w:eastAsia="en-AU" w:bidi="ar-SA"/>
        </w:rPr>
        <w:t>ed and blood was collected via the abdominal aorta and serum prepared. In the 24</w:t>
      </w:r>
      <w:r w:rsidR="00486B54">
        <w:rPr>
          <w:lang w:eastAsia="en-AU" w:bidi="ar-SA"/>
        </w:rPr>
        <w:t xml:space="preserve"> </w:t>
      </w:r>
      <w:r>
        <w:rPr>
          <w:lang w:eastAsia="en-AU" w:bidi="ar-SA"/>
        </w:rPr>
        <w:t>hours prior to termination urine and faeces samples were collected. Liver and kidneys were collected at study termination. All samples were frozen with liquid nitrogen and stored at -80</w:t>
      </w:r>
      <w:r>
        <w:rPr>
          <w:vertAlign w:val="superscript"/>
          <w:lang w:eastAsia="en-AU" w:bidi="ar-SA"/>
        </w:rPr>
        <w:t>0</w:t>
      </w:r>
      <w:r>
        <w:rPr>
          <w:lang w:eastAsia="en-AU" w:bidi="ar-SA"/>
        </w:rPr>
        <w:t>C until analysis</w:t>
      </w:r>
      <w:r w:rsidR="00156ADD">
        <w:rPr>
          <w:lang w:eastAsia="en-AU" w:bidi="ar-SA"/>
        </w:rPr>
        <w:t>.</w:t>
      </w:r>
    </w:p>
    <w:p w14:paraId="2E00AC02" w14:textId="77777777" w:rsidR="00931B97" w:rsidRDefault="00931B97" w:rsidP="00A111E9">
      <w:pPr>
        <w:rPr>
          <w:lang w:eastAsia="en-AU" w:bidi="ar-SA"/>
        </w:rPr>
      </w:pPr>
    </w:p>
    <w:p w14:paraId="6AD38963" w14:textId="37659ADF" w:rsidR="00931B97" w:rsidRDefault="00931B97" w:rsidP="00A111E9">
      <w:pPr>
        <w:rPr>
          <w:lang w:eastAsia="en-AU" w:bidi="ar-SA"/>
        </w:rPr>
      </w:pPr>
      <w:r>
        <w:rPr>
          <w:lang w:eastAsia="en-AU" w:bidi="ar-SA"/>
        </w:rPr>
        <w:t xml:space="preserve">The highest PFHxS concentrations were seen in the serum, followed by the liver and then kidneys. By </w:t>
      </w:r>
      <w:r w:rsidR="00185513">
        <w:rPr>
          <w:lang w:eastAsia="en-AU" w:bidi="ar-SA"/>
        </w:rPr>
        <w:t>d</w:t>
      </w:r>
      <w:r>
        <w:rPr>
          <w:lang w:eastAsia="en-AU" w:bidi="ar-SA"/>
        </w:rPr>
        <w:t xml:space="preserve">ay 162 PFHxS levels in these tissues were </w:t>
      </w:r>
      <w:r w:rsidR="00923DBA">
        <w:rPr>
          <w:lang w:eastAsia="en-AU" w:bidi="ar-SA"/>
        </w:rPr>
        <w:t>comparable to pre</w:t>
      </w:r>
      <w:r w:rsidR="00CC26CA">
        <w:rPr>
          <w:lang w:eastAsia="en-AU" w:bidi="ar-SA"/>
        </w:rPr>
        <w:t>dose</w:t>
      </w:r>
      <w:r w:rsidR="00923DBA">
        <w:rPr>
          <w:lang w:eastAsia="en-AU" w:bidi="ar-SA"/>
        </w:rPr>
        <w:t xml:space="preserve"> levels.</w:t>
      </w:r>
      <w:r>
        <w:rPr>
          <w:lang w:eastAsia="en-AU" w:bidi="ar-SA"/>
        </w:rPr>
        <w:t xml:space="preserve"> Serum values for females at 20 mg/kg bw were slightly higher than males at all sampling points up to and including </w:t>
      </w:r>
      <w:r w:rsidR="00185513">
        <w:rPr>
          <w:lang w:eastAsia="en-AU" w:bidi="ar-SA"/>
        </w:rPr>
        <w:t>d</w:t>
      </w:r>
      <w:r>
        <w:rPr>
          <w:lang w:eastAsia="en-AU" w:bidi="ar-SA"/>
        </w:rPr>
        <w:t>ay 64; for all other tissues male and female values were generally similar, within dose level.</w:t>
      </w:r>
    </w:p>
    <w:p w14:paraId="504A91CD" w14:textId="77777777" w:rsidR="00931B97" w:rsidRDefault="00931B97" w:rsidP="00A111E9">
      <w:pPr>
        <w:rPr>
          <w:lang w:eastAsia="en-AU" w:bidi="ar-SA"/>
        </w:rPr>
      </w:pPr>
    </w:p>
    <w:p w14:paraId="57C84275" w14:textId="3996B6A0" w:rsidR="00931B97" w:rsidRDefault="00931B97" w:rsidP="00A111E9">
      <w:pPr>
        <w:rPr>
          <w:lang w:eastAsia="en-AU" w:bidi="ar-SA"/>
        </w:rPr>
      </w:pPr>
      <w:r>
        <w:rPr>
          <w:lang w:eastAsia="en-AU" w:bidi="ar-SA"/>
        </w:rPr>
        <w:t xml:space="preserve">Serum </w:t>
      </w:r>
      <w:r w:rsidR="008169CD">
        <w:rPr>
          <w:lang w:eastAsia="en-AU" w:bidi="ar-SA"/>
        </w:rPr>
        <w:t>t</w:t>
      </w:r>
      <w:r>
        <w:rPr>
          <w:vertAlign w:val="subscript"/>
          <w:lang w:eastAsia="en-AU" w:bidi="ar-SA"/>
        </w:rPr>
        <w:t xml:space="preserve">1/2 </w:t>
      </w:r>
      <w:r>
        <w:rPr>
          <w:lang w:eastAsia="en-AU" w:bidi="ar-SA"/>
        </w:rPr>
        <w:t>values for both sexes and doses were similar (30.50 and 24.82 days at 1 mg/kg</w:t>
      </w:r>
      <w:r w:rsidR="00923DBA">
        <w:rPr>
          <w:lang w:eastAsia="en-AU" w:bidi="ar-SA"/>
        </w:rPr>
        <w:t>,</w:t>
      </w:r>
      <w:r>
        <w:rPr>
          <w:lang w:eastAsia="en-AU" w:bidi="ar-SA"/>
        </w:rPr>
        <w:t xml:space="preserve"> and 27.97 and 26.81 days at 20 mg/kg bw, males and females respectively).</w:t>
      </w:r>
    </w:p>
    <w:p w14:paraId="38AA6C4E" w14:textId="77777777" w:rsidR="00931B97" w:rsidRDefault="00931B97" w:rsidP="00A111E9">
      <w:pPr>
        <w:rPr>
          <w:lang w:eastAsia="en-AU" w:bidi="ar-SA"/>
        </w:rPr>
      </w:pPr>
    </w:p>
    <w:p w14:paraId="7D09B217" w14:textId="4FF31DF9" w:rsidR="00931B97" w:rsidRDefault="00931B97" w:rsidP="00A111E9">
      <w:pPr>
        <w:rPr>
          <w:lang w:eastAsia="en-AU" w:bidi="ar-SA"/>
        </w:rPr>
      </w:pPr>
      <w:r>
        <w:rPr>
          <w:lang w:eastAsia="en-AU" w:bidi="ar-SA"/>
        </w:rPr>
        <w:t xml:space="preserve">PFHxS </w:t>
      </w:r>
      <w:r w:rsidR="00923DBA">
        <w:rPr>
          <w:lang w:eastAsia="en-AU" w:bidi="ar-SA"/>
        </w:rPr>
        <w:t>was excreted mainly</w:t>
      </w:r>
      <w:r>
        <w:rPr>
          <w:lang w:eastAsia="en-AU" w:bidi="ar-SA"/>
        </w:rPr>
        <w:t xml:space="preserve"> in the urine with lesser amounts (no more than 20% of the urine value) recovered in the faeces.</w:t>
      </w:r>
    </w:p>
    <w:p w14:paraId="780220AD" w14:textId="77777777" w:rsidR="00931B97" w:rsidRDefault="00931B97" w:rsidP="00A111E9">
      <w:pPr>
        <w:rPr>
          <w:lang w:eastAsia="en-AU" w:bidi="ar-SA"/>
        </w:rPr>
      </w:pPr>
    </w:p>
    <w:p w14:paraId="04AC8483" w14:textId="3CD1C5CE" w:rsidR="00931B97" w:rsidRDefault="00931B97" w:rsidP="00A111E9">
      <w:pPr>
        <w:rPr>
          <w:lang w:eastAsia="en-AU" w:bidi="ar-SA"/>
        </w:rPr>
      </w:pPr>
      <w:r>
        <w:rPr>
          <w:lang w:eastAsia="en-AU" w:bidi="ar-SA"/>
        </w:rPr>
        <w:t>The Vd values indicate predominantly extracellular distribution.</w:t>
      </w:r>
    </w:p>
    <w:p w14:paraId="69644C36" w14:textId="77777777" w:rsidR="00931B97" w:rsidRDefault="00931B97" w:rsidP="00A111E9">
      <w:pPr>
        <w:rPr>
          <w:lang w:eastAsia="en-AU" w:bidi="ar-SA"/>
        </w:rPr>
      </w:pPr>
    </w:p>
    <w:p w14:paraId="0FBFD7A2" w14:textId="569E3C56" w:rsidR="00931B97" w:rsidRDefault="00931B97" w:rsidP="00A111E9">
      <w:pPr>
        <w:pStyle w:val="FSTableTitle"/>
        <w:rPr>
          <w:lang w:eastAsia="en-AU" w:bidi="ar-SA"/>
        </w:rPr>
      </w:pPr>
      <w:r>
        <w:rPr>
          <w:lang w:eastAsia="en-AU" w:bidi="ar-SA"/>
        </w:rPr>
        <w:t xml:space="preserve">Table </w:t>
      </w:r>
      <w:r w:rsidR="00B246AB">
        <w:rPr>
          <w:lang w:eastAsia="en-AU" w:bidi="ar-SA"/>
        </w:rPr>
        <w:t>A</w:t>
      </w:r>
      <w:r w:rsidR="00707CE3">
        <w:rPr>
          <w:lang w:eastAsia="en-AU" w:bidi="ar-SA"/>
        </w:rPr>
        <w:t>3</w:t>
      </w:r>
      <w:r w:rsidR="006F6E97">
        <w:rPr>
          <w:lang w:eastAsia="en-AU" w:bidi="ar-SA"/>
        </w:rPr>
        <w:t>.1</w:t>
      </w:r>
      <w:r>
        <w:rPr>
          <w:lang w:eastAsia="en-AU" w:bidi="ar-SA"/>
        </w:rPr>
        <w:t>:PFHxS Vd in male and female mice after administration of single oral doses of 1 or 20 mg/kg bw.</w:t>
      </w:r>
    </w:p>
    <w:tbl>
      <w:tblPr>
        <w:tblStyle w:val="TableGrid"/>
        <w:tblW w:w="0" w:type="auto"/>
        <w:jc w:val="center"/>
        <w:tblLook w:val="04A0" w:firstRow="1" w:lastRow="0" w:firstColumn="1" w:lastColumn="0" w:noHBand="0" w:noVBand="1"/>
        <w:tblCaption w:val="Table A3.1:PFHxS Vd in male and female mice after administration of single oral doses of 1 or 20 mg/kg bw."/>
        <w:tblDescription w:val="This tabel contains data relating to PFHxS Vd in male and female mice after administration of single oral doses of 1 or 20 mg/kg bw."/>
      </w:tblPr>
      <w:tblGrid>
        <w:gridCol w:w="1207"/>
        <w:gridCol w:w="1453"/>
        <w:gridCol w:w="1984"/>
        <w:gridCol w:w="1985"/>
      </w:tblGrid>
      <w:tr w:rsidR="00931B97" w14:paraId="03C8C9A6" w14:textId="77777777" w:rsidTr="000830C5">
        <w:trPr>
          <w:trHeight w:val="283"/>
          <w:tblHeader/>
          <w:jc w:val="center"/>
        </w:trPr>
        <w:tc>
          <w:tcPr>
            <w:tcW w:w="1207" w:type="dxa"/>
            <w:shd w:val="clear" w:color="auto" w:fill="F2F2F2" w:themeFill="background1" w:themeFillShade="F2"/>
            <w:vAlign w:val="center"/>
          </w:tcPr>
          <w:p w14:paraId="4DC01973" w14:textId="77777777" w:rsidR="00931B97" w:rsidRPr="000B3C14" w:rsidRDefault="00931B97" w:rsidP="000830C5">
            <w:pPr>
              <w:pStyle w:val="FSTableText"/>
              <w:rPr>
                <w:rFonts w:ascii="Arial" w:hAnsi="Arial"/>
                <w:b/>
                <w:sz w:val="18"/>
                <w:lang w:eastAsia="en-AU"/>
              </w:rPr>
            </w:pPr>
            <w:r w:rsidRPr="00D711DD">
              <w:rPr>
                <w:b/>
                <w:sz w:val="18"/>
                <w:lang w:eastAsia="en-AU"/>
              </w:rPr>
              <w:t>Parameter</w:t>
            </w:r>
          </w:p>
        </w:tc>
        <w:tc>
          <w:tcPr>
            <w:tcW w:w="1453" w:type="dxa"/>
            <w:shd w:val="clear" w:color="auto" w:fill="F2F2F2" w:themeFill="background1" w:themeFillShade="F2"/>
            <w:vAlign w:val="center"/>
          </w:tcPr>
          <w:p w14:paraId="5D9D2213" w14:textId="77777777" w:rsidR="00931B97" w:rsidRPr="00F6284E" w:rsidRDefault="00931B97" w:rsidP="000830C5">
            <w:pPr>
              <w:pStyle w:val="FSTableText"/>
              <w:rPr>
                <w:rFonts w:ascii="Arial" w:hAnsi="Arial"/>
                <w:b/>
                <w:sz w:val="18"/>
                <w:lang w:eastAsia="en-AU"/>
              </w:rPr>
            </w:pPr>
            <w:r w:rsidRPr="00F6284E">
              <w:rPr>
                <w:b/>
                <w:sz w:val="18"/>
                <w:lang w:eastAsia="en-AU"/>
              </w:rPr>
              <w:t>Sex</w:t>
            </w:r>
          </w:p>
        </w:tc>
        <w:tc>
          <w:tcPr>
            <w:tcW w:w="1984" w:type="dxa"/>
            <w:shd w:val="clear" w:color="auto" w:fill="F2F2F2" w:themeFill="background1" w:themeFillShade="F2"/>
            <w:vAlign w:val="center"/>
          </w:tcPr>
          <w:p w14:paraId="70310FD0" w14:textId="77777777" w:rsidR="00931B97" w:rsidRPr="00F6284E" w:rsidRDefault="00931B97" w:rsidP="000830C5">
            <w:pPr>
              <w:pStyle w:val="FSTableText"/>
              <w:jc w:val="right"/>
              <w:rPr>
                <w:rFonts w:ascii="Arial" w:hAnsi="Arial"/>
                <w:b/>
                <w:sz w:val="18"/>
                <w:lang w:eastAsia="en-AU"/>
              </w:rPr>
            </w:pPr>
            <w:r w:rsidRPr="00F6284E">
              <w:rPr>
                <w:b/>
                <w:sz w:val="18"/>
                <w:lang w:eastAsia="en-AU"/>
              </w:rPr>
              <w:t>1 mg/kg bw</w:t>
            </w:r>
          </w:p>
        </w:tc>
        <w:tc>
          <w:tcPr>
            <w:tcW w:w="1985" w:type="dxa"/>
            <w:shd w:val="clear" w:color="auto" w:fill="F2F2F2" w:themeFill="background1" w:themeFillShade="F2"/>
            <w:vAlign w:val="center"/>
          </w:tcPr>
          <w:p w14:paraId="25388165" w14:textId="77777777" w:rsidR="00931B97" w:rsidRPr="00F6284E" w:rsidRDefault="00931B97" w:rsidP="000830C5">
            <w:pPr>
              <w:pStyle w:val="FSTableText"/>
              <w:jc w:val="right"/>
              <w:rPr>
                <w:rFonts w:ascii="Arial" w:hAnsi="Arial"/>
                <w:b/>
                <w:sz w:val="18"/>
                <w:lang w:eastAsia="en-AU"/>
              </w:rPr>
            </w:pPr>
            <w:r w:rsidRPr="00F6284E">
              <w:rPr>
                <w:b/>
                <w:sz w:val="18"/>
                <w:lang w:eastAsia="en-AU"/>
              </w:rPr>
              <w:t>20 mg/kg bw</w:t>
            </w:r>
          </w:p>
        </w:tc>
      </w:tr>
      <w:tr w:rsidR="00931B97" w14:paraId="4BCDCFBF" w14:textId="77777777" w:rsidTr="000830C5">
        <w:trPr>
          <w:trHeight w:val="283"/>
          <w:jc w:val="center"/>
        </w:trPr>
        <w:tc>
          <w:tcPr>
            <w:tcW w:w="1207" w:type="dxa"/>
            <w:vAlign w:val="center"/>
          </w:tcPr>
          <w:p w14:paraId="48ECA37F" w14:textId="77777777" w:rsidR="00931B97" w:rsidRPr="000B3C14" w:rsidRDefault="00931B97" w:rsidP="000830C5">
            <w:pPr>
              <w:pStyle w:val="FSTableText"/>
              <w:rPr>
                <w:rFonts w:ascii="Arial" w:hAnsi="Arial"/>
                <w:sz w:val="18"/>
                <w:lang w:eastAsia="en-AU"/>
              </w:rPr>
            </w:pPr>
            <w:r w:rsidRPr="00D711DD">
              <w:rPr>
                <w:sz w:val="18"/>
                <w:lang w:eastAsia="en-AU"/>
              </w:rPr>
              <w:t>Vd (mL/kg)</w:t>
            </w:r>
          </w:p>
        </w:tc>
        <w:tc>
          <w:tcPr>
            <w:tcW w:w="1453" w:type="dxa"/>
            <w:vAlign w:val="center"/>
          </w:tcPr>
          <w:p w14:paraId="39490FD6" w14:textId="77777777" w:rsidR="00931B97" w:rsidRPr="00F6284E" w:rsidRDefault="00931B97" w:rsidP="000830C5">
            <w:pPr>
              <w:pStyle w:val="FSTableText"/>
              <w:rPr>
                <w:rFonts w:ascii="Arial" w:hAnsi="Arial"/>
                <w:sz w:val="18"/>
                <w:lang w:eastAsia="en-AU"/>
              </w:rPr>
            </w:pPr>
            <w:r w:rsidRPr="00F6284E">
              <w:rPr>
                <w:sz w:val="18"/>
                <w:lang w:eastAsia="en-AU"/>
              </w:rPr>
              <w:t>Male</w:t>
            </w:r>
          </w:p>
        </w:tc>
        <w:tc>
          <w:tcPr>
            <w:tcW w:w="1984" w:type="dxa"/>
            <w:vAlign w:val="center"/>
          </w:tcPr>
          <w:p w14:paraId="42F15045" w14:textId="77777777" w:rsidR="00931B97" w:rsidRPr="00F6284E" w:rsidRDefault="00931B97" w:rsidP="000830C5">
            <w:pPr>
              <w:pStyle w:val="FSTableText"/>
              <w:jc w:val="right"/>
              <w:rPr>
                <w:rFonts w:ascii="Arial" w:hAnsi="Arial"/>
                <w:sz w:val="18"/>
                <w:lang w:eastAsia="en-AU"/>
              </w:rPr>
            </w:pPr>
            <w:r w:rsidRPr="00F6284E">
              <w:rPr>
                <w:sz w:val="18"/>
                <w:lang w:eastAsia="en-AU"/>
              </w:rPr>
              <w:t>129</w:t>
            </w:r>
          </w:p>
        </w:tc>
        <w:tc>
          <w:tcPr>
            <w:tcW w:w="1985" w:type="dxa"/>
            <w:vAlign w:val="center"/>
          </w:tcPr>
          <w:p w14:paraId="3EA14481" w14:textId="77777777" w:rsidR="00931B97" w:rsidRPr="00F6284E" w:rsidRDefault="00931B97" w:rsidP="000830C5">
            <w:pPr>
              <w:pStyle w:val="FSTableText"/>
              <w:jc w:val="right"/>
              <w:rPr>
                <w:rFonts w:ascii="Arial" w:hAnsi="Arial"/>
                <w:sz w:val="18"/>
                <w:lang w:eastAsia="en-AU"/>
              </w:rPr>
            </w:pPr>
            <w:r w:rsidRPr="00F6284E">
              <w:rPr>
                <w:sz w:val="18"/>
                <w:lang w:eastAsia="en-AU"/>
              </w:rPr>
              <w:t>195</w:t>
            </w:r>
          </w:p>
        </w:tc>
      </w:tr>
      <w:tr w:rsidR="00931B97" w14:paraId="7ABAE650" w14:textId="77777777" w:rsidTr="000830C5">
        <w:trPr>
          <w:trHeight w:val="283"/>
          <w:jc w:val="center"/>
        </w:trPr>
        <w:tc>
          <w:tcPr>
            <w:tcW w:w="1207" w:type="dxa"/>
            <w:vAlign w:val="center"/>
          </w:tcPr>
          <w:p w14:paraId="31A7A5C8" w14:textId="77777777" w:rsidR="00931B97" w:rsidRPr="00F6284E" w:rsidRDefault="00931B97" w:rsidP="000830C5">
            <w:pPr>
              <w:pStyle w:val="FSTableText"/>
              <w:rPr>
                <w:rFonts w:ascii="Arial" w:hAnsi="Arial"/>
                <w:sz w:val="18"/>
                <w:lang w:eastAsia="en-AU"/>
              </w:rPr>
            </w:pPr>
            <w:r w:rsidRPr="00D711DD">
              <w:rPr>
                <w:sz w:val="18"/>
                <w:lang w:eastAsia="en-AU"/>
              </w:rPr>
              <w:t>Vd (mL/kg)</w:t>
            </w:r>
          </w:p>
        </w:tc>
        <w:tc>
          <w:tcPr>
            <w:tcW w:w="1453" w:type="dxa"/>
            <w:vAlign w:val="center"/>
          </w:tcPr>
          <w:p w14:paraId="078FC9DE" w14:textId="77777777" w:rsidR="00931B97" w:rsidRPr="00F6284E" w:rsidRDefault="00931B97" w:rsidP="000830C5">
            <w:pPr>
              <w:pStyle w:val="FSTableText"/>
              <w:rPr>
                <w:rFonts w:ascii="Arial" w:hAnsi="Arial"/>
                <w:sz w:val="18"/>
                <w:lang w:eastAsia="en-AU"/>
              </w:rPr>
            </w:pPr>
            <w:r w:rsidRPr="00F6284E">
              <w:rPr>
                <w:sz w:val="18"/>
                <w:lang w:eastAsia="en-AU"/>
              </w:rPr>
              <w:t>Female</w:t>
            </w:r>
          </w:p>
        </w:tc>
        <w:tc>
          <w:tcPr>
            <w:tcW w:w="1984" w:type="dxa"/>
            <w:vAlign w:val="center"/>
          </w:tcPr>
          <w:p w14:paraId="324005D1" w14:textId="77777777" w:rsidR="00931B97" w:rsidRPr="00F6284E" w:rsidRDefault="00931B97" w:rsidP="000830C5">
            <w:pPr>
              <w:pStyle w:val="FSTableText"/>
              <w:jc w:val="right"/>
              <w:rPr>
                <w:rFonts w:ascii="Arial" w:hAnsi="Arial"/>
                <w:sz w:val="18"/>
                <w:lang w:eastAsia="en-AU"/>
              </w:rPr>
            </w:pPr>
            <w:r w:rsidRPr="00F6284E">
              <w:rPr>
                <w:sz w:val="18"/>
                <w:lang w:eastAsia="en-AU"/>
              </w:rPr>
              <w:t>96</w:t>
            </w:r>
          </w:p>
        </w:tc>
        <w:tc>
          <w:tcPr>
            <w:tcW w:w="1985" w:type="dxa"/>
            <w:vAlign w:val="center"/>
          </w:tcPr>
          <w:p w14:paraId="5D2BF74B" w14:textId="77777777" w:rsidR="00931B97" w:rsidRPr="00F6284E" w:rsidRDefault="00931B97" w:rsidP="000830C5">
            <w:pPr>
              <w:pStyle w:val="FSTableText"/>
              <w:jc w:val="right"/>
              <w:rPr>
                <w:rFonts w:ascii="Arial" w:hAnsi="Arial"/>
                <w:sz w:val="18"/>
                <w:lang w:eastAsia="en-AU"/>
              </w:rPr>
            </w:pPr>
            <w:r w:rsidRPr="00F6284E">
              <w:rPr>
                <w:sz w:val="18"/>
                <w:lang w:eastAsia="en-AU"/>
              </w:rPr>
              <w:t>147</w:t>
            </w:r>
          </w:p>
        </w:tc>
      </w:tr>
    </w:tbl>
    <w:p w14:paraId="6F2284BE" w14:textId="6AB14D4B" w:rsidR="00931B97" w:rsidRPr="006F6E97" w:rsidRDefault="00931B97" w:rsidP="000830C5">
      <w:pPr>
        <w:spacing w:before="120"/>
        <w:rPr>
          <w:sz w:val="16"/>
          <w:szCs w:val="16"/>
          <w:lang w:eastAsia="en-AU" w:bidi="ar-SA"/>
        </w:rPr>
      </w:pPr>
      <w:r w:rsidRPr="006F6E97">
        <w:rPr>
          <w:sz w:val="16"/>
          <w:szCs w:val="16"/>
          <w:lang w:eastAsia="en-AU" w:bidi="ar-SA"/>
        </w:rPr>
        <w:t>Data taken from Sundstr</w:t>
      </w:r>
      <w:r w:rsidRPr="006F6E97">
        <w:rPr>
          <w:rFonts w:cs="Arial"/>
          <w:sz w:val="16"/>
          <w:szCs w:val="16"/>
          <w:lang w:eastAsia="en-AU" w:bidi="ar-SA"/>
        </w:rPr>
        <w:t>ö</w:t>
      </w:r>
      <w:r w:rsidRPr="006F6E97">
        <w:rPr>
          <w:sz w:val="16"/>
          <w:szCs w:val="16"/>
          <w:lang w:eastAsia="en-AU" w:bidi="ar-SA"/>
        </w:rPr>
        <w:t xml:space="preserve">m </w:t>
      </w:r>
      <w:r w:rsidR="00180A32" w:rsidRPr="00180A32">
        <w:rPr>
          <w:i/>
          <w:sz w:val="16"/>
          <w:szCs w:val="16"/>
          <w:lang w:eastAsia="en-AU" w:bidi="ar-SA"/>
        </w:rPr>
        <w:t xml:space="preserve">et al. </w:t>
      </w:r>
      <w:r w:rsidR="002A12A9">
        <w:rPr>
          <w:i/>
          <w:sz w:val="16"/>
          <w:szCs w:val="16"/>
          <w:lang w:eastAsia="en-AU" w:bidi="ar-SA"/>
        </w:rPr>
        <w:t xml:space="preserve"> </w:t>
      </w:r>
      <w:r w:rsidRPr="006F6E97">
        <w:rPr>
          <w:sz w:val="16"/>
          <w:szCs w:val="16"/>
          <w:lang w:eastAsia="en-AU" w:bidi="ar-SA"/>
        </w:rPr>
        <w:t>(2012)</w:t>
      </w:r>
    </w:p>
    <w:p w14:paraId="5A931CDA" w14:textId="377F37E5" w:rsidR="00931B97" w:rsidRPr="00B246AB" w:rsidRDefault="00931B97" w:rsidP="004264B6">
      <w:pPr>
        <w:pStyle w:val="Heading4"/>
      </w:pPr>
      <w:r w:rsidRPr="00B246AB">
        <w:t>R</w:t>
      </w:r>
      <w:r w:rsidR="00DE222C">
        <w:t>a</w:t>
      </w:r>
      <w:r w:rsidRPr="00B246AB">
        <w:t>ts</w:t>
      </w:r>
    </w:p>
    <w:p w14:paraId="59AD9600" w14:textId="15512A16" w:rsidR="00931B97" w:rsidRDefault="00931B97" w:rsidP="00A111E9">
      <w:pPr>
        <w:rPr>
          <w:lang w:eastAsia="en-AU" w:bidi="ar-SA"/>
        </w:rPr>
      </w:pPr>
      <w:r>
        <w:rPr>
          <w:lang w:eastAsia="en-AU" w:bidi="ar-SA"/>
        </w:rPr>
        <w:t>Male and female Sprague</w:t>
      </w:r>
      <w:r w:rsidR="00032CF6">
        <w:rPr>
          <w:lang w:eastAsia="en-AU" w:bidi="ar-SA"/>
        </w:rPr>
        <w:t xml:space="preserve"> </w:t>
      </w:r>
      <w:r>
        <w:rPr>
          <w:lang w:eastAsia="en-AU" w:bidi="ar-SA"/>
        </w:rPr>
        <w:t>Dawley rats</w:t>
      </w:r>
      <w:r w:rsidR="00923DBA">
        <w:rPr>
          <w:lang w:eastAsia="en-AU" w:bidi="ar-SA"/>
        </w:rPr>
        <w:t>,</w:t>
      </w:r>
      <w:r>
        <w:rPr>
          <w:lang w:eastAsia="en-AU" w:bidi="ar-SA"/>
        </w:rPr>
        <w:t xml:space="preserve"> at least 8-10 weeks old</w:t>
      </w:r>
      <w:r w:rsidR="00923DBA">
        <w:rPr>
          <w:lang w:eastAsia="en-AU" w:bidi="ar-SA"/>
        </w:rPr>
        <w:t>,</w:t>
      </w:r>
      <w:r>
        <w:rPr>
          <w:lang w:eastAsia="en-AU" w:bidi="ar-SA"/>
        </w:rPr>
        <w:t xml:space="preserve"> were given a single oral gavage dose of either 1, 10 or 100 mg K</w:t>
      </w:r>
      <w:r>
        <w:rPr>
          <w:vertAlign w:val="superscript"/>
          <w:lang w:eastAsia="en-AU" w:bidi="ar-SA"/>
        </w:rPr>
        <w:t>+</w:t>
      </w:r>
      <w:r>
        <w:rPr>
          <w:lang w:eastAsia="en-AU" w:bidi="ar-SA"/>
        </w:rPr>
        <w:t>PFHxS/kg bw (N=4/sex/group). Urine and faeces samples were collected for up to 96 hours. Approximately 96 hours post</w:t>
      </w:r>
      <w:r w:rsidR="000203C4">
        <w:rPr>
          <w:lang w:eastAsia="en-AU" w:bidi="ar-SA"/>
        </w:rPr>
        <w:t>dose</w:t>
      </w:r>
      <w:r>
        <w:rPr>
          <w:lang w:eastAsia="en-AU" w:bidi="ar-SA"/>
        </w:rPr>
        <w:t xml:space="preserve"> the rats were euthani</w:t>
      </w:r>
      <w:r w:rsidR="001B6877">
        <w:rPr>
          <w:lang w:eastAsia="en-AU" w:bidi="ar-SA"/>
        </w:rPr>
        <w:t>s</w:t>
      </w:r>
      <w:r>
        <w:rPr>
          <w:lang w:eastAsia="en-AU" w:bidi="ar-SA"/>
        </w:rPr>
        <w:t>ed, blood was collected and serum prepared, and liver samples (region not specified) were harvested. All samples were frozen with liquid nitrogen and stored at -80</w:t>
      </w:r>
      <w:r>
        <w:rPr>
          <w:vertAlign w:val="superscript"/>
          <w:lang w:eastAsia="en-AU" w:bidi="ar-SA"/>
        </w:rPr>
        <w:t>0</w:t>
      </w:r>
      <w:r>
        <w:rPr>
          <w:lang w:eastAsia="en-AU" w:bidi="ar-SA"/>
        </w:rPr>
        <w:t>C until analysis</w:t>
      </w:r>
      <w:r w:rsidR="00156ADD">
        <w:rPr>
          <w:lang w:eastAsia="en-AU" w:bidi="ar-SA"/>
        </w:rPr>
        <w:t>.</w:t>
      </w:r>
    </w:p>
    <w:p w14:paraId="7360664C" w14:textId="77777777" w:rsidR="00931B97" w:rsidRDefault="00931B97" w:rsidP="00A111E9">
      <w:pPr>
        <w:rPr>
          <w:lang w:eastAsia="en-AU" w:bidi="ar-SA"/>
        </w:rPr>
      </w:pPr>
    </w:p>
    <w:p w14:paraId="54416BD1" w14:textId="4ECF26E7" w:rsidR="00931B97" w:rsidRDefault="00931B97" w:rsidP="00A111E9">
      <w:pPr>
        <w:rPr>
          <w:lang w:eastAsia="en-AU" w:bidi="ar-SA"/>
        </w:rPr>
      </w:pPr>
      <w:r>
        <w:rPr>
          <w:lang w:eastAsia="en-AU" w:bidi="ar-SA"/>
        </w:rPr>
        <w:t xml:space="preserve">After </w:t>
      </w:r>
      <w:r w:rsidR="00923DBA">
        <w:rPr>
          <w:lang w:eastAsia="en-AU" w:bidi="ar-SA"/>
        </w:rPr>
        <w:t xml:space="preserve">approximately </w:t>
      </w:r>
      <w:r>
        <w:rPr>
          <w:lang w:eastAsia="en-AU" w:bidi="ar-SA"/>
        </w:rPr>
        <w:t xml:space="preserve">96 hours, only 50% of the administered dose was recovered in the treated male groups. Recovery varied in </w:t>
      </w:r>
      <w:r w:rsidR="00104C8E">
        <w:rPr>
          <w:lang w:eastAsia="en-AU" w:bidi="ar-SA"/>
        </w:rPr>
        <w:t>females from</w:t>
      </w:r>
      <w:r>
        <w:rPr>
          <w:lang w:eastAsia="en-AU" w:bidi="ar-SA"/>
        </w:rPr>
        <w:t xml:space="preserve"> approximately 34-40% without clear relation to dose. Serum concentrations ranged from 4.7 to 194.6 µg/mL for males and 1.9 to 26.2 </w:t>
      </w:r>
      <w:r w:rsidRPr="00B602BE">
        <w:rPr>
          <w:lang w:eastAsia="en-AU" w:bidi="ar-SA"/>
        </w:rPr>
        <w:t>µg/</w:t>
      </w:r>
      <w:r>
        <w:rPr>
          <w:lang w:eastAsia="en-AU" w:bidi="ar-SA"/>
        </w:rPr>
        <w:t xml:space="preserve">mL in females. Concentrations of PFHxS in the liver ranged from </w:t>
      </w:r>
      <w:r w:rsidRPr="00B602BE">
        <w:rPr>
          <w:lang w:eastAsia="en-AU" w:bidi="ar-SA"/>
        </w:rPr>
        <w:t>5.</w:t>
      </w:r>
      <w:r>
        <w:rPr>
          <w:lang w:eastAsia="en-AU" w:bidi="ar-SA"/>
        </w:rPr>
        <w:t xml:space="preserve">6 to </w:t>
      </w:r>
      <w:r w:rsidRPr="00B602BE">
        <w:rPr>
          <w:lang w:eastAsia="en-AU" w:bidi="ar-SA"/>
        </w:rPr>
        <w:t>118.1</w:t>
      </w:r>
      <w:r w:rsidR="00923DBA">
        <w:rPr>
          <w:lang w:eastAsia="en-AU" w:bidi="ar-SA"/>
        </w:rPr>
        <w:t xml:space="preserve"> </w:t>
      </w:r>
      <w:r w:rsidR="00923DBA" w:rsidRPr="00923DBA">
        <w:rPr>
          <w:lang w:eastAsia="en-AU" w:bidi="ar-SA"/>
        </w:rPr>
        <w:t xml:space="preserve">µg/g </w:t>
      </w:r>
      <w:r>
        <w:rPr>
          <w:lang w:eastAsia="en-AU" w:bidi="ar-SA"/>
        </w:rPr>
        <w:t xml:space="preserve">for males and </w:t>
      </w:r>
      <w:r w:rsidRPr="00B602BE">
        <w:rPr>
          <w:lang w:eastAsia="en-AU" w:bidi="ar-SA"/>
        </w:rPr>
        <w:t>0.45</w:t>
      </w:r>
      <w:r>
        <w:rPr>
          <w:lang w:eastAsia="en-AU" w:bidi="ar-SA"/>
        </w:rPr>
        <w:t xml:space="preserve"> to </w:t>
      </w:r>
      <w:r w:rsidRPr="00B602BE">
        <w:rPr>
          <w:lang w:eastAsia="en-AU" w:bidi="ar-SA"/>
        </w:rPr>
        <w:t>5.70</w:t>
      </w:r>
      <w:r>
        <w:rPr>
          <w:lang w:eastAsia="en-AU" w:bidi="ar-SA"/>
        </w:rPr>
        <w:t xml:space="preserve"> </w:t>
      </w:r>
      <w:r w:rsidRPr="00B602BE">
        <w:rPr>
          <w:lang w:eastAsia="en-AU" w:bidi="ar-SA"/>
        </w:rPr>
        <w:t>µg/g</w:t>
      </w:r>
      <w:r>
        <w:rPr>
          <w:lang w:eastAsia="en-AU" w:bidi="ar-SA"/>
        </w:rPr>
        <w:t xml:space="preserve"> for males. PFHxS was primarily excreted in the urine. Recovery in the carcass was not further assessed.</w:t>
      </w:r>
    </w:p>
    <w:p w14:paraId="6CD214A7" w14:textId="77777777" w:rsidR="00931B97" w:rsidRDefault="00931B97" w:rsidP="00A111E9">
      <w:pPr>
        <w:rPr>
          <w:lang w:eastAsia="en-AU" w:bidi="ar-SA"/>
        </w:rPr>
      </w:pPr>
    </w:p>
    <w:p w14:paraId="113C4E56" w14:textId="7C144D3F" w:rsidR="00931B97" w:rsidRDefault="00931B97" w:rsidP="00A111E9">
      <w:pPr>
        <w:pStyle w:val="FSTableTitle"/>
        <w:rPr>
          <w:lang w:eastAsia="en-AU" w:bidi="ar-SA"/>
        </w:rPr>
      </w:pPr>
      <w:r>
        <w:rPr>
          <w:lang w:eastAsia="en-AU" w:bidi="ar-SA"/>
        </w:rPr>
        <w:lastRenderedPageBreak/>
        <w:t xml:space="preserve">Table </w:t>
      </w:r>
      <w:r w:rsidR="00B246AB">
        <w:rPr>
          <w:lang w:eastAsia="en-AU" w:bidi="ar-SA"/>
        </w:rPr>
        <w:t>A</w:t>
      </w:r>
      <w:r w:rsidR="00707CE3">
        <w:rPr>
          <w:lang w:eastAsia="en-AU" w:bidi="ar-SA"/>
        </w:rPr>
        <w:t>3</w:t>
      </w:r>
      <w:r w:rsidR="006F6E97">
        <w:rPr>
          <w:lang w:eastAsia="en-AU" w:bidi="ar-SA"/>
        </w:rPr>
        <w:t>.</w:t>
      </w:r>
      <w:r w:rsidR="00B246AB">
        <w:rPr>
          <w:lang w:eastAsia="en-AU" w:bidi="ar-SA"/>
        </w:rPr>
        <w:t>2:</w:t>
      </w:r>
      <w:r>
        <w:rPr>
          <w:lang w:eastAsia="en-AU" w:bidi="ar-SA"/>
        </w:rPr>
        <w:t xml:space="preserve"> PFHxS concentrations in serum, liver, urine and faeces 96 h after administration of single oral doses of 1, 10 and 100 mg/kg bw.</w:t>
      </w:r>
    </w:p>
    <w:tbl>
      <w:tblPr>
        <w:tblStyle w:val="TableGrid"/>
        <w:tblW w:w="0" w:type="auto"/>
        <w:jc w:val="center"/>
        <w:tblLayout w:type="fixed"/>
        <w:tblLook w:val="04A0" w:firstRow="1" w:lastRow="0" w:firstColumn="1" w:lastColumn="0" w:noHBand="0" w:noVBand="1"/>
        <w:tblCaption w:val="Table A3.2: PFHxS concentrations in serum, liver, urine and faeces 96 h after administration of single oral doses of 1, 10 and 100 mg/kg bw."/>
        <w:tblDescription w:val="This table contains data relating to PFHxS concentrations in serum, liver, urine and faeces 96 h after administration of single oral doses of 1, 10 and 100 mg/kg bw."/>
      </w:tblPr>
      <w:tblGrid>
        <w:gridCol w:w="1785"/>
        <w:gridCol w:w="1803"/>
        <w:gridCol w:w="1804"/>
        <w:gridCol w:w="1804"/>
      </w:tblGrid>
      <w:tr w:rsidR="00931B97" w14:paraId="45AA5C1C" w14:textId="77777777" w:rsidTr="0008049A">
        <w:trPr>
          <w:tblHeader/>
          <w:jc w:val="center"/>
        </w:trPr>
        <w:tc>
          <w:tcPr>
            <w:tcW w:w="7196" w:type="dxa"/>
            <w:gridSpan w:val="4"/>
            <w:shd w:val="clear" w:color="auto" w:fill="F2F2F2" w:themeFill="background1" w:themeFillShade="F2"/>
          </w:tcPr>
          <w:p w14:paraId="7F93016B" w14:textId="28FA1A2E" w:rsidR="00931B97" w:rsidRDefault="00931B97" w:rsidP="00486B54">
            <w:pPr>
              <w:pStyle w:val="FSTableHeading"/>
              <w:spacing w:before="60" w:after="60"/>
              <w:jc w:val="left"/>
              <w:rPr>
                <w:lang w:eastAsia="en-AU" w:bidi="ar-SA"/>
              </w:rPr>
            </w:pPr>
            <w:r>
              <w:rPr>
                <w:lang w:eastAsia="en-AU" w:bidi="ar-SA"/>
              </w:rPr>
              <w:t xml:space="preserve">Association </w:t>
            </w:r>
            <w:r w:rsidR="00486B54">
              <w:rPr>
                <w:lang w:eastAsia="en-AU" w:bidi="ar-SA"/>
              </w:rPr>
              <w:t xml:space="preserve">between dose level </w:t>
            </w:r>
            <w:r>
              <w:rPr>
                <w:lang w:eastAsia="en-AU" w:bidi="ar-SA"/>
              </w:rPr>
              <w:t xml:space="preserve">and </w:t>
            </w:r>
            <w:r w:rsidR="00CC26CA">
              <w:rPr>
                <w:lang w:eastAsia="en-AU" w:bidi="ar-SA"/>
              </w:rPr>
              <w:t>per cent</w:t>
            </w:r>
            <w:r>
              <w:rPr>
                <w:lang w:eastAsia="en-AU" w:bidi="ar-SA"/>
              </w:rPr>
              <w:t xml:space="preserve"> </w:t>
            </w:r>
            <w:r w:rsidR="00486B54">
              <w:rPr>
                <w:lang w:eastAsia="en-AU" w:bidi="ar-SA"/>
              </w:rPr>
              <w:t xml:space="preserve">dose </w:t>
            </w:r>
            <w:r>
              <w:rPr>
                <w:lang w:eastAsia="en-AU" w:bidi="ar-SA"/>
              </w:rPr>
              <w:t xml:space="preserve">in </w:t>
            </w:r>
            <w:r w:rsidR="00486B54">
              <w:rPr>
                <w:lang w:eastAsia="en-AU" w:bidi="ar-SA"/>
              </w:rPr>
              <w:t>serum</w:t>
            </w:r>
            <w:r>
              <w:rPr>
                <w:lang w:eastAsia="en-AU" w:bidi="ar-SA"/>
              </w:rPr>
              <w:t xml:space="preserve">, </w:t>
            </w:r>
            <w:r w:rsidR="00486B54">
              <w:rPr>
                <w:lang w:eastAsia="en-AU" w:bidi="ar-SA"/>
              </w:rPr>
              <w:t>liver</w:t>
            </w:r>
            <w:r>
              <w:rPr>
                <w:lang w:eastAsia="en-AU" w:bidi="ar-SA"/>
              </w:rPr>
              <w:t xml:space="preserve">, </w:t>
            </w:r>
            <w:r w:rsidR="00486B54">
              <w:rPr>
                <w:lang w:eastAsia="en-AU" w:bidi="ar-SA"/>
              </w:rPr>
              <w:t xml:space="preserve">urine </w:t>
            </w:r>
            <w:r>
              <w:rPr>
                <w:lang w:eastAsia="en-AU" w:bidi="ar-SA"/>
              </w:rPr>
              <w:t xml:space="preserve">and </w:t>
            </w:r>
            <w:r w:rsidR="00486B54">
              <w:rPr>
                <w:lang w:eastAsia="en-AU" w:bidi="ar-SA"/>
              </w:rPr>
              <w:t xml:space="preserve">faeces </w:t>
            </w:r>
            <w:r>
              <w:rPr>
                <w:lang w:eastAsia="en-AU" w:bidi="ar-SA"/>
              </w:rPr>
              <w:t xml:space="preserve">After a </w:t>
            </w:r>
            <w:r w:rsidR="00486B54">
              <w:rPr>
                <w:lang w:eastAsia="en-AU" w:bidi="ar-SA"/>
              </w:rPr>
              <w:t xml:space="preserve">single administration </w:t>
            </w:r>
          </w:p>
        </w:tc>
      </w:tr>
      <w:tr w:rsidR="00931B97" w14:paraId="21436701" w14:textId="77777777" w:rsidTr="0008049A">
        <w:trPr>
          <w:trHeight w:val="312"/>
          <w:tblHeader/>
          <w:jc w:val="center"/>
        </w:trPr>
        <w:tc>
          <w:tcPr>
            <w:tcW w:w="1785" w:type="dxa"/>
            <w:shd w:val="clear" w:color="auto" w:fill="F2F2F2" w:themeFill="background1" w:themeFillShade="F2"/>
          </w:tcPr>
          <w:p w14:paraId="339C69C7" w14:textId="77777777" w:rsidR="00931B97" w:rsidRPr="00D711DD" w:rsidRDefault="00931B97" w:rsidP="00A111E9">
            <w:pPr>
              <w:spacing w:before="40" w:after="40"/>
              <w:rPr>
                <w:rFonts w:ascii="Arial" w:hAnsi="Arial"/>
                <w:sz w:val="18"/>
                <w:lang w:eastAsia="en-AU"/>
              </w:rPr>
            </w:pPr>
          </w:p>
        </w:tc>
        <w:tc>
          <w:tcPr>
            <w:tcW w:w="5411" w:type="dxa"/>
            <w:gridSpan w:val="3"/>
            <w:shd w:val="clear" w:color="auto" w:fill="F2F2F2" w:themeFill="background1" w:themeFillShade="F2"/>
          </w:tcPr>
          <w:p w14:paraId="1292B556" w14:textId="01E88405" w:rsidR="00931B97" w:rsidRPr="00F6284E" w:rsidRDefault="00931B97" w:rsidP="00647943">
            <w:pPr>
              <w:tabs>
                <w:tab w:val="center" w:pos="3374"/>
                <w:tab w:val="right" w:pos="6749"/>
              </w:tabs>
              <w:spacing w:before="40" w:after="40"/>
              <w:jc w:val="center"/>
              <w:rPr>
                <w:rFonts w:ascii="Arial" w:hAnsi="Arial"/>
                <w:b/>
                <w:sz w:val="18"/>
                <w:lang w:eastAsia="en-AU"/>
              </w:rPr>
            </w:pPr>
            <w:r w:rsidRPr="000B3C14">
              <w:rPr>
                <w:b/>
                <w:sz w:val="18"/>
                <w:lang w:eastAsia="en-AU"/>
              </w:rPr>
              <w:t>Dose level (mg/kg bw)</w:t>
            </w:r>
          </w:p>
        </w:tc>
      </w:tr>
      <w:tr w:rsidR="00931B97" w14:paraId="25AC9B44" w14:textId="77777777" w:rsidTr="0008049A">
        <w:trPr>
          <w:trHeight w:val="312"/>
          <w:tblHeader/>
          <w:jc w:val="center"/>
        </w:trPr>
        <w:tc>
          <w:tcPr>
            <w:tcW w:w="1785" w:type="dxa"/>
            <w:shd w:val="clear" w:color="auto" w:fill="F2F2F2" w:themeFill="background1" w:themeFillShade="F2"/>
          </w:tcPr>
          <w:p w14:paraId="31D36522" w14:textId="77777777" w:rsidR="00931B97" w:rsidRPr="00D711DD" w:rsidRDefault="00931B97" w:rsidP="00A111E9">
            <w:pPr>
              <w:spacing w:before="40" w:after="40"/>
              <w:rPr>
                <w:rFonts w:ascii="Arial" w:hAnsi="Arial"/>
                <w:sz w:val="18"/>
                <w:lang w:eastAsia="en-AU"/>
              </w:rPr>
            </w:pPr>
          </w:p>
        </w:tc>
        <w:tc>
          <w:tcPr>
            <w:tcW w:w="1803" w:type="dxa"/>
            <w:shd w:val="clear" w:color="auto" w:fill="F2F2F2" w:themeFill="background1" w:themeFillShade="F2"/>
          </w:tcPr>
          <w:p w14:paraId="15DBA60A" w14:textId="77777777" w:rsidR="00931B97" w:rsidRPr="00F6284E" w:rsidRDefault="00931B97" w:rsidP="00647943">
            <w:pPr>
              <w:spacing w:before="40" w:after="40"/>
              <w:jc w:val="right"/>
              <w:rPr>
                <w:rFonts w:ascii="Arial" w:hAnsi="Arial"/>
                <w:b/>
                <w:sz w:val="18"/>
                <w:lang w:eastAsia="en-AU"/>
              </w:rPr>
            </w:pPr>
            <w:r w:rsidRPr="000B3C14">
              <w:rPr>
                <w:b/>
                <w:sz w:val="18"/>
                <w:lang w:eastAsia="en-AU"/>
              </w:rPr>
              <w:t>1</w:t>
            </w:r>
          </w:p>
        </w:tc>
        <w:tc>
          <w:tcPr>
            <w:tcW w:w="1804" w:type="dxa"/>
            <w:shd w:val="clear" w:color="auto" w:fill="F2F2F2" w:themeFill="background1" w:themeFillShade="F2"/>
          </w:tcPr>
          <w:p w14:paraId="267D9B8F" w14:textId="77777777" w:rsidR="00931B97" w:rsidRPr="00F6284E" w:rsidRDefault="00931B97" w:rsidP="00647943">
            <w:pPr>
              <w:spacing w:before="40" w:after="40"/>
              <w:jc w:val="right"/>
              <w:rPr>
                <w:rFonts w:ascii="Arial" w:hAnsi="Arial"/>
                <w:b/>
                <w:sz w:val="18"/>
                <w:lang w:eastAsia="en-AU"/>
              </w:rPr>
            </w:pPr>
            <w:r w:rsidRPr="00F6284E">
              <w:rPr>
                <w:b/>
                <w:sz w:val="18"/>
                <w:lang w:eastAsia="en-AU"/>
              </w:rPr>
              <w:t>10</w:t>
            </w:r>
          </w:p>
        </w:tc>
        <w:tc>
          <w:tcPr>
            <w:tcW w:w="1804" w:type="dxa"/>
            <w:shd w:val="clear" w:color="auto" w:fill="F2F2F2" w:themeFill="background1" w:themeFillShade="F2"/>
          </w:tcPr>
          <w:p w14:paraId="3BC59331" w14:textId="77777777" w:rsidR="00931B97" w:rsidRPr="00F6284E" w:rsidRDefault="00931B97" w:rsidP="00647943">
            <w:pPr>
              <w:spacing w:before="40" w:after="40"/>
              <w:jc w:val="right"/>
              <w:rPr>
                <w:rFonts w:ascii="Arial" w:hAnsi="Arial"/>
                <w:b/>
                <w:sz w:val="18"/>
                <w:lang w:eastAsia="en-AU"/>
              </w:rPr>
            </w:pPr>
            <w:r w:rsidRPr="00F6284E">
              <w:rPr>
                <w:b/>
                <w:sz w:val="18"/>
                <w:lang w:eastAsia="en-AU"/>
              </w:rPr>
              <w:t>100</w:t>
            </w:r>
          </w:p>
        </w:tc>
      </w:tr>
      <w:tr w:rsidR="00D47DE0" w14:paraId="47B0E606" w14:textId="77777777" w:rsidTr="00F6284E">
        <w:trPr>
          <w:trHeight w:val="312"/>
          <w:jc w:val="center"/>
        </w:trPr>
        <w:tc>
          <w:tcPr>
            <w:tcW w:w="7196" w:type="dxa"/>
            <w:gridSpan w:val="4"/>
            <w:shd w:val="clear" w:color="auto" w:fill="F2F2F2" w:themeFill="background1" w:themeFillShade="F2"/>
            <w:vAlign w:val="center"/>
          </w:tcPr>
          <w:p w14:paraId="02245A82" w14:textId="4E98AE50" w:rsidR="00D47DE0" w:rsidRPr="000B3C14" w:rsidRDefault="00D47DE0" w:rsidP="00647943">
            <w:pPr>
              <w:rPr>
                <w:rFonts w:ascii="Arial" w:hAnsi="Arial"/>
                <w:sz w:val="18"/>
                <w:lang w:eastAsia="en-AU"/>
              </w:rPr>
            </w:pPr>
            <w:r w:rsidRPr="00D711DD">
              <w:rPr>
                <w:b/>
                <w:sz w:val="18"/>
                <w:lang w:eastAsia="en-AU"/>
              </w:rPr>
              <w:t>Males</w:t>
            </w:r>
          </w:p>
        </w:tc>
      </w:tr>
      <w:tr w:rsidR="00931B97" w14:paraId="1858E854" w14:textId="77777777" w:rsidTr="00F6284E">
        <w:trPr>
          <w:trHeight w:val="312"/>
          <w:jc w:val="center"/>
        </w:trPr>
        <w:tc>
          <w:tcPr>
            <w:tcW w:w="1785" w:type="dxa"/>
            <w:tcBorders>
              <w:bottom w:val="single" w:sz="4" w:space="0" w:color="000000"/>
            </w:tcBorders>
            <w:vAlign w:val="center"/>
          </w:tcPr>
          <w:p w14:paraId="687541E1" w14:textId="227EE96A" w:rsidR="00931B97" w:rsidRPr="000B3C14" w:rsidRDefault="00931B97" w:rsidP="00A111E9">
            <w:pPr>
              <w:rPr>
                <w:rFonts w:ascii="Arial" w:hAnsi="Arial"/>
                <w:sz w:val="18"/>
                <w:lang w:eastAsia="en-AU"/>
              </w:rPr>
            </w:pPr>
            <w:r w:rsidRPr="00D711DD">
              <w:rPr>
                <w:sz w:val="18"/>
                <w:lang w:eastAsia="en-AU"/>
              </w:rPr>
              <w:t xml:space="preserve">Serum </w:t>
            </w:r>
            <w:r w:rsidR="00CC26CA">
              <w:rPr>
                <w:sz w:val="18"/>
                <w:lang w:eastAsia="en-AU"/>
              </w:rPr>
              <w:t>per cent</w:t>
            </w:r>
            <w:r w:rsidRPr="00D711DD">
              <w:rPr>
                <w:sz w:val="18"/>
                <w:lang w:eastAsia="en-AU"/>
              </w:rPr>
              <w:t xml:space="preserve"> of dose </w:t>
            </w:r>
          </w:p>
        </w:tc>
        <w:tc>
          <w:tcPr>
            <w:tcW w:w="1803" w:type="dxa"/>
            <w:tcBorders>
              <w:bottom w:val="single" w:sz="4" w:space="0" w:color="000000"/>
            </w:tcBorders>
            <w:vAlign w:val="center"/>
          </w:tcPr>
          <w:p w14:paraId="756D5370" w14:textId="77777777" w:rsidR="00931B97" w:rsidRPr="00F6284E" w:rsidRDefault="00931B97" w:rsidP="00647943">
            <w:pPr>
              <w:jc w:val="right"/>
              <w:rPr>
                <w:rFonts w:ascii="Arial" w:hAnsi="Arial"/>
                <w:sz w:val="18"/>
                <w:lang w:eastAsia="en-AU"/>
              </w:rPr>
            </w:pPr>
            <w:r w:rsidRPr="00F6284E">
              <w:rPr>
                <w:sz w:val="18"/>
                <w:lang w:eastAsia="en-AU"/>
              </w:rPr>
              <w:t>17.96</w:t>
            </w:r>
          </w:p>
        </w:tc>
        <w:tc>
          <w:tcPr>
            <w:tcW w:w="1804" w:type="dxa"/>
            <w:tcBorders>
              <w:bottom w:val="single" w:sz="4" w:space="0" w:color="000000"/>
            </w:tcBorders>
            <w:vAlign w:val="center"/>
          </w:tcPr>
          <w:p w14:paraId="7E26F5CE" w14:textId="77777777" w:rsidR="00931B97" w:rsidRPr="00F6284E" w:rsidRDefault="00931B97" w:rsidP="00647943">
            <w:pPr>
              <w:jc w:val="right"/>
              <w:rPr>
                <w:rFonts w:ascii="Arial" w:hAnsi="Arial"/>
                <w:sz w:val="18"/>
                <w:lang w:eastAsia="en-AU"/>
              </w:rPr>
            </w:pPr>
            <w:r w:rsidRPr="00F6284E">
              <w:rPr>
                <w:sz w:val="18"/>
                <w:lang w:eastAsia="en-AU"/>
              </w:rPr>
              <w:t>30.83</w:t>
            </w:r>
          </w:p>
        </w:tc>
        <w:tc>
          <w:tcPr>
            <w:tcW w:w="1804" w:type="dxa"/>
            <w:tcBorders>
              <w:bottom w:val="single" w:sz="4" w:space="0" w:color="000000"/>
            </w:tcBorders>
            <w:vAlign w:val="center"/>
          </w:tcPr>
          <w:p w14:paraId="37B0E549" w14:textId="77777777" w:rsidR="00931B97" w:rsidRPr="00F6284E" w:rsidRDefault="00931B97" w:rsidP="00647943">
            <w:pPr>
              <w:jc w:val="right"/>
              <w:rPr>
                <w:rFonts w:ascii="Arial" w:hAnsi="Arial"/>
                <w:sz w:val="18"/>
                <w:lang w:eastAsia="en-AU"/>
              </w:rPr>
            </w:pPr>
            <w:r w:rsidRPr="00F6284E">
              <w:rPr>
                <w:sz w:val="18"/>
                <w:lang w:eastAsia="en-AU"/>
              </w:rPr>
              <w:t>7.48</w:t>
            </w:r>
          </w:p>
        </w:tc>
      </w:tr>
      <w:tr w:rsidR="00931B97" w14:paraId="1F65D6F1" w14:textId="77777777" w:rsidTr="00F6284E">
        <w:trPr>
          <w:trHeight w:val="312"/>
          <w:jc w:val="center"/>
        </w:trPr>
        <w:tc>
          <w:tcPr>
            <w:tcW w:w="1785" w:type="dxa"/>
            <w:tcBorders>
              <w:bottom w:val="single" w:sz="4" w:space="0" w:color="000000"/>
            </w:tcBorders>
            <w:shd w:val="clear" w:color="auto" w:fill="F2F2F2" w:themeFill="background1" w:themeFillShade="F2"/>
            <w:vAlign w:val="center"/>
          </w:tcPr>
          <w:p w14:paraId="25D5AAF2" w14:textId="77777777" w:rsidR="00931B97" w:rsidRPr="000B3C14" w:rsidRDefault="00931B97" w:rsidP="00A111E9">
            <w:pPr>
              <w:rPr>
                <w:rFonts w:ascii="Arial" w:hAnsi="Arial"/>
                <w:sz w:val="18"/>
                <w:lang w:eastAsia="en-AU"/>
              </w:rPr>
            </w:pPr>
            <w:r w:rsidRPr="00D711DD">
              <w:rPr>
                <w:sz w:val="18"/>
                <w:lang w:eastAsia="en-AU"/>
              </w:rPr>
              <w:t>Serum (µg/mL)</w:t>
            </w:r>
          </w:p>
        </w:tc>
        <w:tc>
          <w:tcPr>
            <w:tcW w:w="1803" w:type="dxa"/>
            <w:tcBorders>
              <w:bottom w:val="single" w:sz="4" w:space="0" w:color="000000"/>
            </w:tcBorders>
            <w:shd w:val="clear" w:color="auto" w:fill="F2F2F2" w:themeFill="background1" w:themeFillShade="F2"/>
            <w:vAlign w:val="center"/>
          </w:tcPr>
          <w:p w14:paraId="110BC3E2" w14:textId="77777777" w:rsidR="00931B97" w:rsidRPr="00F6284E" w:rsidRDefault="00931B97" w:rsidP="00647943">
            <w:pPr>
              <w:jc w:val="right"/>
              <w:rPr>
                <w:rFonts w:ascii="Arial" w:hAnsi="Arial"/>
                <w:sz w:val="18"/>
                <w:lang w:eastAsia="en-AU"/>
              </w:rPr>
            </w:pPr>
            <w:r w:rsidRPr="00F6284E">
              <w:rPr>
                <w:sz w:val="18"/>
                <w:lang w:eastAsia="en-AU"/>
              </w:rPr>
              <w:t>4.68</w:t>
            </w:r>
          </w:p>
        </w:tc>
        <w:tc>
          <w:tcPr>
            <w:tcW w:w="1804" w:type="dxa"/>
            <w:tcBorders>
              <w:bottom w:val="single" w:sz="4" w:space="0" w:color="000000"/>
            </w:tcBorders>
            <w:shd w:val="clear" w:color="auto" w:fill="F2F2F2" w:themeFill="background1" w:themeFillShade="F2"/>
            <w:vAlign w:val="center"/>
          </w:tcPr>
          <w:p w14:paraId="0B6670E6" w14:textId="77777777" w:rsidR="00931B97" w:rsidRPr="00F6284E" w:rsidRDefault="00931B97" w:rsidP="00647943">
            <w:pPr>
              <w:jc w:val="right"/>
              <w:rPr>
                <w:rFonts w:ascii="Arial" w:hAnsi="Arial"/>
                <w:sz w:val="18"/>
                <w:lang w:eastAsia="en-AU"/>
              </w:rPr>
            </w:pPr>
            <w:r w:rsidRPr="00F6284E">
              <w:rPr>
                <w:sz w:val="18"/>
                <w:lang w:eastAsia="en-AU"/>
              </w:rPr>
              <w:t>81.79</w:t>
            </w:r>
          </w:p>
        </w:tc>
        <w:tc>
          <w:tcPr>
            <w:tcW w:w="1804" w:type="dxa"/>
            <w:tcBorders>
              <w:bottom w:val="single" w:sz="4" w:space="0" w:color="000000"/>
            </w:tcBorders>
            <w:shd w:val="clear" w:color="auto" w:fill="F2F2F2" w:themeFill="background1" w:themeFillShade="F2"/>
            <w:vAlign w:val="center"/>
          </w:tcPr>
          <w:p w14:paraId="7405D914" w14:textId="77777777" w:rsidR="00931B97" w:rsidRPr="00F6284E" w:rsidRDefault="00931B97" w:rsidP="00647943">
            <w:pPr>
              <w:jc w:val="right"/>
              <w:rPr>
                <w:rFonts w:ascii="Arial" w:hAnsi="Arial"/>
                <w:sz w:val="18"/>
                <w:lang w:eastAsia="en-AU"/>
              </w:rPr>
            </w:pPr>
            <w:r w:rsidRPr="00F6284E">
              <w:rPr>
                <w:sz w:val="18"/>
                <w:lang w:eastAsia="en-AU"/>
              </w:rPr>
              <w:t>194.63</w:t>
            </w:r>
          </w:p>
        </w:tc>
      </w:tr>
      <w:tr w:rsidR="00931B97" w14:paraId="6D686802" w14:textId="77777777" w:rsidTr="00F6284E">
        <w:trPr>
          <w:trHeight w:val="312"/>
          <w:jc w:val="center"/>
        </w:trPr>
        <w:tc>
          <w:tcPr>
            <w:tcW w:w="1785" w:type="dxa"/>
            <w:tcBorders>
              <w:bottom w:val="single" w:sz="4" w:space="0" w:color="000000"/>
            </w:tcBorders>
            <w:vAlign w:val="center"/>
          </w:tcPr>
          <w:p w14:paraId="20F3AD00" w14:textId="79CD3C67" w:rsidR="00931B97" w:rsidRPr="000B3C14" w:rsidRDefault="00931B97" w:rsidP="00A111E9">
            <w:pPr>
              <w:rPr>
                <w:rFonts w:ascii="Arial" w:hAnsi="Arial"/>
                <w:sz w:val="18"/>
                <w:lang w:eastAsia="en-AU"/>
              </w:rPr>
            </w:pPr>
            <w:r w:rsidRPr="00D711DD">
              <w:rPr>
                <w:sz w:val="18"/>
                <w:lang w:eastAsia="en-AU"/>
              </w:rPr>
              <w:t xml:space="preserve">Liver </w:t>
            </w:r>
            <w:r w:rsidR="00CC26CA">
              <w:rPr>
                <w:sz w:val="18"/>
                <w:lang w:eastAsia="en-AU"/>
              </w:rPr>
              <w:t>per cent</w:t>
            </w:r>
            <w:r w:rsidRPr="00D711DD">
              <w:rPr>
                <w:sz w:val="18"/>
                <w:lang w:eastAsia="en-AU"/>
              </w:rPr>
              <w:t xml:space="preserve"> of dose</w:t>
            </w:r>
          </w:p>
        </w:tc>
        <w:tc>
          <w:tcPr>
            <w:tcW w:w="1803" w:type="dxa"/>
            <w:tcBorders>
              <w:bottom w:val="single" w:sz="4" w:space="0" w:color="000000"/>
            </w:tcBorders>
            <w:vAlign w:val="center"/>
          </w:tcPr>
          <w:p w14:paraId="3F409D7C" w14:textId="77777777" w:rsidR="00931B97" w:rsidRPr="00F6284E" w:rsidRDefault="00931B97" w:rsidP="00647943">
            <w:pPr>
              <w:jc w:val="right"/>
              <w:rPr>
                <w:rFonts w:ascii="Arial" w:hAnsi="Arial"/>
                <w:sz w:val="18"/>
                <w:lang w:eastAsia="en-AU"/>
              </w:rPr>
            </w:pPr>
            <w:r w:rsidRPr="00F6284E">
              <w:rPr>
                <w:sz w:val="18"/>
                <w:lang w:eastAsia="en-AU"/>
              </w:rPr>
              <w:t>30.96</w:t>
            </w:r>
          </w:p>
        </w:tc>
        <w:tc>
          <w:tcPr>
            <w:tcW w:w="1804" w:type="dxa"/>
            <w:tcBorders>
              <w:bottom w:val="single" w:sz="4" w:space="0" w:color="000000"/>
            </w:tcBorders>
            <w:vAlign w:val="center"/>
          </w:tcPr>
          <w:p w14:paraId="2CE678A3" w14:textId="77777777" w:rsidR="00931B97" w:rsidRPr="00F6284E" w:rsidRDefault="00931B97" w:rsidP="00647943">
            <w:pPr>
              <w:jc w:val="right"/>
              <w:rPr>
                <w:rFonts w:ascii="Arial" w:hAnsi="Arial"/>
                <w:sz w:val="18"/>
                <w:lang w:eastAsia="en-AU"/>
              </w:rPr>
            </w:pPr>
            <w:r w:rsidRPr="00F6284E">
              <w:rPr>
                <w:sz w:val="18"/>
                <w:lang w:eastAsia="en-AU"/>
              </w:rPr>
              <w:t>13.38</w:t>
            </w:r>
          </w:p>
        </w:tc>
        <w:tc>
          <w:tcPr>
            <w:tcW w:w="1804" w:type="dxa"/>
            <w:tcBorders>
              <w:bottom w:val="single" w:sz="4" w:space="0" w:color="000000"/>
            </w:tcBorders>
            <w:vAlign w:val="center"/>
          </w:tcPr>
          <w:p w14:paraId="20AECFD8" w14:textId="77777777" w:rsidR="00931B97" w:rsidRPr="00F6284E" w:rsidRDefault="00931B97" w:rsidP="00647943">
            <w:pPr>
              <w:jc w:val="right"/>
              <w:rPr>
                <w:rFonts w:ascii="Arial" w:hAnsi="Arial"/>
                <w:sz w:val="18"/>
                <w:lang w:eastAsia="en-AU"/>
              </w:rPr>
            </w:pPr>
            <w:r w:rsidRPr="00F6284E">
              <w:rPr>
                <w:sz w:val="18"/>
                <w:lang w:eastAsia="en-AU"/>
              </w:rPr>
              <w:t>8.17</w:t>
            </w:r>
          </w:p>
        </w:tc>
      </w:tr>
      <w:tr w:rsidR="00931B97" w14:paraId="62F3D142" w14:textId="77777777" w:rsidTr="00F6284E">
        <w:trPr>
          <w:trHeight w:val="312"/>
          <w:jc w:val="center"/>
        </w:trPr>
        <w:tc>
          <w:tcPr>
            <w:tcW w:w="1785" w:type="dxa"/>
            <w:shd w:val="clear" w:color="auto" w:fill="F2F2F2" w:themeFill="background1" w:themeFillShade="F2"/>
            <w:vAlign w:val="center"/>
          </w:tcPr>
          <w:p w14:paraId="596B0D0F" w14:textId="77777777" w:rsidR="00931B97" w:rsidRPr="000B3C14" w:rsidRDefault="00931B97" w:rsidP="00A111E9">
            <w:pPr>
              <w:rPr>
                <w:rFonts w:ascii="Arial" w:hAnsi="Arial"/>
                <w:sz w:val="18"/>
                <w:lang w:eastAsia="en-AU"/>
              </w:rPr>
            </w:pPr>
            <w:r w:rsidRPr="00D711DD">
              <w:rPr>
                <w:sz w:val="18"/>
                <w:lang w:eastAsia="en-AU"/>
              </w:rPr>
              <w:t>Liver (µg/g)</w:t>
            </w:r>
          </w:p>
        </w:tc>
        <w:tc>
          <w:tcPr>
            <w:tcW w:w="1803" w:type="dxa"/>
            <w:shd w:val="clear" w:color="auto" w:fill="F2F2F2" w:themeFill="background1" w:themeFillShade="F2"/>
            <w:vAlign w:val="center"/>
          </w:tcPr>
          <w:p w14:paraId="7AE0EDB5" w14:textId="77777777" w:rsidR="00931B97" w:rsidRPr="00F6284E" w:rsidRDefault="00931B97" w:rsidP="00647943">
            <w:pPr>
              <w:jc w:val="right"/>
              <w:rPr>
                <w:rFonts w:ascii="Arial" w:hAnsi="Arial"/>
                <w:sz w:val="18"/>
                <w:lang w:eastAsia="en-AU"/>
              </w:rPr>
            </w:pPr>
            <w:r w:rsidRPr="00F6284E">
              <w:rPr>
                <w:sz w:val="18"/>
                <w:lang w:eastAsia="en-AU"/>
              </w:rPr>
              <w:t>5.58</w:t>
            </w:r>
          </w:p>
        </w:tc>
        <w:tc>
          <w:tcPr>
            <w:tcW w:w="1804" w:type="dxa"/>
            <w:shd w:val="clear" w:color="auto" w:fill="F2F2F2" w:themeFill="background1" w:themeFillShade="F2"/>
            <w:vAlign w:val="center"/>
          </w:tcPr>
          <w:p w14:paraId="220C4339" w14:textId="77777777" w:rsidR="00931B97" w:rsidRPr="00F6284E" w:rsidRDefault="00931B97" w:rsidP="00647943">
            <w:pPr>
              <w:jc w:val="right"/>
              <w:rPr>
                <w:rFonts w:ascii="Arial" w:hAnsi="Arial"/>
                <w:sz w:val="18"/>
                <w:lang w:eastAsia="en-AU"/>
              </w:rPr>
            </w:pPr>
            <w:r w:rsidRPr="00F6284E">
              <w:rPr>
                <w:sz w:val="18"/>
                <w:lang w:eastAsia="en-AU"/>
              </w:rPr>
              <w:t>25.71</w:t>
            </w:r>
          </w:p>
        </w:tc>
        <w:tc>
          <w:tcPr>
            <w:tcW w:w="1804" w:type="dxa"/>
            <w:shd w:val="clear" w:color="auto" w:fill="F2F2F2" w:themeFill="background1" w:themeFillShade="F2"/>
            <w:vAlign w:val="center"/>
          </w:tcPr>
          <w:p w14:paraId="4B7BAEF5" w14:textId="77777777" w:rsidR="00931B97" w:rsidRPr="00F6284E" w:rsidRDefault="00931B97" w:rsidP="00647943">
            <w:pPr>
              <w:jc w:val="right"/>
              <w:rPr>
                <w:rFonts w:ascii="Arial" w:hAnsi="Arial"/>
                <w:sz w:val="18"/>
                <w:lang w:eastAsia="en-AU"/>
              </w:rPr>
            </w:pPr>
            <w:r w:rsidRPr="00F6284E">
              <w:rPr>
                <w:sz w:val="18"/>
                <w:lang w:eastAsia="en-AU"/>
              </w:rPr>
              <w:t>118.13</w:t>
            </w:r>
          </w:p>
        </w:tc>
      </w:tr>
      <w:tr w:rsidR="00931B97" w14:paraId="4D6ADED7" w14:textId="77777777" w:rsidTr="00F6284E">
        <w:trPr>
          <w:trHeight w:val="312"/>
          <w:jc w:val="center"/>
        </w:trPr>
        <w:tc>
          <w:tcPr>
            <w:tcW w:w="1785" w:type="dxa"/>
            <w:vAlign w:val="center"/>
          </w:tcPr>
          <w:p w14:paraId="3EAFAC2A" w14:textId="445B2C09" w:rsidR="00931B97" w:rsidRPr="000B3C14" w:rsidRDefault="00931B97" w:rsidP="00A111E9">
            <w:pPr>
              <w:rPr>
                <w:rFonts w:ascii="Arial" w:hAnsi="Arial"/>
                <w:sz w:val="18"/>
                <w:lang w:eastAsia="en-AU"/>
              </w:rPr>
            </w:pPr>
            <w:r w:rsidRPr="00D711DD">
              <w:rPr>
                <w:sz w:val="18"/>
                <w:lang w:eastAsia="en-AU"/>
              </w:rPr>
              <w:t xml:space="preserve">Urine </w:t>
            </w:r>
            <w:r w:rsidR="003861B4">
              <w:rPr>
                <w:sz w:val="18"/>
                <w:lang w:eastAsia="en-AU"/>
              </w:rPr>
              <w:t>per cent</w:t>
            </w:r>
            <w:r w:rsidRPr="00D711DD">
              <w:rPr>
                <w:sz w:val="18"/>
                <w:lang w:eastAsia="en-AU"/>
              </w:rPr>
              <w:t xml:space="preserve"> dose </w:t>
            </w:r>
          </w:p>
        </w:tc>
        <w:tc>
          <w:tcPr>
            <w:tcW w:w="1803" w:type="dxa"/>
            <w:vAlign w:val="center"/>
          </w:tcPr>
          <w:p w14:paraId="746CA344" w14:textId="77777777" w:rsidR="00931B97" w:rsidRPr="00F6284E" w:rsidRDefault="00931B97" w:rsidP="00647943">
            <w:pPr>
              <w:jc w:val="right"/>
              <w:rPr>
                <w:rFonts w:ascii="Arial" w:hAnsi="Arial"/>
                <w:sz w:val="18"/>
                <w:lang w:eastAsia="en-AU"/>
              </w:rPr>
            </w:pPr>
            <w:r w:rsidRPr="00F6284E">
              <w:rPr>
                <w:sz w:val="18"/>
                <w:lang w:eastAsia="en-AU"/>
              </w:rPr>
              <w:t>6.58</w:t>
            </w:r>
          </w:p>
        </w:tc>
        <w:tc>
          <w:tcPr>
            <w:tcW w:w="1804" w:type="dxa"/>
            <w:vAlign w:val="center"/>
          </w:tcPr>
          <w:p w14:paraId="06C06A02" w14:textId="77777777" w:rsidR="00931B97" w:rsidRPr="00F6284E" w:rsidRDefault="00931B97" w:rsidP="00647943">
            <w:pPr>
              <w:jc w:val="right"/>
              <w:rPr>
                <w:rFonts w:ascii="Arial" w:hAnsi="Arial"/>
                <w:sz w:val="18"/>
                <w:lang w:eastAsia="en-AU"/>
              </w:rPr>
            </w:pPr>
            <w:r w:rsidRPr="00F6284E">
              <w:rPr>
                <w:sz w:val="18"/>
                <w:lang w:eastAsia="en-AU"/>
              </w:rPr>
              <w:t>6.24</w:t>
            </w:r>
          </w:p>
        </w:tc>
        <w:tc>
          <w:tcPr>
            <w:tcW w:w="1804" w:type="dxa"/>
            <w:vAlign w:val="center"/>
          </w:tcPr>
          <w:p w14:paraId="1EAF7D69" w14:textId="77777777" w:rsidR="00931B97" w:rsidRPr="00F6284E" w:rsidRDefault="00931B97" w:rsidP="00647943">
            <w:pPr>
              <w:jc w:val="right"/>
              <w:rPr>
                <w:rFonts w:ascii="Arial" w:hAnsi="Arial"/>
                <w:sz w:val="18"/>
                <w:lang w:eastAsia="en-AU"/>
              </w:rPr>
            </w:pPr>
            <w:r w:rsidRPr="00F6284E">
              <w:rPr>
                <w:sz w:val="18"/>
                <w:lang w:eastAsia="en-AU"/>
              </w:rPr>
              <w:t>29.66</w:t>
            </w:r>
          </w:p>
        </w:tc>
      </w:tr>
      <w:tr w:rsidR="00931B97" w14:paraId="1497D550" w14:textId="77777777" w:rsidTr="00F6284E">
        <w:trPr>
          <w:trHeight w:val="312"/>
          <w:jc w:val="center"/>
        </w:trPr>
        <w:tc>
          <w:tcPr>
            <w:tcW w:w="1785" w:type="dxa"/>
            <w:vAlign w:val="center"/>
          </w:tcPr>
          <w:p w14:paraId="17F3B2B4" w14:textId="3866305D" w:rsidR="00931B97" w:rsidRPr="00F6284E" w:rsidRDefault="00931B97" w:rsidP="00A111E9">
            <w:pPr>
              <w:rPr>
                <w:rFonts w:ascii="Arial" w:hAnsi="Arial"/>
                <w:sz w:val="18"/>
                <w:lang w:eastAsia="en-AU"/>
              </w:rPr>
            </w:pPr>
            <w:r w:rsidRPr="00D711DD">
              <w:rPr>
                <w:sz w:val="18"/>
                <w:lang w:eastAsia="en-AU"/>
              </w:rPr>
              <w:t>F</w:t>
            </w:r>
            <w:r w:rsidRPr="000B3C14">
              <w:rPr>
                <w:sz w:val="18"/>
                <w:lang w:eastAsia="en-AU"/>
              </w:rPr>
              <w:t xml:space="preserve">aeces </w:t>
            </w:r>
            <w:r w:rsidR="003861B4">
              <w:rPr>
                <w:sz w:val="18"/>
                <w:lang w:eastAsia="en-AU"/>
              </w:rPr>
              <w:t>per cent</w:t>
            </w:r>
            <w:r w:rsidRPr="000B3C14">
              <w:rPr>
                <w:sz w:val="18"/>
                <w:lang w:eastAsia="en-AU"/>
              </w:rPr>
              <w:t xml:space="preserve"> dose</w:t>
            </w:r>
          </w:p>
        </w:tc>
        <w:tc>
          <w:tcPr>
            <w:tcW w:w="1803" w:type="dxa"/>
            <w:vAlign w:val="center"/>
          </w:tcPr>
          <w:p w14:paraId="7B1B59A3" w14:textId="77777777" w:rsidR="00931B97" w:rsidRPr="00F6284E" w:rsidRDefault="00931B97" w:rsidP="00647943">
            <w:pPr>
              <w:jc w:val="right"/>
              <w:rPr>
                <w:rFonts w:ascii="Arial" w:hAnsi="Arial"/>
                <w:sz w:val="18"/>
                <w:lang w:eastAsia="en-AU"/>
              </w:rPr>
            </w:pPr>
            <w:r w:rsidRPr="00F6284E">
              <w:rPr>
                <w:sz w:val="18"/>
                <w:lang w:eastAsia="en-AU"/>
              </w:rPr>
              <w:t>0.00</w:t>
            </w:r>
          </w:p>
        </w:tc>
        <w:tc>
          <w:tcPr>
            <w:tcW w:w="1804" w:type="dxa"/>
            <w:vAlign w:val="center"/>
          </w:tcPr>
          <w:p w14:paraId="634AAF89" w14:textId="77777777" w:rsidR="00931B97" w:rsidRPr="00F6284E" w:rsidRDefault="00931B97" w:rsidP="00647943">
            <w:pPr>
              <w:jc w:val="right"/>
              <w:rPr>
                <w:rFonts w:ascii="Arial" w:hAnsi="Arial"/>
                <w:sz w:val="18"/>
                <w:lang w:eastAsia="en-AU"/>
              </w:rPr>
            </w:pPr>
            <w:r w:rsidRPr="00F6284E">
              <w:rPr>
                <w:sz w:val="18"/>
                <w:lang w:eastAsia="en-AU"/>
              </w:rPr>
              <w:t>0.23</w:t>
            </w:r>
          </w:p>
        </w:tc>
        <w:tc>
          <w:tcPr>
            <w:tcW w:w="1804" w:type="dxa"/>
            <w:vAlign w:val="center"/>
          </w:tcPr>
          <w:p w14:paraId="433CF535" w14:textId="77777777" w:rsidR="00931B97" w:rsidRPr="00F6284E" w:rsidRDefault="00931B97" w:rsidP="00647943">
            <w:pPr>
              <w:jc w:val="right"/>
              <w:rPr>
                <w:rFonts w:ascii="Arial" w:hAnsi="Arial"/>
                <w:sz w:val="18"/>
                <w:lang w:eastAsia="en-AU"/>
              </w:rPr>
            </w:pPr>
            <w:r w:rsidRPr="00F6284E">
              <w:rPr>
                <w:sz w:val="18"/>
                <w:lang w:eastAsia="en-AU"/>
              </w:rPr>
              <w:t>0.92</w:t>
            </w:r>
          </w:p>
        </w:tc>
      </w:tr>
      <w:tr w:rsidR="00931B97" w14:paraId="0137ACB8" w14:textId="77777777" w:rsidTr="00F6284E">
        <w:trPr>
          <w:trHeight w:val="312"/>
          <w:jc w:val="center"/>
        </w:trPr>
        <w:tc>
          <w:tcPr>
            <w:tcW w:w="1785" w:type="dxa"/>
            <w:vAlign w:val="center"/>
          </w:tcPr>
          <w:p w14:paraId="1FDF167C" w14:textId="28199D77" w:rsidR="00931B97" w:rsidRPr="000B3C14" w:rsidRDefault="00931B97" w:rsidP="00A111E9">
            <w:pPr>
              <w:rPr>
                <w:rFonts w:ascii="Arial" w:hAnsi="Arial"/>
                <w:sz w:val="18"/>
                <w:lang w:eastAsia="en-AU"/>
              </w:rPr>
            </w:pPr>
            <w:r w:rsidRPr="00D711DD">
              <w:rPr>
                <w:sz w:val="18"/>
                <w:lang w:eastAsia="en-AU"/>
              </w:rPr>
              <w:t xml:space="preserve">Total recovered </w:t>
            </w:r>
            <w:r w:rsidR="003861B4">
              <w:rPr>
                <w:sz w:val="18"/>
                <w:lang w:eastAsia="en-AU"/>
              </w:rPr>
              <w:t>per cent</w:t>
            </w:r>
          </w:p>
        </w:tc>
        <w:tc>
          <w:tcPr>
            <w:tcW w:w="1803" w:type="dxa"/>
            <w:vAlign w:val="center"/>
          </w:tcPr>
          <w:p w14:paraId="4C6E6445" w14:textId="77777777" w:rsidR="00931B97" w:rsidRPr="00F6284E" w:rsidRDefault="00931B97" w:rsidP="00647943">
            <w:pPr>
              <w:jc w:val="right"/>
              <w:rPr>
                <w:rFonts w:ascii="Arial" w:hAnsi="Arial"/>
                <w:sz w:val="18"/>
                <w:lang w:eastAsia="en-AU"/>
              </w:rPr>
            </w:pPr>
            <w:r w:rsidRPr="00F6284E">
              <w:rPr>
                <w:sz w:val="18"/>
                <w:lang w:eastAsia="en-AU"/>
              </w:rPr>
              <w:t>55.51</w:t>
            </w:r>
          </w:p>
        </w:tc>
        <w:tc>
          <w:tcPr>
            <w:tcW w:w="1804" w:type="dxa"/>
            <w:vAlign w:val="center"/>
          </w:tcPr>
          <w:p w14:paraId="42098102" w14:textId="77777777" w:rsidR="00931B97" w:rsidRPr="00F6284E" w:rsidRDefault="00931B97" w:rsidP="00647943">
            <w:pPr>
              <w:jc w:val="right"/>
              <w:rPr>
                <w:rFonts w:ascii="Arial" w:hAnsi="Arial"/>
                <w:sz w:val="18"/>
                <w:lang w:eastAsia="en-AU"/>
              </w:rPr>
            </w:pPr>
            <w:r w:rsidRPr="00F6284E">
              <w:rPr>
                <w:sz w:val="18"/>
                <w:lang w:eastAsia="en-AU"/>
              </w:rPr>
              <w:t>50.58</w:t>
            </w:r>
          </w:p>
        </w:tc>
        <w:tc>
          <w:tcPr>
            <w:tcW w:w="1804" w:type="dxa"/>
            <w:vAlign w:val="center"/>
          </w:tcPr>
          <w:p w14:paraId="01A710AF" w14:textId="77777777" w:rsidR="00931B97" w:rsidRPr="00F6284E" w:rsidRDefault="00931B97" w:rsidP="00647943">
            <w:pPr>
              <w:jc w:val="right"/>
              <w:rPr>
                <w:rFonts w:ascii="Arial" w:hAnsi="Arial"/>
                <w:sz w:val="18"/>
                <w:lang w:eastAsia="en-AU"/>
              </w:rPr>
            </w:pPr>
            <w:r w:rsidRPr="00F6284E">
              <w:rPr>
                <w:sz w:val="18"/>
                <w:lang w:eastAsia="en-AU"/>
              </w:rPr>
              <w:t>46.23</w:t>
            </w:r>
          </w:p>
        </w:tc>
      </w:tr>
      <w:tr w:rsidR="00D47DE0" w14:paraId="4480DC12" w14:textId="77777777" w:rsidTr="00F6284E">
        <w:trPr>
          <w:trHeight w:val="312"/>
          <w:jc w:val="center"/>
        </w:trPr>
        <w:tc>
          <w:tcPr>
            <w:tcW w:w="7196" w:type="dxa"/>
            <w:gridSpan w:val="4"/>
            <w:tcBorders>
              <w:bottom w:val="single" w:sz="4" w:space="0" w:color="000000"/>
            </w:tcBorders>
            <w:shd w:val="clear" w:color="auto" w:fill="F2F2F2" w:themeFill="background1" w:themeFillShade="F2"/>
            <w:vAlign w:val="center"/>
          </w:tcPr>
          <w:p w14:paraId="62D5F0B9" w14:textId="60303B83" w:rsidR="00D47DE0" w:rsidRPr="000B3C14" w:rsidRDefault="00D47DE0" w:rsidP="00647943">
            <w:pPr>
              <w:rPr>
                <w:rFonts w:ascii="Arial" w:hAnsi="Arial"/>
                <w:sz w:val="18"/>
                <w:lang w:eastAsia="en-AU"/>
              </w:rPr>
            </w:pPr>
            <w:r w:rsidRPr="00D711DD">
              <w:rPr>
                <w:b/>
                <w:sz w:val="18"/>
                <w:lang w:eastAsia="en-AU"/>
              </w:rPr>
              <w:t xml:space="preserve">Females </w:t>
            </w:r>
          </w:p>
        </w:tc>
      </w:tr>
      <w:tr w:rsidR="00931B97" w14:paraId="6B60A1DD" w14:textId="77777777" w:rsidTr="00F6284E">
        <w:trPr>
          <w:trHeight w:val="312"/>
          <w:jc w:val="center"/>
        </w:trPr>
        <w:tc>
          <w:tcPr>
            <w:tcW w:w="1785" w:type="dxa"/>
            <w:tcBorders>
              <w:bottom w:val="single" w:sz="4" w:space="0" w:color="000000"/>
            </w:tcBorders>
            <w:vAlign w:val="center"/>
          </w:tcPr>
          <w:p w14:paraId="1E8789D7" w14:textId="77777777" w:rsidR="00931B97" w:rsidRPr="000B3C14" w:rsidRDefault="00931B97" w:rsidP="00A111E9">
            <w:pPr>
              <w:rPr>
                <w:rFonts w:ascii="Arial" w:hAnsi="Arial"/>
                <w:sz w:val="18"/>
                <w:lang w:eastAsia="en-AU"/>
              </w:rPr>
            </w:pPr>
            <w:r w:rsidRPr="00D711DD">
              <w:rPr>
                <w:sz w:val="18"/>
                <w:lang w:eastAsia="en-AU"/>
              </w:rPr>
              <w:t xml:space="preserve">Serum % of dose </w:t>
            </w:r>
          </w:p>
        </w:tc>
        <w:tc>
          <w:tcPr>
            <w:tcW w:w="1803" w:type="dxa"/>
            <w:tcBorders>
              <w:bottom w:val="single" w:sz="4" w:space="0" w:color="000000"/>
            </w:tcBorders>
            <w:vAlign w:val="center"/>
          </w:tcPr>
          <w:p w14:paraId="50BFB4C7" w14:textId="77777777" w:rsidR="00931B97" w:rsidRPr="00F6284E" w:rsidRDefault="00931B97" w:rsidP="00647943">
            <w:pPr>
              <w:jc w:val="right"/>
              <w:rPr>
                <w:rFonts w:ascii="Arial" w:hAnsi="Arial"/>
                <w:sz w:val="18"/>
                <w:lang w:eastAsia="en-AU"/>
              </w:rPr>
            </w:pPr>
            <w:r w:rsidRPr="00F6284E">
              <w:rPr>
                <w:sz w:val="18"/>
                <w:lang w:eastAsia="en-AU"/>
              </w:rPr>
              <w:t>7.04</w:t>
            </w:r>
          </w:p>
        </w:tc>
        <w:tc>
          <w:tcPr>
            <w:tcW w:w="1804" w:type="dxa"/>
            <w:tcBorders>
              <w:bottom w:val="single" w:sz="4" w:space="0" w:color="000000"/>
            </w:tcBorders>
            <w:vAlign w:val="center"/>
          </w:tcPr>
          <w:p w14:paraId="65870E8E" w14:textId="77777777" w:rsidR="00931B97" w:rsidRPr="00F6284E" w:rsidRDefault="00931B97" w:rsidP="00647943">
            <w:pPr>
              <w:jc w:val="right"/>
              <w:rPr>
                <w:rFonts w:ascii="Arial" w:hAnsi="Arial"/>
                <w:sz w:val="18"/>
                <w:lang w:eastAsia="en-AU"/>
              </w:rPr>
            </w:pPr>
            <w:r w:rsidRPr="00F6284E">
              <w:rPr>
                <w:sz w:val="18"/>
                <w:lang w:eastAsia="en-AU"/>
              </w:rPr>
              <w:t>4.37</w:t>
            </w:r>
          </w:p>
        </w:tc>
        <w:tc>
          <w:tcPr>
            <w:tcW w:w="1804" w:type="dxa"/>
            <w:tcBorders>
              <w:bottom w:val="single" w:sz="4" w:space="0" w:color="000000"/>
            </w:tcBorders>
            <w:vAlign w:val="center"/>
          </w:tcPr>
          <w:p w14:paraId="09465CBE" w14:textId="77777777" w:rsidR="00931B97" w:rsidRPr="00F6284E" w:rsidRDefault="00931B97" w:rsidP="00647943">
            <w:pPr>
              <w:jc w:val="right"/>
              <w:rPr>
                <w:rFonts w:ascii="Arial" w:hAnsi="Arial"/>
                <w:sz w:val="18"/>
                <w:lang w:eastAsia="en-AU"/>
              </w:rPr>
            </w:pPr>
            <w:r w:rsidRPr="00F6284E">
              <w:rPr>
                <w:sz w:val="18"/>
                <w:lang w:eastAsia="en-AU"/>
              </w:rPr>
              <w:t>0.95</w:t>
            </w:r>
          </w:p>
        </w:tc>
      </w:tr>
      <w:tr w:rsidR="00931B97" w14:paraId="284888E8" w14:textId="77777777" w:rsidTr="00F6284E">
        <w:trPr>
          <w:trHeight w:val="312"/>
          <w:jc w:val="center"/>
        </w:trPr>
        <w:tc>
          <w:tcPr>
            <w:tcW w:w="1785" w:type="dxa"/>
            <w:shd w:val="clear" w:color="auto" w:fill="F2F2F2" w:themeFill="background1" w:themeFillShade="F2"/>
            <w:vAlign w:val="center"/>
          </w:tcPr>
          <w:p w14:paraId="752E8801" w14:textId="77777777" w:rsidR="00931B97" w:rsidRPr="000B3C14" w:rsidRDefault="00931B97" w:rsidP="00A111E9">
            <w:pPr>
              <w:rPr>
                <w:rFonts w:ascii="Arial" w:hAnsi="Arial"/>
                <w:sz w:val="18"/>
                <w:lang w:eastAsia="en-AU"/>
              </w:rPr>
            </w:pPr>
            <w:r w:rsidRPr="00D711DD">
              <w:rPr>
                <w:sz w:val="18"/>
                <w:lang w:eastAsia="en-AU"/>
              </w:rPr>
              <w:t>Serum (µg/mL)</w:t>
            </w:r>
          </w:p>
        </w:tc>
        <w:tc>
          <w:tcPr>
            <w:tcW w:w="1803" w:type="dxa"/>
            <w:shd w:val="clear" w:color="auto" w:fill="F2F2F2" w:themeFill="background1" w:themeFillShade="F2"/>
            <w:vAlign w:val="center"/>
          </w:tcPr>
          <w:p w14:paraId="15247DC9" w14:textId="77777777" w:rsidR="00931B97" w:rsidRPr="00F6284E" w:rsidRDefault="00931B97" w:rsidP="00647943">
            <w:pPr>
              <w:jc w:val="right"/>
              <w:rPr>
                <w:rFonts w:ascii="Arial" w:hAnsi="Arial"/>
                <w:sz w:val="18"/>
                <w:lang w:eastAsia="en-AU"/>
              </w:rPr>
            </w:pPr>
            <w:r w:rsidRPr="00F6284E">
              <w:rPr>
                <w:sz w:val="18"/>
                <w:lang w:eastAsia="en-AU"/>
              </w:rPr>
              <w:t>1.92</w:t>
            </w:r>
          </w:p>
        </w:tc>
        <w:tc>
          <w:tcPr>
            <w:tcW w:w="1804" w:type="dxa"/>
            <w:shd w:val="clear" w:color="auto" w:fill="F2F2F2" w:themeFill="background1" w:themeFillShade="F2"/>
            <w:vAlign w:val="center"/>
          </w:tcPr>
          <w:p w14:paraId="33FA3F65" w14:textId="77777777" w:rsidR="00931B97" w:rsidRPr="00F6284E" w:rsidRDefault="00931B97" w:rsidP="00647943">
            <w:pPr>
              <w:jc w:val="right"/>
              <w:rPr>
                <w:rFonts w:ascii="Arial" w:hAnsi="Arial"/>
                <w:sz w:val="18"/>
                <w:lang w:eastAsia="en-AU"/>
              </w:rPr>
            </w:pPr>
            <w:r w:rsidRPr="00F6284E">
              <w:rPr>
                <w:sz w:val="18"/>
                <w:lang w:eastAsia="en-AU"/>
              </w:rPr>
              <w:t>12.34</w:t>
            </w:r>
          </w:p>
        </w:tc>
        <w:tc>
          <w:tcPr>
            <w:tcW w:w="1804" w:type="dxa"/>
            <w:shd w:val="clear" w:color="auto" w:fill="F2F2F2" w:themeFill="background1" w:themeFillShade="F2"/>
            <w:vAlign w:val="center"/>
          </w:tcPr>
          <w:p w14:paraId="225EC216" w14:textId="77777777" w:rsidR="00931B97" w:rsidRPr="00F6284E" w:rsidRDefault="00931B97" w:rsidP="00647943">
            <w:pPr>
              <w:jc w:val="right"/>
              <w:rPr>
                <w:rFonts w:ascii="Arial" w:hAnsi="Arial"/>
                <w:sz w:val="18"/>
                <w:lang w:eastAsia="en-AU"/>
              </w:rPr>
            </w:pPr>
            <w:r w:rsidRPr="00F6284E">
              <w:rPr>
                <w:sz w:val="18"/>
                <w:lang w:eastAsia="en-AU"/>
              </w:rPr>
              <w:t>26.16</w:t>
            </w:r>
          </w:p>
        </w:tc>
      </w:tr>
      <w:tr w:rsidR="00931B97" w14:paraId="2EF4D820" w14:textId="77777777" w:rsidTr="00F6284E">
        <w:trPr>
          <w:trHeight w:val="312"/>
          <w:jc w:val="center"/>
        </w:trPr>
        <w:tc>
          <w:tcPr>
            <w:tcW w:w="1785" w:type="dxa"/>
            <w:tcBorders>
              <w:bottom w:val="single" w:sz="4" w:space="0" w:color="000000"/>
            </w:tcBorders>
            <w:vAlign w:val="center"/>
          </w:tcPr>
          <w:p w14:paraId="01B8E7A1" w14:textId="77777777" w:rsidR="00931B97" w:rsidRPr="000B3C14" w:rsidRDefault="00931B97" w:rsidP="00A111E9">
            <w:pPr>
              <w:rPr>
                <w:rFonts w:ascii="Arial" w:hAnsi="Arial"/>
                <w:sz w:val="18"/>
                <w:lang w:eastAsia="en-AU"/>
              </w:rPr>
            </w:pPr>
            <w:r w:rsidRPr="00D711DD">
              <w:rPr>
                <w:sz w:val="18"/>
                <w:lang w:eastAsia="en-AU"/>
              </w:rPr>
              <w:t>Liver % of dose</w:t>
            </w:r>
          </w:p>
        </w:tc>
        <w:tc>
          <w:tcPr>
            <w:tcW w:w="1803" w:type="dxa"/>
            <w:tcBorders>
              <w:bottom w:val="single" w:sz="4" w:space="0" w:color="000000"/>
            </w:tcBorders>
            <w:vAlign w:val="center"/>
          </w:tcPr>
          <w:p w14:paraId="2D9AB992" w14:textId="77777777" w:rsidR="00931B97" w:rsidRPr="00F6284E" w:rsidRDefault="00931B97" w:rsidP="00647943">
            <w:pPr>
              <w:jc w:val="right"/>
              <w:rPr>
                <w:rFonts w:ascii="Arial" w:hAnsi="Arial"/>
                <w:sz w:val="18"/>
                <w:lang w:eastAsia="en-AU"/>
              </w:rPr>
            </w:pPr>
            <w:r w:rsidRPr="00F6284E">
              <w:rPr>
                <w:sz w:val="18"/>
                <w:lang w:eastAsia="en-AU"/>
              </w:rPr>
              <w:t>2.07</w:t>
            </w:r>
          </w:p>
        </w:tc>
        <w:tc>
          <w:tcPr>
            <w:tcW w:w="1804" w:type="dxa"/>
            <w:tcBorders>
              <w:bottom w:val="single" w:sz="4" w:space="0" w:color="000000"/>
            </w:tcBorders>
            <w:vAlign w:val="center"/>
          </w:tcPr>
          <w:p w14:paraId="23CDE4B8" w14:textId="77777777" w:rsidR="00931B97" w:rsidRPr="00F6284E" w:rsidRDefault="00931B97" w:rsidP="00647943">
            <w:pPr>
              <w:jc w:val="right"/>
              <w:rPr>
                <w:rFonts w:ascii="Arial" w:hAnsi="Arial"/>
                <w:sz w:val="18"/>
                <w:lang w:eastAsia="en-AU"/>
              </w:rPr>
            </w:pPr>
            <w:r w:rsidRPr="00F6284E">
              <w:rPr>
                <w:sz w:val="18"/>
                <w:lang w:eastAsia="en-AU"/>
              </w:rPr>
              <w:t>1.01</w:t>
            </w:r>
          </w:p>
        </w:tc>
        <w:tc>
          <w:tcPr>
            <w:tcW w:w="1804" w:type="dxa"/>
            <w:tcBorders>
              <w:bottom w:val="single" w:sz="4" w:space="0" w:color="000000"/>
            </w:tcBorders>
            <w:vAlign w:val="center"/>
          </w:tcPr>
          <w:p w14:paraId="2CCC26AF" w14:textId="77777777" w:rsidR="00931B97" w:rsidRPr="00F6284E" w:rsidRDefault="00931B97" w:rsidP="00647943">
            <w:pPr>
              <w:jc w:val="right"/>
              <w:rPr>
                <w:rFonts w:ascii="Arial" w:hAnsi="Arial"/>
                <w:sz w:val="18"/>
                <w:lang w:eastAsia="en-AU"/>
              </w:rPr>
            </w:pPr>
            <w:r w:rsidRPr="00F6284E">
              <w:rPr>
                <w:sz w:val="18"/>
                <w:lang w:eastAsia="en-AU"/>
              </w:rPr>
              <w:t>0.28</w:t>
            </w:r>
          </w:p>
        </w:tc>
      </w:tr>
      <w:tr w:rsidR="00931B97" w14:paraId="3D908C09" w14:textId="77777777" w:rsidTr="00F6284E">
        <w:trPr>
          <w:trHeight w:val="312"/>
          <w:jc w:val="center"/>
        </w:trPr>
        <w:tc>
          <w:tcPr>
            <w:tcW w:w="1785" w:type="dxa"/>
            <w:shd w:val="clear" w:color="auto" w:fill="F2F2F2" w:themeFill="background1" w:themeFillShade="F2"/>
            <w:vAlign w:val="center"/>
          </w:tcPr>
          <w:p w14:paraId="02140138" w14:textId="77777777" w:rsidR="00931B97" w:rsidRPr="000B3C14" w:rsidRDefault="00931B97" w:rsidP="00A111E9">
            <w:pPr>
              <w:rPr>
                <w:rFonts w:ascii="Arial" w:hAnsi="Arial"/>
                <w:sz w:val="18"/>
                <w:lang w:eastAsia="en-AU"/>
              </w:rPr>
            </w:pPr>
            <w:r w:rsidRPr="00D711DD">
              <w:rPr>
                <w:sz w:val="18"/>
                <w:lang w:eastAsia="en-AU"/>
              </w:rPr>
              <w:t>Liver (µg/g)</w:t>
            </w:r>
          </w:p>
        </w:tc>
        <w:tc>
          <w:tcPr>
            <w:tcW w:w="1803" w:type="dxa"/>
            <w:shd w:val="clear" w:color="auto" w:fill="F2F2F2" w:themeFill="background1" w:themeFillShade="F2"/>
            <w:vAlign w:val="center"/>
          </w:tcPr>
          <w:p w14:paraId="547F80A8" w14:textId="77777777" w:rsidR="00931B97" w:rsidRPr="00F6284E" w:rsidRDefault="00931B97" w:rsidP="00647943">
            <w:pPr>
              <w:jc w:val="right"/>
              <w:rPr>
                <w:rFonts w:ascii="Arial" w:hAnsi="Arial"/>
                <w:sz w:val="18"/>
                <w:lang w:eastAsia="en-AU"/>
              </w:rPr>
            </w:pPr>
            <w:r w:rsidRPr="00F6284E">
              <w:rPr>
                <w:sz w:val="18"/>
                <w:lang w:eastAsia="en-AU"/>
              </w:rPr>
              <w:t>0.45</w:t>
            </w:r>
          </w:p>
        </w:tc>
        <w:tc>
          <w:tcPr>
            <w:tcW w:w="1804" w:type="dxa"/>
            <w:shd w:val="clear" w:color="auto" w:fill="F2F2F2" w:themeFill="background1" w:themeFillShade="F2"/>
            <w:vAlign w:val="center"/>
          </w:tcPr>
          <w:p w14:paraId="3A779988" w14:textId="77777777" w:rsidR="00931B97" w:rsidRPr="00F6284E" w:rsidRDefault="00931B97" w:rsidP="00647943">
            <w:pPr>
              <w:jc w:val="right"/>
              <w:rPr>
                <w:rFonts w:ascii="Arial" w:hAnsi="Arial"/>
                <w:sz w:val="18"/>
                <w:lang w:eastAsia="en-AU"/>
              </w:rPr>
            </w:pPr>
            <w:r w:rsidRPr="00F6284E">
              <w:rPr>
                <w:sz w:val="18"/>
                <w:lang w:eastAsia="en-AU"/>
              </w:rPr>
              <w:t>2.18</w:t>
            </w:r>
          </w:p>
        </w:tc>
        <w:tc>
          <w:tcPr>
            <w:tcW w:w="1804" w:type="dxa"/>
            <w:shd w:val="clear" w:color="auto" w:fill="F2F2F2" w:themeFill="background1" w:themeFillShade="F2"/>
            <w:vAlign w:val="center"/>
          </w:tcPr>
          <w:p w14:paraId="1949C17D" w14:textId="77777777" w:rsidR="00931B97" w:rsidRPr="00F6284E" w:rsidRDefault="00931B97" w:rsidP="00647943">
            <w:pPr>
              <w:jc w:val="right"/>
              <w:rPr>
                <w:rFonts w:ascii="Arial" w:hAnsi="Arial"/>
                <w:sz w:val="18"/>
                <w:lang w:eastAsia="en-AU"/>
              </w:rPr>
            </w:pPr>
            <w:r w:rsidRPr="00F6284E">
              <w:rPr>
                <w:sz w:val="18"/>
                <w:lang w:eastAsia="en-AU"/>
              </w:rPr>
              <w:t>5.70</w:t>
            </w:r>
          </w:p>
        </w:tc>
      </w:tr>
      <w:tr w:rsidR="00931B97" w14:paraId="394519DC" w14:textId="77777777" w:rsidTr="00F6284E">
        <w:trPr>
          <w:trHeight w:val="312"/>
          <w:jc w:val="center"/>
        </w:trPr>
        <w:tc>
          <w:tcPr>
            <w:tcW w:w="1785" w:type="dxa"/>
            <w:vAlign w:val="center"/>
          </w:tcPr>
          <w:p w14:paraId="6D5914E0" w14:textId="77777777" w:rsidR="00931B97" w:rsidRPr="000B3C14" w:rsidRDefault="00931B97" w:rsidP="00A111E9">
            <w:pPr>
              <w:rPr>
                <w:rFonts w:ascii="Arial" w:hAnsi="Arial"/>
                <w:sz w:val="18"/>
                <w:lang w:eastAsia="en-AU"/>
              </w:rPr>
            </w:pPr>
            <w:r w:rsidRPr="00D711DD">
              <w:rPr>
                <w:sz w:val="18"/>
                <w:lang w:eastAsia="en-AU"/>
              </w:rPr>
              <w:t xml:space="preserve">Urine % dose </w:t>
            </w:r>
          </w:p>
        </w:tc>
        <w:tc>
          <w:tcPr>
            <w:tcW w:w="1803" w:type="dxa"/>
            <w:vAlign w:val="center"/>
          </w:tcPr>
          <w:p w14:paraId="0D82CCE4" w14:textId="77777777" w:rsidR="00931B97" w:rsidRPr="00F6284E" w:rsidRDefault="00931B97" w:rsidP="00647943">
            <w:pPr>
              <w:jc w:val="right"/>
              <w:rPr>
                <w:rFonts w:ascii="Arial" w:hAnsi="Arial"/>
                <w:sz w:val="18"/>
                <w:lang w:eastAsia="en-AU"/>
              </w:rPr>
            </w:pPr>
            <w:r w:rsidRPr="00F6284E">
              <w:rPr>
                <w:sz w:val="18"/>
                <w:lang w:eastAsia="en-AU"/>
              </w:rPr>
              <w:t>34.86</w:t>
            </w:r>
          </w:p>
        </w:tc>
        <w:tc>
          <w:tcPr>
            <w:tcW w:w="1804" w:type="dxa"/>
            <w:vAlign w:val="center"/>
          </w:tcPr>
          <w:p w14:paraId="6DFAEF83" w14:textId="77777777" w:rsidR="00931B97" w:rsidRPr="00F6284E" w:rsidRDefault="00931B97" w:rsidP="00647943">
            <w:pPr>
              <w:jc w:val="right"/>
              <w:rPr>
                <w:rFonts w:ascii="Arial" w:hAnsi="Arial"/>
                <w:sz w:val="18"/>
                <w:lang w:eastAsia="en-AU"/>
              </w:rPr>
            </w:pPr>
            <w:r w:rsidRPr="00F6284E">
              <w:rPr>
                <w:sz w:val="18"/>
                <w:lang w:eastAsia="en-AU"/>
              </w:rPr>
              <w:t>27.91</w:t>
            </w:r>
          </w:p>
        </w:tc>
        <w:tc>
          <w:tcPr>
            <w:tcW w:w="1804" w:type="dxa"/>
            <w:vAlign w:val="center"/>
          </w:tcPr>
          <w:p w14:paraId="4EC366A1" w14:textId="77777777" w:rsidR="00931B97" w:rsidRPr="00F6284E" w:rsidRDefault="00931B97" w:rsidP="00647943">
            <w:pPr>
              <w:jc w:val="right"/>
              <w:rPr>
                <w:rFonts w:ascii="Arial" w:hAnsi="Arial"/>
                <w:sz w:val="18"/>
                <w:lang w:eastAsia="en-AU"/>
              </w:rPr>
            </w:pPr>
            <w:r w:rsidRPr="00F6284E">
              <w:rPr>
                <w:sz w:val="18"/>
                <w:lang w:eastAsia="en-AU"/>
              </w:rPr>
              <w:t>40.58</w:t>
            </w:r>
          </w:p>
        </w:tc>
      </w:tr>
      <w:tr w:rsidR="00931B97" w14:paraId="3EF382E1" w14:textId="77777777" w:rsidTr="00F6284E">
        <w:trPr>
          <w:trHeight w:val="312"/>
          <w:jc w:val="center"/>
        </w:trPr>
        <w:tc>
          <w:tcPr>
            <w:tcW w:w="1785" w:type="dxa"/>
            <w:vAlign w:val="center"/>
          </w:tcPr>
          <w:p w14:paraId="2AFDF1ED" w14:textId="77777777" w:rsidR="00931B97" w:rsidRPr="000B3C14" w:rsidRDefault="00931B97" w:rsidP="00A111E9">
            <w:pPr>
              <w:rPr>
                <w:rFonts w:ascii="Arial" w:hAnsi="Arial"/>
                <w:sz w:val="18"/>
                <w:lang w:eastAsia="en-AU"/>
              </w:rPr>
            </w:pPr>
            <w:r w:rsidRPr="00D711DD">
              <w:rPr>
                <w:sz w:val="18"/>
                <w:lang w:eastAsia="en-AU"/>
              </w:rPr>
              <w:t>Faeces % dose</w:t>
            </w:r>
          </w:p>
        </w:tc>
        <w:tc>
          <w:tcPr>
            <w:tcW w:w="1803" w:type="dxa"/>
            <w:vAlign w:val="center"/>
          </w:tcPr>
          <w:p w14:paraId="6B36E53D" w14:textId="77777777" w:rsidR="00931B97" w:rsidRPr="00F6284E" w:rsidRDefault="00931B97" w:rsidP="00647943">
            <w:pPr>
              <w:jc w:val="right"/>
              <w:rPr>
                <w:rFonts w:ascii="Arial" w:hAnsi="Arial"/>
                <w:sz w:val="18"/>
                <w:lang w:eastAsia="en-AU"/>
              </w:rPr>
            </w:pPr>
            <w:r w:rsidRPr="00F6284E">
              <w:rPr>
                <w:sz w:val="18"/>
                <w:lang w:eastAsia="en-AU"/>
              </w:rPr>
              <w:t>0.00</w:t>
            </w:r>
          </w:p>
        </w:tc>
        <w:tc>
          <w:tcPr>
            <w:tcW w:w="1804" w:type="dxa"/>
            <w:vAlign w:val="center"/>
          </w:tcPr>
          <w:p w14:paraId="340554B0" w14:textId="77777777" w:rsidR="00931B97" w:rsidRPr="00F6284E" w:rsidRDefault="00931B97" w:rsidP="00647943">
            <w:pPr>
              <w:jc w:val="right"/>
              <w:rPr>
                <w:rFonts w:ascii="Arial" w:hAnsi="Arial"/>
                <w:sz w:val="18"/>
                <w:lang w:eastAsia="en-AU"/>
              </w:rPr>
            </w:pPr>
            <w:r w:rsidRPr="00F6284E">
              <w:rPr>
                <w:sz w:val="18"/>
                <w:lang w:eastAsia="en-AU"/>
              </w:rPr>
              <w:t>0.35</w:t>
            </w:r>
          </w:p>
        </w:tc>
        <w:tc>
          <w:tcPr>
            <w:tcW w:w="1804" w:type="dxa"/>
            <w:vAlign w:val="center"/>
          </w:tcPr>
          <w:p w14:paraId="4B8EC39F" w14:textId="77777777" w:rsidR="00931B97" w:rsidRPr="00F6284E" w:rsidRDefault="00931B97" w:rsidP="00647943">
            <w:pPr>
              <w:jc w:val="right"/>
              <w:rPr>
                <w:rFonts w:ascii="Arial" w:hAnsi="Arial"/>
                <w:sz w:val="18"/>
                <w:lang w:eastAsia="en-AU"/>
              </w:rPr>
            </w:pPr>
            <w:r w:rsidRPr="00F6284E">
              <w:rPr>
                <w:sz w:val="18"/>
                <w:lang w:eastAsia="en-AU"/>
              </w:rPr>
              <w:t>0.13</w:t>
            </w:r>
          </w:p>
        </w:tc>
      </w:tr>
      <w:tr w:rsidR="00931B97" w14:paraId="33AACCBA" w14:textId="77777777" w:rsidTr="00F6284E">
        <w:trPr>
          <w:trHeight w:val="312"/>
          <w:jc w:val="center"/>
        </w:trPr>
        <w:tc>
          <w:tcPr>
            <w:tcW w:w="1785" w:type="dxa"/>
            <w:vAlign w:val="center"/>
          </w:tcPr>
          <w:p w14:paraId="1EF0BC98" w14:textId="77777777" w:rsidR="00931B97" w:rsidRPr="000B3C14" w:rsidRDefault="00931B97" w:rsidP="00A111E9">
            <w:pPr>
              <w:rPr>
                <w:rFonts w:ascii="Arial" w:hAnsi="Arial"/>
                <w:sz w:val="18"/>
                <w:lang w:eastAsia="en-AU"/>
              </w:rPr>
            </w:pPr>
            <w:r w:rsidRPr="00D711DD">
              <w:rPr>
                <w:sz w:val="18"/>
                <w:lang w:eastAsia="en-AU"/>
              </w:rPr>
              <w:t>Total recovered %</w:t>
            </w:r>
          </w:p>
        </w:tc>
        <w:tc>
          <w:tcPr>
            <w:tcW w:w="1803" w:type="dxa"/>
            <w:vAlign w:val="center"/>
          </w:tcPr>
          <w:p w14:paraId="147FD84E" w14:textId="77777777" w:rsidR="00931B97" w:rsidRPr="00F6284E" w:rsidRDefault="00931B97" w:rsidP="00647943">
            <w:pPr>
              <w:jc w:val="right"/>
              <w:rPr>
                <w:rFonts w:ascii="Arial" w:hAnsi="Arial"/>
                <w:sz w:val="18"/>
                <w:lang w:eastAsia="en-AU"/>
              </w:rPr>
            </w:pPr>
            <w:r w:rsidRPr="00F6284E">
              <w:rPr>
                <w:sz w:val="18"/>
                <w:lang w:eastAsia="en-AU"/>
              </w:rPr>
              <w:t>43.97</w:t>
            </w:r>
          </w:p>
        </w:tc>
        <w:tc>
          <w:tcPr>
            <w:tcW w:w="1804" w:type="dxa"/>
            <w:vAlign w:val="center"/>
          </w:tcPr>
          <w:p w14:paraId="0799EDF3" w14:textId="77777777" w:rsidR="00931B97" w:rsidRPr="00F6284E" w:rsidRDefault="00931B97" w:rsidP="00647943">
            <w:pPr>
              <w:jc w:val="right"/>
              <w:rPr>
                <w:rFonts w:ascii="Arial" w:hAnsi="Arial"/>
                <w:sz w:val="18"/>
                <w:lang w:eastAsia="en-AU"/>
              </w:rPr>
            </w:pPr>
            <w:r w:rsidRPr="00F6284E">
              <w:rPr>
                <w:sz w:val="18"/>
                <w:lang w:eastAsia="en-AU"/>
              </w:rPr>
              <w:t>33.64</w:t>
            </w:r>
          </w:p>
        </w:tc>
        <w:tc>
          <w:tcPr>
            <w:tcW w:w="1804" w:type="dxa"/>
            <w:vAlign w:val="center"/>
          </w:tcPr>
          <w:p w14:paraId="374A2CF0" w14:textId="77777777" w:rsidR="00931B97" w:rsidRPr="00F6284E" w:rsidRDefault="00931B97" w:rsidP="00647943">
            <w:pPr>
              <w:jc w:val="right"/>
              <w:rPr>
                <w:rFonts w:ascii="Arial" w:hAnsi="Arial"/>
                <w:sz w:val="18"/>
                <w:lang w:eastAsia="en-AU"/>
              </w:rPr>
            </w:pPr>
            <w:r w:rsidRPr="00F6284E">
              <w:rPr>
                <w:sz w:val="18"/>
                <w:lang w:eastAsia="en-AU"/>
              </w:rPr>
              <w:t>41.95</w:t>
            </w:r>
          </w:p>
        </w:tc>
      </w:tr>
    </w:tbl>
    <w:p w14:paraId="3A7CD7BC" w14:textId="77777777" w:rsidR="00931B97" w:rsidRDefault="00931B97" w:rsidP="00A111E9">
      <w:pPr>
        <w:rPr>
          <w:lang w:eastAsia="en-AU" w:bidi="ar-SA"/>
        </w:rPr>
      </w:pPr>
    </w:p>
    <w:p w14:paraId="0C4473EE" w14:textId="1DCB1A13" w:rsidR="00931B97" w:rsidRDefault="00931B97" w:rsidP="00A111E9">
      <w:pPr>
        <w:rPr>
          <w:lang w:eastAsia="en-AU" w:bidi="ar-SA"/>
        </w:rPr>
      </w:pPr>
      <w:r>
        <w:rPr>
          <w:lang w:eastAsia="en-AU" w:bidi="ar-SA"/>
        </w:rPr>
        <w:t>In a separate study, male and female Sprague</w:t>
      </w:r>
      <w:r w:rsidR="00032CF6">
        <w:rPr>
          <w:lang w:eastAsia="en-AU" w:bidi="ar-SA"/>
        </w:rPr>
        <w:t xml:space="preserve"> </w:t>
      </w:r>
      <w:r>
        <w:rPr>
          <w:lang w:eastAsia="en-AU" w:bidi="ar-SA"/>
        </w:rPr>
        <w:t>Dawley rats (4/sex/group; at least 8-10 weeks old) were given a single iv dose of K</w:t>
      </w:r>
      <w:r>
        <w:rPr>
          <w:vertAlign w:val="superscript"/>
          <w:lang w:eastAsia="en-AU" w:bidi="ar-SA"/>
        </w:rPr>
        <w:t>+</w:t>
      </w:r>
      <w:r>
        <w:rPr>
          <w:lang w:eastAsia="en-AU" w:bidi="ar-SA"/>
        </w:rPr>
        <w:t>PFHxS at 10 mg/kg bw. Blood samples (from the tail vein), urine and faec</w:t>
      </w:r>
      <w:r w:rsidR="00923DBA">
        <w:rPr>
          <w:lang w:eastAsia="en-AU" w:bidi="ar-SA"/>
        </w:rPr>
        <w:t>al</w:t>
      </w:r>
      <w:r>
        <w:rPr>
          <w:lang w:eastAsia="en-AU" w:bidi="ar-SA"/>
        </w:rPr>
        <w:t xml:space="preserve"> samples w</w:t>
      </w:r>
      <w:r w:rsidR="00923DBA">
        <w:rPr>
          <w:lang w:eastAsia="en-AU" w:bidi="ar-SA"/>
        </w:rPr>
        <w:t>ere then collected over a 10</w:t>
      </w:r>
      <w:r w:rsidR="00486B54">
        <w:rPr>
          <w:lang w:eastAsia="en-AU" w:bidi="ar-SA"/>
        </w:rPr>
        <w:t xml:space="preserve"> </w:t>
      </w:r>
      <w:r w:rsidR="00923DBA">
        <w:rPr>
          <w:lang w:eastAsia="en-AU" w:bidi="ar-SA"/>
        </w:rPr>
        <w:t>week</w:t>
      </w:r>
      <w:r w:rsidRPr="00BE29F0">
        <w:rPr>
          <w:vertAlign w:val="superscript"/>
          <w:lang w:eastAsia="en-AU" w:bidi="ar-SA"/>
        </w:rPr>
        <w:t xml:space="preserve"> </w:t>
      </w:r>
      <w:r>
        <w:rPr>
          <w:lang w:eastAsia="en-AU" w:bidi="ar-SA"/>
        </w:rPr>
        <w:t xml:space="preserve">observation period. It appears (from graphical data) that </w:t>
      </w:r>
      <w:r w:rsidRPr="00232D0F">
        <w:rPr>
          <w:lang w:eastAsia="en-AU" w:bidi="ar-SA"/>
        </w:rPr>
        <w:t xml:space="preserve">samples were taken on three occasions in the first observation week and then approximately weekly thereafter. At study termination blood samples via the abdominal aorta were taken at sacrifice and liver samples </w:t>
      </w:r>
      <w:r>
        <w:rPr>
          <w:lang w:eastAsia="en-AU" w:bidi="ar-SA"/>
        </w:rPr>
        <w:t>collected</w:t>
      </w:r>
      <w:r w:rsidRPr="00232D0F">
        <w:rPr>
          <w:lang w:eastAsia="en-AU" w:bidi="ar-SA"/>
        </w:rPr>
        <w:t xml:space="preserve"> (region not specified). Serum was prepared and all samples were frozen with liquid nitrogen and stored at -80</w:t>
      </w:r>
      <w:r>
        <w:rPr>
          <w:rFonts w:cs="Arial"/>
          <w:lang w:eastAsia="en-AU" w:bidi="ar-SA"/>
        </w:rPr>
        <w:t>°</w:t>
      </w:r>
      <w:r w:rsidRPr="00232D0F">
        <w:rPr>
          <w:lang w:eastAsia="en-AU" w:bidi="ar-SA"/>
        </w:rPr>
        <w:t>C until analysis</w:t>
      </w:r>
      <w:r w:rsidR="00156ADD">
        <w:rPr>
          <w:lang w:eastAsia="en-AU" w:bidi="ar-SA"/>
        </w:rPr>
        <w:t>.</w:t>
      </w:r>
    </w:p>
    <w:p w14:paraId="392024F0" w14:textId="77777777" w:rsidR="00931B97" w:rsidRDefault="00931B97" w:rsidP="00A111E9">
      <w:pPr>
        <w:rPr>
          <w:lang w:eastAsia="en-AU" w:bidi="ar-SA"/>
        </w:rPr>
      </w:pPr>
    </w:p>
    <w:p w14:paraId="2135DCDD" w14:textId="39A5163F" w:rsidR="00931B97" w:rsidRDefault="00931B97" w:rsidP="00A111E9">
      <w:pPr>
        <w:rPr>
          <w:lang w:eastAsia="en-AU" w:bidi="ar-SA"/>
        </w:rPr>
      </w:pPr>
      <w:r>
        <w:rPr>
          <w:lang w:eastAsia="en-AU" w:bidi="ar-SA"/>
        </w:rPr>
        <w:t>Pharmacokinetic parameters are tabulated below. The data suggest marked sex differences in AUC and more rapid clearance via excretion in the urine in females.</w:t>
      </w:r>
    </w:p>
    <w:p w14:paraId="528AD599" w14:textId="77777777" w:rsidR="00B246AB" w:rsidRDefault="00B246AB" w:rsidP="00A111E9">
      <w:pPr>
        <w:rPr>
          <w:lang w:eastAsia="en-AU" w:bidi="ar-SA"/>
        </w:rPr>
      </w:pPr>
    </w:p>
    <w:p w14:paraId="6CF1EBF5" w14:textId="77777777" w:rsidR="006069A4" w:rsidRDefault="006069A4" w:rsidP="00A111E9">
      <w:pPr>
        <w:widowControl/>
        <w:rPr>
          <w:rFonts w:cs="Arial"/>
          <w:b/>
          <w:lang w:eastAsia="en-AU" w:bidi="ar-SA"/>
        </w:rPr>
      </w:pPr>
      <w:r>
        <w:rPr>
          <w:lang w:eastAsia="en-AU" w:bidi="ar-SA"/>
        </w:rPr>
        <w:br w:type="page"/>
      </w:r>
    </w:p>
    <w:p w14:paraId="5D184A2D" w14:textId="7485B3D8" w:rsidR="00C1121B" w:rsidRPr="000C40BC" w:rsidRDefault="00B246AB" w:rsidP="00A111E9">
      <w:pPr>
        <w:pStyle w:val="FSTableTitle"/>
        <w:rPr>
          <w:lang w:eastAsia="en-AU" w:bidi="ar-SA"/>
        </w:rPr>
      </w:pPr>
      <w:r>
        <w:rPr>
          <w:lang w:eastAsia="en-AU" w:bidi="ar-SA"/>
        </w:rPr>
        <w:lastRenderedPageBreak/>
        <w:t>Table A</w:t>
      </w:r>
      <w:r w:rsidR="00707CE3">
        <w:rPr>
          <w:lang w:eastAsia="en-AU" w:bidi="ar-SA"/>
        </w:rPr>
        <w:t>3</w:t>
      </w:r>
      <w:r w:rsidR="006F6E97">
        <w:rPr>
          <w:lang w:eastAsia="en-AU" w:bidi="ar-SA"/>
        </w:rPr>
        <w:t>.</w:t>
      </w:r>
      <w:r>
        <w:rPr>
          <w:lang w:eastAsia="en-AU" w:bidi="ar-SA"/>
        </w:rPr>
        <w:t xml:space="preserve">3: </w:t>
      </w:r>
      <w:r w:rsidR="00C1121B">
        <w:rPr>
          <w:lang w:eastAsia="en-AU" w:bidi="ar-SA"/>
        </w:rPr>
        <w:t xml:space="preserve">Pharmacokinetic </w:t>
      </w:r>
      <w:r w:rsidR="00486B54">
        <w:rPr>
          <w:lang w:eastAsia="en-AU" w:bidi="ar-SA"/>
        </w:rPr>
        <w:t xml:space="preserve">values </w:t>
      </w:r>
      <w:r w:rsidR="00C1121B">
        <w:rPr>
          <w:lang w:eastAsia="en-AU" w:bidi="ar-SA"/>
        </w:rPr>
        <w:t xml:space="preserve">for Sprague Dawley </w:t>
      </w:r>
      <w:r w:rsidR="00486B54">
        <w:rPr>
          <w:lang w:eastAsia="en-AU" w:bidi="ar-SA"/>
        </w:rPr>
        <w:t xml:space="preserve">rats </w:t>
      </w:r>
      <w:r w:rsidR="00C1121B">
        <w:rPr>
          <w:lang w:eastAsia="en-AU" w:bidi="ar-SA"/>
        </w:rPr>
        <w:t xml:space="preserve">After a </w:t>
      </w:r>
      <w:r w:rsidR="00486B54">
        <w:rPr>
          <w:lang w:eastAsia="en-AU" w:bidi="ar-SA"/>
        </w:rPr>
        <w:t xml:space="preserve">single </w:t>
      </w:r>
      <w:r w:rsidR="00C1121B">
        <w:rPr>
          <w:lang w:eastAsia="en-AU" w:bidi="ar-SA"/>
        </w:rPr>
        <w:t xml:space="preserve">iv </w:t>
      </w:r>
      <w:r w:rsidR="00486B54">
        <w:rPr>
          <w:lang w:eastAsia="en-AU" w:bidi="ar-SA"/>
        </w:rPr>
        <w:t xml:space="preserve">dose followed </w:t>
      </w:r>
      <w:r w:rsidR="00C1121B">
        <w:rPr>
          <w:lang w:eastAsia="en-AU" w:bidi="ar-SA"/>
        </w:rPr>
        <w:t xml:space="preserve">by a 10 </w:t>
      </w:r>
      <w:r w:rsidR="00486B54">
        <w:rPr>
          <w:lang w:eastAsia="en-AU" w:bidi="ar-SA"/>
        </w:rPr>
        <w:t>week observation period</w:t>
      </w:r>
    </w:p>
    <w:p w14:paraId="333127F9" w14:textId="4763DCBE" w:rsidR="00B246AB" w:rsidRDefault="00B246AB" w:rsidP="00A111E9">
      <w:pPr>
        <w:pStyle w:val="FSTableTitle"/>
        <w:rPr>
          <w:lang w:eastAsia="en-AU" w:bidi="ar-SA"/>
        </w:rPr>
      </w:pPr>
    </w:p>
    <w:tbl>
      <w:tblPr>
        <w:tblStyle w:val="TableGrid"/>
        <w:tblW w:w="8188" w:type="dxa"/>
        <w:jc w:val="center"/>
        <w:tblLook w:val="04A0" w:firstRow="1" w:lastRow="0" w:firstColumn="1" w:lastColumn="0" w:noHBand="0" w:noVBand="1"/>
        <w:tblCaption w:val="Table A3.3: Pharmacokinetic values for Sprague Dawley rats After a single iv dose followed by a 10 week observation period"/>
        <w:tblDescription w:val="This table contains data relting to pharmacokinetic values for Sprague Dawley rats After a single iv dose followed by a 10 week observation period."/>
      </w:tblPr>
      <w:tblGrid>
        <w:gridCol w:w="3331"/>
        <w:gridCol w:w="2428"/>
        <w:gridCol w:w="2429"/>
      </w:tblGrid>
      <w:tr w:rsidR="00931B97" w14:paraId="630EDDDD" w14:textId="77777777" w:rsidTr="0008049A">
        <w:trPr>
          <w:trHeight w:val="255"/>
          <w:tblHeader/>
          <w:jc w:val="center"/>
        </w:trPr>
        <w:tc>
          <w:tcPr>
            <w:tcW w:w="3331" w:type="dxa"/>
            <w:shd w:val="clear" w:color="auto" w:fill="F2F2F2" w:themeFill="background1" w:themeFillShade="F2"/>
            <w:vAlign w:val="center"/>
          </w:tcPr>
          <w:p w14:paraId="4EA9A3AF" w14:textId="77777777" w:rsidR="00931B97" w:rsidRPr="000B3C14" w:rsidRDefault="00931B97" w:rsidP="00A111E9">
            <w:pPr>
              <w:rPr>
                <w:rFonts w:ascii="Arial" w:hAnsi="Arial"/>
                <w:b/>
                <w:sz w:val="18"/>
                <w:lang w:eastAsia="en-AU"/>
              </w:rPr>
            </w:pPr>
            <w:r w:rsidRPr="00D711DD">
              <w:rPr>
                <w:b/>
                <w:sz w:val="18"/>
                <w:lang w:eastAsia="en-AU"/>
              </w:rPr>
              <w:t>Parameter</w:t>
            </w:r>
          </w:p>
        </w:tc>
        <w:tc>
          <w:tcPr>
            <w:tcW w:w="2428" w:type="dxa"/>
            <w:shd w:val="clear" w:color="auto" w:fill="F2F2F2" w:themeFill="background1" w:themeFillShade="F2"/>
            <w:vAlign w:val="center"/>
          </w:tcPr>
          <w:p w14:paraId="5CF94518" w14:textId="77777777" w:rsidR="00931B97" w:rsidRPr="00F6284E" w:rsidRDefault="00931B97" w:rsidP="00647943">
            <w:pPr>
              <w:jc w:val="right"/>
              <w:rPr>
                <w:rFonts w:ascii="Arial" w:hAnsi="Arial"/>
                <w:b/>
                <w:sz w:val="18"/>
                <w:lang w:eastAsia="en-AU"/>
              </w:rPr>
            </w:pPr>
            <w:r w:rsidRPr="00F6284E">
              <w:rPr>
                <w:b/>
                <w:sz w:val="18"/>
                <w:lang w:eastAsia="en-AU"/>
              </w:rPr>
              <w:t>Male</w:t>
            </w:r>
          </w:p>
        </w:tc>
        <w:tc>
          <w:tcPr>
            <w:tcW w:w="2429" w:type="dxa"/>
            <w:shd w:val="clear" w:color="auto" w:fill="F2F2F2" w:themeFill="background1" w:themeFillShade="F2"/>
            <w:vAlign w:val="center"/>
          </w:tcPr>
          <w:p w14:paraId="61DC7F5C" w14:textId="77777777" w:rsidR="00931B97" w:rsidRPr="00F6284E" w:rsidRDefault="00931B97" w:rsidP="00647943">
            <w:pPr>
              <w:jc w:val="right"/>
              <w:rPr>
                <w:rFonts w:ascii="Arial" w:hAnsi="Arial"/>
                <w:b/>
                <w:sz w:val="18"/>
                <w:lang w:eastAsia="en-AU"/>
              </w:rPr>
            </w:pPr>
            <w:r w:rsidRPr="00F6284E">
              <w:rPr>
                <w:b/>
                <w:sz w:val="18"/>
                <w:lang w:eastAsia="en-AU"/>
              </w:rPr>
              <w:t>Female</w:t>
            </w:r>
          </w:p>
        </w:tc>
      </w:tr>
      <w:tr w:rsidR="00931B97" w14:paraId="4AF221B5" w14:textId="77777777" w:rsidTr="00F6284E">
        <w:trPr>
          <w:trHeight w:val="255"/>
          <w:jc w:val="center"/>
        </w:trPr>
        <w:tc>
          <w:tcPr>
            <w:tcW w:w="3331" w:type="dxa"/>
            <w:vAlign w:val="center"/>
          </w:tcPr>
          <w:p w14:paraId="4C624146" w14:textId="77777777" w:rsidR="00931B97" w:rsidRPr="00F6284E" w:rsidRDefault="00931B97" w:rsidP="00A111E9">
            <w:pPr>
              <w:rPr>
                <w:rFonts w:ascii="Arial" w:hAnsi="Arial"/>
                <w:b/>
                <w:sz w:val="18"/>
                <w:lang w:eastAsia="en-AU"/>
              </w:rPr>
            </w:pPr>
            <w:r w:rsidRPr="00D711DD">
              <w:rPr>
                <w:b/>
                <w:sz w:val="18"/>
                <w:lang w:eastAsia="en-AU"/>
              </w:rPr>
              <w:t>C</w:t>
            </w:r>
            <w:r w:rsidRPr="000B3C14">
              <w:rPr>
                <w:b/>
                <w:sz w:val="18"/>
                <w:vertAlign w:val="subscript"/>
                <w:lang w:eastAsia="en-AU"/>
              </w:rPr>
              <w:t xml:space="preserve">max </w:t>
            </w:r>
            <w:r w:rsidRPr="00F6284E">
              <w:rPr>
                <w:sz w:val="18"/>
                <w:lang w:eastAsia="en-AU"/>
              </w:rPr>
              <w:t>(µg/mL)</w:t>
            </w:r>
          </w:p>
        </w:tc>
        <w:tc>
          <w:tcPr>
            <w:tcW w:w="2428" w:type="dxa"/>
            <w:vAlign w:val="center"/>
          </w:tcPr>
          <w:p w14:paraId="706EFA09" w14:textId="77777777" w:rsidR="00931B97" w:rsidRPr="00F6284E" w:rsidRDefault="00931B97" w:rsidP="00647943">
            <w:pPr>
              <w:jc w:val="right"/>
              <w:rPr>
                <w:rFonts w:ascii="Arial" w:hAnsi="Arial"/>
                <w:sz w:val="18"/>
                <w:lang w:eastAsia="en-AU"/>
              </w:rPr>
            </w:pPr>
            <w:r w:rsidRPr="00F6284E">
              <w:rPr>
                <w:sz w:val="18"/>
                <w:lang w:eastAsia="en-AU"/>
              </w:rPr>
              <w:t>61.87±1.90</w:t>
            </w:r>
          </w:p>
        </w:tc>
        <w:tc>
          <w:tcPr>
            <w:tcW w:w="2429" w:type="dxa"/>
            <w:vAlign w:val="center"/>
          </w:tcPr>
          <w:p w14:paraId="6C7B22C7" w14:textId="77777777" w:rsidR="00931B97" w:rsidRPr="00F6284E" w:rsidRDefault="00931B97" w:rsidP="00647943">
            <w:pPr>
              <w:jc w:val="right"/>
              <w:rPr>
                <w:rFonts w:ascii="Arial" w:hAnsi="Arial"/>
                <w:sz w:val="18"/>
                <w:lang w:eastAsia="en-AU"/>
              </w:rPr>
            </w:pPr>
            <w:r w:rsidRPr="00F6284E">
              <w:rPr>
                <w:sz w:val="18"/>
                <w:lang w:eastAsia="en-AU"/>
              </w:rPr>
              <w:t>79.10±8.58</w:t>
            </w:r>
          </w:p>
        </w:tc>
      </w:tr>
      <w:tr w:rsidR="00931B97" w14:paraId="4024E673" w14:textId="77777777" w:rsidTr="00F6284E">
        <w:trPr>
          <w:trHeight w:val="255"/>
          <w:jc w:val="center"/>
        </w:trPr>
        <w:tc>
          <w:tcPr>
            <w:tcW w:w="3331" w:type="dxa"/>
            <w:vAlign w:val="center"/>
          </w:tcPr>
          <w:p w14:paraId="4603E882" w14:textId="77777777" w:rsidR="00931B97" w:rsidRPr="00F6284E" w:rsidRDefault="00931B97" w:rsidP="00A111E9">
            <w:pPr>
              <w:rPr>
                <w:rFonts w:ascii="Arial" w:hAnsi="Arial"/>
                <w:b/>
                <w:sz w:val="18"/>
                <w:lang w:eastAsia="en-AU"/>
              </w:rPr>
            </w:pPr>
            <w:r w:rsidRPr="00D711DD">
              <w:rPr>
                <w:b/>
                <w:sz w:val="18"/>
                <w:lang w:eastAsia="en-AU"/>
              </w:rPr>
              <w:t>Serum [PFHxS]</w:t>
            </w:r>
            <w:r w:rsidRPr="000B3C14">
              <w:rPr>
                <w:b/>
                <w:sz w:val="18"/>
                <w:vertAlign w:val="subscript"/>
                <w:lang w:eastAsia="en-AU"/>
              </w:rPr>
              <w:t xml:space="preserve">last </w:t>
            </w:r>
            <w:r w:rsidRPr="00F6284E">
              <w:rPr>
                <w:sz w:val="18"/>
                <w:lang w:eastAsia="en-AU"/>
              </w:rPr>
              <w:t>(µg/mL)</w:t>
            </w:r>
          </w:p>
        </w:tc>
        <w:tc>
          <w:tcPr>
            <w:tcW w:w="2428" w:type="dxa"/>
            <w:vAlign w:val="center"/>
          </w:tcPr>
          <w:p w14:paraId="1EFB8F35" w14:textId="77777777" w:rsidR="00931B97" w:rsidRPr="00F6284E" w:rsidRDefault="00931B97" w:rsidP="00647943">
            <w:pPr>
              <w:jc w:val="right"/>
              <w:rPr>
                <w:rFonts w:ascii="Arial" w:hAnsi="Arial"/>
                <w:sz w:val="18"/>
                <w:lang w:eastAsia="en-AU"/>
              </w:rPr>
            </w:pPr>
            <w:r w:rsidRPr="00F6284E">
              <w:rPr>
                <w:sz w:val="18"/>
                <w:lang w:eastAsia="en-AU"/>
              </w:rPr>
              <w:t>6.25±1.06</w:t>
            </w:r>
          </w:p>
        </w:tc>
        <w:tc>
          <w:tcPr>
            <w:tcW w:w="2429" w:type="dxa"/>
            <w:vAlign w:val="center"/>
          </w:tcPr>
          <w:p w14:paraId="33B19EC6" w14:textId="77777777" w:rsidR="00931B97" w:rsidRPr="00F6284E" w:rsidRDefault="00931B97" w:rsidP="00647943">
            <w:pPr>
              <w:jc w:val="right"/>
              <w:rPr>
                <w:rFonts w:ascii="Arial" w:hAnsi="Arial"/>
                <w:sz w:val="18"/>
                <w:lang w:eastAsia="en-AU"/>
              </w:rPr>
            </w:pPr>
            <w:r w:rsidRPr="00F6284E">
              <w:rPr>
                <w:sz w:val="18"/>
                <w:lang w:eastAsia="en-AU"/>
              </w:rPr>
              <w:t>&lt;LLOQ</w:t>
            </w:r>
            <w:r w:rsidRPr="00F6284E">
              <w:rPr>
                <w:sz w:val="18"/>
                <w:vertAlign w:val="superscript"/>
                <w:lang w:eastAsia="en-AU"/>
              </w:rPr>
              <w:t>a</w:t>
            </w:r>
          </w:p>
        </w:tc>
      </w:tr>
      <w:tr w:rsidR="00931B97" w14:paraId="55D95255" w14:textId="77777777" w:rsidTr="00F6284E">
        <w:trPr>
          <w:trHeight w:val="255"/>
          <w:jc w:val="center"/>
        </w:trPr>
        <w:tc>
          <w:tcPr>
            <w:tcW w:w="3331" w:type="dxa"/>
            <w:vAlign w:val="center"/>
          </w:tcPr>
          <w:p w14:paraId="62A99F6B" w14:textId="77777777" w:rsidR="00931B97" w:rsidRPr="00F6284E" w:rsidRDefault="00931B97" w:rsidP="00A111E9">
            <w:pPr>
              <w:rPr>
                <w:rFonts w:ascii="Arial" w:hAnsi="Arial"/>
                <w:b/>
                <w:sz w:val="18"/>
                <w:lang w:eastAsia="en-AU"/>
              </w:rPr>
            </w:pPr>
            <w:r w:rsidRPr="00D711DD">
              <w:rPr>
                <w:b/>
                <w:sz w:val="18"/>
                <w:lang w:eastAsia="en-AU"/>
              </w:rPr>
              <w:t>Liver [PFHxS]</w:t>
            </w:r>
            <w:r w:rsidRPr="000B3C14">
              <w:rPr>
                <w:b/>
                <w:sz w:val="18"/>
                <w:vertAlign w:val="subscript"/>
                <w:lang w:eastAsia="en-AU"/>
              </w:rPr>
              <w:t xml:space="preserve">last </w:t>
            </w:r>
            <w:r w:rsidRPr="00F6284E">
              <w:rPr>
                <w:sz w:val="18"/>
                <w:lang w:eastAsia="en-AU"/>
              </w:rPr>
              <w:t>(µg/mL)</w:t>
            </w:r>
          </w:p>
        </w:tc>
        <w:tc>
          <w:tcPr>
            <w:tcW w:w="2428" w:type="dxa"/>
            <w:vAlign w:val="center"/>
          </w:tcPr>
          <w:p w14:paraId="2055BD51" w14:textId="77777777" w:rsidR="00931B97" w:rsidRPr="00F6284E" w:rsidRDefault="00931B97" w:rsidP="00647943">
            <w:pPr>
              <w:jc w:val="right"/>
              <w:rPr>
                <w:rFonts w:ascii="Arial" w:hAnsi="Arial"/>
                <w:sz w:val="18"/>
                <w:lang w:eastAsia="en-AU"/>
              </w:rPr>
            </w:pPr>
            <w:r w:rsidRPr="00F6284E">
              <w:rPr>
                <w:sz w:val="18"/>
                <w:lang w:eastAsia="en-AU"/>
              </w:rPr>
              <w:t>6.62±0.68</w:t>
            </w:r>
          </w:p>
        </w:tc>
        <w:tc>
          <w:tcPr>
            <w:tcW w:w="2429" w:type="dxa"/>
            <w:vAlign w:val="center"/>
          </w:tcPr>
          <w:p w14:paraId="144C800E" w14:textId="77777777" w:rsidR="00931B97" w:rsidRPr="00F6284E" w:rsidRDefault="00931B97" w:rsidP="00647943">
            <w:pPr>
              <w:jc w:val="right"/>
              <w:rPr>
                <w:rFonts w:ascii="Arial" w:hAnsi="Arial"/>
                <w:sz w:val="18"/>
                <w:lang w:eastAsia="en-AU"/>
              </w:rPr>
            </w:pPr>
            <w:r w:rsidRPr="00F6284E">
              <w:rPr>
                <w:sz w:val="18"/>
                <w:lang w:eastAsia="en-AU"/>
              </w:rPr>
              <w:t>&lt;LLOQ</w:t>
            </w:r>
            <w:r w:rsidRPr="00F6284E">
              <w:rPr>
                <w:sz w:val="18"/>
                <w:vertAlign w:val="superscript"/>
                <w:lang w:eastAsia="en-AU"/>
              </w:rPr>
              <w:t>b</w:t>
            </w:r>
          </w:p>
        </w:tc>
      </w:tr>
      <w:tr w:rsidR="00931B97" w14:paraId="7CEA87AB" w14:textId="77777777" w:rsidTr="00F6284E">
        <w:trPr>
          <w:trHeight w:val="255"/>
          <w:jc w:val="center"/>
        </w:trPr>
        <w:tc>
          <w:tcPr>
            <w:tcW w:w="3331" w:type="dxa"/>
            <w:vAlign w:val="center"/>
          </w:tcPr>
          <w:p w14:paraId="0D385808" w14:textId="77777777" w:rsidR="00931B97" w:rsidRPr="00F6284E" w:rsidRDefault="00931B97" w:rsidP="00A111E9">
            <w:pPr>
              <w:rPr>
                <w:rFonts w:ascii="Arial" w:hAnsi="Arial"/>
                <w:b/>
                <w:sz w:val="18"/>
                <w:lang w:eastAsia="en-AU"/>
              </w:rPr>
            </w:pPr>
            <w:r w:rsidRPr="00D711DD">
              <w:rPr>
                <w:b/>
                <w:sz w:val="18"/>
                <w:lang w:eastAsia="en-AU"/>
              </w:rPr>
              <w:t>% PFHxS d</w:t>
            </w:r>
            <w:r w:rsidRPr="000B3C14">
              <w:rPr>
                <w:b/>
                <w:sz w:val="18"/>
                <w:lang w:eastAsia="en-AU"/>
              </w:rPr>
              <w:t>ose in urine,</w:t>
            </w:r>
            <w:r w:rsidRPr="00F6284E">
              <w:rPr>
                <w:sz w:val="18"/>
                <w:lang w:eastAsia="en-AU"/>
              </w:rPr>
              <w:t xml:space="preserve"> 0-24h</w:t>
            </w:r>
          </w:p>
        </w:tc>
        <w:tc>
          <w:tcPr>
            <w:tcW w:w="2428" w:type="dxa"/>
            <w:vAlign w:val="center"/>
          </w:tcPr>
          <w:p w14:paraId="4595D384" w14:textId="77777777" w:rsidR="00931B97" w:rsidRPr="00F6284E" w:rsidRDefault="00931B97" w:rsidP="00647943">
            <w:pPr>
              <w:jc w:val="right"/>
              <w:rPr>
                <w:rFonts w:ascii="Arial" w:hAnsi="Arial"/>
                <w:sz w:val="18"/>
                <w:lang w:eastAsia="en-AU"/>
              </w:rPr>
            </w:pPr>
            <w:r w:rsidRPr="00F6284E">
              <w:rPr>
                <w:sz w:val="18"/>
                <w:lang w:eastAsia="en-AU"/>
              </w:rPr>
              <w:t>0.70±0.07</w:t>
            </w:r>
          </w:p>
        </w:tc>
        <w:tc>
          <w:tcPr>
            <w:tcW w:w="2429" w:type="dxa"/>
            <w:vAlign w:val="center"/>
          </w:tcPr>
          <w:p w14:paraId="1FE05A07" w14:textId="77777777" w:rsidR="00931B97" w:rsidRPr="00F6284E" w:rsidRDefault="00931B97" w:rsidP="00647943">
            <w:pPr>
              <w:jc w:val="right"/>
              <w:rPr>
                <w:rFonts w:ascii="Arial" w:hAnsi="Arial"/>
                <w:sz w:val="18"/>
                <w:lang w:eastAsia="en-AU"/>
              </w:rPr>
            </w:pPr>
            <w:r w:rsidRPr="00F6284E">
              <w:rPr>
                <w:sz w:val="18"/>
                <w:lang w:eastAsia="en-AU"/>
              </w:rPr>
              <w:t>13.28±2.88</w:t>
            </w:r>
          </w:p>
        </w:tc>
      </w:tr>
      <w:tr w:rsidR="00931B97" w14:paraId="1494F350" w14:textId="77777777" w:rsidTr="00F6284E">
        <w:trPr>
          <w:trHeight w:val="255"/>
          <w:jc w:val="center"/>
        </w:trPr>
        <w:tc>
          <w:tcPr>
            <w:tcW w:w="3331" w:type="dxa"/>
            <w:vAlign w:val="center"/>
          </w:tcPr>
          <w:p w14:paraId="4C63B61D" w14:textId="77777777" w:rsidR="00931B97" w:rsidRPr="00F6284E" w:rsidRDefault="00931B97" w:rsidP="00A111E9">
            <w:pPr>
              <w:rPr>
                <w:rFonts w:ascii="Arial" w:hAnsi="Arial"/>
                <w:sz w:val="18"/>
                <w:lang w:eastAsia="en-AU"/>
              </w:rPr>
            </w:pPr>
            <w:r w:rsidRPr="00D711DD">
              <w:rPr>
                <w:b/>
                <w:sz w:val="18"/>
                <w:lang w:eastAsia="en-AU"/>
              </w:rPr>
              <w:t xml:space="preserve">Serum elimination </w:t>
            </w:r>
            <w:r w:rsidRPr="000B3C14">
              <w:rPr>
                <w:b/>
                <w:sz w:val="18"/>
                <w:vertAlign w:val="subscript"/>
                <w:lang w:eastAsia="en-AU"/>
              </w:rPr>
              <w:t>initial phase</w:t>
            </w:r>
            <w:r w:rsidRPr="00F6284E">
              <w:rPr>
                <w:sz w:val="18"/>
                <w:lang w:eastAsia="en-AU"/>
              </w:rPr>
              <w:t xml:space="preserve"> (1/day)</w:t>
            </w:r>
          </w:p>
        </w:tc>
        <w:tc>
          <w:tcPr>
            <w:tcW w:w="2428" w:type="dxa"/>
            <w:vAlign w:val="center"/>
          </w:tcPr>
          <w:p w14:paraId="284E4E47" w14:textId="77777777" w:rsidR="00931B97" w:rsidRPr="00F6284E" w:rsidRDefault="00931B97" w:rsidP="00647943">
            <w:pPr>
              <w:jc w:val="right"/>
              <w:rPr>
                <w:rFonts w:ascii="Arial" w:hAnsi="Arial"/>
                <w:sz w:val="18"/>
                <w:lang w:eastAsia="en-AU"/>
              </w:rPr>
            </w:pPr>
            <w:r w:rsidRPr="00F6284E">
              <w:rPr>
                <w:sz w:val="18"/>
                <w:lang w:eastAsia="en-AU"/>
              </w:rPr>
              <w:t>0.7428±0.1362</w:t>
            </w:r>
          </w:p>
        </w:tc>
        <w:tc>
          <w:tcPr>
            <w:tcW w:w="2429" w:type="dxa"/>
            <w:vAlign w:val="center"/>
          </w:tcPr>
          <w:p w14:paraId="5F1DC82B" w14:textId="77777777" w:rsidR="00931B97" w:rsidRPr="00F6284E" w:rsidRDefault="00931B97" w:rsidP="00647943">
            <w:pPr>
              <w:jc w:val="right"/>
              <w:rPr>
                <w:rFonts w:ascii="Arial" w:hAnsi="Arial"/>
                <w:sz w:val="18"/>
                <w:lang w:eastAsia="en-AU"/>
              </w:rPr>
            </w:pPr>
            <w:r w:rsidRPr="00F6284E">
              <w:rPr>
                <w:sz w:val="18"/>
                <w:lang w:eastAsia="en-AU"/>
              </w:rPr>
              <w:t>0.4226±0.00190</w:t>
            </w:r>
          </w:p>
        </w:tc>
      </w:tr>
      <w:tr w:rsidR="00931B97" w14:paraId="0861DD4D" w14:textId="77777777" w:rsidTr="00F6284E">
        <w:trPr>
          <w:trHeight w:val="255"/>
          <w:jc w:val="center"/>
        </w:trPr>
        <w:tc>
          <w:tcPr>
            <w:tcW w:w="3331" w:type="dxa"/>
            <w:vAlign w:val="center"/>
          </w:tcPr>
          <w:p w14:paraId="314707CD" w14:textId="77777777" w:rsidR="00931B97" w:rsidRPr="00F6284E" w:rsidRDefault="00931B97" w:rsidP="00A111E9">
            <w:pPr>
              <w:rPr>
                <w:rFonts w:ascii="Arial" w:hAnsi="Arial"/>
                <w:b/>
                <w:sz w:val="18"/>
                <w:lang w:eastAsia="en-AU"/>
              </w:rPr>
            </w:pPr>
            <w:r w:rsidRPr="00D711DD">
              <w:rPr>
                <w:b/>
                <w:sz w:val="18"/>
                <w:lang w:eastAsia="en-AU"/>
              </w:rPr>
              <w:t xml:space="preserve">Serum elimination </w:t>
            </w:r>
            <w:r w:rsidRPr="000B3C14">
              <w:rPr>
                <w:b/>
                <w:sz w:val="18"/>
                <w:vertAlign w:val="subscript"/>
                <w:lang w:eastAsia="en-AU"/>
              </w:rPr>
              <w:t xml:space="preserve">terminal phase </w:t>
            </w:r>
            <w:r w:rsidRPr="00F6284E">
              <w:rPr>
                <w:sz w:val="18"/>
                <w:lang w:eastAsia="en-AU"/>
              </w:rPr>
              <w:t>(1/day)</w:t>
            </w:r>
          </w:p>
        </w:tc>
        <w:tc>
          <w:tcPr>
            <w:tcW w:w="2428" w:type="dxa"/>
            <w:vAlign w:val="center"/>
          </w:tcPr>
          <w:p w14:paraId="0D02FEBF" w14:textId="77777777" w:rsidR="00931B97" w:rsidRPr="00F6284E" w:rsidRDefault="00931B97" w:rsidP="00647943">
            <w:pPr>
              <w:jc w:val="right"/>
              <w:rPr>
                <w:rFonts w:ascii="Arial" w:hAnsi="Arial"/>
                <w:sz w:val="18"/>
                <w:lang w:eastAsia="en-AU"/>
              </w:rPr>
            </w:pPr>
            <w:r w:rsidRPr="00F6284E">
              <w:rPr>
                <w:sz w:val="18"/>
                <w:lang w:eastAsia="en-AU"/>
              </w:rPr>
              <w:t>0.0238±0.0005</w:t>
            </w:r>
          </w:p>
        </w:tc>
        <w:tc>
          <w:tcPr>
            <w:tcW w:w="2429" w:type="dxa"/>
            <w:vAlign w:val="center"/>
          </w:tcPr>
          <w:p w14:paraId="46F38C80" w14:textId="77777777" w:rsidR="00931B97" w:rsidRPr="00F6284E" w:rsidRDefault="00931B97" w:rsidP="00647943">
            <w:pPr>
              <w:jc w:val="right"/>
              <w:rPr>
                <w:rFonts w:ascii="Arial" w:hAnsi="Arial"/>
                <w:sz w:val="18"/>
                <w:lang w:eastAsia="en-AU"/>
              </w:rPr>
            </w:pPr>
            <w:r w:rsidRPr="00F6284E">
              <w:rPr>
                <w:sz w:val="18"/>
                <w:lang w:eastAsia="en-AU"/>
              </w:rPr>
              <w:t>NA</w:t>
            </w:r>
          </w:p>
        </w:tc>
      </w:tr>
      <w:tr w:rsidR="00931B97" w14:paraId="4A6FA60A" w14:textId="77777777" w:rsidTr="00F6284E">
        <w:trPr>
          <w:trHeight w:val="255"/>
          <w:jc w:val="center"/>
        </w:trPr>
        <w:tc>
          <w:tcPr>
            <w:tcW w:w="3331" w:type="dxa"/>
            <w:vAlign w:val="center"/>
          </w:tcPr>
          <w:p w14:paraId="2D737B6F" w14:textId="63B852AA" w:rsidR="00931B97" w:rsidRPr="00F6284E" w:rsidRDefault="00737811" w:rsidP="00A111E9">
            <w:pPr>
              <w:rPr>
                <w:rFonts w:ascii="Arial" w:hAnsi="Arial"/>
                <w:b/>
                <w:sz w:val="18"/>
                <w:lang w:eastAsia="en-AU"/>
              </w:rPr>
            </w:pPr>
            <w:r>
              <w:rPr>
                <w:b/>
                <w:sz w:val="18"/>
                <w:lang w:eastAsia="en-AU"/>
              </w:rPr>
              <w:t>t</w:t>
            </w:r>
            <w:r w:rsidR="00931B97" w:rsidRPr="00737811">
              <w:rPr>
                <w:b/>
                <w:sz w:val="18"/>
                <w:vertAlign w:val="subscript"/>
                <w:lang w:eastAsia="en-AU"/>
              </w:rPr>
              <w:t>1</w:t>
            </w:r>
            <w:r w:rsidR="00931B97" w:rsidRPr="000B3C14">
              <w:rPr>
                <w:b/>
                <w:sz w:val="18"/>
                <w:vertAlign w:val="subscript"/>
                <w:lang w:eastAsia="en-AU"/>
              </w:rPr>
              <w:t xml:space="preserve">/2 </w:t>
            </w:r>
            <w:r w:rsidR="00931B97" w:rsidRPr="00F6284E">
              <w:rPr>
                <w:sz w:val="18"/>
                <w:lang w:eastAsia="en-AU"/>
              </w:rPr>
              <w:t>(day)</w:t>
            </w:r>
          </w:p>
        </w:tc>
        <w:tc>
          <w:tcPr>
            <w:tcW w:w="2428" w:type="dxa"/>
            <w:vAlign w:val="center"/>
          </w:tcPr>
          <w:p w14:paraId="42532E76" w14:textId="77777777" w:rsidR="00931B97" w:rsidRPr="00F6284E" w:rsidRDefault="00931B97" w:rsidP="00647943">
            <w:pPr>
              <w:jc w:val="right"/>
              <w:rPr>
                <w:rFonts w:ascii="Arial" w:hAnsi="Arial"/>
                <w:sz w:val="18"/>
                <w:vertAlign w:val="superscript"/>
                <w:lang w:eastAsia="en-AU"/>
              </w:rPr>
            </w:pPr>
            <w:r w:rsidRPr="00F6284E">
              <w:rPr>
                <w:sz w:val="18"/>
                <w:lang w:eastAsia="en-AU"/>
              </w:rPr>
              <w:t>29.1±0.6</w:t>
            </w:r>
            <w:r w:rsidRPr="00F6284E">
              <w:rPr>
                <w:sz w:val="18"/>
                <w:vertAlign w:val="superscript"/>
                <w:lang w:eastAsia="en-AU"/>
              </w:rPr>
              <w:t>c</w:t>
            </w:r>
          </w:p>
        </w:tc>
        <w:tc>
          <w:tcPr>
            <w:tcW w:w="2429" w:type="dxa"/>
            <w:vAlign w:val="center"/>
          </w:tcPr>
          <w:p w14:paraId="0C2A363E" w14:textId="77777777" w:rsidR="00931B97" w:rsidRPr="00F6284E" w:rsidRDefault="00931B97" w:rsidP="00647943">
            <w:pPr>
              <w:jc w:val="right"/>
              <w:rPr>
                <w:rFonts w:ascii="Arial" w:hAnsi="Arial"/>
                <w:sz w:val="18"/>
                <w:vertAlign w:val="superscript"/>
                <w:lang w:eastAsia="en-AU"/>
              </w:rPr>
            </w:pPr>
            <w:r w:rsidRPr="00F6284E">
              <w:rPr>
                <w:sz w:val="18"/>
                <w:lang w:eastAsia="en-AU"/>
              </w:rPr>
              <w:t>1.64±0.08</w:t>
            </w:r>
            <w:r w:rsidRPr="00F6284E">
              <w:rPr>
                <w:sz w:val="18"/>
                <w:vertAlign w:val="superscript"/>
                <w:lang w:eastAsia="en-AU"/>
              </w:rPr>
              <w:t>d</w:t>
            </w:r>
          </w:p>
        </w:tc>
      </w:tr>
      <w:tr w:rsidR="00931B97" w14:paraId="45676625" w14:textId="77777777" w:rsidTr="00F6284E">
        <w:trPr>
          <w:trHeight w:val="255"/>
          <w:jc w:val="center"/>
        </w:trPr>
        <w:tc>
          <w:tcPr>
            <w:tcW w:w="3331" w:type="dxa"/>
            <w:vAlign w:val="center"/>
          </w:tcPr>
          <w:p w14:paraId="3841AC58" w14:textId="77777777" w:rsidR="00931B97" w:rsidRPr="00F6284E" w:rsidRDefault="00931B97" w:rsidP="00A111E9">
            <w:pPr>
              <w:rPr>
                <w:rFonts w:ascii="Arial" w:hAnsi="Arial"/>
                <w:sz w:val="18"/>
                <w:lang w:eastAsia="en-AU"/>
              </w:rPr>
            </w:pPr>
            <w:r w:rsidRPr="00D711DD">
              <w:rPr>
                <w:b/>
                <w:sz w:val="18"/>
                <w:lang w:eastAsia="en-AU"/>
              </w:rPr>
              <w:t>CL</w:t>
            </w:r>
            <w:r w:rsidRPr="000B3C14">
              <w:rPr>
                <w:sz w:val="18"/>
                <w:lang w:eastAsia="en-AU"/>
              </w:rPr>
              <w:t xml:space="preserve"> (mL/day/kg)</w:t>
            </w:r>
          </w:p>
        </w:tc>
        <w:tc>
          <w:tcPr>
            <w:tcW w:w="2428" w:type="dxa"/>
            <w:vAlign w:val="center"/>
          </w:tcPr>
          <w:p w14:paraId="4A7D7639" w14:textId="77777777" w:rsidR="00931B97" w:rsidRPr="00F6284E" w:rsidRDefault="00931B97" w:rsidP="00647943">
            <w:pPr>
              <w:jc w:val="right"/>
              <w:rPr>
                <w:rFonts w:ascii="Arial" w:hAnsi="Arial"/>
                <w:sz w:val="18"/>
                <w:lang w:eastAsia="en-AU"/>
              </w:rPr>
            </w:pPr>
            <w:r w:rsidRPr="00F6284E">
              <w:rPr>
                <w:sz w:val="18"/>
                <w:lang w:eastAsia="en-AU"/>
              </w:rPr>
              <w:t>6.71±0.06</w:t>
            </w:r>
          </w:p>
        </w:tc>
        <w:tc>
          <w:tcPr>
            <w:tcW w:w="2429" w:type="dxa"/>
            <w:vAlign w:val="center"/>
          </w:tcPr>
          <w:p w14:paraId="4A2D42C5" w14:textId="77777777" w:rsidR="00931B97" w:rsidRPr="00F6284E" w:rsidRDefault="00931B97" w:rsidP="00647943">
            <w:pPr>
              <w:jc w:val="right"/>
              <w:rPr>
                <w:rFonts w:ascii="Arial" w:hAnsi="Arial"/>
                <w:sz w:val="18"/>
                <w:lang w:eastAsia="en-AU"/>
              </w:rPr>
            </w:pPr>
            <w:r w:rsidRPr="00F6284E">
              <w:rPr>
                <w:sz w:val="18"/>
                <w:lang w:eastAsia="en-AU"/>
              </w:rPr>
              <w:t>53.35±4.38</w:t>
            </w:r>
          </w:p>
        </w:tc>
      </w:tr>
      <w:tr w:rsidR="00931B97" w14:paraId="667C2955" w14:textId="77777777" w:rsidTr="00F6284E">
        <w:trPr>
          <w:trHeight w:val="255"/>
          <w:jc w:val="center"/>
        </w:trPr>
        <w:tc>
          <w:tcPr>
            <w:tcW w:w="3331" w:type="dxa"/>
            <w:vAlign w:val="center"/>
          </w:tcPr>
          <w:p w14:paraId="2AC66678" w14:textId="77777777" w:rsidR="00931B97" w:rsidRPr="00F6284E" w:rsidRDefault="00931B97" w:rsidP="00A111E9">
            <w:pPr>
              <w:rPr>
                <w:rFonts w:ascii="Arial" w:hAnsi="Arial"/>
                <w:sz w:val="18"/>
                <w:lang w:eastAsia="en-AU"/>
              </w:rPr>
            </w:pPr>
            <w:r w:rsidRPr="00D711DD">
              <w:rPr>
                <w:b/>
                <w:sz w:val="18"/>
                <w:lang w:eastAsia="en-AU"/>
              </w:rPr>
              <w:t>AUC</w:t>
            </w:r>
            <w:r w:rsidRPr="000B3C14">
              <w:rPr>
                <w:sz w:val="18"/>
                <w:lang w:eastAsia="en-AU"/>
              </w:rPr>
              <w:t xml:space="preserve"> (µg day/mL)</w:t>
            </w:r>
          </w:p>
        </w:tc>
        <w:tc>
          <w:tcPr>
            <w:tcW w:w="2428" w:type="dxa"/>
            <w:vAlign w:val="center"/>
          </w:tcPr>
          <w:p w14:paraId="1855D8F2" w14:textId="77777777" w:rsidR="00931B97" w:rsidRPr="00F6284E" w:rsidRDefault="00931B97" w:rsidP="00647943">
            <w:pPr>
              <w:jc w:val="right"/>
              <w:rPr>
                <w:rFonts w:ascii="Arial" w:hAnsi="Arial"/>
                <w:sz w:val="18"/>
                <w:lang w:eastAsia="en-AU"/>
              </w:rPr>
            </w:pPr>
            <w:r w:rsidRPr="00F6284E">
              <w:rPr>
                <w:sz w:val="18"/>
                <w:lang w:eastAsia="en-AU"/>
              </w:rPr>
              <w:t>1490±12</w:t>
            </w:r>
          </w:p>
        </w:tc>
        <w:tc>
          <w:tcPr>
            <w:tcW w:w="2429" w:type="dxa"/>
            <w:vAlign w:val="center"/>
          </w:tcPr>
          <w:p w14:paraId="30707D1A" w14:textId="77777777" w:rsidR="00931B97" w:rsidRPr="00F6284E" w:rsidRDefault="00931B97" w:rsidP="00647943">
            <w:pPr>
              <w:jc w:val="right"/>
              <w:rPr>
                <w:rFonts w:ascii="Arial" w:hAnsi="Arial"/>
                <w:sz w:val="18"/>
                <w:lang w:eastAsia="en-AU"/>
              </w:rPr>
            </w:pPr>
            <w:r w:rsidRPr="00F6284E">
              <w:rPr>
                <w:sz w:val="18"/>
                <w:lang w:eastAsia="en-AU"/>
              </w:rPr>
              <w:t>187±15</w:t>
            </w:r>
          </w:p>
        </w:tc>
      </w:tr>
      <w:tr w:rsidR="00931B97" w14:paraId="22525877" w14:textId="77777777" w:rsidTr="00F6284E">
        <w:trPr>
          <w:trHeight w:val="255"/>
          <w:jc w:val="center"/>
        </w:trPr>
        <w:tc>
          <w:tcPr>
            <w:tcW w:w="3331" w:type="dxa"/>
            <w:vAlign w:val="center"/>
          </w:tcPr>
          <w:p w14:paraId="444A8862" w14:textId="77777777" w:rsidR="00931B97" w:rsidRPr="00F6284E" w:rsidRDefault="00931B97" w:rsidP="00A111E9">
            <w:pPr>
              <w:rPr>
                <w:rFonts w:ascii="Arial" w:hAnsi="Arial"/>
                <w:sz w:val="18"/>
                <w:lang w:eastAsia="en-AU"/>
              </w:rPr>
            </w:pPr>
            <w:r w:rsidRPr="00D711DD">
              <w:rPr>
                <w:b/>
                <w:sz w:val="18"/>
                <w:lang w:eastAsia="en-AU"/>
              </w:rPr>
              <w:t>VD</w:t>
            </w:r>
            <w:r w:rsidRPr="000B3C14">
              <w:rPr>
                <w:b/>
                <w:sz w:val="18"/>
                <w:vertAlign w:val="subscript"/>
                <w:lang w:eastAsia="en-AU"/>
              </w:rPr>
              <w:t>ss</w:t>
            </w:r>
            <w:r w:rsidRPr="00F6284E">
              <w:rPr>
                <w:sz w:val="18"/>
                <w:vertAlign w:val="subscript"/>
                <w:lang w:eastAsia="en-AU"/>
              </w:rPr>
              <w:t xml:space="preserve"> </w:t>
            </w:r>
            <w:r w:rsidRPr="00F6284E">
              <w:rPr>
                <w:sz w:val="18"/>
                <w:lang w:eastAsia="en-AU"/>
              </w:rPr>
              <w:t>mL/kg)</w:t>
            </w:r>
          </w:p>
        </w:tc>
        <w:tc>
          <w:tcPr>
            <w:tcW w:w="2428" w:type="dxa"/>
            <w:vAlign w:val="center"/>
          </w:tcPr>
          <w:p w14:paraId="7A5EDDA8" w14:textId="77777777" w:rsidR="00931B97" w:rsidRPr="00F6284E" w:rsidRDefault="00931B97" w:rsidP="00647943">
            <w:pPr>
              <w:jc w:val="right"/>
              <w:rPr>
                <w:rFonts w:ascii="Arial" w:hAnsi="Arial"/>
                <w:sz w:val="18"/>
                <w:lang w:eastAsia="en-AU"/>
              </w:rPr>
            </w:pPr>
            <w:r w:rsidRPr="00F6284E">
              <w:rPr>
                <w:sz w:val="18"/>
                <w:lang w:eastAsia="en-AU"/>
              </w:rPr>
              <w:t>275±5</w:t>
            </w:r>
          </w:p>
        </w:tc>
        <w:tc>
          <w:tcPr>
            <w:tcW w:w="2429" w:type="dxa"/>
            <w:vAlign w:val="center"/>
          </w:tcPr>
          <w:p w14:paraId="246A6FDE" w14:textId="77777777" w:rsidR="00931B97" w:rsidRPr="00F6284E" w:rsidRDefault="00931B97" w:rsidP="00647943">
            <w:pPr>
              <w:jc w:val="right"/>
              <w:rPr>
                <w:rFonts w:ascii="Arial" w:hAnsi="Arial"/>
                <w:sz w:val="18"/>
                <w:lang w:eastAsia="en-AU"/>
              </w:rPr>
            </w:pPr>
            <w:r w:rsidRPr="00F6284E">
              <w:rPr>
                <w:sz w:val="18"/>
                <w:lang w:eastAsia="en-AU"/>
              </w:rPr>
              <w:t>126±14</w:t>
            </w:r>
          </w:p>
        </w:tc>
      </w:tr>
    </w:tbl>
    <w:p w14:paraId="4C188547" w14:textId="2892FC43" w:rsidR="00931B97" w:rsidRPr="006F6E97" w:rsidRDefault="00931B97" w:rsidP="00A111E9">
      <w:pPr>
        <w:spacing w:before="120"/>
        <w:ind w:left="567"/>
        <w:rPr>
          <w:rFonts w:cs="Arial"/>
          <w:sz w:val="16"/>
          <w:szCs w:val="16"/>
          <w:lang w:eastAsia="en-AU" w:bidi="ar-SA"/>
        </w:rPr>
      </w:pPr>
      <w:r w:rsidRPr="006F6E97">
        <w:rPr>
          <w:rFonts w:cs="Arial"/>
          <w:sz w:val="16"/>
          <w:szCs w:val="16"/>
          <w:lang w:eastAsia="en-AU" w:bidi="ar-SA"/>
        </w:rPr>
        <w:t xml:space="preserve">Values presented are mean ± standard error and taken from Sundström </w:t>
      </w:r>
      <w:r w:rsidR="00180A32" w:rsidRPr="00180A32">
        <w:rPr>
          <w:rFonts w:cs="Arial"/>
          <w:i/>
          <w:sz w:val="16"/>
          <w:szCs w:val="16"/>
          <w:lang w:eastAsia="en-AU" w:bidi="ar-SA"/>
        </w:rPr>
        <w:t xml:space="preserve">et al. </w:t>
      </w:r>
      <w:r w:rsidR="00CC50B8">
        <w:rPr>
          <w:rFonts w:cs="Arial"/>
          <w:sz w:val="16"/>
          <w:szCs w:val="16"/>
          <w:lang w:eastAsia="en-AU" w:bidi="ar-SA"/>
        </w:rPr>
        <w:t xml:space="preserve"> </w:t>
      </w:r>
      <w:r w:rsidRPr="006F6E97">
        <w:rPr>
          <w:rFonts w:cs="Arial"/>
          <w:sz w:val="16"/>
          <w:szCs w:val="16"/>
          <w:lang w:eastAsia="en-AU" w:bidi="ar-SA"/>
        </w:rPr>
        <w:t>2012</w:t>
      </w:r>
    </w:p>
    <w:p w14:paraId="63BDC989" w14:textId="77777777" w:rsidR="00931B97" w:rsidRPr="006F6E97" w:rsidRDefault="00931B97" w:rsidP="00A111E9">
      <w:pPr>
        <w:ind w:left="567"/>
        <w:rPr>
          <w:rFonts w:cs="Arial"/>
          <w:sz w:val="16"/>
          <w:szCs w:val="16"/>
          <w:lang w:eastAsia="en-AU" w:bidi="ar-SA"/>
        </w:rPr>
      </w:pPr>
      <w:r w:rsidRPr="006F6E97">
        <w:rPr>
          <w:rFonts w:cs="Arial"/>
          <w:sz w:val="16"/>
          <w:szCs w:val="16"/>
          <w:vertAlign w:val="superscript"/>
          <w:lang w:eastAsia="en-AU" w:bidi="ar-SA"/>
        </w:rPr>
        <w:t>a</w:t>
      </w:r>
      <w:r w:rsidRPr="006F6E97">
        <w:rPr>
          <w:rFonts w:cs="Arial"/>
          <w:sz w:val="16"/>
          <w:szCs w:val="16"/>
          <w:lang w:eastAsia="en-AU" w:bidi="ar-SA"/>
        </w:rPr>
        <w:t xml:space="preserve"> LLOQ Lower limit of quantification for serum = 10ng/mL</w:t>
      </w:r>
    </w:p>
    <w:p w14:paraId="02E97752" w14:textId="77777777" w:rsidR="00931B97" w:rsidRPr="006F6E97" w:rsidRDefault="00931B97" w:rsidP="00A111E9">
      <w:pPr>
        <w:ind w:left="567"/>
        <w:rPr>
          <w:rFonts w:cs="Arial"/>
          <w:sz w:val="16"/>
          <w:szCs w:val="16"/>
          <w:lang w:eastAsia="en-AU" w:bidi="ar-SA"/>
        </w:rPr>
      </w:pPr>
      <w:r w:rsidRPr="006F6E97">
        <w:rPr>
          <w:rFonts w:cs="Arial"/>
          <w:sz w:val="16"/>
          <w:szCs w:val="16"/>
          <w:vertAlign w:val="superscript"/>
          <w:lang w:eastAsia="en-AU" w:bidi="ar-SA"/>
        </w:rPr>
        <w:t>b</w:t>
      </w:r>
      <w:r w:rsidRPr="006F6E97">
        <w:rPr>
          <w:rFonts w:cs="Arial"/>
          <w:sz w:val="16"/>
          <w:szCs w:val="16"/>
          <w:lang w:eastAsia="en-AU" w:bidi="ar-SA"/>
        </w:rPr>
        <w:t xml:space="preserve"> LLOQ Lower Limit of quantification for liver = 50ng/g</w:t>
      </w:r>
    </w:p>
    <w:p w14:paraId="51934381" w14:textId="77777777" w:rsidR="00931B97" w:rsidRPr="006F6E97" w:rsidRDefault="00931B97" w:rsidP="00A111E9">
      <w:pPr>
        <w:ind w:left="567"/>
        <w:rPr>
          <w:rFonts w:cs="Arial"/>
          <w:sz w:val="16"/>
          <w:szCs w:val="16"/>
          <w:lang w:eastAsia="en-AU" w:bidi="ar-SA"/>
        </w:rPr>
      </w:pPr>
      <w:r w:rsidRPr="006F6E97">
        <w:rPr>
          <w:rFonts w:cs="Arial"/>
          <w:sz w:val="16"/>
          <w:szCs w:val="16"/>
          <w:vertAlign w:val="superscript"/>
          <w:lang w:eastAsia="en-AU" w:bidi="ar-SA"/>
        </w:rPr>
        <w:t>c</w:t>
      </w:r>
      <w:r w:rsidRPr="006F6E97">
        <w:rPr>
          <w:rFonts w:cs="Arial"/>
          <w:sz w:val="16"/>
          <w:szCs w:val="16"/>
          <w:lang w:eastAsia="en-AU" w:bidi="ar-SA"/>
        </w:rPr>
        <w:t xml:space="preserve"> based on terminal phase data</w:t>
      </w:r>
    </w:p>
    <w:p w14:paraId="199186FB" w14:textId="77777777" w:rsidR="00931B97" w:rsidRPr="006F6E97" w:rsidRDefault="00931B97" w:rsidP="00A111E9">
      <w:pPr>
        <w:ind w:left="567"/>
        <w:rPr>
          <w:rFonts w:cs="Arial"/>
          <w:sz w:val="16"/>
          <w:szCs w:val="16"/>
          <w:lang w:eastAsia="en-AU" w:bidi="ar-SA"/>
        </w:rPr>
      </w:pPr>
      <w:r w:rsidRPr="006F6E97">
        <w:rPr>
          <w:rFonts w:cs="Arial"/>
          <w:sz w:val="16"/>
          <w:szCs w:val="16"/>
          <w:vertAlign w:val="superscript"/>
          <w:lang w:eastAsia="en-AU" w:bidi="ar-SA"/>
        </w:rPr>
        <w:t>d</w:t>
      </w:r>
      <w:r w:rsidRPr="006F6E97">
        <w:rPr>
          <w:rFonts w:cs="Arial"/>
          <w:sz w:val="16"/>
          <w:szCs w:val="16"/>
          <w:lang w:eastAsia="en-AU" w:bidi="ar-SA"/>
        </w:rPr>
        <w:t xml:space="preserve"> based on initial phase data</w:t>
      </w:r>
    </w:p>
    <w:p w14:paraId="7437EBA3" w14:textId="0D534056" w:rsidR="00931B97" w:rsidRPr="00C1121B" w:rsidRDefault="00931B97" w:rsidP="004264B6">
      <w:pPr>
        <w:pStyle w:val="Heading4"/>
      </w:pPr>
      <w:r w:rsidRPr="00C1121B">
        <w:t>Monkeys</w:t>
      </w:r>
    </w:p>
    <w:p w14:paraId="62A33E1E" w14:textId="06C0DE82" w:rsidR="00931B97" w:rsidRDefault="00104C8E" w:rsidP="00A111E9">
      <w:pPr>
        <w:rPr>
          <w:lang w:eastAsia="en-AU" w:bidi="ar-SA"/>
        </w:rPr>
      </w:pPr>
      <w:r>
        <w:rPr>
          <w:lang w:eastAsia="en-AU" w:bidi="ar-SA"/>
        </w:rPr>
        <w:t xml:space="preserve">Male and female </w:t>
      </w:r>
      <w:r w:rsidR="00486B54">
        <w:rPr>
          <w:lang w:eastAsia="en-AU" w:bidi="ar-SA"/>
        </w:rPr>
        <w:t xml:space="preserve">cynomolgus </w:t>
      </w:r>
      <w:r w:rsidR="00931B97">
        <w:rPr>
          <w:lang w:eastAsia="en-AU" w:bidi="ar-SA"/>
        </w:rPr>
        <w:t>monkeys (3/sex/group) were given a single iv dose of K</w:t>
      </w:r>
      <w:r w:rsidR="00931B97">
        <w:rPr>
          <w:vertAlign w:val="superscript"/>
          <w:lang w:eastAsia="en-AU" w:bidi="ar-SA"/>
        </w:rPr>
        <w:t>+</w:t>
      </w:r>
      <w:r w:rsidR="00931B97">
        <w:rPr>
          <w:lang w:eastAsia="en-AU" w:bidi="ar-SA"/>
        </w:rPr>
        <w:t>PFHx</w:t>
      </w:r>
      <w:r w:rsidR="00923DBA">
        <w:rPr>
          <w:lang w:eastAsia="en-AU" w:bidi="ar-SA"/>
        </w:rPr>
        <w:t>S at 10 mg/kg bw</w:t>
      </w:r>
      <w:r w:rsidR="00931B97">
        <w:rPr>
          <w:lang w:eastAsia="en-AU" w:bidi="ar-SA"/>
        </w:rPr>
        <w:t>. Blood was collected over a 171</w:t>
      </w:r>
      <w:r w:rsidR="00923DBA">
        <w:rPr>
          <w:lang w:eastAsia="en-AU" w:bidi="ar-SA"/>
        </w:rPr>
        <w:t xml:space="preserve"> day observation period</w:t>
      </w:r>
      <w:r w:rsidR="00C1121B">
        <w:rPr>
          <w:lang w:eastAsia="en-AU" w:bidi="ar-SA"/>
        </w:rPr>
        <w:t xml:space="preserve">. </w:t>
      </w:r>
      <w:r w:rsidR="00931B97">
        <w:rPr>
          <w:lang w:eastAsia="en-AU" w:bidi="ar-SA"/>
        </w:rPr>
        <w:t>Urine was collected over 24</w:t>
      </w:r>
      <w:r w:rsidR="00486B54">
        <w:rPr>
          <w:lang w:eastAsia="en-AU" w:bidi="ar-SA"/>
        </w:rPr>
        <w:t xml:space="preserve"> </w:t>
      </w:r>
      <w:r w:rsidR="00931B97">
        <w:rPr>
          <w:lang w:eastAsia="en-AU" w:bidi="ar-SA"/>
        </w:rPr>
        <w:t xml:space="preserve">hour periods on </w:t>
      </w:r>
      <w:r w:rsidR="00185513">
        <w:rPr>
          <w:lang w:eastAsia="en-AU" w:bidi="ar-SA"/>
        </w:rPr>
        <w:t>d</w:t>
      </w:r>
      <w:r w:rsidR="00931B97">
        <w:rPr>
          <w:lang w:eastAsia="en-AU" w:bidi="ar-SA"/>
        </w:rPr>
        <w:t xml:space="preserve">ays -3 (baseline), 1 and 2 and weekly thereafter up to and including </w:t>
      </w:r>
      <w:r w:rsidR="00185513">
        <w:rPr>
          <w:lang w:eastAsia="en-AU" w:bidi="ar-SA"/>
        </w:rPr>
        <w:t>d</w:t>
      </w:r>
      <w:r w:rsidR="00931B97">
        <w:rPr>
          <w:lang w:eastAsia="en-AU" w:bidi="ar-SA"/>
        </w:rPr>
        <w:t>ay 70. Serum was prepared from the blood and all samples were frozen at -20</w:t>
      </w:r>
      <w:r w:rsidR="00931B97">
        <w:rPr>
          <w:vertAlign w:val="superscript"/>
          <w:lang w:eastAsia="en-AU" w:bidi="ar-SA"/>
        </w:rPr>
        <w:t>0</w:t>
      </w:r>
      <w:r w:rsidR="00931B97">
        <w:rPr>
          <w:lang w:eastAsia="en-AU" w:bidi="ar-SA"/>
        </w:rPr>
        <w:t>C until analysis</w:t>
      </w:r>
      <w:r w:rsidR="00156ADD">
        <w:rPr>
          <w:lang w:eastAsia="en-AU" w:bidi="ar-SA"/>
        </w:rPr>
        <w:t xml:space="preserve">. </w:t>
      </w:r>
      <w:r w:rsidR="00931B97">
        <w:rPr>
          <w:lang w:eastAsia="en-AU" w:bidi="ar-SA"/>
        </w:rPr>
        <w:t>Serum concentration versus time data were analysed using a non-compartmental model, which was considered to be the best fit by the authors. No further explanation is given in the paper.</w:t>
      </w:r>
    </w:p>
    <w:p w14:paraId="29E59BAC" w14:textId="77777777" w:rsidR="00C1121B" w:rsidRDefault="00C1121B" w:rsidP="00A111E9">
      <w:pPr>
        <w:pStyle w:val="FSTableTitle"/>
        <w:rPr>
          <w:lang w:eastAsia="en-AU" w:bidi="ar-SA"/>
        </w:rPr>
      </w:pPr>
    </w:p>
    <w:p w14:paraId="1FE87F43" w14:textId="48E382CC" w:rsidR="00C1121B" w:rsidRPr="00C1121B" w:rsidRDefault="00C1121B" w:rsidP="00A111E9">
      <w:pPr>
        <w:pStyle w:val="FSTableTitle"/>
        <w:rPr>
          <w:lang w:eastAsia="en-AU" w:bidi="ar-SA"/>
        </w:rPr>
      </w:pPr>
      <w:r>
        <w:rPr>
          <w:lang w:eastAsia="en-AU" w:bidi="ar-SA"/>
        </w:rPr>
        <w:t>Table A</w:t>
      </w:r>
      <w:r w:rsidR="00707CE3">
        <w:rPr>
          <w:lang w:eastAsia="en-AU" w:bidi="ar-SA"/>
        </w:rPr>
        <w:t>3</w:t>
      </w:r>
      <w:r w:rsidR="006F6E97">
        <w:rPr>
          <w:lang w:eastAsia="en-AU" w:bidi="ar-SA"/>
        </w:rPr>
        <w:t>.</w:t>
      </w:r>
      <w:r>
        <w:rPr>
          <w:lang w:eastAsia="en-AU" w:bidi="ar-SA"/>
        </w:rPr>
        <w:t xml:space="preserve">4: </w:t>
      </w:r>
      <w:r w:rsidRPr="00C1121B">
        <w:rPr>
          <w:lang w:eastAsia="en-AU" w:bidi="ar-SA"/>
        </w:rPr>
        <w:t xml:space="preserve">Pharmacokinetic </w:t>
      </w:r>
      <w:r w:rsidR="00486B54">
        <w:rPr>
          <w:lang w:eastAsia="en-AU" w:bidi="ar-SA"/>
        </w:rPr>
        <w:t>p</w:t>
      </w:r>
      <w:r w:rsidR="00486B54" w:rsidRPr="00C1121B">
        <w:rPr>
          <w:lang w:eastAsia="en-AU" w:bidi="ar-SA"/>
        </w:rPr>
        <w:t xml:space="preserve">arameters </w:t>
      </w:r>
      <w:r w:rsidRPr="00C1121B">
        <w:rPr>
          <w:lang w:eastAsia="en-AU" w:bidi="ar-SA"/>
        </w:rPr>
        <w:t xml:space="preserve">for </w:t>
      </w:r>
      <w:r w:rsidR="00486B54">
        <w:rPr>
          <w:lang w:eastAsia="en-AU" w:bidi="ar-SA"/>
        </w:rPr>
        <w:t>cynomol</w:t>
      </w:r>
      <w:r w:rsidR="00486B54" w:rsidRPr="00C1121B">
        <w:rPr>
          <w:lang w:eastAsia="en-AU" w:bidi="ar-SA"/>
        </w:rPr>
        <w:t xml:space="preserve">gus </w:t>
      </w:r>
      <w:r w:rsidRPr="00C1121B">
        <w:rPr>
          <w:lang w:eastAsia="en-AU" w:bidi="ar-SA"/>
        </w:rPr>
        <w:t>monkeys after a single iv dose followed by a 171 day observation period</w:t>
      </w:r>
    </w:p>
    <w:tbl>
      <w:tblPr>
        <w:tblStyle w:val="TableGrid"/>
        <w:tblW w:w="0" w:type="auto"/>
        <w:jc w:val="center"/>
        <w:tblLook w:val="04A0" w:firstRow="1" w:lastRow="0" w:firstColumn="1" w:lastColumn="0" w:noHBand="0" w:noVBand="1"/>
        <w:tblCaption w:val="Table A3.4: Pharmacokinetic parameters for cynomolgus monkeys after a single iv dose followed by a 171 day observation period"/>
        <w:tblDescription w:val="This table contains data relating to pharmacokinetic parameters for cynomolgus monkeys after a single iv dose followed by a 171 day observation period."/>
      </w:tblPr>
      <w:tblGrid>
        <w:gridCol w:w="2802"/>
        <w:gridCol w:w="2126"/>
        <w:gridCol w:w="2126"/>
      </w:tblGrid>
      <w:tr w:rsidR="00931B97" w14:paraId="5D4229D5" w14:textId="77777777" w:rsidTr="0008049A">
        <w:trPr>
          <w:tblHeader/>
          <w:jc w:val="center"/>
        </w:trPr>
        <w:tc>
          <w:tcPr>
            <w:tcW w:w="2802" w:type="dxa"/>
            <w:shd w:val="clear" w:color="auto" w:fill="F2F2F2" w:themeFill="background1" w:themeFillShade="F2"/>
          </w:tcPr>
          <w:p w14:paraId="4060D18D" w14:textId="77777777" w:rsidR="00931B97" w:rsidRPr="000B3C14" w:rsidRDefault="00931B97" w:rsidP="00A111E9">
            <w:pPr>
              <w:spacing w:before="40" w:after="40"/>
              <w:rPr>
                <w:rFonts w:ascii="Arial" w:hAnsi="Arial"/>
                <w:b/>
                <w:sz w:val="18"/>
                <w:lang w:eastAsia="en-AU"/>
              </w:rPr>
            </w:pPr>
            <w:r w:rsidRPr="00D711DD">
              <w:rPr>
                <w:b/>
                <w:sz w:val="18"/>
                <w:lang w:eastAsia="en-AU"/>
              </w:rPr>
              <w:t>Parameter</w:t>
            </w:r>
          </w:p>
        </w:tc>
        <w:tc>
          <w:tcPr>
            <w:tcW w:w="2126" w:type="dxa"/>
            <w:shd w:val="clear" w:color="auto" w:fill="F2F2F2" w:themeFill="background1" w:themeFillShade="F2"/>
          </w:tcPr>
          <w:p w14:paraId="5D53F420" w14:textId="77777777" w:rsidR="00931B97" w:rsidRPr="00F6284E" w:rsidRDefault="00931B97" w:rsidP="00647943">
            <w:pPr>
              <w:spacing w:before="40" w:after="40"/>
              <w:jc w:val="right"/>
              <w:rPr>
                <w:rFonts w:ascii="Arial" w:hAnsi="Arial"/>
                <w:b/>
                <w:sz w:val="18"/>
                <w:lang w:eastAsia="en-AU"/>
              </w:rPr>
            </w:pPr>
            <w:r w:rsidRPr="00F6284E">
              <w:rPr>
                <w:b/>
                <w:sz w:val="18"/>
                <w:lang w:eastAsia="en-AU"/>
              </w:rPr>
              <w:t>Male</w:t>
            </w:r>
          </w:p>
        </w:tc>
        <w:tc>
          <w:tcPr>
            <w:tcW w:w="2126" w:type="dxa"/>
            <w:shd w:val="clear" w:color="auto" w:fill="F2F2F2" w:themeFill="background1" w:themeFillShade="F2"/>
          </w:tcPr>
          <w:p w14:paraId="78C94AA9" w14:textId="77777777" w:rsidR="00931B97" w:rsidRPr="00F6284E" w:rsidRDefault="00931B97" w:rsidP="00647943">
            <w:pPr>
              <w:spacing w:before="40" w:after="40"/>
              <w:jc w:val="right"/>
              <w:rPr>
                <w:rFonts w:ascii="Arial" w:hAnsi="Arial"/>
                <w:b/>
                <w:sz w:val="18"/>
                <w:lang w:eastAsia="en-AU"/>
              </w:rPr>
            </w:pPr>
            <w:r w:rsidRPr="00F6284E">
              <w:rPr>
                <w:b/>
                <w:sz w:val="18"/>
                <w:lang w:eastAsia="en-AU"/>
              </w:rPr>
              <w:t>Female</w:t>
            </w:r>
          </w:p>
        </w:tc>
      </w:tr>
      <w:tr w:rsidR="00931B97" w14:paraId="2DEE8AAD" w14:textId="77777777" w:rsidTr="00F6284E">
        <w:trPr>
          <w:trHeight w:val="255"/>
          <w:jc w:val="center"/>
        </w:trPr>
        <w:tc>
          <w:tcPr>
            <w:tcW w:w="2802" w:type="dxa"/>
            <w:vAlign w:val="center"/>
          </w:tcPr>
          <w:p w14:paraId="4E4BB48F" w14:textId="77777777" w:rsidR="00931B97" w:rsidRPr="00F6284E" w:rsidRDefault="00931B97" w:rsidP="00A111E9">
            <w:pPr>
              <w:rPr>
                <w:rFonts w:ascii="Arial" w:hAnsi="Arial"/>
                <w:b/>
                <w:sz w:val="18"/>
                <w:lang w:eastAsia="en-AU"/>
              </w:rPr>
            </w:pPr>
            <w:r w:rsidRPr="00D711DD">
              <w:rPr>
                <w:b/>
                <w:sz w:val="18"/>
                <w:lang w:eastAsia="en-AU"/>
              </w:rPr>
              <w:t>C</w:t>
            </w:r>
            <w:r w:rsidRPr="000B3C14">
              <w:rPr>
                <w:b/>
                <w:sz w:val="18"/>
                <w:vertAlign w:val="subscript"/>
                <w:lang w:eastAsia="en-AU"/>
              </w:rPr>
              <w:t xml:space="preserve">max </w:t>
            </w:r>
            <w:r w:rsidRPr="00F6284E">
              <w:rPr>
                <w:sz w:val="18"/>
                <w:lang w:eastAsia="en-AU"/>
              </w:rPr>
              <w:t>(µg/mL)</w:t>
            </w:r>
          </w:p>
        </w:tc>
        <w:tc>
          <w:tcPr>
            <w:tcW w:w="2126" w:type="dxa"/>
            <w:vAlign w:val="center"/>
          </w:tcPr>
          <w:p w14:paraId="495AA62B" w14:textId="77777777" w:rsidR="00931B97" w:rsidRPr="00F6284E" w:rsidRDefault="00931B97" w:rsidP="00647943">
            <w:pPr>
              <w:jc w:val="right"/>
              <w:rPr>
                <w:rFonts w:ascii="Arial" w:hAnsi="Arial"/>
                <w:sz w:val="18"/>
                <w:lang w:eastAsia="en-AU"/>
              </w:rPr>
            </w:pPr>
            <w:r w:rsidRPr="00F6284E">
              <w:rPr>
                <w:sz w:val="18"/>
                <w:lang w:eastAsia="en-AU"/>
              </w:rPr>
              <w:t>180±17</w:t>
            </w:r>
          </w:p>
        </w:tc>
        <w:tc>
          <w:tcPr>
            <w:tcW w:w="2126" w:type="dxa"/>
            <w:vAlign w:val="center"/>
          </w:tcPr>
          <w:p w14:paraId="35A59FC1" w14:textId="77777777" w:rsidR="00931B97" w:rsidRPr="00F6284E" w:rsidRDefault="00931B97" w:rsidP="00647943">
            <w:pPr>
              <w:jc w:val="right"/>
              <w:rPr>
                <w:rFonts w:ascii="Arial" w:hAnsi="Arial"/>
                <w:sz w:val="18"/>
                <w:lang w:eastAsia="en-AU"/>
              </w:rPr>
            </w:pPr>
            <w:r w:rsidRPr="00F6284E">
              <w:rPr>
                <w:sz w:val="18"/>
                <w:lang w:eastAsia="en-AU"/>
              </w:rPr>
              <w:t>180±20</w:t>
            </w:r>
          </w:p>
        </w:tc>
      </w:tr>
      <w:tr w:rsidR="00931B97" w14:paraId="2A1FA364" w14:textId="77777777" w:rsidTr="00F6284E">
        <w:trPr>
          <w:trHeight w:val="255"/>
          <w:jc w:val="center"/>
        </w:trPr>
        <w:tc>
          <w:tcPr>
            <w:tcW w:w="2802" w:type="dxa"/>
            <w:vAlign w:val="center"/>
          </w:tcPr>
          <w:p w14:paraId="334AE757" w14:textId="77777777" w:rsidR="00931B97" w:rsidRPr="00F6284E" w:rsidRDefault="00931B97" w:rsidP="00A111E9">
            <w:pPr>
              <w:rPr>
                <w:rFonts w:ascii="Arial" w:hAnsi="Arial"/>
                <w:b/>
                <w:sz w:val="18"/>
                <w:lang w:eastAsia="en-AU"/>
              </w:rPr>
            </w:pPr>
            <w:r w:rsidRPr="00D711DD">
              <w:rPr>
                <w:b/>
                <w:sz w:val="18"/>
                <w:lang w:eastAsia="en-AU"/>
              </w:rPr>
              <w:t>Serum [PFHxS]</w:t>
            </w:r>
            <w:r w:rsidRPr="000B3C14">
              <w:rPr>
                <w:b/>
                <w:sz w:val="18"/>
                <w:vertAlign w:val="subscript"/>
                <w:lang w:eastAsia="en-AU"/>
              </w:rPr>
              <w:t xml:space="preserve">o.5h </w:t>
            </w:r>
            <w:r w:rsidRPr="00F6284E">
              <w:rPr>
                <w:sz w:val="18"/>
                <w:lang w:eastAsia="en-AU"/>
              </w:rPr>
              <w:t>(µg/mL)</w:t>
            </w:r>
          </w:p>
        </w:tc>
        <w:tc>
          <w:tcPr>
            <w:tcW w:w="2126" w:type="dxa"/>
            <w:vAlign w:val="center"/>
          </w:tcPr>
          <w:p w14:paraId="5B99BBF0" w14:textId="77777777" w:rsidR="00931B97" w:rsidRPr="00F6284E" w:rsidRDefault="00931B97" w:rsidP="00647943">
            <w:pPr>
              <w:jc w:val="right"/>
              <w:rPr>
                <w:rFonts w:ascii="Arial" w:hAnsi="Arial"/>
                <w:sz w:val="18"/>
                <w:lang w:eastAsia="en-AU"/>
              </w:rPr>
            </w:pPr>
            <w:r w:rsidRPr="00F6284E">
              <w:rPr>
                <w:sz w:val="18"/>
                <w:lang w:eastAsia="en-AU"/>
              </w:rPr>
              <w:t>108±20</w:t>
            </w:r>
          </w:p>
        </w:tc>
        <w:tc>
          <w:tcPr>
            <w:tcW w:w="2126" w:type="dxa"/>
            <w:vAlign w:val="center"/>
          </w:tcPr>
          <w:p w14:paraId="33CBBD08" w14:textId="77777777" w:rsidR="00931B97" w:rsidRPr="00F6284E" w:rsidRDefault="00931B97" w:rsidP="00647943">
            <w:pPr>
              <w:jc w:val="right"/>
              <w:rPr>
                <w:rFonts w:ascii="Arial" w:hAnsi="Arial"/>
                <w:sz w:val="18"/>
                <w:lang w:eastAsia="en-AU"/>
              </w:rPr>
            </w:pPr>
            <w:r w:rsidRPr="00F6284E">
              <w:rPr>
                <w:sz w:val="18"/>
                <w:lang w:eastAsia="en-AU"/>
              </w:rPr>
              <w:t>148±17</w:t>
            </w:r>
          </w:p>
        </w:tc>
      </w:tr>
      <w:tr w:rsidR="00931B97" w14:paraId="6DC96B3A" w14:textId="77777777" w:rsidTr="00F6284E">
        <w:trPr>
          <w:trHeight w:val="255"/>
          <w:jc w:val="center"/>
        </w:trPr>
        <w:tc>
          <w:tcPr>
            <w:tcW w:w="2802" w:type="dxa"/>
            <w:vAlign w:val="center"/>
          </w:tcPr>
          <w:p w14:paraId="1ACBF1BF" w14:textId="5869AB76" w:rsidR="00931B97" w:rsidRPr="00F6284E" w:rsidRDefault="00931B97" w:rsidP="00A111E9">
            <w:pPr>
              <w:rPr>
                <w:rFonts w:ascii="Arial" w:hAnsi="Arial"/>
                <w:b/>
                <w:sz w:val="18"/>
                <w:lang w:eastAsia="en-AU"/>
              </w:rPr>
            </w:pPr>
            <w:r w:rsidRPr="00D711DD">
              <w:rPr>
                <w:b/>
                <w:sz w:val="18"/>
                <w:lang w:eastAsia="en-AU"/>
              </w:rPr>
              <w:t>Serum [PFHxS]</w:t>
            </w:r>
            <w:r w:rsidRPr="000B3C14">
              <w:rPr>
                <w:b/>
                <w:sz w:val="18"/>
                <w:vertAlign w:val="subscript"/>
                <w:lang w:eastAsia="en-AU"/>
              </w:rPr>
              <w:t xml:space="preserve">24h </w:t>
            </w:r>
            <w:r w:rsidRPr="00F6284E">
              <w:rPr>
                <w:sz w:val="18"/>
                <w:lang w:eastAsia="en-AU"/>
              </w:rPr>
              <w:t>(µg/mL)</w:t>
            </w:r>
          </w:p>
        </w:tc>
        <w:tc>
          <w:tcPr>
            <w:tcW w:w="2126" w:type="dxa"/>
            <w:vAlign w:val="center"/>
          </w:tcPr>
          <w:p w14:paraId="1D05EBA1" w14:textId="77777777" w:rsidR="00931B97" w:rsidRPr="00F6284E" w:rsidRDefault="00931B97" w:rsidP="00647943">
            <w:pPr>
              <w:jc w:val="right"/>
              <w:rPr>
                <w:rFonts w:ascii="Arial" w:hAnsi="Arial"/>
                <w:sz w:val="18"/>
                <w:lang w:eastAsia="en-AU"/>
              </w:rPr>
            </w:pPr>
            <w:r w:rsidRPr="00F6284E">
              <w:rPr>
                <w:sz w:val="18"/>
                <w:lang w:eastAsia="en-AU"/>
              </w:rPr>
              <w:t>35.20±5.15</w:t>
            </w:r>
          </w:p>
        </w:tc>
        <w:tc>
          <w:tcPr>
            <w:tcW w:w="2126" w:type="dxa"/>
            <w:vAlign w:val="center"/>
          </w:tcPr>
          <w:p w14:paraId="072D3EA8" w14:textId="77777777" w:rsidR="00931B97" w:rsidRPr="00F6284E" w:rsidRDefault="00931B97" w:rsidP="00647943">
            <w:pPr>
              <w:jc w:val="right"/>
              <w:rPr>
                <w:rFonts w:ascii="Arial" w:hAnsi="Arial"/>
                <w:sz w:val="18"/>
                <w:lang w:eastAsia="en-AU"/>
              </w:rPr>
            </w:pPr>
            <w:r w:rsidRPr="00F6284E">
              <w:rPr>
                <w:sz w:val="18"/>
                <w:lang w:eastAsia="en-AU"/>
              </w:rPr>
              <w:t>39.50±9.73</w:t>
            </w:r>
          </w:p>
        </w:tc>
      </w:tr>
      <w:tr w:rsidR="00931B97" w14:paraId="1B1AB6F8" w14:textId="77777777" w:rsidTr="00F6284E">
        <w:trPr>
          <w:trHeight w:val="255"/>
          <w:jc w:val="center"/>
        </w:trPr>
        <w:tc>
          <w:tcPr>
            <w:tcW w:w="2802" w:type="dxa"/>
            <w:vAlign w:val="center"/>
          </w:tcPr>
          <w:p w14:paraId="632372C0" w14:textId="68E3A84E" w:rsidR="00931B97" w:rsidRPr="00F6284E" w:rsidRDefault="00931B97" w:rsidP="00A111E9">
            <w:pPr>
              <w:rPr>
                <w:rFonts w:ascii="Arial" w:hAnsi="Arial"/>
                <w:b/>
                <w:sz w:val="18"/>
                <w:lang w:eastAsia="en-AU"/>
              </w:rPr>
            </w:pPr>
            <w:r w:rsidRPr="00D711DD">
              <w:rPr>
                <w:b/>
                <w:sz w:val="18"/>
                <w:lang w:eastAsia="en-AU"/>
              </w:rPr>
              <w:t>Serum [PFHxS]</w:t>
            </w:r>
            <w:r w:rsidRPr="000B3C14">
              <w:rPr>
                <w:b/>
                <w:sz w:val="18"/>
                <w:vertAlign w:val="subscript"/>
                <w:lang w:eastAsia="en-AU"/>
              </w:rPr>
              <w:t xml:space="preserve">day 171 </w:t>
            </w:r>
            <w:r w:rsidRPr="00F6284E">
              <w:rPr>
                <w:sz w:val="18"/>
                <w:lang w:eastAsia="en-AU"/>
              </w:rPr>
              <w:t>(µg/mL)</w:t>
            </w:r>
          </w:p>
        </w:tc>
        <w:tc>
          <w:tcPr>
            <w:tcW w:w="2126" w:type="dxa"/>
            <w:vAlign w:val="center"/>
          </w:tcPr>
          <w:p w14:paraId="61F61221" w14:textId="77777777" w:rsidR="00931B97" w:rsidRPr="00F6284E" w:rsidRDefault="00931B97" w:rsidP="00647943">
            <w:pPr>
              <w:jc w:val="right"/>
              <w:rPr>
                <w:rFonts w:ascii="Arial" w:hAnsi="Arial"/>
                <w:sz w:val="18"/>
                <w:lang w:eastAsia="en-AU"/>
              </w:rPr>
            </w:pPr>
            <w:r w:rsidRPr="00F6284E">
              <w:rPr>
                <w:sz w:val="18"/>
                <w:lang w:eastAsia="en-AU"/>
              </w:rPr>
              <w:t>17.27±2.41</w:t>
            </w:r>
          </w:p>
        </w:tc>
        <w:tc>
          <w:tcPr>
            <w:tcW w:w="2126" w:type="dxa"/>
            <w:vAlign w:val="center"/>
          </w:tcPr>
          <w:p w14:paraId="382268C9" w14:textId="77777777" w:rsidR="00931B97" w:rsidRPr="00F6284E" w:rsidRDefault="00931B97" w:rsidP="00647943">
            <w:pPr>
              <w:jc w:val="right"/>
              <w:rPr>
                <w:rFonts w:ascii="Arial" w:hAnsi="Arial"/>
                <w:sz w:val="18"/>
                <w:lang w:eastAsia="en-AU"/>
              </w:rPr>
            </w:pPr>
            <w:r w:rsidRPr="00F6284E">
              <w:rPr>
                <w:sz w:val="18"/>
                <w:lang w:eastAsia="en-AU"/>
              </w:rPr>
              <w:t>11.73±4.91</w:t>
            </w:r>
          </w:p>
        </w:tc>
      </w:tr>
      <w:tr w:rsidR="00931B97" w14:paraId="43581978" w14:textId="77777777" w:rsidTr="00F6284E">
        <w:trPr>
          <w:trHeight w:val="255"/>
          <w:jc w:val="center"/>
        </w:trPr>
        <w:tc>
          <w:tcPr>
            <w:tcW w:w="2802" w:type="dxa"/>
            <w:vAlign w:val="center"/>
          </w:tcPr>
          <w:p w14:paraId="6AEA1AAA" w14:textId="77777777" w:rsidR="00931B97" w:rsidRPr="00F6284E" w:rsidRDefault="00931B97" w:rsidP="00A111E9">
            <w:pPr>
              <w:rPr>
                <w:rFonts w:ascii="Arial" w:hAnsi="Arial"/>
                <w:b/>
                <w:sz w:val="18"/>
                <w:lang w:eastAsia="en-AU"/>
              </w:rPr>
            </w:pPr>
            <w:r w:rsidRPr="00D711DD">
              <w:rPr>
                <w:b/>
                <w:sz w:val="18"/>
                <w:lang w:eastAsia="en-AU"/>
              </w:rPr>
              <w:t>% PFHxS dose in urine,</w:t>
            </w:r>
            <w:r w:rsidRPr="000B3C14">
              <w:rPr>
                <w:sz w:val="18"/>
                <w:lang w:eastAsia="en-AU"/>
              </w:rPr>
              <w:t xml:space="preserve"> 0-24h</w:t>
            </w:r>
          </w:p>
        </w:tc>
        <w:tc>
          <w:tcPr>
            <w:tcW w:w="2126" w:type="dxa"/>
            <w:vAlign w:val="center"/>
          </w:tcPr>
          <w:p w14:paraId="320DCC0B" w14:textId="77777777" w:rsidR="00931B97" w:rsidRPr="00F6284E" w:rsidRDefault="00931B97" w:rsidP="00647943">
            <w:pPr>
              <w:jc w:val="right"/>
              <w:rPr>
                <w:rFonts w:ascii="Arial" w:hAnsi="Arial"/>
                <w:sz w:val="18"/>
                <w:lang w:eastAsia="en-AU"/>
              </w:rPr>
            </w:pPr>
            <w:r w:rsidRPr="00F6284E">
              <w:rPr>
                <w:sz w:val="18"/>
                <w:lang w:eastAsia="en-AU"/>
              </w:rPr>
              <w:t>0.102±0.010</w:t>
            </w:r>
          </w:p>
        </w:tc>
        <w:tc>
          <w:tcPr>
            <w:tcW w:w="2126" w:type="dxa"/>
            <w:vAlign w:val="center"/>
          </w:tcPr>
          <w:p w14:paraId="56598535" w14:textId="77777777" w:rsidR="00931B97" w:rsidRPr="00F6284E" w:rsidRDefault="00931B97" w:rsidP="00647943">
            <w:pPr>
              <w:jc w:val="right"/>
              <w:rPr>
                <w:rFonts w:ascii="Arial" w:hAnsi="Arial"/>
                <w:sz w:val="18"/>
                <w:lang w:eastAsia="en-AU"/>
              </w:rPr>
            </w:pPr>
            <w:r w:rsidRPr="00F6284E">
              <w:rPr>
                <w:sz w:val="18"/>
                <w:lang w:eastAsia="en-AU"/>
              </w:rPr>
              <w:t>0.055±0.033</w:t>
            </w:r>
          </w:p>
        </w:tc>
      </w:tr>
      <w:tr w:rsidR="00931B97" w14:paraId="75937460" w14:textId="77777777" w:rsidTr="00F6284E">
        <w:trPr>
          <w:trHeight w:val="255"/>
          <w:jc w:val="center"/>
        </w:trPr>
        <w:tc>
          <w:tcPr>
            <w:tcW w:w="2802" w:type="dxa"/>
            <w:vAlign w:val="center"/>
          </w:tcPr>
          <w:p w14:paraId="25D5FAEB" w14:textId="50FAEC08" w:rsidR="00931B97" w:rsidRPr="00F6284E" w:rsidRDefault="00737811" w:rsidP="00A111E9">
            <w:pPr>
              <w:rPr>
                <w:rFonts w:ascii="Arial" w:hAnsi="Arial"/>
                <w:b/>
                <w:sz w:val="18"/>
                <w:lang w:eastAsia="en-AU"/>
              </w:rPr>
            </w:pPr>
            <w:r>
              <w:rPr>
                <w:b/>
                <w:sz w:val="18"/>
                <w:lang w:eastAsia="en-AU"/>
              </w:rPr>
              <w:t>t</w:t>
            </w:r>
            <w:r w:rsidR="00931B97" w:rsidRPr="00737811">
              <w:rPr>
                <w:b/>
                <w:sz w:val="18"/>
                <w:vertAlign w:val="subscript"/>
                <w:lang w:eastAsia="en-AU"/>
              </w:rPr>
              <w:t>1</w:t>
            </w:r>
            <w:r w:rsidR="00931B97" w:rsidRPr="000B3C14">
              <w:rPr>
                <w:b/>
                <w:sz w:val="18"/>
                <w:vertAlign w:val="subscript"/>
                <w:lang w:eastAsia="en-AU"/>
              </w:rPr>
              <w:t xml:space="preserve">/2 </w:t>
            </w:r>
            <w:r w:rsidR="00931B97" w:rsidRPr="00F6284E">
              <w:rPr>
                <w:sz w:val="18"/>
                <w:lang w:eastAsia="en-AU"/>
              </w:rPr>
              <w:t>(day)</w:t>
            </w:r>
          </w:p>
        </w:tc>
        <w:tc>
          <w:tcPr>
            <w:tcW w:w="2126" w:type="dxa"/>
            <w:vAlign w:val="center"/>
          </w:tcPr>
          <w:p w14:paraId="1D07D98C" w14:textId="77777777" w:rsidR="00931B97" w:rsidRPr="00F6284E" w:rsidRDefault="00931B97" w:rsidP="00647943">
            <w:pPr>
              <w:jc w:val="right"/>
              <w:rPr>
                <w:rFonts w:ascii="Arial" w:hAnsi="Arial"/>
                <w:sz w:val="18"/>
                <w:vertAlign w:val="superscript"/>
                <w:lang w:eastAsia="en-AU"/>
              </w:rPr>
            </w:pPr>
            <w:r w:rsidRPr="00F6284E">
              <w:rPr>
                <w:sz w:val="18"/>
                <w:lang w:eastAsia="en-AU"/>
              </w:rPr>
              <w:t>141±30</w:t>
            </w:r>
          </w:p>
        </w:tc>
        <w:tc>
          <w:tcPr>
            <w:tcW w:w="2126" w:type="dxa"/>
            <w:vAlign w:val="center"/>
          </w:tcPr>
          <w:p w14:paraId="513190F9" w14:textId="77777777" w:rsidR="00931B97" w:rsidRPr="00F6284E" w:rsidRDefault="00931B97" w:rsidP="00647943">
            <w:pPr>
              <w:jc w:val="right"/>
              <w:rPr>
                <w:rFonts w:ascii="Arial" w:hAnsi="Arial"/>
                <w:sz w:val="18"/>
                <w:vertAlign w:val="superscript"/>
                <w:lang w:eastAsia="en-AU"/>
              </w:rPr>
            </w:pPr>
            <w:r w:rsidRPr="00F6284E">
              <w:rPr>
                <w:sz w:val="18"/>
                <w:lang w:eastAsia="en-AU"/>
              </w:rPr>
              <w:t>87±27</w:t>
            </w:r>
          </w:p>
        </w:tc>
      </w:tr>
      <w:tr w:rsidR="00931B97" w14:paraId="6613AE7C" w14:textId="77777777" w:rsidTr="00F6284E">
        <w:trPr>
          <w:trHeight w:val="255"/>
          <w:jc w:val="center"/>
        </w:trPr>
        <w:tc>
          <w:tcPr>
            <w:tcW w:w="2802" w:type="dxa"/>
            <w:vAlign w:val="center"/>
          </w:tcPr>
          <w:p w14:paraId="34E47180" w14:textId="77777777" w:rsidR="00931B97" w:rsidRPr="00F6284E" w:rsidRDefault="00931B97" w:rsidP="00A111E9">
            <w:pPr>
              <w:rPr>
                <w:rFonts w:ascii="Arial" w:hAnsi="Arial"/>
                <w:sz w:val="18"/>
                <w:lang w:eastAsia="en-AU"/>
              </w:rPr>
            </w:pPr>
            <w:r w:rsidRPr="00D711DD">
              <w:rPr>
                <w:b/>
                <w:sz w:val="18"/>
                <w:lang w:eastAsia="en-AU"/>
              </w:rPr>
              <w:t>CL</w:t>
            </w:r>
            <w:r w:rsidRPr="000B3C14">
              <w:rPr>
                <w:sz w:val="18"/>
                <w:lang w:eastAsia="en-AU"/>
              </w:rPr>
              <w:t xml:space="preserve"> (mL/day/kg)</w:t>
            </w:r>
          </w:p>
        </w:tc>
        <w:tc>
          <w:tcPr>
            <w:tcW w:w="2126" w:type="dxa"/>
            <w:vAlign w:val="center"/>
          </w:tcPr>
          <w:p w14:paraId="3AE30142" w14:textId="77777777" w:rsidR="00931B97" w:rsidRPr="00F6284E" w:rsidRDefault="00931B97" w:rsidP="00647943">
            <w:pPr>
              <w:jc w:val="right"/>
              <w:rPr>
                <w:rFonts w:ascii="Arial" w:hAnsi="Arial"/>
                <w:sz w:val="18"/>
                <w:lang w:eastAsia="en-AU"/>
              </w:rPr>
            </w:pPr>
            <w:r w:rsidRPr="00F6284E">
              <w:rPr>
                <w:sz w:val="18"/>
                <w:lang w:eastAsia="en-AU"/>
              </w:rPr>
              <w:t>1.33±0.12</w:t>
            </w:r>
          </w:p>
        </w:tc>
        <w:tc>
          <w:tcPr>
            <w:tcW w:w="2126" w:type="dxa"/>
            <w:vAlign w:val="center"/>
          </w:tcPr>
          <w:p w14:paraId="31B41EF0" w14:textId="77777777" w:rsidR="00931B97" w:rsidRPr="00F6284E" w:rsidRDefault="00931B97" w:rsidP="00647943">
            <w:pPr>
              <w:jc w:val="right"/>
              <w:rPr>
                <w:rFonts w:ascii="Arial" w:hAnsi="Arial"/>
                <w:sz w:val="18"/>
                <w:lang w:eastAsia="en-AU"/>
              </w:rPr>
            </w:pPr>
            <w:r w:rsidRPr="00F6284E">
              <w:rPr>
                <w:sz w:val="18"/>
                <w:lang w:eastAsia="en-AU"/>
              </w:rPr>
              <w:t>1.93±0.41</w:t>
            </w:r>
          </w:p>
        </w:tc>
      </w:tr>
      <w:tr w:rsidR="00931B97" w14:paraId="7DD0A458" w14:textId="77777777" w:rsidTr="00F6284E">
        <w:trPr>
          <w:trHeight w:val="255"/>
          <w:jc w:val="center"/>
        </w:trPr>
        <w:tc>
          <w:tcPr>
            <w:tcW w:w="2802" w:type="dxa"/>
            <w:vAlign w:val="center"/>
          </w:tcPr>
          <w:p w14:paraId="1C19A7F6" w14:textId="77777777" w:rsidR="00931B97" w:rsidRPr="00F6284E" w:rsidRDefault="00931B97" w:rsidP="00A111E9">
            <w:pPr>
              <w:rPr>
                <w:rFonts w:ascii="Arial" w:hAnsi="Arial"/>
                <w:sz w:val="18"/>
                <w:lang w:eastAsia="en-AU"/>
              </w:rPr>
            </w:pPr>
            <w:r w:rsidRPr="00D711DD">
              <w:rPr>
                <w:b/>
                <w:sz w:val="18"/>
                <w:lang w:eastAsia="en-AU"/>
              </w:rPr>
              <w:t>AUC</w:t>
            </w:r>
            <w:r w:rsidRPr="000B3C14">
              <w:rPr>
                <w:sz w:val="18"/>
                <w:lang w:eastAsia="en-AU"/>
              </w:rPr>
              <w:t xml:space="preserve"> (µg day/mL)</w:t>
            </w:r>
          </w:p>
        </w:tc>
        <w:tc>
          <w:tcPr>
            <w:tcW w:w="2126" w:type="dxa"/>
            <w:vAlign w:val="center"/>
          </w:tcPr>
          <w:p w14:paraId="1F4D44D6" w14:textId="77777777" w:rsidR="00931B97" w:rsidRPr="00F6284E" w:rsidRDefault="00931B97" w:rsidP="00647943">
            <w:pPr>
              <w:jc w:val="right"/>
              <w:rPr>
                <w:rFonts w:ascii="Arial" w:hAnsi="Arial"/>
                <w:sz w:val="18"/>
                <w:lang w:eastAsia="en-AU"/>
              </w:rPr>
            </w:pPr>
            <w:r w:rsidRPr="00F6284E">
              <w:rPr>
                <w:sz w:val="18"/>
                <w:lang w:eastAsia="en-AU"/>
              </w:rPr>
              <w:t>7462±675</w:t>
            </w:r>
          </w:p>
        </w:tc>
        <w:tc>
          <w:tcPr>
            <w:tcW w:w="2126" w:type="dxa"/>
            <w:vAlign w:val="center"/>
          </w:tcPr>
          <w:p w14:paraId="72568F9E" w14:textId="77777777" w:rsidR="00931B97" w:rsidRPr="00F6284E" w:rsidRDefault="00931B97" w:rsidP="00647943">
            <w:pPr>
              <w:jc w:val="right"/>
              <w:rPr>
                <w:rFonts w:ascii="Arial" w:hAnsi="Arial"/>
                <w:sz w:val="18"/>
                <w:lang w:eastAsia="en-AU"/>
              </w:rPr>
            </w:pPr>
            <w:r w:rsidRPr="00F6284E">
              <w:rPr>
                <w:sz w:val="18"/>
                <w:lang w:eastAsia="en-AU"/>
              </w:rPr>
              <w:t>5794±1396</w:t>
            </w:r>
          </w:p>
        </w:tc>
      </w:tr>
      <w:tr w:rsidR="00931B97" w14:paraId="55822CF7" w14:textId="77777777" w:rsidTr="00F6284E">
        <w:trPr>
          <w:trHeight w:val="255"/>
          <w:jc w:val="center"/>
        </w:trPr>
        <w:tc>
          <w:tcPr>
            <w:tcW w:w="2802" w:type="dxa"/>
            <w:vAlign w:val="center"/>
          </w:tcPr>
          <w:p w14:paraId="483DBF3A" w14:textId="30658077" w:rsidR="00931B97" w:rsidRPr="00F6284E" w:rsidRDefault="005C2B91" w:rsidP="00A111E9">
            <w:pPr>
              <w:rPr>
                <w:rFonts w:ascii="Arial" w:hAnsi="Arial"/>
                <w:sz w:val="18"/>
                <w:lang w:eastAsia="en-AU"/>
              </w:rPr>
            </w:pPr>
            <w:r>
              <w:rPr>
                <w:b/>
                <w:sz w:val="18"/>
                <w:lang w:eastAsia="en-AU"/>
              </w:rPr>
              <w:t>Vd</w:t>
            </w:r>
            <w:r w:rsidR="00931B97" w:rsidRPr="000B3C14">
              <w:rPr>
                <w:b/>
                <w:sz w:val="18"/>
                <w:vertAlign w:val="subscript"/>
                <w:lang w:eastAsia="en-AU"/>
              </w:rPr>
              <w:t>ss</w:t>
            </w:r>
            <w:r w:rsidR="00931B97" w:rsidRPr="00F6284E">
              <w:rPr>
                <w:sz w:val="18"/>
                <w:vertAlign w:val="subscript"/>
                <w:lang w:eastAsia="en-AU"/>
              </w:rPr>
              <w:t xml:space="preserve"> </w:t>
            </w:r>
            <w:r w:rsidR="00931B97" w:rsidRPr="00F6284E">
              <w:rPr>
                <w:sz w:val="18"/>
                <w:lang w:eastAsia="en-AU"/>
              </w:rPr>
              <w:t>mL/kg)</w:t>
            </w:r>
          </w:p>
        </w:tc>
        <w:tc>
          <w:tcPr>
            <w:tcW w:w="2126" w:type="dxa"/>
            <w:vAlign w:val="center"/>
          </w:tcPr>
          <w:p w14:paraId="03DDE645" w14:textId="77777777" w:rsidR="00931B97" w:rsidRPr="00F6284E" w:rsidRDefault="00931B97" w:rsidP="00647943">
            <w:pPr>
              <w:jc w:val="right"/>
              <w:rPr>
                <w:rFonts w:ascii="Arial" w:hAnsi="Arial"/>
                <w:sz w:val="18"/>
                <w:lang w:eastAsia="en-AU"/>
              </w:rPr>
            </w:pPr>
            <w:r w:rsidRPr="00F6284E">
              <w:rPr>
                <w:sz w:val="18"/>
                <w:lang w:eastAsia="en-AU"/>
              </w:rPr>
              <w:t>287±52</w:t>
            </w:r>
          </w:p>
        </w:tc>
        <w:tc>
          <w:tcPr>
            <w:tcW w:w="2126" w:type="dxa"/>
            <w:vAlign w:val="center"/>
          </w:tcPr>
          <w:p w14:paraId="72D7A281" w14:textId="77777777" w:rsidR="00931B97" w:rsidRPr="00F6284E" w:rsidRDefault="00931B97" w:rsidP="00647943">
            <w:pPr>
              <w:jc w:val="right"/>
              <w:rPr>
                <w:rFonts w:ascii="Arial" w:hAnsi="Arial"/>
                <w:sz w:val="18"/>
                <w:lang w:eastAsia="en-AU"/>
              </w:rPr>
            </w:pPr>
            <w:r w:rsidRPr="00F6284E">
              <w:rPr>
                <w:sz w:val="18"/>
                <w:lang w:eastAsia="en-AU"/>
              </w:rPr>
              <w:t>213±28</w:t>
            </w:r>
          </w:p>
        </w:tc>
      </w:tr>
    </w:tbl>
    <w:p w14:paraId="7E03F48A" w14:textId="3B6B697D" w:rsidR="00931B97" w:rsidRPr="00C374F4" w:rsidRDefault="00931B97" w:rsidP="00A111E9">
      <w:pPr>
        <w:spacing w:before="120"/>
        <w:ind w:left="1134"/>
        <w:rPr>
          <w:rFonts w:asciiTheme="minorHAnsi" w:hAnsiTheme="minorHAnsi"/>
          <w:sz w:val="20"/>
          <w:szCs w:val="20"/>
          <w:lang w:eastAsia="en-AU" w:bidi="ar-SA"/>
        </w:rPr>
      </w:pPr>
      <w:r w:rsidRPr="00C374F4">
        <w:rPr>
          <w:rFonts w:asciiTheme="minorHAnsi" w:hAnsiTheme="minorHAnsi"/>
          <w:sz w:val="20"/>
          <w:szCs w:val="20"/>
          <w:lang w:eastAsia="en-AU" w:bidi="ar-SA"/>
        </w:rPr>
        <w:t xml:space="preserve">Values presented are mean </w:t>
      </w:r>
      <w:r w:rsidRPr="00C374F4">
        <w:rPr>
          <w:rFonts w:asciiTheme="minorHAnsi" w:hAnsiTheme="minorHAnsi" w:cs="Arial"/>
          <w:sz w:val="20"/>
          <w:szCs w:val="20"/>
          <w:lang w:eastAsia="en-AU" w:bidi="ar-SA"/>
        </w:rPr>
        <w:t>±</w:t>
      </w:r>
      <w:r w:rsidRPr="00C374F4">
        <w:rPr>
          <w:rFonts w:asciiTheme="minorHAnsi" w:hAnsiTheme="minorHAnsi"/>
          <w:sz w:val="20"/>
          <w:szCs w:val="20"/>
          <w:lang w:eastAsia="en-AU" w:bidi="ar-SA"/>
        </w:rPr>
        <w:t xml:space="preserve"> standard error and taken from Sundstr</w:t>
      </w:r>
      <w:r w:rsidRPr="00C374F4">
        <w:rPr>
          <w:rFonts w:asciiTheme="minorHAnsi" w:hAnsiTheme="minorHAnsi" w:cs="Arial"/>
          <w:sz w:val="20"/>
          <w:szCs w:val="20"/>
          <w:lang w:eastAsia="en-AU" w:bidi="ar-SA"/>
        </w:rPr>
        <w:t>ö</w:t>
      </w:r>
      <w:r w:rsidR="007E6400">
        <w:rPr>
          <w:rFonts w:asciiTheme="minorHAnsi" w:hAnsiTheme="minorHAnsi"/>
          <w:sz w:val="20"/>
          <w:szCs w:val="20"/>
          <w:lang w:eastAsia="en-AU" w:bidi="ar-SA"/>
        </w:rPr>
        <w:t xml:space="preserve">m </w:t>
      </w:r>
      <w:r w:rsidR="00180A32" w:rsidRPr="00180A32">
        <w:rPr>
          <w:rFonts w:asciiTheme="minorHAnsi" w:hAnsiTheme="minorHAnsi"/>
          <w:i/>
          <w:sz w:val="20"/>
          <w:szCs w:val="20"/>
          <w:lang w:eastAsia="en-AU" w:bidi="ar-SA"/>
        </w:rPr>
        <w:t xml:space="preserve">et al. </w:t>
      </w:r>
      <w:r w:rsidR="00CC50B8">
        <w:rPr>
          <w:rFonts w:asciiTheme="minorHAnsi" w:hAnsiTheme="minorHAnsi"/>
          <w:sz w:val="20"/>
          <w:szCs w:val="20"/>
          <w:lang w:eastAsia="en-AU" w:bidi="ar-SA"/>
        </w:rPr>
        <w:t xml:space="preserve"> </w:t>
      </w:r>
      <w:r w:rsidRPr="00C374F4">
        <w:rPr>
          <w:rFonts w:asciiTheme="minorHAnsi" w:hAnsiTheme="minorHAnsi"/>
          <w:sz w:val="20"/>
          <w:szCs w:val="20"/>
          <w:lang w:eastAsia="en-AU" w:bidi="ar-SA"/>
        </w:rPr>
        <w:t>2012</w:t>
      </w:r>
    </w:p>
    <w:p w14:paraId="78C95927" w14:textId="77777777" w:rsidR="00931B97" w:rsidRDefault="00931B97" w:rsidP="00A111E9">
      <w:pPr>
        <w:rPr>
          <w:highlight w:val="yellow"/>
          <w:lang w:eastAsia="en-AU" w:bidi="ar-SA"/>
        </w:rPr>
      </w:pPr>
    </w:p>
    <w:p w14:paraId="5F6E1325" w14:textId="239446A4" w:rsidR="00931B97" w:rsidRDefault="00931B97" w:rsidP="00A111E9">
      <w:pPr>
        <w:rPr>
          <w:lang w:eastAsia="en-AU" w:bidi="ar-SA"/>
        </w:rPr>
      </w:pPr>
      <w:r>
        <w:rPr>
          <w:lang w:eastAsia="en-AU" w:bidi="ar-SA"/>
        </w:rPr>
        <w:t xml:space="preserve">There was no difference in mean </w:t>
      </w:r>
      <w:r w:rsidRPr="001D4B56">
        <w:rPr>
          <w:lang w:eastAsia="en-AU" w:bidi="ar-SA"/>
        </w:rPr>
        <w:t>C</w:t>
      </w:r>
      <w:r w:rsidRPr="001D4B56">
        <w:rPr>
          <w:vertAlign w:val="subscript"/>
          <w:lang w:eastAsia="en-AU" w:bidi="ar-SA"/>
        </w:rPr>
        <w:t xml:space="preserve">max </w:t>
      </w:r>
      <w:r>
        <w:rPr>
          <w:lang w:eastAsia="en-AU" w:bidi="ar-SA"/>
        </w:rPr>
        <w:t xml:space="preserve">values between males and females. The lower </w:t>
      </w:r>
      <w:r w:rsidR="00185513">
        <w:rPr>
          <w:lang w:eastAsia="en-AU" w:bidi="ar-SA"/>
        </w:rPr>
        <w:t>d</w:t>
      </w:r>
      <w:r>
        <w:rPr>
          <w:lang w:eastAsia="en-AU" w:bidi="ar-SA"/>
        </w:rPr>
        <w:t>ay 171 serum values for f</w:t>
      </w:r>
      <w:r w:rsidR="00737811">
        <w:rPr>
          <w:lang w:eastAsia="en-AU" w:bidi="ar-SA"/>
        </w:rPr>
        <w:t>emales, along with the shorter t</w:t>
      </w:r>
      <w:r>
        <w:rPr>
          <w:vertAlign w:val="subscript"/>
          <w:lang w:eastAsia="en-AU" w:bidi="ar-SA"/>
        </w:rPr>
        <w:t xml:space="preserve">1/2, </w:t>
      </w:r>
      <w:r>
        <w:rPr>
          <w:lang w:eastAsia="en-AU" w:bidi="ar-SA"/>
        </w:rPr>
        <w:t xml:space="preserve">higher mean clearance value and lower AUC indicated that female </w:t>
      </w:r>
      <w:r w:rsidR="00E5397E">
        <w:rPr>
          <w:lang w:eastAsia="en-AU" w:bidi="ar-SA"/>
        </w:rPr>
        <w:t xml:space="preserve">cynomolgus </w:t>
      </w:r>
      <w:r>
        <w:rPr>
          <w:lang w:eastAsia="en-AU" w:bidi="ar-SA"/>
        </w:rPr>
        <w:t>monkeys are likely to excrete PFHxS more rapidly than males.</w:t>
      </w:r>
    </w:p>
    <w:p w14:paraId="1CE15486" w14:textId="77777777" w:rsidR="00931B97" w:rsidRDefault="00931B97" w:rsidP="00A111E9">
      <w:pPr>
        <w:rPr>
          <w:lang w:eastAsia="en-AU" w:bidi="ar-SA"/>
        </w:rPr>
      </w:pPr>
    </w:p>
    <w:p w14:paraId="0B74699B" w14:textId="5DF720A9" w:rsidR="00931B97" w:rsidRDefault="00931B97" w:rsidP="00A111E9">
      <w:pPr>
        <w:rPr>
          <w:lang w:eastAsia="en-AU" w:bidi="ar-SA"/>
        </w:rPr>
      </w:pPr>
      <w:r w:rsidRPr="00086B97">
        <w:rPr>
          <w:lang w:eastAsia="en-AU" w:bidi="ar-SA"/>
        </w:rPr>
        <w:t xml:space="preserve">The </w:t>
      </w:r>
      <w:r>
        <w:rPr>
          <w:lang w:eastAsia="en-AU" w:bidi="ar-SA"/>
        </w:rPr>
        <w:t xml:space="preserve">percentage of administered dose detected in the urine on each sampling occasion was low, reported to be in the order of 0.03% (no individual day of sampling numerical data presented in the paper). The overall mean % for males was approximately twice that for </w:t>
      </w:r>
      <w:r>
        <w:rPr>
          <w:lang w:eastAsia="en-AU" w:bidi="ar-SA"/>
        </w:rPr>
        <w:lastRenderedPageBreak/>
        <w:t>females (0.102 vs 0.055% respectively). Faeces were not sampled.</w:t>
      </w:r>
    </w:p>
    <w:p w14:paraId="0C041962" w14:textId="77777777" w:rsidR="00931B97" w:rsidRDefault="00931B97" w:rsidP="00A111E9">
      <w:pPr>
        <w:rPr>
          <w:lang w:eastAsia="en-AU" w:bidi="ar-SA"/>
        </w:rPr>
      </w:pPr>
    </w:p>
    <w:p w14:paraId="144E6F50" w14:textId="3E5E1E2E" w:rsidR="00931B97" w:rsidRDefault="00931B97" w:rsidP="00A111E9">
      <w:pPr>
        <w:rPr>
          <w:lang w:eastAsia="en-AU" w:bidi="ar-SA"/>
        </w:rPr>
      </w:pPr>
      <w:r>
        <w:rPr>
          <w:lang w:eastAsia="en-AU" w:bidi="ar-SA"/>
        </w:rPr>
        <w:t>The Vd</w:t>
      </w:r>
      <w:r>
        <w:rPr>
          <w:vertAlign w:val="subscript"/>
          <w:lang w:eastAsia="en-AU" w:bidi="ar-SA"/>
        </w:rPr>
        <w:t>ss</w:t>
      </w:r>
      <w:r>
        <w:rPr>
          <w:lang w:eastAsia="en-AU" w:bidi="ar-SA"/>
        </w:rPr>
        <w:t xml:space="preserve"> values were considered by the authors to indicate predominantly extracellular distribution.</w:t>
      </w:r>
    </w:p>
    <w:p w14:paraId="20111812" w14:textId="77777777" w:rsidR="00931B97" w:rsidRDefault="00931B97" w:rsidP="00A111E9">
      <w:pPr>
        <w:rPr>
          <w:lang w:eastAsia="en-AU" w:bidi="ar-SA"/>
        </w:rPr>
      </w:pPr>
    </w:p>
    <w:p w14:paraId="4AD5335E" w14:textId="6E09D7A1" w:rsidR="00931B97" w:rsidRPr="00F9629A" w:rsidRDefault="00931B97" w:rsidP="00A111E9">
      <w:pPr>
        <w:rPr>
          <w:b/>
          <w:lang w:eastAsia="en-AU" w:bidi="ar-SA"/>
        </w:rPr>
      </w:pPr>
      <w:r w:rsidRPr="00F9629A">
        <w:rPr>
          <w:b/>
          <w:lang w:eastAsia="en-AU" w:bidi="ar-SA"/>
        </w:rPr>
        <w:t xml:space="preserve">Kim </w:t>
      </w:r>
      <w:r w:rsidR="00180A32" w:rsidRPr="00180A32">
        <w:rPr>
          <w:b/>
          <w:i/>
          <w:lang w:eastAsia="en-AU" w:bidi="ar-SA"/>
        </w:rPr>
        <w:t xml:space="preserve">et al. </w:t>
      </w:r>
      <w:r w:rsidR="00CC50B8">
        <w:rPr>
          <w:b/>
          <w:lang w:eastAsia="en-AU" w:bidi="ar-SA"/>
        </w:rPr>
        <w:t xml:space="preserve"> </w:t>
      </w:r>
      <w:r w:rsidRPr="00F9629A">
        <w:rPr>
          <w:b/>
          <w:lang w:eastAsia="en-AU" w:bidi="ar-SA"/>
        </w:rPr>
        <w:t>2016 – Gender differences in pharmacokinetic and tissue distribution of PFHxS in rats</w:t>
      </w:r>
    </w:p>
    <w:p w14:paraId="70208C44" w14:textId="77777777" w:rsidR="00931B97" w:rsidRDefault="00931B97" w:rsidP="00A111E9">
      <w:pPr>
        <w:rPr>
          <w:lang w:eastAsia="en-AU" w:bidi="ar-SA"/>
        </w:rPr>
      </w:pPr>
    </w:p>
    <w:p w14:paraId="2BB1F4DB" w14:textId="563E12BD" w:rsidR="00931B97" w:rsidRDefault="00931B97" w:rsidP="00A111E9">
      <w:pPr>
        <w:rPr>
          <w:lang w:eastAsia="en-AU" w:bidi="ar-SA"/>
        </w:rPr>
      </w:pPr>
      <w:r>
        <w:rPr>
          <w:lang w:eastAsia="en-AU" w:bidi="ar-SA"/>
        </w:rPr>
        <w:t>The objective of this study with respect to PFHxS</w:t>
      </w:r>
      <w:r>
        <w:rPr>
          <w:rStyle w:val="FootnoteReference"/>
          <w:lang w:eastAsia="en-AU" w:bidi="ar-SA"/>
        </w:rPr>
        <w:footnoteReference w:id="14"/>
      </w:r>
      <w:r>
        <w:rPr>
          <w:lang w:eastAsia="en-AU" w:bidi="ar-SA"/>
        </w:rPr>
        <w:t xml:space="preserve"> was to confirm and investigate further the gender differences in PK characteristics af</w:t>
      </w:r>
      <w:r w:rsidR="00501F5D">
        <w:rPr>
          <w:lang w:eastAsia="en-AU" w:bidi="ar-SA"/>
        </w:rPr>
        <w:t>ter a single iv</w:t>
      </w:r>
      <w:r>
        <w:rPr>
          <w:lang w:eastAsia="en-AU" w:bidi="ar-SA"/>
        </w:rPr>
        <w:t xml:space="preserve"> or oral gavage administration in rats.</w:t>
      </w:r>
    </w:p>
    <w:p w14:paraId="650B3B77" w14:textId="77777777" w:rsidR="00931B97" w:rsidRDefault="00931B97" w:rsidP="00A111E9">
      <w:pPr>
        <w:rPr>
          <w:lang w:eastAsia="en-AU" w:bidi="ar-SA"/>
        </w:rPr>
      </w:pPr>
    </w:p>
    <w:p w14:paraId="7AF53020" w14:textId="4EA3F82F" w:rsidR="00931B97" w:rsidRDefault="00931B97" w:rsidP="00A111E9">
      <w:pPr>
        <w:rPr>
          <w:lang w:eastAsia="en-AU" w:bidi="ar-SA"/>
        </w:rPr>
      </w:pPr>
      <w:r>
        <w:rPr>
          <w:lang w:eastAsia="en-AU" w:bidi="ar-SA"/>
        </w:rPr>
        <w:t>Male and female Sprague</w:t>
      </w:r>
      <w:r w:rsidR="00032CF6">
        <w:rPr>
          <w:lang w:eastAsia="en-AU" w:bidi="ar-SA"/>
        </w:rPr>
        <w:t xml:space="preserve"> </w:t>
      </w:r>
      <w:r>
        <w:rPr>
          <w:lang w:eastAsia="en-AU" w:bidi="ar-SA"/>
        </w:rPr>
        <w:t>Dawley rats (5</w:t>
      </w:r>
      <w:r w:rsidR="00923DBA">
        <w:rPr>
          <w:lang w:eastAsia="en-AU" w:bidi="ar-SA"/>
        </w:rPr>
        <w:t xml:space="preserve">/sex/group; </w:t>
      </w:r>
      <w:r>
        <w:rPr>
          <w:lang w:eastAsia="en-AU" w:bidi="ar-SA"/>
        </w:rPr>
        <w:t>at least 8-12 weeks old) were given a single iv or oral gavage dose of K</w:t>
      </w:r>
      <w:r>
        <w:rPr>
          <w:vertAlign w:val="superscript"/>
          <w:lang w:eastAsia="en-AU" w:bidi="ar-SA"/>
        </w:rPr>
        <w:t>+</w:t>
      </w:r>
      <w:r w:rsidR="00923DBA">
        <w:rPr>
          <w:lang w:eastAsia="en-AU" w:bidi="ar-SA"/>
        </w:rPr>
        <w:t>PFHxS at 4 mg/kg bw.</w:t>
      </w:r>
      <w:r>
        <w:rPr>
          <w:lang w:eastAsia="en-AU" w:bidi="ar-SA"/>
        </w:rPr>
        <w:t xml:space="preserve"> Males were observed for a period of 72 days, whil</w:t>
      </w:r>
      <w:r w:rsidR="003861B4">
        <w:rPr>
          <w:lang w:eastAsia="en-AU" w:bidi="ar-SA"/>
        </w:rPr>
        <w:t>e</w:t>
      </w:r>
      <w:r>
        <w:rPr>
          <w:lang w:eastAsia="en-AU" w:bidi="ar-SA"/>
        </w:rPr>
        <w:t xml:space="preserve"> females were observed for only 14 days. During the observation periods, blood (processed to plasma), urine and faeces samples (24-hour sampling period) were collected. The timing of these observations are given in the table below. At study termination samples from the liver, kidneys, heart, lung and spleen from each animal were taken for analysis of PFHxS levels (region of tissue sampled was not detailed). All samples were frozen with liquid nitrogen and stored at -80</w:t>
      </w:r>
      <w:r>
        <w:rPr>
          <w:vertAlign w:val="superscript"/>
          <w:lang w:eastAsia="en-AU" w:bidi="ar-SA"/>
        </w:rPr>
        <w:t>0</w:t>
      </w:r>
      <w:r>
        <w:rPr>
          <w:lang w:eastAsia="en-AU" w:bidi="ar-SA"/>
        </w:rPr>
        <w:t>C until analysis</w:t>
      </w:r>
      <w:r w:rsidR="00156ADD">
        <w:rPr>
          <w:lang w:eastAsia="en-AU" w:bidi="ar-SA"/>
        </w:rPr>
        <w:t>.</w:t>
      </w:r>
    </w:p>
    <w:p w14:paraId="2B442B0C" w14:textId="77777777" w:rsidR="00931B97" w:rsidRDefault="00931B97" w:rsidP="00A111E9">
      <w:pPr>
        <w:rPr>
          <w:lang w:eastAsia="en-AU" w:bidi="ar-SA"/>
        </w:rPr>
      </w:pPr>
    </w:p>
    <w:p w14:paraId="713422BB" w14:textId="77777777" w:rsidR="00931B97" w:rsidRPr="00C374F4" w:rsidRDefault="00931B97" w:rsidP="00A111E9">
      <w:pPr>
        <w:rPr>
          <w:rFonts w:cs="Arial"/>
          <w:lang w:val="en-NZ" w:eastAsia="en-AU" w:bidi="ar-SA"/>
        </w:rPr>
      </w:pPr>
      <w:r w:rsidRPr="00C374F4">
        <w:rPr>
          <w:rFonts w:cs="Arial"/>
          <w:lang w:val="en-NZ" w:eastAsia="en-AU" w:bidi="ar-SA"/>
        </w:rPr>
        <w:t>The authors used a two-compartmen</w:t>
      </w:r>
      <w:r>
        <w:rPr>
          <w:rFonts w:cs="Arial"/>
          <w:lang w:val="en-NZ" w:eastAsia="en-AU" w:bidi="ar-SA"/>
        </w:rPr>
        <w:t>t model to analyse</w:t>
      </w:r>
      <w:r w:rsidRPr="00C374F4">
        <w:rPr>
          <w:rFonts w:cs="Arial"/>
          <w:lang w:val="en-NZ" w:eastAsia="en-AU" w:bidi="ar-SA"/>
        </w:rPr>
        <w:t xml:space="preserve"> the data.</w:t>
      </w:r>
    </w:p>
    <w:p w14:paraId="782542B0" w14:textId="77777777" w:rsidR="00931B97" w:rsidRDefault="00931B97" w:rsidP="00A111E9">
      <w:pPr>
        <w:rPr>
          <w:rFonts w:asciiTheme="minorHAnsi" w:hAnsiTheme="minorHAnsi"/>
          <w:b/>
          <w:lang w:val="en-NZ" w:eastAsia="en-AU" w:bidi="ar-SA"/>
        </w:rPr>
      </w:pPr>
    </w:p>
    <w:p w14:paraId="622B5066" w14:textId="58ED5D1E" w:rsidR="00931B97" w:rsidRDefault="006F6E97" w:rsidP="00A111E9">
      <w:pPr>
        <w:pStyle w:val="FSTableTitle"/>
        <w:rPr>
          <w:lang w:val="en-NZ" w:eastAsia="en-AU" w:bidi="ar-SA"/>
        </w:rPr>
      </w:pPr>
      <w:r>
        <w:rPr>
          <w:lang w:val="en-NZ" w:eastAsia="en-AU" w:bidi="ar-SA"/>
        </w:rPr>
        <w:t>Table A</w:t>
      </w:r>
      <w:r w:rsidR="00707CE3">
        <w:rPr>
          <w:lang w:val="en-NZ" w:eastAsia="en-AU" w:bidi="ar-SA"/>
        </w:rPr>
        <w:t>3</w:t>
      </w:r>
      <w:r>
        <w:rPr>
          <w:lang w:val="en-NZ" w:eastAsia="en-AU" w:bidi="ar-SA"/>
        </w:rPr>
        <w:t>.5</w:t>
      </w:r>
      <w:r w:rsidR="00931B97">
        <w:rPr>
          <w:lang w:val="en-NZ" w:eastAsia="en-AU" w:bidi="ar-SA"/>
        </w:rPr>
        <w:t>: Summary of sampling times</w:t>
      </w:r>
    </w:p>
    <w:tbl>
      <w:tblPr>
        <w:tblStyle w:val="TableGrid"/>
        <w:tblW w:w="0" w:type="auto"/>
        <w:jc w:val="center"/>
        <w:tblLook w:val="04A0" w:firstRow="1" w:lastRow="0" w:firstColumn="1" w:lastColumn="0" w:noHBand="0" w:noVBand="1"/>
        <w:tblCaption w:val="Table A3.5: Summary of sampling times"/>
        <w:tblDescription w:val="This table contains a summary of sampling times."/>
      </w:tblPr>
      <w:tblGrid>
        <w:gridCol w:w="1160"/>
        <w:gridCol w:w="751"/>
        <w:gridCol w:w="900"/>
        <w:gridCol w:w="3507"/>
        <w:gridCol w:w="2253"/>
      </w:tblGrid>
      <w:tr w:rsidR="00931B97" w14:paraId="4ED6D3ED" w14:textId="77777777" w:rsidTr="0008049A">
        <w:trPr>
          <w:tblHeader/>
          <w:jc w:val="center"/>
        </w:trPr>
        <w:tc>
          <w:tcPr>
            <w:tcW w:w="1160" w:type="dxa"/>
            <w:shd w:val="clear" w:color="auto" w:fill="F2F2F2" w:themeFill="background1" w:themeFillShade="F2"/>
            <w:vAlign w:val="center"/>
          </w:tcPr>
          <w:p w14:paraId="32B83478" w14:textId="77777777" w:rsidR="00931B97" w:rsidRPr="00F6284E" w:rsidRDefault="00931B97" w:rsidP="00A111E9">
            <w:pPr>
              <w:rPr>
                <w:rFonts w:ascii="Arial" w:hAnsi="Arial"/>
                <w:b/>
                <w:sz w:val="18"/>
                <w:lang w:val="en-NZ" w:eastAsia="en-AU"/>
              </w:rPr>
            </w:pPr>
          </w:p>
        </w:tc>
        <w:tc>
          <w:tcPr>
            <w:tcW w:w="751" w:type="dxa"/>
            <w:shd w:val="clear" w:color="auto" w:fill="F2F2F2" w:themeFill="background1" w:themeFillShade="F2"/>
            <w:vAlign w:val="center"/>
          </w:tcPr>
          <w:p w14:paraId="5FC1AA25" w14:textId="77777777" w:rsidR="00931B97" w:rsidRPr="00F6284E" w:rsidRDefault="00931B97" w:rsidP="00A111E9">
            <w:pPr>
              <w:rPr>
                <w:rFonts w:ascii="Arial" w:hAnsi="Arial"/>
                <w:b/>
                <w:sz w:val="18"/>
                <w:lang w:val="en-NZ" w:eastAsia="en-AU"/>
              </w:rPr>
            </w:pPr>
            <w:r w:rsidRPr="00F6284E">
              <w:rPr>
                <w:rFonts w:ascii="Arial" w:hAnsi="Arial"/>
                <w:b/>
                <w:sz w:val="18"/>
                <w:lang w:val="en-NZ" w:eastAsia="en-AU"/>
              </w:rPr>
              <w:t>Route</w:t>
            </w:r>
          </w:p>
        </w:tc>
        <w:tc>
          <w:tcPr>
            <w:tcW w:w="900" w:type="dxa"/>
            <w:shd w:val="clear" w:color="auto" w:fill="F2F2F2" w:themeFill="background1" w:themeFillShade="F2"/>
            <w:vAlign w:val="center"/>
          </w:tcPr>
          <w:p w14:paraId="23A94361" w14:textId="77777777" w:rsidR="00931B97" w:rsidRPr="00F6284E" w:rsidRDefault="00931B97" w:rsidP="00647943">
            <w:pPr>
              <w:spacing w:before="40" w:after="40"/>
              <w:jc w:val="right"/>
              <w:rPr>
                <w:rFonts w:ascii="Arial" w:hAnsi="Arial"/>
                <w:b/>
                <w:sz w:val="18"/>
                <w:lang w:val="en-NZ" w:eastAsia="en-AU"/>
              </w:rPr>
            </w:pPr>
            <w:r w:rsidRPr="00F6284E">
              <w:rPr>
                <w:rFonts w:ascii="Arial" w:hAnsi="Arial"/>
                <w:b/>
                <w:sz w:val="18"/>
                <w:lang w:val="en-NZ" w:eastAsia="en-AU"/>
              </w:rPr>
              <w:t>Dose (mg/kg)</w:t>
            </w:r>
          </w:p>
        </w:tc>
        <w:tc>
          <w:tcPr>
            <w:tcW w:w="3507" w:type="dxa"/>
            <w:shd w:val="clear" w:color="auto" w:fill="F2F2F2" w:themeFill="background1" w:themeFillShade="F2"/>
            <w:vAlign w:val="center"/>
          </w:tcPr>
          <w:p w14:paraId="2F8AB655" w14:textId="77777777" w:rsidR="00931B97" w:rsidRPr="00F6284E" w:rsidRDefault="00931B97" w:rsidP="00A111E9">
            <w:pPr>
              <w:rPr>
                <w:rFonts w:ascii="Arial" w:hAnsi="Arial"/>
                <w:b/>
                <w:sz w:val="18"/>
                <w:lang w:val="en-NZ" w:eastAsia="en-AU"/>
              </w:rPr>
            </w:pPr>
            <w:r w:rsidRPr="00F6284E">
              <w:rPr>
                <w:rFonts w:ascii="Arial" w:hAnsi="Arial"/>
                <w:b/>
                <w:sz w:val="18"/>
                <w:lang w:val="en-NZ" w:eastAsia="en-AU"/>
              </w:rPr>
              <w:t>Blood sampling time</w:t>
            </w:r>
          </w:p>
        </w:tc>
        <w:tc>
          <w:tcPr>
            <w:tcW w:w="2253" w:type="dxa"/>
            <w:shd w:val="clear" w:color="auto" w:fill="F2F2F2" w:themeFill="background1" w:themeFillShade="F2"/>
            <w:vAlign w:val="center"/>
          </w:tcPr>
          <w:p w14:paraId="444CBC0B" w14:textId="29D6C0FE" w:rsidR="00931B97" w:rsidRPr="00F6284E" w:rsidRDefault="00931B97" w:rsidP="00A111E9">
            <w:pPr>
              <w:rPr>
                <w:rFonts w:ascii="Arial" w:hAnsi="Arial"/>
                <w:b/>
                <w:sz w:val="18"/>
                <w:lang w:val="en-NZ" w:eastAsia="en-AU"/>
              </w:rPr>
            </w:pPr>
            <w:r w:rsidRPr="00F6284E">
              <w:rPr>
                <w:rFonts w:ascii="Arial" w:hAnsi="Arial"/>
                <w:b/>
                <w:sz w:val="18"/>
                <w:lang w:val="en-NZ" w:eastAsia="en-AU"/>
              </w:rPr>
              <w:t>Urine and faeces sampling days</w:t>
            </w:r>
          </w:p>
        </w:tc>
      </w:tr>
      <w:tr w:rsidR="00931B97" w14:paraId="3F59E0D3" w14:textId="77777777" w:rsidTr="00F6284E">
        <w:trPr>
          <w:jc w:val="center"/>
        </w:trPr>
        <w:tc>
          <w:tcPr>
            <w:tcW w:w="1160" w:type="dxa"/>
            <w:vAlign w:val="center"/>
          </w:tcPr>
          <w:p w14:paraId="228D1473" w14:textId="77777777" w:rsidR="00931B97" w:rsidRPr="00D711DD" w:rsidRDefault="00931B97" w:rsidP="00A111E9">
            <w:pPr>
              <w:rPr>
                <w:rFonts w:ascii="Arial" w:hAnsi="Arial"/>
                <w:b/>
                <w:sz w:val="18"/>
                <w:lang w:val="en-NZ" w:eastAsia="en-AU"/>
              </w:rPr>
            </w:pPr>
            <w:r w:rsidRPr="00D711DD">
              <w:rPr>
                <w:rFonts w:ascii="Arial" w:hAnsi="Arial"/>
                <w:b/>
                <w:sz w:val="18"/>
                <w:lang w:val="en-NZ" w:eastAsia="en-AU"/>
              </w:rPr>
              <w:t>Males</w:t>
            </w:r>
          </w:p>
        </w:tc>
        <w:tc>
          <w:tcPr>
            <w:tcW w:w="751" w:type="dxa"/>
            <w:vAlign w:val="center"/>
          </w:tcPr>
          <w:p w14:paraId="19564217" w14:textId="6166601E" w:rsidR="00931B97" w:rsidRPr="000B3C14" w:rsidRDefault="00BC7C5A" w:rsidP="00A111E9">
            <w:pPr>
              <w:rPr>
                <w:rFonts w:ascii="Arial" w:hAnsi="Arial"/>
                <w:sz w:val="18"/>
                <w:lang w:val="en-NZ" w:eastAsia="en-AU"/>
              </w:rPr>
            </w:pPr>
            <w:r>
              <w:rPr>
                <w:rFonts w:ascii="Arial" w:hAnsi="Arial"/>
                <w:sz w:val="18"/>
                <w:lang w:val="en-NZ" w:eastAsia="en-AU"/>
              </w:rPr>
              <w:t>iv</w:t>
            </w:r>
            <w:r w:rsidR="00931B97" w:rsidRPr="000B3C14">
              <w:rPr>
                <w:rFonts w:ascii="Arial" w:hAnsi="Arial"/>
                <w:sz w:val="18"/>
                <w:lang w:val="en-NZ" w:eastAsia="en-AU"/>
              </w:rPr>
              <w:t>/oral</w:t>
            </w:r>
          </w:p>
        </w:tc>
        <w:tc>
          <w:tcPr>
            <w:tcW w:w="900" w:type="dxa"/>
            <w:vAlign w:val="center"/>
          </w:tcPr>
          <w:p w14:paraId="1D323CAE" w14:textId="77777777" w:rsidR="00931B97" w:rsidRPr="00F6284E" w:rsidRDefault="00931B97" w:rsidP="00647943">
            <w:pPr>
              <w:jc w:val="right"/>
              <w:rPr>
                <w:rFonts w:ascii="Arial" w:hAnsi="Arial"/>
                <w:sz w:val="18"/>
                <w:lang w:val="en-NZ" w:eastAsia="en-AU"/>
              </w:rPr>
            </w:pPr>
            <w:r w:rsidRPr="00F6284E">
              <w:rPr>
                <w:rFonts w:ascii="Arial" w:hAnsi="Arial"/>
                <w:sz w:val="18"/>
                <w:lang w:val="en-NZ" w:eastAsia="en-AU"/>
              </w:rPr>
              <w:t>4</w:t>
            </w:r>
          </w:p>
        </w:tc>
        <w:tc>
          <w:tcPr>
            <w:tcW w:w="3507" w:type="dxa"/>
            <w:vAlign w:val="center"/>
          </w:tcPr>
          <w:p w14:paraId="2B4EAE43" w14:textId="24CE1048" w:rsidR="00931B97" w:rsidRPr="00F6284E" w:rsidRDefault="00931B97" w:rsidP="00A111E9">
            <w:pPr>
              <w:rPr>
                <w:rFonts w:ascii="Arial" w:hAnsi="Arial"/>
                <w:sz w:val="18"/>
                <w:lang w:val="en-NZ" w:eastAsia="en-AU"/>
              </w:rPr>
            </w:pPr>
            <w:r w:rsidRPr="00F6284E">
              <w:rPr>
                <w:rFonts w:ascii="Arial" w:hAnsi="Arial"/>
                <w:sz w:val="18"/>
                <w:lang w:val="en-NZ" w:eastAsia="en-AU"/>
              </w:rPr>
              <w:t>1,</w:t>
            </w:r>
            <w:r w:rsidR="00486B54">
              <w:rPr>
                <w:rFonts w:ascii="Arial" w:hAnsi="Arial"/>
                <w:sz w:val="18"/>
                <w:lang w:val="en-NZ" w:eastAsia="en-AU"/>
              </w:rPr>
              <w:t xml:space="preserve"> </w:t>
            </w:r>
            <w:r w:rsidRPr="00F6284E">
              <w:rPr>
                <w:rFonts w:ascii="Arial" w:hAnsi="Arial"/>
                <w:sz w:val="18"/>
                <w:lang w:val="en-NZ" w:eastAsia="en-AU"/>
              </w:rPr>
              <w:t>3,</w:t>
            </w:r>
            <w:r w:rsidR="00486B54">
              <w:rPr>
                <w:rFonts w:ascii="Arial" w:hAnsi="Arial"/>
                <w:sz w:val="18"/>
                <w:lang w:val="en-NZ" w:eastAsia="en-AU"/>
              </w:rPr>
              <w:t xml:space="preserve"> </w:t>
            </w:r>
            <w:r w:rsidRPr="00F6284E">
              <w:rPr>
                <w:rFonts w:ascii="Arial" w:hAnsi="Arial"/>
                <w:sz w:val="18"/>
                <w:lang w:val="en-NZ" w:eastAsia="en-AU"/>
              </w:rPr>
              <w:t>9,</w:t>
            </w:r>
            <w:r w:rsidR="00486B54">
              <w:rPr>
                <w:rFonts w:ascii="Arial" w:hAnsi="Arial"/>
                <w:sz w:val="18"/>
                <w:lang w:val="en-NZ" w:eastAsia="en-AU"/>
              </w:rPr>
              <w:t xml:space="preserve"> </w:t>
            </w:r>
            <w:r w:rsidRPr="00F6284E">
              <w:rPr>
                <w:rFonts w:ascii="Arial" w:hAnsi="Arial"/>
                <w:sz w:val="18"/>
                <w:lang w:val="en-NZ" w:eastAsia="en-AU"/>
              </w:rPr>
              <w:t>18,</w:t>
            </w:r>
            <w:r w:rsidR="00486B54">
              <w:rPr>
                <w:rFonts w:ascii="Arial" w:hAnsi="Arial"/>
                <w:sz w:val="18"/>
                <w:lang w:val="en-NZ" w:eastAsia="en-AU"/>
              </w:rPr>
              <w:t xml:space="preserve"> </w:t>
            </w:r>
            <w:r w:rsidRPr="00F6284E">
              <w:rPr>
                <w:rFonts w:ascii="Arial" w:hAnsi="Arial"/>
                <w:sz w:val="18"/>
                <w:lang w:val="en-NZ" w:eastAsia="en-AU"/>
              </w:rPr>
              <w:t>24,</w:t>
            </w:r>
            <w:r w:rsidR="00486B54">
              <w:rPr>
                <w:rFonts w:ascii="Arial" w:hAnsi="Arial"/>
                <w:sz w:val="18"/>
                <w:lang w:val="en-NZ" w:eastAsia="en-AU"/>
              </w:rPr>
              <w:t xml:space="preserve"> </w:t>
            </w:r>
            <w:r w:rsidRPr="00F6284E">
              <w:rPr>
                <w:rFonts w:ascii="Arial" w:hAnsi="Arial"/>
                <w:sz w:val="18"/>
                <w:lang w:val="en-NZ" w:eastAsia="en-AU"/>
              </w:rPr>
              <w:t>30,</w:t>
            </w:r>
            <w:r w:rsidR="00486B54">
              <w:rPr>
                <w:rFonts w:ascii="Arial" w:hAnsi="Arial"/>
                <w:sz w:val="18"/>
                <w:lang w:val="en-NZ" w:eastAsia="en-AU"/>
              </w:rPr>
              <w:t xml:space="preserve"> </w:t>
            </w:r>
            <w:r w:rsidRPr="00F6284E">
              <w:rPr>
                <w:rFonts w:ascii="Arial" w:hAnsi="Arial"/>
                <w:sz w:val="18"/>
                <w:lang w:val="en-NZ" w:eastAsia="en-AU"/>
              </w:rPr>
              <w:t>36,</w:t>
            </w:r>
            <w:r w:rsidR="00486B54">
              <w:rPr>
                <w:rFonts w:ascii="Arial" w:hAnsi="Arial"/>
                <w:sz w:val="18"/>
                <w:lang w:val="en-NZ" w:eastAsia="en-AU"/>
              </w:rPr>
              <w:t xml:space="preserve"> </w:t>
            </w:r>
            <w:r w:rsidRPr="00F6284E">
              <w:rPr>
                <w:rFonts w:ascii="Arial" w:hAnsi="Arial"/>
                <w:sz w:val="18"/>
                <w:lang w:val="en-NZ" w:eastAsia="en-AU"/>
              </w:rPr>
              <w:t>43,</w:t>
            </w:r>
            <w:r w:rsidR="00486B54">
              <w:rPr>
                <w:rFonts w:ascii="Arial" w:hAnsi="Arial"/>
                <w:sz w:val="18"/>
                <w:lang w:val="en-NZ" w:eastAsia="en-AU"/>
              </w:rPr>
              <w:t xml:space="preserve"> </w:t>
            </w:r>
            <w:r w:rsidRPr="00F6284E">
              <w:rPr>
                <w:rFonts w:ascii="Arial" w:hAnsi="Arial"/>
                <w:sz w:val="18"/>
                <w:lang w:val="en-NZ" w:eastAsia="en-AU"/>
              </w:rPr>
              <w:t>51,</w:t>
            </w:r>
            <w:r w:rsidR="00486B54">
              <w:rPr>
                <w:rFonts w:ascii="Arial" w:hAnsi="Arial"/>
                <w:sz w:val="18"/>
                <w:lang w:val="en-NZ" w:eastAsia="en-AU"/>
              </w:rPr>
              <w:t xml:space="preserve"> </w:t>
            </w:r>
            <w:r w:rsidRPr="00F6284E">
              <w:rPr>
                <w:rFonts w:ascii="Arial" w:hAnsi="Arial"/>
                <w:sz w:val="18"/>
                <w:lang w:val="en-NZ" w:eastAsia="en-AU"/>
              </w:rPr>
              <w:t>58,</w:t>
            </w:r>
            <w:r w:rsidR="00486B54">
              <w:rPr>
                <w:rFonts w:ascii="Arial" w:hAnsi="Arial"/>
                <w:sz w:val="18"/>
                <w:lang w:val="en-NZ" w:eastAsia="en-AU"/>
              </w:rPr>
              <w:t xml:space="preserve"> </w:t>
            </w:r>
            <w:r w:rsidRPr="00F6284E">
              <w:rPr>
                <w:rFonts w:ascii="Arial" w:hAnsi="Arial"/>
                <w:sz w:val="18"/>
                <w:lang w:val="en-NZ" w:eastAsia="en-AU"/>
              </w:rPr>
              <w:t>65 and 72# days</w:t>
            </w:r>
          </w:p>
        </w:tc>
        <w:tc>
          <w:tcPr>
            <w:tcW w:w="2253" w:type="dxa"/>
            <w:vAlign w:val="center"/>
          </w:tcPr>
          <w:p w14:paraId="04800C05" w14:textId="63EDD35F" w:rsidR="00931B97" w:rsidRPr="00F6284E" w:rsidRDefault="00931B97" w:rsidP="00A111E9">
            <w:pPr>
              <w:rPr>
                <w:rFonts w:ascii="Arial" w:hAnsi="Arial"/>
                <w:sz w:val="18"/>
                <w:lang w:val="en-NZ" w:eastAsia="en-AU"/>
              </w:rPr>
            </w:pPr>
            <w:r w:rsidRPr="00F6284E">
              <w:rPr>
                <w:rFonts w:ascii="Arial" w:hAnsi="Arial"/>
                <w:sz w:val="18"/>
                <w:lang w:val="en-NZ" w:eastAsia="en-AU"/>
              </w:rPr>
              <w:t>1,</w:t>
            </w:r>
            <w:r w:rsidR="00486B54">
              <w:rPr>
                <w:rFonts w:ascii="Arial" w:hAnsi="Arial"/>
                <w:sz w:val="18"/>
                <w:lang w:val="en-NZ" w:eastAsia="en-AU"/>
              </w:rPr>
              <w:t xml:space="preserve"> </w:t>
            </w:r>
            <w:r w:rsidRPr="00F6284E">
              <w:rPr>
                <w:rFonts w:ascii="Arial" w:hAnsi="Arial"/>
                <w:sz w:val="18"/>
                <w:lang w:val="en-NZ" w:eastAsia="en-AU"/>
              </w:rPr>
              <w:t>2,</w:t>
            </w:r>
            <w:r w:rsidR="00486B54">
              <w:rPr>
                <w:rFonts w:ascii="Arial" w:hAnsi="Arial"/>
                <w:sz w:val="18"/>
                <w:lang w:val="en-NZ" w:eastAsia="en-AU"/>
              </w:rPr>
              <w:t xml:space="preserve"> </w:t>
            </w:r>
            <w:r w:rsidRPr="00F6284E">
              <w:rPr>
                <w:rFonts w:ascii="Arial" w:hAnsi="Arial"/>
                <w:sz w:val="18"/>
                <w:lang w:val="en-NZ" w:eastAsia="en-AU"/>
              </w:rPr>
              <w:t>3,</w:t>
            </w:r>
            <w:r w:rsidR="00486B54">
              <w:rPr>
                <w:rFonts w:ascii="Arial" w:hAnsi="Arial"/>
                <w:sz w:val="18"/>
                <w:lang w:val="en-NZ" w:eastAsia="en-AU"/>
              </w:rPr>
              <w:t xml:space="preserve"> </w:t>
            </w:r>
            <w:r w:rsidRPr="00F6284E">
              <w:rPr>
                <w:rFonts w:ascii="Arial" w:hAnsi="Arial"/>
                <w:sz w:val="18"/>
                <w:lang w:val="en-NZ" w:eastAsia="en-AU"/>
              </w:rPr>
              <w:t>5,</w:t>
            </w:r>
            <w:r w:rsidR="00486B54">
              <w:rPr>
                <w:rFonts w:ascii="Arial" w:hAnsi="Arial"/>
                <w:sz w:val="18"/>
                <w:lang w:val="en-NZ" w:eastAsia="en-AU"/>
              </w:rPr>
              <w:t xml:space="preserve"> </w:t>
            </w:r>
            <w:r w:rsidRPr="00F6284E">
              <w:rPr>
                <w:rFonts w:ascii="Arial" w:hAnsi="Arial"/>
                <w:sz w:val="18"/>
                <w:lang w:val="en-NZ" w:eastAsia="en-AU"/>
              </w:rPr>
              <w:t>7,</w:t>
            </w:r>
            <w:r w:rsidR="00486B54">
              <w:rPr>
                <w:rFonts w:ascii="Arial" w:hAnsi="Arial"/>
                <w:sz w:val="18"/>
                <w:lang w:val="en-NZ" w:eastAsia="en-AU"/>
              </w:rPr>
              <w:t xml:space="preserve"> </w:t>
            </w:r>
            <w:r w:rsidRPr="00F6284E">
              <w:rPr>
                <w:rFonts w:ascii="Arial" w:hAnsi="Arial"/>
                <w:sz w:val="18"/>
                <w:lang w:val="en-NZ" w:eastAsia="en-AU"/>
              </w:rPr>
              <w:t xml:space="preserve">14 and weekly thereafter to </w:t>
            </w:r>
            <w:r w:rsidR="00185513">
              <w:rPr>
                <w:rFonts w:ascii="Arial" w:hAnsi="Arial"/>
                <w:sz w:val="18"/>
                <w:lang w:val="en-NZ" w:eastAsia="en-AU"/>
              </w:rPr>
              <w:t>d</w:t>
            </w:r>
            <w:r w:rsidRPr="00F6284E">
              <w:rPr>
                <w:rFonts w:ascii="Arial" w:hAnsi="Arial"/>
                <w:sz w:val="18"/>
                <w:lang w:val="en-NZ" w:eastAsia="en-AU"/>
              </w:rPr>
              <w:t>ay 70</w:t>
            </w:r>
          </w:p>
        </w:tc>
      </w:tr>
      <w:tr w:rsidR="00931B97" w14:paraId="4E402AEA" w14:textId="77777777" w:rsidTr="00F6284E">
        <w:trPr>
          <w:jc w:val="center"/>
        </w:trPr>
        <w:tc>
          <w:tcPr>
            <w:tcW w:w="1160" w:type="dxa"/>
            <w:vAlign w:val="center"/>
          </w:tcPr>
          <w:p w14:paraId="7612E3A7" w14:textId="77777777" w:rsidR="00931B97" w:rsidRPr="00D711DD" w:rsidRDefault="00931B97" w:rsidP="00A111E9">
            <w:pPr>
              <w:rPr>
                <w:rFonts w:ascii="Arial" w:hAnsi="Arial"/>
                <w:b/>
                <w:sz w:val="18"/>
                <w:lang w:val="en-NZ" w:eastAsia="en-AU"/>
              </w:rPr>
            </w:pPr>
            <w:r w:rsidRPr="00D711DD">
              <w:rPr>
                <w:rFonts w:ascii="Arial" w:hAnsi="Arial"/>
                <w:b/>
                <w:sz w:val="18"/>
                <w:lang w:val="en-NZ" w:eastAsia="en-AU"/>
              </w:rPr>
              <w:t>Females</w:t>
            </w:r>
          </w:p>
        </w:tc>
        <w:tc>
          <w:tcPr>
            <w:tcW w:w="751" w:type="dxa"/>
            <w:vAlign w:val="center"/>
          </w:tcPr>
          <w:p w14:paraId="4DB4782D" w14:textId="15D749E5" w:rsidR="00931B97" w:rsidRPr="000B3C14" w:rsidRDefault="00BC7C5A" w:rsidP="00A111E9">
            <w:pPr>
              <w:rPr>
                <w:rFonts w:ascii="Arial" w:hAnsi="Arial"/>
                <w:sz w:val="18"/>
                <w:lang w:val="en-NZ" w:eastAsia="en-AU"/>
              </w:rPr>
            </w:pPr>
            <w:r>
              <w:rPr>
                <w:rFonts w:ascii="Arial" w:hAnsi="Arial"/>
                <w:sz w:val="18"/>
                <w:lang w:val="en-NZ" w:eastAsia="en-AU"/>
              </w:rPr>
              <w:t>iv</w:t>
            </w:r>
            <w:r w:rsidR="00931B97" w:rsidRPr="000B3C14">
              <w:rPr>
                <w:rFonts w:ascii="Arial" w:hAnsi="Arial"/>
                <w:sz w:val="18"/>
                <w:lang w:val="en-NZ" w:eastAsia="en-AU"/>
              </w:rPr>
              <w:t>/oral</w:t>
            </w:r>
          </w:p>
        </w:tc>
        <w:tc>
          <w:tcPr>
            <w:tcW w:w="900" w:type="dxa"/>
            <w:vAlign w:val="center"/>
          </w:tcPr>
          <w:p w14:paraId="1F732F97" w14:textId="77777777" w:rsidR="00931B97" w:rsidRPr="00F6284E" w:rsidRDefault="00931B97" w:rsidP="00647943">
            <w:pPr>
              <w:jc w:val="right"/>
              <w:rPr>
                <w:rFonts w:ascii="Arial" w:hAnsi="Arial"/>
                <w:sz w:val="18"/>
                <w:lang w:val="en-NZ" w:eastAsia="en-AU"/>
              </w:rPr>
            </w:pPr>
            <w:r w:rsidRPr="00F6284E">
              <w:rPr>
                <w:rFonts w:ascii="Arial" w:hAnsi="Arial"/>
                <w:sz w:val="18"/>
                <w:lang w:val="en-NZ" w:eastAsia="en-AU"/>
              </w:rPr>
              <w:t>4</w:t>
            </w:r>
          </w:p>
        </w:tc>
        <w:tc>
          <w:tcPr>
            <w:tcW w:w="3507" w:type="dxa"/>
            <w:vAlign w:val="center"/>
          </w:tcPr>
          <w:p w14:paraId="20F57425" w14:textId="40AAF1A1" w:rsidR="00931B97" w:rsidRPr="00F6284E" w:rsidRDefault="00931B97" w:rsidP="00A111E9">
            <w:pPr>
              <w:rPr>
                <w:rFonts w:ascii="Arial" w:hAnsi="Arial"/>
                <w:sz w:val="18"/>
                <w:lang w:val="en-NZ" w:eastAsia="en-AU"/>
              </w:rPr>
            </w:pPr>
            <w:r w:rsidRPr="00F6284E">
              <w:rPr>
                <w:rFonts w:ascii="Arial" w:hAnsi="Arial"/>
                <w:sz w:val="18"/>
                <w:lang w:val="en-NZ" w:eastAsia="en-AU"/>
              </w:rPr>
              <w:t>0.5,</w:t>
            </w:r>
            <w:r w:rsidR="00486B54">
              <w:rPr>
                <w:rFonts w:ascii="Arial" w:hAnsi="Arial"/>
                <w:sz w:val="18"/>
                <w:lang w:val="en-NZ" w:eastAsia="en-AU"/>
              </w:rPr>
              <w:t xml:space="preserve"> </w:t>
            </w:r>
            <w:r w:rsidRPr="00F6284E">
              <w:rPr>
                <w:rFonts w:ascii="Arial" w:hAnsi="Arial"/>
                <w:sz w:val="18"/>
                <w:lang w:val="en-NZ" w:eastAsia="en-AU"/>
              </w:rPr>
              <w:t>1,</w:t>
            </w:r>
            <w:r w:rsidR="00486B54">
              <w:rPr>
                <w:rFonts w:ascii="Arial" w:hAnsi="Arial"/>
                <w:sz w:val="18"/>
                <w:lang w:val="en-NZ" w:eastAsia="en-AU"/>
              </w:rPr>
              <w:t xml:space="preserve"> </w:t>
            </w:r>
            <w:r w:rsidRPr="00F6284E">
              <w:rPr>
                <w:rFonts w:ascii="Arial" w:hAnsi="Arial"/>
                <w:sz w:val="18"/>
                <w:lang w:val="en-NZ" w:eastAsia="en-AU"/>
              </w:rPr>
              <w:t>2,</w:t>
            </w:r>
            <w:r w:rsidR="00486B54">
              <w:rPr>
                <w:rFonts w:ascii="Arial" w:hAnsi="Arial"/>
                <w:sz w:val="18"/>
                <w:lang w:val="en-NZ" w:eastAsia="en-AU"/>
              </w:rPr>
              <w:t xml:space="preserve"> </w:t>
            </w:r>
            <w:r w:rsidRPr="00F6284E">
              <w:rPr>
                <w:rFonts w:ascii="Arial" w:hAnsi="Arial"/>
                <w:sz w:val="18"/>
                <w:lang w:val="en-NZ" w:eastAsia="en-AU"/>
              </w:rPr>
              <w:t>4,</w:t>
            </w:r>
            <w:r w:rsidR="00486B54">
              <w:rPr>
                <w:rFonts w:ascii="Arial" w:hAnsi="Arial"/>
                <w:sz w:val="18"/>
                <w:lang w:val="en-NZ" w:eastAsia="en-AU"/>
              </w:rPr>
              <w:t xml:space="preserve"> </w:t>
            </w:r>
            <w:r w:rsidRPr="00F6284E">
              <w:rPr>
                <w:rFonts w:ascii="Arial" w:hAnsi="Arial"/>
                <w:sz w:val="18"/>
                <w:lang w:val="en-NZ" w:eastAsia="en-AU"/>
              </w:rPr>
              <w:t>6,12,</w:t>
            </w:r>
            <w:r w:rsidR="00486B54">
              <w:rPr>
                <w:rFonts w:ascii="Arial" w:hAnsi="Arial"/>
                <w:sz w:val="18"/>
                <w:lang w:val="en-NZ" w:eastAsia="en-AU"/>
              </w:rPr>
              <w:t xml:space="preserve"> </w:t>
            </w:r>
            <w:r w:rsidRPr="00F6284E">
              <w:rPr>
                <w:rFonts w:ascii="Arial" w:hAnsi="Arial"/>
                <w:sz w:val="18"/>
                <w:lang w:val="en-NZ" w:eastAsia="en-AU"/>
              </w:rPr>
              <w:t>24 hours and 2,</w:t>
            </w:r>
            <w:r w:rsidR="00486B54">
              <w:rPr>
                <w:rFonts w:ascii="Arial" w:hAnsi="Arial"/>
                <w:sz w:val="18"/>
                <w:lang w:val="en-NZ" w:eastAsia="en-AU"/>
              </w:rPr>
              <w:t xml:space="preserve"> </w:t>
            </w:r>
            <w:r w:rsidRPr="00F6284E">
              <w:rPr>
                <w:rFonts w:ascii="Arial" w:hAnsi="Arial"/>
                <w:sz w:val="18"/>
                <w:lang w:val="en-NZ" w:eastAsia="en-AU"/>
              </w:rPr>
              <w:t>3,</w:t>
            </w:r>
            <w:r w:rsidR="00486B54">
              <w:rPr>
                <w:rFonts w:ascii="Arial" w:hAnsi="Arial"/>
                <w:sz w:val="18"/>
                <w:lang w:val="en-NZ" w:eastAsia="en-AU"/>
              </w:rPr>
              <w:t xml:space="preserve"> </w:t>
            </w:r>
            <w:r w:rsidRPr="00F6284E">
              <w:rPr>
                <w:rFonts w:ascii="Arial" w:hAnsi="Arial"/>
                <w:sz w:val="18"/>
                <w:lang w:val="en-NZ" w:eastAsia="en-AU"/>
              </w:rPr>
              <w:t>5,</w:t>
            </w:r>
            <w:r w:rsidR="00486B54">
              <w:rPr>
                <w:rFonts w:ascii="Arial" w:hAnsi="Arial"/>
                <w:sz w:val="18"/>
                <w:lang w:val="en-NZ" w:eastAsia="en-AU"/>
              </w:rPr>
              <w:t xml:space="preserve"> </w:t>
            </w:r>
            <w:r w:rsidRPr="00F6284E">
              <w:rPr>
                <w:rFonts w:ascii="Arial" w:hAnsi="Arial"/>
                <w:sz w:val="18"/>
                <w:lang w:val="en-NZ" w:eastAsia="en-AU"/>
              </w:rPr>
              <w:t>7,</w:t>
            </w:r>
            <w:r w:rsidR="00486B54">
              <w:rPr>
                <w:rFonts w:ascii="Arial" w:hAnsi="Arial"/>
                <w:sz w:val="18"/>
                <w:lang w:val="en-NZ" w:eastAsia="en-AU"/>
              </w:rPr>
              <w:t xml:space="preserve"> </w:t>
            </w:r>
            <w:r w:rsidRPr="00F6284E">
              <w:rPr>
                <w:rFonts w:ascii="Arial" w:hAnsi="Arial"/>
                <w:sz w:val="18"/>
                <w:lang w:val="en-NZ" w:eastAsia="en-AU"/>
              </w:rPr>
              <w:t>10 and 14*</w:t>
            </w:r>
          </w:p>
        </w:tc>
        <w:tc>
          <w:tcPr>
            <w:tcW w:w="2253" w:type="dxa"/>
            <w:vAlign w:val="center"/>
          </w:tcPr>
          <w:p w14:paraId="03758371" w14:textId="3FB02311" w:rsidR="00931B97" w:rsidRPr="00F6284E" w:rsidRDefault="00931B97" w:rsidP="00A111E9">
            <w:pPr>
              <w:rPr>
                <w:rFonts w:ascii="Arial" w:hAnsi="Arial"/>
                <w:sz w:val="18"/>
                <w:lang w:val="en-NZ" w:eastAsia="en-AU"/>
              </w:rPr>
            </w:pPr>
            <w:r w:rsidRPr="00F6284E">
              <w:rPr>
                <w:rFonts w:ascii="Arial" w:hAnsi="Arial"/>
                <w:sz w:val="18"/>
                <w:lang w:val="en-NZ" w:eastAsia="en-AU"/>
              </w:rPr>
              <w:t>1,</w:t>
            </w:r>
            <w:r w:rsidR="00486B54">
              <w:rPr>
                <w:rFonts w:ascii="Arial" w:hAnsi="Arial"/>
                <w:sz w:val="18"/>
                <w:lang w:val="en-NZ" w:eastAsia="en-AU"/>
              </w:rPr>
              <w:t xml:space="preserve"> </w:t>
            </w:r>
            <w:r w:rsidRPr="00F6284E">
              <w:rPr>
                <w:rFonts w:ascii="Arial" w:hAnsi="Arial"/>
                <w:sz w:val="18"/>
                <w:lang w:val="en-NZ" w:eastAsia="en-AU"/>
              </w:rPr>
              <w:t>2,</w:t>
            </w:r>
            <w:r w:rsidR="00486B54">
              <w:rPr>
                <w:rFonts w:ascii="Arial" w:hAnsi="Arial"/>
                <w:sz w:val="18"/>
                <w:lang w:val="en-NZ" w:eastAsia="en-AU"/>
              </w:rPr>
              <w:t xml:space="preserve"> </w:t>
            </w:r>
            <w:r w:rsidRPr="00F6284E">
              <w:rPr>
                <w:rFonts w:ascii="Arial" w:hAnsi="Arial"/>
                <w:sz w:val="18"/>
                <w:lang w:val="en-NZ" w:eastAsia="en-AU"/>
              </w:rPr>
              <w:t>3,</w:t>
            </w:r>
            <w:r w:rsidR="00486B54">
              <w:rPr>
                <w:rFonts w:ascii="Arial" w:hAnsi="Arial"/>
                <w:sz w:val="18"/>
                <w:lang w:val="en-NZ" w:eastAsia="en-AU"/>
              </w:rPr>
              <w:t xml:space="preserve"> </w:t>
            </w:r>
            <w:r w:rsidRPr="00F6284E">
              <w:rPr>
                <w:rFonts w:ascii="Arial" w:hAnsi="Arial"/>
                <w:sz w:val="18"/>
                <w:lang w:val="en-NZ" w:eastAsia="en-AU"/>
              </w:rPr>
              <w:t>5 and 14*</w:t>
            </w:r>
          </w:p>
        </w:tc>
      </w:tr>
    </w:tbl>
    <w:p w14:paraId="0EBB3AF0" w14:textId="77777777" w:rsidR="00931B97" w:rsidRPr="00304AF9" w:rsidRDefault="00931B97" w:rsidP="00A111E9">
      <w:pPr>
        <w:spacing w:before="120"/>
        <w:ind w:left="284"/>
        <w:rPr>
          <w:rFonts w:cs="Arial"/>
          <w:sz w:val="16"/>
          <w:szCs w:val="16"/>
          <w:lang w:val="en-NZ" w:eastAsia="en-AU" w:bidi="ar-SA"/>
        </w:rPr>
      </w:pPr>
      <w:r w:rsidRPr="00304AF9">
        <w:rPr>
          <w:rFonts w:cs="Arial"/>
          <w:sz w:val="16"/>
          <w:szCs w:val="16"/>
          <w:lang w:val="en-NZ" w:eastAsia="en-AU" w:bidi="ar-SA"/>
        </w:rPr>
        <w:t># males terminated Day 72; * females terminated Day 14</w:t>
      </w:r>
    </w:p>
    <w:p w14:paraId="3FD0BA31" w14:textId="77777777" w:rsidR="00931B97" w:rsidRDefault="00931B97" w:rsidP="00A111E9">
      <w:pPr>
        <w:rPr>
          <w:rFonts w:asciiTheme="minorHAnsi" w:hAnsiTheme="minorHAnsi"/>
          <w:lang w:val="en-NZ" w:eastAsia="en-AU" w:bidi="ar-SA"/>
        </w:rPr>
      </w:pPr>
    </w:p>
    <w:p w14:paraId="4583BBB3" w14:textId="20AF02E8" w:rsidR="00931B97" w:rsidRPr="004C2F48" w:rsidRDefault="00931B97" w:rsidP="00A111E9">
      <w:pPr>
        <w:rPr>
          <w:rFonts w:cs="Arial"/>
          <w:lang w:val="en-NZ" w:eastAsia="en-AU" w:bidi="ar-SA"/>
        </w:rPr>
      </w:pPr>
      <w:r w:rsidRPr="004C2F48">
        <w:rPr>
          <w:rFonts w:cs="Arial"/>
          <w:lang w:val="en-NZ" w:eastAsia="en-AU" w:bidi="ar-SA"/>
        </w:rPr>
        <w:t>There were clear gender differences, irrespective of the dose route, for T</w:t>
      </w:r>
      <w:r w:rsidRPr="004C2F48">
        <w:rPr>
          <w:rFonts w:cs="Arial"/>
          <w:vertAlign w:val="subscript"/>
          <w:lang w:val="en-NZ" w:eastAsia="en-AU" w:bidi="ar-SA"/>
        </w:rPr>
        <w:t>max</w:t>
      </w:r>
      <w:r w:rsidR="00737811">
        <w:rPr>
          <w:rFonts w:cs="Arial"/>
          <w:lang w:val="en-NZ" w:eastAsia="en-AU" w:bidi="ar-SA"/>
        </w:rPr>
        <w:t>, AUC, t</w:t>
      </w:r>
      <w:r w:rsidRPr="004C2F48">
        <w:rPr>
          <w:rFonts w:cs="Arial"/>
          <w:vertAlign w:val="subscript"/>
          <w:lang w:val="en-NZ" w:eastAsia="en-AU" w:bidi="ar-SA"/>
        </w:rPr>
        <w:t>1/2</w:t>
      </w:r>
      <w:r w:rsidRPr="004C2F48">
        <w:rPr>
          <w:rFonts w:cs="Arial"/>
          <w:lang w:val="en-NZ" w:eastAsia="en-AU" w:bidi="ar-SA"/>
        </w:rPr>
        <w:t xml:space="preserve">, clearance and amount of PFHxS detected in the urine. </w:t>
      </w:r>
      <w:r>
        <w:rPr>
          <w:rFonts w:cs="Arial"/>
          <w:lang w:val="en-NZ" w:eastAsia="en-AU" w:bidi="ar-SA"/>
        </w:rPr>
        <w:t>PFHxS was mainly excreted in the urine with only small amounts recovered in the faeces. The reported high mean value for faecal excretion in iv females is considered to be unreliable because of the high SE value associated with it (SE is greater than the mean value). Individual animal data were not available.</w:t>
      </w:r>
    </w:p>
    <w:p w14:paraId="69C489F5" w14:textId="77777777" w:rsidR="00931B97" w:rsidRPr="004C2F48" w:rsidRDefault="00931B97" w:rsidP="00A111E9">
      <w:pPr>
        <w:rPr>
          <w:rFonts w:cs="Arial"/>
          <w:lang w:val="en-NZ" w:eastAsia="en-AU" w:bidi="ar-SA"/>
        </w:rPr>
      </w:pPr>
    </w:p>
    <w:p w14:paraId="33ED643B" w14:textId="750F4862" w:rsidR="00931B97" w:rsidRPr="004C2F48" w:rsidRDefault="00931B97" w:rsidP="00A111E9">
      <w:pPr>
        <w:rPr>
          <w:rFonts w:cs="Arial"/>
          <w:lang w:val="en-NZ" w:eastAsia="en-AU" w:bidi="ar-SA"/>
        </w:rPr>
      </w:pPr>
      <w:r w:rsidRPr="004C2F48">
        <w:rPr>
          <w:rFonts w:cs="Arial"/>
          <w:lang w:val="en-NZ" w:eastAsia="en-AU" w:bidi="ar-SA"/>
        </w:rPr>
        <w:t>C</w:t>
      </w:r>
      <w:r w:rsidRPr="004C2F48">
        <w:rPr>
          <w:rFonts w:cs="Arial"/>
          <w:vertAlign w:val="subscript"/>
          <w:lang w:val="en-NZ" w:eastAsia="en-AU" w:bidi="ar-SA"/>
        </w:rPr>
        <w:t>max</w:t>
      </w:r>
      <w:r w:rsidRPr="004C2F48">
        <w:rPr>
          <w:rFonts w:cs="Arial"/>
          <w:lang w:val="en-NZ" w:eastAsia="en-AU" w:bidi="ar-SA"/>
        </w:rPr>
        <w:t xml:space="preserve"> and Vd were similar between routes and genders. The </w:t>
      </w:r>
      <w:r w:rsidR="00104C8E">
        <w:rPr>
          <w:rFonts w:cs="Arial"/>
          <w:lang w:val="en-NZ" w:eastAsia="en-AU" w:bidi="ar-SA"/>
        </w:rPr>
        <w:t xml:space="preserve">authors suggest that </w:t>
      </w:r>
      <w:r w:rsidRPr="004C2F48">
        <w:rPr>
          <w:rFonts w:cs="Arial"/>
          <w:lang w:val="en-NZ" w:eastAsia="en-AU" w:bidi="ar-SA"/>
        </w:rPr>
        <w:t>similarities in C</w:t>
      </w:r>
      <w:r w:rsidRPr="00104C8E">
        <w:rPr>
          <w:rFonts w:cs="Arial"/>
          <w:vertAlign w:val="subscript"/>
          <w:lang w:val="en-NZ" w:eastAsia="en-AU" w:bidi="ar-SA"/>
        </w:rPr>
        <w:t>max</w:t>
      </w:r>
      <w:r w:rsidRPr="004C2F48">
        <w:rPr>
          <w:rFonts w:cs="Arial"/>
          <w:lang w:val="en-NZ" w:eastAsia="en-AU" w:bidi="ar-SA"/>
        </w:rPr>
        <w:t xml:space="preserve"> between the iv and oral route </w:t>
      </w:r>
      <w:r w:rsidR="00104C8E">
        <w:rPr>
          <w:rFonts w:cs="Arial"/>
          <w:lang w:val="en-NZ" w:eastAsia="en-AU" w:bidi="ar-SA"/>
        </w:rPr>
        <w:t xml:space="preserve">support </w:t>
      </w:r>
      <w:r w:rsidRPr="004C2F48">
        <w:rPr>
          <w:rFonts w:cs="Arial"/>
          <w:lang w:val="en-NZ" w:eastAsia="en-AU" w:bidi="ar-SA"/>
        </w:rPr>
        <w:t xml:space="preserve">approximately 100% </w:t>
      </w:r>
      <w:r>
        <w:rPr>
          <w:rFonts w:cs="Arial"/>
          <w:lang w:val="en-NZ" w:eastAsia="en-AU" w:bidi="ar-SA"/>
        </w:rPr>
        <w:t xml:space="preserve">oral </w:t>
      </w:r>
      <w:r w:rsidRPr="004C2F48">
        <w:rPr>
          <w:rFonts w:cs="Arial"/>
          <w:lang w:val="en-NZ" w:eastAsia="en-AU" w:bidi="ar-SA"/>
        </w:rPr>
        <w:t>bioavailability.</w:t>
      </w:r>
    </w:p>
    <w:p w14:paraId="352AF850" w14:textId="77777777" w:rsidR="00931B97" w:rsidRPr="004C2F48" w:rsidRDefault="00931B97" w:rsidP="00A111E9">
      <w:pPr>
        <w:rPr>
          <w:rFonts w:asciiTheme="minorHAnsi" w:hAnsiTheme="minorHAnsi"/>
          <w:lang w:val="en-NZ" w:eastAsia="en-AU" w:bidi="ar-SA"/>
        </w:rPr>
      </w:pPr>
    </w:p>
    <w:p w14:paraId="4C84D679" w14:textId="04A372E2" w:rsidR="00931B97" w:rsidRDefault="00931B97" w:rsidP="00A111E9">
      <w:pPr>
        <w:tabs>
          <w:tab w:val="left" w:pos="6096"/>
        </w:tabs>
        <w:rPr>
          <w:lang w:eastAsia="en-AU" w:bidi="ar-SA"/>
        </w:rPr>
      </w:pPr>
      <w:r>
        <w:rPr>
          <w:lang w:eastAsia="en-AU" w:bidi="ar-SA"/>
        </w:rPr>
        <w:t>Investigations of the organs taken at termination for PFHxS levels showed some distribution to the liver, kidneys, lungs, heart and spleen</w:t>
      </w:r>
      <w:r w:rsidR="00104C8E">
        <w:rPr>
          <w:lang w:eastAsia="en-AU" w:bidi="ar-SA"/>
        </w:rPr>
        <w:t xml:space="preserve">. </w:t>
      </w:r>
      <w:r>
        <w:rPr>
          <w:lang w:eastAsia="en-AU" w:bidi="ar-SA"/>
        </w:rPr>
        <w:t>The highest levels were seen in the liver and then the kidney. Partition coefficient (Kp) values for PFHxS in the organs investigated were all &lt;</w:t>
      </w:r>
      <w:r w:rsidR="0041425F">
        <w:rPr>
          <w:lang w:eastAsia="en-AU" w:bidi="ar-SA"/>
        </w:rPr>
        <w:t xml:space="preserve"> </w:t>
      </w:r>
      <w:r>
        <w:rPr>
          <w:lang w:eastAsia="en-AU" w:bidi="ar-SA"/>
        </w:rPr>
        <w:t>0.2 indicating that the tissue distribution of PFHxS was low and there was negligible accumulation. Liver and kidney Kp values for females were slightly lower than those for males. Kp values for other organs were considered to be similar between the sexes.</w:t>
      </w:r>
    </w:p>
    <w:p w14:paraId="1F24CFC1" w14:textId="77777777" w:rsidR="00931B97" w:rsidRDefault="00931B97" w:rsidP="00A111E9">
      <w:pPr>
        <w:rPr>
          <w:rFonts w:asciiTheme="minorHAnsi" w:hAnsiTheme="minorHAnsi"/>
          <w:highlight w:val="yellow"/>
          <w:lang w:val="en-NZ" w:eastAsia="en-AU" w:bidi="ar-SA"/>
        </w:rPr>
      </w:pPr>
    </w:p>
    <w:p w14:paraId="7C7AD28D" w14:textId="77777777" w:rsidR="0008049A" w:rsidRDefault="0008049A">
      <w:pPr>
        <w:widowControl/>
        <w:rPr>
          <w:rFonts w:cs="Arial"/>
          <w:b/>
          <w:lang w:val="en-NZ" w:eastAsia="en-AU" w:bidi="ar-SA"/>
        </w:rPr>
      </w:pPr>
      <w:r>
        <w:rPr>
          <w:lang w:val="en-NZ" w:eastAsia="en-AU" w:bidi="ar-SA"/>
        </w:rPr>
        <w:br w:type="page"/>
      </w:r>
    </w:p>
    <w:p w14:paraId="38A13C03" w14:textId="09B83FF8" w:rsidR="00931B97" w:rsidRDefault="00304AF9" w:rsidP="00A111E9">
      <w:pPr>
        <w:pStyle w:val="FSTableTitle"/>
        <w:rPr>
          <w:lang w:eastAsia="en-AU" w:bidi="ar-SA"/>
        </w:rPr>
      </w:pPr>
      <w:r>
        <w:rPr>
          <w:lang w:val="en-NZ" w:eastAsia="en-AU" w:bidi="ar-SA"/>
        </w:rPr>
        <w:lastRenderedPageBreak/>
        <w:t>Table A</w:t>
      </w:r>
      <w:r w:rsidR="00707CE3">
        <w:rPr>
          <w:lang w:val="en-NZ" w:eastAsia="en-AU" w:bidi="ar-SA"/>
        </w:rPr>
        <w:t>3</w:t>
      </w:r>
      <w:r>
        <w:rPr>
          <w:lang w:val="en-NZ" w:eastAsia="en-AU" w:bidi="ar-SA"/>
        </w:rPr>
        <w:t>.6</w:t>
      </w:r>
      <w:r w:rsidR="00931B97" w:rsidRPr="00361310">
        <w:rPr>
          <w:lang w:val="en-NZ" w:eastAsia="en-AU" w:bidi="ar-SA"/>
        </w:rPr>
        <w:t xml:space="preserve">: Pharmacokinetic parameters in rats </w:t>
      </w:r>
      <w:r w:rsidR="00DB3E2B">
        <w:rPr>
          <w:lang w:val="en-NZ" w:eastAsia="en-AU" w:bidi="ar-SA"/>
        </w:rPr>
        <w:t>given either a single oral or iv</w:t>
      </w:r>
      <w:r w:rsidR="00931B97" w:rsidRPr="00361310">
        <w:rPr>
          <w:lang w:val="en-NZ" w:eastAsia="en-AU" w:bidi="ar-SA"/>
        </w:rPr>
        <w:t xml:space="preserve"> dose at 10 mg/kg bw/day PFHxS</w:t>
      </w:r>
    </w:p>
    <w:tbl>
      <w:tblPr>
        <w:tblStyle w:val="TableGrid"/>
        <w:tblW w:w="0" w:type="auto"/>
        <w:jc w:val="center"/>
        <w:tblLook w:val="04A0" w:firstRow="1" w:lastRow="0" w:firstColumn="1" w:lastColumn="0" w:noHBand="0" w:noVBand="1"/>
        <w:tblCaption w:val="Table A3.6: Pharmacokinetic parameters in rats given either a single oral or iv dose at 10 mg/kg bw/day PFHxS"/>
        <w:tblDescription w:val="This table contains pharmacokinetic parameters in rats given either a single oral or iv dose at 10 mg/kg bw/day PFHxS."/>
      </w:tblPr>
      <w:tblGrid>
        <w:gridCol w:w="1707"/>
        <w:gridCol w:w="1857"/>
        <w:gridCol w:w="1857"/>
        <w:gridCol w:w="1857"/>
        <w:gridCol w:w="1858"/>
      </w:tblGrid>
      <w:tr w:rsidR="00931B97" w14:paraId="5F845247" w14:textId="77777777" w:rsidTr="0008049A">
        <w:trPr>
          <w:tblHeader/>
          <w:jc w:val="center"/>
        </w:trPr>
        <w:tc>
          <w:tcPr>
            <w:tcW w:w="9136" w:type="dxa"/>
            <w:gridSpan w:val="5"/>
            <w:shd w:val="clear" w:color="auto" w:fill="F2F2F2" w:themeFill="background1" w:themeFillShade="F2"/>
          </w:tcPr>
          <w:p w14:paraId="550297BF" w14:textId="67DFC3F8" w:rsidR="00931B97" w:rsidRDefault="00931B97" w:rsidP="00647943">
            <w:pPr>
              <w:pStyle w:val="FSTableHeading"/>
              <w:spacing w:before="60" w:after="60"/>
              <w:rPr>
                <w:lang w:eastAsia="en-AU" w:bidi="ar-SA"/>
              </w:rPr>
            </w:pPr>
            <w:r w:rsidRPr="00D711DD">
              <w:rPr>
                <w:lang w:eastAsia="en-US"/>
              </w:rPr>
              <w:t>Summary of PK parameters</w:t>
            </w:r>
          </w:p>
        </w:tc>
      </w:tr>
      <w:tr w:rsidR="00931B97" w14:paraId="412D6854" w14:textId="77777777" w:rsidTr="0008049A">
        <w:trPr>
          <w:tblHeader/>
          <w:jc w:val="center"/>
        </w:trPr>
        <w:tc>
          <w:tcPr>
            <w:tcW w:w="1707" w:type="dxa"/>
            <w:shd w:val="clear" w:color="auto" w:fill="F2F2F2" w:themeFill="background1" w:themeFillShade="F2"/>
          </w:tcPr>
          <w:p w14:paraId="72554A1A" w14:textId="77777777" w:rsidR="00931B97" w:rsidRPr="00F6284E" w:rsidRDefault="00931B97" w:rsidP="00A111E9">
            <w:pPr>
              <w:rPr>
                <w:rFonts w:ascii="Arial" w:hAnsi="Arial"/>
                <w:b/>
                <w:sz w:val="18"/>
                <w:lang w:eastAsia="en-AU"/>
              </w:rPr>
            </w:pPr>
          </w:p>
        </w:tc>
        <w:tc>
          <w:tcPr>
            <w:tcW w:w="3714" w:type="dxa"/>
            <w:gridSpan w:val="2"/>
            <w:shd w:val="clear" w:color="auto" w:fill="F2F2F2" w:themeFill="background1" w:themeFillShade="F2"/>
            <w:vAlign w:val="center"/>
          </w:tcPr>
          <w:p w14:paraId="4D08BF41" w14:textId="77777777" w:rsidR="00931B97" w:rsidRPr="00F6284E" w:rsidRDefault="00931B97" w:rsidP="0008049A">
            <w:pPr>
              <w:spacing w:before="40" w:after="40"/>
              <w:jc w:val="center"/>
              <w:rPr>
                <w:rFonts w:ascii="Arial" w:hAnsi="Arial"/>
                <w:b/>
                <w:sz w:val="18"/>
                <w:lang w:eastAsia="en-AU"/>
              </w:rPr>
            </w:pPr>
            <w:r w:rsidRPr="00F6284E">
              <w:rPr>
                <w:b/>
                <w:sz w:val="18"/>
                <w:lang w:eastAsia="en-AU"/>
              </w:rPr>
              <w:t>Males</w:t>
            </w:r>
          </w:p>
        </w:tc>
        <w:tc>
          <w:tcPr>
            <w:tcW w:w="3715" w:type="dxa"/>
            <w:gridSpan w:val="2"/>
            <w:shd w:val="clear" w:color="auto" w:fill="F2F2F2" w:themeFill="background1" w:themeFillShade="F2"/>
            <w:vAlign w:val="center"/>
          </w:tcPr>
          <w:p w14:paraId="639E0B89" w14:textId="77777777" w:rsidR="00931B97" w:rsidRPr="00F6284E" w:rsidRDefault="00931B97" w:rsidP="0008049A">
            <w:pPr>
              <w:spacing w:before="40" w:after="40"/>
              <w:jc w:val="center"/>
              <w:rPr>
                <w:rFonts w:ascii="Arial" w:hAnsi="Arial"/>
                <w:b/>
                <w:sz w:val="18"/>
                <w:lang w:eastAsia="en-AU"/>
              </w:rPr>
            </w:pPr>
            <w:r w:rsidRPr="00F6284E">
              <w:rPr>
                <w:b/>
                <w:sz w:val="18"/>
                <w:lang w:eastAsia="en-AU"/>
              </w:rPr>
              <w:t>Females</w:t>
            </w:r>
          </w:p>
        </w:tc>
      </w:tr>
      <w:tr w:rsidR="00931B97" w14:paraId="6FDD5399" w14:textId="77777777" w:rsidTr="0008049A">
        <w:trPr>
          <w:tblHeader/>
          <w:jc w:val="center"/>
        </w:trPr>
        <w:tc>
          <w:tcPr>
            <w:tcW w:w="1707" w:type="dxa"/>
            <w:shd w:val="clear" w:color="auto" w:fill="F2F2F2" w:themeFill="background1" w:themeFillShade="F2"/>
          </w:tcPr>
          <w:p w14:paraId="06082507" w14:textId="77777777" w:rsidR="00931B97" w:rsidRPr="00D711DD" w:rsidRDefault="00931B97" w:rsidP="00A111E9">
            <w:pPr>
              <w:rPr>
                <w:rFonts w:ascii="Arial" w:hAnsi="Arial"/>
                <w:b/>
                <w:sz w:val="18"/>
                <w:lang w:eastAsia="en-AU"/>
              </w:rPr>
            </w:pPr>
          </w:p>
        </w:tc>
        <w:tc>
          <w:tcPr>
            <w:tcW w:w="1857" w:type="dxa"/>
            <w:shd w:val="clear" w:color="auto" w:fill="F2F2F2" w:themeFill="background1" w:themeFillShade="F2"/>
            <w:vAlign w:val="center"/>
          </w:tcPr>
          <w:p w14:paraId="01812E1A" w14:textId="77777777" w:rsidR="00931B97" w:rsidRPr="00F6284E" w:rsidRDefault="00931B97" w:rsidP="0008049A">
            <w:pPr>
              <w:spacing w:before="40" w:after="40"/>
              <w:jc w:val="right"/>
              <w:rPr>
                <w:rFonts w:ascii="Arial" w:hAnsi="Arial"/>
                <w:b/>
                <w:sz w:val="18"/>
                <w:lang w:eastAsia="en-AU"/>
              </w:rPr>
            </w:pPr>
            <w:r w:rsidRPr="000B3C14">
              <w:rPr>
                <w:b/>
                <w:sz w:val="18"/>
                <w:lang w:eastAsia="en-AU"/>
              </w:rPr>
              <w:t>Oral</w:t>
            </w:r>
          </w:p>
        </w:tc>
        <w:tc>
          <w:tcPr>
            <w:tcW w:w="1857" w:type="dxa"/>
            <w:shd w:val="clear" w:color="auto" w:fill="F2F2F2" w:themeFill="background1" w:themeFillShade="F2"/>
            <w:vAlign w:val="center"/>
          </w:tcPr>
          <w:p w14:paraId="53D24388" w14:textId="4B902341" w:rsidR="00931B97" w:rsidRPr="00F6284E" w:rsidRDefault="00DB3E2B" w:rsidP="0008049A">
            <w:pPr>
              <w:spacing w:before="40" w:after="40"/>
              <w:jc w:val="right"/>
              <w:rPr>
                <w:rFonts w:ascii="Arial" w:hAnsi="Arial"/>
                <w:b/>
                <w:sz w:val="18"/>
                <w:lang w:eastAsia="en-AU"/>
              </w:rPr>
            </w:pPr>
            <w:r>
              <w:rPr>
                <w:b/>
                <w:sz w:val="18"/>
                <w:lang w:eastAsia="en-AU"/>
              </w:rPr>
              <w:t>i</w:t>
            </w:r>
            <w:r w:rsidR="00931B97" w:rsidRPr="00F6284E">
              <w:rPr>
                <w:b/>
                <w:sz w:val="18"/>
                <w:lang w:eastAsia="en-AU"/>
              </w:rPr>
              <w:t>v</w:t>
            </w:r>
          </w:p>
        </w:tc>
        <w:tc>
          <w:tcPr>
            <w:tcW w:w="1857" w:type="dxa"/>
            <w:shd w:val="clear" w:color="auto" w:fill="F2F2F2" w:themeFill="background1" w:themeFillShade="F2"/>
            <w:vAlign w:val="center"/>
          </w:tcPr>
          <w:p w14:paraId="44759911" w14:textId="77777777" w:rsidR="00931B97" w:rsidRPr="00F6284E" w:rsidRDefault="00931B97" w:rsidP="0008049A">
            <w:pPr>
              <w:spacing w:before="40" w:after="40"/>
              <w:jc w:val="right"/>
              <w:rPr>
                <w:rFonts w:ascii="Arial" w:hAnsi="Arial"/>
                <w:b/>
                <w:sz w:val="18"/>
                <w:lang w:eastAsia="en-AU"/>
              </w:rPr>
            </w:pPr>
            <w:r w:rsidRPr="00F6284E">
              <w:rPr>
                <w:b/>
                <w:sz w:val="18"/>
                <w:lang w:eastAsia="en-AU"/>
              </w:rPr>
              <w:t>Oral</w:t>
            </w:r>
          </w:p>
        </w:tc>
        <w:tc>
          <w:tcPr>
            <w:tcW w:w="1858" w:type="dxa"/>
            <w:shd w:val="clear" w:color="auto" w:fill="F2F2F2" w:themeFill="background1" w:themeFillShade="F2"/>
            <w:vAlign w:val="center"/>
          </w:tcPr>
          <w:p w14:paraId="6E7DEC40" w14:textId="21E9070A" w:rsidR="00931B97" w:rsidRPr="00F6284E" w:rsidRDefault="00DB3E2B" w:rsidP="0008049A">
            <w:pPr>
              <w:spacing w:before="40" w:after="40"/>
              <w:jc w:val="right"/>
              <w:rPr>
                <w:rFonts w:ascii="Arial" w:hAnsi="Arial"/>
                <w:b/>
                <w:sz w:val="18"/>
                <w:lang w:eastAsia="en-AU"/>
              </w:rPr>
            </w:pPr>
            <w:r>
              <w:rPr>
                <w:b/>
                <w:sz w:val="18"/>
                <w:lang w:eastAsia="en-AU"/>
              </w:rPr>
              <w:t>i</w:t>
            </w:r>
            <w:r w:rsidR="00931B97" w:rsidRPr="00F6284E">
              <w:rPr>
                <w:b/>
                <w:sz w:val="18"/>
                <w:lang w:eastAsia="en-AU"/>
              </w:rPr>
              <w:t>v</w:t>
            </w:r>
          </w:p>
        </w:tc>
      </w:tr>
      <w:tr w:rsidR="00931B97" w14:paraId="7CB30928" w14:textId="77777777" w:rsidTr="00F6284E">
        <w:trPr>
          <w:trHeight w:val="255"/>
          <w:jc w:val="center"/>
        </w:trPr>
        <w:tc>
          <w:tcPr>
            <w:tcW w:w="1707" w:type="dxa"/>
            <w:vAlign w:val="center"/>
          </w:tcPr>
          <w:p w14:paraId="18DD1AA2" w14:textId="77777777" w:rsidR="00931B97" w:rsidRPr="00F6284E" w:rsidRDefault="00931B97" w:rsidP="00A111E9">
            <w:pPr>
              <w:rPr>
                <w:rFonts w:ascii="Arial" w:hAnsi="Arial"/>
                <w:sz w:val="18"/>
                <w:lang w:eastAsia="en-AU"/>
              </w:rPr>
            </w:pPr>
            <w:r w:rsidRPr="00D711DD">
              <w:rPr>
                <w:b/>
                <w:sz w:val="18"/>
                <w:lang w:eastAsia="en-AU"/>
              </w:rPr>
              <w:t>C</w:t>
            </w:r>
            <w:r w:rsidRPr="000B3C14">
              <w:rPr>
                <w:b/>
                <w:sz w:val="18"/>
                <w:vertAlign w:val="subscript"/>
                <w:lang w:eastAsia="en-AU"/>
              </w:rPr>
              <w:t>max</w:t>
            </w:r>
            <w:r w:rsidRPr="00F6284E">
              <w:rPr>
                <w:b/>
                <w:sz w:val="18"/>
                <w:lang w:eastAsia="en-AU"/>
              </w:rPr>
              <w:t xml:space="preserve"> </w:t>
            </w:r>
            <w:r w:rsidRPr="00F6284E">
              <w:rPr>
                <w:sz w:val="18"/>
                <w:lang w:eastAsia="en-AU"/>
              </w:rPr>
              <w:t>(µg/mL)</w:t>
            </w:r>
          </w:p>
        </w:tc>
        <w:tc>
          <w:tcPr>
            <w:tcW w:w="1857" w:type="dxa"/>
            <w:vAlign w:val="center"/>
          </w:tcPr>
          <w:p w14:paraId="75536AAD" w14:textId="77777777" w:rsidR="00931B97" w:rsidRPr="00F6284E" w:rsidRDefault="00931B97" w:rsidP="0008049A">
            <w:pPr>
              <w:jc w:val="right"/>
              <w:rPr>
                <w:rFonts w:ascii="Arial" w:hAnsi="Arial"/>
                <w:sz w:val="18"/>
                <w:lang w:eastAsia="en-AU"/>
              </w:rPr>
            </w:pPr>
            <w:r w:rsidRPr="00F6284E">
              <w:rPr>
                <w:sz w:val="18"/>
                <w:lang w:eastAsia="en-AU"/>
              </w:rPr>
              <w:t>13.30±0.16</w:t>
            </w:r>
          </w:p>
        </w:tc>
        <w:tc>
          <w:tcPr>
            <w:tcW w:w="1857" w:type="dxa"/>
            <w:vAlign w:val="center"/>
          </w:tcPr>
          <w:p w14:paraId="1C306709" w14:textId="77777777" w:rsidR="00931B97" w:rsidRPr="00F6284E" w:rsidRDefault="00931B97" w:rsidP="0008049A">
            <w:pPr>
              <w:jc w:val="right"/>
              <w:rPr>
                <w:rFonts w:ascii="Arial" w:hAnsi="Arial"/>
                <w:sz w:val="18"/>
                <w:lang w:eastAsia="en-AU"/>
              </w:rPr>
            </w:pPr>
            <w:r w:rsidRPr="00F6284E">
              <w:rPr>
                <w:sz w:val="18"/>
                <w:lang w:eastAsia="en-AU"/>
              </w:rPr>
              <w:t>14.87±2.88</w:t>
            </w:r>
          </w:p>
        </w:tc>
        <w:tc>
          <w:tcPr>
            <w:tcW w:w="1857" w:type="dxa"/>
            <w:vAlign w:val="center"/>
          </w:tcPr>
          <w:p w14:paraId="07ED853C" w14:textId="77777777" w:rsidR="00931B97" w:rsidRPr="00F6284E" w:rsidRDefault="00931B97" w:rsidP="0008049A">
            <w:pPr>
              <w:jc w:val="right"/>
              <w:rPr>
                <w:rFonts w:ascii="Arial" w:hAnsi="Arial"/>
                <w:sz w:val="18"/>
                <w:lang w:eastAsia="en-AU"/>
              </w:rPr>
            </w:pPr>
            <w:r w:rsidRPr="00F6284E">
              <w:rPr>
                <w:sz w:val="18"/>
                <w:lang w:eastAsia="en-AU"/>
              </w:rPr>
              <w:t>14.93±0.73</w:t>
            </w:r>
          </w:p>
        </w:tc>
        <w:tc>
          <w:tcPr>
            <w:tcW w:w="1858" w:type="dxa"/>
            <w:vAlign w:val="center"/>
          </w:tcPr>
          <w:p w14:paraId="3E1D14C8" w14:textId="77777777" w:rsidR="00931B97" w:rsidRPr="00F6284E" w:rsidRDefault="00931B97" w:rsidP="0008049A">
            <w:pPr>
              <w:jc w:val="right"/>
              <w:rPr>
                <w:rFonts w:ascii="Arial" w:hAnsi="Arial"/>
                <w:sz w:val="18"/>
                <w:lang w:eastAsia="en-AU"/>
              </w:rPr>
            </w:pPr>
            <w:r w:rsidRPr="00F6284E">
              <w:rPr>
                <w:sz w:val="18"/>
                <w:lang w:eastAsia="en-AU"/>
              </w:rPr>
              <w:t>13.83±1.14</w:t>
            </w:r>
          </w:p>
        </w:tc>
      </w:tr>
      <w:tr w:rsidR="00931B97" w14:paraId="2E711F5C" w14:textId="77777777" w:rsidTr="00F6284E">
        <w:trPr>
          <w:trHeight w:val="255"/>
          <w:jc w:val="center"/>
        </w:trPr>
        <w:tc>
          <w:tcPr>
            <w:tcW w:w="1707" w:type="dxa"/>
            <w:vAlign w:val="center"/>
          </w:tcPr>
          <w:p w14:paraId="7B732ED3" w14:textId="77777777" w:rsidR="00931B97" w:rsidRPr="00F6284E" w:rsidRDefault="00931B97" w:rsidP="00A111E9">
            <w:pPr>
              <w:rPr>
                <w:rFonts w:ascii="Arial" w:hAnsi="Arial"/>
                <w:sz w:val="18"/>
                <w:lang w:eastAsia="en-AU"/>
              </w:rPr>
            </w:pPr>
            <w:r w:rsidRPr="00D711DD">
              <w:rPr>
                <w:b/>
                <w:sz w:val="18"/>
                <w:lang w:eastAsia="en-AU"/>
              </w:rPr>
              <w:t>T</w:t>
            </w:r>
            <w:r w:rsidRPr="000B3C14">
              <w:rPr>
                <w:b/>
                <w:sz w:val="18"/>
                <w:vertAlign w:val="subscript"/>
                <w:lang w:eastAsia="en-AU"/>
              </w:rPr>
              <w:t>max</w:t>
            </w:r>
            <w:r w:rsidRPr="00F6284E">
              <w:rPr>
                <w:b/>
                <w:sz w:val="18"/>
                <w:lang w:eastAsia="en-AU"/>
              </w:rPr>
              <w:t xml:space="preserve"> </w:t>
            </w:r>
            <w:r w:rsidRPr="00F6284E">
              <w:rPr>
                <w:sz w:val="18"/>
                <w:lang w:eastAsia="en-AU"/>
              </w:rPr>
              <w:t>(day)</w:t>
            </w:r>
          </w:p>
        </w:tc>
        <w:tc>
          <w:tcPr>
            <w:tcW w:w="1857" w:type="dxa"/>
            <w:vAlign w:val="center"/>
          </w:tcPr>
          <w:p w14:paraId="0CD8590E" w14:textId="77777777" w:rsidR="00931B97" w:rsidRPr="00F6284E" w:rsidRDefault="00931B97" w:rsidP="0008049A">
            <w:pPr>
              <w:jc w:val="right"/>
              <w:rPr>
                <w:rFonts w:ascii="Arial" w:hAnsi="Arial"/>
                <w:sz w:val="18"/>
                <w:lang w:eastAsia="en-AU"/>
              </w:rPr>
            </w:pPr>
            <w:r w:rsidRPr="00F6284E">
              <w:rPr>
                <w:sz w:val="18"/>
                <w:lang w:eastAsia="en-AU"/>
              </w:rPr>
              <w:t>3.11±0.14*</w:t>
            </w:r>
          </w:p>
        </w:tc>
        <w:tc>
          <w:tcPr>
            <w:tcW w:w="1857" w:type="dxa"/>
            <w:vAlign w:val="center"/>
          </w:tcPr>
          <w:p w14:paraId="62DD2010" w14:textId="77777777" w:rsidR="00931B97" w:rsidRPr="00F6284E" w:rsidRDefault="00931B97" w:rsidP="0008049A">
            <w:pPr>
              <w:jc w:val="right"/>
              <w:rPr>
                <w:rFonts w:ascii="Arial" w:hAnsi="Arial"/>
                <w:sz w:val="18"/>
                <w:lang w:eastAsia="en-AU"/>
              </w:rPr>
            </w:pPr>
            <w:r w:rsidRPr="00F6284E">
              <w:rPr>
                <w:sz w:val="18"/>
                <w:lang w:eastAsia="en-AU"/>
              </w:rPr>
              <w:t>NA</w:t>
            </w:r>
          </w:p>
        </w:tc>
        <w:tc>
          <w:tcPr>
            <w:tcW w:w="1857" w:type="dxa"/>
            <w:vAlign w:val="center"/>
          </w:tcPr>
          <w:p w14:paraId="5823E592" w14:textId="77777777" w:rsidR="00931B97" w:rsidRPr="00F6284E" w:rsidRDefault="00931B97" w:rsidP="0008049A">
            <w:pPr>
              <w:jc w:val="right"/>
              <w:rPr>
                <w:rFonts w:ascii="Arial" w:hAnsi="Arial"/>
                <w:sz w:val="18"/>
                <w:lang w:eastAsia="en-AU"/>
              </w:rPr>
            </w:pPr>
            <w:r w:rsidRPr="00F6284E">
              <w:rPr>
                <w:sz w:val="18"/>
                <w:lang w:eastAsia="en-AU"/>
              </w:rPr>
              <w:t>0.06±0.01</w:t>
            </w:r>
          </w:p>
        </w:tc>
        <w:tc>
          <w:tcPr>
            <w:tcW w:w="1858" w:type="dxa"/>
            <w:vAlign w:val="center"/>
          </w:tcPr>
          <w:p w14:paraId="742AF11F" w14:textId="77777777" w:rsidR="00931B97" w:rsidRPr="00F6284E" w:rsidRDefault="00931B97" w:rsidP="0008049A">
            <w:pPr>
              <w:jc w:val="right"/>
              <w:rPr>
                <w:rFonts w:ascii="Arial" w:hAnsi="Arial"/>
                <w:sz w:val="18"/>
                <w:lang w:eastAsia="en-AU"/>
              </w:rPr>
            </w:pPr>
            <w:r w:rsidRPr="00F6284E">
              <w:rPr>
                <w:sz w:val="18"/>
                <w:lang w:eastAsia="en-AU"/>
              </w:rPr>
              <w:t>NA</w:t>
            </w:r>
          </w:p>
        </w:tc>
      </w:tr>
      <w:tr w:rsidR="00931B97" w14:paraId="21C27AA1" w14:textId="77777777" w:rsidTr="00F6284E">
        <w:trPr>
          <w:trHeight w:val="255"/>
          <w:jc w:val="center"/>
        </w:trPr>
        <w:tc>
          <w:tcPr>
            <w:tcW w:w="1707" w:type="dxa"/>
            <w:vAlign w:val="center"/>
          </w:tcPr>
          <w:p w14:paraId="44CCD1E1" w14:textId="77777777" w:rsidR="00931B97" w:rsidRPr="00F6284E" w:rsidRDefault="00931B97" w:rsidP="00A111E9">
            <w:pPr>
              <w:rPr>
                <w:rFonts w:ascii="Arial" w:hAnsi="Arial"/>
                <w:sz w:val="18"/>
                <w:lang w:eastAsia="en-AU"/>
              </w:rPr>
            </w:pPr>
            <w:r w:rsidRPr="00D711DD">
              <w:rPr>
                <w:b/>
                <w:sz w:val="18"/>
                <w:lang w:eastAsia="en-AU"/>
              </w:rPr>
              <w:t xml:space="preserve">AUC </w:t>
            </w:r>
            <w:r w:rsidRPr="000B3C14">
              <w:rPr>
                <w:sz w:val="18"/>
                <w:lang w:eastAsia="en-AU"/>
              </w:rPr>
              <w:t>(µg.day/mL)</w:t>
            </w:r>
          </w:p>
        </w:tc>
        <w:tc>
          <w:tcPr>
            <w:tcW w:w="1857" w:type="dxa"/>
            <w:vAlign w:val="center"/>
          </w:tcPr>
          <w:p w14:paraId="009C8D31" w14:textId="77777777" w:rsidR="00931B97" w:rsidRPr="00F6284E" w:rsidRDefault="00931B97" w:rsidP="0008049A">
            <w:pPr>
              <w:jc w:val="right"/>
              <w:rPr>
                <w:rFonts w:ascii="Arial" w:hAnsi="Arial"/>
                <w:sz w:val="18"/>
                <w:lang w:eastAsia="en-AU"/>
              </w:rPr>
            </w:pPr>
            <w:r w:rsidRPr="00F6284E">
              <w:rPr>
                <w:sz w:val="18"/>
                <w:lang w:eastAsia="en-AU"/>
              </w:rPr>
              <w:t>559.35±4.39</w:t>
            </w:r>
          </w:p>
        </w:tc>
        <w:tc>
          <w:tcPr>
            <w:tcW w:w="1857" w:type="dxa"/>
            <w:vAlign w:val="center"/>
          </w:tcPr>
          <w:p w14:paraId="10E14C39" w14:textId="77777777" w:rsidR="00931B97" w:rsidRPr="00F6284E" w:rsidRDefault="00931B97" w:rsidP="0008049A">
            <w:pPr>
              <w:jc w:val="right"/>
              <w:rPr>
                <w:rFonts w:ascii="Arial" w:hAnsi="Arial"/>
                <w:sz w:val="18"/>
                <w:lang w:eastAsia="en-AU"/>
              </w:rPr>
            </w:pPr>
            <w:r w:rsidRPr="00F6284E">
              <w:rPr>
                <w:sz w:val="18"/>
                <w:lang w:eastAsia="en-AU"/>
              </w:rPr>
              <w:t>444.16±2.23*</w:t>
            </w:r>
          </w:p>
        </w:tc>
        <w:tc>
          <w:tcPr>
            <w:tcW w:w="1857" w:type="dxa"/>
            <w:vAlign w:val="center"/>
          </w:tcPr>
          <w:p w14:paraId="2E35DBC2" w14:textId="77777777" w:rsidR="00931B97" w:rsidRPr="00F6284E" w:rsidRDefault="00931B97" w:rsidP="0008049A">
            <w:pPr>
              <w:jc w:val="right"/>
              <w:rPr>
                <w:rFonts w:ascii="Arial" w:hAnsi="Arial"/>
                <w:sz w:val="18"/>
                <w:lang w:eastAsia="en-AU"/>
              </w:rPr>
            </w:pPr>
            <w:r w:rsidRPr="00F6284E">
              <w:rPr>
                <w:sz w:val="18"/>
                <w:lang w:eastAsia="en-AU"/>
              </w:rPr>
              <w:t>32.04±0.87</w:t>
            </w:r>
          </w:p>
        </w:tc>
        <w:tc>
          <w:tcPr>
            <w:tcW w:w="1858" w:type="dxa"/>
            <w:vAlign w:val="center"/>
          </w:tcPr>
          <w:p w14:paraId="633C7788" w14:textId="77777777" w:rsidR="00931B97" w:rsidRPr="00F6284E" w:rsidRDefault="00931B97" w:rsidP="0008049A">
            <w:pPr>
              <w:jc w:val="right"/>
              <w:rPr>
                <w:rFonts w:ascii="Arial" w:hAnsi="Arial"/>
                <w:sz w:val="18"/>
                <w:lang w:eastAsia="en-AU"/>
              </w:rPr>
            </w:pPr>
            <w:r w:rsidRPr="00F6284E">
              <w:rPr>
                <w:sz w:val="18"/>
                <w:lang w:eastAsia="en-AU"/>
              </w:rPr>
              <w:t>17.55±0.52</w:t>
            </w:r>
          </w:p>
        </w:tc>
      </w:tr>
      <w:tr w:rsidR="00931B97" w14:paraId="5F0FCEE3" w14:textId="77777777" w:rsidTr="00F6284E">
        <w:trPr>
          <w:trHeight w:val="255"/>
          <w:jc w:val="center"/>
        </w:trPr>
        <w:tc>
          <w:tcPr>
            <w:tcW w:w="1707" w:type="dxa"/>
            <w:vAlign w:val="center"/>
          </w:tcPr>
          <w:p w14:paraId="3CE74908" w14:textId="2022445F" w:rsidR="00931B97" w:rsidRPr="00F6284E" w:rsidRDefault="00737811" w:rsidP="00A111E9">
            <w:pPr>
              <w:rPr>
                <w:rFonts w:ascii="Arial" w:hAnsi="Arial"/>
                <w:sz w:val="18"/>
                <w:lang w:eastAsia="en-AU"/>
              </w:rPr>
            </w:pPr>
            <w:r w:rsidRPr="00737811">
              <w:rPr>
                <w:b/>
                <w:sz w:val="18"/>
                <w:lang w:eastAsia="en-AU"/>
              </w:rPr>
              <w:t>t</w:t>
            </w:r>
            <w:r w:rsidR="00931B97" w:rsidRPr="000B3C14">
              <w:rPr>
                <w:b/>
                <w:sz w:val="18"/>
                <w:vertAlign w:val="subscript"/>
                <w:lang w:eastAsia="en-AU"/>
              </w:rPr>
              <w:t>1/2</w:t>
            </w:r>
            <w:r w:rsidR="00931B97" w:rsidRPr="00F6284E">
              <w:rPr>
                <w:sz w:val="18"/>
                <w:lang w:eastAsia="en-AU"/>
              </w:rPr>
              <w:t>(day)</w:t>
            </w:r>
          </w:p>
        </w:tc>
        <w:tc>
          <w:tcPr>
            <w:tcW w:w="1857" w:type="dxa"/>
            <w:vAlign w:val="center"/>
          </w:tcPr>
          <w:p w14:paraId="0FE989E2" w14:textId="77777777" w:rsidR="00931B97" w:rsidRPr="00F6284E" w:rsidRDefault="00931B97" w:rsidP="0008049A">
            <w:pPr>
              <w:jc w:val="right"/>
              <w:rPr>
                <w:rFonts w:ascii="Arial" w:hAnsi="Arial"/>
                <w:sz w:val="18"/>
                <w:lang w:eastAsia="en-AU"/>
              </w:rPr>
            </w:pPr>
            <w:r w:rsidRPr="00F6284E">
              <w:rPr>
                <w:sz w:val="18"/>
              </w:rPr>
              <w:t>26.90±0.37</w:t>
            </w:r>
          </w:p>
        </w:tc>
        <w:tc>
          <w:tcPr>
            <w:tcW w:w="1857" w:type="dxa"/>
            <w:vAlign w:val="center"/>
          </w:tcPr>
          <w:p w14:paraId="0D5B4BA4" w14:textId="77777777" w:rsidR="00931B97" w:rsidRPr="00F6284E" w:rsidRDefault="00931B97" w:rsidP="0008049A">
            <w:pPr>
              <w:jc w:val="right"/>
              <w:rPr>
                <w:rFonts w:ascii="Arial" w:hAnsi="Arial"/>
                <w:sz w:val="18"/>
                <w:lang w:eastAsia="en-AU"/>
              </w:rPr>
            </w:pPr>
            <w:r w:rsidRPr="00F6284E">
              <w:rPr>
                <w:sz w:val="18"/>
              </w:rPr>
              <w:t>20.70±3.96*</w:t>
            </w:r>
          </w:p>
        </w:tc>
        <w:tc>
          <w:tcPr>
            <w:tcW w:w="1857" w:type="dxa"/>
            <w:vAlign w:val="center"/>
          </w:tcPr>
          <w:p w14:paraId="02719053" w14:textId="77777777" w:rsidR="00931B97" w:rsidRPr="00F6284E" w:rsidRDefault="00931B97" w:rsidP="0008049A">
            <w:pPr>
              <w:jc w:val="right"/>
              <w:rPr>
                <w:rFonts w:ascii="Arial" w:hAnsi="Arial"/>
                <w:sz w:val="18"/>
                <w:lang w:eastAsia="en-AU"/>
              </w:rPr>
            </w:pPr>
            <w:r w:rsidRPr="00F6284E">
              <w:rPr>
                <w:sz w:val="18"/>
              </w:rPr>
              <w:t>1.72±0.11</w:t>
            </w:r>
          </w:p>
        </w:tc>
        <w:tc>
          <w:tcPr>
            <w:tcW w:w="1858" w:type="dxa"/>
            <w:vAlign w:val="center"/>
          </w:tcPr>
          <w:p w14:paraId="59BA670A" w14:textId="77777777" w:rsidR="00931B97" w:rsidRPr="00F6284E" w:rsidRDefault="00931B97" w:rsidP="0008049A">
            <w:pPr>
              <w:jc w:val="right"/>
              <w:rPr>
                <w:rFonts w:ascii="Arial" w:hAnsi="Arial"/>
                <w:sz w:val="18"/>
                <w:lang w:eastAsia="en-AU"/>
              </w:rPr>
            </w:pPr>
            <w:r w:rsidRPr="00F6284E">
              <w:rPr>
                <w:sz w:val="18"/>
                <w:lang w:eastAsia="en-AU"/>
              </w:rPr>
              <w:t>0.88±0.07</w:t>
            </w:r>
          </w:p>
        </w:tc>
      </w:tr>
      <w:tr w:rsidR="00931B97" w14:paraId="5B55D3E7" w14:textId="77777777" w:rsidTr="00F6284E">
        <w:trPr>
          <w:trHeight w:val="255"/>
          <w:jc w:val="center"/>
        </w:trPr>
        <w:tc>
          <w:tcPr>
            <w:tcW w:w="1707" w:type="dxa"/>
            <w:vAlign w:val="center"/>
          </w:tcPr>
          <w:p w14:paraId="7C80CCA7" w14:textId="77777777" w:rsidR="00931B97" w:rsidRPr="00F6284E" w:rsidRDefault="00931B97" w:rsidP="00A111E9">
            <w:pPr>
              <w:rPr>
                <w:rFonts w:ascii="Arial" w:hAnsi="Arial"/>
                <w:b/>
                <w:sz w:val="18"/>
                <w:lang w:eastAsia="en-AU"/>
              </w:rPr>
            </w:pPr>
            <w:r w:rsidRPr="00D711DD">
              <w:rPr>
                <w:b/>
                <w:sz w:val="18"/>
                <w:lang w:eastAsia="en-AU"/>
              </w:rPr>
              <w:t xml:space="preserve">Vd </w:t>
            </w:r>
            <w:r w:rsidRPr="000B3C14">
              <w:rPr>
                <w:sz w:val="18"/>
                <w:lang w:eastAsia="en-AU"/>
              </w:rPr>
              <w:t>(mL/kg)</w:t>
            </w:r>
          </w:p>
        </w:tc>
        <w:tc>
          <w:tcPr>
            <w:tcW w:w="1857" w:type="dxa"/>
            <w:vAlign w:val="center"/>
          </w:tcPr>
          <w:p w14:paraId="74381BF9" w14:textId="77777777" w:rsidR="00931B97" w:rsidRPr="00F6284E" w:rsidRDefault="00931B97" w:rsidP="0008049A">
            <w:pPr>
              <w:jc w:val="right"/>
              <w:rPr>
                <w:rFonts w:ascii="Arial" w:hAnsi="Arial"/>
                <w:sz w:val="18"/>
                <w:lang w:eastAsia="en-AU"/>
              </w:rPr>
            </w:pPr>
            <w:r w:rsidRPr="00F6284E">
              <w:rPr>
                <w:sz w:val="18"/>
              </w:rPr>
              <w:t>277.58±3.92</w:t>
            </w:r>
          </w:p>
        </w:tc>
        <w:tc>
          <w:tcPr>
            <w:tcW w:w="1857" w:type="dxa"/>
            <w:vAlign w:val="center"/>
          </w:tcPr>
          <w:p w14:paraId="279622A9" w14:textId="77777777" w:rsidR="00931B97" w:rsidRPr="00F6284E" w:rsidRDefault="00931B97" w:rsidP="0008049A">
            <w:pPr>
              <w:jc w:val="right"/>
              <w:rPr>
                <w:rFonts w:ascii="Arial" w:hAnsi="Arial"/>
                <w:sz w:val="18"/>
                <w:lang w:eastAsia="en-AU"/>
              </w:rPr>
            </w:pPr>
            <w:r w:rsidRPr="00F6284E">
              <w:rPr>
                <w:sz w:val="18"/>
              </w:rPr>
              <w:t>268.91±52.13</w:t>
            </w:r>
          </w:p>
        </w:tc>
        <w:tc>
          <w:tcPr>
            <w:tcW w:w="1857" w:type="dxa"/>
            <w:vAlign w:val="center"/>
          </w:tcPr>
          <w:p w14:paraId="45BC62F8" w14:textId="77777777" w:rsidR="00931B97" w:rsidRPr="00F6284E" w:rsidRDefault="00931B97" w:rsidP="0008049A">
            <w:pPr>
              <w:jc w:val="right"/>
              <w:rPr>
                <w:rFonts w:ascii="Arial" w:hAnsi="Arial"/>
                <w:sz w:val="18"/>
                <w:lang w:eastAsia="en-AU"/>
              </w:rPr>
            </w:pPr>
            <w:r w:rsidRPr="00F6284E">
              <w:rPr>
                <w:sz w:val="18"/>
              </w:rPr>
              <w:t>255.88±18.17</w:t>
            </w:r>
          </w:p>
        </w:tc>
        <w:tc>
          <w:tcPr>
            <w:tcW w:w="1858" w:type="dxa"/>
            <w:vAlign w:val="center"/>
          </w:tcPr>
          <w:p w14:paraId="672D990F" w14:textId="77777777" w:rsidR="00931B97" w:rsidRPr="00F6284E" w:rsidRDefault="00931B97" w:rsidP="0008049A">
            <w:pPr>
              <w:jc w:val="right"/>
              <w:rPr>
                <w:rFonts w:ascii="Arial" w:hAnsi="Arial"/>
                <w:sz w:val="18"/>
                <w:lang w:eastAsia="en-AU"/>
              </w:rPr>
            </w:pPr>
            <w:r w:rsidRPr="00F6284E">
              <w:rPr>
                <w:sz w:val="18"/>
                <w:lang w:eastAsia="en-AU"/>
              </w:rPr>
              <w:t>289.30±23.18</w:t>
            </w:r>
          </w:p>
        </w:tc>
      </w:tr>
      <w:tr w:rsidR="00931B97" w14:paraId="13EFFB03" w14:textId="77777777" w:rsidTr="00F6284E">
        <w:trPr>
          <w:trHeight w:val="255"/>
          <w:jc w:val="center"/>
        </w:trPr>
        <w:tc>
          <w:tcPr>
            <w:tcW w:w="1707" w:type="dxa"/>
            <w:vAlign w:val="center"/>
          </w:tcPr>
          <w:p w14:paraId="06AF1DA3" w14:textId="77777777" w:rsidR="00931B97" w:rsidRPr="00F6284E" w:rsidRDefault="00931B97" w:rsidP="00A111E9">
            <w:pPr>
              <w:rPr>
                <w:rFonts w:ascii="Arial" w:hAnsi="Arial"/>
                <w:sz w:val="18"/>
                <w:lang w:eastAsia="en-AU"/>
              </w:rPr>
            </w:pPr>
            <w:r w:rsidRPr="00D711DD">
              <w:rPr>
                <w:b/>
                <w:sz w:val="18"/>
                <w:lang w:eastAsia="en-AU"/>
              </w:rPr>
              <w:t xml:space="preserve">CL </w:t>
            </w:r>
            <w:r w:rsidRPr="000B3C14">
              <w:rPr>
                <w:sz w:val="18"/>
                <w:lang w:eastAsia="en-AU"/>
              </w:rPr>
              <w:t>(mL/day/kg)</w:t>
            </w:r>
          </w:p>
        </w:tc>
        <w:tc>
          <w:tcPr>
            <w:tcW w:w="1857" w:type="dxa"/>
            <w:vAlign w:val="center"/>
          </w:tcPr>
          <w:p w14:paraId="0710AC18" w14:textId="77777777" w:rsidR="00931B97" w:rsidRPr="00F6284E" w:rsidRDefault="00931B97" w:rsidP="0008049A">
            <w:pPr>
              <w:jc w:val="right"/>
              <w:rPr>
                <w:rFonts w:ascii="Arial" w:hAnsi="Arial"/>
                <w:sz w:val="18"/>
                <w:lang w:eastAsia="en-AU"/>
              </w:rPr>
            </w:pPr>
            <w:r w:rsidRPr="00F6284E">
              <w:rPr>
                <w:sz w:val="18"/>
              </w:rPr>
              <w:t>7.15±0.06</w:t>
            </w:r>
          </w:p>
        </w:tc>
        <w:tc>
          <w:tcPr>
            <w:tcW w:w="1857" w:type="dxa"/>
            <w:vAlign w:val="center"/>
          </w:tcPr>
          <w:p w14:paraId="25A6B8D6" w14:textId="77777777" w:rsidR="00931B97" w:rsidRPr="00F6284E" w:rsidRDefault="00931B97" w:rsidP="0008049A">
            <w:pPr>
              <w:jc w:val="right"/>
              <w:rPr>
                <w:rFonts w:ascii="Arial" w:hAnsi="Arial"/>
                <w:sz w:val="18"/>
                <w:lang w:eastAsia="en-AU"/>
              </w:rPr>
            </w:pPr>
            <w:r w:rsidRPr="00F6284E">
              <w:rPr>
                <w:sz w:val="18"/>
              </w:rPr>
              <w:t>9.01±0.05</w:t>
            </w:r>
            <w:r w:rsidRPr="00F6284E">
              <w:rPr>
                <w:sz w:val="18"/>
              </w:rPr>
              <w:cr/>
              <w:t>*</w:t>
            </w:r>
          </w:p>
        </w:tc>
        <w:tc>
          <w:tcPr>
            <w:tcW w:w="1857" w:type="dxa"/>
            <w:vAlign w:val="center"/>
          </w:tcPr>
          <w:p w14:paraId="080DB25A" w14:textId="77777777" w:rsidR="00931B97" w:rsidRPr="00F6284E" w:rsidRDefault="00931B97" w:rsidP="0008049A">
            <w:pPr>
              <w:jc w:val="right"/>
              <w:rPr>
                <w:rFonts w:ascii="Arial" w:hAnsi="Arial"/>
                <w:sz w:val="18"/>
                <w:lang w:eastAsia="en-AU"/>
              </w:rPr>
            </w:pPr>
            <w:r w:rsidRPr="00F6284E">
              <w:rPr>
                <w:sz w:val="18"/>
              </w:rPr>
              <w:t>124.83±3.40</w:t>
            </w:r>
          </w:p>
        </w:tc>
        <w:tc>
          <w:tcPr>
            <w:tcW w:w="1858" w:type="dxa"/>
            <w:vAlign w:val="center"/>
          </w:tcPr>
          <w:p w14:paraId="107FDA8D" w14:textId="77777777" w:rsidR="00931B97" w:rsidRPr="00F6284E" w:rsidRDefault="00931B97" w:rsidP="0008049A">
            <w:pPr>
              <w:jc w:val="right"/>
              <w:rPr>
                <w:rFonts w:ascii="Arial" w:hAnsi="Arial"/>
                <w:sz w:val="18"/>
                <w:lang w:eastAsia="en-AU"/>
              </w:rPr>
            </w:pPr>
            <w:r w:rsidRPr="00F6284E">
              <w:rPr>
                <w:sz w:val="18"/>
              </w:rPr>
              <w:t>227.93±6.73</w:t>
            </w:r>
          </w:p>
        </w:tc>
      </w:tr>
      <w:tr w:rsidR="00931B97" w14:paraId="33A1C1BA" w14:textId="77777777" w:rsidTr="00F6284E">
        <w:trPr>
          <w:trHeight w:val="255"/>
          <w:jc w:val="center"/>
        </w:trPr>
        <w:tc>
          <w:tcPr>
            <w:tcW w:w="1707" w:type="dxa"/>
            <w:vAlign w:val="center"/>
          </w:tcPr>
          <w:p w14:paraId="787D66DF" w14:textId="77777777" w:rsidR="00931B97" w:rsidRPr="00F6284E" w:rsidRDefault="00931B97" w:rsidP="00A111E9">
            <w:pPr>
              <w:rPr>
                <w:rFonts w:ascii="Arial" w:hAnsi="Arial"/>
                <w:sz w:val="18"/>
                <w:lang w:eastAsia="en-AU"/>
              </w:rPr>
            </w:pPr>
            <w:r w:rsidRPr="00D711DD">
              <w:rPr>
                <w:b/>
                <w:sz w:val="18"/>
                <w:lang w:eastAsia="en-AU"/>
              </w:rPr>
              <w:t>CL</w:t>
            </w:r>
            <w:r w:rsidRPr="000B3C14">
              <w:rPr>
                <w:b/>
                <w:sz w:val="18"/>
                <w:vertAlign w:val="subscript"/>
                <w:lang w:eastAsia="en-AU"/>
              </w:rPr>
              <w:t>R</w:t>
            </w:r>
            <w:r w:rsidRPr="00F6284E">
              <w:rPr>
                <w:b/>
                <w:sz w:val="18"/>
                <w:lang w:eastAsia="en-AU"/>
              </w:rPr>
              <w:t xml:space="preserve"> </w:t>
            </w:r>
            <w:r w:rsidRPr="00F6284E">
              <w:rPr>
                <w:sz w:val="18"/>
                <w:lang w:eastAsia="en-AU"/>
              </w:rPr>
              <w:t>(mL/day/kg)</w:t>
            </w:r>
          </w:p>
        </w:tc>
        <w:tc>
          <w:tcPr>
            <w:tcW w:w="1857" w:type="dxa"/>
            <w:vAlign w:val="center"/>
          </w:tcPr>
          <w:p w14:paraId="7DE06F78" w14:textId="77777777" w:rsidR="00931B97" w:rsidRPr="00F6284E" w:rsidRDefault="00931B97" w:rsidP="0008049A">
            <w:pPr>
              <w:jc w:val="right"/>
              <w:rPr>
                <w:rFonts w:ascii="Arial" w:hAnsi="Arial"/>
                <w:sz w:val="18"/>
                <w:lang w:eastAsia="en-AU"/>
              </w:rPr>
            </w:pPr>
            <w:r w:rsidRPr="00F6284E">
              <w:rPr>
                <w:sz w:val="18"/>
                <w:lang w:eastAsia="en-AU"/>
              </w:rPr>
              <w:t>NA</w:t>
            </w:r>
          </w:p>
        </w:tc>
        <w:tc>
          <w:tcPr>
            <w:tcW w:w="1857" w:type="dxa"/>
            <w:vAlign w:val="center"/>
          </w:tcPr>
          <w:p w14:paraId="2621558B" w14:textId="77777777" w:rsidR="00931B97" w:rsidRPr="00F6284E" w:rsidRDefault="00931B97" w:rsidP="0008049A">
            <w:pPr>
              <w:jc w:val="right"/>
              <w:rPr>
                <w:rFonts w:ascii="Arial" w:hAnsi="Arial"/>
                <w:sz w:val="18"/>
                <w:lang w:eastAsia="en-AU"/>
              </w:rPr>
            </w:pPr>
            <w:r w:rsidRPr="00F6284E">
              <w:rPr>
                <w:sz w:val="18"/>
                <w:lang w:eastAsia="en-AU"/>
              </w:rPr>
              <w:t>0.76±0.01*</w:t>
            </w:r>
          </w:p>
        </w:tc>
        <w:tc>
          <w:tcPr>
            <w:tcW w:w="1857" w:type="dxa"/>
            <w:vAlign w:val="center"/>
          </w:tcPr>
          <w:p w14:paraId="67DB6E37" w14:textId="77777777" w:rsidR="00931B97" w:rsidRPr="00F6284E" w:rsidRDefault="00931B97" w:rsidP="0008049A">
            <w:pPr>
              <w:jc w:val="right"/>
              <w:rPr>
                <w:rFonts w:ascii="Arial" w:hAnsi="Arial"/>
                <w:sz w:val="18"/>
                <w:lang w:eastAsia="en-AU"/>
              </w:rPr>
            </w:pPr>
            <w:r w:rsidRPr="00F6284E">
              <w:rPr>
                <w:sz w:val="18"/>
                <w:lang w:eastAsia="en-AU"/>
              </w:rPr>
              <w:t>NA</w:t>
            </w:r>
          </w:p>
        </w:tc>
        <w:tc>
          <w:tcPr>
            <w:tcW w:w="1858" w:type="dxa"/>
            <w:vAlign w:val="center"/>
          </w:tcPr>
          <w:p w14:paraId="68202113" w14:textId="77777777" w:rsidR="00931B97" w:rsidRPr="00F6284E" w:rsidRDefault="00931B97" w:rsidP="0008049A">
            <w:pPr>
              <w:jc w:val="right"/>
              <w:rPr>
                <w:rFonts w:ascii="Arial" w:hAnsi="Arial"/>
                <w:sz w:val="18"/>
                <w:lang w:eastAsia="en-AU"/>
              </w:rPr>
            </w:pPr>
            <w:r w:rsidRPr="00F6284E">
              <w:rPr>
                <w:sz w:val="18"/>
                <w:lang w:eastAsia="en-AU"/>
              </w:rPr>
              <w:t>63.87±1.96</w:t>
            </w:r>
          </w:p>
        </w:tc>
      </w:tr>
      <w:tr w:rsidR="00931B97" w14:paraId="2E91CDE0" w14:textId="77777777" w:rsidTr="00F6284E">
        <w:trPr>
          <w:trHeight w:val="255"/>
          <w:jc w:val="center"/>
        </w:trPr>
        <w:tc>
          <w:tcPr>
            <w:tcW w:w="1707" w:type="dxa"/>
            <w:vAlign w:val="center"/>
          </w:tcPr>
          <w:p w14:paraId="5F91BEA8" w14:textId="77777777" w:rsidR="00931B97" w:rsidRPr="00F6284E" w:rsidRDefault="00931B97" w:rsidP="00A111E9">
            <w:pPr>
              <w:rPr>
                <w:rFonts w:ascii="Arial" w:hAnsi="Arial"/>
                <w:b/>
                <w:sz w:val="18"/>
                <w:lang w:eastAsia="en-AU"/>
              </w:rPr>
            </w:pPr>
            <w:r w:rsidRPr="00D711DD">
              <w:rPr>
                <w:b/>
                <w:sz w:val="18"/>
                <w:lang w:eastAsia="en-AU"/>
              </w:rPr>
              <w:t>X</w:t>
            </w:r>
            <w:r w:rsidRPr="000B3C14">
              <w:rPr>
                <w:b/>
                <w:sz w:val="18"/>
                <w:vertAlign w:val="subscript"/>
                <w:lang w:eastAsia="en-AU"/>
              </w:rPr>
              <w:t>u(t)</w:t>
            </w:r>
            <w:r w:rsidRPr="00F6284E">
              <w:rPr>
                <w:sz w:val="18"/>
                <w:lang w:eastAsia="en-AU"/>
              </w:rPr>
              <w:t xml:space="preserve"> (µg)</w:t>
            </w:r>
          </w:p>
        </w:tc>
        <w:tc>
          <w:tcPr>
            <w:tcW w:w="1857" w:type="dxa"/>
            <w:vAlign w:val="center"/>
          </w:tcPr>
          <w:p w14:paraId="754C14CF" w14:textId="77777777" w:rsidR="00931B97" w:rsidRPr="00F6284E" w:rsidRDefault="00931B97" w:rsidP="0008049A">
            <w:pPr>
              <w:jc w:val="right"/>
              <w:rPr>
                <w:rFonts w:ascii="Arial" w:hAnsi="Arial"/>
                <w:sz w:val="18"/>
                <w:lang w:eastAsia="en-AU"/>
              </w:rPr>
            </w:pPr>
            <w:r w:rsidRPr="00F6284E">
              <w:rPr>
                <w:sz w:val="18"/>
              </w:rPr>
              <w:t>93.94±21.66</w:t>
            </w:r>
          </w:p>
        </w:tc>
        <w:tc>
          <w:tcPr>
            <w:tcW w:w="1857" w:type="dxa"/>
            <w:vAlign w:val="center"/>
          </w:tcPr>
          <w:p w14:paraId="02C74AFB" w14:textId="77777777" w:rsidR="00931B97" w:rsidRPr="00F6284E" w:rsidRDefault="00931B97" w:rsidP="0008049A">
            <w:pPr>
              <w:jc w:val="right"/>
              <w:rPr>
                <w:rFonts w:ascii="Arial" w:hAnsi="Arial"/>
                <w:sz w:val="18"/>
                <w:lang w:eastAsia="en-AU"/>
              </w:rPr>
            </w:pPr>
            <w:r w:rsidRPr="00F6284E">
              <w:rPr>
                <w:sz w:val="18"/>
              </w:rPr>
              <w:t>82.63±9.86*</w:t>
            </w:r>
          </w:p>
        </w:tc>
        <w:tc>
          <w:tcPr>
            <w:tcW w:w="1857" w:type="dxa"/>
            <w:vAlign w:val="center"/>
          </w:tcPr>
          <w:p w14:paraId="32942360" w14:textId="77777777" w:rsidR="00931B97" w:rsidRPr="00F6284E" w:rsidRDefault="00931B97" w:rsidP="0008049A">
            <w:pPr>
              <w:jc w:val="right"/>
              <w:rPr>
                <w:rFonts w:ascii="Arial" w:hAnsi="Arial"/>
                <w:sz w:val="18"/>
                <w:lang w:eastAsia="en-AU"/>
              </w:rPr>
            </w:pPr>
            <w:r w:rsidRPr="00F6284E">
              <w:rPr>
                <w:sz w:val="18"/>
              </w:rPr>
              <w:t>485.70±74.08</w:t>
            </w:r>
          </w:p>
        </w:tc>
        <w:tc>
          <w:tcPr>
            <w:tcW w:w="1858" w:type="dxa"/>
            <w:vAlign w:val="center"/>
          </w:tcPr>
          <w:p w14:paraId="781DE973" w14:textId="77777777" w:rsidR="00931B97" w:rsidRPr="00F6284E" w:rsidRDefault="00931B97" w:rsidP="0008049A">
            <w:pPr>
              <w:jc w:val="right"/>
              <w:rPr>
                <w:rFonts w:ascii="Arial" w:hAnsi="Arial"/>
                <w:sz w:val="18"/>
                <w:lang w:eastAsia="en-AU"/>
              </w:rPr>
            </w:pPr>
            <w:r w:rsidRPr="00F6284E">
              <w:rPr>
                <w:sz w:val="18"/>
              </w:rPr>
              <w:t>280.22±34.41</w:t>
            </w:r>
          </w:p>
        </w:tc>
      </w:tr>
      <w:tr w:rsidR="00931B97" w14:paraId="0B998960" w14:textId="77777777" w:rsidTr="00F6284E">
        <w:trPr>
          <w:trHeight w:val="255"/>
          <w:jc w:val="center"/>
        </w:trPr>
        <w:tc>
          <w:tcPr>
            <w:tcW w:w="1707" w:type="dxa"/>
            <w:vAlign w:val="center"/>
          </w:tcPr>
          <w:p w14:paraId="2A93CFD6" w14:textId="77777777" w:rsidR="00931B97" w:rsidRPr="00F6284E" w:rsidRDefault="00931B97" w:rsidP="00A111E9">
            <w:pPr>
              <w:rPr>
                <w:rFonts w:ascii="Arial" w:hAnsi="Arial"/>
                <w:sz w:val="18"/>
                <w:lang w:eastAsia="en-AU"/>
              </w:rPr>
            </w:pPr>
            <w:r w:rsidRPr="00D711DD">
              <w:rPr>
                <w:b/>
                <w:sz w:val="18"/>
                <w:lang w:eastAsia="en-AU"/>
              </w:rPr>
              <w:t>X</w:t>
            </w:r>
            <w:r w:rsidRPr="000B3C14">
              <w:rPr>
                <w:b/>
                <w:sz w:val="18"/>
                <w:vertAlign w:val="subscript"/>
                <w:lang w:eastAsia="en-AU"/>
              </w:rPr>
              <w:t>f(t)</w:t>
            </w:r>
            <w:r w:rsidRPr="00F6284E">
              <w:rPr>
                <w:b/>
                <w:sz w:val="18"/>
                <w:lang w:eastAsia="en-AU"/>
              </w:rPr>
              <w:t xml:space="preserve"> </w:t>
            </w:r>
            <w:r w:rsidRPr="00F6284E">
              <w:rPr>
                <w:sz w:val="18"/>
                <w:lang w:eastAsia="en-AU"/>
              </w:rPr>
              <w:t>(µg)</w:t>
            </w:r>
          </w:p>
        </w:tc>
        <w:tc>
          <w:tcPr>
            <w:tcW w:w="1857" w:type="dxa"/>
            <w:vAlign w:val="center"/>
          </w:tcPr>
          <w:p w14:paraId="039906D5" w14:textId="77777777" w:rsidR="00931B97" w:rsidRPr="00F6284E" w:rsidRDefault="00931B97" w:rsidP="0008049A">
            <w:pPr>
              <w:jc w:val="right"/>
              <w:rPr>
                <w:rFonts w:ascii="Arial" w:hAnsi="Arial"/>
                <w:sz w:val="18"/>
                <w:lang w:eastAsia="en-AU"/>
              </w:rPr>
            </w:pPr>
            <w:r w:rsidRPr="00F6284E">
              <w:rPr>
                <w:sz w:val="18"/>
              </w:rPr>
              <w:t>2.70±2.86</w:t>
            </w:r>
          </w:p>
        </w:tc>
        <w:tc>
          <w:tcPr>
            <w:tcW w:w="1857" w:type="dxa"/>
            <w:vAlign w:val="center"/>
          </w:tcPr>
          <w:p w14:paraId="20A7D4CD" w14:textId="77777777" w:rsidR="00931B97" w:rsidRPr="00F6284E" w:rsidRDefault="00931B97" w:rsidP="0008049A">
            <w:pPr>
              <w:jc w:val="right"/>
              <w:rPr>
                <w:rFonts w:ascii="Arial" w:hAnsi="Arial"/>
                <w:sz w:val="18"/>
                <w:lang w:eastAsia="en-AU"/>
              </w:rPr>
            </w:pPr>
            <w:r w:rsidRPr="00F6284E">
              <w:rPr>
                <w:sz w:val="18"/>
              </w:rPr>
              <w:t>3.24±1.92</w:t>
            </w:r>
          </w:p>
        </w:tc>
        <w:tc>
          <w:tcPr>
            <w:tcW w:w="1857" w:type="dxa"/>
            <w:vAlign w:val="center"/>
          </w:tcPr>
          <w:p w14:paraId="619B7185" w14:textId="77777777" w:rsidR="00931B97" w:rsidRPr="00F6284E" w:rsidRDefault="00931B97" w:rsidP="0008049A">
            <w:pPr>
              <w:jc w:val="right"/>
              <w:rPr>
                <w:rFonts w:ascii="Arial" w:hAnsi="Arial"/>
                <w:sz w:val="18"/>
                <w:lang w:eastAsia="en-AU"/>
              </w:rPr>
            </w:pPr>
            <w:r w:rsidRPr="00F6284E">
              <w:rPr>
                <w:sz w:val="18"/>
              </w:rPr>
              <w:t>1.78±0.58</w:t>
            </w:r>
          </w:p>
        </w:tc>
        <w:tc>
          <w:tcPr>
            <w:tcW w:w="1858" w:type="dxa"/>
            <w:vAlign w:val="center"/>
          </w:tcPr>
          <w:p w14:paraId="235EEC3C" w14:textId="77777777" w:rsidR="00931B97" w:rsidRPr="00F6284E" w:rsidRDefault="00931B97" w:rsidP="0008049A">
            <w:pPr>
              <w:jc w:val="right"/>
              <w:rPr>
                <w:rFonts w:ascii="Arial" w:hAnsi="Arial"/>
                <w:sz w:val="18"/>
                <w:lang w:eastAsia="en-AU"/>
              </w:rPr>
            </w:pPr>
            <w:r w:rsidRPr="00F6284E">
              <w:rPr>
                <w:sz w:val="18"/>
              </w:rPr>
              <w:t>10.82±11.46</w:t>
            </w:r>
          </w:p>
        </w:tc>
      </w:tr>
    </w:tbl>
    <w:p w14:paraId="1C37D79B" w14:textId="0BE751EA" w:rsidR="00931B97" w:rsidRPr="00304AF9" w:rsidRDefault="00931B97" w:rsidP="00A111E9">
      <w:pPr>
        <w:spacing w:before="120"/>
        <w:rPr>
          <w:rFonts w:cs="Arial"/>
          <w:sz w:val="16"/>
          <w:szCs w:val="16"/>
          <w:lang w:eastAsia="en-AU" w:bidi="ar-SA"/>
        </w:rPr>
      </w:pPr>
      <w:r w:rsidRPr="00304AF9">
        <w:rPr>
          <w:rFonts w:cs="Arial"/>
          <w:sz w:val="16"/>
          <w:szCs w:val="16"/>
          <w:lang w:eastAsia="en-AU" w:bidi="ar-SA"/>
        </w:rPr>
        <w:t xml:space="preserve">Data taken from Kim </w:t>
      </w:r>
      <w:r w:rsidR="00180A32" w:rsidRPr="00180A32">
        <w:rPr>
          <w:rFonts w:cs="Arial"/>
          <w:i/>
          <w:sz w:val="16"/>
          <w:szCs w:val="16"/>
          <w:lang w:eastAsia="en-AU" w:bidi="ar-SA"/>
        </w:rPr>
        <w:t xml:space="preserve">et al. </w:t>
      </w:r>
      <w:r w:rsidR="00CC50B8">
        <w:rPr>
          <w:rFonts w:cs="Arial"/>
          <w:sz w:val="16"/>
          <w:szCs w:val="16"/>
          <w:lang w:eastAsia="en-AU" w:bidi="ar-SA"/>
        </w:rPr>
        <w:t xml:space="preserve"> </w:t>
      </w:r>
      <w:r w:rsidRPr="00304AF9">
        <w:rPr>
          <w:rFonts w:cs="Arial"/>
          <w:sz w:val="16"/>
          <w:szCs w:val="16"/>
          <w:lang w:eastAsia="en-AU" w:bidi="ar-SA"/>
        </w:rPr>
        <w:t>2016.</w:t>
      </w:r>
    </w:p>
    <w:p w14:paraId="255723D6" w14:textId="3076F29E" w:rsidR="00931B97" w:rsidRPr="00304AF9" w:rsidRDefault="00931B97" w:rsidP="00A111E9">
      <w:pPr>
        <w:rPr>
          <w:rFonts w:cs="Arial"/>
          <w:sz w:val="16"/>
          <w:szCs w:val="16"/>
          <w:lang w:eastAsia="en-AU" w:bidi="ar-SA"/>
        </w:rPr>
      </w:pPr>
      <w:r w:rsidRPr="00304AF9">
        <w:rPr>
          <w:rFonts w:cs="Arial"/>
          <w:sz w:val="16"/>
          <w:szCs w:val="16"/>
          <w:lang w:eastAsia="en-AU" w:bidi="ar-SA"/>
        </w:rPr>
        <w:t>* P&lt;0.05 between males and female</w:t>
      </w:r>
      <w:r w:rsidR="0041425F">
        <w:rPr>
          <w:rFonts w:cs="Arial"/>
          <w:sz w:val="16"/>
          <w:szCs w:val="16"/>
          <w:lang w:eastAsia="en-AU" w:bidi="ar-SA"/>
        </w:rPr>
        <w:t>s</w:t>
      </w:r>
      <w:r w:rsidRPr="00304AF9">
        <w:rPr>
          <w:rFonts w:cs="Arial"/>
          <w:sz w:val="16"/>
          <w:szCs w:val="16"/>
          <w:lang w:eastAsia="en-AU" w:bidi="ar-SA"/>
        </w:rPr>
        <w:t>; ** P&lt;0.01 between males and females</w:t>
      </w:r>
    </w:p>
    <w:p w14:paraId="1B068A02" w14:textId="69BF0DAA" w:rsidR="00931B97" w:rsidRPr="00304AF9" w:rsidRDefault="00931B97" w:rsidP="00A111E9">
      <w:pPr>
        <w:rPr>
          <w:rFonts w:cs="Arial"/>
          <w:b/>
          <w:sz w:val="16"/>
          <w:szCs w:val="16"/>
          <w:lang w:eastAsia="en-AU" w:bidi="ar-SA"/>
        </w:rPr>
      </w:pPr>
      <w:r w:rsidRPr="00304AF9">
        <w:rPr>
          <w:rFonts w:cs="Arial"/>
          <w:b/>
          <w:sz w:val="16"/>
          <w:szCs w:val="16"/>
          <w:lang w:eastAsia="en-AU" w:bidi="ar-SA"/>
        </w:rPr>
        <w:t>CL</w:t>
      </w:r>
      <w:r w:rsidRPr="00304AF9">
        <w:rPr>
          <w:rFonts w:cs="Arial"/>
          <w:b/>
          <w:sz w:val="16"/>
          <w:szCs w:val="16"/>
          <w:vertAlign w:val="subscript"/>
          <w:lang w:eastAsia="en-AU" w:bidi="ar-SA"/>
        </w:rPr>
        <w:t xml:space="preserve">R – </w:t>
      </w:r>
      <w:r w:rsidRPr="00304AF9">
        <w:rPr>
          <w:rFonts w:cs="Arial"/>
          <w:sz w:val="16"/>
          <w:szCs w:val="16"/>
          <w:lang w:eastAsia="en-AU" w:bidi="ar-SA"/>
        </w:rPr>
        <w:t xml:space="preserve">renal clearance; </w:t>
      </w:r>
      <w:r w:rsidRPr="00304AF9">
        <w:rPr>
          <w:rFonts w:cs="Arial"/>
          <w:b/>
          <w:sz w:val="16"/>
          <w:szCs w:val="16"/>
          <w:lang w:eastAsia="en-AU" w:bidi="ar-SA"/>
        </w:rPr>
        <w:t>X</w:t>
      </w:r>
      <w:r w:rsidRPr="00304AF9">
        <w:rPr>
          <w:rFonts w:cs="Arial"/>
          <w:b/>
          <w:sz w:val="16"/>
          <w:szCs w:val="16"/>
          <w:vertAlign w:val="subscript"/>
          <w:lang w:eastAsia="en-AU" w:bidi="ar-SA"/>
        </w:rPr>
        <w:t xml:space="preserve">u(t) – </w:t>
      </w:r>
      <w:r w:rsidRPr="00304AF9">
        <w:rPr>
          <w:rFonts w:cs="Arial"/>
          <w:sz w:val="16"/>
          <w:szCs w:val="16"/>
          <w:lang w:eastAsia="en-AU" w:bidi="ar-SA"/>
        </w:rPr>
        <w:t xml:space="preserve">amount PFHxS excreted in urine; </w:t>
      </w:r>
      <w:r w:rsidRPr="00304AF9">
        <w:rPr>
          <w:rFonts w:cs="Arial"/>
          <w:b/>
          <w:sz w:val="16"/>
          <w:szCs w:val="16"/>
          <w:lang w:eastAsia="en-AU" w:bidi="ar-SA"/>
        </w:rPr>
        <w:t>X</w:t>
      </w:r>
      <w:r w:rsidRPr="00304AF9">
        <w:rPr>
          <w:rFonts w:cs="Arial"/>
          <w:b/>
          <w:sz w:val="16"/>
          <w:szCs w:val="16"/>
          <w:vertAlign w:val="subscript"/>
          <w:lang w:eastAsia="en-AU" w:bidi="ar-SA"/>
        </w:rPr>
        <w:t xml:space="preserve">f(t) – </w:t>
      </w:r>
      <w:r w:rsidRPr="00304AF9">
        <w:rPr>
          <w:rFonts w:cs="Arial"/>
          <w:sz w:val="16"/>
          <w:szCs w:val="16"/>
          <w:lang w:eastAsia="en-AU" w:bidi="ar-SA"/>
        </w:rPr>
        <w:t>amount of PFHxS excreted in faeces</w:t>
      </w:r>
    </w:p>
    <w:p w14:paraId="64E92A38" w14:textId="77777777" w:rsidR="00931B97" w:rsidRDefault="00931B97" w:rsidP="00A111E9">
      <w:pPr>
        <w:rPr>
          <w:rFonts w:cs="Arial"/>
          <w:sz w:val="16"/>
          <w:szCs w:val="16"/>
          <w:highlight w:val="yellow"/>
          <w:lang w:eastAsia="en-AU" w:bidi="ar-SA"/>
        </w:rPr>
      </w:pPr>
    </w:p>
    <w:p w14:paraId="5CFB049A" w14:textId="77777777" w:rsidR="00C63D2B" w:rsidRPr="00304AF9" w:rsidRDefault="00C63D2B" w:rsidP="00A111E9">
      <w:pPr>
        <w:rPr>
          <w:rFonts w:cs="Arial"/>
          <w:sz w:val="16"/>
          <w:szCs w:val="16"/>
          <w:highlight w:val="yellow"/>
          <w:lang w:eastAsia="en-AU" w:bidi="ar-SA"/>
        </w:rPr>
      </w:pPr>
    </w:p>
    <w:p w14:paraId="4F5B0E01" w14:textId="0A66BAAD" w:rsidR="00931B97" w:rsidRPr="00321A67" w:rsidRDefault="00304AF9" w:rsidP="00A111E9">
      <w:pPr>
        <w:pStyle w:val="FSTableTitle"/>
        <w:rPr>
          <w:lang w:eastAsia="en-AU" w:bidi="ar-SA"/>
        </w:rPr>
      </w:pPr>
      <w:r>
        <w:rPr>
          <w:lang w:eastAsia="en-AU" w:bidi="ar-SA"/>
        </w:rPr>
        <w:t>Table A</w:t>
      </w:r>
      <w:r w:rsidR="00707CE3">
        <w:rPr>
          <w:lang w:eastAsia="en-AU" w:bidi="ar-SA"/>
        </w:rPr>
        <w:t>3</w:t>
      </w:r>
      <w:r>
        <w:rPr>
          <w:lang w:eastAsia="en-AU" w:bidi="ar-SA"/>
        </w:rPr>
        <w:t>.7 -</w:t>
      </w:r>
      <w:r w:rsidR="00931B97" w:rsidRPr="00321A67">
        <w:rPr>
          <w:lang w:eastAsia="en-AU" w:bidi="ar-SA"/>
        </w:rPr>
        <w:t xml:space="preserve">Summary of </w:t>
      </w:r>
      <w:r w:rsidR="0041425F">
        <w:rPr>
          <w:lang w:eastAsia="en-AU" w:bidi="ar-SA"/>
        </w:rPr>
        <w:t>p</w:t>
      </w:r>
      <w:r w:rsidR="0041425F" w:rsidRPr="00321A67">
        <w:rPr>
          <w:lang w:eastAsia="en-AU" w:bidi="ar-SA"/>
        </w:rPr>
        <w:t xml:space="preserve">artition </w:t>
      </w:r>
      <w:r w:rsidR="00931B97" w:rsidRPr="00321A67">
        <w:rPr>
          <w:lang w:eastAsia="en-AU" w:bidi="ar-SA"/>
        </w:rPr>
        <w:t>coefficients (Kp) in organs taken at termination</w:t>
      </w:r>
    </w:p>
    <w:tbl>
      <w:tblPr>
        <w:tblStyle w:val="TableGrid"/>
        <w:tblW w:w="0" w:type="auto"/>
        <w:jc w:val="center"/>
        <w:tblLook w:val="04A0" w:firstRow="1" w:lastRow="0" w:firstColumn="1" w:lastColumn="0" w:noHBand="0" w:noVBand="1"/>
        <w:tblCaption w:val="Table A3.7 -Summary of partition coefficients (Kp) in organs taken at termination"/>
        <w:tblDescription w:val="This table contains a summary of partition coefficients (Kp) in organs taken at termination"/>
      </w:tblPr>
      <w:tblGrid>
        <w:gridCol w:w="1479"/>
        <w:gridCol w:w="2730"/>
        <w:gridCol w:w="2731"/>
      </w:tblGrid>
      <w:tr w:rsidR="00931B97" w14:paraId="1911EFDA" w14:textId="77777777" w:rsidTr="0008049A">
        <w:trPr>
          <w:tblHeader/>
          <w:jc w:val="center"/>
        </w:trPr>
        <w:tc>
          <w:tcPr>
            <w:tcW w:w="1479" w:type="dxa"/>
            <w:shd w:val="clear" w:color="auto" w:fill="F2F2F2" w:themeFill="background1" w:themeFillShade="F2"/>
          </w:tcPr>
          <w:p w14:paraId="73350C4F" w14:textId="77777777" w:rsidR="00931B97" w:rsidRPr="00D711DD" w:rsidRDefault="00931B97" w:rsidP="00A111E9">
            <w:pPr>
              <w:spacing w:before="40" w:after="40"/>
              <w:rPr>
                <w:rFonts w:ascii="Arial" w:hAnsi="Arial"/>
                <w:b/>
                <w:lang w:eastAsia="en-AU"/>
              </w:rPr>
            </w:pPr>
            <w:r w:rsidRPr="00512F95">
              <w:rPr>
                <w:b/>
                <w:lang w:eastAsia="en-AU"/>
              </w:rPr>
              <w:t>Compartment</w:t>
            </w:r>
          </w:p>
        </w:tc>
        <w:tc>
          <w:tcPr>
            <w:tcW w:w="2730" w:type="dxa"/>
            <w:shd w:val="clear" w:color="auto" w:fill="F2F2F2" w:themeFill="background1" w:themeFillShade="F2"/>
          </w:tcPr>
          <w:p w14:paraId="55262BA2" w14:textId="77777777" w:rsidR="00931B97" w:rsidRPr="00D711DD" w:rsidRDefault="00931B97" w:rsidP="0008049A">
            <w:pPr>
              <w:spacing w:before="40" w:after="40"/>
              <w:jc w:val="right"/>
              <w:rPr>
                <w:rFonts w:ascii="Arial" w:hAnsi="Arial"/>
                <w:b/>
                <w:lang w:eastAsia="en-AU"/>
              </w:rPr>
            </w:pPr>
            <w:r w:rsidRPr="00512F95">
              <w:rPr>
                <w:b/>
                <w:lang w:eastAsia="en-AU"/>
              </w:rPr>
              <w:t>Male</w:t>
            </w:r>
          </w:p>
        </w:tc>
        <w:tc>
          <w:tcPr>
            <w:tcW w:w="2731" w:type="dxa"/>
            <w:shd w:val="clear" w:color="auto" w:fill="F2F2F2" w:themeFill="background1" w:themeFillShade="F2"/>
          </w:tcPr>
          <w:p w14:paraId="3464C623" w14:textId="77777777" w:rsidR="00931B97" w:rsidRPr="00D711DD" w:rsidRDefault="00931B97" w:rsidP="0008049A">
            <w:pPr>
              <w:spacing w:before="40" w:after="40"/>
              <w:jc w:val="right"/>
              <w:rPr>
                <w:rFonts w:ascii="Arial" w:hAnsi="Arial"/>
                <w:b/>
                <w:lang w:eastAsia="en-AU"/>
              </w:rPr>
            </w:pPr>
            <w:r w:rsidRPr="00512F95">
              <w:rPr>
                <w:b/>
                <w:lang w:eastAsia="en-AU"/>
              </w:rPr>
              <w:t>Female</w:t>
            </w:r>
          </w:p>
        </w:tc>
      </w:tr>
      <w:tr w:rsidR="00931B97" w14:paraId="690FE1E5" w14:textId="77777777" w:rsidTr="00F6284E">
        <w:trPr>
          <w:trHeight w:val="283"/>
          <w:jc w:val="center"/>
        </w:trPr>
        <w:tc>
          <w:tcPr>
            <w:tcW w:w="1479" w:type="dxa"/>
            <w:vAlign w:val="center"/>
          </w:tcPr>
          <w:p w14:paraId="602B4E71" w14:textId="77777777" w:rsidR="00931B97" w:rsidRPr="00D711DD" w:rsidRDefault="00931B97" w:rsidP="00A111E9">
            <w:pPr>
              <w:rPr>
                <w:rFonts w:ascii="Arial" w:hAnsi="Arial"/>
                <w:lang w:eastAsia="en-AU"/>
              </w:rPr>
            </w:pPr>
            <w:r w:rsidRPr="00512F95">
              <w:rPr>
                <w:lang w:eastAsia="en-AU"/>
              </w:rPr>
              <w:t>Liver</w:t>
            </w:r>
          </w:p>
        </w:tc>
        <w:tc>
          <w:tcPr>
            <w:tcW w:w="2730" w:type="dxa"/>
            <w:vAlign w:val="center"/>
          </w:tcPr>
          <w:p w14:paraId="786D337E" w14:textId="77777777" w:rsidR="00931B97" w:rsidRPr="00D711DD" w:rsidRDefault="00931B97" w:rsidP="0008049A">
            <w:pPr>
              <w:jc w:val="right"/>
              <w:rPr>
                <w:rFonts w:ascii="Arial" w:hAnsi="Arial"/>
                <w:lang w:eastAsia="en-AU"/>
              </w:rPr>
            </w:pPr>
            <w:r w:rsidRPr="00512F95">
              <w:rPr>
                <w:lang w:eastAsia="en-AU"/>
              </w:rPr>
              <w:t>0.17±0.04</w:t>
            </w:r>
          </w:p>
        </w:tc>
        <w:tc>
          <w:tcPr>
            <w:tcW w:w="2731" w:type="dxa"/>
            <w:vAlign w:val="center"/>
          </w:tcPr>
          <w:p w14:paraId="105D5EF0" w14:textId="77777777" w:rsidR="00931B97" w:rsidRPr="00D711DD" w:rsidRDefault="00931B97" w:rsidP="0008049A">
            <w:pPr>
              <w:jc w:val="right"/>
              <w:rPr>
                <w:rFonts w:ascii="Arial" w:hAnsi="Arial"/>
                <w:lang w:eastAsia="en-AU"/>
              </w:rPr>
            </w:pPr>
            <w:r w:rsidRPr="00512F95">
              <w:rPr>
                <w:lang w:eastAsia="en-AU"/>
              </w:rPr>
              <w:t>0.11±0.03</w:t>
            </w:r>
          </w:p>
        </w:tc>
      </w:tr>
      <w:tr w:rsidR="00931B97" w14:paraId="11F38E5C" w14:textId="77777777" w:rsidTr="00F6284E">
        <w:trPr>
          <w:trHeight w:val="283"/>
          <w:jc w:val="center"/>
        </w:trPr>
        <w:tc>
          <w:tcPr>
            <w:tcW w:w="1479" w:type="dxa"/>
            <w:vAlign w:val="center"/>
          </w:tcPr>
          <w:p w14:paraId="2159FDB0" w14:textId="77777777" w:rsidR="00931B97" w:rsidRPr="00D711DD" w:rsidRDefault="00931B97" w:rsidP="00A111E9">
            <w:pPr>
              <w:rPr>
                <w:rFonts w:ascii="Arial" w:hAnsi="Arial"/>
                <w:lang w:eastAsia="en-AU"/>
              </w:rPr>
            </w:pPr>
            <w:r w:rsidRPr="00512F95">
              <w:rPr>
                <w:lang w:eastAsia="en-AU"/>
              </w:rPr>
              <w:t>Kidney</w:t>
            </w:r>
          </w:p>
        </w:tc>
        <w:tc>
          <w:tcPr>
            <w:tcW w:w="2730" w:type="dxa"/>
            <w:vAlign w:val="center"/>
          </w:tcPr>
          <w:p w14:paraId="14660735" w14:textId="77777777" w:rsidR="00931B97" w:rsidRPr="000B3C14" w:rsidRDefault="00931B97" w:rsidP="0008049A">
            <w:pPr>
              <w:jc w:val="right"/>
              <w:rPr>
                <w:rFonts w:ascii="Arial" w:hAnsi="Arial"/>
                <w:lang w:eastAsia="en-AU"/>
              </w:rPr>
            </w:pPr>
            <w:r w:rsidRPr="00512F95">
              <w:rPr>
                <w:lang w:eastAsia="en-AU"/>
              </w:rPr>
              <w:t>0.13</w:t>
            </w:r>
            <w:r w:rsidRPr="00D711DD">
              <w:rPr>
                <w:lang w:eastAsia="en-AU"/>
              </w:rPr>
              <w:t>±0.03</w:t>
            </w:r>
          </w:p>
        </w:tc>
        <w:tc>
          <w:tcPr>
            <w:tcW w:w="2731" w:type="dxa"/>
            <w:vAlign w:val="center"/>
          </w:tcPr>
          <w:p w14:paraId="292F2D8F" w14:textId="77777777" w:rsidR="00931B97" w:rsidRPr="000B3C14" w:rsidRDefault="00931B97" w:rsidP="0008049A">
            <w:pPr>
              <w:jc w:val="right"/>
              <w:rPr>
                <w:rFonts w:ascii="Arial" w:hAnsi="Arial"/>
                <w:lang w:eastAsia="en-AU"/>
              </w:rPr>
            </w:pPr>
            <w:r w:rsidRPr="00512F95">
              <w:rPr>
                <w:lang w:eastAsia="en-AU"/>
              </w:rPr>
              <w:t>0.08</w:t>
            </w:r>
            <w:r w:rsidRPr="00D711DD">
              <w:rPr>
                <w:lang w:eastAsia="en-AU"/>
              </w:rPr>
              <w:t>±0.02</w:t>
            </w:r>
          </w:p>
        </w:tc>
      </w:tr>
      <w:tr w:rsidR="00931B97" w14:paraId="5D9CE4D6" w14:textId="77777777" w:rsidTr="00F6284E">
        <w:trPr>
          <w:trHeight w:val="283"/>
          <w:jc w:val="center"/>
        </w:trPr>
        <w:tc>
          <w:tcPr>
            <w:tcW w:w="1479" w:type="dxa"/>
            <w:vAlign w:val="center"/>
          </w:tcPr>
          <w:p w14:paraId="47A916DE" w14:textId="77777777" w:rsidR="00931B97" w:rsidRPr="00D711DD" w:rsidRDefault="00931B97" w:rsidP="00A111E9">
            <w:pPr>
              <w:rPr>
                <w:rFonts w:ascii="Arial" w:hAnsi="Arial"/>
                <w:lang w:eastAsia="en-AU"/>
              </w:rPr>
            </w:pPr>
            <w:r w:rsidRPr="00512F95">
              <w:rPr>
                <w:lang w:eastAsia="en-AU"/>
              </w:rPr>
              <w:t xml:space="preserve">Heart </w:t>
            </w:r>
          </w:p>
        </w:tc>
        <w:tc>
          <w:tcPr>
            <w:tcW w:w="2730" w:type="dxa"/>
            <w:vAlign w:val="center"/>
          </w:tcPr>
          <w:p w14:paraId="3CDF2C5F" w14:textId="77777777" w:rsidR="00931B97" w:rsidRPr="000B3C14" w:rsidRDefault="00931B97" w:rsidP="0008049A">
            <w:pPr>
              <w:jc w:val="right"/>
              <w:rPr>
                <w:rFonts w:ascii="Arial" w:hAnsi="Arial"/>
                <w:lang w:eastAsia="en-AU"/>
              </w:rPr>
            </w:pPr>
            <w:r w:rsidRPr="00512F95">
              <w:rPr>
                <w:lang w:eastAsia="en-AU"/>
              </w:rPr>
              <w:t>0.05</w:t>
            </w:r>
            <w:r w:rsidRPr="00D711DD">
              <w:rPr>
                <w:lang w:eastAsia="en-AU"/>
              </w:rPr>
              <w:t>±0.01</w:t>
            </w:r>
          </w:p>
        </w:tc>
        <w:tc>
          <w:tcPr>
            <w:tcW w:w="2731" w:type="dxa"/>
            <w:vAlign w:val="center"/>
          </w:tcPr>
          <w:p w14:paraId="58B61DAA" w14:textId="77777777" w:rsidR="00931B97" w:rsidRPr="000B3C14" w:rsidRDefault="00931B97" w:rsidP="0008049A">
            <w:pPr>
              <w:jc w:val="right"/>
              <w:rPr>
                <w:rFonts w:ascii="Arial" w:hAnsi="Arial"/>
                <w:lang w:eastAsia="en-AU"/>
              </w:rPr>
            </w:pPr>
            <w:r w:rsidRPr="00512F95">
              <w:rPr>
                <w:lang w:eastAsia="en-AU"/>
              </w:rPr>
              <w:t>0.04</w:t>
            </w:r>
            <w:r w:rsidRPr="00D711DD">
              <w:rPr>
                <w:lang w:eastAsia="en-AU"/>
              </w:rPr>
              <w:t>±0.02</w:t>
            </w:r>
          </w:p>
        </w:tc>
      </w:tr>
      <w:tr w:rsidR="00931B97" w14:paraId="3AE28133" w14:textId="77777777" w:rsidTr="00F6284E">
        <w:trPr>
          <w:trHeight w:val="283"/>
          <w:jc w:val="center"/>
        </w:trPr>
        <w:tc>
          <w:tcPr>
            <w:tcW w:w="1479" w:type="dxa"/>
            <w:vAlign w:val="center"/>
          </w:tcPr>
          <w:p w14:paraId="6703DD07" w14:textId="77777777" w:rsidR="00931B97" w:rsidRPr="00D711DD" w:rsidRDefault="00931B97" w:rsidP="00A111E9">
            <w:pPr>
              <w:rPr>
                <w:rFonts w:ascii="Arial" w:hAnsi="Arial"/>
                <w:lang w:eastAsia="en-AU"/>
              </w:rPr>
            </w:pPr>
            <w:r w:rsidRPr="00512F95">
              <w:rPr>
                <w:lang w:eastAsia="en-AU"/>
              </w:rPr>
              <w:t>Lung</w:t>
            </w:r>
          </w:p>
        </w:tc>
        <w:tc>
          <w:tcPr>
            <w:tcW w:w="2730" w:type="dxa"/>
            <w:vAlign w:val="center"/>
          </w:tcPr>
          <w:p w14:paraId="1A4335FA" w14:textId="77777777" w:rsidR="00931B97" w:rsidRPr="000B3C14" w:rsidRDefault="00931B97" w:rsidP="0008049A">
            <w:pPr>
              <w:jc w:val="right"/>
              <w:rPr>
                <w:rFonts w:ascii="Arial" w:hAnsi="Arial"/>
                <w:lang w:eastAsia="en-AU"/>
              </w:rPr>
            </w:pPr>
            <w:r w:rsidRPr="00512F95">
              <w:rPr>
                <w:lang w:eastAsia="en-AU"/>
              </w:rPr>
              <w:t>0.04</w:t>
            </w:r>
            <w:r w:rsidRPr="00D711DD">
              <w:rPr>
                <w:lang w:eastAsia="en-AU"/>
              </w:rPr>
              <w:t>±0.01</w:t>
            </w:r>
          </w:p>
        </w:tc>
        <w:tc>
          <w:tcPr>
            <w:tcW w:w="2731" w:type="dxa"/>
            <w:vAlign w:val="center"/>
          </w:tcPr>
          <w:p w14:paraId="1F7A88E5" w14:textId="77777777" w:rsidR="00931B97" w:rsidRPr="000B3C14" w:rsidRDefault="00931B97" w:rsidP="0008049A">
            <w:pPr>
              <w:jc w:val="right"/>
              <w:rPr>
                <w:rFonts w:ascii="Arial" w:hAnsi="Arial"/>
                <w:lang w:eastAsia="en-AU"/>
              </w:rPr>
            </w:pPr>
            <w:r w:rsidRPr="00512F95">
              <w:rPr>
                <w:lang w:eastAsia="en-AU"/>
              </w:rPr>
              <w:t>0.03</w:t>
            </w:r>
            <w:r w:rsidRPr="00D711DD">
              <w:rPr>
                <w:lang w:eastAsia="en-AU"/>
              </w:rPr>
              <w:t>±0.02</w:t>
            </w:r>
          </w:p>
        </w:tc>
      </w:tr>
      <w:tr w:rsidR="00931B97" w14:paraId="57EE5668" w14:textId="77777777" w:rsidTr="00F6284E">
        <w:trPr>
          <w:trHeight w:val="283"/>
          <w:jc w:val="center"/>
        </w:trPr>
        <w:tc>
          <w:tcPr>
            <w:tcW w:w="1479" w:type="dxa"/>
            <w:vAlign w:val="center"/>
          </w:tcPr>
          <w:p w14:paraId="1E834A5C" w14:textId="77777777" w:rsidR="00931B97" w:rsidRPr="00D711DD" w:rsidRDefault="00931B97" w:rsidP="00A111E9">
            <w:pPr>
              <w:rPr>
                <w:rFonts w:ascii="Arial" w:hAnsi="Arial"/>
                <w:lang w:eastAsia="en-AU"/>
              </w:rPr>
            </w:pPr>
            <w:r w:rsidRPr="00512F95">
              <w:rPr>
                <w:lang w:eastAsia="en-AU"/>
              </w:rPr>
              <w:t>Spleen</w:t>
            </w:r>
          </w:p>
        </w:tc>
        <w:tc>
          <w:tcPr>
            <w:tcW w:w="2730" w:type="dxa"/>
            <w:vAlign w:val="center"/>
          </w:tcPr>
          <w:p w14:paraId="2DC8742E" w14:textId="77777777" w:rsidR="00931B97" w:rsidRPr="000B3C14" w:rsidRDefault="00931B97" w:rsidP="0008049A">
            <w:pPr>
              <w:jc w:val="right"/>
              <w:rPr>
                <w:rFonts w:ascii="Arial" w:hAnsi="Arial"/>
                <w:lang w:eastAsia="en-AU"/>
              </w:rPr>
            </w:pPr>
            <w:r w:rsidRPr="00512F95">
              <w:rPr>
                <w:lang w:eastAsia="en-AU"/>
              </w:rPr>
              <w:t>0.02</w:t>
            </w:r>
            <w:r w:rsidRPr="00D711DD">
              <w:rPr>
                <w:lang w:eastAsia="en-AU"/>
              </w:rPr>
              <w:t>±0.01</w:t>
            </w:r>
          </w:p>
        </w:tc>
        <w:tc>
          <w:tcPr>
            <w:tcW w:w="2731" w:type="dxa"/>
            <w:vAlign w:val="center"/>
          </w:tcPr>
          <w:p w14:paraId="7E1DCA7F" w14:textId="77777777" w:rsidR="00931B97" w:rsidRPr="000B3C14" w:rsidRDefault="00931B97" w:rsidP="0008049A">
            <w:pPr>
              <w:jc w:val="right"/>
              <w:rPr>
                <w:rFonts w:ascii="Arial" w:hAnsi="Arial"/>
                <w:lang w:eastAsia="en-AU"/>
              </w:rPr>
            </w:pPr>
            <w:r w:rsidRPr="00512F95">
              <w:rPr>
                <w:lang w:eastAsia="en-AU"/>
              </w:rPr>
              <w:t>0.02</w:t>
            </w:r>
            <w:r w:rsidRPr="00D711DD">
              <w:rPr>
                <w:lang w:eastAsia="en-AU"/>
              </w:rPr>
              <w:t>±0.01</w:t>
            </w:r>
          </w:p>
        </w:tc>
      </w:tr>
    </w:tbl>
    <w:p w14:paraId="65C26431" w14:textId="77777777" w:rsidR="00931B97" w:rsidRPr="00931B97" w:rsidRDefault="00931B97" w:rsidP="00DE222C">
      <w:pPr>
        <w:rPr>
          <w:lang w:bidi="ar-SA"/>
        </w:rPr>
      </w:pPr>
    </w:p>
    <w:sectPr w:rsidR="00931B97" w:rsidRPr="00931B97" w:rsidSect="001637A2">
      <w:pgSz w:w="11906" w:h="16838"/>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18E5EE5" w15:done="0"/>
  <w15:commentEx w15:paraId="146A64DE" w15:done="0"/>
  <w15:commentEx w15:paraId="7D6EFF12" w15:done="0"/>
  <w15:commentEx w15:paraId="3BEAFF88" w15:done="0"/>
  <w15:commentEx w15:paraId="6C7EDC96" w15:done="0"/>
  <w15:commentEx w15:paraId="3AB03123" w15:done="0"/>
  <w15:commentEx w15:paraId="05F53F97" w15:done="0"/>
  <w15:commentEx w15:paraId="41CC4740" w15:done="0"/>
  <w15:commentEx w15:paraId="47DD590F" w15:done="0"/>
  <w15:commentEx w15:paraId="5D1B3DD1" w15:done="0"/>
  <w15:commentEx w15:paraId="2C0B78A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F89615" w14:textId="77777777" w:rsidR="00FA183D" w:rsidRDefault="00FA183D" w:rsidP="009A51A2">
      <w:r>
        <w:separator/>
      </w:r>
    </w:p>
  </w:endnote>
  <w:endnote w:type="continuationSeparator" w:id="0">
    <w:p w14:paraId="587012EB" w14:textId="77777777" w:rsidR="00FA183D" w:rsidRDefault="00FA183D" w:rsidP="009A51A2">
      <w:r>
        <w:continuationSeparator/>
      </w:r>
    </w:p>
  </w:endnote>
  <w:endnote w:type="continuationNotice" w:id="1">
    <w:p w14:paraId="3B7B5FB8" w14:textId="77777777" w:rsidR="00FA183D" w:rsidRDefault="00FA18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Univers LT Std 57 Cn">
    <w:altName w:val="Times New Roman"/>
    <w:panose1 w:val="00000000000000000000"/>
    <w:charset w:val="00"/>
    <w:family w:val="swiss"/>
    <w:notTrueType/>
    <w:pitch w:val="default"/>
    <w:sig w:usb0="00000003" w:usb1="00000000" w:usb2="00000000" w:usb3="00000000" w:csb0="00000001" w:csb1="00000000"/>
  </w:font>
  <w:font w:name="Univers LT Std 47 Cn Lt">
    <w:altName w:val="Times New Roman"/>
    <w:panose1 w:val="00000000000000000000"/>
    <w:charset w:val="00"/>
    <w:family w:val="swiss"/>
    <w:notTrueType/>
    <w:pitch w:val="default"/>
    <w:sig w:usb0="00000003" w:usb1="00000000" w:usb2="00000000" w:usb3="00000000" w:csb0="00000001" w:csb1="00000000"/>
  </w:font>
  <w:font w:name="HelveticaNeue-Bold">
    <w:altName w:val="Helvetica Neue"/>
    <w:panose1 w:val="00000000000000000000"/>
    <w:charset w:val="4D"/>
    <w:family w:val="auto"/>
    <w:notTrueType/>
    <w:pitch w:val="default"/>
    <w:sig w:usb0="00000003" w:usb1="00000000" w:usb2="00000000" w:usb3="00000000" w:csb0="00000001"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FPEF">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dvPSA183">
    <w:altName w:val="Times New Roman"/>
    <w:panose1 w:val="00000000000000000000"/>
    <w:charset w:val="00"/>
    <w:family w:val="swiss"/>
    <w:notTrueType/>
    <w:pitch w:val="default"/>
    <w:sig w:usb0="00000003" w:usb1="00000000" w:usb2="00000000" w:usb3="00000000" w:csb0="00000001" w:csb1="00000000"/>
  </w:font>
  <w:font w:name="PDVMKM+TimesNewRomanPSMT">
    <w:altName w:val="Times New Roman"/>
    <w:panose1 w:val="00000000000000000000"/>
    <w:charset w:val="00"/>
    <w:family w:val="roman"/>
    <w:notTrueType/>
    <w:pitch w:val="default"/>
    <w:sig w:usb0="00000003" w:usb1="00000000" w:usb2="00000000" w:usb3="00000000" w:csb0="00000001" w:csb1="00000000"/>
  </w:font>
  <w:font w:name="Gulliver">
    <w:altName w:val="MS Mincho"/>
    <w:panose1 w:val="00000000000000000000"/>
    <w:charset w:val="80"/>
    <w:family w:val="auto"/>
    <w:notTrueType/>
    <w:pitch w:val="default"/>
    <w:sig w:usb0="00000001" w:usb1="08070000" w:usb2="00000010" w:usb3="00000000" w:csb0="00020000" w:csb1="00000000"/>
  </w:font>
  <w:font w:name="UniversLTStd-Cn">
    <w:altName w:val="MS Gothic"/>
    <w:panose1 w:val="00000000000000000000"/>
    <w:charset w:val="80"/>
    <w:family w:val="swiss"/>
    <w:notTrueType/>
    <w:pitch w:val="default"/>
    <w:sig w:usb0="00000001" w:usb1="08070000" w:usb2="00000010" w:usb3="00000000" w:csb0="00020000" w:csb1="00000000"/>
  </w:font>
  <w:font w:name="AGaramondPro-Semibold">
    <w:altName w:val="MS Mincho"/>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91C61" w14:textId="77777777" w:rsidR="000328C0" w:rsidRDefault="000328C0" w:rsidP="00F14D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882A350" w14:textId="77777777" w:rsidR="000328C0" w:rsidRDefault="000328C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26313" w14:textId="7748866E" w:rsidR="000328C0" w:rsidRDefault="000328C0" w:rsidP="00F14D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449B9">
      <w:rPr>
        <w:rStyle w:val="PageNumber"/>
        <w:noProof/>
      </w:rPr>
      <w:t>115</w:t>
    </w:r>
    <w:r>
      <w:rPr>
        <w:rStyle w:val="PageNumber"/>
      </w:rPr>
      <w:fldChar w:fldCharType="end"/>
    </w:r>
  </w:p>
  <w:p w14:paraId="641FA073" w14:textId="77777777" w:rsidR="000328C0" w:rsidRDefault="000328C0">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8333702"/>
      <w:docPartObj>
        <w:docPartGallery w:val="Page Numbers (Bottom of Page)"/>
        <w:docPartUnique/>
      </w:docPartObj>
    </w:sdtPr>
    <w:sdtEndPr>
      <w:rPr>
        <w:noProof/>
      </w:rPr>
    </w:sdtEndPr>
    <w:sdtContent>
      <w:p w14:paraId="36E503BE" w14:textId="3B05A96C" w:rsidR="000328C0" w:rsidRDefault="000328C0">
        <w:pPr>
          <w:pStyle w:val="Footer"/>
          <w:jc w:val="center"/>
        </w:pPr>
        <w:r>
          <w:fldChar w:fldCharType="begin"/>
        </w:r>
        <w:r>
          <w:instrText xml:space="preserve"> PAGE   \* MERGEFORMAT </w:instrText>
        </w:r>
        <w:r>
          <w:fldChar w:fldCharType="separate"/>
        </w:r>
        <w:r w:rsidR="004449B9">
          <w:rPr>
            <w:noProof/>
          </w:rPr>
          <w:t>195</w:t>
        </w:r>
        <w:r>
          <w:rPr>
            <w:noProof/>
          </w:rPr>
          <w:fldChar w:fldCharType="end"/>
        </w:r>
      </w:p>
    </w:sdtContent>
  </w:sdt>
  <w:p w14:paraId="0ACD6C44" w14:textId="4FCAC549" w:rsidR="000328C0" w:rsidRDefault="000328C0" w:rsidP="008741B5">
    <w:pPr>
      <w:pStyle w:val="Footer"/>
      <w:tabs>
        <w:tab w:val="clear" w:pos="4153"/>
        <w:tab w:val="clear" w:pos="8306"/>
        <w:tab w:val="left" w:pos="7241"/>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62857" w14:textId="77777777" w:rsidR="000328C0" w:rsidRDefault="000328C0" w:rsidP="00E36D1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449B9">
      <w:rPr>
        <w:rStyle w:val="PageNumber"/>
        <w:noProof/>
      </w:rPr>
      <w:t>1</w:t>
    </w:r>
    <w:r>
      <w:rPr>
        <w:rStyle w:val="PageNumber"/>
      </w:rPr>
      <w:fldChar w:fldCharType="end"/>
    </w:r>
  </w:p>
  <w:p w14:paraId="7AD678A1" w14:textId="77777777" w:rsidR="000328C0" w:rsidRPr="008072E6" w:rsidRDefault="000328C0" w:rsidP="00E36D18">
    <w:pPr>
      <w:pStyle w:val="Footer"/>
      <w:ind w:right="360"/>
      <w:rPr>
        <w:vertAlign w:val="subscript"/>
      </w:rPr>
    </w:pPr>
  </w:p>
  <w:p w14:paraId="46C0A7A1" w14:textId="77777777" w:rsidR="000328C0" w:rsidRDefault="000328C0" w:rsidP="00BC19E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0AD13" w14:textId="77777777" w:rsidR="000328C0" w:rsidRDefault="000328C0" w:rsidP="00F14D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BECA033" w14:textId="77777777" w:rsidR="000328C0" w:rsidRDefault="000328C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74F4D5" w14:textId="77777777" w:rsidR="000328C0" w:rsidRDefault="000328C0" w:rsidP="00F929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449B9">
      <w:rPr>
        <w:rStyle w:val="PageNumber"/>
        <w:noProof/>
      </w:rPr>
      <w:t>5</w:t>
    </w:r>
    <w:r>
      <w:rPr>
        <w:rStyle w:val="PageNumber"/>
      </w:rPr>
      <w:fldChar w:fldCharType="end"/>
    </w:r>
  </w:p>
  <w:p w14:paraId="78F3EDAA" w14:textId="77777777" w:rsidR="000328C0" w:rsidRDefault="000328C0" w:rsidP="00A24D2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91951" w14:textId="77777777" w:rsidR="000328C0" w:rsidRDefault="000328C0" w:rsidP="00F14D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2D1123" w14:textId="77777777" w:rsidR="000328C0" w:rsidRDefault="000328C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B7D64" w14:textId="77777777" w:rsidR="000328C0" w:rsidRDefault="000328C0" w:rsidP="00F929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449B9">
      <w:rPr>
        <w:rStyle w:val="PageNumber"/>
        <w:noProof/>
      </w:rPr>
      <w:t>60</w:t>
    </w:r>
    <w:r>
      <w:rPr>
        <w:rStyle w:val="PageNumber"/>
      </w:rPr>
      <w:fldChar w:fldCharType="end"/>
    </w:r>
  </w:p>
  <w:p w14:paraId="44E9E3C2" w14:textId="77777777" w:rsidR="000328C0" w:rsidRDefault="000328C0" w:rsidP="00BC19E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D8BE6" w14:textId="77777777" w:rsidR="000328C0" w:rsidRDefault="000328C0" w:rsidP="00F14D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DCCB07A" w14:textId="77777777" w:rsidR="000328C0" w:rsidRDefault="000328C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D87C0" w14:textId="64179297" w:rsidR="000328C0" w:rsidRDefault="000328C0" w:rsidP="00F14D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449B9">
      <w:rPr>
        <w:rStyle w:val="PageNumber"/>
        <w:noProof/>
      </w:rPr>
      <w:t>93</w:t>
    </w:r>
    <w:r>
      <w:rPr>
        <w:rStyle w:val="PageNumber"/>
      </w:rPr>
      <w:fldChar w:fldCharType="end"/>
    </w:r>
  </w:p>
  <w:p w14:paraId="703DBF31" w14:textId="77777777" w:rsidR="000328C0" w:rsidRDefault="000328C0">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A787F" w14:textId="77777777" w:rsidR="000328C0" w:rsidRDefault="000328C0" w:rsidP="00F14D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DD636C" w14:textId="77777777" w:rsidR="000328C0" w:rsidRDefault="000328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FB6BD2" w14:textId="77777777" w:rsidR="00FA183D" w:rsidRDefault="00FA183D" w:rsidP="009A51A2">
      <w:r>
        <w:separator/>
      </w:r>
    </w:p>
  </w:footnote>
  <w:footnote w:type="continuationSeparator" w:id="0">
    <w:p w14:paraId="3FAFB3D6" w14:textId="77777777" w:rsidR="00FA183D" w:rsidRDefault="00FA183D" w:rsidP="009A51A2">
      <w:r>
        <w:continuationSeparator/>
      </w:r>
    </w:p>
  </w:footnote>
  <w:footnote w:type="continuationNotice" w:id="1">
    <w:p w14:paraId="6BA1C217" w14:textId="77777777" w:rsidR="00FA183D" w:rsidRDefault="00FA183D"/>
  </w:footnote>
  <w:footnote w:id="2">
    <w:p w14:paraId="5E531EE9" w14:textId="251C9D5C" w:rsidR="000328C0" w:rsidRPr="00A24D2A" w:rsidRDefault="000328C0">
      <w:pPr>
        <w:pStyle w:val="FootnoteText"/>
      </w:pPr>
      <w:r>
        <w:rPr>
          <w:rStyle w:val="FootnoteReference"/>
        </w:rPr>
        <w:footnoteRef/>
      </w:r>
      <w:r>
        <w:t xml:space="preserve"> Report was not the result of a formal assessment procedure by the Swedish EPA but contractual work performed by the main authors in contact with the Swedish EPA</w:t>
      </w:r>
    </w:p>
  </w:footnote>
  <w:footnote w:id="3">
    <w:p w14:paraId="7794086B" w14:textId="6239D718" w:rsidR="000328C0" w:rsidRPr="00A24D2A" w:rsidRDefault="000328C0">
      <w:pPr>
        <w:pStyle w:val="FootnoteText"/>
      </w:pPr>
      <w:r>
        <w:rPr>
          <w:rStyle w:val="FootnoteReference"/>
        </w:rPr>
        <w:footnoteRef/>
      </w:r>
      <w:r>
        <w:t xml:space="preserve"> Available at: </w:t>
      </w:r>
      <w:r w:rsidRPr="00863A5A">
        <w:t>http://www.health.gov.au/internet/main/publishing.nsf/content/health-pubhlth-publicat-environ.htm</w:t>
      </w:r>
    </w:p>
  </w:footnote>
  <w:footnote w:id="4">
    <w:p w14:paraId="4923EC2C" w14:textId="1DC7BD1B" w:rsidR="000328C0" w:rsidRPr="00A24D2A" w:rsidRDefault="000328C0">
      <w:pPr>
        <w:pStyle w:val="FootnoteText"/>
      </w:pPr>
      <w:r>
        <w:rPr>
          <w:rStyle w:val="FootnoteReference"/>
        </w:rPr>
        <w:footnoteRef/>
      </w:r>
      <w:r>
        <w:t xml:space="preserve"> Available at: </w:t>
      </w:r>
      <w:r w:rsidRPr="00863A5A">
        <w:t>http://www.health.gov.au/internet/ministers/publishing.nsf/Content/health-mediarel-yr2016-ley045.htm</w:t>
      </w:r>
    </w:p>
  </w:footnote>
  <w:footnote w:id="5">
    <w:p w14:paraId="64395CF4" w14:textId="31DE816C" w:rsidR="000328C0" w:rsidRPr="00665657" w:rsidRDefault="000328C0">
      <w:pPr>
        <w:pStyle w:val="FootnoteText"/>
        <w:rPr>
          <w:lang w:val="en-AU"/>
        </w:rPr>
      </w:pPr>
      <w:r>
        <w:rPr>
          <w:rStyle w:val="FootnoteReference"/>
        </w:rPr>
        <w:footnoteRef/>
      </w:r>
      <w:r>
        <w:t xml:space="preserve"> </w:t>
      </w:r>
      <w:r w:rsidRPr="00665657">
        <w:t>Report was not the result of a formal assessment procedure by the Swedish EPA but contractual work performed by the main authors in contact with the Swedish EPA</w:t>
      </w:r>
      <w:r>
        <w:t xml:space="preserve">. Reference is Borg and Hakansson, 2012. </w:t>
      </w:r>
    </w:p>
  </w:footnote>
  <w:footnote w:id="6">
    <w:p w14:paraId="4F547F02" w14:textId="06C6B121" w:rsidR="000328C0" w:rsidRPr="00C70DD4" w:rsidRDefault="000328C0">
      <w:pPr>
        <w:pStyle w:val="FootnoteText"/>
        <w:rPr>
          <w:lang w:val="en-AU"/>
        </w:rPr>
      </w:pPr>
      <w:r>
        <w:rPr>
          <w:rStyle w:val="FootnoteReference"/>
        </w:rPr>
        <w:footnoteRef/>
      </w:r>
      <w:r>
        <w:t xml:space="preserve"> Benchmark dose - lower 95</w:t>
      </w:r>
      <w:r w:rsidRPr="000D3C60">
        <w:rPr>
          <w:vertAlign w:val="superscript"/>
        </w:rPr>
        <w:t>th</w:t>
      </w:r>
      <w:r>
        <w:t xml:space="preserve"> percentile confidence bound for a 10% additional risk</w:t>
      </w:r>
    </w:p>
  </w:footnote>
  <w:footnote w:id="7">
    <w:p w14:paraId="1EB1AAD5" w14:textId="3D720544" w:rsidR="000328C0" w:rsidRPr="00474122" w:rsidRDefault="000328C0">
      <w:pPr>
        <w:pStyle w:val="FootnoteText"/>
        <w:rPr>
          <w:lang w:val="en-AU"/>
        </w:rPr>
      </w:pPr>
      <w:r>
        <w:rPr>
          <w:rStyle w:val="FootnoteReference"/>
        </w:rPr>
        <w:footnoteRef/>
      </w:r>
      <w:r>
        <w:t xml:space="preserve"> </w:t>
      </w:r>
      <w:r w:rsidRPr="00E332C0">
        <w:t>A M</w:t>
      </w:r>
      <w:r>
        <w:t>inimal Risk Level (MRL)</w:t>
      </w:r>
      <w:r w:rsidRPr="00E332C0">
        <w:t xml:space="preserve"> is an estimate of the daily human exposure to a hazardous substance that is likely to be without appreciable risk of adverse noncancer health effects over a specified duration of exposure.</w:t>
      </w:r>
    </w:p>
  </w:footnote>
  <w:footnote w:id="8">
    <w:p w14:paraId="67D46387" w14:textId="47C3EB9D" w:rsidR="000328C0" w:rsidRPr="009E6EF9" w:rsidRDefault="000328C0" w:rsidP="009E6EF9">
      <w:pPr>
        <w:pStyle w:val="FootnoteText"/>
        <w:rPr>
          <w:sz w:val="18"/>
          <w:lang w:val="en-AU"/>
        </w:rPr>
      </w:pPr>
      <w:r w:rsidRPr="00C0141E">
        <w:rPr>
          <w:rStyle w:val="FootnoteReference"/>
        </w:rPr>
        <w:footnoteRef/>
      </w:r>
      <w:r w:rsidRPr="00C0141E">
        <w:t xml:space="preserve"> </w:t>
      </w:r>
      <w:r w:rsidRPr="00C0141E">
        <w:rPr>
          <w:lang w:val="en-AU"/>
        </w:rPr>
        <w:t xml:space="preserve">BMDS = Benchmark Dose Software. This is available at </w:t>
      </w:r>
      <w:r w:rsidRPr="00863A5A">
        <w:rPr>
          <w:lang w:val="en-AU"/>
        </w:rPr>
        <w:t>https://www.epa.gov/bmds</w:t>
      </w:r>
    </w:p>
  </w:footnote>
  <w:footnote w:id="9">
    <w:p w14:paraId="35D1B349" w14:textId="30F1DACC" w:rsidR="000328C0" w:rsidRPr="00E332C0" w:rsidRDefault="000328C0" w:rsidP="007B0AA1">
      <w:pPr>
        <w:pStyle w:val="FootnoteText"/>
        <w:rPr>
          <w:lang w:val="en-AU"/>
        </w:rPr>
      </w:pPr>
      <w:r>
        <w:rPr>
          <w:rStyle w:val="FootnoteReference"/>
        </w:rPr>
        <w:footnoteRef/>
      </w:r>
      <w:r>
        <w:t xml:space="preserve"> </w:t>
      </w:r>
      <w:r>
        <w:rPr>
          <w:lang w:val="en-AU"/>
        </w:rPr>
        <w:t xml:space="preserve">BMDS = Benchmark Dose Software. This is available at </w:t>
      </w:r>
      <w:r w:rsidRPr="00863A5A">
        <w:rPr>
          <w:lang w:val="en-AU"/>
        </w:rPr>
        <w:t>https://www.epa.gov/bmds</w:t>
      </w:r>
    </w:p>
  </w:footnote>
  <w:footnote w:id="10">
    <w:p w14:paraId="48D7D70E" w14:textId="08315D08" w:rsidR="000328C0" w:rsidRPr="00F52BE3" w:rsidRDefault="000328C0" w:rsidP="007B0AA1">
      <w:pPr>
        <w:pStyle w:val="FootnoteText"/>
        <w:rPr>
          <w:lang w:val="en-AU"/>
        </w:rPr>
      </w:pPr>
      <w:r>
        <w:rPr>
          <w:rStyle w:val="FootnoteReference"/>
        </w:rPr>
        <w:footnoteRef/>
      </w:r>
      <w:r>
        <w:t xml:space="preserve"> </w:t>
      </w:r>
      <w:r w:rsidRPr="00F52BE3">
        <w:t>The A</w:t>
      </w:r>
      <w:r>
        <w:t>IC</w:t>
      </w:r>
      <w:r w:rsidRPr="00F52BE3">
        <w:t xml:space="preserve"> is a measure of the relative quality of statistical models for a given set of data. Given a collection of models for the data, AIC estimates the quality of each model, relative to each of the other models. Hence, AIC provides a means for model selection.</w:t>
      </w:r>
    </w:p>
  </w:footnote>
  <w:footnote w:id="11">
    <w:p w14:paraId="196449CD" w14:textId="4027B1C3" w:rsidR="000328C0" w:rsidRPr="00351503" w:rsidRDefault="000328C0" w:rsidP="007B0AA1">
      <w:pPr>
        <w:pStyle w:val="FootnoteText"/>
        <w:rPr>
          <w:lang w:val="en-AU"/>
        </w:rPr>
      </w:pPr>
      <w:r>
        <w:rPr>
          <w:rStyle w:val="FootnoteReference"/>
        </w:rPr>
        <w:footnoteRef/>
      </w:r>
      <w:r>
        <w:t xml:space="preserve"> </w:t>
      </w:r>
      <w:r>
        <w:rPr>
          <w:lang w:val="en-AU"/>
        </w:rPr>
        <w:t>A UF</w:t>
      </w:r>
      <w:r w:rsidRPr="00351503">
        <w:rPr>
          <w:vertAlign w:val="subscript"/>
          <w:lang w:val="en-AU"/>
        </w:rPr>
        <w:t>L</w:t>
      </w:r>
      <w:r>
        <w:rPr>
          <w:vertAlign w:val="subscript"/>
          <w:lang w:val="en-AU"/>
        </w:rPr>
        <w:t xml:space="preserve"> </w:t>
      </w:r>
      <w:r>
        <w:rPr>
          <w:lang w:val="en-AU"/>
        </w:rPr>
        <w:t xml:space="preserve">is used to </w:t>
      </w:r>
      <w:r w:rsidRPr="00351503">
        <w:rPr>
          <w:lang w:val="en-AU"/>
        </w:rPr>
        <w:t>extrapolat</w:t>
      </w:r>
      <w:r>
        <w:rPr>
          <w:lang w:val="en-AU"/>
        </w:rPr>
        <w:t>e</w:t>
      </w:r>
      <w:r w:rsidRPr="00351503">
        <w:rPr>
          <w:lang w:val="en-AU"/>
        </w:rPr>
        <w:t xml:space="preserve"> from a </w:t>
      </w:r>
      <w:r>
        <w:rPr>
          <w:lang w:val="en-AU"/>
        </w:rPr>
        <w:t>LOAEL when a NOAEL has not been identified.</w:t>
      </w:r>
    </w:p>
  </w:footnote>
  <w:footnote w:id="12">
    <w:p w14:paraId="71877DBC" w14:textId="4DDB4BBF" w:rsidR="000328C0" w:rsidRPr="00A642F1" w:rsidRDefault="000328C0" w:rsidP="00186C86">
      <w:pPr>
        <w:pStyle w:val="FootnoteText"/>
        <w:rPr>
          <w:lang w:val="en-NZ"/>
        </w:rPr>
      </w:pPr>
      <w:r>
        <w:rPr>
          <w:rStyle w:val="FootnoteReference"/>
        </w:rPr>
        <w:footnoteRef/>
      </w:r>
      <w:r>
        <w:t xml:space="preserve"> </w:t>
      </w:r>
      <w:r>
        <w:rPr>
          <w:lang w:val="en-NZ"/>
        </w:rPr>
        <w:t xml:space="preserve">The Danish report indicates that Livsmedelsverket (National Food Agency Sweden) has set a provisional TDI of 5 </w:t>
      </w:r>
      <w:r>
        <w:rPr>
          <w:rFonts w:cs="Arial"/>
          <w:lang w:val="en-NZ"/>
        </w:rPr>
        <w:t>µ</w:t>
      </w:r>
      <w:r>
        <w:rPr>
          <w:lang w:val="en-NZ"/>
        </w:rPr>
        <w:t>g/kg/day for PFHxS derived from a NOAEL of 1 mg/kg/day for liver effects (presumably in the rat) but no further details could be found in English on the Livsmedelsverket site (last accessed 16 November 2016).</w:t>
      </w:r>
    </w:p>
  </w:footnote>
  <w:footnote w:id="13">
    <w:p w14:paraId="33705CFF" w14:textId="5896CC16" w:rsidR="000328C0" w:rsidRPr="000830C5" w:rsidRDefault="000328C0" w:rsidP="000830C5">
      <w:pPr>
        <w:rPr>
          <w:sz w:val="20"/>
          <w:szCs w:val="20"/>
          <w:lang w:bidi="ar-SA"/>
        </w:rPr>
      </w:pPr>
      <w:r w:rsidRPr="00AF351B">
        <w:rPr>
          <w:rStyle w:val="FootnoteReference"/>
          <w:sz w:val="20"/>
          <w:szCs w:val="20"/>
        </w:rPr>
        <w:footnoteRef/>
      </w:r>
      <w:r w:rsidRPr="00AF351B">
        <w:rPr>
          <w:sz w:val="20"/>
          <w:szCs w:val="20"/>
        </w:rPr>
        <w:t xml:space="preserve"> </w:t>
      </w:r>
      <w:r w:rsidRPr="00AF351B">
        <w:rPr>
          <w:sz w:val="20"/>
          <w:szCs w:val="20"/>
          <w:lang w:bidi="ar-SA"/>
        </w:rPr>
        <w:t>Potency was assessed by the ranking the C</w:t>
      </w:r>
      <w:r w:rsidRPr="00AF351B">
        <w:rPr>
          <w:sz w:val="20"/>
          <w:szCs w:val="20"/>
          <w:vertAlign w:val="subscript"/>
          <w:lang w:bidi="ar-SA"/>
        </w:rPr>
        <w:t xml:space="preserve">20max </w:t>
      </w:r>
      <w:r w:rsidRPr="00AF351B">
        <w:rPr>
          <w:sz w:val="20"/>
          <w:szCs w:val="20"/>
          <w:lang w:bidi="ar-SA"/>
        </w:rPr>
        <w:t>(predicted concentration at which a compound elicits 20% of the overall maximal response) for each of the PFAS investigated.</w:t>
      </w:r>
    </w:p>
  </w:footnote>
  <w:footnote w:id="14">
    <w:p w14:paraId="1C8807FF" w14:textId="205E1B94" w:rsidR="000328C0" w:rsidRPr="00B66CA3" w:rsidRDefault="000328C0" w:rsidP="00931B97">
      <w:pPr>
        <w:pStyle w:val="FootnoteText"/>
        <w:rPr>
          <w:lang w:val="en-NZ"/>
        </w:rPr>
      </w:pPr>
      <w:r>
        <w:rPr>
          <w:rStyle w:val="FootnoteReference"/>
        </w:rPr>
        <w:footnoteRef/>
      </w:r>
      <w:r>
        <w:t xml:space="preserve"> </w:t>
      </w:r>
      <w:r w:rsidRPr="00304AF9">
        <w:rPr>
          <w:sz w:val="18"/>
          <w:szCs w:val="18"/>
          <w:lang w:eastAsia="en-AU" w:bidi="ar-SA"/>
        </w:rPr>
        <w:t>PFOA and PFOS were also included in this study but those results are not included in this report. In addition this paper reported on validation of a revised method for quantification of PFAS in rat serum and tissues, the results of the validation have not been included in this report.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FF47A" w14:textId="5A9DB557" w:rsidR="000328C0" w:rsidRPr="007D03EA" w:rsidRDefault="000328C0" w:rsidP="00F14DD2">
    <w:pPr>
      <w:pStyle w:val="Header"/>
      <w:jc w:val="center"/>
      <w:rPr>
        <w:rFonts w:cs="Arial"/>
        <w:b/>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8CE9D" w14:textId="77777777" w:rsidR="000328C0" w:rsidRDefault="000328C0">
    <w:pPr>
      <w:pStyle w:val="Header"/>
      <w:jc w:val="center"/>
      <w:rPr>
        <w:b/>
        <w:bCs/>
      </w:rPr>
    </w:pPr>
    <w:r>
      <w:rPr>
        <w:b/>
        <w:bCs/>
      </w:rPr>
      <w:t>BOARD-IN-CONFIDENCE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082A1" w14:textId="77777777" w:rsidR="000328C0" w:rsidRDefault="000328C0">
    <w:pPr>
      <w:pStyle w:val="Header"/>
      <w:jc w:val="center"/>
      <w:rPr>
        <w:b/>
        <w:bCs/>
      </w:rPr>
    </w:pPr>
    <w:r>
      <w:rPr>
        <w:b/>
        <w:bCs/>
      </w:rPr>
      <w:t>BOARD-IN-CONFIDENCE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8BDC8" w14:textId="653EB82E" w:rsidR="000328C0" w:rsidRPr="007D03EA" w:rsidRDefault="000328C0" w:rsidP="00F14DD2">
    <w:pPr>
      <w:pStyle w:val="Header"/>
      <w:jc w:val="center"/>
      <w:rPr>
        <w:rFonts w:cs="Arial"/>
        <w: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2A355D" w14:textId="77777777" w:rsidR="000328C0" w:rsidRDefault="000328C0">
    <w:pPr>
      <w:pStyle w:val="Header"/>
      <w:jc w:val="center"/>
      <w:rPr>
        <w:b/>
        <w:bCs/>
      </w:rPr>
    </w:pPr>
    <w:r>
      <w:rPr>
        <w:b/>
        <w:bCs/>
      </w:rPr>
      <w:t>BOARD-IN-CONFIDENCE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9EA11" w14:textId="383E4403" w:rsidR="000328C0" w:rsidRPr="007D03EA" w:rsidRDefault="000328C0" w:rsidP="00F14DD2">
    <w:pPr>
      <w:pStyle w:val="Header"/>
      <w:jc w:val="center"/>
      <w:rPr>
        <w:rFonts w:cs="Arial"/>
        <w:b/>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63290" w14:textId="77777777" w:rsidR="000328C0" w:rsidRDefault="000328C0">
    <w:pPr>
      <w:pStyle w:val="Header"/>
      <w:jc w:val="center"/>
      <w:rPr>
        <w:b/>
        <w:bCs/>
      </w:rPr>
    </w:pPr>
    <w:r>
      <w:rPr>
        <w:b/>
        <w:bCs/>
      </w:rPr>
      <w:t>BOARD-IN-CONFIDENCE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351AD" w14:textId="082437C4" w:rsidR="000328C0" w:rsidRPr="007D03EA" w:rsidRDefault="000328C0" w:rsidP="00F14DD2">
    <w:pPr>
      <w:pStyle w:val="Header"/>
      <w:jc w:val="center"/>
      <w:rPr>
        <w:rFonts w:cs="Arial"/>
        <w:b/>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DB871" w14:textId="77777777" w:rsidR="000328C0" w:rsidRDefault="000328C0">
    <w:pPr>
      <w:pStyle w:val="Header"/>
      <w:jc w:val="center"/>
      <w:rPr>
        <w:b/>
        <w:bCs/>
      </w:rPr>
    </w:pPr>
    <w:r>
      <w:rPr>
        <w:b/>
        <w:bCs/>
      </w:rPr>
      <w:t>BOARD-IN-CONFIDENCE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853C9" w14:textId="0AD95510" w:rsidR="000328C0" w:rsidRPr="007D03EA" w:rsidRDefault="000328C0" w:rsidP="00F14DD2">
    <w:pPr>
      <w:pStyle w:val="Header"/>
      <w:jc w:val="center"/>
      <w:rPr>
        <w:rFonts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F3A4742"/>
    <w:multiLevelType w:val="hybridMultilevel"/>
    <w:tmpl w:val="8D54FD7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515775"/>
    <w:multiLevelType w:val="hybridMultilevel"/>
    <w:tmpl w:val="DDA6AAC2"/>
    <w:lvl w:ilvl="0" w:tplc="6FAA70C4">
      <w:start w:val="1"/>
      <w:numFmt w:val="bullet"/>
      <w:lvlText w:val=""/>
      <w:lvlJc w:val="left"/>
      <w:pPr>
        <w:tabs>
          <w:tab w:val="num" w:pos="494"/>
        </w:tabs>
        <w:ind w:left="494" w:hanging="454"/>
      </w:pPr>
      <w:rPr>
        <w:rFonts w:ascii="Symbol" w:hAnsi="Symbol" w:hint="default"/>
      </w:rPr>
    </w:lvl>
    <w:lvl w:ilvl="1" w:tplc="04090003" w:tentative="1">
      <w:start w:val="1"/>
      <w:numFmt w:val="bullet"/>
      <w:lvlText w:val="o"/>
      <w:lvlJc w:val="left"/>
      <w:pPr>
        <w:tabs>
          <w:tab w:val="num" w:pos="1480"/>
        </w:tabs>
        <w:ind w:left="1480" w:hanging="360"/>
      </w:pPr>
      <w:rPr>
        <w:rFonts w:ascii="Courier New" w:hAnsi="Courier New" w:hint="default"/>
      </w:rPr>
    </w:lvl>
    <w:lvl w:ilvl="2" w:tplc="04090005" w:tentative="1">
      <w:start w:val="1"/>
      <w:numFmt w:val="bullet"/>
      <w:lvlText w:val=""/>
      <w:lvlJc w:val="left"/>
      <w:pPr>
        <w:tabs>
          <w:tab w:val="num" w:pos="2200"/>
        </w:tabs>
        <w:ind w:left="2200" w:hanging="360"/>
      </w:pPr>
      <w:rPr>
        <w:rFonts w:ascii="Wingdings" w:hAnsi="Wingdings" w:hint="default"/>
      </w:rPr>
    </w:lvl>
    <w:lvl w:ilvl="3" w:tplc="04090001" w:tentative="1">
      <w:start w:val="1"/>
      <w:numFmt w:val="bullet"/>
      <w:lvlText w:val=""/>
      <w:lvlJc w:val="left"/>
      <w:pPr>
        <w:tabs>
          <w:tab w:val="num" w:pos="2920"/>
        </w:tabs>
        <w:ind w:left="2920" w:hanging="360"/>
      </w:pPr>
      <w:rPr>
        <w:rFonts w:ascii="Symbol" w:hAnsi="Symbol" w:hint="default"/>
      </w:rPr>
    </w:lvl>
    <w:lvl w:ilvl="4" w:tplc="04090003" w:tentative="1">
      <w:start w:val="1"/>
      <w:numFmt w:val="bullet"/>
      <w:lvlText w:val="o"/>
      <w:lvlJc w:val="left"/>
      <w:pPr>
        <w:tabs>
          <w:tab w:val="num" w:pos="3640"/>
        </w:tabs>
        <w:ind w:left="3640" w:hanging="360"/>
      </w:pPr>
      <w:rPr>
        <w:rFonts w:ascii="Courier New" w:hAnsi="Courier New" w:hint="default"/>
      </w:rPr>
    </w:lvl>
    <w:lvl w:ilvl="5" w:tplc="04090005" w:tentative="1">
      <w:start w:val="1"/>
      <w:numFmt w:val="bullet"/>
      <w:lvlText w:val=""/>
      <w:lvlJc w:val="left"/>
      <w:pPr>
        <w:tabs>
          <w:tab w:val="num" w:pos="4360"/>
        </w:tabs>
        <w:ind w:left="4360" w:hanging="360"/>
      </w:pPr>
      <w:rPr>
        <w:rFonts w:ascii="Wingdings" w:hAnsi="Wingdings" w:hint="default"/>
      </w:rPr>
    </w:lvl>
    <w:lvl w:ilvl="6" w:tplc="04090001" w:tentative="1">
      <w:start w:val="1"/>
      <w:numFmt w:val="bullet"/>
      <w:lvlText w:val=""/>
      <w:lvlJc w:val="left"/>
      <w:pPr>
        <w:tabs>
          <w:tab w:val="num" w:pos="5080"/>
        </w:tabs>
        <w:ind w:left="5080" w:hanging="360"/>
      </w:pPr>
      <w:rPr>
        <w:rFonts w:ascii="Symbol" w:hAnsi="Symbol" w:hint="default"/>
      </w:rPr>
    </w:lvl>
    <w:lvl w:ilvl="7" w:tplc="04090003" w:tentative="1">
      <w:start w:val="1"/>
      <w:numFmt w:val="bullet"/>
      <w:lvlText w:val="o"/>
      <w:lvlJc w:val="left"/>
      <w:pPr>
        <w:tabs>
          <w:tab w:val="num" w:pos="5800"/>
        </w:tabs>
        <w:ind w:left="5800" w:hanging="360"/>
      </w:pPr>
      <w:rPr>
        <w:rFonts w:ascii="Courier New" w:hAnsi="Courier New" w:hint="default"/>
      </w:rPr>
    </w:lvl>
    <w:lvl w:ilvl="8" w:tplc="04090005" w:tentative="1">
      <w:start w:val="1"/>
      <w:numFmt w:val="bullet"/>
      <w:lvlText w:val=""/>
      <w:lvlJc w:val="left"/>
      <w:pPr>
        <w:tabs>
          <w:tab w:val="num" w:pos="6520"/>
        </w:tabs>
        <w:ind w:left="6520" w:hanging="360"/>
      </w:pPr>
      <w:rPr>
        <w:rFonts w:ascii="Wingdings" w:hAnsi="Wingdings" w:hint="default"/>
      </w:rPr>
    </w:lvl>
  </w:abstractNum>
  <w:abstractNum w:abstractNumId="2">
    <w:nsid w:val="012816C3"/>
    <w:multiLevelType w:val="hybridMultilevel"/>
    <w:tmpl w:val="DA40736C"/>
    <w:lvl w:ilvl="0" w:tplc="6B5AB52C">
      <w:start w:val="1"/>
      <w:numFmt w:val="bullet"/>
      <w:pStyle w:val="FS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18B726F"/>
    <w:multiLevelType w:val="hybridMultilevel"/>
    <w:tmpl w:val="87428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5B6D96"/>
    <w:multiLevelType w:val="hybridMultilevel"/>
    <w:tmpl w:val="DF626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9890467"/>
    <w:multiLevelType w:val="hybridMultilevel"/>
    <w:tmpl w:val="2042D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CB002A"/>
    <w:multiLevelType w:val="hybridMultilevel"/>
    <w:tmpl w:val="01F43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963D77"/>
    <w:multiLevelType w:val="hybridMultilevel"/>
    <w:tmpl w:val="7632DC76"/>
    <w:lvl w:ilvl="0" w:tplc="AB405820">
      <w:start w:val="1"/>
      <w:numFmt w:val="bullet"/>
      <w:pStyle w:val="FSBullet3"/>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12B434F7"/>
    <w:multiLevelType w:val="hybridMultilevel"/>
    <w:tmpl w:val="874A850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3F67589"/>
    <w:multiLevelType w:val="hybridMultilevel"/>
    <w:tmpl w:val="A2BA57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1EC17C91"/>
    <w:multiLevelType w:val="hybridMultilevel"/>
    <w:tmpl w:val="F0661230"/>
    <w:lvl w:ilvl="0" w:tplc="595819A4">
      <w:start w:val="200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F2F7BBA"/>
    <w:multiLevelType w:val="hybridMultilevel"/>
    <w:tmpl w:val="F8161E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6054271"/>
    <w:multiLevelType w:val="hybridMultilevel"/>
    <w:tmpl w:val="7AC0B316"/>
    <w:lvl w:ilvl="0" w:tplc="FDFEA674">
      <w:start w:val="1"/>
      <w:numFmt w:val="bullet"/>
      <w:pStyle w:val="FSBullet1"/>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6B059DA"/>
    <w:multiLevelType w:val="multilevel"/>
    <w:tmpl w:val="19C85884"/>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7DD79D2"/>
    <w:multiLevelType w:val="hybridMultilevel"/>
    <w:tmpl w:val="216EE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88A73CA"/>
    <w:multiLevelType w:val="hybridMultilevel"/>
    <w:tmpl w:val="954C0E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D1004A7"/>
    <w:multiLevelType w:val="hybridMultilevel"/>
    <w:tmpl w:val="69100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EE96A16"/>
    <w:multiLevelType w:val="hybridMultilevel"/>
    <w:tmpl w:val="461E492E"/>
    <w:lvl w:ilvl="0" w:tplc="87ECC8C2">
      <w:start w:val="1"/>
      <w:numFmt w:val="lowerLetter"/>
      <w:lvlText w:val="%1)"/>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3947DBE"/>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nsid w:val="34BA09D0"/>
    <w:multiLevelType w:val="hybridMultilevel"/>
    <w:tmpl w:val="237C9D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9716FB7"/>
    <w:multiLevelType w:val="hybridMultilevel"/>
    <w:tmpl w:val="B140810C"/>
    <w:lvl w:ilvl="0" w:tplc="AD3427FE">
      <w:start w:val="200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B8E7A98"/>
    <w:multiLevelType w:val="hybridMultilevel"/>
    <w:tmpl w:val="BD82B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273095D"/>
    <w:multiLevelType w:val="hybridMultilevel"/>
    <w:tmpl w:val="DA78F074"/>
    <w:lvl w:ilvl="0" w:tplc="62E4550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56D3B3C"/>
    <w:multiLevelType w:val="hybridMultilevel"/>
    <w:tmpl w:val="FCBA31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5E23B5C"/>
    <w:multiLevelType w:val="hybridMultilevel"/>
    <w:tmpl w:val="15E2C8B4"/>
    <w:lvl w:ilvl="0" w:tplc="B234E9C4">
      <w:start w:val="1"/>
      <w:numFmt w:val="bullet"/>
      <w:pStyle w:val="FSBullet2"/>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nsid w:val="471BE359"/>
    <w:multiLevelType w:val="hybridMultilevel"/>
    <w:tmpl w:val="2C5DDF0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4770EC1D"/>
    <w:multiLevelType w:val="hybridMultilevel"/>
    <w:tmpl w:val="205BF15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4B1B149C"/>
    <w:multiLevelType w:val="hybridMultilevel"/>
    <w:tmpl w:val="C3E6F6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4BDF6E02"/>
    <w:multiLevelType w:val="hybridMultilevel"/>
    <w:tmpl w:val="226AA398"/>
    <w:lvl w:ilvl="0" w:tplc="79C4BC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D4D4D20"/>
    <w:multiLevelType w:val="hybridMultilevel"/>
    <w:tmpl w:val="3064B7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51EE56E2"/>
    <w:multiLevelType w:val="hybridMultilevel"/>
    <w:tmpl w:val="CF0A2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2473271"/>
    <w:multiLevelType w:val="hybridMultilevel"/>
    <w:tmpl w:val="B22267B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nsid w:val="540754D3"/>
    <w:multiLevelType w:val="hybridMultilevel"/>
    <w:tmpl w:val="F7A06C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562167F1"/>
    <w:multiLevelType w:val="multilevel"/>
    <w:tmpl w:val="C0622BC2"/>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67756E2"/>
    <w:multiLevelType w:val="hybridMultilevel"/>
    <w:tmpl w:val="B7802080"/>
    <w:lvl w:ilvl="0" w:tplc="80A261D6">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9495A99"/>
    <w:multiLevelType w:val="hybridMultilevel"/>
    <w:tmpl w:val="59825616"/>
    <w:lvl w:ilvl="0" w:tplc="0E88C5A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nsid w:val="6D620BE1"/>
    <w:multiLevelType w:val="multilevel"/>
    <w:tmpl w:val="D26CFC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E823160"/>
    <w:multiLevelType w:val="hybridMultilevel"/>
    <w:tmpl w:val="B9FA56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1755AD1"/>
    <w:multiLevelType w:val="hybridMultilevel"/>
    <w:tmpl w:val="407E9A48"/>
    <w:lvl w:ilvl="0" w:tplc="EEB42172">
      <w:start w:val="1"/>
      <w:numFmt w:val="bullet"/>
      <w:pStyle w:val="142tabletext1"/>
      <w:lvlText w:val=""/>
      <w:lvlJc w:val="left"/>
      <w:pPr>
        <w:ind w:left="360"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39">
    <w:nsid w:val="72241240"/>
    <w:multiLevelType w:val="multilevel"/>
    <w:tmpl w:val="B4501954"/>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38A347A"/>
    <w:multiLevelType w:val="hybridMultilevel"/>
    <w:tmpl w:val="0C5A45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nsid w:val="7B1B1876"/>
    <w:multiLevelType w:val="hybridMultilevel"/>
    <w:tmpl w:val="382C5C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nsid w:val="7D5C7F0E"/>
    <w:multiLevelType w:val="multilevel"/>
    <w:tmpl w:val="2B9E9190"/>
    <w:lvl w:ilvl="0">
      <w:start w:val="1"/>
      <w:numFmt w:val="decimal"/>
      <w:lvlText w:val="%1."/>
      <w:lvlJc w:val="left"/>
      <w:pPr>
        <w:ind w:left="360" w:hanging="360"/>
      </w:pPr>
      <w:rPr>
        <w:rFonts w:hint="default"/>
      </w:rPr>
    </w:lvl>
    <w:lvl w:ilvl="1">
      <w:start w:val="1"/>
      <w:numFmt w:val="decimal"/>
      <w:lvlText w:val="%1.%2."/>
      <w:lvlJc w:val="left"/>
      <w:pPr>
        <w:ind w:left="5678" w:hanging="432"/>
      </w:pPr>
      <w:rPr>
        <w:rFonts w:hint="default"/>
      </w:rPr>
    </w:lvl>
    <w:lvl w:ilvl="2">
      <w:start w:val="1"/>
      <w:numFmt w:val="decimal"/>
      <w:lvlText w:val="%1.%2.%3."/>
      <w:lvlJc w:val="left"/>
      <w:pPr>
        <w:ind w:left="4616" w:hanging="504"/>
      </w:pPr>
      <w:rPr>
        <w:rFonts w:hint="default"/>
      </w:rPr>
    </w:lvl>
    <w:lvl w:ilvl="3">
      <w:start w:val="1"/>
      <w:numFmt w:val="decimal"/>
      <w:lvlText w:val="%1.%2.%3.%4."/>
      <w:lvlJc w:val="left"/>
      <w:pPr>
        <w:ind w:left="64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8"/>
  </w:num>
  <w:num w:numId="2">
    <w:abstractNumId w:val="18"/>
  </w:num>
  <w:num w:numId="3">
    <w:abstractNumId w:val="18"/>
  </w:num>
  <w:num w:numId="4">
    <w:abstractNumId w:val="18"/>
  </w:num>
  <w:num w:numId="5">
    <w:abstractNumId w:val="18"/>
  </w:num>
  <w:num w:numId="6">
    <w:abstractNumId w:val="18"/>
  </w:num>
  <w:num w:numId="7">
    <w:abstractNumId w:val="18"/>
  </w:num>
  <w:num w:numId="8">
    <w:abstractNumId w:val="38"/>
  </w:num>
  <w:num w:numId="9">
    <w:abstractNumId w:val="22"/>
  </w:num>
  <w:num w:numId="10">
    <w:abstractNumId w:val="34"/>
  </w:num>
  <w:num w:numId="11">
    <w:abstractNumId w:val="38"/>
  </w:num>
  <w:num w:numId="12">
    <w:abstractNumId w:val="22"/>
  </w:num>
  <w:num w:numId="13">
    <w:abstractNumId w:val="34"/>
  </w:num>
  <w:num w:numId="14">
    <w:abstractNumId w:val="2"/>
  </w:num>
  <w:num w:numId="15">
    <w:abstractNumId w:val="12"/>
  </w:num>
  <w:num w:numId="16">
    <w:abstractNumId w:val="24"/>
  </w:num>
  <w:num w:numId="17">
    <w:abstractNumId w:val="7"/>
  </w:num>
  <w:num w:numId="18">
    <w:abstractNumId w:val="42"/>
  </w:num>
  <w:num w:numId="19">
    <w:abstractNumId w:val="3"/>
  </w:num>
  <w:num w:numId="20">
    <w:abstractNumId w:val="29"/>
  </w:num>
  <w:num w:numId="21">
    <w:abstractNumId w:val="6"/>
  </w:num>
  <w:num w:numId="22">
    <w:abstractNumId w:val="17"/>
  </w:num>
  <w:num w:numId="23">
    <w:abstractNumId w:val="4"/>
  </w:num>
  <w:num w:numId="24">
    <w:abstractNumId w:val="5"/>
  </w:num>
  <w:num w:numId="25">
    <w:abstractNumId w:val="1"/>
  </w:num>
  <w:num w:numId="26">
    <w:abstractNumId w:val="15"/>
  </w:num>
  <w:num w:numId="27">
    <w:abstractNumId w:val="28"/>
  </w:num>
  <w:num w:numId="28">
    <w:abstractNumId w:val="33"/>
  </w:num>
  <w:num w:numId="29">
    <w:abstractNumId w:val="40"/>
  </w:num>
  <w:num w:numId="30">
    <w:abstractNumId w:val="32"/>
  </w:num>
  <w:num w:numId="31">
    <w:abstractNumId w:val="9"/>
  </w:num>
  <w:num w:numId="32">
    <w:abstractNumId w:val="31"/>
  </w:num>
  <w:num w:numId="33">
    <w:abstractNumId w:val="27"/>
  </w:num>
  <w:num w:numId="34">
    <w:abstractNumId w:val="41"/>
  </w:num>
  <w:num w:numId="35">
    <w:abstractNumId w:val="39"/>
  </w:num>
  <w:num w:numId="36">
    <w:abstractNumId w:val="14"/>
  </w:num>
  <w:num w:numId="37">
    <w:abstractNumId w:val="16"/>
  </w:num>
  <w:num w:numId="38">
    <w:abstractNumId w:val="8"/>
  </w:num>
  <w:num w:numId="39">
    <w:abstractNumId w:val="0"/>
  </w:num>
  <w:num w:numId="40">
    <w:abstractNumId w:val="30"/>
  </w:num>
  <w:num w:numId="41">
    <w:abstractNumId w:val="10"/>
  </w:num>
  <w:num w:numId="42">
    <w:abstractNumId w:val="20"/>
  </w:num>
  <w:num w:numId="43">
    <w:abstractNumId w:val="37"/>
  </w:num>
  <w:num w:numId="44">
    <w:abstractNumId w:val="25"/>
  </w:num>
  <w:num w:numId="45">
    <w:abstractNumId w:val="26"/>
  </w:num>
  <w:num w:numId="46">
    <w:abstractNumId w:val="23"/>
  </w:num>
  <w:num w:numId="47">
    <w:abstractNumId w:val="19"/>
  </w:num>
  <w:num w:numId="48">
    <w:abstractNumId w:val="36"/>
    <w:lvlOverride w:ilvl="0">
      <w:lvl w:ilvl="0">
        <w:numFmt w:val="decimal"/>
        <w:lvlText w:val=""/>
        <w:lvlJc w:val="left"/>
      </w:lvl>
    </w:lvlOverride>
    <w:lvlOverride w:ilvl="1">
      <w:lvl w:ilvl="1">
        <w:numFmt w:val="bullet"/>
        <w:lvlText w:val=""/>
        <w:lvlJc w:val="left"/>
        <w:pPr>
          <w:tabs>
            <w:tab w:val="num" w:pos="1440"/>
          </w:tabs>
          <w:ind w:left="1440" w:hanging="360"/>
        </w:pPr>
        <w:rPr>
          <w:rFonts w:ascii="Wingdings" w:hAnsi="Wingdings" w:hint="default"/>
          <w:sz w:val="20"/>
        </w:rPr>
      </w:lvl>
    </w:lvlOverride>
  </w:num>
  <w:num w:numId="49">
    <w:abstractNumId w:val="21"/>
  </w:num>
  <w:num w:numId="50">
    <w:abstractNumId w:val="11"/>
  </w:num>
  <w:num w:numId="51">
    <w:abstractNumId w:val="35"/>
  </w:num>
  <w:num w:numId="52">
    <w:abstractNumId w:val="13"/>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reton, Stuart">
    <w15:presenceInfo w15:providerId="AD" w15:userId="S-1-5-21-2052111302-1547161642-1801674531-91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oNotTrackMoves/>
  <w:defaultTabStop w:val="567"/>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ibraries" w:val="&lt;ENLibraries&gt;&lt;Libraries&gt;&lt;item&gt;pss_references&lt;/item&gt;&lt;/Libraries&gt;&lt;/ENLibraries&gt;"/>
  </w:docVars>
  <w:rsids>
    <w:rsidRoot w:val="009A51A2"/>
    <w:rsid w:val="00000D89"/>
    <w:rsid w:val="00001327"/>
    <w:rsid w:val="000017F5"/>
    <w:rsid w:val="000018AC"/>
    <w:rsid w:val="00002AD8"/>
    <w:rsid w:val="00002E8D"/>
    <w:rsid w:val="00003D0D"/>
    <w:rsid w:val="00003F51"/>
    <w:rsid w:val="000047DC"/>
    <w:rsid w:val="0000542C"/>
    <w:rsid w:val="0000593C"/>
    <w:rsid w:val="000064D3"/>
    <w:rsid w:val="00006803"/>
    <w:rsid w:val="00007132"/>
    <w:rsid w:val="00007DEC"/>
    <w:rsid w:val="0001035C"/>
    <w:rsid w:val="00011C02"/>
    <w:rsid w:val="0001306A"/>
    <w:rsid w:val="00013591"/>
    <w:rsid w:val="000135A0"/>
    <w:rsid w:val="00013CFD"/>
    <w:rsid w:val="00014538"/>
    <w:rsid w:val="00015365"/>
    <w:rsid w:val="00015F15"/>
    <w:rsid w:val="000163C9"/>
    <w:rsid w:val="0001799C"/>
    <w:rsid w:val="00017C44"/>
    <w:rsid w:val="00017EF4"/>
    <w:rsid w:val="00017F7C"/>
    <w:rsid w:val="000200BB"/>
    <w:rsid w:val="00020139"/>
    <w:rsid w:val="00020164"/>
    <w:rsid w:val="000203C4"/>
    <w:rsid w:val="0002067B"/>
    <w:rsid w:val="00020B52"/>
    <w:rsid w:val="000217D1"/>
    <w:rsid w:val="00021F68"/>
    <w:rsid w:val="00022000"/>
    <w:rsid w:val="000227D4"/>
    <w:rsid w:val="00022D9E"/>
    <w:rsid w:val="000236E2"/>
    <w:rsid w:val="000239BE"/>
    <w:rsid w:val="00024701"/>
    <w:rsid w:val="00025EF9"/>
    <w:rsid w:val="00026361"/>
    <w:rsid w:val="00026494"/>
    <w:rsid w:val="000267A4"/>
    <w:rsid w:val="00026EA6"/>
    <w:rsid w:val="0003008F"/>
    <w:rsid w:val="00030857"/>
    <w:rsid w:val="00031A10"/>
    <w:rsid w:val="00032405"/>
    <w:rsid w:val="000328C0"/>
    <w:rsid w:val="000329D3"/>
    <w:rsid w:val="00032C99"/>
    <w:rsid w:val="00032CF6"/>
    <w:rsid w:val="00033459"/>
    <w:rsid w:val="00033784"/>
    <w:rsid w:val="00033B7E"/>
    <w:rsid w:val="00033E38"/>
    <w:rsid w:val="00033E69"/>
    <w:rsid w:val="000345E5"/>
    <w:rsid w:val="00034ED5"/>
    <w:rsid w:val="000352AD"/>
    <w:rsid w:val="0003540F"/>
    <w:rsid w:val="0003581F"/>
    <w:rsid w:val="00035869"/>
    <w:rsid w:val="00036CA0"/>
    <w:rsid w:val="000370A5"/>
    <w:rsid w:val="00037155"/>
    <w:rsid w:val="0003759F"/>
    <w:rsid w:val="00040A06"/>
    <w:rsid w:val="00041643"/>
    <w:rsid w:val="0004171F"/>
    <w:rsid w:val="00041977"/>
    <w:rsid w:val="00041F6D"/>
    <w:rsid w:val="000432C2"/>
    <w:rsid w:val="000433EB"/>
    <w:rsid w:val="00043409"/>
    <w:rsid w:val="00043BD3"/>
    <w:rsid w:val="00044004"/>
    <w:rsid w:val="00045E09"/>
    <w:rsid w:val="000464E2"/>
    <w:rsid w:val="00046AC0"/>
    <w:rsid w:val="00047208"/>
    <w:rsid w:val="000473BA"/>
    <w:rsid w:val="00047818"/>
    <w:rsid w:val="000509D4"/>
    <w:rsid w:val="00050D1D"/>
    <w:rsid w:val="00051F0D"/>
    <w:rsid w:val="0005215B"/>
    <w:rsid w:val="000538B3"/>
    <w:rsid w:val="00053C16"/>
    <w:rsid w:val="00054728"/>
    <w:rsid w:val="00054F81"/>
    <w:rsid w:val="0005512E"/>
    <w:rsid w:val="000562E2"/>
    <w:rsid w:val="00057EB3"/>
    <w:rsid w:val="00060A2D"/>
    <w:rsid w:val="00060C53"/>
    <w:rsid w:val="0006226D"/>
    <w:rsid w:val="000622E7"/>
    <w:rsid w:val="0006255C"/>
    <w:rsid w:val="00062A59"/>
    <w:rsid w:val="00062CAD"/>
    <w:rsid w:val="00063094"/>
    <w:rsid w:val="00063547"/>
    <w:rsid w:val="00063AD3"/>
    <w:rsid w:val="000641C5"/>
    <w:rsid w:val="00064C40"/>
    <w:rsid w:val="00065627"/>
    <w:rsid w:val="00065B6C"/>
    <w:rsid w:val="00066854"/>
    <w:rsid w:val="00066D85"/>
    <w:rsid w:val="000672D7"/>
    <w:rsid w:val="00067BFE"/>
    <w:rsid w:val="0007015A"/>
    <w:rsid w:val="000705D4"/>
    <w:rsid w:val="00070900"/>
    <w:rsid w:val="0007110C"/>
    <w:rsid w:val="00071788"/>
    <w:rsid w:val="00071CEE"/>
    <w:rsid w:val="00072261"/>
    <w:rsid w:val="0007229B"/>
    <w:rsid w:val="000728C0"/>
    <w:rsid w:val="0007597A"/>
    <w:rsid w:val="000765B0"/>
    <w:rsid w:val="0008049A"/>
    <w:rsid w:val="0008144B"/>
    <w:rsid w:val="0008297F"/>
    <w:rsid w:val="00083033"/>
    <w:rsid w:val="000830AB"/>
    <w:rsid w:val="000830C5"/>
    <w:rsid w:val="00084B6C"/>
    <w:rsid w:val="00085304"/>
    <w:rsid w:val="00085487"/>
    <w:rsid w:val="000859DC"/>
    <w:rsid w:val="00087384"/>
    <w:rsid w:val="00087957"/>
    <w:rsid w:val="000879B9"/>
    <w:rsid w:val="00087AAA"/>
    <w:rsid w:val="00090311"/>
    <w:rsid w:val="00090450"/>
    <w:rsid w:val="000905C4"/>
    <w:rsid w:val="000920D3"/>
    <w:rsid w:val="000921CE"/>
    <w:rsid w:val="00092412"/>
    <w:rsid w:val="000927AF"/>
    <w:rsid w:val="00092E01"/>
    <w:rsid w:val="0009480F"/>
    <w:rsid w:val="00094C73"/>
    <w:rsid w:val="000950ED"/>
    <w:rsid w:val="00095DDC"/>
    <w:rsid w:val="000A04C9"/>
    <w:rsid w:val="000A0600"/>
    <w:rsid w:val="000A10B2"/>
    <w:rsid w:val="000A1A03"/>
    <w:rsid w:val="000A2049"/>
    <w:rsid w:val="000A32B3"/>
    <w:rsid w:val="000A38F8"/>
    <w:rsid w:val="000A3A86"/>
    <w:rsid w:val="000A3D2C"/>
    <w:rsid w:val="000A422E"/>
    <w:rsid w:val="000A4BE3"/>
    <w:rsid w:val="000A4DBD"/>
    <w:rsid w:val="000A4FC9"/>
    <w:rsid w:val="000A5E39"/>
    <w:rsid w:val="000A5FA8"/>
    <w:rsid w:val="000A6289"/>
    <w:rsid w:val="000A65E0"/>
    <w:rsid w:val="000A66BD"/>
    <w:rsid w:val="000A6A56"/>
    <w:rsid w:val="000A6A64"/>
    <w:rsid w:val="000A6B12"/>
    <w:rsid w:val="000A703A"/>
    <w:rsid w:val="000B0C80"/>
    <w:rsid w:val="000B2048"/>
    <w:rsid w:val="000B2B1A"/>
    <w:rsid w:val="000B3C14"/>
    <w:rsid w:val="000B4025"/>
    <w:rsid w:val="000B5136"/>
    <w:rsid w:val="000B535A"/>
    <w:rsid w:val="000B53CD"/>
    <w:rsid w:val="000B6227"/>
    <w:rsid w:val="000B64F9"/>
    <w:rsid w:val="000B7934"/>
    <w:rsid w:val="000B7B27"/>
    <w:rsid w:val="000B7B85"/>
    <w:rsid w:val="000B7E24"/>
    <w:rsid w:val="000C04F9"/>
    <w:rsid w:val="000C0BDA"/>
    <w:rsid w:val="000C23BB"/>
    <w:rsid w:val="000C4069"/>
    <w:rsid w:val="000C4C17"/>
    <w:rsid w:val="000C506F"/>
    <w:rsid w:val="000C59E7"/>
    <w:rsid w:val="000C5B01"/>
    <w:rsid w:val="000C5BEE"/>
    <w:rsid w:val="000C6044"/>
    <w:rsid w:val="000C6265"/>
    <w:rsid w:val="000C6F4B"/>
    <w:rsid w:val="000C7387"/>
    <w:rsid w:val="000C7707"/>
    <w:rsid w:val="000C780F"/>
    <w:rsid w:val="000D1509"/>
    <w:rsid w:val="000D25CD"/>
    <w:rsid w:val="000D28DF"/>
    <w:rsid w:val="000D293F"/>
    <w:rsid w:val="000D299B"/>
    <w:rsid w:val="000D2B63"/>
    <w:rsid w:val="000D3A2D"/>
    <w:rsid w:val="000D4C8E"/>
    <w:rsid w:val="000D4EDD"/>
    <w:rsid w:val="000D6C17"/>
    <w:rsid w:val="000D7A72"/>
    <w:rsid w:val="000E00EF"/>
    <w:rsid w:val="000E0845"/>
    <w:rsid w:val="000E1D4E"/>
    <w:rsid w:val="000E1E81"/>
    <w:rsid w:val="000E2B76"/>
    <w:rsid w:val="000E2C1F"/>
    <w:rsid w:val="000E2FF6"/>
    <w:rsid w:val="000E360C"/>
    <w:rsid w:val="000E44A0"/>
    <w:rsid w:val="000E45E3"/>
    <w:rsid w:val="000E481D"/>
    <w:rsid w:val="000E4B62"/>
    <w:rsid w:val="000E6047"/>
    <w:rsid w:val="000E6DD2"/>
    <w:rsid w:val="000E7153"/>
    <w:rsid w:val="000E74DC"/>
    <w:rsid w:val="000E7638"/>
    <w:rsid w:val="000F0238"/>
    <w:rsid w:val="000F1B1D"/>
    <w:rsid w:val="000F1B44"/>
    <w:rsid w:val="000F1C1C"/>
    <w:rsid w:val="000F2144"/>
    <w:rsid w:val="000F2196"/>
    <w:rsid w:val="000F383A"/>
    <w:rsid w:val="000F38AA"/>
    <w:rsid w:val="000F3AFE"/>
    <w:rsid w:val="000F478D"/>
    <w:rsid w:val="000F5BA5"/>
    <w:rsid w:val="000F6407"/>
    <w:rsid w:val="000F6B3F"/>
    <w:rsid w:val="000F6D96"/>
    <w:rsid w:val="000F6ED0"/>
    <w:rsid w:val="000F71B0"/>
    <w:rsid w:val="001012A5"/>
    <w:rsid w:val="00102D04"/>
    <w:rsid w:val="00103605"/>
    <w:rsid w:val="00103775"/>
    <w:rsid w:val="00103FB7"/>
    <w:rsid w:val="00104C8E"/>
    <w:rsid w:val="00106A25"/>
    <w:rsid w:val="00110DF7"/>
    <w:rsid w:val="00111AC0"/>
    <w:rsid w:val="00111AD7"/>
    <w:rsid w:val="00111D17"/>
    <w:rsid w:val="00111EC0"/>
    <w:rsid w:val="00112088"/>
    <w:rsid w:val="00112164"/>
    <w:rsid w:val="0011270A"/>
    <w:rsid w:val="00112C61"/>
    <w:rsid w:val="00112FD0"/>
    <w:rsid w:val="00114B5E"/>
    <w:rsid w:val="0011556B"/>
    <w:rsid w:val="0011559D"/>
    <w:rsid w:val="0011603C"/>
    <w:rsid w:val="00116049"/>
    <w:rsid w:val="00117671"/>
    <w:rsid w:val="00117E6A"/>
    <w:rsid w:val="00123781"/>
    <w:rsid w:val="00123A6E"/>
    <w:rsid w:val="00124426"/>
    <w:rsid w:val="001244AD"/>
    <w:rsid w:val="0012455C"/>
    <w:rsid w:val="0012486A"/>
    <w:rsid w:val="0012499C"/>
    <w:rsid w:val="00124AA6"/>
    <w:rsid w:val="00125A88"/>
    <w:rsid w:val="00125D3B"/>
    <w:rsid w:val="001302F5"/>
    <w:rsid w:val="001303E5"/>
    <w:rsid w:val="0013103E"/>
    <w:rsid w:val="001316FC"/>
    <w:rsid w:val="0013189A"/>
    <w:rsid w:val="00132A06"/>
    <w:rsid w:val="00132C95"/>
    <w:rsid w:val="00132C96"/>
    <w:rsid w:val="0013436B"/>
    <w:rsid w:val="00135214"/>
    <w:rsid w:val="0013529E"/>
    <w:rsid w:val="00136319"/>
    <w:rsid w:val="001371D0"/>
    <w:rsid w:val="001403E6"/>
    <w:rsid w:val="001404D7"/>
    <w:rsid w:val="00140C89"/>
    <w:rsid w:val="00142E0C"/>
    <w:rsid w:val="00143AA4"/>
    <w:rsid w:val="00143D48"/>
    <w:rsid w:val="00143DA6"/>
    <w:rsid w:val="00143E4A"/>
    <w:rsid w:val="00145B43"/>
    <w:rsid w:val="0014688E"/>
    <w:rsid w:val="00147ADA"/>
    <w:rsid w:val="00151B4F"/>
    <w:rsid w:val="001520BA"/>
    <w:rsid w:val="00152A88"/>
    <w:rsid w:val="001544FA"/>
    <w:rsid w:val="00154522"/>
    <w:rsid w:val="0015476C"/>
    <w:rsid w:val="00154F69"/>
    <w:rsid w:val="00154FC9"/>
    <w:rsid w:val="001554A5"/>
    <w:rsid w:val="00155A21"/>
    <w:rsid w:val="00155BEC"/>
    <w:rsid w:val="00155CD8"/>
    <w:rsid w:val="00156ADD"/>
    <w:rsid w:val="00156FC3"/>
    <w:rsid w:val="00160C6C"/>
    <w:rsid w:val="00160CD9"/>
    <w:rsid w:val="00161A01"/>
    <w:rsid w:val="00161B78"/>
    <w:rsid w:val="00161F20"/>
    <w:rsid w:val="0016214E"/>
    <w:rsid w:val="0016265B"/>
    <w:rsid w:val="0016278A"/>
    <w:rsid w:val="001630E4"/>
    <w:rsid w:val="0016323C"/>
    <w:rsid w:val="0016358D"/>
    <w:rsid w:val="001637A2"/>
    <w:rsid w:val="00163A60"/>
    <w:rsid w:val="00164B77"/>
    <w:rsid w:val="001657ED"/>
    <w:rsid w:val="00166EFD"/>
    <w:rsid w:val="00166F8F"/>
    <w:rsid w:val="00167898"/>
    <w:rsid w:val="00170A03"/>
    <w:rsid w:val="00172EFC"/>
    <w:rsid w:val="001734EA"/>
    <w:rsid w:val="001745CB"/>
    <w:rsid w:val="0017463A"/>
    <w:rsid w:val="00174EB6"/>
    <w:rsid w:val="001752DC"/>
    <w:rsid w:val="001756CA"/>
    <w:rsid w:val="00176573"/>
    <w:rsid w:val="00176C45"/>
    <w:rsid w:val="00177337"/>
    <w:rsid w:val="0018009A"/>
    <w:rsid w:val="00180653"/>
    <w:rsid w:val="00180A32"/>
    <w:rsid w:val="00184072"/>
    <w:rsid w:val="00184403"/>
    <w:rsid w:val="00184897"/>
    <w:rsid w:val="00185073"/>
    <w:rsid w:val="00185513"/>
    <w:rsid w:val="00185880"/>
    <w:rsid w:val="00185E39"/>
    <w:rsid w:val="00186008"/>
    <w:rsid w:val="00186092"/>
    <w:rsid w:val="001866B2"/>
    <w:rsid w:val="00186AF0"/>
    <w:rsid w:val="00186C86"/>
    <w:rsid w:val="0018777F"/>
    <w:rsid w:val="00187854"/>
    <w:rsid w:val="00187CD5"/>
    <w:rsid w:val="001911A6"/>
    <w:rsid w:val="00191390"/>
    <w:rsid w:val="00191770"/>
    <w:rsid w:val="00191C00"/>
    <w:rsid w:val="00191D8B"/>
    <w:rsid w:val="001922EF"/>
    <w:rsid w:val="001934E1"/>
    <w:rsid w:val="0019382D"/>
    <w:rsid w:val="00193931"/>
    <w:rsid w:val="00193CC0"/>
    <w:rsid w:val="00193DC5"/>
    <w:rsid w:val="00193ED8"/>
    <w:rsid w:val="0019431E"/>
    <w:rsid w:val="0019472D"/>
    <w:rsid w:val="001949C1"/>
    <w:rsid w:val="00194F7E"/>
    <w:rsid w:val="00195021"/>
    <w:rsid w:val="00195A31"/>
    <w:rsid w:val="00196421"/>
    <w:rsid w:val="00196D0E"/>
    <w:rsid w:val="00197242"/>
    <w:rsid w:val="0019777A"/>
    <w:rsid w:val="00197AB0"/>
    <w:rsid w:val="001A0E56"/>
    <w:rsid w:val="001A12F9"/>
    <w:rsid w:val="001A14BA"/>
    <w:rsid w:val="001A1908"/>
    <w:rsid w:val="001A1EF3"/>
    <w:rsid w:val="001A23D5"/>
    <w:rsid w:val="001A2E10"/>
    <w:rsid w:val="001A34F8"/>
    <w:rsid w:val="001A4195"/>
    <w:rsid w:val="001A4755"/>
    <w:rsid w:val="001A5965"/>
    <w:rsid w:val="001A6106"/>
    <w:rsid w:val="001A6569"/>
    <w:rsid w:val="001A6E5B"/>
    <w:rsid w:val="001B13D2"/>
    <w:rsid w:val="001B280F"/>
    <w:rsid w:val="001B3A20"/>
    <w:rsid w:val="001B3B66"/>
    <w:rsid w:val="001B4550"/>
    <w:rsid w:val="001B46B0"/>
    <w:rsid w:val="001B56C1"/>
    <w:rsid w:val="001B5DF2"/>
    <w:rsid w:val="001B616D"/>
    <w:rsid w:val="001B6384"/>
    <w:rsid w:val="001B6539"/>
    <w:rsid w:val="001B6877"/>
    <w:rsid w:val="001B7C20"/>
    <w:rsid w:val="001C040C"/>
    <w:rsid w:val="001C0F09"/>
    <w:rsid w:val="001C1CB6"/>
    <w:rsid w:val="001C2E3A"/>
    <w:rsid w:val="001C3779"/>
    <w:rsid w:val="001C37AE"/>
    <w:rsid w:val="001C3937"/>
    <w:rsid w:val="001C3943"/>
    <w:rsid w:val="001C3B74"/>
    <w:rsid w:val="001C47E9"/>
    <w:rsid w:val="001C48C1"/>
    <w:rsid w:val="001C5126"/>
    <w:rsid w:val="001C63E2"/>
    <w:rsid w:val="001C6431"/>
    <w:rsid w:val="001D4012"/>
    <w:rsid w:val="001D4769"/>
    <w:rsid w:val="001D4B6F"/>
    <w:rsid w:val="001D50FE"/>
    <w:rsid w:val="001D5849"/>
    <w:rsid w:val="001D65A2"/>
    <w:rsid w:val="001D68F4"/>
    <w:rsid w:val="001D7D77"/>
    <w:rsid w:val="001E03AD"/>
    <w:rsid w:val="001E07D8"/>
    <w:rsid w:val="001E0A3C"/>
    <w:rsid w:val="001E0AB1"/>
    <w:rsid w:val="001E0CBE"/>
    <w:rsid w:val="001E0D80"/>
    <w:rsid w:val="001E1831"/>
    <w:rsid w:val="001E18A5"/>
    <w:rsid w:val="001E3ED4"/>
    <w:rsid w:val="001E40EF"/>
    <w:rsid w:val="001E4831"/>
    <w:rsid w:val="001E4F78"/>
    <w:rsid w:val="001E50BB"/>
    <w:rsid w:val="001E54C7"/>
    <w:rsid w:val="001E5CC0"/>
    <w:rsid w:val="001E696B"/>
    <w:rsid w:val="001E70B7"/>
    <w:rsid w:val="001E7901"/>
    <w:rsid w:val="001E7CF7"/>
    <w:rsid w:val="001F068D"/>
    <w:rsid w:val="001F0B2F"/>
    <w:rsid w:val="001F1088"/>
    <w:rsid w:val="001F1AF4"/>
    <w:rsid w:val="001F2944"/>
    <w:rsid w:val="001F2B28"/>
    <w:rsid w:val="001F3A5B"/>
    <w:rsid w:val="001F41EB"/>
    <w:rsid w:val="001F45FD"/>
    <w:rsid w:val="001F4B02"/>
    <w:rsid w:val="001F548A"/>
    <w:rsid w:val="001F61C9"/>
    <w:rsid w:val="001F7EF0"/>
    <w:rsid w:val="0020001A"/>
    <w:rsid w:val="002014B2"/>
    <w:rsid w:val="0020159C"/>
    <w:rsid w:val="0020180A"/>
    <w:rsid w:val="0020372A"/>
    <w:rsid w:val="00203911"/>
    <w:rsid w:val="00204597"/>
    <w:rsid w:val="0020481F"/>
    <w:rsid w:val="00204E75"/>
    <w:rsid w:val="00204FA4"/>
    <w:rsid w:val="00207394"/>
    <w:rsid w:val="0020777A"/>
    <w:rsid w:val="00207E48"/>
    <w:rsid w:val="00210893"/>
    <w:rsid w:val="00210C70"/>
    <w:rsid w:val="00211093"/>
    <w:rsid w:val="00211571"/>
    <w:rsid w:val="00211C5E"/>
    <w:rsid w:val="00212DA7"/>
    <w:rsid w:val="002133CE"/>
    <w:rsid w:val="002148D8"/>
    <w:rsid w:val="00214C6D"/>
    <w:rsid w:val="0021596E"/>
    <w:rsid w:val="0021605C"/>
    <w:rsid w:val="002160FD"/>
    <w:rsid w:val="002219CE"/>
    <w:rsid w:val="00221E87"/>
    <w:rsid w:val="00222B88"/>
    <w:rsid w:val="002232B1"/>
    <w:rsid w:val="00223429"/>
    <w:rsid w:val="0022384F"/>
    <w:rsid w:val="002245E2"/>
    <w:rsid w:val="00224EB6"/>
    <w:rsid w:val="0022543A"/>
    <w:rsid w:val="00225621"/>
    <w:rsid w:val="0022586F"/>
    <w:rsid w:val="002258C0"/>
    <w:rsid w:val="00225CC9"/>
    <w:rsid w:val="0022618C"/>
    <w:rsid w:val="002262D3"/>
    <w:rsid w:val="0023016B"/>
    <w:rsid w:val="00230509"/>
    <w:rsid w:val="00230671"/>
    <w:rsid w:val="00230E14"/>
    <w:rsid w:val="00230F5B"/>
    <w:rsid w:val="00231BF2"/>
    <w:rsid w:val="00232D0C"/>
    <w:rsid w:val="002337BB"/>
    <w:rsid w:val="00233827"/>
    <w:rsid w:val="00233CDB"/>
    <w:rsid w:val="00234C31"/>
    <w:rsid w:val="00235085"/>
    <w:rsid w:val="0023518D"/>
    <w:rsid w:val="0023552B"/>
    <w:rsid w:val="0023630D"/>
    <w:rsid w:val="00236355"/>
    <w:rsid w:val="00237A22"/>
    <w:rsid w:val="00237C6E"/>
    <w:rsid w:val="00237D67"/>
    <w:rsid w:val="002405A2"/>
    <w:rsid w:val="00242295"/>
    <w:rsid w:val="00242F56"/>
    <w:rsid w:val="002431A8"/>
    <w:rsid w:val="0024345A"/>
    <w:rsid w:val="00243CC3"/>
    <w:rsid w:val="00243D32"/>
    <w:rsid w:val="002441C8"/>
    <w:rsid w:val="0024433D"/>
    <w:rsid w:val="00246720"/>
    <w:rsid w:val="002468EE"/>
    <w:rsid w:val="00247036"/>
    <w:rsid w:val="00250B23"/>
    <w:rsid w:val="00250FAA"/>
    <w:rsid w:val="00252374"/>
    <w:rsid w:val="002526C5"/>
    <w:rsid w:val="00253107"/>
    <w:rsid w:val="0025462B"/>
    <w:rsid w:val="002550C0"/>
    <w:rsid w:val="00255137"/>
    <w:rsid w:val="002555A6"/>
    <w:rsid w:val="00255A7F"/>
    <w:rsid w:val="00257701"/>
    <w:rsid w:val="002601C5"/>
    <w:rsid w:val="00260D41"/>
    <w:rsid w:val="00260F9A"/>
    <w:rsid w:val="00261ED7"/>
    <w:rsid w:val="00261F82"/>
    <w:rsid w:val="00263102"/>
    <w:rsid w:val="00263629"/>
    <w:rsid w:val="0026552E"/>
    <w:rsid w:val="00265D2A"/>
    <w:rsid w:val="00266209"/>
    <w:rsid w:val="002662DD"/>
    <w:rsid w:val="00267CD6"/>
    <w:rsid w:val="00267FF5"/>
    <w:rsid w:val="00270253"/>
    <w:rsid w:val="00270A3C"/>
    <w:rsid w:val="00270CFB"/>
    <w:rsid w:val="00270E23"/>
    <w:rsid w:val="002718B6"/>
    <w:rsid w:val="00271D19"/>
    <w:rsid w:val="00271F60"/>
    <w:rsid w:val="002728C1"/>
    <w:rsid w:val="00272D39"/>
    <w:rsid w:val="0027334C"/>
    <w:rsid w:val="00274D00"/>
    <w:rsid w:val="00274EC8"/>
    <w:rsid w:val="00274F01"/>
    <w:rsid w:val="00275F43"/>
    <w:rsid w:val="00276C1C"/>
    <w:rsid w:val="00276CFD"/>
    <w:rsid w:val="00277E0F"/>
    <w:rsid w:val="00280227"/>
    <w:rsid w:val="002815CD"/>
    <w:rsid w:val="0028245C"/>
    <w:rsid w:val="00283009"/>
    <w:rsid w:val="002834A2"/>
    <w:rsid w:val="00283936"/>
    <w:rsid w:val="002848B3"/>
    <w:rsid w:val="00284940"/>
    <w:rsid w:val="00285536"/>
    <w:rsid w:val="00286354"/>
    <w:rsid w:val="0028673F"/>
    <w:rsid w:val="00286ECD"/>
    <w:rsid w:val="00286EF2"/>
    <w:rsid w:val="00287B32"/>
    <w:rsid w:val="00287F42"/>
    <w:rsid w:val="00290DD9"/>
    <w:rsid w:val="00290E07"/>
    <w:rsid w:val="00291D39"/>
    <w:rsid w:val="0029245F"/>
    <w:rsid w:val="0029248B"/>
    <w:rsid w:val="002925EC"/>
    <w:rsid w:val="00292AF0"/>
    <w:rsid w:val="002944C9"/>
    <w:rsid w:val="00294BA1"/>
    <w:rsid w:val="00295343"/>
    <w:rsid w:val="00296027"/>
    <w:rsid w:val="00296CD6"/>
    <w:rsid w:val="0029732A"/>
    <w:rsid w:val="0029744E"/>
    <w:rsid w:val="00297C09"/>
    <w:rsid w:val="00297D84"/>
    <w:rsid w:val="002A00A6"/>
    <w:rsid w:val="002A074A"/>
    <w:rsid w:val="002A08E8"/>
    <w:rsid w:val="002A0DB7"/>
    <w:rsid w:val="002A116B"/>
    <w:rsid w:val="002A118A"/>
    <w:rsid w:val="002A1219"/>
    <w:rsid w:val="002A12A9"/>
    <w:rsid w:val="002A158D"/>
    <w:rsid w:val="002A19FC"/>
    <w:rsid w:val="002A3A73"/>
    <w:rsid w:val="002A4185"/>
    <w:rsid w:val="002A4802"/>
    <w:rsid w:val="002A4983"/>
    <w:rsid w:val="002A58BE"/>
    <w:rsid w:val="002A671B"/>
    <w:rsid w:val="002A6797"/>
    <w:rsid w:val="002A6B3C"/>
    <w:rsid w:val="002A6E52"/>
    <w:rsid w:val="002A7AA3"/>
    <w:rsid w:val="002B12C5"/>
    <w:rsid w:val="002B1BBD"/>
    <w:rsid w:val="002B1C3B"/>
    <w:rsid w:val="002B1C85"/>
    <w:rsid w:val="002B1C96"/>
    <w:rsid w:val="002B36C1"/>
    <w:rsid w:val="002B4FBD"/>
    <w:rsid w:val="002B5C7B"/>
    <w:rsid w:val="002B5F4D"/>
    <w:rsid w:val="002B6045"/>
    <w:rsid w:val="002B6408"/>
    <w:rsid w:val="002B78D4"/>
    <w:rsid w:val="002C14FB"/>
    <w:rsid w:val="002C21F3"/>
    <w:rsid w:val="002C238E"/>
    <w:rsid w:val="002C2CD5"/>
    <w:rsid w:val="002C2EAA"/>
    <w:rsid w:val="002C30C7"/>
    <w:rsid w:val="002C36B9"/>
    <w:rsid w:val="002C4FC2"/>
    <w:rsid w:val="002C70EC"/>
    <w:rsid w:val="002C7396"/>
    <w:rsid w:val="002D06CF"/>
    <w:rsid w:val="002D080A"/>
    <w:rsid w:val="002D0970"/>
    <w:rsid w:val="002D14A9"/>
    <w:rsid w:val="002D1732"/>
    <w:rsid w:val="002D2D9E"/>
    <w:rsid w:val="002D304D"/>
    <w:rsid w:val="002D3644"/>
    <w:rsid w:val="002D3856"/>
    <w:rsid w:val="002D3F96"/>
    <w:rsid w:val="002D4693"/>
    <w:rsid w:val="002D492E"/>
    <w:rsid w:val="002D5EA1"/>
    <w:rsid w:val="002D5FA1"/>
    <w:rsid w:val="002E0A92"/>
    <w:rsid w:val="002E0E37"/>
    <w:rsid w:val="002E1D0A"/>
    <w:rsid w:val="002E21F7"/>
    <w:rsid w:val="002E25BF"/>
    <w:rsid w:val="002E330B"/>
    <w:rsid w:val="002E400B"/>
    <w:rsid w:val="002E4B80"/>
    <w:rsid w:val="002E55B7"/>
    <w:rsid w:val="002E5C62"/>
    <w:rsid w:val="002E674B"/>
    <w:rsid w:val="002E7A05"/>
    <w:rsid w:val="002E7EC0"/>
    <w:rsid w:val="002F09FC"/>
    <w:rsid w:val="002F0A5A"/>
    <w:rsid w:val="002F0AF2"/>
    <w:rsid w:val="002F0BA7"/>
    <w:rsid w:val="002F0E7E"/>
    <w:rsid w:val="002F1039"/>
    <w:rsid w:val="002F15FF"/>
    <w:rsid w:val="002F1E8A"/>
    <w:rsid w:val="002F3209"/>
    <w:rsid w:val="002F349E"/>
    <w:rsid w:val="002F3A4D"/>
    <w:rsid w:val="002F45A1"/>
    <w:rsid w:val="002F45D7"/>
    <w:rsid w:val="002F5091"/>
    <w:rsid w:val="002F5131"/>
    <w:rsid w:val="002F57CE"/>
    <w:rsid w:val="002F5830"/>
    <w:rsid w:val="002F5926"/>
    <w:rsid w:val="002F6A37"/>
    <w:rsid w:val="002F6C87"/>
    <w:rsid w:val="002F75EE"/>
    <w:rsid w:val="00300447"/>
    <w:rsid w:val="00300A4C"/>
    <w:rsid w:val="00300D5A"/>
    <w:rsid w:val="0030117E"/>
    <w:rsid w:val="003013ED"/>
    <w:rsid w:val="003019AD"/>
    <w:rsid w:val="00301AB5"/>
    <w:rsid w:val="003028F3"/>
    <w:rsid w:val="003029FB"/>
    <w:rsid w:val="003039BB"/>
    <w:rsid w:val="00303F7E"/>
    <w:rsid w:val="00304A6A"/>
    <w:rsid w:val="00304AF9"/>
    <w:rsid w:val="003054FF"/>
    <w:rsid w:val="003055BF"/>
    <w:rsid w:val="00305E75"/>
    <w:rsid w:val="00306126"/>
    <w:rsid w:val="003064C4"/>
    <w:rsid w:val="00307881"/>
    <w:rsid w:val="003103BF"/>
    <w:rsid w:val="003114B4"/>
    <w:rsid w:val="00311E79"/>
    <w:rsid w:val="00312081"/>
    <w:rsid w:val="00312669"/>
    <w:rsid w:val="003129E7"/>
    <w:rsid w:val="003149D9"/>
    <w:rsid w:val="003150D8"/>
    <w:rsid w:val="00315148"/>
    <w:rsid w:val="00315715"/>
    <w:rsid w:val="003176E7"/>
    <w:rsid w:val="003207A7"/>
    <w:rsid w:val="00320B6F"/>
    <w:rsid w:val="00320F02"/>
    <w:rsid w:val="003218E7"/>
    <w:rsid w:val="00322995"/>
    <w:rsid w:val="00322B17"/>
    <w:rsid w:val="00322D58"/>
    <w:rsid w:val="00323968"/>
    <w:rsid w:val="00324D66"/>
    <w:rsid w:val="00326197"/>
    <w:rsid w:val="00326B55"/>
    <w:rsid w:val="00326ECC"/>
    <w:rsid w:val="0033021F"/>
    <w:rsid w:val="00331823"/>
    <w:rsid w:val="0033189D"/>
    <w:rsid w:val="00331BAB"/>
    <w:rsid w:val="003327FB"/>
    <w:rsid w:val="003329EF"/>
    <w:rsid w:val="00334AE0"/>
    <w:rsid w:val="003374A4"/>
    <w:rsid w:val="00337AD6"/>
    <w:rsid w:val="00337B39"/>
    <w:rsid w:val="0034019C"/>
    <w:rsid w:val="003408CD"/>
    <w:rsid w:val="00340A26"/>
    <w:rsid w:val="00340B6A"/>
    <w:rsid w:val="00340BFA"/>
    <w:rsid w:val="00341D25"/>
    <w:rsid w:val="00341E58"/>
    <w:rsid w:val="0034205F"/>
    <w:rsid w:val="00342801"/>
    <w:rsid w:val="003428C3"/>
    <w:rsid w:val="00343FD7"/>
    <w:rsid w:val="00344EC3"/>
    <w:rsid w:val="00345260"/>
    <w:rsid w:val="003455CD"/>
    <w:rsid w:val="00346D46"/>
    <w:rsid w:val="00347496"/>
    <w:rsid w:val="00347536"/>
    <w:rsid w:val="00350FA6"/>
    <w:rsid w:val="00351B56"/>
    <w:rsid w:val="00351DAC"/>
    <w:rsid w:val="00353646"/>
    <w:rsid w:val="00353A1A"/>
    <w:rsid w:val="00353C7B"/>
    <w:rsid w:val="00354690"/>
    <w:rsid w:val="00354726"/>
    <w:rsid w:val="00355C21"/>
    <w:rsid w:val="00355EAB"/>
    <w:rsid w:val="00355F69"/>
    <w:rsid w:val="00357AEE"/>
    <w:rsid w:val="00361868"/>
    <w:rsid w:val="00362770"/>
    <w:rsid w:val="00362EF3"/>
    <w:rsid w:val="00362F8D"/>
    <w:rsid w:val="00363894"/>
    <w:rsid w:val="003638C1"/>
    <w:rsid w:val="00365380"/>
    <w:rsid w:val="003654C5"/>
    <w:rsid w:val="0036572F"/>
    <w:rsid w:val="00365A7F"/>
    <w:rsid w:val="00365BDC"/>
    <w:rsid w:val="00366322"/>
    <w:rsid w:val="0036685A"/>
    <w:rsid w:val="00366992"/>
    <w:rsid w:val="00366E90"/>
    <w:rsid w:val="00370507"/>
    <w:rsid w:val="0037143E"/>
    <w:rsid w:val="00371CAD"/>
    <w:rsid w:val="00373080"/>
    <w:rsid w:val="0037368B"/>
    <w:rsid w:val="003737BF"/>
    <w:rsid w:val="0037387F"/>
    <w:rsid w:val="00373D27"/>
    <w:rsid w:val="0037427F"/>
    <w:rsid w:val="00374481"/>
    <w:rsid w:val="00374738"/>
    <w:rsid w:val="00375BE2"/>
    <w:rsid w:val="00376729"/>
    <w:rsid w:val="00376AD9"/>
    <w:rsid w:val="00377053"/>
    <w:rsid w:val="00377433"/>
    <w:rsid w:val="0037793D"/>
    <w:rsid w:val="00377ED4"/>
    <w:rsid w:val="0038069E"/>
    <w:rsid w:val="003807FB"/>
    <w:rsid w:val="00381048"/>
    <w:rsid w:val="00381702"/>
    <w:rsid w:val="00382A1B"/>
    <w:rsid w:val="00382FF7"/>
    <w:rsid w:val="00383BA0"/>
    <w:rsid w:val="0038597E"/>
    <w:rsid w:val="00385E5A"/>
    <w:rsid w:val="003860D5"/>
    <w:rsid w:val="003861B4"/>
    <w:rsid w:val="00386C09"/>
    <w:rsid w:val="0038711C"/>
    <w:rsid w:val="00387858"/>
    <w:rsid w:val="003911F9"/>
    <w:rsid w:val="00391890"/>
    <w:rsid w:val="00391A9C"/>
    <w:rsid w:val="00391B00"/>
    <w:rsid w:val="00392127"/>
    <w:rsid w:val="00392C4F"/>
    <w:rsid w:val="00392C5A"/>
    <w:rsid w:val="00395CA5"/>
    <w:rsid w:val="003973B5"/>
    <w:rsid w:val="00397854"/>
    <w:rsid w:val="003A00C5"/>
    <w:rsid w:val="003A0B50"/>
    <w:rsid w:val="003A0BA1"/>
    <w:rsid w:val="003A100B"/>
    <w:rsid w:val="003A1602"/>
    <w:rsid w:val="003A211A"/>
    <w:rsid w:val="003A321F"/>
    <w:rsid w:val="003A389A"/>
    <w:rsid w:val="003A401B"/>
    <w:rsid w:val="003A4192"/>
    <w:rsid w:val="003A4B64"/>
    <w:rsid w:val="003A5C51"/>
    <w:rsid w:val="003A6F42"/>
    <w:rsid w:val="003A7A07"/>
    <w:rsid w:val="003B130F"/>
    <w:rsid w:val="003B47F6"/>
    <w:rsid w:val="003B4848"/>
    <w:rsid w:val="003B49F8"/>
    <w:rsid w:val="003B4DB1"/>
    <w:rsid w:val="003B4E84"/>
    <w:rsid w:val="003B5555"/>
    <w:rsid w:val="003B57E6"/>
    <w:rsid w:val="003B5F05"/>
    <w:rsid w:val="003B6E88"/>
    <w:rsid w:val="003C06DB"/>
    <w:rsid w:val="003C1728"/>
    <w:rsid w:val="003C1F47"/>
    <w:rsid w:val="003C208B"/>
    <w:rsid w:val="003C23AF"/>
    <w:rsid w:val="003C2ED0"/>
    <w:rsid w:val="003C39CC"/>
    <w:rsid w:val="003C4814"/>
    <w:rsid w:val="003C4A28"/>
    <w:rsid w:val="003C5187"/>
    <w:rsid w:val="003C574B"/>
    <w:rsid w:val="003C6095"/>
    <w:rsid w:val="003C6324"/>
    <w:rsid w:val="003C66A3"/>
    <w:rsid w:val="003C6E75"/>
    <w:rsid w:val="003C7172"/>
    <w:rsid w:val="003D0A95"/>
    <w:rsid w:val="003D211A"/>
    <w:rsid w:val="003D24DD"/>
    <w:rsid w:val="003D2712"/>
    <w:rsid w:val="003D3D8C"/>
    <w:rsid w:val="003D3F1A"/>
    <w:rsid w:val="003D5302"/>
    <w:rsid w:val="003D5D2C"/>
    <w:rsid w:val="003D62F5"/>
    <w:rsid w:val="003D68CA"/>
    <w:rsid w:val="003D69E2"/>
    <w:rsid w:val="003D6D69"/>
    <w:rsid w:val="003D7363"/>
    <w:rsid w:val="003D738D"/>
    <w:rsid w:val="003E0167"/>
    <w:rsid w:val="003E0A76"/>
    <w:rsid w:val="003E0DFF"/>
    <w:rsid w:val="003E1857"/>
    <w:rsid w:val="003E1D1D"/>
    <w:rsid w:val="003E26B5"/>
    <w:rsid w:val="003E3B74"/>
    <w:rsid w:val="003E4DA2"/>
    <w:rsid w:val="003E5ABC"/>
    <w:rsid w:val="003E60E4"/>
    <w:rsid w:val="003E6144"/>
    <w:rsid w:val="003E6B7B"/>
    <w:rsid w:val="003E6FA0"/>
    <w:rsid w:val="003E7030"/>
    <w:rsid w:val="003E70B4"/>
    <w:rsid w:val="003F04A9"/>
    <w:rsid w:val="003F0A2E"/>
    <w:rsid w:val="003F30C9"/>
    <w:rsid w:val="003F39B5"/>
    <w:rsid w:val="003F41C1"/>
    <w:rsid w:val="003F4EC0"/>
    <w:rsid w:val="003F5745"/>
    <w:rsid w:val="003F62BB"/>
    <w:rsid w:val="003F63BC"/>
    <w:rsid w:val="003F67F6"/>
    <w:rsid w:val="0040009D"/>
    <w:rsid w:val="00400C2B"/>
    <w:rsid w:val="00400E24"/>
    <w:rsid w:val="00401E17"/>
    <w:rsid w:val="00401FDF"/>
    <w:rsid w:val="00402AA7"/>
    <w:rsid w:val="00403B8C"/>
    <w:rsid w:val="00404702"/>
    <w:rsid w:val="00404FF0"/>
    <w:rsid w:val="00405444"/>
    <w:rsid w:val="00405E83"/>
    <w:rsid w:val="00405F1A"/>
    <w:rsid w:val="00406029"/>
    <w:rsid w:val="004067F5"/>
    <w:rsid w:val="00406EF6"/>
    <w:rsid w:val="00407C27"/>
    <w:rsid w:val="004111A4"/>
    <w:rsid w:val="004111B2"/>
    <w:rsid w:val="00411478"/>
    <w:rsid w:val="00411E99"/>
    <w:rsid w:val="00413565"/>
    <w:rsid w:val="004136C2"/>
    <w:rsid w:val="0041425F"/>
    <w:rsid w:val="0041475C"/>
    <w:rsid w:val="0041490A"/>
    <w:rsid w:val="00414DFA"/>
    <w:rsid w:val="00414E5F"/>
    <w:rsid w:val="00414F90"/>
    <w:rsid w:val="0041619B"/>
    <w:rsid w:val="00416451"/>
    <w:rsid w:val="00421B1A"/>
    <w:rsid w:val="00422A9E"/>
    <w:rsid w:val="00422BCC"/>
    <w:rsid w:val="00422DCE"/>
    <w:rsid w:val="00422EE2"/>
    <w:rsid w:val="004235A6"/>
    <w:rsid w:val="00423D01"/>
    <w:rsid w:val="004240D0"/>
    <w:rsid w:val="004250A8"/>
    <w:rsid w:val="00425E1C"/>
    <w:rsid w:val="00426108"/>
    <w:rsid w:val="004264B6"/>
    <w:rsid w:val="00426680"/>
    <w:rsid w:val="00426C7B"/>
    <w:rsid w:val="00427576"/>
    <w:rsid w:val="00427E38"/>
    <w:rsid w:val="00430109"/>
    <w:rsid w:val="00431150"/>
    <w:rsid w:val="0043179B"/>
    <w:rsid w:val="00433537"/>
    <w:rsid w:val="004337F0"/>
    <w:rsid w:val="00440CAE"/>
    <w:rsid w:val="004412A7"/>
    <w:rsid w:val="00441B00"/>
    <w:rsid w:val="00441D77"/>
    <w:rsid w:val="00441EFD"/>
    <w:rsid w:val="00441FF4"/>
    <w:rsid w:val="00443124"/>
    <w:rsid w:val="004432A0"/>
    <w:rsid w:val="004436E5"/>
    <w:rsid w:val="004436E7"/>
    <w:rsid w:val="00443F05"/>
    <w:rsid w:val="00443FBA"/>
    <w:rsid w:val="004442D7"/>
    <w:rsid w:val="00444656"/>
    <w:rsid w:val="004449B9"/>
    <w:rsid w:val="00444D24"/>
    <w:rsid w:val="004452FC"/>
    <w:rsid w:val="00445650"/>
    <w:rsid w:val="004461DC"/>
    <w:rsid w:val="00446B50"/>
    <w:rsid w:val="00447905"/>
    <w:rsid w:val="004503B1"/>
    <w:rsid w:val="00450ED3"/>
    <w:rsid w:val="00451489"/>
    <w:rsid w:val="00453971"/>
    <w:rsid w:val="00453AFB"/>
    <w:rsid w:val="004543B1"/>
    <w:rsid w:val="00454628"/>
    <w:rsid w:val="00455F54"/>
    <w:rsid w:val="00456396"/>
    <w:rsid w:val="00456CDA"/>
    <w:rsid w:val="0045748A"/>
    <w:rsid w:val="00457930"/>
    <w:rsid w:val="0046150B"/>
    <w:rsid w:val="004617CA"/>
    <w:rsid w:val="0046361C"/>
    <w:rsid w:val="00463A53"/>
    <w:rsid w:val="00463B2B"/>
    <w:rsid w:val="00463BFD"/>
    <w:rsid w:val="00464011"/>
    <w:rsid w:val="00464682"/>
    <w:rsid w:val="0046548E"/>
    <w:rsid w:val="00465799"/>
    <w:rsid w:val="00465BF2"/>
    <w:rsid w:val="0046641C"/>
    <w:rsid w:val="00466BFC"/>
    <w:rsid w:val="00466F6D"/>
    <w:rsid w:val="00470517"/>
    <w:rsid w:val="00471A98"/>
    <w:rsid w:val="00471B2A"/>
    <w:rsid w:val="00473539"/>
    <w:rsid w:val="00473928"/>
    <w:rsid w:val="00474122"/>
    <w:rsid w:val="004748DD"/>
    <w:rsid w:val="00474959"/>
    <w:rsid w:val="00475533"/>
    <w:rsid w:val="0047601C"/>
    <w:rsid w:val="0047658F"/>
    <w:rsid w:val="004766BF"/>
    <w:rsid w:val="00476BF7"/>
    <w:rsid w:val="00477009"/>
    <w:rsid w:val="0047703E"/>
    <w:rsid w:val="004773C5"/>
    <w:rsid w:val="004809AD"/>
    <w:rsid w:val="00480FDB"/>
    <w:rsid w:val="004810BF"/>
    <w:rsid w:val="00481D66"/>
    <w:rsid w:val="004837F1"/>
    <w:rsid w:val="00484019"/>
    <w:rsid w:val="00485256"/>
    <w:rsid w:val="00485920"/>
    <w:rsid w:val="00486619"/>
    <w:rsid w:val="00486B54"/>
    <w:rsid w:val="00487494"/>
    <w:rsid w:val="00490E32"/>
    <w:rsid w:val="00490E9F"/>
    <w:rsid w:val="00491B92"/>
    <w:rsid w:val="00491FAC"/>
    <w:rsid w:val="00492125"/>
    <w:rsid w:val="00492E4B"/>
    <w:rsid w:val="00492F83"/>
    <w:rsid w:val="004931B9"/>
    <w:rsid w:val="00493644"/>
    <w:rsid w:val="00493BE9"/>
    <w:rsid w:val="0049407E"/>
    <w:rsid w:val="004946F3"/>
    <w:rsid w:val="00494C74"/>
    <w:rsid w:val="0049742D"/>
    <w:rsid w:val="004974B8"/>
    <w:rsid w:val="004A106A"/>
    <w:rsid w:val="004A1334"/>
    <w:rsid w:val="004A1440"/>
    <w:rsid w:val="004A1FC1"/>
    <w:rsid w:val="004A2307"/>
    <w:rsid w:val="004A2464"/>
    <w:rsid w:val="004A2560"/>
    <w:rsid w:val="004A2E6A"/>
    <w:rsid w:val="004A300F"/>
    <w:rsid w:val="004A3EED"/>
    <w:rsid w:val="004A40E9"/>
    <w:rsid w:val="004A4554"/>
    <w:rsid w:val="004A5375"/>
    <w:rsid w:val="004A544E"/>
    <w:rsid w:val="004A6334"/>
    <w:rsid w:val="004A6DE9"/>
    <w:rsid w:val="004A7A0F"/>
    <w:rsid w:val="004A7AB6"/>
    <w:rsid w:val="004B1ABD"/>
    <w:rsid w:val="004B27E0"/>
    <w:rsid w:val="004B2838"/>
    <w:rsid w:val="004B2FCD"/>
    <w:rsid w:val="004B45FC"/>
    <w:rsid w:val="004B5252"/>
    <w:rsid w:val="004B5641"/>
    <w:rsid w:val="004B58E7"/>
    <w:rsid w:val="004B7363"/>
    <w:rsid w:val="004B762D"/>
    <w:rsid w:val="004C0996"/>
    <w:rsid w:val="004C1FCA"/>
    <w:rsid w:val="004C2656"/>
    <w:rsid w:val="004C30F8"/>
    <w:rsid w:val="004C3AF8"/>
    <w:rsid w:val="004C3B3B"/>
    <w:rsid w:val="004C403A"/>
    <w:rsid w:val="004C42C7"/>
    <w:rsid w:val="004C582A"/>
    <w:rsid w:val="004C6262"/>
    <w:rsid w:val="004C68FF"/>
    <w:rsid w:val="004C7AD4"/>
    <w:rsid w:val="004C7DB7"/>
    <w:rsid w:val="004D0C5E"/>
    <w:rsid w:val="004D1204"/>
    <w:rsid w:val="004D1B47"/>
    <w:rsid w:val="004D1CAC"/>
    <w:rsid w:val="004D1DB3"/>
    <w:rsid w:val="004D371D"/>
    <w:rsid w:val="004D3868"/>
    <w:rsid w:val="004D3D5F"/>
    <w:rsid w:val="004D4C68"/>
    <w:rsid w:val="004D4F8F"/>
    <w:rsid w:val="004D6B42"/>
    <w:rsid w:val="004D7301"/>
    <w:rsid w:val="004D7F61"/>
    <w:rsid w:val="004E0E17"/>
    <w:rsid w:val="004E18AC"/>
    <w:rsid w:val="004E1B44"/>
    <w:rsid w:val="004E1F92"/>
    <w:rsid w:val="004E25D2"/>
    <w:rsid w:val="004E3524"/>
    <w:rsid w:val="004E357B"/>
    <w:rsid w:val="004E386F"/>
    <w:rsid w:val="004E39A7"/>
    <w:rsid w:val="004E42A1"/>
    <w:rsid w:val="004E475B"/>
    <w:rsid w:val="004E5F5F"/>
    <w:rsid w:val="004E6694"/>
    <w:rsid w:val="004E6E55"/>
    <w:rsid w:val="004E77F2"/>
    <w:rsid w:val="004E7902"/>
    <w:rsid w:val="004E7CF9"/>
    <w:rsid w:val="004F0E30"/>
    <w:rsid w:val="004F1AED"/>
    <w:rsid w:val="004F26D6"/>
    <w:rsid w:val="004F2845"/>
    <w:rsid w:val="004F2D7E"/>
    <w:rsid w:val="004F38E3"/>
    <w:rsid w:val="004F3F9C"/>
    <w:rsid w:val="004F49E1"/>
    <w:rsid w:val="004F54D0"/>
    <w:rsid w:val="004F61BD"/>
    <w:rsid w:val="004F61C4"/>
    <w:rsid w:val="004F6829"/>
    <w:rsid w:val="004F7359"/>
    <w:rsid w:val="00501F5D"/>
    <w:rsid w:val="00502068"/>
    <w:rsid w:val="005025F3"/>
    <w:rsid w:val="00502EA1"/>
    <w:rsid w:val="00505804"/>
    <w:rsid w:val="00505C95"/>
    <w:rsid w:val="00507EA1"/>
    <w:rsid w:val="005102EC"/>
    <w:rsid w:val="0051033C"/>
    <w:rsid w:val="00510D90"/>
    <w:rsid w:val="00511FFF"/>
    <w:rsid w:val="00512F95"/>
    <w:rsid w:val="005146D0"/>
    <w:rsid w:val="00516D6E"/>
    <w:rsid w:val="00517ACA"/>
    <w:rsid w:val="00521136"/>
    <w:rsid w:val="0052187D"/>
    <w:rsid w:val="005224E3"/>
    <w:rsid w:val="0052260F"/>
    <w:rsid w:val="005235FE"/>
    <w:rsid w:val="0052447F"/>
    <w:rsid w:val="00524EE9"/>
    <w:rsid w:val="00525114"/>
    <w:rsid w:val="00526180"/>
    <w:rsid w:val="00526265"/>
    <w:rsid w:val="00527270"/>
    <w:rsid w:val="00527321"/>
    <w:rsid w:val="00527581"/>
    <w:rsid w:val="00530050"/>
    <w:rsid w:val="0053023C"/>
    <w:rsid w:val="00531388"/>
    <w:rsid w:val="00531613"/>
    <w:rsid w:val="00531B50"/>
    <w:rsid w:val="00532CA4"/>
    <w:rsid w:val="00533B7B"/>
    <w:rsid w:val="00533EB7"/>
    <w:rsid w:val="005346F5"/>
    <w:rsid w:val="00534D59"/>
    <w:rsid w:val="00534F14"/>
    <w:rsid w:val="00535084"/>
    <w:rsid w:val="0053568B"/>
    <w:rsid w:val="00535C77"/>
    <w:rsid w:val="00535E2F"/>
    <w:rsid w:val="00536936"/>
    <w:rsid w:val="00536A0B"/>
    <w:rsid w:val="00537A36"/>
    <w:rsid w:val="00537AC4"/>
    <w:rsid w:val="00537B58"/>
    <w:rsid w:val="00540016"/>
    <w:rsid w:val="0054036E"/>
    <w:rsid w:val="00540925"/>
    <w:rsid w:val="00540AAB"/>
    <w:rsid w:val="00540D65"/>
    <w:rsid w:val="00540E1A"/>
    <w:rsid w:val="00541F49"/>
    <w:rsid w:val="00542AE7"/>
    <w:rsid w:val="00542C7D"/>
    <w:rsid w:val="00542E57"/>
    <w:rsid w:val="00543750"/>
    <w:rsid w:val="00543ADE"/>
    <w:rsid w:val="00544245"/>
    <w:rsid w:val="00544803"/>
    <w:rsid w:val="00544A5C"/>
    <w:rsid w:val="00544B02"/>
    <w:rsid w:val="00544E5F"/>
    <w:rsid w:val="00546407"/>
    <w:rsid w:val="005464DF"/>
    <w:rsid w:val="00546795"/>
    <w:rsid w:val="0054687A"/>
    <w:rsid w:val="005468D7"/>
    <w:rsid w:val="00546E0F"/>
    <w:rsid w:val="00546E30"/>
    <w:rsid w:val="0054732D"/>
    <w:rsid w:val="00547C02"/>
    <w:rsid w:val="00547EE3"/>
    <w:rsid w:val="005500D2"/>
    <w:rsid w:val="005503D1"/>
    <w:rsid w:val="005516EF"/>
    <w:rsid w:val="005518A6"/>
    <w:rsid w:val="00552460"/>
    <w:rsid w:val="005550F0"/>
    <w:rsid w:val="00556330"/>
    <w:rsid w:val="00556EEA"/>
    <w:rsid w:val="00557966"/>
    <w:rsid w:val="00557CF6"/>
    <w:rsid w:val="005600DC"/>
    <w:rsid w:val="00560ED6"/>
    <w:rsid w:val="00561760"/>
    <w:rsid w:val="00562B35"/>
    <w:rsid w:val="00563AC0"/>
    <w:rsid w:val="00563CE7"/>
    <w:rsid w:val="00564956"/>
    <w:rsid w:val="005649A5"/>
    <w:rsid w:val="00565856"/>
    <w:rsid w:val="00566EEC"/>
    <w:rsid w:val="00567077"/>
    <w:rsid w:val="00570889"/>
    <w:rsid w:val="00571E53"/>
    <w:rsid w:val="00572123"/>
    <w:rsid w:val="005727DE"/>
    <w:rsid w:val="005727E4"/>
    <w:rsid w:val="00572892"/>
    <w:rsid w:val="005728AF"/>
    <w:rsid w:val="00572C67"/>
    <w:rsid w:val="00573AB7"/>
    <w:rsid w:val="00573DA3"/>
    <w:rsid w:val="00574C9A"/>
    <w:rsid w:val="0057561F"/>
    <w:rsid w:val="00576189"/>
    <w:rsid w:val="005768C4"/>
    <w:rsid w:val="005802D2"/>
    <w:rsid w:val="00580863"/>
    <w:rsid w:val="00580985"/>
    <w:rsid w:val="00580D33"/>
    <w:rsid w:val="0058130B"/>
    <w:rsid w:val="00581945"/>
    <w:rsid w:val="00581E21"/>
    <w:rsid w:val="00582191"/>
    <w:rsid w:val="00583F90"/>
    <w:rsid w:val="005844D7"/>
    <w:rsid w:val="00585A69"/>
    <w:rsid w:val="00586274"/>
    <w:rsid w:val="0059023B"/>
    <w:rsid w:val="00590A19"/>
    <w:rsid w:val="0059104D"/>
    <w:rsid w:val="005918F5"/>
    <w:rsid w:val="005920F6"/>
    <w:rsid w:val="005924DC"/>
    <w:rsid w:val="0059250D"/>
    <w:rsid w:val="005941BF"/>
    <w:rsid w:val="00596364"/>
    <w:rsid w:val="005968DC"/>
    <w:rsid w:val="005972B6"/>
    <w:rsid w:val="00597B10"/>
    <w:rsid w:val="005A0149"/>
    <w:rsid w:val="005A0F07"/>
    <w:rsid w:val="005A1F19"/>
    <w:rsid w:val="005A2CBB"/>
    <w:rsid w:val="005A3462"/>
    <w:rsid w:val="005A42B1"/>
    <w:rsid w:val="005A436C"/>
    <w:rsid w:val="005A482B"/>
    <w:rsid w:val="005A540E"/>
    <w:rsid w:val="005A5E2F"/>
    <w:rsid w:val="005A63AB"/>
    <w:rsid w:val="005A678D"/>
    <w:rsid w:val="005A747F"/>
    <w:rsid w:val="005A7B43"/>
    <w:rsid w:val="005A7C17"/>
    <w:rsid w:val="005B076D"/>
    <w:rsid w:val="005B1586"/>
    <w:rsid w:val="005B16CD"/>
    <w:rsid w:val="005B2EEF"/>
    <w:rsid w:val="005B311C"/>
    <w:rsid w:val="005B37C2"/>
    <w:rsid w:val="005B4292"/>
    <w:rsid w:val="005B462E"/>
    <w:rsid w:val="005B578D"/>
    <w:rsid w:val="005B71FC"/>
    <w:rsid w:val="005B7D51"/>
    <w:rsid w:val="005C0799"/>
    <w:rsid w:val="005C17D6"/>
    <w:rsid w:val="005C1996"/>
    <w:rsid w:val="005C2B91"/>
    <w:rsid w:val="005C34B5"/>
    <w:rsid w:val="005C3D29"/>
    <w:rsid w:val="005C478D"/>
    <w:rsid w:val="005C4C06"/>
    <w:rsid w:val="005C4D48"/>
    <w:rsid w:val="005C5054"/>
    <w:rsid w:val="005C5F17"/>
    <w:rsid w:val="005C60AD"/>
    <w:rsid w:val="005C6BCC"/>
    <w:rsid w:val="005D01C3"/>
    <w:rsid w:val="005D02F0"/>
    <w:rsid w:val="005D0678"/>
    <w:rsid w:val="005D0C98"/>
    <w:rsid w:val="005D0EDF"/>
    <w:rsid w:val="005D132E"/>
    <w:rsid w:val="005D3E7D"/>
    <w:rsid w:val="005D3FE2"/>
    <w:rsid w:val="005D49A5"/>
    <w:rsid w:val="005D546D"/>
    <w:rsid w:val="005D620F"/>
    <w:rsid w:val="005D76F8"/>
    <w:rsid w:val="005D7DBA"/>
    <w:rsid w:val="005E0A09"/>
    <w:rsid w:val="005E0DC9"/>
    <w:rsid w:val="005E17E0"/>
    <w:rsid w:val="005E2406"/>
    <w:rsid w:val="005E3794"/>
    <w:rsid w:val="005E3B19"/>
    <w:rsid w:val="005E3DEB"/>
    <w:rsid w:val="005E40BD"/>
    <w:rsid w:val="005E4FF2"/>
    <w:rsid w:val="005E5182"/>
    <w:rsid w:val="005E52F6"/>
    <w:rsid w:val="005E5FD4"/>
    <w:rsid w:val="005E63EC"/>
    <w:rsid w:val="005E67EC"/>
    <w:rsid w:val="005F08BD"/>
    <w:rsid w:val="005F0B30"/>
    <w:rsid w:val="005F0BF9"/>
    <w:rsid w:val="005F1486"/>
    <w:rsid w:val="005F2358"/>
    <w:rsid w:val="005F28A0"/>
    <w:rsid w:val="005F306C"/>
    <w:rsid w:val="005F3827"/>
    <w:rsid w:val="005F3D48"/>
    <w:rsid w:val="005F47EF"/>
    <w:rsid w:val="005F4D20"/>
    <w:rsid w:val="005F4FD6"/>
    <w:rsid w:val="005F6570"/>
    <w:rsid w:val="005F701D"/>
    <w:rsid w:val="005F772C"/>
    <w:rsid w:val="006012D8"/>
    <w:rsid w:val="006013C9"/>
    <w:rsid w:val="00601C89"/>
    <w:rsid w:val="00602C84"/>
    <w:rsid w:val="00603B18"/>
    <w:rsid w:val="00603BDE"/>
    <w:rsid w:val="00603C03"/>
    <w:rsid w:val="00603D9B"/>
    <w:rsid w:val="00604886"/>
    <w:rsid w:val="006051C0"/>
    <w:rsid w:val="006069A4"/>
    <w:rsid w:val="00611060"/>
    <w:rsid w:val="00611D72"/>
    <w:rsid w:val="00612568"/>
    <w:rsid w:val="0061268B"/>
    <w:rsid w:val="0061268F"/>
    <w:rsid w:val="006158C7"/>
    <w:rsid w:val="00616370"/>
    <w:rsid w:val="006163C5"/>
    <w:rsid w:val="00616BC4"/>
    <w:rsid w:val="00616F7A"/>
    <w:rsid w:val="00617D87"/>
    <w:rsid w:val="006220E8"/>
    <w:rsid w:val="006226B4"/>
    <w:rsid w:val="006236DF"/>
    <w:rsid w:val="00625120"/>
    <w:rsid w:val="0062522D"/>
    <w:rsid w:val="00625446"/>
    <w:rsid w:val="006260EB"/>
    <w:rsid w:val="0062669C"/>
    <w:rsid w:val="0063023D"/>
    <w:rsid w:val="0063036B"/>
    <w:rsid w:val="00630B55"/>
    <w:rsid w:val="00630DCE"/>
    <w:rsid w:val="006311E1"/>
    <w:rsid w:val="00631520"/>
    <w:rsid w:val="00632050"/>
    <w:rsid w:val="0063229E"/>
    <w:rsid w:val="00632E29"/>
    <w:rsid w:val="006333FD"/>
    <w:rsid w:val="00633593"/>
    <w:rsid w:val="006340CD"/>
    <w:rsid w:val="0063492E"/>
    <w:rsid w:val="006350A0"/>
    <w:rsid w:val="00635663"/>
    <w:rsid w:val="00635C29"/>
    <w:rsid w:val="006369E9"/>
    <w:rsid w:val="00640653"/>
    <w:rsid w:val="00640E51"/>
    <w:rsid w:val="00641093"/>
    <w:rsid w:val="00641B9F"/>
    <w:rsid w:val="00641C59"/>
    <w:rsid w:val="00641D8B"/>
    <w:rsid w:val="00643432"/>
    <w:rsid w:val="00643DCF"/>
    <w:rsid w:val="006442E6"/>
    <w:rsid w:val="00644582"/>
    <w:rsid w:val="006461B3"/>
    <w:rsid w:val="00646417"/>
    <w:rsid w:val="00646889"/>
    <w:rsid w:val="00646ADD"/>
    <w:rsid w:val="00647943"/>
    <w:rsid w:val="00647A96"/>
    <w:rsid w:val="00647D78"/>
    <w:rsid w:val="0065038F"/>
    <w:rsid w:val="006509F4"/>
    <w:rsid w:val="00650BC3"/>
    <w:rsid w:val="006522A0"/>
    <w:rsid w:val="0065238F"/>
    <w:rsid w:val="00653012"/>
    <w:rsid w:val="00653720"/>
    <w:rsid w:val="00653C51"/>
    <w:rsid w:val="00653CD2"/>
    <w:rsid w:val="00655758"/>
    <w:rsid w:val="0065647B"/>
    <w:rsid w:val="00656AB4"/>
    <w:rsid w:val="00656C3F"/>
    <w:rsid w:val="00656F89"/>
    <w:rsid w:val="00656FE1"/>
    <w:rsid w:val="00657C8F"/>
    <w:rsid w:val="00657E1E"/>
    <w:rsid w:val="00657E9C"/>
    <w:rsid w:val="00657FEA"/>
    <w:rsid w:val="006601CA"/>
    <w:rsid w:val="006608AC"/>
    <w:rsid w:val="00661051"/>
    <w:rsid w:val="006610D8"/>
    <w:rsid w:val="006617EA"/>
    <w:rsid w:val="00662F53"/>
    <w:rsid w:val="00663224"/>
    <w:rsid w:val="00664117"/>
    <w:rsid w:val="006641A2"/>
    <w:rsid w:val="006644F1"/>
    <w:rsid w:val="0066503B"/>
    <w:rsid w:val="00665114"/>
    <w:rsid w:val="00665657"/>
    <w:rsid w:val="0066672D"/>
    <w:rsid w:val="00667006"/>
    <w:rsid w:val="00667317"/>
    <w:rsid w:val="0066765F"/>
    <w:rsid w:val="0066790B"/>
    <w:rsid w:val="00667EA9"/>
    <w:rsid w:val="006740F1"/>
    <w:rsid w:val="00674C36"/>
    <w:rsid w:val="00675679"/>
    <w:rsid w:val="00675C66"/>
    <w:rsid w:val="006761C8"/>
    <w:rsid w:val="00677349"/>
    <w:rsid w:val="0068049E"/>
    <w:rsid w:val="00680B06"/>
    <w:rsid w:val="00680D58"/>
    <w:rsid w:val="00682558"/>
    <w:rsid w:val="006828E5"/>
    <w:rsid w:val="00683622"/>
    <w:rsid w:val="00683A7E"/>
    <w:rsid w:val="0068419D"/>
    <w:rsid w:val="006845C3"/>
    <w:rsid w:val="006845DE"/>
    <w:rsid w:val="00684A16"/>
    <w:rsid w:val="00684A4B"/>
    <w:rsid w:val="00685591"/>
    <w:rsid w:val="00685B55"/>
    <w:rsid w:val="00685CA7"/>
    <w:rsid w:val="0068748D"/>
    <w:rsid w:val="00687BB6"/>
    <w:rsid w:val="006907E0"/>
    <w:rsid w:val="00692301"/>
    <w:rsid w:val="00693082"/>
    <w:rsid w:val="00693290"/>
    <w:rsid w:val="006947B3"/>
    <w:rsid w:val="00694B58"/>
    <w:rsid w:val="0069539B"/>
    <w:rsid w:val="006959DE"/>
    <w:rsid w:val="00696864"/>
    <w:rsid w:val="00696FEF"/>
    <w:rsid w:val="00697B2C"/>
    <w:rsid w:val="00697B99"/>
    <w:rsid w:val="00697F43"/>
    <w:rsid w:val="006A000B"/>
    <w:rsid w:val="006A0D9D"/>
    <w:rsid w:val="006A0FCC"/>
    <w:rsid w:val="006A1353"/>
    <w:rsid w:val="006A26AE"/>
    <w:rsid w:val="006A2921"/>
    <w:rsid w:val="006A3429"/>
    <w:rsid w:val="006A44EE"/>
    <w:rsid w:val="006A488D"/>
    <w:rsid w:val="006A4F43"/>
    <w:rsid w:val="006A512D"/>
    <w:rsid w:val="006A592C"/>
    <w:rsid w:val="006A5B22"/>
    <w:rsid w:val="006A7052"/>
    <w:rsid w:val="006A7146"/>
    <w:rsid w:val="006A7507"/>
    <w:rsid w:val="006A7599"/>
    <w:rsid w:val="006A7A69"/>
    <w:rsid w:val="006B0514"/>
    <w:rsid w:val="006B0612"/>
    <w:rsid w:val="006B121A"/>
    <w:rsid w:val="006B1629"/>
    <w:rsid w:val="006B2116"/>
    <w:rsid w:val="006B268F"/>
    <w:rsid w:val="006B2BA7"/>
    <w:rsid w:val="006B2D8F"/>
    <w:rsid w:val="006B2E81"/>
    <w:rsid w:val="006B2FE9"/>
    <w:rsid w:val="006B3197"/>
    <w:rsid w:val="006B31CC"/>
    <w:rsid w:val="006B32AB"/>
    <w:rsid w:val="006B435F"/>
    <w:rsid w:val="006B4E15"/>
    <w:rsid w:val="006B501E"/>
    <w:rsid w:val="006B5A80"/>
    <w:rsid w:val="006B6900"/>
    <w:rsid w:val="006B6BD6"/>
    <w:rsid w:val="006B6FAC"/>
    <w:rsid w:val="006B6FAF"/>
    <w:rsid w:val="006C1BC6"/>
    <w:rsid w:val="006C1F62"/>
    <w:rsid w:val="006C280D"/>
    <w:rsid w:val="006C3703"/>
    <w:rsid w:val="006C40FA"/>
    <w:rsid w:val="006C4320"/>
    <w:rsid w:val="006C47FF"/>
    <w:rsid w:val="006C56B1"/>
    <w:rsid w:val="006C5992"/>
    <w:rsid w:val="006C5EAA"/>
    <w:rsid w:val="006C7256"/>
    <w:rsid w:val="006C73B6"/>
    <w:rsid w:val="006C7E66"/>
    <w:rsid w:val="006C7F9E"/>
    <w:rsid w:val="006D0988"/>
    <w:rsid w:val="006D0A0D"/>
    <w:rsid w:val="006D0B12"/>
    <w:rsid w:val="006D0C21"/>
    <w:rsid w:val="006D0E3B"/>
    <w:rsid w:val="006D15AE"/>
    <w:rsid w:val="006D1B3E"/>
    <w:rsid w:val="006D1F33"/>
    <w:rsid w:val="006D1F37"/>
    <w:rsid w:val="006D287C"/>
    <w:rsid w:val="006D2C03"/>
    <w:rsid w:val="006D2F17"/>
    <w:rsid w:val="006D336C"/>
    <w:rsid w:val="006D3F30"/>
    <w:rsid w:val="006D473E"/>
    <w:rsid w:val="006D47A4"/>
    <w:rsid w:val="006D4B2F"/>
    <w:rsid w:val="006D522C"/>
    <w:rsid w:val="006D5C8E"/>
    <w:rsid w:val="006D6379"/>
    <w:rsid w:val="006D65BE"/>
    <w:rsid w:val="006D6B0A"/>
    <w:rsid w:val="006E08D7"/>
    <w:rsid w:val="006E1724"/>
    <w:rsid w:val="006E2C49"/>
    <w:rsid w:val="006E2D36"/>
    <w:rsid w:val="006E3106"/>
    <w:rsid w:val="006E311F"/>
    <w:rsid w:val="006E39FB"/>
    <w:rsid w:val="006E5C5A"/>
    <w:rsid w:val="006E6C84"/>
    <w:rsid w:val="006E71DC"/>
    <w:rsid w:val="006E7489"/>
    <w:rsid w:val="006E7968"/>
    <w:rsid w:val="006E7A68"/>
    <w:rsid w:val="006F1600"/>
    <w:rsid w:val="006F32C7"/>
    <w:rsid w:val="006F3B93"/>
    <w:rsid w:val="006F41FB"/>
    <w:rsid w:val="006F43BA"/>
    <w:rsid w:val="006F46A5"/>
    <w:rsid w:val="006F4779"/>
    <w:rsid w:val="006F4DF0"/>
    <w:rsid w:val="006F53A7"/>
    <w:rsid w:val="006F587A"/>
    <w:rsid w:val="006F60D3"/>
    <w:rsid w:val="006F67FA"/>
    <w:rsid w:val="006F6DD9"/>
    <w:rsid w:val="006F6E97"/>
    <w:rsid w:val="006F71DD"/>
    <w:rsid w:val="006F72D4"/>
    <w:rsid w:val="006F75A2"/>
    <w:rsid w:val="006F7D1C"/>
    <w:rsid w:val="007006D6"/>
    <w:rsid w:val="00700833"/>
    <w:rsid w:val="007026A0"/>
    <w:rsid w:val="00703485"/>
    <w:rsid w:val="00703A1F"/>
    <w:rsid w:val="00704351"/>
    <w:rsid w:val="0070573E"/>
    <w:rsid w:val="007058F0"/>
    <w:rsid w:val="00705987"/>
    <w:rsid w:val="0070609E"/>
    <w:rsid w:val="007071FB"/>
    <w:rsid w:val="00707310"/>
    <w:rsid w:val="00707CE3"/>
    <w:rsid w:val="007108D4"/>
    <w:rsid w:val="00710F13"/>
    <w:rsid w:val="00711821"/>
    <w:rsid w:val="00711DE9"/>
    <w:rsid w:val="00713213"/>
    <w:rsid w:val="0071384F"/>
    <w:rsid w:val="007141BB"/>
    <w:rsid w:val="007146B9"/>
    <w:rsid w:val="007148F0"/>
    <w:rsid w:val="007154FB"/>
    <w:rsid w:val="007159B2"/>
    <w:rsid w:val="00715DCF"/>
    <w:rsid w:val="00716CAE"/>
    <w:rsid w:val="00717229"/>
    <w:rsid w:val="00717CCB"/>
    <w:rsid w:val="00717DD8"/>
    <w:rsid w:val="0072200E"/>
    <w:rsid w:val="00722118"/>
    <w:rsid w:val="007244F0"/>
    <w:rsid w:val="00725A22"/>
    <w:rsid w:val="007264E4"/>
    <w:rsid w:val="00726534"/>
    <w:rsid w:val="00726D19"/>
    <w:rsid w:val="00730091"/>
    <w:rsid w:val="0073045F"/>
    <w:rsid w:val="00731C28"/>
    <w:rsid w:val="007328BD"/>
    <w:rsid w:val="00732F0F"/>
    <w:rsid w:val="00733D86"/>
    <w:rsid w:val="00733FEF"/>
    <w:rsid w:val="0073429E"/>
    <w:rsid w:val="00734416"/>
    <w:rsid w:val="00734582"/>
    <w:rsid w:val="00734E28"/>
    <w:rsid w:val="00735048"/>
    <w:rsid w:val="00735852"/>
    <w:rsid w:val="00736494"/>
    <w:rsid w:val="007366A7"/>
    <w:rsid w:val="00736992"/>
    <w:rsid w:val="00736D75"/>
    <w:rsid w:val="00737811"/>
    <w:rsid w:val="00737F87"/>
    <w:rsid w:val="007407C6"/>
    <w:rsid w:val="0074101A"/>
    <w:rsid w:val="007412D8"/>
    <w:rsid w:val="00741457"/>
    <w:rsid w:val="00741F9C"/>
    <w:rsid w:val="00742197"/>
    <w:rsid w:val="00743007"/>
    <w:rsid w:val="00743739"/>
    <w:rsid w:val="00744671"/>
    <w:rsid w:val="00745004"/>
    <w:rsid w:val="0074731F"/>
    <w:rsid w:val="00750201"/>
    <w:rsid w:val="007514C6"/>
    <w:rsid w:val="00751A76"/>
    <w:rsid w:val="00751CBD"/>
    <w:rsid w:val="007525C8"/>
    <w:rsid w:val="00753A2E"/>
    <w:rsid w:val="00754101"/>
    <w:rsid w:val="0075521C"/>
    <w:rsid w:val="00755CD9"/>
    <w:rsid w:val="007577FB"/>
    <w:rsid w:val="00760561"/>
    <w:rsid w:val="007634B7"/>
    <w:rsid w:val="00763E59"/>
    <w:rsid w:val="00764337"/>
    <w:rsid w:val="007652BC"/>
    <w:rsid w:val="007654A2"/>
    <w:rsid w:val="00766247"/>
    <w:rsid w:val="00766292"/>
    <w:rsid w:val="007707A9"/>
    <w:rsid w:val="00771A7A"/>
    <w:rsid w:val="00771D4C"/>
    <w:rsid w:val="0077294C"/>
    <w:rsid w:val="00773172"/>
    <w:rsid w:val="00773FD1"/>
    <w:rsid w:val="0077496C"/>
    <w:rsid w:val="00776269"/>
    <w:rsid w:val="00776D30"/>
    <w:rsid w:val="0077732A"/>
    <w:rsid w:val="00780793"/>
    <w:rsid w:val="007808B0"/>
    <w:rsid w:val="00780A7B"/>
    <w:rsid w:val="007810D2"/>
    <w:rsid w:val="0078120E"/>
    <w:rsid w:val="00781518"/>
    <w:rsid w:val="00781A62"/>
    <w:rsid w:val="00781BA5"/>
    <w:rsid w:val="00781E3D"/>
    <w:rsid w:val="00782193"/>
    <w:rsid w:val="00782A62"/>
    <w:rsid w:val="00782B09"/>
    <w:rsid w:val="00782EBB"/>
    <w:rsid w:val="00783064"/>
    <w:rsid w:val="0078323A"/>
    <w:rsid w:val="00783418"/>
    <w:rsid w:val="00783CF7"/>
    <w:rsid w:val="0078479D"/>
    <w:rsid w:val="00785846"/>
    <w:rsid w:val="00785BED"/>
    <w:rsid w:val="00786120"/>
    <w:rsid w:val="007871E9"/>
    <w:rsid w:val="00790461"/>
    <w:rsid w:val="00790A0E"/>
    <w:rsid w:val="00790AF7"/>
    <w:rsid w:val="007917B8"/>
    <w:rsid w:val="0079257C"/>
    <w:rsid w:val="00792EED"/>
    <w:rsid w:val="00793859"/>
    <w:rsid w:val="00793D28"/>
    <w:rsid w:val="00793DE6"/>
    <w:rsid w:val="00795158"/>
    <w:rsid w:val="007952B3"/>
    <w:rsid w:val="00795A25"/>
    <w:rsid w:val="0079612C"/>
    <w:rsid w:val="00797191"/>
    <w:rsid w:val="00797A91"/>
    <w:rsid w:val="00797F76"/>
    <w:rsid w:val="007A0497"/>
    <w:rsid w:val="007A1048"/>
    <w:rsid w:val="007A35E4"/>
    <w:rsid w:val="007A4B19"/>
    <w:rsid w:val="007A5791"/>
    <w:rsid w:val="007A735A"/>
    <w:rsid w:val="007B0AA1"/>
    <w:rsid w:val="007B1633"/>
    <w:rsid w:val="007B197F"/>
    <w:rsid w:val="007B1A3F"/>
    <w:rsid w:val="007B1D76"/>
    <w:rsid w:val="007B205D"/>
    <w:rsid w:val="007B210C"/>
    <w:rsid w:val="007B3069"/>
    <w:rsid w:val="007B3679"/>
    <w:rsid w:val="007B3C4D"/>
    <w:rsid w:val="007B5345"/>
    <w:rsid w:val="007B56D2"/>
    <w:rsid w:val="007B624E"/>
    <w:rsid w:val="007B62F7"/>
    <w:rsid w:val="007B6521"/>
    <w:rsid w:val="007B697B"/>
    <w:rsid w:val="007B777C"/>
    <w:rsid w:val="007C03A4"/>
    <w:rsid w:val="007C0459"/>
    <w:rsid w:val="007C0680"/>
    <w:rsid w:val="007C0C57"/>
    <w:rsid w:val="007C1296"/>
    <w:rsid w:val="007C1662"/>
    <w:rsid w:val="007C1D88"/>
    <w:rsid w:val="007C1E39"/>
    <w:rsid w:val="007C2CFB"/>
    <w:rsid w:val="007C3651"/>
    <w:rsid w:val="007C3D18"/>
    <w:rsid w:val="007C3ED5"/>
    <w:rsid w:val="007C4C47"/>
    <w:rsid w:val="007C5C40"/>
    <w:rsid w:val="007C6226"/>
    <w:rsid w:val="007C647C"/>
    <w:rsid w:val="007C77C3"/>
    <w:rsid w:val="007C7890"/>
    <w:rsid w:val="007C7F78"/>
    <w:rsid w:val="007D0249"/>
    <w:rsid w:val="007D047A"/>
    <w:rsid w:val="007D1462"/>
    <w:rsid w:val="007D29E8"/>
    <w:rsid w:val="007D2BE5"/>
    <w:rsid w:val="007D3C3A"/>
    <w:rsid w:val="007D4B87"/>
    <w:rsid w:val="007D4C22"/>
    <w:rsid w:val="007D5A93"/>
    <w:rsid w:val="007D5FBE"/>
    <w:rsid w:val="007D6615"/>
    <w:rsid w:val="007D724C"/>
    <w:rsid w:val="007D7DF2"/>
    <w:rsid w:val="007E080F"/>
    <w:rsid w:val="007E0E36"/>
    <w:rsid w:val="007E4149"/>
    <w:rsid w:val="007E6400"/>
    <w:rsid w:val="007E65DC"/>
    <w:rsid w:val="007E6742"/>
    <w:rsid w:val="007E6AF9"/>
    <w:rsid w:val="007E6F6C"/>
    <w:rsid w:val="007E7101"/>
    <w:rsid w:val="007E75A8"/>
    <w:rsid w:val="007E7744"/>
    <w:rsid w:val="007F02A2"/>
    <w:rsid w:val="007F0DBB"/>
    <w:rsid w:val="007F1C4B"/>
    <w:rsid w:val="007F2D59"/>
    <w:rsid w:val="007F46CB"/>
    <w:rsid w:val="007F49C4"/>
    <w:rsid w:val="007F4E6E"/>
    <w:rsid w:val="007F566F"/>
    <w:rsid w:val="007F59BF"/>
    <w:rsid w:val="007F62E8"/>
    <w:rsid w:val="007F6456"/>
    <w:rsid w:val="007F6F41"/>
    <w:rsid w:val="007F79CD"/>
    <w:rsid w:val="0080115D"/>
    <w:rsid w:val="00801C93"/>
    <w:rsid w:val="008020E6"/>
    <w:rsid w:val="00802F16"/>
    <w:rsid w:val="008036AC"/>
    <w:rsid w:val="00803A63"/>
    <w:rsid w:val="008042EE"/>
    <w:rsid w:val="00804578"/>
    <w:rsid w:val="008046A2"/>
    <w:rsid w:val="0080475E"/>
    <w:rsid w:val="00804A6F"/>
    <w:rsid w:val="00805AF1"/>
    <w:rsid w:val="00805F8F"/>
    <w:rsid w:val="00806D51"/>
    <w:rsid w:val="00807B9A"/>
    <w:rsid w:val="00807DA2"/>
    <w:rsid w:val="00807F41"/>
    <w:rsid w:val="00810C9E"/>
    <w:rsid w:val="00811C6D"/>
    <w:rsid w:val="008135BC"/>
    <w:rsid w:val="0081383E"/>
    <w:rsid w:val="00813A25"/>
    <w:rsid w:val="00813B54"/>
    <w:rsid w:val="008144B2"/>
    <w:rsid w:val="008154BA"/>
    <w:rsid w:val="0081560F"/>
    <w:rsid w:val="0081589D"/>
    <w:rsid w:val="00815B40"/>
    <w:rsid w:val="00815D27"/>
    <w:rsid w:val="008169CD"/>
    <w:rsid w:val="00816F8A"/>
    <w:rsid w:val="008177F6"/>
    <w:rsid w:val="00817E61"/>
    <w:rsid w:val="008223B9"/>
    <w:rsid w:val="00822BD7"/>
    <w:rsid w:val="00822F76"/>
    <w:rsid w:val="00823268"/>
    <w:rsid w:val="00824E1C"/>
    <w:rsid w:val="008268C9"/>
    <w:rsid w:val="00826933"/>
    <w:rsid w:val="00826D42"/>
    <w:rsid w:val="008271A8"/>
    <w:rsid w:val="008272CD"/>
    <w:rsid w:val="00827744"/>
    <w:rsid w:val="00830393"/>
    <w:rsid w:val="008310B7"/>
    <w:rsid w:val="008310DA"/>
    <w:rsid w:val="00832462"/>
    <w:rsid w:val="00832D22"/>
    <w:rsid w:val="00832E5D"/>
    <w:rsid w:val="00833A91"/>
    <w:rsid w:val="00833BB5"/>
    <w:rsid w:val="00833CC2"/>
    <w:rsid w:val="00833D5A"/>
    <w:rsid w:val="00834432"/>
    <w:rsid w:val="00835D8D"/>
    <w:rsid w:val="0083647B"/>
    <w:rsid w:val="008365BB"/>
    <w:rsid w:val="0083699C"/>
    <w:rsid w:val="00836ADA"/>
    <w:rsid w:val="00837B29"/>
    <w:rsid w:val="00840516"/>
    <w:rsid w:val="00840D40"/>
    <w:rsid w:val="008423B6"/>
    <w:rsid w:val="00842ADE"/>
    <w:rsid w:val="00843077"/>
    <w:rsid w:val="00843CD3"/>
    <w:rsid w:val="00843DCA"/>
    <w:rsid w:val="008452B5"/>
    <w:rsid w:val="00845C2B"/>
    <w:rsid w:val="00846090"/>
    <w:rsid w:val="00850157"/>
    <w:rsid w:val="0085170C"/>
    <w:rsid w:val="008521AC"/>
    <w:rsid w:val="008525C1"/>
    <w:rsid w:val="00853106"/>
    <w:rsid w:val="00853879"/>
    <w:rsid w:val="00853A2A"/>
    <w:rsid w:val="00854A2B"/>
    <w:rsid w:val="00854ED9"/>
    <w:rsid w:val="00855E3C"/>
    <w:rsid w:val="00855F10"/>
    <w:rsid w:val="0085745E"/>
    <w:rsid w:val="00857A5A"/>
    <w:rsid w:val="00860C68"/>
    <w:rsid w:val="00860EE7"/>
    <w:rsid w:val="00860F53"/>
    <w:rsid w:val="00861459"/>
    <w:rsid w:val="008629E3"/>
    <w:rsid w:val="00863193"/>
    <w:rsid w:val="00863234"/>
    <w:rsid w:val="00863976"/>
    <w:rsid w:val="00863A5A"/>
    <w:rsid w:val="008640CF"/>
    <w:rsid w:val="0086528B"/>
    <w:rsid w:val="00866781"/>
    <w:rsid w:val="00867A2A"/>
    <w:rsid w:val="00867BB4"/>
    <w:rsid w:val="008715B0"/>
    <w:rsid w:val="008717C3"/>
    <w:rsid w:val="0087214F"/>
    <w:rsid w:val="008721FD"/>
    <w:rsid w:val="00872E06"/>
    <w:rsid w:val="00872E0B"/>
    <w:rsid w:val="008733E6"/>
    <w:rsid w:val="008741B5"/>
    <w:rsid w:val="0087488A"/>
    <w:rsid w:val="00875220"/>
    <w:rsid w:val="008754E6"/>
    <w:rsid w:val="008760F8"/>
    <w:rsid w:val="008770FD"/>
    <w:rsid w:val="0087774A"/>
    <w:rsid w:val="00877A81"/>
    <w:rsid w:val="00877D22"/>
    <w:rsid w:val="008805CB"/>
    <w:rsid w:val="008807EE"/>
    <w:rsid w:val="00881361"/>
    <w:rsid w:val="0088225B"/>
    <w:rsid w:val="008824BC"/>
    <w:rsid w:val="00882EE3"/>
    <w:rsid w:val="00883834"/>
    <w:rsid w:val="00883A16"/>
    <w:rsid w:val="00885ED1"/>
    <w:rsid w:val="0088637C"/>
    <w:rsid w:val="00890FC4"/>
    <w:rsid w:val="008913B6"/>
    <w:rsid w:val="0089142F"/>
    <w:rsid w:val="00891451"/>
    <w:rsid w:val="00891827"/>
    <w:rsid w:val="00891A4D"/>
    <w:rsid w:val="00891A7F"/>
    <w:rsid w:val="00891CCB"/>
    <w:rsid w:val="008928ED"/>
    <w:rsid w:val="00892C29"/>
    <w:rsid w:val="008931F6"/>
    <w:rsid w:val="00893E0F"/>
    <w:rsid w:val="0089451C"/>
    <w:rsid w:val="00895152"/>
    <w:rsid w:val="008951DA"/>
    <w:rsid w:val="00896146"/>
    <w:rsid w:val="00896723"/>
    <w:rsid w:val="00897772"/>
    <w:rsid w:val="008A0220"/>
    <w:rsid w:val="008A04A5"/>
    <w:rsid w:val="008A0854"/>
    <w:rsid w:val="008A0F9C"/>
    <w:rsid w:val="008A1039"/>
    <w:rsid w:val="008A1194"/>
    <w:rsid w:val="008A1FE5"/>
    <w:rsid w:val="008A2050"/>
    <w:rsid w:val="008A21DA"/>
    <w:rsid w:val="008A21E0"/>
    <w:rsid w:val="008A2807"/>
    <w:rsid w:val="008A2C03"/>
    <w:rsid w:val="008A3A3D"/>
    <w:rsid w:val="008A4114"/>
    <w:rsid w:val="008A454C"/>
    <w:rsid w:val="008A4921"/>
    <w:rsid w:val="008A4D96"/>
    <w:rsid w:val="008A5341"/>
    <w:rsid w:val="008A5633"/>
    <w:rsid w:val="008A6961"/>
    <w:rsid w:val="008B0199"/>
    <w:rsid w:val="008B03C7"/>
    <w:rsid w:val="008B07CB"/>
    <w:rsid w:val="008B0C36"/>
    <w:rsid w:val="008B195F"/>
    <w:rsid w:val="008B1ADF"/>
    <w:rsid w:val="008B353D"/>
    <w:rsid w:val="008B434E"/>
    <w:rsid w:val="008B4555"/>
    <w:rsid w:val="008B466E"/>
    <w:rsid w:val="008B4EB0"/>
    <w:rsid w:val="008B4FDC"/>
    <w:rsid w:val="008B522A"/>
    <w:rsid w:val="008B6340"/>
    <w:rsid w:val="008B78FE"/>
    <w:rsid w:val="008B7B45"/>
    <w:rsid w:val="008C0831"/>
    <w:rsid w:val="008C0F0F"/>
    <w:rsid w:val="008C13CF"/>
    <w:rsid w:val="008C299A"/>
    <w:rsid w:val="008C3D0D"/>
    <w:rsid w:val="008C44EA"/>
    <w:rsid w:val="008C464B"/>
    <w:rsid w:val="008C4B9D"/>
    <w:rsid w:val="008C5414"/>
    <w:rsid w:val="008C5A34"/>
    <w:rsid w:val="008C61CC"/>
    <w:rsid w:val="008C6ABD"/>
    <w:rsid w:val="008C6C3C"/>
    <w:rsid w:val="008C6E12"/>
    <w:rsid w:val="008C6F07"/>
    <w:rsid w:val="008D0EE5"/>
    <w:rsid w:val="008D15B3"/>
    <w:rsid w:val="008D2E50"/>
    <w:rsid w:val="008D489D"/>
    <w:rsid w:val="008D50D1"/>
    <w:rsid w:val="008D51A5"/>
    <w:rsid w:val="008D531E"/>
    <w:rsid w:val="008D542E"/>
    <w:rsid w:val="008D5634"/>
    <w:rsid w:val="008D5E2F"/>
    <w:rsid w:val="008D7D0D"/>
    <w:rsid w:val="008E0017"/>
    <w:rsid w:val="008E039A"/>
    <w:rsid w:val="008E0D53"/>
    <w:rsid w:val="008E0D58"/>
    <w:rsid w:val="008E1779"/>
    <w:rsid w:val="008E2339"/>
    <w:rsid w:val="008E29FC"/>
    <w:rsid w:val="008E48A9"/>
    <w:rsid w:val="008E4DB9"/>
    <w:rsid w:val="008E6A35"/>
    <w:rsid w:val="008F034E"/>
    <w:rsid w:val="008F100B"/>
    <w:rsid w:val="008F10A1"/>
    <w:rsid w:val="008F1B7B"/>
    <w:rsid w:val="008F1E51"/>
    <w:rsid w:val="008F356A"/>
    <w:rsid w:val="008F35FC"/>
    <w:rsid w:val="008F4378"/>
    <w:rsid w:val="008F5345"/>
    <w:rsid w:val="008F5E8B"/>
    <w:rsid w:val="008F64BF"/>
    <w:rsid w:val="008F7454"/>
    <w:rsid w:val="008F763C"/>
    <w:rsid w:val="008F77E3"/>
    <w:rsid w:val="0090037A"/>
    <w:rsid w:val="009007C7"/>
    <w:rsid w:val="00900C86"/>
    <w:rsid w:val="00901B4A"/>
    <w:rsid w:val="0090222D"/>
    <w:rsid w:val="00902827"/>
    <w:rsid w:val="00903811"/>
    <w:rsid w:val="00903A54"/>
    <w:rsid w:val="00903E6F"/>
    <w:rsid w:val="00904327"/>
    <w:rsid w:val="009045A6"/>
    <w:rsid w:val="00905C9D"/>
    <w:rsid w:val="00905D36"/>
    <w:rsid w:val="00906DFA"/>
    <w:rsid w:val="0090731A"/>
    <w:rsid w:val="00907B26"/>
    <w:rsid w:val="00907E9B"/>
    <w:rsid w:val="0091088E"/>
    <w:rsid w:val="00910D23"/>
    <w:rsid w:val="009115D5"/>
    <w:rsid w:val="009119CF"/>
    <w:rsid w:val="00911DB2"/>
    <w:rsid w:val="0091373C"/>
    <w:rsid w:val="009137E7"/>
    <w:rsid w:val="009142ED"/>
    <w:rsid w:val="009149B5"/>
    <w:rsid w:val="00914F3F"/>
    <w:rsid w:val="00915253"/>
    <w:rsid w:val="009159D4"/>
    <w:rsid w:val="00915D46"/>
    <w:rsid w:val="00917B51"/>
    <w:rsid w:val="00920BD9"/>
    <w:rsid w:val="009215E4"/>
    <w:rsid w:val="00922036"/>
    <w:rsid w:val="00923001"/>
    <w:rsid w:val="00923AB2"/>
    <w:rsid w:val="00923D5B"/>
    <w:rsid w:val="00923DBA"/>
    <w:rsid w:val="00924E2A"/>
    <w:rsid w:val="00925087"/>
    <w:rsid w:val="00926E15"/>
    <w:rsid w:val="00926FA5"/>
    <w:rsid w:val="00927A30"/>
    <w:rsid w:val="00927FA5"/>
    <w:rsid w:val="00930BB6"/>
    <w:rsid w:val="009310DC"/>
    <w:rsid w:val="0093146B"/>
    <w:rsid w:val="00931B97"/>
    <w:rsid w:val="00932244"/>
    <w:rsid w:val="009334DB"/>
    <w:rsid w:val="00934AED"/>
    <w:rsid w:val="00935023"/>
    <w:rsid w:val="00935237"/>
    <w:rsid w:val="00935988"/>
    <w:rsid w:val="00936179"/>
    <w:rsid w:val="00936946"/>
    <w:rsid w:val="00937C46"/>
    <w:rsid w:val="00937DB1"/>
    <w:rsid w:val="0094000C"/>
    <w:rsid w:val="0094078D"/>
    <w:rsid w:val="0094109C"/>
    <w:rsid w:val="009418B7"/>
    <w:rsid w:val="00944232"/>
    <w:rsid w:val="00944EE3"/>
    <w:rsid w:val="00945004"/>
    <w:rsid w:val="0094513D"/>
    <w:rsid w:val="00945D78"/>
    <w:rsid w:val="00946972"/>
    <w:rsid w:val="00950F4D"/>
    <w:rsid w:val="00950F4E"/>
    <w:rsid w:val="00952A9C"/>
    <w:rsid w:val="009535ED"/>
    <w:rsid w:val="0095394A"/>
    <w:rsid w:val="00953AA9"/>
    <w:rsid w:val="00953BEA"/>
    <w:rsid w:val="00954369"/>
    <w:rsid w:val="009562AC"/>
    <w:rsid w:val="0095638A"/>
    <w:rsid w:val="00956420"/>
    <w:rsid w:val="00957470"/>
    <w:rsid w:val="009578C0"/>
    <w:rsid w:val="00957A99"/>
    <w:rsid w:val="0096026C"/>
    <w:rsid w:val="00960B08"/>
    <w:rsid w:val="00960F73"/>
    <w:rsid w:val="009613A2"/>
    <w:rsid w:val="00961D55"/>
    <w:rsid w:val="0096212E"/>
    <w:rsid w:val="009631A9"/>
    <w:rsid w:val="009639C7"/>
    <w:rsid w:val="00963EFB"/>
    <w:rsid w:val="009646D9"/>
    <w:rsid w:val="00964E0C"/>
    <w:rsid w:val="0096526F"/>
    <w:rsid w:val="00965C6B"/>
    <w:rsid w:val="00966E4D"/>
    <w:rsid w:val="00970A63"/>
    <w:rsid w:val="009727E1"/>
    <w:rsid w:val="009733AB"/>
    <w:rsid w:val="00974176"/>
    <w:rsid w:val="00974A17"/>
    <w:rsid w:val="00974F21"/>
    <w:rsid w:val="00975ED9"/>
    <w:rsid w:val="00980643"/>
    <w:rsid w:val="009806A5"/>
    <w:rsid w:val="00981291"/>
    <w:rsid w:val="009814F4"/>
    <w:rsid w:val="00981D95"/>
    <w:rsid w:val="00982761"/>
    <w:rsid w:val="0098277E"/>
    <w:rsid w:val="00982CE1"/>
    <w:rsid w:val="00982E05"/>
    <w:rsid w:val="00983119"/>
    <w:rsid w:val="00983D58"/>
    <w:rsid w:val="009844D7"/>
    <w:rsid w:val="00985018"/>
    <w:rsid w:val="009851FD"/>
    <w:rsid w:val="00986623"/>
    <w:rsid w:val="00986779"/>
    <w:rsid w:val="00986D3C"/>
    <w:rsid w:val="00987233"/>
    <w:rsid w:val="0099134B"/>
    <w:rsid w:val="00991483"/>
    <w:rsid w:val="0099307D"/>
    <w:rsid w:val="009930FB"/>
    <w:rsid w:val="0099331B"/>
    <w:rsid w:val="00993A8C"/>
    <w:rsid w:val="00994840"/>
    <w:rsid w:val="0099570F"/>
    <w:rsid w:val="00996CF2"/>
    <w:rsid w:val="009A026F"/>
    <w:rsid w:val="009A034E"/>
    <w:rsid w:val="009A0662"/>
    <w:rsid w:val="009A0EE6"/>
    <w:rsid w:val="009A283B"/>
    <w:rsid w:val="009A2D6B"/>
    <w:rsid w:val="009A331D"/>
    <w:rsid w:val="009A36F8"/>
    <w:rsid w:val="009A3945"/>
    <w:rsid w:val="009A4789"/>
    <w:rsid w:val="009A51A2"/>
    <w:rsid w:val="009A5682"/>
    <w:rsid w:val="009A591C"/>
    <w:rsid w:val="009A60A1"/>
    <w:rsid w:val="009A60FA"/>
    <w:rsid w:val="009B0606"/>
    <w:rsid w:val="009B0BC4"/>
    <w:rsid w:val="009B2116"/>
    <w:rsid w:val="009B2338"/>
    <w:rsid w:val="009B2477"/>
    <w:rsid w:val="009B2CF3"/>
    <w:rsid w:val="009B4504"/>
    <w:rsid w:val="009B56BC"/>
    <w:rsid w:val="009B5E9F"/>
    <w:rsid w:val="009B664E"/>
    <w:rsid w:val="009B67AC"/>
    <w:rsid w:val="009B6AE1"/>
    <w:rsid w:val="009B6D69"/>
    <w:rsid w:val="009B6EF9"/>
    <w:rsid w:val="009B73A5"/>
    <w:rsid w:val="009B7724"/>
    <w:rsid w:val="009B7C61"/>
    <w:rsid w:val="009C00B8"/>
    <w:rsid w:val="009C066C"/>
    <w:rsid w:val="009C0BFA"/>
    <w:rsid w:val="009C0EF4"/>
    <w:rsid w:val="009C1383"/>
    <w:rsid w:val="009C1789"/>
    <w:rsid w:val="009C1BE4"/>
    <w:rsid w:val="009C1E81"/>
    <w:rsid w:val="009C1F9B"/>
    <w:rsid w:val="009C2B09"/>
    <w:rsid w:val="009C394E"/>
    <w:rsid w:val="009C5183"/>
    <w:rsid w:val="009C5381"/>
    <w:rsid w:val="009C5AA9"/>
    <w:rsid w:val="009C5D8B"/>
    <w:rsid w:val="009D093B"/>
    <w:rsid w:val="009D0DC0"/>
    <w:rsid w:val="009D0EAE"/>
    <w:rsid w:val="009D1267"/>
    <w:rsid w:val="009D3355"/>
    <w:rsid w:val="009D3DE5"/>
    <w:rsid w:val="009D3F45"/>
    <w:rsid w:val="009D43B3"/>
    <w:rsid w:val="009D4CF2"/>
    <w:rsid w:val="009D4DE8"/>
    <w:rsid w:val="009D53A6"/>
    <w:rsid w:val="009D5EF6"/>
    <w:rsid w:val="009D6CF7"/>
    <w:rsid w:val="009D71F9"/>
    <w:rsid w:val="009D7576"/>
    <w:rsid w:val="009E04A7"/>
    <w:rsid w:val="009E09CA"/>
    <w:rsid w:val="009E0D06"/>
    <w:rsid w:val="009E0DEE"/>
    <w:rsid w:val="009E1ED4"/>
    <w:rsid w:val="009E228E"/>
    <w:rsid w:val="009E265A"/>
    <w:rsid w:val="009E311C"/>
    <w:rsid w:val="009E3198"/>
    <w:rsid w:val="009E5926"/>
    <w:rsid w:val="009E59A7"/>
    <w:rsid w:val="009E5B0F"/>
    <w:rsid w:val="009E6295"/>
    <w:rsid w:val="009E679A"/>
    <w:rsid w:val="009E6E48"/>
    <w:rsid w:val="009E6EF9"/>
    <w:rsid w:val="009E72CB"/>
    <w:rsid w:val="009E74AD"/>
    <w:rsid w:val="009E7A4E"/>
    <w:rsid w:val="009E7B1B"/>
    <w:rsid w:val="009F01E2"/>
    <w:rsid w:val="009F066B"/>
    <w:rsid w:val="009F07B3"/>
    <w:rsid w:val="009F1102"/>
    <w:rsid w:val="009F149E"/>
    <w:rsid w:val="009F356F"/>
    <w:rsid w:val="009F4234"/>
    <w:rsid w:val="009F4EBE"/>
    <w:rsid w:val="009F686C"/>
    <w:rsid w:val="009F6FEE"/>
    <w:rsid w:val="009F7104"/>
    <w:rsid w:val="00A007BD"/>
    <w:rsid w:val="00A01FEF"/>
    <w:rsid w:val="00A02349"/>
    <w:rsid w:val="00A02901"/>
    <w:rsid w:val="00A02E48"/>
    <w:rsid w:val="00A039A5"/>
    <w:rsid w:val="00A03EA5"/>
    <w:rsid w:val="00A049E1"/>
    <w:rsid w:val="00A050BE"/>
    <w:rsid w:val="00A061F4"/>
    <w:rsid w:val="00A06821"/>
    <w:rsid w:val="00A0695B"/>
    <w:rsid w:val="00A10593"/>
    <w:rsid w:val="00A109AC"/>
    <w:rsid w:val="00A10BEB"/>
    <w:rsid w:val="00A111E9"/>
    <w:rsid w:val="00A11A9C"/>
    <w:rsid w:val="00A11ACA"/>
    <w:rsid w:val="00A11D95"/>
    <w:rsid w:val="00A126B0"/>
    <w:rsid w:val="00A12743"/>
    <w:rsid w:val="00A12AF3"/>
    <w:rsid w:val="00A12CD1"/>
    <w:rsid w:val="00A133C4"/>
    <w:rsid w:val="00A1431B"/>
    <w:rsid w:val="00A14657"/>
    <w:rsid w:val="00A1468C"/>
    <w:rsid w:val="00A14B0D"/>
    <w:rsid w:val="00A15F6E"/>
    <w:rsid w:val="00A16067"/>
    <w:rsid w:val="00A1647A"/>
    <w:rsid w:val="00A16B3F"/>
    <w:rsid w:val="00A172C6"/>
    <w:rsid w:val="00A20181"/>
    <w:rsid w:val="00A20222"/>
    <w:rsid w:val="00A21523"/>
    <w:rsid w:val="00A21628"/>
    <w:rsid w:val="00A21D92"/>
    <w:rsid w:val="00A22038"/>
    <w:rsid w:val="00A223EC"/>
    <w:rsid w:val="00A22D50"/>
    <w:rsid w:val="00A23113"/>
    <w:rsid w:val="00A243A1"/>
    <w:rsid w:val="00A24D2A"/>
    <w:rsid w:val="00A25740"/>
    <w:rsid w:val="00A25B29"/>
    <w:rsid w:val="00A25CCA"/>
    <w:rsid w:val="00A25F2A"/>
    <w:rsid w:val="00A2685F"/>
    <w:rsid w:val="00A26DE0"/>
    <w:rsid w:val="00A26F82"/>
    <w:rsid w:val="00A271FF"/>
    <w:rsid w:val="00A2777E"/>
    <w:rsid w:val="00A2779F"/>
    <w:rsid w:val="00A2790E"/>
    <w:rsid w:val="00A27C70"/>
    <w:rsid w:val="00A30000"/>
    <w:rsid w:val="00A3063E"/>
    <w:rsid w:val="00A30C70"/>
    <w:rsid w:val="00A319B5"/>
    <w:rsid w:val="00A31C98"/>
    <w:rsid w:val="00A31D96"/>
    <w:rsid w:val="00A31E2B"/>
    <w:rsid w:val="00A31FCB"/>
    <w:rsid w:val="00A32212"/>
    <w:rsid w:val="00A32B38"/>
    <w:rsid w:val="00A32F9A"/>
    <w:rsid w:val="00A33A93"/>
    <w:rsid w:val="00A33F8E"/>
    <w:rsid w:val="00A343E2"/>
    <w:rsid w:val="00A348FC"/>
    <w:rsid w:val="00A35199"/>
    <w:rsid w:val="00A36101"/>
    <w:rsid w:val="00A366A0"/>
    <w:rsid w:val="00A37039"/>
    <w:rsid w:val="00A372A7"/>
    <w:rsid w:val="00A4060D"/>
    <w:rsid w:val="00A40690"/>
    <w:rsid w:val="00A40C0C"/>
    <w:rsid w:val="00A40F75"/>
    <w:rsid w:val="00A4106A"/>
    <w:rsid w:val="00A410B2"/>
    <w:rsid w:val="00A410C4"/>
    <w:rsid w:val="00A4166E"/>
    <w:rsid w:val="00A41C2D"/>
    <w:rsid w:val="00A420F8"/>
    <w:rsid w:val="00A42273"/>
    <w:rsid w:val="00A42C72"/>
    <w:rsid w:val="00A4394E"/>
    <w:rsid w:val="00A44E37"/>
    <w:rsid w:val="00A453F5"/>
    <w:rsid w:val="00A4588F"/>
    <w:rsid w:val="00A45BD8"/>
    <w:rsid w:val="00A45C82"/>
    <w:rsid w:val="00A4621E"/>
    <w:rsid w:val="00A4645F"/>
    <w:rsid w:val="00A46A6E"/>
    <w:rsid w:val="00A47246"/>
    <w:rsid w:val="00A47BD3"/>
    <w:rsid w:val="00A506AA"/>
    <w:rsid w:val="00A50E02"/>
    <w:rsid w:val="00A51185"/>
    <w:rsid w:val="00A52779"/>
    <w:rsid w:val="00A52FA5"/>
    <w:rsid w:val="00A5338C"/>
    <w:rsid w:val="00A543D1"/>
    <w:rsid w:val="00A54A0A"/>
    <w:rsid w:val="00A54A72"/>
    <w:rsid w:val="00A55268"/>
    <w:rsid w:val="00A552D6"/>
    <w:rsid w:val="00A559F7"/>
    <w:rsid w:val="00A57347"/>
    <w:rsid w:val="00A574B8"/>
    <w:rsid w:val="00A62DCD"/>
    <w:rsid w:val="00A633FA"/>
    <w:rsid w:val="00A64391"/>
    <w:rsid w:val="00A66323"/>
    <w:rsid w:val="00A66A6A"/>
    <w:rsid w:val="00A6705B"/>
    <w:rsid w:val="00A6750C"/>
    <w:rsid w:val="00A675B8"/>
    <w:rsid w:val="00A6799C"/>
    <w:rsid w:val="00A700DA"/>
    <w:rsid w:val="00A70AC0"/>
    <w:rsid w:val="00A711EC"/>
    <w:rsid w:val="00A71D3B"/>
    <w:rsid w:val="00A72A88"/>
    <w:rsid w:val="00A737B1"/>
    <w:rsid w:val="00A744B6"/>
    <w:rsid w:val="00A75337"/>
    <w:rsid w:val="00A75A10"/>
    <w:rsid w:val="00A76F14"/>
    <w:rsid w:val="00A8179B"/>
    <w:rsid w:val="00A8200D"/>
    <w:rsid w:val="00A8311D"/>
    <w:rsid w:val="00A83E6E"/>
    <w:rsid w:val="00A85987"/>
    <w:rsid w:val="00A876F5"/>
    <w:rsid w:val="00A8777B"/>
    <w:rsid w:val="00A90BDB"/>
    <w:rsid w:val="00A90E91"/>
    <w:rsid w:val="00A91BCA"/>
    <w:rsid w:val="00A91C63"/>
    <w:rsid w:val="00A92399"/>
    <w:rsid w:val="00A93516"/>
    <w:rsid w:val="00A93A67"/>
    <w:rsid w:val="00A93D60"/>
    <w:rsid w:val="00A95AD6"/>
    <w:rsid w:val="00A967A7"/>
    <w:rsid w:val="00A96ABD"/>
    <w:rsid w:val="00A96DF8"/>
    <w:rsid w:val="00AA0B40"/>
    <w:rsid w:val="00AA1583"/>
    <w:rsid w:val="00AA15F6"/>
    <w:rsid w:val="00AA1A24"/>
    <w:rsid w:val="00AA1C43"/>
    <w:rsid w:val="00AA2644"/>
    <w:rsid w:val="00AA3D1A"/>
    <w:rsid w:val="00AA3EA7"/>
    <w:rsid w:val="00AA420B"/>
    <w:rsid w:val="00AA440C"/>
    <w:rsid w:val="00AA4CB0"/>
    <w:rsid w:val="00AA575C"/>
    <w:rsid w:val="00AA5BBA"/>
    <w:rsid w:val="00AA5EEE"/>
    <w:rsid w:val="00AA7068"/>
    <w:rsid w:val="00AA72A6"/>
    <w:rsid w:val="00AB0C99"/>
    <w:rsid w:val="00AB1293"/>
    <w:rsid w:val="00AB1627"/>
    <w:rsid w:val="00AB1878"/>
    <w:rsid w:val="00AB1A53"/>
    <w:rsid w:val="00AB2C69"/>
    <w:rsid w:val="00AB3549"/>
    <w:rsid w:val="00AB35CC"/>
    <w:rsid w:val="00AB3AE9"/>
    <w:rsid w:val="00AB4917"/>
    <w:rsid w:val="00AB5528"/>
    <w:rsid w:val="00AB6B7F"/>
    <w:rsid w:val="00AB7699"/>
    <w:rsid w:val="00AB77B6"/>
    <w:rsid w:val="00AC068A"/>
    <w:rsid w:val="00AC15A2"/>
    <w:rsid w:val="00AC2997"/>
    <w:rsid w:val="00AC2F36"/>
    <w:rsid w:val="00AC38A7"/>
    <w:rsid w:val="00AC4EC7"/>
    <w:rsid w:val="00AC4F2A"/>
    <w:rsid w:val="00AC51E8"/>
    <w:rsid w:val="00AC527C"/>
    <w:rsid w:val="00AC612D"/>
    <w:rsid w:val="00AC6338"/>
    <w:rsid w:val="00AC651A"/>
    <w:rsid w:val="00AC66CB"/>
    <w:rsid w:val="00AC704D"/>
    <w:rsid w:val="00AC7054"/>
    <w:rsid w:val="00AC70D9"/>
    <w:rsid w:val="00AC725C"/>
    <w:rsid w:val="00AD1128"/>
    <w:rsid w:val="00AD11CD"/>
    <w:rsid w:val="00AD1254"/>
    <w:rsid w:val="00AD1A47"/>
    <w:rsid w:val="00AD236D"/>
    <w:rsid w:val="00AD275D"/>
    <w:rsid w:val="00AD2D18"/>
    <w:rsid w:val="00AD3773"/>
    <w:rsid w:val="00AD4C0B"/>
    <w:rsid w:val="00AD4E8A"/>
    <w:rsid w:val="00AD53FD"/>
    <w:rsid w:val="00AD7215"/>
    <w:rsid w:val="00AD741A"/>
    <w:rsid w:val="00AE05B0"/>
    <w:rsid w:val="00AE06B1"/>
    <w:rsid w:val="00AE06E5"/>
    <w:rsid w:val="00AE1CEA"/>
    <w:rsid w:val="00AE21D0"/>
    <w:rsid w:val="00AE25C3"/>
    <w:rsid w:val="00AE2B86"/>
    <w:rsid w:val="00AE4612"/>
    <w:rsid w:val="00AE50C6"/>
    <w:rsid w:val="00AE53ED"/>
    <w:rsid w:val="00AE662B"/>
    <w:rsid w:val="00AE66FB"/>
    <w:rsid w:val="00AE6A12"/>
    <w:rsid w:val="00AE751F"/>
    <w:rsid w:val="00AE7A26"/>
    <w:rsid w:val="00AF090B"/>
    <w:rsid w:val="00AF0CE7"/>
    <w:rsid w:val="00AF0E37"/>
    <w:rsid w:val="00AF12B4"/>
    <w:rsid w:val="00AF1713"/>
    <w:rsid w:val="00AF1BCD"/>
    <w:rsid w:val="00AF351B"/>
    <w:rsid w:val="00AF45DF"/>
    <w:rsid w:val="00AF465E"/>
    <w:rsid w:val="00AF4842"/>
    <w:rsid w:val="00AF526A"/>
    <w:rsid w:val="00AF679C"/>
    <w:rsid w:val="00AF6CF5"/>
    <w:rsid w:val="00AF73BC"/>
    <w:rsid w:val="00AF77C2"/>
    <w:rsid w:val="00B000CA"/>
    <w:rsid w:val="00B01B3C"/>
    <w:rsid w:val="00B025C2"/>
    <w:rsid w:val="00B025DA"/>
    <w:rsid w:val="00B047A8"/>
    <w:rsid w:val="00B048A9"/>
    <w:rsid w:val="00B04ECA"/>
    <w:rsid w:val="00B058A6"/>
    <w:rsid w:val="00B058D0"/>
    <w:rsid w:val="00B06C4E"/>
    <w:rsid w:val="00B06DEF"/>
    <w:rsid w:val="00B06E66"/>
    <w:rsid w:val="00B06E67"/>
    <w:rsid w:val="00B073F7"/>
    <w:rsid w:val="00B0742A"/>
    <w:rsid w:val="00B10405"/>
    <w:rsid w:val="00B10CFA"/>
    <w:rsid w:val="00B1115B"/>
    <w:rsid w:val="00B11865"/>
    <w:rsid w:val="00B1196D"/>
    <w:rsid w:val="00B12377"/>
    <w:rsid w:val="00B12AA9"/>
    <w:rsid w:val="00B12F65"/>
    <w:rsid w:val="00B13665"/>
    <w:rsid w:val="00B13725"/>
    <w:rsid w:val="00B15A30"/>
    <w:rsid w:val="00B160A4"/>
    <w:rsid w:val="00B164F0"/>
    <w:rsid w:val="00B168AF"/>
    <w:rsid w:val="00B17E0E"/>
    <w:rsid w:val="00B20217"/>
    <w:rsid w:val="00B21591"/>
    <w:rsid w:val="00B217C6"/>
    <w:rsid w:val="00B2262A"/>
    <w:rsid w:val="00B2284C"/>
    <w:rsid w:val="00B23316"/>
    <w:rsid w:val="00B239B9"/>
    <w:rsid w:val="00B23C00"/>
    <w:rsid w:val="00B23E77"/>
    <w:rsid w:val="00B23F14"/>
    <w:rsid w:val="00B241FD"/>
    <w:rsid w:val="00B246AB"/>
    <w:rsid w:val="00B2483B"/>
    <w:rsid w:val="00B25F6B"/>
    <w:rsid w:val="00B26495"/>
    <w:rsid w:val="00B26569"/>
    <w:rsid w:val="00B26C96"/>
    <w:rsid w:val="00B30485"/>
    <w:rsid w:val="00B30742"/>
    <w:rsid w:val="00B30E1F"/>
    <w:rsid w:val="00B3144F"/>
    <w:rsid w:val="00B31D5F"/>
    <w:rsid w:val="00B3226D"/>
    <w:rsid w:val="00B32A87"/>
    <w:rsid w:val="00B330F9"/>
    <w:rsid w:val="00B33B60"/>
    <w:rsid w:val="00B34050"/>
    <w:rsid w:val="00B34466"/>
    <w:rsid w:val="00B3469F"/>
    <w:rsid w:val="00B34863"/>
    <w:rsid w:val="00B3570C"/>
    <w:rsid w:val="00B35C49"/>
    <w:rsid w:val="00B36948"/>
    <w:rsid w:val="00B374E7"/>
    <w:rsid w:val="00B37B40"/>
    <w:rsid w:val="00B41DB6"/>
    <w:rsid w:val="00B4241E"/>
    <w:rsid w:val="00B43984"/>
    <w:rsid w:val="00B43AF2"/>
    <w:rsid w:val="00B444B3"/>
    <w:rsid w:val="00B44D93"/>
    <w:rsid w:val="00B510AE"/>
    <w:rsid w:val="00B51232"/>
    <w:rsid w:val="00B51C34"/>
    <w:rsid w:val="00B5309F"/>
    <w:rsid w:val="00B53154"/>
    <w:rsid w:val="00B537ED"/>
    <w:rsid w:val="00B53E2F"/>
    <w:rsid w:val="00B5419D"/>
    <w:rsid w:val="00B54BC0"/>
    <w:rsid w:val="00B55D7C"/>
    <w:rsid w:val="00B56ECB"/>
    <w:rsid w:val="00B60E51"/>
    <w:rsid w:val="00B62B7A"/>
    <w:rsid w:val="00B63E2F"/>
    <w:rsid w:val="00B64219"/>
    <w:rsid w:val="00B64733"/>
    <w:rsid w:val="00B647E8"/>
    <w:rsid w:val="00B6643B"/>
    <w:rsid w:val="00B66599"/>
    <w:rsid w:val="00B67904"/>
    <w:rsid w:val="00B71574"/>
    <w:rsid w:val="00B716D0"/>
    <w:rsid w:val="00B71C9C"/>
    <w:rsid w:val="00B71D60"/>
    <w:rsid w:val="00B745E1"/>
    <w:rsid w:val="00B754EF"/>
    <w:rsid w:val="00B7580E"/>
    <w:rsid w:val="00B765CB"/>
    <w:rsid w:val="00B76784"/>
    <w:rsid w:val="00B7755F"/>
    <w:rsid w:val="00B77F1D"/>
    <w:rsid w:val="00B80B30"/>
    <w:rsid w:val="00B80BC3"/>
    <w:rsid w:val="00B81300"/>
    <w:rsid w:val="00B81F86"/>
    <w:rsid w:val="00B859B0"/>
    <w:rsid w:val="00B85A06"/>
    <w:rsid w:val="00B86627"/>
    <w:rsid w:val="00B87992"/>
    <w:rsid w:val="00B87C05"/>
    <w:rsid w:val="00B901C0"/>
    <w:rsid w:val="00B90637"/>
    <w:rsid w:val="00B90B9A"/>
    <w:rsid w:val="00B91457"/>
    <w:rsid w:val="00B91A69"/>
    <w:rsid w:val="00B92ADD"/>
    <w:rsid w:val="00B9340A"/>
    <w:rsid w:val="00B936D8"/>
    <w:rsid w:val="00B94127"/>
    <w:rsid w:val="00B945C6"/>
    <w:rsid w:val="00B956D2"/>
    <w:rsid w:val="00B9610C"/>
    <w:rsid w:val="00B96556"/>
    <w:rsid w:val="00B969B2"/>
    <w:rsid w:val="00B9756A"/>
    <w:rsid w:val="00BA0030"/>
    <w:rsid w:val="00BA01D6"/>
    <w:rsid w:val="00BA070B"/>
    <w:rsid w:val="00BA190A"/>
    <w:rsid w:val="00BA25D4"/>
    <w:rsid w:val="00BA384C"/>
    <w:rsid w:val="00BA4121"/>
    <w:rsid w:val="00BA53F1"/>
    <w:rsid w:val="00BA5D5F"/>
    <w:rsid w:val="00BA68A5"/>
    <w:rsid w:val="00BA7488"/>
    <w:rsid w:val="00BB0452"/>
    <w:rsid w:val="00BB0F68"/>
    <w:rsid w:val="00BB17CF"/>
    <w:rsid w:val="00BB2509"/>
    <w:rsid w:val="00BB2F6F"/>
    <w:rsid w:val="00BB32D3"/>
    <w:rsid w:val="00BB598F"/>
    <w:rsid w:val="00BB6515"/>
    <w:rsid w:val="00BB6AD6"/>
    <w:rsid w:val="00BB6FEC"/>
    <w:rsid w:val="00BB773C"/>
    <w:rsid w:val="00BB7765"/>
    <w:rsid w:val="00BB7C89"/>
    <w:rsid w:val="00BC0FC6"/>
    <w:rsid w:val="00BC19E6"/>
    <w:rsid w:val="00BC2133"/>
    <w:rsid w:val="00BC3434"/>
    <w:rsid w:val="00BC4382"/>
    <w:rsid w:val="00BC53DF"/>
    <w:rsid w:val="00BC581F"/>
    <w:rsid w:val="00BC58F5"/>
    <w:rsid w:val="00BC611C"/>
    <w:rsid w:val="00BC6F2C"/>
    <w:rsid w:val="00BC7132"/>
    <w:rsid w:val="00BC7382"/>
    <w:rsid w:val="00BC7C5A"/>
    <w:rsid w:val="00BC7C81"/>
    <w:rsid w:val="00BD004B"/>
    <w:rsid w:val="00BD08C6"/>
    <w:rsid w:val="00BD0F2E"/>
    <w:rsid w:val="00BD1B6D"/>
    <w:rsid w:val="00BD1E8E"/>
    <w:rsid w:val="00BD2939"/>
    <w:rsid w:val="00BD3891"/>
    <w:rsid w:val="00BD3948"/>
    <w:rsid w:val="00BD3BAC"/>
    <w:rsid w:val="00BD410B"/>
    <w:rsid w:val="00BD41D8"/>
    <w:rsid w:val="00BD4278"/>
    <w:rsid w:val="00BD4322"/>
    <w:rsid w:val="00BD4471"/>
    <w:rsid w:val="00BD44DD"/>
    <w:rsid w:val="00BD4CB2"/>
    <w:rsid w:val="00BD59E5"/>
    <w:rsid w:val="00BD5AC0"/>
    <w:rsid w:val="00BD5E3C"/>
    <w:rsid w:val="00BD62D6"/>
    <w:rsid w:val="00BD7030"/>
    <w:rsid w:val="00BD74C8"/>
    <w:rsid w:val="00BD7CE2"/>
    <w:rsid w:val="00BD7DC7"/>
    <w:rsid w:val="00BE1594"/>
    <w:rsid w:val="00BE205C"/>
    <w:rsid w:val="00BE2265"/>
    <w:rsid w:val="00BE256E"/>
    <w:rsid w:val="00BE2788"/>
    <w:rsid w:val="00BE29F0"/>
    <w:rsid w:val="00BE2E37"/>
    <w:rsid w:val="00BE3480"/>
    <w:rsid w:val="00BE40AA"/>
    <w:rsid w:val="00BE436E"/>
    <w:rsid w:val="00BE4F3A"/>
    <w:rsid w:val="00BE5254"/>
    <w:rsid w:val="00BE598A"/>
    <w:rsid w:val="00BE5F7D"/>
    <w:rsid w:val="00BE6145"/>
    <w:rsid w:val="00BE65AB"/>
    <w:rsid w:val="00BE6D45"/>
    <w:rsid w:val="00BE6DB7"/>
    <w:rsid w:val="00BF005D"/>
    <w:rsid w:val="00BF01D6"/>
    <w:rsid w:val="00BF0678"/>
    <w:rsid w:val="00BF112F"/>
    <w:rsid w:val="00BF1CB0"/>
    <w:rsid w:val="00BF1D20"/>
    <w:rsid w:val="00BF2031"/>
    <w:rsid w:val="00BF283F"/>
    <w:rsid w:val="00BF37ED"/>
    <w:rsid w:val="00BF3E19"/>
    <w:rsid w:val="00BF438B"/>
    <w:rsid w:val="00BF4688"/>
    <w:rsid w:val="00BF476B"/>
    <w:rsid w:val="00BF4F08"/>
    <w:rsid w:val="00BF5623"/>
    <w:rsid w:val="00BF62B3"/>
    <w:rsid w:val="00BF6D4B"/>
    <w:rsid w:val="00BF716F"/>
    <w:rsid w:val="00BF7834"/>
    <w:rsid w:val="00BF7A24"/>
    <w:rsid w:val="00C0116A"/>
    <w:rsid w:val="00C0141E"/>
    <w:rsid w:val="00C019A6"/>
    <w:rsid w:val="00C0236C"/>
    <w:rsid w:val="00C029EE"/>
    <w:rsid w:val="00C02C25"/>
    <w:rsid w:val="00C03651"/>
    <w:rsid w:val="00C0370E"/>
    <w:rsid w:val="00C03FBE"/>
    <w:rsid w:val="00C0410F"/>
    <w:rsid w:val="00C04315"/>
    <w:rsid w:val="00C044E7"/>
    <w:rsid w:val="00C046DD"/>
    <w:rsid w:val="00C04F88"/>
    <w:rsid w:val="00C057F9"/>
    <w:rsid w:val="00C05C0E"/>
    <w:rsid w:val="00C062C2"/>
    <w:rsid w:val="00C06438"/>
    <w:rsid w:val="00C067F4"/>
    <w:rsid w:val="00C07018"/>
    <w:rsid w:val="00C10274"/>
    <w:rsid w:val="00C102B8"/>
    <w:rsid w:val="00C10D07"/>
    <w:rsid w:val="00C1121B"/>
    <w:rsid w:val="00C11D0D"/>
    <w:rsid w:val="00C1308B"/>
    <w:rsid w:val="00C13755"/>
    <w:rsid w:val="00C14A97"/>
    <w:rsid w:val="00C14F4B"/>
    <w:rsid w:val="00C14FCD"/>
    <w:rsid w:val="00C15171"/>
    <w:rsid w:val="00C15F98"/>
    <w:rsid w:val="00C164E2"/>
    <w:rsid w:val="00C17E3F"/>
    <w:rsid w:val="00C20054"/>
    <w:rsid w:val="00C21478"/>
    <w:rsid w:val="00C2214D"/>
    <w:rsid w:val="00C224CF"/>
    <w:rsid w:val="00C225F6"/>
    <w:rsid w:val="00C228E2"/>
    <w:rsid w:val="00C236BC"/>
    <w:rsid w:val="00C24040"/>
    <w:rsid w:val="00C24145"/>
    <w:rsid w:val="00C2516F"/>
    <w:rsid w:val="00C253D0"/>
    <w:rsid w:val="00C26831"/>
    <w:rsid w:val="00C26899"/>
    <w:rsid w:val="00C27905"/>
    <w:rsid w:val="00C27A27"/>
    <w:rsid w:val="00C27ED1"/>
    <w:rsid w:val="00C3134E"/>
    <w:rsid w:val="00C3165B"/>
    <w:rsid w:val="00C33AED"/>
    <w:rsid w:val="00C344A8"/>
    <w:rsid w:val="00C344F1"/>
    <w:rsid w:val="00C35DE3"/>
    <w:rsid w:val="00C361AA"/>
    <w:rsid w:val="00C36795"/>
    <w:rsid w:val="00C36A0A"/>
    <w:rsid w:val="00C404D7"/>
    <w:rsid w:val="00C40730"/>
    <w:rsid w:val="00C40B1F"/>
    <w:rsid w:val="00C40BF3"/>
    <w:rsid w:val="00C4203E"/>
    <w:rsid w:val="00C4256D"/>
    <w:rsid w:val="00C42DAB"/>
    <w:rsid w:val="00C43399"/>
    <w:rsid w:val="00C433BE"/>
    <w:rsid w:val="00C4377A"/>
    <w:rsid w:val="00C44270"/>
    <w:rsid w:val="00C44F1E"/>
    <w:rsid w:val="00C4564F"/>
    <w:rsid w:val="00C4587E"/>
    <w:rsid w:val="00C459B5"/>
    <w:rsid w:val="00C466D0"/>
    <w:rsid w:val="00C50FA7"/>
    <w:rsid w:val="00C52465"/>
    <w:rsid w:val="00C525FE"/>
    <w:rsid w:val="00C52AE7"/>
    <w:rsid w:val="00C53B34"/>
    <w:rsid w:val="00C53CD3"/>
    <w:rsid w:val="00C5453D"/>
    <w:rsid w:val="00C55650"/>
    <w:rsid w:val="00C55C16"/>
    <w:rsid w:val="00C571C7"/>
    <w:rsid w:val="00C572A2"/>
    <w:rsid w:val="00C601B5"/>
    <w:rsid w:val="00C62489"/>
    <w:rsid w:val="00C62D40"/>
    <w:rsid w:val="00C6378E"/>
    <w:rsid w:val="00C63D2B"/>
    <w:rsid w:val="00C64A28"/>
    <w:rsid w:val="00C64B0E"/>
    <w:rsid w:val="00C65748"/>
    <w:rsid w:val="00C65AFC"/>
    <w:rsid w:val="00C66346"/>
    <w:rsid w:val="00C668BE"/>
    <w:rsid w:val="00C66CBD"/>
    <w:rsid w:val="00C6719E"/>
    <w:rsid w:val="00C6739B"/>
    <w:rsid w:val="00C70CD5"/>
    <w:rsid w:val="00C70DD4"/>
    <w:rsid w:val="00C71A9A"/>
    <w:rsid w:val="00C74397"/>
    <w:rsid w:val="00C750FA"/>
    <w:rsid w:val="00C75534"/>
    <w:rsid w:val="00C76D78"/>
    <w:rsid w:val="00C76FEF"/>
    <w:rsid w:val="00C77DB7"/>
    <w:rsid w:val="00C815D3"/>
    <w:rsid w:val="00C818D6"/>
    <w:rsid w:val="00C827C4"/>
    <w:rsid w:val="00C83164"/>
    <w:rsid w:val="00C833CC"/>
    <w:rsid w:val="00C83D56"/>
    <w:rsid w:val="00C84A84"/>
    <w:rsid w:val="00C84DCB"/>
    <w:rsid w:val="00C8558D"/>
    <w:rsid w:val="00C85BCF"/>
    <w:rsid w:val="00C869B5"/>
    <w:rsid w:val="00C90850"/>
    <w:rsid w:val="00C90D88"/>
    <w:rsid w:val="00C917BF"/>
    <w:rsid w:val="00C91867"/>
    <w:rsid w:val="00C92FA1"/>
    <w:rsid w:val="00C93D73"/>
    <w:rsid w:val="00C94981"/>
    <w:rsid w:val="00C95940"/>
    <w:rsid w:val="00C95D87"/>
    <w:rsid w:val="00C969C9"/>
    <w:rsid w:val="00C96B50"/>
    <w:rsid w:val="00C97AB3"/>
    <w:rsid w:val="00C97CC1"/>
    <w:rsid w:val="00C97E64"/>
    <w:rsid w:val="00CA0197"/>
    <w:rsid w:val="00CA1567"/>
    <w:rsid w:val="00CA168D"/>
    <w:rsid w:val="00CA26F2"/>
    <w:rsid w:val="00CA2815"/>
    <w:rsid w:val="00CA3667"/>
    <w:rsid w:val="00CA37F9"/>
    <w:rsid w:val="00CA3891"/>
    <w:rsid w:val="00CA48B7"/>
    <w:rsid w:val="00CA4D98"/>
    <w:rsid w:val="00CA4DB4"/>
    <w:rsid w:val="00CA655F"/>
    <w:rsid w:val="00CA6AFC"/>
    <w:rsid w:val="00CA6E96"/>
    <w:rsid w:val="00CA7732"/>
    <w:rsid w:val="00CA7E97"/>
    <w:rsid w:val="00CA7FDE"/>
    <w:rsid w:val="00CB01D7"/>
    <w:rsid w:val="00CB0EC6"/>
    <w:rsid w:val="00CB1A64"/>
    <w:rsid w:val="00CB1CD2"/>
    <w:rsid w:val="00CB1CD8"/>
    <w:rsid w:val="00CB2756"/>
    <w:rsid w:val="00CB2CA0"/>
    <w:rsid w:val="00CB46FE"/>
    <w:rsid w:val="00CB4720"/>
    <w:rsid w:val="00CB500B"/>
    <w:rsid w:val="00CB5CE2"/>
    <w:rsid w:val="00CB600E"/>
    <w:rsid w:val="00CB67CF"/>
    <w:rsid w:val="00CB6AD1"/>
    <w:rsid w:val="00CB6C18"/>
    <w:rsid w:val="00CB765A"/>
    <w:rsid w:val="00CB7C16"/>
    <w:rsid w:val="00CB7C1D"/>
    <w:rsid w:val="00CC0129"/>
    <w:rsid w:val="00CC01E1"/>
    <w:rsid w:val="00CC08A0"/>
    <w:rsid w:val="00CC09D0"/>
    <w:rsid w:val="00CC1AAB"/>
    <w:rsid w:val="00CC1C1B"/>
    <w:rsid w:val="00CC26CA"/>
    <w:rsid w:val="00CC37C6"/>
    <w:rsid w:val="00CC3D98"/>
    <w:rsid w:val="00CC4424"/>
    <w:rsid w:val="00CC489E"/>
    <w:rsid w:val="00CC4EFE"/>
    <w:rsid w:val="00CC4FE8"/>
    <w:rsid w:val="00CC50B8"/>
    <w:rsid w:val="00CC5F73"/>
    <w:rsid w:val="00CC6D63"/>
    <w:rsid w:val="00CC72C1"/>
    <w:rsid w:val="00CC77D8"/>
    <w:rsid w:val="00CC7CF1"/>
    <w:rsid w:val="00CD0244"/>
    <w:rsid w:val="00CD1A40"/>
    <w:rsid w:val="00CD221F"/>
    <w:rsid w:val="00CD2F51"/>
    <w:rsid w:val="00CD3B5D"/>
    <w:rsid w:val="00CD3CC0"/>
    <w:rsid w:val="00CD5B9F"/>
    <w:rsid w:val="00CD6064"/>
    <w:rsid w:val="00CD6983"/>
    <w:rsid w:val="00CD6CDC"/>
    <w:rsid w:val="00CD705F"/>
    <w:rsid w:val="00CE01C5"/>
    <w:rsid w:val="00CE1658"/>
    <w:rsid w:val="00CE2056"/>
    <w:rsid w:val="00CE259A"/>
    <w:rsid w:val="00CE26A8"/>
    <w:rsid w:val="00CE273C"/>
    <w:rsid w:val="00CE2B29"/>
    <w:rsid w:val="00CE2B5C"/>
    <w:rsid w:val="00CE31B7"/>
    <w:rsid w:val="00CE3E03"/>
    <w:rsid w:val="00CE51AC"/>
    <w:rsid w:val="00CE568E"/>
    <w:rsid w:val="00CE79A6"/>
    <w:rsid w:val="00CF06A3"/>
    <w:rsid w:val="00CF173D"/>
    <w:rsid w:val="00CF3875"/>
    <w:rsid w:val="00CF3DA8"/>
    <w:rsid w:val="00CF3DD7"/>
    <w:rsid w:val="00CF59F0"/>
    <w:rsid w:val="00CF5D06"/>
    <w:rsid w:val="00CF5E17"/>
    <w:rsid w:val="00CF67A6"/>
    <w:rsid w:val="00CF703C"/>
    <w:rsid w:val="00CF7BC0"/>
    <w:rsid w:val="00CF7F9A"/>
    <w:rsid w:val="00D0003F"/>
    <w:rsid w:val="00D0112B"/>
    <w:rsid w:val="00D012C1"/>
    <w:rsid w:val="00D01373"/>
    <w:rsid w:val="00D01DA8"/>
    <w:rsid w:val="00D03607"/>
    <w:rsid w:val="00D03639"/>
    <w:rsid w:val="00D040A8"/>
    <w:rsid w:val="00D0544E"/>
    <w:rsid w:val="00D05F8B"/>
    <w:rsid w:val="00D06ED6"/>
    <w:rsid w:val="00D07C81"/>
    <w:rsid w:val="00D10449"/>
    <w:rsid w:val="00D116B2"/>
    <w:rsid w:val="00D11BAB"/>
    <w:rsid w:val="00D11C82"/>
    <w:rsid w:val="00D11EDF"/>
    <w:rsid w:val="00D11F6B"/>
    <w:rsid w:val="00D12535"/>
    <w:rsid w:val="00D142DE"/>
    <w:rsid w:val="00D14335"/>
    <w:rsid w:val="00D151FC"/>
    <w:rsid w:val="00D17072"/>
    <w:rsid w:val="00D17B09"/>
    <w:rsid w:val="00D2034C"/>
    <w:rsid w:val="00D20CCB"/>
    <w:rsid w:val="00D236B1"/>
    <w:rsid w:val="00D2412E"/>
    <w:rsid w:val="00D246E5"/>
    <w:rsid w:val="00D24712"/>
    <w:rsid w:val="00D25FA1"/>
    <w:rsid w:val="00D266E6"/>
    <w:rsid w:val="00D27124"/>
    <w:rsid w:val="00D30053"/>
    <w:rsid w:val="00D314EC"/>
    <w:rsid w:val="00D31B21"/>
    <w:rsid w:val="00D31BFE"/>
    <w:rsid w:val="00D32339"/>
    <w:rsid w:val="00D32F32"/>
    <w:rsid w:val="00D33D8B"/>
    <w:rsid w:val="00D33EDD"/>
    <w:rsid w:val="00D34A2B"/>
    <w:rsid w:val="00D34D8D"/>
    <w:rsid w:val="00D356A8"/>
    <w:rsid w:val="00D3585E"/>
    <w:rsid w:val="00D36802"/>
    <w:rsid w:val="00D4048C"/>
    <w:rsid w:val="00D405C0"/>
    <w:rsid w:val="00D40A49"/>
    <w:rsid w:val="00D40EA8"/>
    <w:rsid w:val="00D40FC0"/>
    <w:rsid w:val="00D41634"/>
    <w:rsid w:val="00D41D48"/>
    <w:rsid w:val="00D41D8E"/>
    <w:rsid w:val="00D42FF6"/>
    <w:rsid w:val="00D438AA"/>
    <w:rsid w:val="00D43BD8"/>
    <w:rsid w:val="00D441C5"/>
    <w:rsid w:val="00D4488C"/>
    <w:rsid w:val="00D44CF9"/>
    <w:rsid w:val="00D4553C"/>
    <w:rsid w:val="00D45A3D"/>
    <w:rsid w:val="00D46220"/>
    <w:rsid w:val="00D4685E"/>
    <w:rsid w:val="00D46D18"/>
    <w:rsid w:val="00D46D5E"/>
    <w:rsid w:val="00D47AB1"/>
    <w:rsid w:val="00D47DE0"/>
    <w:rsid w:val="00D5088F"/>
    <w:rsid w:val="00D513C6"/>
    <w:rsid w:val="00D51869"/>
    <w:rsid w:val="00D52D30"/>
    <w:rsid w:val="00D53403"/>
    <w:rsid w:val="00D53D69"/>
    <w:rsid w:val="00D53E79"/>
    <w:rsid w:val="00D541DD"/>
    <w:rsid w:val="00D5428E"/>
    <w:rsid w:val="00D5499C"/>
    <w:rsid w:val="00D5526B"/>
    <w:rsid w:val="00D556C4"/>
    <w:rsid w:val="00D558CA"/>
    <w:rsid w:val="00D57216"/>
    <w:rsid w:val="00D57493"/>
    <w:rsid w:val="00D602A2"/>
    <w:rsid w:val="00D60B37"/>
    <w:rsid w:val="00D60FEF"/>
    <w:rsid w:val="00D613F1"/>
    <w:rsid w:val="00D61E93"/>
    <w:rsid w:val="00D61F93"/>
    <w:rsid w:val="00D635F3"/>
    <w:rsid w:val="00D63BD6"/>
    <w:rsid w:val="00D63EBC"/>
    <w:rsid w:val="00D640DD"/>
    <w:rsid w:val="00D64846"/>
    <w:rsid w:val="00D64A4B"/>
    <w:rsid w:val="00D64FD2"/>
    <w:rsid w:val="00D65EC0"/>
    <w:rsid w:val="00D66187"/>
    <w:rsid w:val="00D6667F"/>
    <w:rsid w:val="00D6673C"/>
    <w:rsid w:val="00D66962"/>
    <w:rsid w:val="00D66D97"/>
    <w:rsid w:val="00D6715B"/>
    <w:rsid w:val="00D67BBF"/>
    <w:rsid w:val="00D67D47"/>
    <w:rsid w:val="00D70228"/>
    <w:rsid w:val="00D70E39"/>
    <w:rsid w:val="00D70EFD"/>
    <w:rsid w:val="00D711DD"/>
    <w:rsid w:val="00D71F06"/>
    <w:rsid w:val="00D72187"/>
    <w:rsid w:val="00D72806"/>
    <w:rsid w:val="00D72FD0"/>
    <w:rsid w:val="00D73EB2"/>
    <w:rsid w:val="00D74131"/>
    <w:rsid w:val="00D74628"/>
    <w:rsid w:val="00D75D06"/>
    <w:rsid w:val="00D7633C"/>
    <w:rsid w:val="00D770C1"/>
    <w:rsid w:val="00D77EA1"/>
    <w:rsid w:val="00D8050F"/>
    <w:rsid w:val="00D80515"/>
    <w:rsid w:val="00D80F25"/>
    <w:rsid w:val="00D82053"/>
    <w:rsid w:val="00D82DD6"/>
    <w:rsid w:val="00D830C4"/>
    <w:rsid w:val="00D83B18"/>
    <w:rsid w:val="00D842DD"/>
    <w:rsid w:val="00D85656"/>
    <w:rsid w:val="00D85E79"/>
    <w:rsid w:val="00D862FE"/>
    <w:rsid w:val="00D86558"/>
    <w:rsid w:val="00D865D9"/>
    <w:rsid w:val="00D86B29"/>
    <w:rsid w:val="00D86DA5"/>
    <w:rsid w:val="00D8797C"/>
    <w:rsid w:val="00D87A49"/>
    <w:rsid w:val="00D87D9C"/>
    <w:rsid w:val="00D9158A"/>
    <w:rsid w:val="00D917DE"/>
    <w:rsid w:val="00D91BE1"/>
    <w:rsid w:val="00D92B3B"/>
    <w:rsid w:val="00D95238"/>
    <w:rsid w:val="00D95A2C"/>
    <w:rsid w:val="00D9624F"/>
    <w:rsid w:val="00D96D30"/>
    <w:rsid w:val="00D96D4C"/>
    <w:rsid w:val="00D97AE4"/>
    <w:rsid w:val="00DA0414"/>
    <w:rsid w:val="00DA0CED"/>
    <w:rsid w:val="00DA18B2"/>
    <w:rsid w:val="00DA1B91"/>
    <w:rsid w:val="00DA2766"/>
    <w:rsid w:val="00DA2EDE"/>
    <w:rsid w:val="00DA3475"/>
    <w:rsid w:val="00DA3E66"/>
    <w:rsid w:val="00DA489D"/>
    <w:rsid w:val="00DA51F6"/>
    <w:rsid w:val="00DA5B2F"/>
    <w:rsid w:val="00DA648E"/>
    <w:rsid w:val="00DA6ABB"/>
    <w:rsid w:val="00DA6E42"/>
    <w:rsid w:val="00DA7743"/>
    <w:rsid w:val="00DA7DED"/>
    <w:rsid w:val="00DA7E95"/>
    <w:rsid w:val="00DB0143"/>
    <w:rsid w:val="00DB071A"/>
    <w:rsid w:val="00DB0B1B"/>
    <w:rsid w:val="00DB0D50"/>
    <w:rsid w:val="00DB14BE"/>
    <w:rsid w:val="00DB2443"/>
    <w:rsid w:val="00DB32BD"/>
    <w:rsid w:val="00DB36CC"/>
    <w:rsid w:val="00DB3E2B"/>
    <w:rsid w:val="00DB40B8"/>
    <w:rsid w:val="00DB42A0"/>
    <w:rsid w:val="00DB4426"/>
    <w:rsid w:val="00DB44A7"/>
    <w:rsid w:val="00DB4EE6"/>
    <w:rsid w:val="00DB4F42"/>
    <w:rsid w:val="00DB61CA"/>
    <w:rsid w:val="00DB668A"/>
    <w:rsid w:val="00DB68C1"/>
    <w:rsid w:val="00DB6CBF"/>
    <w:rsid w:val="00DB6DAB"/>
    <w:rsid w:val="00DC0898"/>
    <w:rsid w:val="00DC0F35"/>
    <w:rsid w:val="00DC12AA"/>
    <w:rsid w:val="00DC13E4"/>
    <w:rsid w:val="00DC1512"/>
    <w:rsid w:val="00DC35AD"/>
    <w:rsid w:val="00DC3B9F"/>
    <w:rsid w:val="00DC5872"/>
    <w:rsid w:val="00DC5AEF"/>
    <w:rsid w:val="00DC5EF4"/>
    <w:rsid w:val="00DC6A9F"/>
    <w:rsid w:val="00DC7CCA"/>
    <w:rsid w:val="00DD0836"/>
    <w:rsid w:val="00DD0C6A"/>
    <w:rsid w:val="00DD11EE"/>
    <w:rsid w:val="00DD22E6"/>
    <w:rsid w:val="00DD3314"/>
    <w:rsid w:val="00DD4E82"/>
    <w:rsid w:val="00DD52C3"/>
    <w:rsid w:val="00DD7F5B"/>
    <w:rsid w:val="00DE1694"/>
    <w:rsid w:val="00DE222C"/>
    <w:rsid w:val="00DE2433"/>
    <w:rsid w:val="00DE30CF"/>
    <w:rsid w:val="00DE3460"/>
    <w:rsid w:val="00DE36D2"/>
    <w:rsid w:val="00DE3B6D"/>
    <w:rsid w:val="00DE4B09"/>
    <w:rsid w:val="00DE5CC0"/>
    <w:rsid w:val="00DE6085"/>
    <w:rsid w:val="00DE66C1"/>
    <w:rsid w:val="00DE6793"/>
    <w:rsid w:val="00DE697E"/>
    <w:rsid w:val="00DE6998"/>
    <w:rsid w:val="00DE6BCF"/>
    <w:rsid w:val="00DE77BC"/>
    <w:rsid w:val="00DE797C"/>
    <w:rsid w:val="00DE7F6F"/>
    <w:rsid w:val="00DF1A3F"/>
    <w:rsid w:val="00DF1C28"/>
    <w:rsid w:val="00DF2382"/>
    <w:rsid w:val="00DF273A"/>
    <w:rsid w:val="00DF2BC2"/>
    <w:rsid w:val="00DF2D1A"/>
    <w:rsid w:val="00DF2DBC"/>
    <w:rsid w:val="00DF3CEA"/>
    <w:rsid w:val="00DF42FC"/>
    <w:rsid w:val="00DF4A30"/>
    <w:rsid w:val="00DF4DE9"/>
    <w:rsid w:val="00DF5C92"/>
    <w:rsid w:val="00DF5CDC"/>
    <w:rsid w:val="00DF75A0"/>
    <w:rsid w:val="00DF75C8"/>
    <w:rsid w:val="00DF7692"/>
    <w:rsid w:val="00E0050C"/>
    <w:rsid w:val="00E01827"/>
    <w:rsid w:val="00E018F9"/>
    <w:rsid w:val="00E03C1B"/>
    <w:rsid w:val="00E049A5"/>
    <w:rsid w:val="00E04A31"/>
    <w:rsid w:val="00E0554B"/>
    <w:rsid w:val="00E06592"/>
    <w:rsid w:val="00E069D5"/>
    <w:rsid w:val="00E0732F"/>
    <w:rsid w:val="00E07B4D"/>
    <w:rsid w:val="00E101A5"/>
    <w:rsid w:val="00E109CC"/>
    <w:rsid w:val="00E115EC"/>
    <w:rsid w:val="00E1207D"/>
    <w:rsid w:val="00E12275"/>
    <w:rsid w:val="00E12C39"/>
    <w:rsid w:val="00E1352F"/>
    <w:rsid w:val="00E14E22"/>
    <w:rsid w:val="00E150FE"/>
    <w:rsid w:val="00E15370"/>
    <w:rsid w:val="00E15A03"/>
    <w:rsid w:val="00E168F9"/>
    <w:rsid w:val="00E16A3C"/>
    <w:rsid w:val="00E16F78"/>
    <w:rsid w:val="00E174E0"/>
    <w:rsid w:val="00E20E28"/>
    <w:rsid w:val="00E223BC"/>
    <w:rsid w:val="00E22442"/>
    <w:rsid w:val="00E22A89"/>
    <w:rsid w:val="00E24376"/>
    <w:rsid w:val="00E2450C"/>
    <w:rsid w:val="00E246CB"/>
    <w:rsid w:val="00E24BB0"/>
    <w:rsid w:val="00E24E32"/>
    <w:rsid w:val="00E252D0"/>
    <w:rsid w:val="00E2560A"/>
    <w:rsid w:val="00E25E3D"/>
    <w:rsid w:val="00E267CE"/>
    <w:rsid w:val="00E300D2"/>
    <w:rsid w:val="00E3016C"/>
    <w:rsid w:val="00E3110F"/>
    <w:rsid w:val="00E31404"/>
    <w:rsid w:val="00E31999"/>
    <w:rsid w:val="00E33719"/>
    <w:rsid w:val="00E340B5"/>
    <w:rsid w:val="00E34297"/>
    <w:rsid w:val="00E3515C"/>
    <w:rsid w:val="00E35268"/>
    <w:rsid w:val="00E355F5"/>
    <w:rsid w:val="00E358D9"/>
    <w:rsid w:val="00E35E7B"/>
    <w:rsid w:val="00E3637E"/>
    <w:rsid w:val="00E36D18"/>
    <w:rsid w:val="00E37E4F"/>
    <w:rsid w:val="00E37FA3"/>
    <w:rsid w:val="00E4001E"/>
    <w:rsid w:val="00E40ABE"/>
    <w:rsid w:val="00E41D8E"/>
    <w:rsid w:val="00E42F82"/>
    <w:rsid w:val="00E4496F"/>
    <w:rsid w:val="00E44E0F"/>
    <w:rsid w:val="00E458AC"/>
    <w:rsid w:val="00E461E9"/>
    <w:rsid w:val="00E468B1"/>
    <w:rsid w:val="00E46C0A"/>
    <w:rsid w:val="00E46F7F"/>
    <w:rsid w:val="00E471DC"/>
    <w:rsid w:val="00E501BC"/>
    <w:rsid w:val="00E507B2"/>
    <w:rsid w:val="00E516F8"/>
    <w:rsid w:val="00E518CE"/>
    <w:rsid w:val="00E51A9F"/>
    <w:rsid w:val="00E52457"/>
    <w:rsid w:val="00E52466"/>
    <w:rsid w:val="00E52F04"/>
    <w:rsid w:val="00E53073"/>
    <w:rsid w:val="00E5397E"/>
    <w:rsid w:val="00E53ACA"/>
    <w:rsid w:val="00E5412F"/>
    <w:rsid w:val="00E55278"/>
    <w:rsid w:val="00E56BCF"/>
    <w:rsid w:val="00E576D3"/>
    <w:rsid w:val="00E57ECF"/>
    <w:rsid w:val="00E61664"/>
    <w:rsid w:val="00E62381"/>
    <w:rsid w:val="00E62CC0"/>
    <w:rsid w:val="00E63770"/>
    <w:rsid w:val="00E63EB7"/>
    <w:rsid w:val="00E640BA"/>
    <w:rsid w:val="00E65CE2"/>
    <w:rsid w:val="00E65EC6"/>
    <w:rsid w:val="00E66416"/>
    <w:rsid w:val="00E66C48"/>
    <w:rsid w:val="00E67DBD"/>
    <w:rsid w:val="00E67E64"/>
    <w:rsid w:val="00E70CC7"/>
    <w:rsid w:val="00E71C40"/>
    <w:rsid w:val="00E72A3F"/>
    <w:rsid w:val="00E72AE4"/>
    <w:rsid w:val="00E72B58"/>
    <w:rsid w:val="00E731D7"/>
    <w:rsid w:val="00E73520"/>
    <w:rsid w:val="00E73705"/>
    <w:rsid w:val="00E73A9F"/>
    <w:rsid w:val="00E73D59"/>
    <w:rsid w:val="00E74E63"/>
    <w:rsid w:val="00E74F98"/>
    <w:rsid w:val="00E7590C"/>
    <w:rsid w:val="00E7605F"/>
    <w:rsid w:val="00E778A7"/>
    <w:rsid w:val="00E8022F"/>
    <w:rsid w:val="00E811B6"/>
    <w:rsid w:val="00E81C5E"/>
    <w:rsid w:val="00E81E7F"/>
    <w:rsid w:val="00E8265B"/>
    <w:rsid w:val="00E829B2"/>
    <w:rsid w:val="00E834F8"/>
    <w:rsid w:val="00E839E2"/>
    <w:rsid w:val="00E83E80"/>
    <w:rsid w:val="00E8435A"/>
    <w:rsid w:val="00E84379"/>
    <w:rsid w:val="00E858DB"/>
    <w:rsid w:val="00E85AD8"/>
    <w:rsid w:val="00E86B28"/>
    <w:rsid w:val="00E8709D"/>
    <w:rsid w:val="00E871B0"/>
    <w:rsid w:val="00E87BE3"/>
    <w:rsid w:val="00E87D75"/>
    <w:rsid w:val="00E87E94"/>
    <w:rsid w:val="00E90034"/>
    <w:rsid w:val="00E9035D"/>
    <w:rsid w:val="00E913CB"/>
    <w:rsid w:val="00E914A0"/>
    <w:rsid w:val="00E92204"/>
    <w:rsid w:val="00E93DA8"/>
    <w:rsid w:val="00E93F8B"/>
    <w:rsid w:val="00E9409E"/>
    <w:rsid w:val="00E94100"/>
    <w:rsid w:val="00E962FD"/>
    <w:rsid w:val="00EA0B9F"/>
    <w:rsid w:val="00EA10A5"/>
    <w:rsid w:val="00EA1E5F"/>
    <w:rsid w:val="00EA2A29"/>
    <w:rsid w:val="00EA2AB4"/>
    <w:rsid w:val="00EA327C"/>
    <w:rsid w:val="00EA4648"/>
    <w:rsid w:val="00EA472E"/>
    <w:rsid w:val="00EA4C21"/>
    <w:rsid w:val="00EA5533"/>
    <w:rsid w:val="00EA75EF"/>
    <w:rsid w:val="00EB049A"/>
    <w:rsid w:val="00EB0A3E"/>
    <w:rsid w:val="00EB15F5"/>
    <w:rsid w:val="00EB1C7C"/>
    <w:rsid w:val="00EB2E75"/>
    <w:rsid w:val="00EB3544"/>
    <w:rsid w:val="00EB3EBB"/>
    <w:rsid w:val="00EB468B"/>
    <w:rsid w:val="00EB4CD3"/>
    <w:rsid w:val="00EB57F2"/>
    <w:rsid w:val="00EB5827"/>
    <w:rsid w:val="00EB59DE"/>
    <w:rsid w:val="00EB5B30"/>
    <w:rsid w:val="00EB5EFD"/>
    <w:rsid w:val="00EB6500"/>
    <w:rsid w:val="00EB733A"/>
    <w:rsid w:val="00EB7A41"/>
    <w:rsid w:val="00EC054C"/>
    <w:rsid w:val="00EC0B5B"/>
    <w:rsid w:val="00EC10A1"/>
    <w:rsid w:val="00EC12F3"/>
    <w:rsid w:val="00EC1511"/>
    <w:rsid w:val="00EC1750"/>
    <w:rsid w:val="00EC1C7C"/>
    <w:rsid w:val="00EC1F02"/>
    <w:rsid w:val="00EC2F64"/>
    <w:rsid w:val="00EC301A"/>
    <w:rsid w:val="00EC36E2"/>
    <w:rsid w:val="00EC4134"/>
    <w:rsid w:val="00EC447D"/>
    <w:rsid w:val="00EC4C71"/>
    <w:rsid w:val="00EC51C3"/>
    <w:rsid w:val="00EC51C8"/>
    <w:rsid w:val="00EC5431"/>
    <w:rsid w:val="00EC70E6"/>
    <w:rsid w:val="00EC767D"/>
    <w:rsid w:val="00EC7FD7"/>
    <w:rsid w:val="00ED1A25"/>
    <w:rsid w:val="00ED2A3D"/>
    <w:rsid w:val="00ED334D"/>
    <w:rsid w:val="00ED33F6"/>
    <w:rsid w:val="00ED4273"/>
    <w:rsid w:val="00ED455F"/>
    <w:rsid w:val="00ED4E86"/>
    <w:rsid w:val="00ED5754"/>
    <w:rsid w:val="00ED58C0"/>
    <w:rsid w:val="00ED5FC2"/>
    <w:rsid w:val="00ED6A7C"/>
    <w:rsid w:val="00ED6E39"/>
    <w:rsid w:val="00ED75ED"/>
    <w:rsid w:val="00ED77BC"/>
    <w:rsid w:val="00EE0280"/>
    <w:rsid w:val="00EE0565"/>
    <w:rsid w:val="00EE33A0"/>
    <w:rsid w:val="00EE4036"/>
    <w:rsid w:val="00EE4137"/>
    <w:rsid w:val="00EE50CF"/>
    <w:rsid w:val="00EE531B"/>
    <w:rsid w:val="00EE5913"/>
    <w:rsid w:val="00EE634B"/>
    <w:rsid w:val="00EE6DE1"/>
    <w:rsid w:val="00EE775B"/>
    <w:rsid w:val="00EF0069"/>
    <w:rsid w:val="00EF08FE"/>
    <w:rsid w:val="00EF0F51"/>
    <w:rsid w:val="00EF136B"/>
    <w:rsid w:val="00EF1C11"/>
    <w:rsid w:val="00EF2752"/>
    <w:rsid w:val="00EF3009"/>
    <w:rsid w:val="00EF359F"/>
    <w:rsid w:val="00EF4192"/>
    <w:rsid w:val="00EF439B"/>
    <w:rsid w:val="00EF568E"/>
    <w:rsid w:val="00EF5E2F"/>
    <w:rsid w:val="00EF66B2"/>
    <w:rsid w:val="00EF6E00"/>
    <w:rsid w:val="00F003BB"/>
    <w:rsid w:val="00F009CD"/>
    <w:rsid w:val="00F01BD3"/>
    <w:rsid w:val="00F01D60"/>
    <w:rsid w:val="00F03521"/>
    <w:rsid w:val="00F039FE"/>
    <w:rsid w:val="00F04731"/>
    <w:rsid w:val="00F04FFC"/>
    <w:rsid w:val="00F05043"/>
    <w:rsid w:val="00F0512E"/>
    <w:rsid w:val="00F0598F"/>
    <w:rsid w:val="00F06D86"/>
    <w:rsid w:val="00F07090"/>
    <w:rsid w:val="00F0770A"/>
    <w:rsid w:val="00F07743"/>
    <w:rsid w:val="00F11384"/>
    <w:rsid w:val="00F122EB"/>
    <w:rsid w:val="00F14089"/>
    <w:rsid w:val="00F1412B"/>
    <w:rsid w:val="00F14334"/>
    <w:rsid w:val="00F14D09"/>
    <w:rsid w:val="00F14DD2"/>
    <w:rsid w:val="00F14E49"/>
    <w:rsid w:val="00F1607C"/>
    <w:rsid w:val="00F205E7"/>
    <w:rsid w:val="00F206BD"/>
    <w:rsid w:val="00F20BCE"/>
    <w:rsid w:val="00F21047"/>
    <w:rsid w:val="00F2121A"/>
    <w:rsid w:val="00F21390"/>
    <w:rsid w:val="00F219D3"/>
    <w:rsid w:val="00F22349"/>
    <w:rsid w:val="00F22DA6"/>
    <w:rsid w:val="00F2360D"/>
    <w:rsid w:val="00F23878"/>
    <w:rsid w:val="00F23F11"/>
    <w:rsid w:val="00F24C73"/>
    <w:rsid w:val="00F2511E"/>
    <w:rsid w:val="00F256B9"/>
    <w:rsid w:val="00F25CDC"/>
    <w:rsid w:val="00F26037"/>
    <w:rsid w:val="00F27FEB"/>
    <w:rsid w:val="00F30970"/>
    <w:rsid w:val="00F30A67"/>
    <w:rsid w:val="00F30AD6"/>
    <w:rsid w:val="00F3150A"/>
    <w:rsid w:val="00F32418"/>
    <w:rsid w:val="00F324D3"/>
    <w:rsid w:val="00F33146"/>
    <w:rsid w:val="00F332F0"/>
    <w:rsid w:val="00F33A86"/>
    <w:rsid w:val="00F33BD0"/>
    <w:rsid w:val="00F33C73"/>
    <w:rsid w:val="00F33E66"/>
    <w:rsid w:val="00F34960"/>
    <w:rsid w:val="00F34982"/>
    <w:rsid w:val="00F359FA"/>
    <w:rsid w:val="00F35AE8"/>
    <w:rsid w:val="00F379EB"/>
    <w:rsid w:val="00F37E1B"/>
    <w:rsid w:val="00F40E8C"/>
    <w:rsid w:val="00F4105E"/>
    <w:rsid w:val="00F41F5F"/>
    <w:rsid w:val="00F4394A"/>
    <w:rsid w:val="00F44E3F"/>
    <w:rsid w:val="00F475A1"/>
    <w:rsid w:val="00F47F2A"/>
    <w:rsid w:val="00F50555"/>
    <w:rsid w:val="00F51314"/>
    <w:rsid w:val="00F5240B"/>
    <w:rsid w:val="00F52C10"/>
    <w:rsid w:val="00F533BF"/>
    <w:rsid w:val="00F53408"/>
    <w:rsid w:val="00F5350E"/>
    <w:rsid w:val="00F53DFE"/>
    <w:rsid w:val="00F54646"/>
    <w:rsid w:val="00F54C7E"/>
    <w:rsid w:val="00F5535A"/>
    <w:rsid w:val="00F55F53"/>
    <w:rsid w:val="00F56AD3"/>
    <w:rsid w:val="00F579E4"/>
    <w:rsid w:val="00F60B67"/>
    <w:rsid w:val="00F612AC"/>
    <w:rsid w:val="00F61345"/>
    <w:rsid w:val="00F616DA"/>
    <w:rsid w:val="00F61C82"/>
    <w:rsid w:val="00F61D9C"/>
    <w:rsid w:val="00F6284E"/>
    <w:rsid w:val="00F632F7"/>
    <w:rsid w:val="00F6332B"/>
    <w:rsid w:val="00F63FD9"/>
    <w:rsid w:val="00F6423E"/>
    <w:rsid w:val="00F647F9"/>
    <w:rsid w:val="00F64940"/>
    <w:rsid w:val="00F649AD"/>
    <w:rsid w:val="00F66EDA"/>
    <w:rsid w:val="00F70AA8"/>
    <w:rsid w:val="00F71D22"/>
    <w:rsid w:val="00F722A2"/>
    <w:rsid w:val="00F73E2E"/>
    <w:rsid w:val="00F7415C"/>
    <w:rsid w:val="00F74243"/>
    <w:rsid w:val="00F760E4"/>
    <w:rsid w:val="00F7630C"/>
    <w:rsid w:val="00F768EC"/>
    <w:rsid w:val="00F76CCA"/>
    <w:rsid w:val="00F76F95"/>
    <w:rsid w:val="00F77932"/>
    <w:rsid w:val="00F8065C"/>
    <w:rsid w:val="00F80988"/>
    <w:rsid w:val="00F8101A"/>
    <w:rsid w:val="00F814B5"/>
    <w:rsid w:val="00F81989"/>
    <w:rsid w:val="00F823CB"/>
    <w:rsid w:val="00F824F0"/>
    <w:rsid w:val="00F8378F"/>
    <w:rsid w:val="00F8408D"/>
    <w:rsid w:val="00F84C31"/>
    <w:rsid w:val="00F85E4C"/>
    <w:rsid w:val="00F85EB2"/>
    <w:rsid w:val="00F86815"/>
    <w:rsid w:val="00F87E82"/>
    <w:rsid w:val="00F90205"/>
    <w:rsid w:val="00F90861"/>
    <w:rsid w:val="00F90E9D"/>
    <w:rsid w:val="00F9189D"/>
    <w:rsid w:val="00F91FB3"/>
    <w:rsid w:val="00F929D0"/>
    <w:rsid w:val="00F93895"/>
    <w:rsid w:val="00F93C5E"/>
    <w:rsid w:val="00F93F83"/>
    <w:rsid w:val="00F94B61"/>
    <w:rsid w:val="00F94FAA"/>
    <w:rsid w:val="00F951EF"/>
    <w:rsid w:val="00F9570E"/>
    <w:rsid w:val="00F9658D"/>
    <w:rsid w:val="00F96CD6"/>
    <w:rsid w:val="00F97109"/>
    <w:rsid w:val="00F97564"/>
    <w:rsid w:val="00F97B75"/>
    <w:rsid w:val="00F97D1F"/>
    <w:rsid w:val="00FA0A95"/>
    <w:rsid w:val="00FA1041"/>
    <w:rsid w:val="00FA1544"/>
    <w:rsid w:val="00FA180D"/>
    <w:rsid w:val="00FA183D"/>
    <w:rsid w:val="00FA2A78"/>
    <w:rsid w:val="00FA3043"/>
    <w:rsid w:val="00FA341D"/>
    <w:rsid w:val="00FA3DCD"/>
    <w:rsid w:val="00FA40E2"/>
    <w:rsid w:val="00FA45D3"/>
    <w:rsid w:val="00FA4BF6"/>
    <w:rsid w:val="00FA59AE"/>
    <w:rsid w:val="00FA5D94"/>
    <w:rsid w:val="00FA5EA7"/>
    <w:rsid w:val="00FA6B10"/>
    <w:rsid w:val="00FA7485"/>
    <w:rsid w:val="00FA7BA4"/>
    <w:rsid w:val="00FA7C96"/>
    <w:rsid w:val="00FA7E90"/>
    <w:rsid w:val="00FB16B7"/>
    <w:rsid w:val="00FB16D3"/>
    <w:rsid w:val="00FB1A6E"/>
    <w:rsid w:val="00FB1DCB"/>
    <w:rsid w:val="00FB2150"/>
    <w:rsid w:val="00FB2193"/>
    <w:rsid w:val="00FB2FCE"/>
    <w:rsid w:val="00FB30DC"/>
    <w:rsid w:val="00FB3424"/>
    <w:rsid w:val="00FB3D14"/>
    <w:rsid w:val="00FB3D25"/>
    <w:rsid w:val="00FB5615"/>
    <w:rsid w:val="00FB5807"/>
    <w:rsid w:val="00FB5DB2"/>
    <w:rsid w:val="00FB643D"/>
    <w:rsid w:val="00FB68EA"/>
    <w:rsid w:val="00FB6AC8"/>
    <w:rsid w:val="00FB6CF0"/>
    <w:rsid w:val="00FB6D42"/>
    <w:rsid w:val="00FC02F0"/>
    <w:rsid w:val="00FC0464"/>
    <w:rsid w:val="00FC0637"/>
    <w:rsid w:val="00FC07AF"/>
    <w:rsid w:val="00FC0B48"/>
    <w:rsid w:val="00FC1039"/>
    <w:rsid w:val="00FC1C01"/>
    <w:rsid w:val="00FC254D"/>
    <w:rsid w:val="00FC2E94"/>
    <w:rsid w:val="00FC34F6"/>
    <w:rsid w:val="00FC3CCD"/>
    <w:rsid w:val="00FC442B"/>
    <w:rsid w:val="00FC4A83"/>
    <w:rsid w:val="00FC5364"/>
    <w:rsid w:val="00FC6558"/>
    <w:rsid w:val="00FC69E1"/>
    <w:rsid w:val="00FC6AEA"/>
    <w:rsid w:val="00FC787E"/>
    <w:rsid w:val="00FC7EDC"/>
    <w:rsid w:val="00FD0214"/>
    <w:rsid w:val="00FD06CC"/>
    <w:rsid w:val="00FD09BC"/>
    <w:rsid w:val="00FD0B33"/>
    <w:rsid w:val="00FD12F6"/>
    <w:rsid w:val="00FD1CA8"/>
    <w:rsid w:val="00FD1CAF"/>
    <w:rsid w:val="00FD1ED0"/>
    <w:rsid w:val="00FD1FAB"/>
    <w:rsid w:val="00FD1FDE"/>
    <w:rsid w:val="00FD250E"/>
    <w:rsid w:val="00FD3B11"/>
    <w:rsid w:val="00FD4346"/>
    <w:rsid w:val="00FD4466"/>
    <w:rsid w:val="00FD44F0"/>
    <w:rsid w:val="00FD4B8D"/>
    <w:rsid w:val="00FD50ED"/>
    <w:rsid w:val="00FD5B68"/>
    <w:rsid w:val="00FD6496"/>
    <w:rsid w:val="00FD75A3"/>
    <w:rsid w:val="00FD7D5E"/>
    <w:rsid w:val="00FE010A"/>
    <w:rsid w:val="00FE03D3"/>
    <w:rsid w:val="00FE1D04"/>
    <w:rsid w:val="00FE247D"/>
    <w:rsid w:val="00FE2952"/>
    <w:rsid w:val="00FE2AB9"/>
    <w:rsid w:val="00FE384E"/>
    <w:rsid w:val="00FE3E6A"/>
    <w:rsid w:val="00FE40B4"/>
    <w:rsid w:val="00FE46E2"/>
    <w:rsid w:val="00FE4B6E"/>
    <w:rsid w:val="00FE4D86"/>
    <w:rsid w:val="00FE5FA3"/>
    <w:rsid w:val="00FE74DA"/>
    <w:rsid w:val="00FE7820"/>
    <w:rsid w:val="00FE7DBA"/>
    <w:rsid w:val="00FE7FAA"/>
    <w:rsid w:val="00FF0390"/>
    <w:rsid w:val="00FF0E9A"/>
    <w:rsid w:val="00FF10E2"/>
    <w:rsid w:val="00FF1C3D"/>
    <w:rsid w:val="00FF1EAC"/>
    <w:rsid w:val="00FF3689"/>
    <w:rsid w:val="00FF4199"/>
    <w:rsid w:val="00FF4300"/>
    <w:rsid w:val="00FF55E9"/>
    <w:rsid w:val="00FF6402"/>
    <w:rsid w:val="00FF6EFE"/>
    <w:rsid w:val="00FF6F9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AC2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5" w:qFormat="1"/>
    <w:lsdException w:name="header" w:uiPriority="3" w:qFormat="1"/>
    <w:lsdException w:name="footer" w:qFormat="1"/>
    <w:lsdException w:name="caption" w:uiPriority="35" w:qFormat="1"/>
    <w:lsdException w:name="Title" w:semiHidden="0" w:uiPriority="10" w:unhideWhenUsed="0"/>
    <w:lsdException w:name="Default Paragraph Font" w:uiPriority="1"/>
    <w:lsdException w:name="Subtitle" w:semiHidden="0" w:uiPriority="11" w:unhideWhenUsed="0"/>
    <w:lsdException w:name="FollowedHyperlink" w:uiPriority="0"/>
    <w:lsdException w:name="Strong" w:semiHidden="0" w:uiPriority="22" w:unhideWhenUsed="0"/>
    <w:lsdException w:name="Emphasis" w:semiHidden="0" w:uiPriority="20" w:unhideWhenUsed="0" w:qFormat="1"/>
    <w:lsdException w:name="Document Map" w:uiPriority="0"/>
    <w:lsdException w:name="Table Classic 4" w:uiPriority="0"/>
    <w:lsdException w:name="Table Grid" w:semiHidden="0" w:uiPriority="0" w:unhideWhenUsed="0"/>
    <w:lsdException w:name="Placeholder Text" w:unhideWhenUsed="0"/>
    <w:lsdException w:name="No Spacing" w:semiHidden="0" w:uiPriority="2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FS Normal"/>
    <w:qFormat/>
    <w:rsid w:val="000830C5"/>
    <w:pPr>
      <w:widowControl w:val="0"/>
    </w:pPr>
    <w:rPr>
      <w:rFonts w:eastAsia="Times New Roman" w:cs="Times New Roman"/>
      <w:szCs w:val="24"/>
      <w:lang w:val="en-GB" w:bidi="en-US"/>
    </w:rPr>
  </w:style>
  <w:style w:type="paragraph" w:styleId="Heading1">
    <w:name w:val="heading 1"/>
    <w:aliases w:val="FSHeading 1,Chapter heading"/>
    <w:basedOn w:val="Normal"/>
    <w:next w:val="Normal"/>
    <w:link w:val="Heading1Char"/>
    <w:uiPriority w:val="2"/>
    <w:qFormat/>
    <w:rsid w:val="003F04A9"/>
    <w:pPr>
      <w:keepNext/>
      <w:spacing w:before="240" w:after="240"/>
      <w:ind w:left="851" w:hanging="851"/>
      <w:outlineLvl w:val="0"/>
    </w:pPr>
    <w:rPr>
      <w:b/>
      <w:bCs/>
      <w:sz w:val="36"/>
      <w:szCs w:val="28"/>
      <w:lang w:bidi="ar-SA"/>
    </w:rPr>
  </w:style>
  <w:style w:type="paragraph" w:styleId="Heading2">
    <w:name w:val="heading 2"/>
    <w:aliases w:val="FSHeading 2,Section heading"/>
    <w:basedOn w:val="Normal"/>
    <w:next w:val="Normal"/>
    <w:link w:val="Heading2Char"/>
    <w:autoRedefine/>
    <w:uiPriority w:val="2"/>
    <w:unhideWhenUsed/>
    <w:qFormat/>
    <w:rsid w:val="004449B9"/>
    <w:pPr>
      <w:spacing w:before="240" w:after="240"/>
      <w:outlineLvl w:val="1"/>
    </w:pPr>
    <w:rPr>
      <w:rFonts w:eastAsiaTheme="minorHAnsi" w:cs="Arial"/>
      <w:b/>
      <w:bCs/>
      <w:sz w:val="28"/>
      <w:szCs w:val="22"/>
      <w:lang w:bidi="ar-SA"/>
    </w:rPr>
  </w:style>
  <w:style w:type="paragraph" w:styleId="Heading3">
    <w:name w:val="heading 3"/>
    <w:aliases w:val="FSHeading 3,Subheading 1"/>
    <w:basedOn w:val="Normal"/>
    <w:next w:val="Normal"/>
    <w:link w:val="Heading3Char"/>
    <w:autoRedefine/>
    <w:uiPriority w:val="2"/>
    <w:unhideWhenUsed/>
    <w:qFormat/>
    <w:rsid w:val="004449B9"/>
    <w:pPr>
      <w:keepNext/>
      <w:spacing w:before="240" w:after="240"/>
      <w:ind w:left="851" w:hanging="851"/>
      <w:outlineLvl w:val="2"/>
    </w:pPr>
    <w:rPr>
      <w:rFonts w:eastAsiaTheme="minorHAnsi" w:cs="Arial"/>
      <w:b/>
      <w:color w:val="000000" w:themeColor="text1"/>
      <w:szCs w:val="28"/>
      <w:lang w:eastAsia="en-AU" w:bidi="ar-SA"/>
    </w:rPr>
  </w:style>
  <w:style w:type="paragraph" w:styleId="Heading4">
    <w:name w:val="heading 4"/>
    <w:aliases w:val="FSHeading 4,Subheading 2"/>
    <w:basedOn w:val="Normal"/>
    <w:next w:val="Normal"/>
    <w:link w:val="Heading4Char"/>
    <w:autoRedefine/>
    <w:uiPriority w:val="2"/>
    <w:unhideWhenUsed/>
    <w:qFormat/>
    <w:rsid w:val="00EF0F51"/>
    <w:pPr>
      <w:keepNext/>
      <w:spacing w:before="240" w:after="240"/>
      <w:outlineLvl w:val="3"/>
    </w:pPr>
    <w:rPr>
      <w:rFonts w:eastAsiaTheme="minorHAnsi"/>
      <w:b/>
      <w:bCs/>
      <w:i/>
      <w:iCs/>
      <w:szCs w:val="22"/>
      <w:lang w:eastAsia="en-AU" w:bidi="ar-SA"/>
    </w:rPr>
  </w:style>
  <w:style w:type="paragraph" w:styleId="Heading5">
    <w:name w:val="heading 5"/>
    <w:aliases w:val="FSHeading 5,Subheading 3"/>
    <w:basedOn w:val="Normal"/>
    <w:next w:val="Normal"/>
    <w:link w:val="Heading5Char"/>
    <w:uiPriority w:val="2"/>
    <w:unhideWhenUsed/>
    <w:qFormat/>
    <w:rsid w:val="005F1486"/>
    <w:pPr>
      <w:keepNext/>
      <w:spacing w:before="240" w:after="240"/>
      <w:outlineLvl w:val="4"/>
    </w:pPr>
    <w:rPr>
      <w:i/>
      <w:szCs w:val="22"/>
      <w:lang w:bidi="ar-SA"/>
    </w:rPr>
  </w:style>
  <w:style w:type="paragraph" w:styleId="Heading6">
    <w:name w:val="heading 6"/>
    <w:basedOn w:val="Normal"/>
    <w:next w:val="Normal"/>
    <w:link w:val="Heading6Char"/>
    <w:uiPriority w:val="9"/>
    <w:unhideWhenUsed/>
    <w:rsid w:val="009A51A2"/>
    <w:pPr>
      <w:spacing w:before="240" w:after="60"/>
      <w:outlineLvl w:val="5"/>
    </w:pPr>
    <w:rPr>
      <w:rFonts w:cs="Arial Unicode MS"/>
      <w:b/>
      <w:bCs/>
      <w:szCs w:val="22"/>
    </w:rPr>
  </w:style>
  <w:style w:type="paragraph" w:styleId="Heading7">
    <w:name w:val="heading 7"/>
    <w:basedOn w:val="Normal"/>
    <w:next w:val="Normal"/>
    <w:link w:val="Heading7Char"/>
    <w:uiPriority w:val="9"/>
    <w:unhideWhenUsed/>
    <w:rsid w:val="009A51A2"/>
    <w:pPr>
      <w:spacing w:before="240" w:after="60"/>
      <w:outlineLvl w:val="6"/>
    </w:pPr>
  </w:style>
  <w:style w:type="paragraph" w:styleId="Heading8">
    <w:name w:val="heading 8"/>
    <w:basedOn w:val="Normal"/>
    <w:next w:val="Normal"/>
    <w:link w:val="Heading8Char"/>
    <w:uiPriority w:val="9"/>
    <w:unhideWhenUsed/>
    <w:rsid w:val="009A51A2"/>
    <w:pPr>
      <w:spacing w:before="240" w:after="60"/>
      <w:outlineLvl w:val="7"/>
    </w:pPr>
    <w:rPr>
      <w:i/>
      <w:iCs/>
    </w:rPr>
  </w:style>
  <w:style w:type="paragraph" w:styleId="Heading9">
    <w:name w:val="heading 9"/>
    <w:basedOn w:val="Normal"/>
    <w:next w:val="Normal"/>
    <w:link w:val="Heading9Char"/>
    <w:uiPriority w:val="9"/>
    <w:unhideWhenUsed/>
    <w:rsid w:val="009A51A2"/>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link w:val="Heading1"/>
    <w:uiPriority w:val="2"/>
    <w:rsid w:val="003F04A9"/>
    <w:rPr>
      <w:rFonts w:eastAsia="Times New Roman" w:cs="Times New Roman"/>
      <w:b/>
      <w:bCs/>
      <w:sz w:val="36"/>
      <w:szCs w:val="28"/>
      <w:lang w:val="en-GB"/>
    </w:rPr>
  </w:style>
  <w:style w:type="character" w:customStyle="1" w:styleId="Heading2Char">
    <w:name w:val="Heading 2 Char"/>
    <w:aliases w:val="FSHeading 2 Char,Section heading Char"/>
    <w:link w:val="Heading2"/>
    <w:uiPriority w:val="2"/>
    <w:rsid w:val="004449B9"/>
    <w:rPr>
      <w:b/>
      <w:bCs/>
      <w:sz w:val="28"/>
      <w:lang w:val="en-GB"/>
    </w:rPr>
  </w:style>
  <w:style w:type="character" w:customStyle="1" w:styleId="Heading3Char">
    <w:name w:val="Heading 3 Char"/>
    <w:aliases w:val="FSHeading 3 Char,Subheading 1 Char"/>
    <w:link w:val="Heading3"/>
    <w:uiPriority w:val="2"/>
    <w:rsid w:val="004449B9"/>
    <w:rPr>
      <w:b/>
      <w:color w:val="000000" w:themeColor="text1"/>
      <w:szCs w:val="28"/>
      <w:lang w:val="en-GB" w:eastAsia="en-AU"/>
    </w:rPr>
  </w:style>
  <w:style w:type="character" w:customStyle="1" w:styleId="Heading4Char">
    <w:name w:val="Heading 4 Char"/>
    <w:aliases w:val="FSHeading 4 Char,Subheading 2 Char"/>
    <w:link w:val="Heading4"/>
    <w:uiPriority w:val="2"/>
    <w:rsid w:val="00EF0F51"/>
    <w:rPr>
      <w:rFonts w:cs="Times New Roman"/>
      <w:b/>
      <w:bCs/>
      <w:i/>
      <w:iCs/>
      <w:lang w:val="en-GB" w:eastAsia="en-AU"/>
    </w:rPr>
  </w:style>
  <w:style w:type="character" w:customStyle="1" w:styleId="Heading5Char">
    <w:name w:val="Heading 5 Char"/>
    <w:aliases w:val="FSHeading 5 Char,Subheading 3 Char"/>
    <w:link w:val="Heading5"/>
    <w:uiPriority w:val="2"/>
    <w:rsid w:val="009A51A2"/>
    <w:rPr>
      <w:rFonts w:eastAsia="Times New Roman" w:cs="Times New Roman"/>
      <w:i/>
      <w:lang w:val="en-GB"/>
    </w:rPr>
  </w:style>
  <w:style w:type="character" w:customStyle="1" w:styleId="Heading6Char">
    <w:name w:val="Heading 6 Char"/>
    <w:basedOn w:val="DefaultParagraphFont"/>
    <w:link w:val="Heading6"/>
    <w:uiPriority w:val="9"/>
    <w:rsid w:val="009A51A2"/>
    <w:rPr>
      <w:rFonts w:eastAsia="Times New Roman" w:cs="Arial Unicode MS"/>
      <w:b/>
      <w:bCs/>
      <w:lang w:val="en-GB" w:bidi="en-US"/>
    </w:rPr>
  </w:style>
  <w:style w:type="paragraph" w:customStyle="1" w:styleId="Table2">
    <w:name w:val="Table 2"/>
    <w:basedOn w:val="Normal"/>
    <w:uiPriority w:val="20"/>
    <w:qFormat/>
    <w:rsid w:val="009A51A2"/>
    <w:pPr>
      <w:ind w:left="142" w:hanging="142"/>
    </w:pPr>
    <w:rPr>
      <w:bCs/>
      <w:sz w:val="20"/>
      <w:szCs w:val="20"/>
    </w:rPr>
  </w:style>
  <w:style w:type="paragraph" w:customStyle="1" w:styleId="131ItemHeading">
    <w:name w:val="1.3.1 Item Heading"/>
    <w:basedOn w:val="Table2"/>
    <w:next w:val="Table2"/>
    <w:uiPriority w:val="22"/>
    <w:qFormat/>
    <w:rsid w:val="00404702"/>
    <w:pPr>
      <w:keepNext/>
      <w:tabs>
        <w:tab w:val="left" w:pos="851"/>
      </w:tabs>
      <w:spacing w:after="200"/>
      <w:ind w:left="0" w:firstLine="0"/>
    </w:pPr>
    <w:rPr>
      <w:b/>
      <w:bCs w:val="0"/>
      <w:caps/>
    </w:rPr>
  </w:style>
  <w:style w:type="paragraph" w:customStyle="1" w:styleId="131Subitemheading">
    <w:name w:val="1.3.1 Subitem heading"/>
    <w:basedOn w:val="131ItemHeading"/>
    <w:next w:val="Table2"/>
    <w:uiPriority w:val="22"/>
    <w:qFormat/>
    <w:rsid w:val="00404702"/>
    <w:pPr>
      <w:spacing w:after="120"/>
    </w:pPr>
    <w:rPr>
      <w:caps w:val="0"/>
      <w:sz w:val="18"/>
    </w:rPr>
  </w:style>
  <w:style w:type="paragraph" w:customStyle="1" w:styleId="142Tableheading1">
    <w:name w:val="1.4.2 Table heading1"/>
    <w:basedOn w:val="Normal"/>
    <w:uiPriority w:val="22"/>
    <w:qFormat/>
    <w:rsid w:val="00404702"/>
    <w:pPr>
      <w:keepNext/>
      <w:jc w:val="center"/>
    </w:pPr>
    <w:rPr>
      <w:rFonts w:ascii="Arial Bold" w:hAnsi="Arial Bold"/>
      <w:b/>
      <w:bCs/>
      <w:iCs/>
      <w:sz w:val="18"/>
    </w:rPr>
  </w:style>
  <w:style w:type="paragraph" w:customStyle="1" w:styleId="142Tableheading2">
    <w:name w:val="1.4.2 Table heading2"/>
    <w:basedOn w:val="Normal"/>
    <w:uiPriority w:val="22"/>
    <w:qFormat/>
    <w:rsid w:val="009A51A2"/>
    <w:pPr>
      <w:keepNext/>
      <w:jc w:val="center"/>
    </w:pPr>
    <w:rPr>
      <w:iCs/>
      <w:smallCaps/>
      <w:sz w:val="20"/>
      <w:szCs w:val="20"/>
    </w:rPr>
  </w:style>
  <w:style w:type="paragraph" w:customStyle="1" w:styleId="142Tabletext10">
    <w:name w:val="1.4.2 Table text1"/>
    <w:basedOn w:val="Normal"/>
    <w:link w:val="142Tabletext1Char"/>
    <w:uiPriority w:val="22"/>
    <w:qFormat/>
    <w:rsid w:val="00404702"/>
    <w:pPr>
      <w:ind w:left="142" w:hanging="142"/>
    </w:pPr>
    <w:rPr>
      <w:sz w:val="18"/>
      <w:szCs w:val="20"/>
    </w:rPr>
  </w:style>
  <w:style w:type="character" w:customStyle="1" w:styleId="142Tabletext1Char">
    <w:name w:val="1.4.2 Table text1 Char"/>
    <w:basedOn w:val="DefaultParagraphFont"/>
    <w:link w:val="142Tabletext10"/>
    <w:uiPriority w:val="22"/>
    <w:rsid w:val="006D473E"/>
    <w:rPr>
      <w:rFonts w:eastAsia="Times New Roman" w:cs="Times New Roman"/>
      <w:sz w:val="18"/>
      <w:szCs w:val="20"/>
      <w:lang w:val="en-GB"/>
    </w:rPr>
  </w:style>
  <w:style w:type="paragraph" w:customStyle="1" w:styleId="142Tabletext2">
    <w:name w:val="1.4.2 Table text2"/>
    <w:basedOn w:val="142Tabletext10"/>
    <w:uiPriority w:val="22"/>
    <w:qFormat/>
    <w:rsid w:val="00404702"/>
    <w:pPr>
      <w:jc w:val="right"/>
    </w:pPr>
  </w:style>
  <w:style w:type="paragraph" w:customStyle="1" w:styleId="Blankpage">
    <w:name w:val="Blank page"/>
    <w:basedOn w:val="Normal"/>
    <w:next w:val="Normal"/>
    <w:uiPriority w:val="23"/>
    <w:qFormat/>
    <w:rsid w:val="00404702"/>
    <w:pPr>
      <w:tabs>
        <w:tab w:val="left" w:pos="851"/>
      </w:tabs>
      <w:spacing w:before="6000"/>
      <w:jc w:val="center"/>
    </w:pPr>
    <w:rPr>
      <w:caps/>
      <w:szCs w:val="20"/>
    </w:rPr>
  </w:style>
  <w:style w:type="paragraph" w:customStyle="1" w:styleId="Clause">
    <w:name w:val="Clause"/>
    <w:basedOn w:val="Normal"/>
    <w:next w:val="Normal"/>
    <w:link w:val="ClauseChar"/>
    <w:uiPriority w:val="10"/>
    <w:qFormat/>
    <w:rsid w:val="009A51A2"/>
    <w:pPr>
      <w:tabs>
        <w:tab w:val="left" w:pos="851"/>
      </w:tabs>
    </w:pPr>
    <w:rPr>
      <w:szCs w:val="20"/>
    </w:rPr>
  </w:style>
  <w:style w:type="character" w:customStyle="1" w:styleId="ClauseChar">
    <w:name w:val="Clause Char"/>
    <w:basedOn w:val="DefaultParagraphFont"/>
    <w:link w:val="Clause"/>
    <w:uiPriority w:val="10"/>
    <w:rsid w:val="00C019A6"/>
    <w:rPr>
      <w:rFonts w:eastAsia="Times New Roman" w:cs="Times New Roman"/>
      <w:szCs w:val="20"/>
      <w:lang w:val="en-GB" w:bidi="en-US"/>
    </w:rPr>
  </w:style>
  <w:style w:type="paragraph" w:customStyle="1" w:styleId="Clauseheading">
    <w:name w:val="Clause heading"/>
    <w:basedOn w:val="Normal"/>
    <w:next w:val="Normal"/>
    <w:uiPriority w:val="14"/>
    <w:qFormat/>
    <w:rsid w:val="009A51A2"/>
    <w:pPr>
      <w:tabs>
        <w:tab w:val="left" w:pos="851"/>
      </w:tabs>
    </w:pPr>
    <w:rPr>
      <w:b/>
      <w:szCs w:val="20"/>
    </w:rPr>
  </w:style>
  <w:style w:type="paragraph" w:customStyle="1" w:styleId="ClauseList">
    <w:name w:val="Clause List"/>
    <w:basedOn w:val="Clause"/>
    <w:next w:val="Normal"/>
    <w:uiPriority w:val="14"/>
    <w:qFormat/>
    <w:rsid w:val="009A51A2"/>
  </w:style>
  <w:style w:type="paragraph" w:customStyle="1" w:styleId="Definition">
    <w:name w:val="Definition"/>
    <w:basedOn w:val="Normal"/>
    <w:next w:val="Normal"/>
    <w:uiPriority w:val="15"/>
    <w:qFormat/>
    <w:rsid w:val="009A51A2"/>
    <w:pPr>
      <w:ind w:left="1701" w:hanging="851"/>
    </w:pPr>
    <w:rPr>
      <w:szCs w:val="20"/>
    </w:rPr>
  </w:style>
  <w:style w:type="paragraph" w:customStyle="1" w:styleId="DivisionHeading">
    <w:name w:val="Division Heading"/>
    <w:basedOn w:val="Normal"/>
    <w:next w:val="Normal"/>
    <w:uiPriority w:val="15"/>
    <w:qFormat/>
    <w:rsid w:val="009A51A2"/>
    <w:pPr>
      <w:tabs>
        <w:tab w:val="left" w:pos="851"/>
      </w:tabs>
      <w:jc w:val="center"/>
    </w:pPr>
    <w:rPr>
      <w:b/>
      <w:sz w:val="28"/>
      <w:szCs w:val="20"/>
    </w:rPr>
  </w:style>
  <w:style w:type="paragraph" w:customStyle="1" w:styleId="EditorialNoteLine1">
    <w:name w:val="Editorial Note Line 1"/>
    <w:basedOn w:val="Normal"/>
    <w:next w:val="Normal"/>
    <w:uiPriority w:val="16"/>
    <w:qFormat/>
    <w:rsid w:val="009A51A2"/>
    <w:pPr>
      <w:pBdr>
        <w:top w:val="single" w:sz="6" w:space="0" w:color="auto"/>
        <w:left w:val="single" w:sz="6" w:space="0" w:color="auto"/>
        <w:bottom w:val="single" w:sz="6" w:space="0" w:color="auto"/>
        <w:right w:val="single" w:sz="6" w:space="0" w:color="auto"/>
      </w:pBdr>
      <w:tabs>
        <w:tab w:val="left" w:pos="851"/>
      </w:tabs>
    </w:pPr>
    <w:rPr>
      <w:b/>
      <w:szCs w:val="20"/>
    </w:rPr>
  </w:style>
  <w:style w:type="paragraph" w:customStyle="1" w:styleId="EditorialNotetext">
    <w:name w:val="Editorial Note text"/>
    <w:basedOn w:val="EditorialNoteLine1"/>
    <w:uiPriority w:val="16"/>
    <w:qFormat/>
    <w:rsid w:val="009A51A2"/>
    <w:rPr>
      <w:b w:val="0"/>
    </w:rPr>
  </w:style>
  <w:style w:type="paragraph" w:styleId="Footer">
    <w:name w:val="footer"/>
    <w:aliases w:val="FSFooter"/>
    <w:basedOn w:val="Normal"/>
    <w:link w:val="FooterChar"/>
    <w:uiPriority w:val="99"/>
    <w:qFormat/>
    <w:rsid w:val="009A51A2"/>
    <w:pPr>
      <w:tabs>
        <w:tab w:val="center" w:pos="4153"/>
        <w:tab w:val="right" w:pos="8306"/>
      </w:tabs>
    </w:pPr>
    <w:rPr>
      <w:sz w:val="20"/>
    </w:rPr>
  </w:style>
  <w:style w:type="character" w:customStyle="1" w:styleId="FooterChar">
    <w:name w:val="Footer Char"/>
    <w:aliases w:val="FSFooter Char"/>
    <w:basedOn w:val="DefaultParagraphFont"/>
    <w:link w:val="Footer"/>
    <w:uiPriority w:val="99"/>
    <w:rsid w:val="00E2450C"/>
    <w:rPr>
      <w:rFonts w:eastAsia="Times New Roman" w:cs="Times New Roman"/>
      <w:sz w:val="20"/>
      <w:szCs w:val="24"/>
      <w:lang w:val="en-GB" w:bidi="en-US"/>
    </w:rPr>
  </w:style>
  <w:style w:type="paragraph" w:styleId="FootnoteText">
    <w:name w:val="footnote text"/>
    <w:aliases w:val="Footnotes Text,FSFootnotes Text"/>
    <w:basedOn w:val="Normal"/>
    <w:link w:val="FootnoteTextChar"/>
    <w:uiPriority w:val="5"/>
    <w:qFormat/>
    <w:rsid w:val="009A51A2"/>
    <w:rPr>
      <w:sz w:val="20"/>
      <w:szCs w:val="20"/>
    </w:rPr>
  </w:style>
  <w:style w:type="character" w:customStyle="1" w:styleId="FootnoteTextChar">
    <w:name w:val="Footnote Text Char"/>
    <w:aliases w:val="Footnotes Text Char,FSFootnotes Text Char"/>
    <w:basedOn w:val="DefaultParagraphFont"/>
    <w:link w:val="FootnoteText"/>
    <w:uiPriority w:val="5"/>
    <w:rsid w:val="009A51A2"/>
    <w:rPr>
      <w:rFonts w:eastAsia="Times New Roman" w:cs="Times New Roman"/>
      <w:sz w:val="20"/>
      <w:szCs w:val="20"/>
      <w:lang w:val="en-GB" w:bidi="en-US"/>
    </w:rPr>
  </w:style>
  <w:style w:type="paragraph" w:customStyle="1" w:styleId="FSBullet1">
    <w:name w:val="FSBullet 1"/>
    <w:basedOn w:val="Normal"/>
    <w:next w:val="Normal"/>
    <w:link w:val="FSBullet1Char"/>
    <w:uiPriority w:val="6"/>
    <w:qFormat/>
    <w:rsid w:val="009A51A2"/>
    <w:pPr>
      <w:widowControl/>
      <w:numPr>
        <w:numId w:val="15"/>
      </w:numPr>
      <w:ind w:left="567" w:hanging="567"/>
    </w:pPr>
    <w:rPr>
      <w:rFonts w:cs="Arial"/>
      <w:lang w:bidi="ar-SA"/>
    </w:rPr>
  </w:style>
  <w:style w:type="character" w:customStyle="1" w:styleId="FSBullet1Char">
    <w:name w:val="FSBullet 1 Char"/>
    <w:link w:val="FSBullet1"/>
    <w:uiPriority w:val="6"/>
    <w:rsid w:val="009A51A2"/>
    <w:rPr>
      <w:rFonts w:eastAsia="Times New Roman"/>
      <w:szCs w:val="24"/>
      <w:lang w:val="en-GB"/>
    </w:rPr>
  </w:style>
  <w:style w:type="paragraph" w:customStyle="1" w:styleId="FSBullet2">
    <w:name w:val="FSBullet 2"/>
    <w:basedOn w:val="Normal"/>
    <w:uiPriority w:val="6"/>
    <w:qFormat/>
    <w:rsid w:val="009A51A2"/>
    <w:pPr>
      <w:widowControl/>
      <w:numPr>
        <w:numId w:val="16"/>
      </w:numPr>
      <w:ind w:left="1134" w:hanging="567"/>
    </w:pPr>
    <w:rPr>
      <w:rFonts w:eastAsia="Calibri"/>
      <w:szCs w:val="22"/>
      <w:lang w:bidi="ar-SA"/>
    </w:rPr>
  </w:style>
  <w:style w:type="paragraph" w:customStyle="1" w:styleId="FSBullet3">
    <w:name w:val="FSBullet 3"/>
    <w:basedOn w:val="Normal"/>
    <w:uiPriority w:val="6"/>
    <w:qFormat/>
    <w:rsid w:val="009A51A2"/>
    <w:pPr>
      <w:keepNext/>
      <w:widowControl/>
      <w:numPr>
        <w:numId w:val="17"/>
      </w:numPr>
      <w:ind w:left="1701" w:hanging="567"/>
    </w:pPr>
    <w:rPr>
      <w:rFonts w:eastAsia="Calibri"/>
      <w:b/>
      <w:szCs w:val="22"/>
      <w:lang w:bidi="ar-SA"/>
    </w:rPr>
  </w:style>
  <w:style w:type="paragraph" w:customStyle="1" w:styleId="FSCaption">
    <w:name w:val="FSCaption"/>
    <w:basedOn w:val="Normal"/>
    <w:uiPriority w:val="9"/>
    <w:qFormat/>
    <w:rsid w:val="00404702"/>
    <w:pPr>
      <w:keepNext/>
      <w:keepLines/>
      <w:spacing w:before="120"/>
    </w:pPr>
    <w:rPr>
      <w:i/>
      <w:sz w:val="16"/>
      <w:szCs w:val="16"/>
    </w:rPr>
  </w:style>
  <w:style w:type="paragraph" w:customStyle="1" w:styleId="FSCFootnote">
    <w:name w:val="FSCFootnote"/>
    <w:basedOn w:val="Normal"/>
    <w:next w:val="Normal"/>
    <w:uiPriority w:val="17"/>
    <w:qFormat/>
    <w:rsid w:val="00404702"/>
    <w:rPr>
      <w:sz w:val="16"/>
      <w:szCs w:val="20"/>
    </w:rPr>
  </w:style>
  <w:style w:type="paragraph" w:customStyle="1" w:styleId="FSCFooter">
    <w:name w:val="FSCFooter"/>
    <w:basedOn w:val="FSCFootnote"/>
    <w:uiPriority w:val="17"/>
    <w:qFormat/>
    <w:rsid w:val="00404702"/>
    <w:pPr>
      <w:tabs>
        <w:tab w:val="center" w:pos="4536"/>
        <w:tab w:val="right" w:pos="9070"/>
      </w:tabs>
    </w:pPr>
    <w:rPr>
      <w:sz w:val="18"/>
      <w:szCs w:val="18"/>
    </w:rPr>
  </w:style>
  <w:style w:type="paragraph" w:customStyle="1" w:styleId="FSPagenumber">
    <w:name w:val="FSPage number"/>
    <w:basedOn w:val="Normal"/>
    <w:uiPriority w:val="1"/>
    <w:qFormat/>
    <w:rsid w:val="00404702"/>
    <w:pPr>
      <w:jc w:val="center"/>
    </w:pPr>
    <w:rPr>
      <w:sz w:val="20"/>
      <w:szCs w:val="20"/>
    </w:rPr>
  </w:style>
  <w:style w:type="paragraph" w:customStyle="1" w:styleId="FSTableColumnRowheading">
    <w:name w:val="FSTable Column/Row heading"/>
    <w:basedOn w:val="Normal"/>
    <w:uiPriority w:val="8"/>
    <w:qFormat/>
    <w:rsid w:val="00404702"/>
    <w:pPr>
      <w:spacing w:before="120" w:after="120"/>
    </w:pPr>
    <w:rPr>
      <w:b/>
      <w:sz w:val="20"/>
      <w:szCs w:val="20"/>
    </w:rPr>
  </w:style>
  <w:style w:type="paragraph" w:customStyle="1" w:styleId="FSTableFigureHeading">
    <w:name w:val="FSTable/Figure Heading"/>
    <w:basedOn w:val="Normal"/>
    <w:uiPriority w:val="7"/>
    <w:qFormat/>
    <w:rsid w:val="00404702"/>
    <w:pPr>
      <w:spacing w:before="120" w:after="120"/>
      <w:ind w:left="1134" w:hanging="1134"/>
    </w:pPr>
    <w:rPr>
      <w:b/>
      <w:i/>
    </w:rPr>
  </w:style>
  <w:style w:type="paragraph" w:styleId="Header">
    <w:name w:val="header"/>
    <w:aliases w:val="FSHeader"/>
    <w:basedOn w:val="Normal"/>
    <w:link w:val="HeaderChar"/>
    <w:uiPriority w:val="3"/>
    <w:qFormat/>
    <w:rsid w:val="009A51A2"/>
  </w:style>
  <w:style w:type="character" w:customStyle="1" w:styleId="HeaderChar">
    <w:name w:val="Header Char"/>
    <w:aliases w:val="FSHeader Char"/>
    <w:basedOn w:val="DefaultParagraphFont"/>
    <w:link w:val="Header"/>
    <w:uiPriority w:val="3"/>
    <w:rsid w:val="009A51A2"/>
    <w:rPr>
      <w:rFonts w:eastAsia="Times New Roman" w:cs="Times New Roman"/>
      <w:szCs w:val="24"/>
      <w:lang w:val="en-GB" w:bidi="en-US"/>
    </w:rPr>
  </w:style>
  <w:style w:type="paragraph" w:customStyle="1" w:styleId="Paragraph">
    <w:name w:val="Paragraph"/>
    <w:basedOn w:val="Clause"/>
    <w:next w:val="Normal"/>
    <w:uiPriority w:val="12"/>
    <w:qFormat/>
    <w:rsid w:val="009A51A2"/>
    <w:pPr>
      <w:tabs>
        <w:tab w:val="clear" w:pos="851"/>
      </w:tabs>
      <w:ind w:left="1702" w:hanging="851"/>
    </w:pPr>
  </w:style>
  <w:style w:type="paragraph" w:customStyle="1" w:styleId="ScheduleHeading">
    <w:name w:val="Schedule Heading"/>
    <w:basedOn w:val="Normal"/>
    <w:next w:val="Normal"/>
    <w:uiPriority w:val="18"/>
    <w:qFormat/>
    <w:rsid w:val="009A51A2"/>
    <w:pPr>
      <w:tabs>
        <w:tab w:val="left" w:pos="851"/>
      </w:tabs>
      <w:jc w:val="center"/>
    </w:pPr>
    <w:rPr>
      <w:b/>
      <w:caps/>
      <w:szCs w:val="20"/>
    </w:rPr>
  </w:style>
  <w:style w:type="paragraph" w:customStyle="1" w:styleId="Standardtitle">
    <w:name w:val="Standard title"/>
    <w:basedOn w:val="Normal"/>
    <w:uiPriority w:val="18"/>
    <w:qFormat/>
    <w:rsid w:val="009A51A2"/>
    <w:pPr>
      <w:tabs>
        <w:tab w:val="left" w:pos="851"/>
      </w:tabs>
      <w:jc w:val="center"/>
    </w:pPr>
    <w:rPr>
      <w:b/>
      <w:i/>
      <w:iCs/>
      <w:caps/>
      <w:sz w:val="28"/>
      <w:szCs w:val="20"/>
    </w:rPr>
  </w:style>
  <w:style w:type="paragraph" w:customStyle="1" w:styleId="Subclause">
    <w:name w:val="Subclause"/>
    <w:basedOn w:val="Clause"/>
    <w:uiPriority w:val="11"/>
    <w:qFormat/>
    <w:rsid w:val="009A51A2"/>
    <w:pPr>
      <w:ind w:hanging="11"/>
    </w:pPr>
  </w:style>
  <w:style w:type="paragraph" w:customStyle="1" w:styleId="Subparagraph">
    <w:name w:val="Subparagraph"/>
    <w:basedOn w:val="Paragraph"/>
    <w:next w:val="Normal"/>
    <w:uiPriority w:val="13"/>
    <w:qFormat/>
    <w:rsid w:val="009A51A2"/>
    <w:pPr>
      <w:ind w:left="2553"/>
    </w:pPr>
  </w:style>
  <w:style w:type="paragraph" w:customStyle="1" w:styleId="Table1">
    <w:name w:val="Table 1"/>
    <w:basedOn w:val="Normal"/>
    <w:uiPriority w:val="20"/>
    <w:qFormat/>
    <w:rsid w:val="009A51A2"/>
    <w:pPr>
      <w:spacing w:after="120"/>
      <w:jc w:val="center"/>
    </w:pPr>
    <w:rPr>
      <w:b/>
      <w:bCs/>
      <w:sz w:val="20"/>
      <w:szCs w:val="20"/>
    </w:rPr>
  </w:style>
  <w:style w:type="paragraph" w:customStyle="1" w:styleId="TitleBorder">
    <w:name w:val="TitleBorder"/>
    <w:basedOn w:val="Normal"/>
    <w:uiPriority w:val="19"/>
    <w:qFormat/>
    <w:rsid w:val="009A51A2"/>
    <w:pPr>
      <w:pBdr>
        <w:bottom w:val="double" w:sz="6" w:space="0" w:color="auto"/>
      </w:pBdr>
      <w:tabs>
        <w:tab w:val="left" w:pos="851"/>
      </w:tabs>
    </w:pPr>
    <w:rPr>
      <w:b/>
      <w:szCs w:val="20"/>
    </w:rPr>
  </w:style>
  <w:style w:type="paragraph" w:styleId="NoSpacing">
    <w:name w:val="No Spacing"/>
    <w:uiPriority w:val="20"/>
    <w:rsid w:val="00E0050C"/>
    <w:pPr>
      <w:widowControl w:val="0"/>
    </w:pPr>
    <w:rPr>
      <w:rFonts w:cstheme="minorBidi"/>
      <w:lang w:val="en-GB"/>
    </w:rPr>
  </w:style>
  <w:style w:type="paragraph" w:styleId="Subtitle">
    <w:name w:val="Subtitle"/>
    <w:basedOn w:val="Normal"/>
    <w:next w:val="Normal"/>
    <w:link w:val="SubtitleChar"/>
    <w:uiPriority w:val="11"/>
    <w:rsid w:val="00E2450C"/>
    <w:pPr>
      <w:numPr>
        <w:ilvl w:val="1"/>
      </w:numPr>
      <w:ind w:left="567" w:hanging="567"/>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E2450C"/>
    <w:rPr>
      <w:rFonts w:asciiTheme="majorHAnsi" w:eastAsiaTheme="majorEastAsia" w:hAnsiTheme="majorHAnsi" w:cstheme="majorBidi"/>
      <w:i/>
      <w:iCs/>
      <w:color w:val="4F81BD" w:themeColor="accent1"/>
      <w:spacing w:val="15"/>
      <w:sz w:val="24"/>
      <w:szCs w:val="24"/>
      <w:lang w:val="en-GB"/>
    </w:rPr>
  </w:style>
  <w:style w:type="character" w:styleId="IntenseEmphasis">
    <w:name w:val="Intense Emphasis"/>
    <w:basedOn w:val="DefaultParagraphFont"/>
    <w:uiPriority w:val="21"/>
    <w:rsid w:val="00DF4A30"/>
    <w:rPr>
      <w:b/>
      <w:bCs/>
      <w:i/>
      <w:iCs/>
      <w:color w:val="4F81BD" w:themeColor="accent1"/>
    </w:rPr>
  </w:style>
  <w:style w:type="paragraph" w:styleId="ListParagraph">
    <w:name w:val="List Paragraph"/>
    <w:basedOn w:val="Normal"/>
    <w:uiPriority w:val="34"/>
    <w:qFormat/>
    <w:rsid w:val="009A51A2"/>
    <w:pPr>
      <w:ind w:left="720"/>
      <w:contextualSpacing/>
    </w:pPr>
  </w:style>
  <w:style w:type="character" w:customStyle="1" w:styleId="Heading7Char">
    <w:name w:val="Heading 7 Char"/>
    <w:basedOn w:val="DefaultParagraphFont"/>
    <w:link w:val="Heading7"/>
    <w:uiPriority w:val="9"/>
    <w:rsid w:val="009A51A2"/>
    <w:rPr>
      <w:rFonts w:eastAsia="Times New Roman" w:cs="Times New Roman"/>
      <w:szCs w:val="24"/>
      <w:lang w:val="en-GB" w:bidi="en-US"/>
    </w:rPr>
  </w:style>
  <w:style w:type="character" w:customStyle="1" w:styleId="Heading8Char">
    <w:name w:val="Heading 8 Char"/>
    <w:basedOn w:val="DefaultParagraphFont"/>
    <w:link w:val="Heading8"/>
    <w:uiPriority w:val="9"/>
    <w:rsid w:val="009A51A2"/>
    <w:rPr>
      <w:rFonts w:eastAsia="Times New Roman" w:cs="Times New Roman"/>
      <w:i/>
      <w:iCs/>
      <w:szCs w:val="24"/>
      <w:lang w:val="en-GB" w:bidi="en-US"/>
    </w:rPr>
  </w:style>
  <w:style w:type="character" w:customStyle="1" w:styleId="Heading9Char">
    <w:name w:val="Heading 9 Char"/>
    <w:basedOn w:val="DefaultParagraphFont"/>
    <w:link w:val="Heading9"/>
    <w:uiPriority w:val="9"/>
    <w:rsid w:val="009A51A2"/>
    <w:rPr>
      <w:rFonts w:ascii="Cambria" w:eastAsia="Times New Roman" w:hAnsi="Cambria" w:cs="Times New Roman"/>
      <w:lang w:val="en-GB" w:bidi="en-US"/>
    </w:rPr>
  </w:style>
  <w:style w:type="character" w:styleId="Hyperlink">
    <w:name w:val="Hyperlink"/>
    <w:basedOn w:val="DefaultParagraphFont"/>
    <w:uiPriority w:val="99"/>
    <w:rsid w:val="009A51A2"/>
    <w:rPr>
      <w:rFonts w:ascii="Arial" w:hAnsi="Arial"/>
      <w:color w:val="3333FF"/>
      <w:u w:val="single"/>
    </w:rPr>
  </w:style>
  <w:style w:type="paragraph" w:customStyle="1" w:styleId="FSTitle">
    <w:name w:val="FS Title"/>
    <w:basedOn w:val="Normal"/>
    <w:qFormat/>
    <w:rsid w:val="00BF2031"/>
    <w:rPr>
      <w:rFonts w:cs="Tahoma"/>
      <w:bCs/>
      <w:sz w:val="44"/>
    </w:rPr>
  </w:style>
  <w:style w:type="paragraph" w:customStyle="1" w:styleId="FSDash">
    <w:name w:val="FS Dash"/>
    <w:basedOn w:val="Normal"/>
    <w:qFormat/>
    <w:rsid w:val="009A51A2"/>
    <w:pPr>
      <w:ind w:left="1134" w:hanging="567"/>
    </w:pPr>
  </w:style>
  <w:style w:type="paragraph" w:styleId="TOC1">
    <w:name w:val="toc 1"/>
    <w:basedOn w:val="Normal"/>
    <w:next w:val="Normal"/>
    <w:autoRedefine/>
    <w:uiPriority w:val="39"/>
    <w:rsid w:val="009A51A2"/>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rsid w:val="009A51A2"/>
    <w:pPr>
      <w:ind w:left="220"/>
    </w:pPr>
    <w:rPr>
      <w:rFonts w:asciiTheme="minorHAnsi" w:hAnsiTheme="minorHAnsi" w:cstheme="minorHAnsi"/>
      <w:smallCaps/>
      <w:sz w:val="20"/>
      <w:szCs w:val="20"/>
    </w:rPr>
  </w:style>
  <w:style w:type="character" w:styleId="PageNumber">
    <w:name w:val="page number"/>
    <w:basedOn w:val="DefaultParagraphFont"/>
    <w:uiPriority w:val="99"/>
    <w:rsid w:val="009A51A2"/>
    <w:rPr>
      <w:rFonts w:ascii="Arial" w:hAnsi="Arial"/>
    </w:rPr>
  </w:style>
  <w:style w:type="paragraph" w:styleId="TOC3">
    <w:name w:val="toc 3"/>
    <w:basedOn w:val="Normal"/>
    <w:next w:val="Normal"/>
    <w:autoRedefine/>
    <w:uiPriority w:val="39"/>
    <w:rsid w:val="009A51A2"/>
    <w:pPr>
      <w:ind w:left="440"/>
    </w:pPr>
    <w:rPr>
      <w:rFonts w:asciiTheme="minorHAnsi" w:hAnsiTheme="minorHAnsi" w:cstheme="minorHAnsi"/>
      <w:i/>
      <w:iCs/>
      <w:sz w:val="20"/>
      <w:szCs w:val="20"/>
    </w:rPr>
  </w:style>
  <w:style w:type="paragraph" w:styleId="TOC4">
    <w:name w:val="toc 4"/>
    <w:basedOn w:val="Normal"/>
    <w:next w:val="Normal"/>
    <w:autoRedefine/>
    <w:semiHidden/>
    <w:rsid w:val="009A51A2"/>
    <w:pPr>
      <w:ind w:left="660"/>
    </w:pPr>
    <w:rPr>
      <w:rFonts w:asciiTheme="minorHAnsi" w:hAnsiTheme="minorHAnsi" w:cstheme="minorHAnsi"/>
      <w:sz w:val="18"/>
      <w:szCs w:val="18"/>
    </w:rPr>
  </w:style>
  <w:style w:type="paragraph" w:styleId="TOC5">
    <w:name w:val="toc 5"/>
    <w:basedOn w:val="Normal"/>
    <w:next w:val="Normal"/>
    <w:autoRedefine/>
    <w:semiHidden/>
    <w:rsid w:val="009A51A2"/>
    <w:pPr>
      <w:ind w:left="880"/>
    </w:pPr>
    <w:rPr>
      <w:rFonts w:asciiTheme="minorHAnsi" w:hAnsiTheme="minorHAnsi" w:cstheme="minorHAnsi"/>
      <w:sz w:val="18"/>
      <w:szCs w:val="18"/>
    </w:rPr>
  </w:style>
  <w:style w:type="character" w:styleId="FollowedHyperlink">
    <w:name w:val="FollowedHyperlink"/>
    <w:basedOn w:val="DefaultParagraphFont"/>
    <w:rsid w:val="009A51A2"/>
    <w:rPr>
      <w:rFonts w:ascii="Arial" w:hAnsi="Arial"/>
      <w:color w:val="3333FF"/>
      <w:sz w:val="22"/>
      <w:u w:val="single"/>
    </w:rPr>
  </w:style>
  <w:style w:type="paragraph" w:styleId="TOC6">
    <w:name w:val="toc 6"/>
    <w:basedOn w:val="Normal"/>
    <w:next w:val="Normal"/>
    <w:autoRedefine/>
    <w:semiHidden/>
    <w:rsid w:val="009A51A2"/>
    <w:pPr>
      <w:ind w:left="1100"/>
    </w:pPr>
    <w:rPr>
      <w:rFonts w:asciiTheme="minorHAnsi" w:hAnsiTheme="minorHAnsi" w:cstheme="minorHAnsi"/>
      <w:sz w:val="18"/>
      <w:szCs w:val="18"/>
    </w:rPr>
  </w:style>
  <w:style w:type="paragraph" w:customStyle="1" w:styleId="Box1">
    <w:name w:val="Box 1"/>
    <w:basedOn w:val="Normal"/>
    <w:rsid w:val="009A51A2"/>
    <w:pPr>
      <w:tabs>
        <w:tab w:val="num" w:pos="120"/>
      </w:tabs>
      <w:ind w:left="113" w:hanging="113"/>
    </w:pPr>
    <w:rPr>
      <w:sz w:val="16"/>
    </w:rPr>
  </w:style>
  <w:style w:type="paragraph" w:customStyle="1" w:styleId="Box2">
    <w:name w:val="Box 2"/>
    <w:basedOn w:val="Normal"/>
    <w:rsid w:val="009A51A2"/>
    <w:pPr>
      <w:tabs>
        <w:tab w:val="left" w:pos="4608"/>
        <w:tab w:val="left" w:pos="9180"/>
        <w:tab w:val="left" w:pos="9216"/>
      </w:tabs>
      <w:jc w:val="center"/>
    </w:pPr>
    <w:rPr>
      <w:b/>
      <w:bCs/>
      <w:i/>
      <w:iCs/>
      <w:color w:val="000000"/>
      <w:sz w:val="16"/>
    </w:rPr>
  </w:style>
  <w:style w:type="paragraph" w:customStyle="1" w:styleId="Box3">
    <w:name w:val="Box 3"/>
    <w:basedOn w:val="Normal"/>
    <w:rsid w:val="009A51A2"/>
    <w:pPr>
      <w:tabs>
        <w:tab w:val="left" w:pos="4608"/>
        <w:tab w:val="left" w:pos="9180"/>
        <w:tab w:val="left" w:pos="9216"/>
      </w:tabs>
      <w:jc w:val="center"/>
    </w:pPr>
    <w:rPr>
      <w:b/>
      <w:bCs/>
      <w:i/>
      <w:iCs/>
      <w:color w:val="000000"/>
      <w:sz w:val="16"/>
    </w:rPr>
  </w:style>
  <w:style w:type="paragraph" w:customStyle="1" w:styleId="142tableheading10">
    <w:name w:val="1.4.2 table heading1"/>
    <w:basedOn w:val="142Tableheading2"/>
    <w:rsid w:val="009A51A2"/>
    <w:rPr>
      <w:b/>
      <w:bCs/>
      <w:iCs w:val="0"/>
    </w:rPr>
  </w:style>
  <w:style w:type="paragraph" w:customStyle="1" w:styleId="142tabletext1">
    <w:name w:val="1.4.2 table text1"/>
    <w:basedOn w:val="Normal"/>
    <w:rsid w:val="009A51A2"/>
    <w:pPr>
      <w:numPr>
        <w:numId w:val="8"/>
      </w:numPr>
      <w:ind w:left="142" w:hanging="142"/>
    </w:pPr>
    <w:rPr>
      <w:smallCaps/>
      <w:sz w:val="20"/>
      <w:szCs w:val="20"/>
    </w:rPr>
  </w:style>
  <w:style w:type="paragraph" w:customStyle="1" w:styleId="142tabletext20">
    <w:name w:val="1.4.2 table text2"/>
    <w:basedOn w:val="142tabletext1"/>
    <w:rsid w:val="009A51A2"/>
    <w:pPr>
      <w:jc w:val="right"/>
    </w:pPr>
  </w:style>
  <w:style w:type="paragraph" w:customStyle="1" w:styleId="Footnote">
    <w:name w:val="Footnote"/>
    <w:basedOn w:val="Normal"/>
    <w:rsid w:val="009A51A2"/>
    <w:pPr>
      <w:tabs>
        <w:tab w:val="left" w:pos="851"/>
      </w:tabs>
    </w:pPr>
    <w:rPr>
      <w:sz w:val="20"/>
      <w:szCs w:val="20"/>
    </w:rPr>
  </w:style>
  <w:style w:type="paragraph" w:customStyle="1" w:styleId="MiscellaneousHeading">
    <w:name w:val="Miscellaneous Heading"/>
    <w:basedOn w:val="Normal"/>
    <w:next w:val="Normal"/>
    <w:rsid w:val="009A51A2"/>
    <w:rPr>
      <w:b/>
      <w:szCs w:val="20"/>
    </w:rPr>
  </w:style>
  <w:style w:type="paragraph" w:customStyle="1" w:styleId="TableHeading">
    <w:name w:val="Table Heading"/>
    <w:basedOn w:val="Normal"/>
    <w:next w:val="Normal"/>
    <w:uiPriority w:val="99"/>
    <w:rsid w:val="009A51A2"/>
    <w:pPr>
      <w:tabs>
        <w:tab w:val="left" w:pos="851"/>
      </w:tabs>
      <w:jc w:val="center"/>
    </w:pPr>
    <w:rPr>
      <w:b/>
      <w:szCs w:val="20"/>
    </w:rPr>
  </w:style>
  <w:style w:type="paragraph" w:styleId="TOC7">
    <w:name w:val="toc 7"/>
    <w:basedOn w:val="Normal"/>
    <w:next w:val="Normal"/>
    <w:autoRedefine/>
    <w:semiHidden/>
    <w:rsid w:val="009A51A2"/>
    <w:pPr>
      <w:ind w:left="1320"/>
    </w:pPr>
    <w:rPr>
      <w:rFonts w:asciiTheme="minorHAnsi" w:hAnsiTheme="minorHAnsi" w:cstheme="minorHAnsi"/>
      <w:sz w:val="18"/>
      <w:szCs w:val="18"/>
    </w:rPr>
  </w:style>
  <w:style w:type="paragraph" w:styleId="TOC8">
    <w:name w:val="toc 8"/>
    <w:basedOn w:val="Normal"/>
    <w:next w:val="Normal"/>
    <w:autoRedefine/>
    <w:semiHidden/>
    <w:rsid w:val="009A51A2"/>
    <w:pPr>
      <w:ind w:left="1540"/>
    </w:pPr>
    <w:rPr>
      <w:rFonts w:asciiTheme="minorHAnsi" w:hAnsiTheme="minorHAnsi" w:cstheme="minorHAnsi"/>
      <w:sz w:val="18"/>
      <w:szCs w:val="18"/>
    </w:rPr>
  </w:style>
  <w:style w:type="paragraph" w:styleId="TOC9">
    <w:name w:val="toc 9"/>
    <w:basedOn w:val="Normal"/>
    <w:next w:val="Normal"/>
    <w:autoRedefine/>
    <w:semiHidden/>
    <w:rsid w:val="009A51A2"/>
    <w:pPr>
      <w:ind w:left="1760"/>
    </w:pPr>
    <w:rPr>
      <w:rFonts w:asciiTheme="minorHAnsi" w:hAnsiTheme="minorHAnsi" w:cstheme="minorHAnsi"/>
      <w:sz w:val="18"/>
      <w:szCs w:val="18"/>
    </w:rPr>
  </w:style>
  <w:style w:type="character" w:styleId="FootnoteReference">
    <w:name w:val="footnote reference"/>
    <w:basedOn w:val="DefaultParagraphFont"/>
    <w:uiPriority w:val="99"/>
    <w:rsid w:val="009A51A2"/>
    <w:rPr>
      <w:vertAlign w:val="superscript"/>
    </w:rPr>
  </w:style>
  <w:style w:type="paragraph" w:customStyle="1" w:styleId="FSDecisionHeading">
    <w:name w:val="FS Decision Heading"/>
    <w:basedOn w:val="Normal"/>
    <w:next w:val="FSDecisiontext"/>
    <w:qFormat/>
    <w:rsid w:val="009A51A2"/>
    <w:pPr>
      <w:pBdr>
        <w:top w:val="single" w:sz="4" w:space="1" w:color="auto"/>
        <w:left w:val="single" w:sz="4" w:space="4" w:color="auto"/>
        <w:bottom w:val="single" w:sz="4" w:space="1" w:color="auto"/>
        <w:right w:val="single" w:sz="4" w:space="4" w:color="auto"/>
      </w:pBdr>
    </w:pPr>
    <w:rPr>
      <w:rFonts w:ascii="Arial Bold" w:hAnsi="Arial Bold"/>
      <w:b/>
      <w:bCs/>
    </w:rPr>
  </w:style>
  <w:style w:type="paragraph" w:customStyle="1" w:styleId="FSDecisiontext">
    <w:name w:val="FS Decision text"/>
    <w:basedOn w:val="Normal"/>
    <w:qFormat/>
    <w:rsid w:val="009A51A2"/>
    <w:pPr>
      <w:pBdr>
        <w:top w:val="single" w:sz="4" w:space="1" w:color="auto"/>
        <w:left w:val="single" w:sz="4" w:space="4" w:color="auto"/>
        <w:bottom w:val="single" w:sz="4" w:space="1" w:color="auto"/>
        <w:right w:val="single" w:sz="4" w:space="4" w:color="auto"/>
      </w:pBdr>
    </w:pPr>
  </w:style>
  <w:style w:type="paragraph" w:styleId="BalloonText">
    <w:name w:val="Balloon Text"/>
    <w:basedOn w:val="Normal"/>
    <w:link w:val="BalloonTextChar"/>
    <w:uiPriority w:val="99"/>
    <w:semiHidden/>
    <w:rsid w:val="009A51A2"/>
    <w:rPr>
      <w:rFonts w:ascii="Tahoma" w:hAnsi="Tahoma" w:cs="Tahoma"/>
      <w:sz w:val="16"/>
      <w:szCs w:val="16"/>
    </w:rPr>
  </w:style>
  <w:style w:type="character" w:customStyle="1" w:styleId="BalloonTextChar">
    <w:name w:val="Balloon Text Char"/>
    <w:basedOn w:val="DefaultParagraphFont"/>
    <w:link w:val="BalloonText"/>
    <w:uiPriority w:val="99"/>
    <w:semiHidden/>
    <w:rsid w:val="009A51A2"/>
    <w:rPr>
      <w:rFonts w:ascii="Tahoma" w:eastAsia="Times New Roman" w:hAnsi="Tahoma" w:cs="Tahoma"/>
      <w:sz w:val="16"/>
      <w:szCs w:val="16"/>
      <w:lang w:val="en-GB" w:bidi="en-US"/>
    </w:rPr>
  </w:style>
  <w:style w:type="paragraph" w:styleId="TOCHeading">
    <w:name w:val="TOC Heading"/>
    <w:basedOn w:val="Heading1"/>
    <w:next w:val="Normal"/>
    <w:uiPriority w:val="39"/>
    <w:unhideWhenUsed/>
    <w:qFormat/>
    <w:rsid w:val="009A51A2"/>
    <w:pPr>
      <w:outlineLvl w:val="9"/>
    </w:pPr>
  </w:style>
  <w:style w:type="paragraph" w:customStyle="1" w:styleId="FSBullet">
    <w:name w:val="FS Bullet"/>
    <w:basedOn w:val="Normal"/>
    <w:next w:val="Normal"/>
    <w:link w:val="FSBulletChar"/>
    <w:rsid w:val="009A51A2"/>
    <w:pPr>
      <w:numPr>
        <w:numId w:val="14"/>
      </w:numPr>
      <w:ind w:left="567" w:hanging="567"/>
    </w:pPr>
    <w:rPr>
      <w:rFonts w:cs="Arial"/>
    </w:rPr>
  </w:style>
  <w:style w:type="character" w:customStyle="1" w:styleId="FSBulletChar">
    <w:name w:val="FS Bullet Char"/>
    <w:basedOn w:val="DefaultParagraphFont"/>
    <w:link w:val="FSBullet"/>
    <w:rsid w:val="009A51A2"/>
    <w:rPr>
      <w:rFonts w:eastAsia="Times New Roman"/>
      <w:szCs w:val="24"/>
      <w:lang w:val="en-GB" w:bidi="en-US"/>
    </w:rPr>
  </w:style>
  <w:style w:type="table" w:styleId="TableGrid">
    <w:name w:val="Table Grid"/>
    <w:basedOn w:val="TableNormal"/>
    <w:rsid w:val="009A51A2"/>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STableTitle">
    <w:name w:val="FS Table Title"/>
    <w:basedOn w:val="Normal"/>
    <w:next w:val="Normal"/>
    <w:qFormat/>
    <w:rsid w:val="00180A32"/>
    <w:pPr>
      <w:spacing w:after="120"/>
    </w:pPr>
    <w:rPr>
      <w:rFonts w:cs="Arial"/>
      <w:b/>
    </w:rPr>
  </w:style>
  <w:style w:type="paragraph" w:customStyle="1" w:styleId="FSTableHeading">
    <w:name w:val="FS Table Heading"/>
    <w:basedOn w:val="Normal"/>
    <w:qFormat/>
    <w:rsid w:val="009A51A2"/>
    <w:pPr>
      <w:jc w:val="center"/>
    </w:pPr>
    <w:rPr>
      <w:rFonts w:ascii="Arial Bold" w:hAnsi="Arial Bold" w:cs="Arial"/>
      <w:b/>
      <w:sz w:val="20"/>
      <w:szCs w:val="20"/>
    </w:rPr>
  </w:style>
  <w:style w:type="paragraph" w:customStyle="1" w:styleId="FSTableText">
    <w:name w:val="FS Table Text"/>
    <w:basedOn w:val="Normal"/>
    <w:qFormat/>
    <w:rsid w:val="009A51A2"/>
    <w:rPr>
      <w:rFonts w:cs="Arial"/>
      <w:sz w:val="20"/>
      <w:szCs w:val="20"/>
    </w:rPr>
  </w:style>
  <w:style w:type="paragraph" w:customStyle="1" w:styleId="FSFigureTitle">
    <w:name w:val="FS Figure Title"/>
    <w:basedOn w:val="Normal"/>
    <w:next w:val="Normal"/>
    <w:qFormat/>
    <w:rsid w:val="009A51A2"/>
    <w:rPr>
      <w:rFonts w:cs="Arial"/>
      <w:i/>
    </w:rPr>
  </w:style>
  <w:style w:type="character" w:styleId="CommentReference">
    <w:name w:val="annotation reference"/>
    <w:basedOn w:val="DefaultParagraphFont"/>
    <w:uiPriority w:val="99"/>
    <w:rsid w:val="009A51A2"/>
    <w:rPr>
      <w:sz w:val="16"/>
      <w:szCs w:val="16"/>
    </w:rPr>
  </w:style>
  <w:style w:type="paragraph" w:styleId="CommentText">
    <w:name w:val="annotation text"/>
    <w:basedOn w:val="Normal"/>
    <w:link w:val="CommentTextChar"/>
    <w:uiPriority w:val="99"/>
    <w:rsid w:val="009A51A2"/>
    <w:rPr>
      <w:sz w:val="20"/>
      <w:szCs w:val="20"/>
    </w:rPr>
  </w:style>
  <w:style w:type="character" w:customStyle="1" w:styleId="CommentTextChar">
    <w:name w:val="Comment Text Char"/>
    <w:basedOn w:val="DefaultParagraphFont"/>
    <w:link w:val="CommentText"/>
    <w:uiPriority w:val="99"/>
    <w:rsid w:val="009A51A2"/>
    <w:rPr>
      <w:rFonts w:eastAsia="Times New Roman" w:cs="Times New Roman"/>
      <w:sz w:val="20"/>
      <w:szCs w:val="20"/>
      <w:lang w:val="en-GB" w:bidi="en-US"/>
    </w:rPr>
  </w:style>
  <w:style w:type="paragraph" w:styleId="CommentSubject">
    <w:name w:val="annotation subject"/>
    <w:basedOn w:val="CommentText"/>
    <w:next w:val="CommentText"/>
    <w:link w:val="CommentSubjectChar"/>
    <w:uiPriority w:val="99"/>
    <w:rsid w:val="009A51A2"/>
    <w:rPr>
      <w:b/>
      <w:bCs/>
    </w:rPr>
  </w:style>
  <w:style w:type="character" w:customStyle="1" w:styleId="CommentSubjectChar">
    <w:name w:val="Comment Subject Char"/>
    <w:basedOn w:val="CommentTextChar"/>
    <w:link w:val="CommentSubject"/>
    <w:uiPriority w:val="99"/>
    <w:rsid w:val="009A51A2"/>
    <w:rPr>
      <w:rFonts w:eastAsia="Times New Roman" w:cs="Times New Roman"/>
      <w:b/>
      <w:bCs/>
      <w:sz w:val="20"/>
      <w:szCs w:val="20"/>
      <w:lang w:val="en-GB" w:bidi="en-US"/>
    </w:rPr>
  </w:style>
  <w:style w:type="paragraph" w:styleId="DocumentMap">
    <w:name w:val="Document Map"/>
    <w:basedOn w:val="Normal"/>
    <w:link w:val="DocumentMapChar"/>
    <w:rsid w:val="009A51A2"/>
    <w:rPr>
      <w:rFonts w:ascii="Tahoma" w:hAnsi="Tahoma" w:cs="Tahoma"/>
      <w:sz w:val="16"/>
      <w:szCs w:val="16"/>
    </w:rPr>
  </w:style>
  <w:style w:type="character" w:customStyle="1" w:styleId="DocumentMapChar">
    <w:name w:val="Document Map Char"/>
    <w:basedOn w:val="DefaultParagraphFont"/>
    <w:link w:val="DocumentMap"/>
    <w:rsid w:val="009A51A2"/>
    <w:rPr>
      <w:rFonts w:ascii="Tahoma" w:eastAsia="Times New Roman" w:hAnsi="Tahoma" w:cs="Tahoma"/>
      <w:sz w:val="16"/>
      <w:szCs w:val="16"/>
      <w:lang w:val="en-GB" w:bidi="en-US"/>
    </w:rPr>
  </w:style>
  <w:style w:type="table" w:styleId="MediumShading1-Accent3">
    <w:name w:val="Medium Shading 1 Accent 3"/>
    <w:basedOn w:val="TableNormal"/>
    <w:uiPriority w:val="63"/>
    <w:rsid w:val="009A51A2"/>
    <w:rPr>
      <w:rFonts w:ascii="Calibri" w:eastAsia="Times New Roman" w:hAnsi="Calibri" w:cs="Times New Roman"/>
      <w:sz w:val="20"/>
      <w:szCs w:val="20"/>
      <w:lang w:val="en-GB" w:eastAsia="en-GB"/>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ableClassic4">
    <w:name w:val="Table Classic 4"/>
    <w:basedOn w:val="TableNormal"/>
    <w:rsid w:val="009A51A2"/>
    <w:pPr>
      <w:widowControl w:val="0"/>
    </w:pPr>
    <w:rPr>
      <w:rFonts w:ascii="Calibri" w:eastAsia="Times New Roman" w:hAnsi="Calibri" w:cs="Times New Roman"/>
      <w:sz w:val="20"/>
      <w:szCs w:val="20"/>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9A51A2"/>
    <w:rPr>
      <w:color w:val="808080"/>
    </w:rPr>
  </w:style>
  <w:style w:type="paragraph" w:customStyle="1" w:styleId="Default">
    <w:name w:val="Default"/>
    <w:rsid w:val="009A51A2"/>
    <w:pPr>
      <w:autoSpaceDE w:val="0"/>
      <w:autoSpaceDN w:val="0"/>
      <w:adjustRightInd w:val="0"/>
    </w:pPr>
    <w:rPr>
      <w:color w:val="000000"/>
      <w:sz w:val="24"/>
      <w:szCs w:val="24"/>
      <w:lang w:val="en-GB"/>
    </w:rPr>
  </w:style>
  <w:style w:type="paragraph" w:customStyle="1" w:styleId="TableFootnote">
    <w:name w:val="TableFootnote"/>
    <w:basedOn w:val="Normal"/>
    <w:rsid w:val="009A51A2"/>
    <w:pPr>
      <w:spacing w:before="120" w:after="120"/>
    </w:pPr>
    <w:rPr>
      <w:rFonts w:ascii="Times New Roman" w:hAnsi="Times New Roman"/>
      <w:snapToGrid w:val="0"/>
      <w:sz w:val="20"/>
      <w:szCs w:val="20"/>
      <w:lang w:eastAsia="zh-CN" w:bidi="ar-SA"/>
    </w:rPr>
  </w:style>
  <w:style w:type="paragraph" w:styleId="Caption">
    <w:name w:val="caption"/>
    <w:basedOn w:val="Normal"/>
    <w:next w:val="Normal"/>
    <w:uiPriority w:val="35"/>
    <w:unhideWhenUsed/>
    <w:qFormat/>
    <w:rsid w:val="006B2116"/>
    <w:pPr>
      <w:spacing w:after="200"/>
    </w:pPr>
    <w:rPr>
      <w:b/>
      <w:bCs/>
      <w:color w:val="4F81BD" w:themeColor="accent1"/>
      <w:sz w:val="18"/>
      <w:szCs w:val="18"/>
    </w:rPr>
  </w:style>
  <w:style w:type="paragraph" w:styleId="HTMLPreformatted">
    <w:name w:val="HTML Preformatted"/>
    <w:basedOn w:val="Normal"/>
    <w:link w:val="HTMLPreformattedChar"/>
    <w:uiPriority w:val="99"/>
    <w:semiHidden/>
    <w:unhideWhenUsed/>
    <w:rsid w:val="00574C9A"/>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574C9A"/>
    <w:rPr>
      <w:rFonts w:ascii="Consolas" w:eastAsia="Times New Roman" w:hAnsi="Consolas" w:cs="Consolas"/>
      <w:sz w:val="20"/>
      <w:szCs w:val="20"/>
      <w:lang w:val="en-GB" w:bidi="en-US"/>
    </w:rPr>
  </w:style>
  <w:style w:type="table" w:customStyle="1" w:styleId="TableGrid1">
    <w:name w:val="Table Grid1"/>
    <w:basedOn w:val="TableNormal"/>
    <w:next w:val="TableGrid"/>
    <w:rsid w:val="005D01C3"/>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455F54"/>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rsid w:val="000927AF"/>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rsid w:val="000E2C1F"/>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rsid w:val="00946972"/>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39"/>
    <w:rsid w:val="007B0AA1"/>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DD22E6"/>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39"/>
    <w:rsid w:val="007154FB"/>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8F10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352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1352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352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8101A"/>
  </w:style>
  <w:style w:type="table" w:customStyle="1" w:styleId="TableGrid9">
    <w:name w:val="Table Grid9"/>
    <w:basedOn w:val="TableNormal"/>
    <w:next w:val="TableGrid"/>
    <w:uiPriority w:val="59"/>
    <w:rsid w:val="00F81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Default"/>
    <w:next w:val="Default"/>
    <w:uiPriority w:val="99"/>
    <w:rsid w:val="00F8101A"/>
    <w:pPr>
      <w:spacing w:line="191" w:lineRule="atLeast"/>
    </w:pPr>
    <w:rPr>
      <w:rFonts w:ascii="Adobe Garamond Pro" w:hAnsi="Adobe Garamond Pro"/>
      <w:color w:val="auto"/>
    </w:rPr>
  </w:style>
  <w:style w:type="table" w:customStyle="1" w:styleId="TableGrid13">
    <w:name w:val="Table Grid13"/>
    <w:basedOn w:val="TableNormal"/>
    <w:next w:val="TableGrid"/>
    <w:uiPriority w:val="59"/>
    <w:rsid w:val="00F81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4">
    <w:name w:val="Pa24"/>
    <w:basedOn w:val="Default"/>
    <w:next w:val="Default"/>
    <w:uiPriority w:val="99"/>
    <w:rsid w:val="00F8101A"/>
    <w:pPr>
      <w:spacing w:line="131" w:lineRule="atLeast"/>
    </w:pPr>
    <w:rPr>
      <w:rFonts w:ascii="Univers LT Std 57 Cn" w:hAnsi="Univers LT Std 57 Cn"/>
      <w:color w:val="auto"/>
    </w:rPr>
  </w:style>
  <w:style w:type="character" w:customStyle="1" w:styleId="element-citation">
    <w:name w:val="element-citation"/>
    <w:basedOn w:val="DefaultParagraphFont"/>
    <w:rsid w:val="00F8101A"/>
  </w:style>
  <w:style w:type="character" w:customStyle="1" w:styleId="ref-journal">
    <w:name w:val="ref-journal"/>
    <w:basedOn w:val="DefaultParagraphFont"/>
    <w:rsid w:val="00F8101A"/>
  </w:style>
  <w:style w:type="character" w:customStyle="1" w:styleId="ref-vol">
    <w:name w:val="ref-vol"/>
    <w:basedOn w:val="DefaultParagraphFont"/>
    <w:rsid w:val="00F8101A"/>
  </w:style>
  <w:style w:type="character" w:styleId="Emphasis">
    <w:name w:val="Emphasis"/>
    <w:basedOn w:val="DefaultParagraphFont"/>
    <w:uiPriority w:val="20"/>
    <w:qFormat/>
    <w:rsid w:val="00F8101A"/>
    <w:rPr>
      <w:i/>
      <w:iCs/>
    </w:rPr>
  </w:style>
  <w:style w:type="character" w:customStyle="1" w:styleId="harvardtitle">
    <w:name w:val="harvard_title"/>
    <w:basedOn w:val="DefaultParagraphFont"/>
    <w:rsid w:val="00F8101A"/>
  </w:style>
  <w:style w:type="paragraph" w:customStyle="1" w:styleId="Pa20">
    <w:name w:val="Pa20"/>
    <w:basedOn w:val="Default"/>
    <w:next w:val="Default"/>
    <w:uiPriority w:val="99"/>
    <w:rsid w:val="00F8101A"/>
    <w:pPr>
      <w:spacing w:line="141" w:lineRule="atLeast"/>
    </w:pPr>
    <w:rPr>
      <w:rFonts w:ascii="Univers LT Std 57 Cn" w:hAnsi="Univers LT Std 57 Cn"/>
      <w:color w:val="auto"/>
    </w:rPr>
  </w:style>
  <w:style w:type="paragraph" w:customStyle="1" w:styleId="Pa12">
    <w:name w:val="Pa12"/>
    <w:basedOn w:val="Default"/>
    <w:next w:val="Default"/>
    <w:uiPriority w:val="99"/>
    <w:rsid w:val="00F8101A"/>
    <w:pPr>
      <w:spacing w:line="161" w:lineRule="atLeast"/>
    </w:pPr>
    <w:rPr>
      <w:rFonts w:ascii="Univers LT Std 47 Cn Lt" w:hAnsi="Univers LT Std 47 Cn Lt"/>
      <w:color w:val="auto"/>
    </w:rPr>
  </w:style>
  <w:style w:type="character" w:customStyle="1" w:styleId="A7">
    <w:name w:val="A7"/>
    <w:uiPriority w:val="99"/>
    <w:rsid w:val="00F8101A"/>
    <w:rPr>
      <w:rFonts w:cs="Adobe Garamond Pro"/>
      <w:color w:val="000000"/>
      <w:sz w:val="14"/>
      <w:szCs w:val="14"/>
    </w:rPr>
  </w:style>
  <w:style w:type="numbering" w:customStyle="1" w:styleId="NoList2">
    <w:name w:val="No List2"/>
    <w:next w:val="NoList"/>
    <w:uiPriority w:val="99"/>
    <w:semiHidden/>
    <w:unhideWhenUsed/>
    <w:rsid w:val="00F8101A"/>
  </w:style>
  <w:style w:type="table" w:customStyle="1" w:styleId="TableGrid10">
    <w:name w:val="Table Grid10"/>
    <w:basedOn w:val="TableNormal"/>
    <w:next w:val="TableGrid"/>
    <w:uiPriority w:val="59"/>
    <w:rsid w:val="00F81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F81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atus">
    <w:name w:val="status"/>
    <w:basedOn w:val="DefaultParagraphFont"/>
    <w:rsid w:val="00F8101A"/>
  </w:style>
  <w:style w:type="character" w:customStyle="1" w:styleId="red">
    <w:name w:val="red"/>
    <w:basedOn w:val="DefaultParagraphFont"/>
    <w:rsid w:val="00F8101A"/>
  </w:style>
  <w:style w:type="paragraph" w:customStyle="1" w:styleId="title1">
    <w:name w:val="title1"/>
    <w:basedOn w:val="Normal"/>
    <w:rsid w:val="00F8101A"/>
    <w:pPr>
      <w:widowControl/>
    </w:pPr>
    <w:rPr>
      <w:rFonts w:ascii="Times New Roman" w:hAnsi="Times New Roman"/>
      <w:sz w:val="27"/>
      <w:szCs w:val="27"/>
      <w:lang w:eastAsia="en-GB" w:bidi="ar-SA"/>
    </w:rPr>
  </w:style>
  <w:style w:type="paragraph" w:customStyle="1" w:styleId="desc2">
    <w:name w:val="desc2"/>
    <w:basedOn w:val="Normal"/>
    <w:rsid w:val="00F8101A"/>
    <w:pPr>
      <w:widowControl/>
    </w:pPr>
    <w:rPr>
      <w:rFonts w:ascii="Times New Roman" w:hAnsi="Times New Roman"/>
      <w:sz w:val="26"/>
      <w:szCs w:val="26"/>
      <w:lang w:eastAsia="en-GB" w:bidi="ar-SA"/>
    </w:rPr>
  </w:style>
  <w:style w:type="paragraph" w:customStyle="1" w:styleId="details1">
    <w:name w:val="details1"/>
    <w:basedOn w:val="Normal"/>
    <w:rsid w:val="00F8101A"/>
    <w:pPr>
      <w:widowControl/>
    </w:pPr>
    <w:rPr>
      <w:rFonts w:ascii="Times New Roman" w:hAnsi="Times New Roman"/>
      <w:szCs w:val="22"/>
      <w:lang w:eastAsia="en-GB" w:bidi="ar-SA"/>
    </w:rPr>
  </w:style>
  <w:style w:type="character" w:customStyle="1" w:styleId="jrnl">
    <w:name w:val="jrnl"/>
    <w:basedOn w:val="DefaultParagraphFont"/>
    <w:rsid w:val="00F8101A"/>
  </w:style>
  <w:style w:type="character" w:customStyle="1" w:styleId="highlight2">
    <w:name w:val="highlight2"/>
    <w:basedOn w:val="DefaultParagraphFont"/>
    <w:rsid w:val="00F8101A"/>
  </w:style>
  <w:style w:type="character" w:styleId="HTMLCite">
    <w:name w:val="HTML Cite"/>
    <w:basedOn w:val="DefaultParagraphFont"/>
    <w:uiPriority w:val="99"/>
    <w:semiHidden/>
    <w:unhideWhenUsed/>
    <w:rsid w:val="00F8101A"/>
    <w:rPr>
      <w:i/>
      <w:iCs/>
    </w:rPr>
  </w:style>
  <w:style w:type="paragraph" w:styleId="Revision">
    <w:name w:val="Revision"/>
    <w:hidden/>
    <w:uiPriority w:val="99"/>
    <w:semiHidden/>
    <w:rsid w:val="00512F95"/>
    <w:rPr>
      <w:rFonts w:eastAsia="Times New Roman" w:cs="Times New Roman"/>
      <w:szCs w:val="24"/>
      <w:lang w:val="en-GB" w:bidi="en-US"/>
    </w:rPr>
  </w:style>
  <w:style w:type="paragraph" w:customStyle="1" w:styleId="NoParagraphStyle">
    <w:name w:val="[No Paragraph Style]"/>
    <w:rsid w:val="000830C5"/>
    <w:pPr>
      <w:widowControl w:val="0"/>
      <w:autoSpaceDE w:val="0"/>
      <w:autoSpaceDN w:val="0"/>
      <w:adjustRightInd w:val="0"/>
      <w:spacing w:line="288" w:lineRule="auto"/>
      <w:textAlignment w:val="center"/>
    </w:pPr>
    <w:rPr>
      <w:rFonts w:ascii="HelveticaNeue-Bold" w:hAnsi="HelveticaNeue-Bold" w:cs="Times New Roman"/>
      <w:color w:val="000000"/>
      <w:sz w:val="24"/>
      <w:szCs w:val="24"/>
      <w:lang w:val="en-GB"/>
    </w:rPr>
  </w:style>
  <w:style w:type="paragraph" w:customStyle="1" w:styleId="TableBodyText">
    <w:name w:val="Table Body Text"/>
    <w:basedOn w:val="Normal"/>
    <w:uiPriority w:val="99"/>
    <w:rsid w:val="000830C5"/>
    <w:pPr>
      <w:suppressAutoHyphens/>
      <w:autoSpaceDE w:val="0"/>
      <w:autoSpaceDN w:val="0"/>
      <w:adjustRightInd w:val="0"/>
      <w:spacing w:after="28" w:line="200" w:lineRule="atLeast"/>
      <w:textAlignment w:val="center"/>
    </w:pPr>
    <w:rPr>
      <w:rFonts w:ascii="HelveticaNeue-Light" w:eastAsiaTheme="minorHAnsi" w:hAnsi="HelveticaNeue-Light" w:cs="HelveticaNeue-Light"/>
      <w:color w:val="000000"/>
      <w:sz w:val="16"/>
      <w:szCs w:val="16"/>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5" w:qFormat="1"/>
    <w:lsdException w:name="header" w:uiPriority="3" w:qFormat="1"/>
    <w:lsdException w:name="footer" w:qFormat="1"/>
    <w:lsdException w:name="caption" w:uiPriority="35" w:qFormat="1"/>
    <w:lsdException w:name="Title" w:semiHidden="0" w:uiPriority="10" w:unhideWhenUsed="0"/>
    <w:lsdException w:name="Default Paragraph Font" w:uiPriority="1"/>
    <w:lsdException w:name="Subtitle" w:semiHidden="0" w:uiPriority="11" w:unhideWhenUsed="0"/>
    <w:lsdException w:name="FollowedHyperlink" w:uiPriority="0"/>
    <w:lsdException w:name="Strong" w:semiHidden="0" w:uiPriority="22" w:unhideWhenUsed="0"/>
    <w:lsdException w:name="Emphasis" w:semiHidden="0" w:uiPriority="20" w:unhideWhenUsed="0" w:qFormat="1"/>
    <w:lsdException w:name="Document Map" w:uiPriority="0"/>
    <w:lsdException w:name="Table Classic 4" w:uiPriority="0"/>
    <w:lsdException w:name="Table Grid" w:semiHidden="0" w:uiPriority="0" w:unhideWhenUsed="0"/>
    <w:lsdException w:name="Placeholder Text" w:unhideWhenUsed="0"/>
    <w:lsdException w:name="No Spacing" w:semiHidden="0" w:uiPriority="2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FS Normal"/>
    <w:qFormat/>
    <w:rsid w:val="000830C5"/>
    <w:pPr>
      <w:widowControl w:val="0"/>
    </w:pPr>
    <w:rPr>
      <w:rFonts w:eastAsia="Times New Roman" w:cs="Times New Roman"/>
      <w:szCs w:val="24"/>
      <w:lang w:val="en-GB" w:bidi="en-US"/>
    </w:rPr>
  </w:style>
  <w:style w:type="paragraph" w:styleId="Heading1">
    <w:name w:val="heading 1"/>
    <w:aliases w:val="FSHeading 1,Chapter heading"/>
    <w:basedOn w:val="Normal"/>
    <w:next w:val="Normal"/>
    <w:link w:val="Heading1Char"/>
    <w:uiPriority w:val="2"/>
    <w:qFormat/>
    <w:rsid w:val="003F04A9"/>
    <w:pPr>
      <w:keepNext/>
      <w:spacing w:before="240" w:after="240"/>
      <w:ind w:left="851" w:hanging="851"/>
      <w:outlineLvl w:val="0"/>
    </w:pPr>
    <w:rPr>
      <w:b/>
      <w:bCs/>
      <w:sz w:val="36"/>
      <w:szCs w:val="28"/>
      <w:lang w:bidi="ar-SA"/>
    </w:rPr>
  </w:style>
  <w:style w:type="paragraph" w:styleId="Heading2">
    <w:name w:val="heading 2"/>
    <w:aliases w:val="FSHeading 2,Section heading"/>
    <w:basedOn w:val="Normal"/>
    <w:next w:val="Normal"/>
    <w:link w:val="Heading2Char"/>
    <w:autoRedefine/>
    <w:uiPriority w:val="2"/>
    <w:unhideWhenUsed/>
    <w:qFormat/>
    <w:rsid w:val="004449B9"/>
    <w:pPr>
      <w:spacing w:before="240" w:after="240"/>
      <w:outlineLvl w:val="1"/>
    </w:pPr>
    <w:rPr>
      <w:rFonts w:eastAsiaTheme="minorHAnsi" w:cs="Arial"/>
      <w:b/>
      <w:bCs/>
      <w:sz w:val="28"/>
      <w:szCs w:val="22"/>
      <w:lang w:bidi="ar-SA"/>
    </w:rPr>
  </w:style>
  <w:style w:type="paragraph" w:styleId="Heading3">
    <w:name w:val="heading 3"/>
    <w:aliases w:val="FSHeading 3,Subheading 1"/>
    <w:basedOn w:val="Normal"/>
    <w:next w:val="Normal"/>
    <w:link w:val="Heading3Char"/>
    <w:autoRedefine/>
    <w:uiPriority w:val="2"/>
    <w:unhideWhenUsed/>
    <w:qFormat/>
    <w:rsid w:val="004449B9"/>
    <w:pPr>
      <w:keepNext/>
      <w:spacing w:before="240" w:after="240"/>
      <w:ind w:left="851" w:hanging="851"/>
      <w:outlineLvl w:val="2"/>
    </w:pPr>
    <w:rPr>
      <w:rFonts w:eastAsiaTheme="minorHAnsi" w:cs="Arial"/>
      <w:b/>
      <w:color w:val="000000" w:themeColor="text1"/>
      <w:szCs w:val="28"/>
      <w:lang w:eastAsia="en-AU" w:bidi="ar-SA"/>
    </w:rPr>
  </w:style>
  <w:style w:type="paragraph" w:styleId="Heading4">
    <w:name w:val="heading 4"/>
    <w:aliases w:val="FSHeading 4,Subheading 2"/>
    <w:basedOn w:val="Normal"/>
    <w:next w:val="Normal"/>
    <w:link w:val="Heading4Char"/>
    <w:autoRedefine/>
    <w:uiPriority w:val="2"/>
    <w:unhideWhenUsed/>
    <w:qFormat/>
    <w:rsid w:val="00EF0F51"/>
    <w:pPr>
      <w:keepNext/>
      <w:spacing w:before="240" w:after="240"/>
      <w:outlineLvl w:val="3"/>
    </w:pPr>
    <w:rPr>
      <w:rFonts w:eastAsiaTheme="minorHAnsi"/>
      <w:b/>
      <w:bCs/>
      <w:i/>
      <w:iCs/>
      <w:szCs w:val="22"/>
      <w:lang w:eastAsia="en-AU" w:bidi="ar-SA"/>
    </w:rPr>
  </w:style>
  <w:style w:type="paragraph" w:styleId="Heading5">
    <w:name w:val="heading 5"/>
    <w:aliases w:val="FSHeading 5,Subheading 3"/>
    <w:basedOn w:val="Normal"/>
    <w:next w:val="Normal"/>
    <w:link w:val="Heading5Char"/>
    <w:uiPriority w:val="2"/>
    <w:unhideWhenUsed/>
    <w:qFormat/>
    <w:rsid w:val="005F1486"/>
    <w:pPr>
      <w:keepNext/>
      <w:spacing w:before="240" w:after="240"/>
      <w:outlineLvl w:val="4"/>
    </w:pPr>
    <w:rPr>
      <w:i/>
      <w:szCs w:val="22"/>
      <w:lang w:bidi="ar-SA"/>
    </w:rPr>
  </w:style>
  <w:style w:type="paragraph" w:styleId="Heading6">
    <w:name w:val="heading 6"/>
    <w:basedOn w:val="Normal"/>
    <w:next w:val="Normal"/>
    <w:link w:val="Heading6Char"/>
    <w:uiPriority w:val="9"/>
    <w:unhideWhenUsed/>
    <w:rsid w:val="009A51A2"/>
    <w:pPr>
      <w:spacing w:before="240" w:after="60"/>
      <w:outlineLvl w:val="5"/>
    </w:pPr>
    <w:rPr>
      <w:rFonts w:cs="Arial Unicode MS"/>
      <w:b/>
      <w:bCs/>
      <w:szCs w:val="22"/>
    </w:rPr>
  </w:style>
  <w:style w:type="paragraph" w:styleId="Heading7">
    <w:name w:val="heading 7"/>
    <w:basedOn w:val="Normal"/>
    <w:next w:val="Normal"/>
    <w:link w:val="Heading7Char"/>
    <w:uiPriority w:val="9"/>
    <w:unhideWhenUsed/>
    <w:rsid w:val="009A51A2"/>
    <w:pPr>
      <w:spacing w:before="240" w:after="60"/>
      <w:outlineLvl w:val="6"/>
    </w:pPr>
  </w:style>
  <w:style w:type="paragraph" w:styleId="Heading8">
    <w:name w:val="heading 8"/>
    <w:basedOn w:val="Normal"/>
    <w:next w:val="Normal"/>
    <w:link w:val="Heading8Char"/>
    <w:uiPriority w:val="9"/>
    <w:unhideWhenUsed/>
    <w:rsid w:val="009A51A2"/>
    <w:pPr>
      <w:spacing w:before="240" w:after="60"/>
      <w:outlineLvl w:val="7"/>
    </w:pPr>
    <w:rPr>
      <w:i/>
      <w:iCs/>
    </w:rPr>
  </w:style>
  <w:style w:type="paragraph" w:styleId="Heading9">
    <w:name w:val="heading 9"/>
    <w:basedOn w:val="Normal"/>
    <w:next w:val="Normal"/>
    <w:link w:val="Heading9Char"/>
    <w:uiPriority w:val="9"/>
    <w:unhideWhenUsed/>
    <w:rsid w:val="009A51A2"/>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link w:val="Heading1"/>
    <w:uiPriority w:val="2"/>
    <w:rsid w:val="003F04A9"/>
    <w:rPr>
      <w:rFonts w:eastAsia="Times New Roman" w:cs="Times New Roman"/>
      <w:b/>
      <w:bCs/>
      <w:sz w:val="36"/>
      <w:szCs w:val="28"/>
      <w:lang w:val="en-GB"/>
    </w:rPr>
  </w:style>
  <w:style w:type="character" w:customStyle="1" w:styleId="Heading2Char">
    <w:name w:val="Heading 2 Char"/>
    <w:aliases w:val="FSHeading 2 Char,Section heading Char"/>
    <w:link w:val="Heading2"/>
    <w:uiPriority w:val="2"/>
    <w:rsid w:val="004449B9"/>
    <w:rPr>
      <w:b/>
      <w:bCs/>
      <w:sz w:val="28"/>
      <w:lang w:val="en-GB"/>
    </w:rPr>
  </w:style>
  <w:style w:type="character" w:customStyle="1" w:styleId="Heading3Char">
    <w:name w:val="Heading 3 Char"/>
    <w:aliases w:val="FSHeading 3 Char,Subheading 1 Char"/>
    <w:link w:val="Heading3"/>
    <w:uiPriority w:val="2"/>
    <w:rsid w:val="004449B9"/>
    <w:rPr>
      <w:b/>
      <w:color w:val="000000" w:themeColor="text1"/>
      <w:szCs w:val="28"/>
      <w:lang w:val="en-GB" w:eastAsia="en-AU"/>
    </w:rPr>
  </w:style>
  <w:style w:type="character" w:customStyle="1" w:styleId="Heading4Char">
    <w:name w:val="Heading 4 Char"/>
    <w:aliases w:val="FSHeading 4 Char,Subheading 2 Char"/>
    <w:link w:val="Heading4"/>
    <w:uiPriority w:val="2"/>
    <w:rsid w:val="00EF0F51"/>
    <w:rPr>
      <w:rFonts w:cs="Times New Roman"/>
      <w:b/>
      <w:bCs/>
      <w:i/>
      <w:iCs/>
      <w:lang w:val="en-GB" w:eastAsia="en-AU"/>
    </w:rPr>
  </w:style>
  <w:style w:type="character" w:customStyle="1" w:styleId="Heading5Char">
    <w:name w:val="Heading 5 Char"/>
    <w:aliases w:val="FSHeading 5 Char,Subheading 3 Char"/>
    <w:link w:val="Heading5"/>
    <w:uiPriority w:val="2"/>
    <w:rsid w:val="009A51A2"/>
    <w:rPr>
      <w:rFonts w:eastAsia="Times New Roman" w:cs="Times New Roman"/>
      <w:i/>
      <w:lang w:val="en-GB"/>
    </w:rPr>
  </w:style>
  <w:style w:type="character" w:customStyle="1" w:styleId="Heading6Char">
    <w:name w:val="Heading 6 Char"/>
    <w:basedOn w:val="DefaultParagraphFont"/>
    <w:link w:val="Heading6"/>
    <w:uiPriority w:val="9"/>
    <w:rsid w:val="009A51A2"/>
    <w:rPr>
      <w:rFonts w:eastAsia="Times New Roman" w:cs="Arial Unicode MS"/>
      <w:b/>
      <w:bCs/>
      <w:lang w:val="en-GB" w:bidi="en-US"/>
    </w:rPr>
  </w:style>
  <w:style w:type="paragraph" w:customStyle="1" w:styleId="Table2">
    <w:name w:val="Table 2"/>
    <w:basedOn w:val="Normal"/>
    <w:uiPriority w:val="20"/>
    <w:qFormat/>
    <w:rsid w:val="009A51A2"/>
    <w:pPr>
      <w:ind w:left="142" w:hanging="142"/>
    </w:pPr>
    <w:rPr>
      <w:bCs/>
      <w:sz w:val="20"/>
      <w:szCs w:val="20"/>
    </w:rPr>
  </w:style>
  <w:style w:type="paragraph" w:customStyle="1" w:styleId="131ItemHeading">
    <w:name w:val="1.3.1 Item Heading"/>
    <w:basedOn w:val="Table2"/>
    <w:next w:val="Table2"/>
    <w:uiPriority w:val="22"/>
    <w:qFormat/>
    <w:rsid w:val="00404702"/>
    <w:pPr>
      <w:keepNext/>
      <w:tabs>
        <w:tab w:val="left" w:pos="851"/>
      </w:tabs>
      <w:spacing w:after="200"/>
      <w:ind w:left="0" w:firstLine="0"/>
    </w:pPr>
    <w:rPr>
      <w:b/>
      <w:bCs w:val="0"/>
      <w:caps/>
    </w:rPr>
  </w:style>
  <w:style w:type="paragraph" w:customStyle="1" w:styleId="131Subitemheading">
    <w:name w:val="1.3.1 Subitem heading"/>
    <w:basedOn w:val="131ItemHeading"/>
    <w:next w:val="Table2"/>
    <w:uiPriority w:val="22"/>
    <w:qFormat/>
    <w:rsid w:val="00404702"/>
    <w:pPr>
      <w:spacing w:after="120"/>
    </w:pPr>
    <w:rPr>
      <w:caps w:val="0"/>
      <w:sz w:val="18"/>
    </w:rPr>
  </w:style>
  <w:style w:type="paragraph" w:customStyle="1" w:styleId="142Tableheading1">
    <w:name w:val="1.4.2 Table heading1"/>
    <w:basedOn w:val="Normal"/>
    <w:uiPriority w:val="22"/>
    <w:qFormat/>
    <w:rsid w:val="00404702"/>
    <w:pPr>
      <w:keepNext/>
      <w:jc w:val="center"/>
    </w:pPr>
    <w:rPr>
      <w:rFonts w:ascii="Arial Bold" w:hAnsi="Arial Bold"/>
      <w:b/>
      <w:bCs/>
      <w:iCs/>
      <w:sz w:val="18"/>
    </w:rPr>
  </w:style>
  <w:style w:type="paragraph" w:customStyle="1" w:styleId="142Tableheading2">
    <w:name w:val="1.4.2 Table heading2"/>
    <w:basedOn w:val="Normal"/>
    <w:uiPriority w:val="22"/>
    <w:qFormat/>
    <w:rsid w:val="009A51A2"/>
    <w:pPr>
      <w:keepNext/>
      <w:jc w:val="center"/>
    </w:pPr>
    <w:rPr>
      <w:iCs/>
      <w:smallCaps/>
      <w:sz w:val="20"/>
      <w:szCs w:val="20"/>
    </w:rPr>
  </w:style>
  <w:style w:type="paragraph" w:customStyle="1" w:styleId="142Tabletext10">
    <w:name w:val="1.4.2 Table text1"/>
    <w:basedOn w:val="Normal"/>
    <w:link w:val="142Tabletext1Char"/>
    <w:uiPriority w:val="22"/>
    <w:qFormat/>
    <w:rsid w:val="00404702"/>
    <w:pPr>
      <w:ind w:left="142" w:hanging="142"/>
    </w:pPr>
    <w:rPr>
      <w:sz w:val="18"/>
      <w:szCs w:val="20"/>
    </w:rPr>
  </w:style>
  <w:style w:type="character" w:customStyle="1" w:styleId="142Tabletext1Char">
    <w:name w:val="1.4.2 Table text1 Char"/>
    <w:basedOn w:val="DefaultParagraphFont"/>
    <w:link w:val="142Tabletext10"/>
    <w:uiPriority w:val="22"/>
    <w:rsid w:val="006D473E"/>
    <w:rPr>
      <w:rFonts w:eastAsia="Times New Roman" w:cs="Times New Roman"/>
      <w:sz w:val="18"/>
      <w:szCs w:val="20"/>
      <w:lang w:val="en-GB"/>
    </w:rPr>
  </w:style>
  <w:style w:type="paragraph" w:customStyle="1" w:styleId="142Tabletext2">
    <w:name w:val="1.4.2 Table text2"/>
    <w:basedOn w:val="142Tabletext10"/>
    <w:uiPriority w:val="22"/>
    <w:qFormat/>
    <w:rsid w:val="00404702"/>
    <w:pPr>
      <w:jc w:val="right"/>
    </w:pPr>
  </w:style>
  <w:style w:type="paragraph" w:customStyle="1" w:styleId="Blankpage">
    <w:name w:val="Blank page"/>
    <w:basedOn w:val="Normal"/>
    <w:next w:val="Normal"/>
    <w:uiPriority w:val="23"/>
    <w:qFormat/>
    <w:rsid w:val="00404702"/>
    <w:pPr>
      <w:tabs>
        <w:tab w:val="left" w:pos="851"/>
      </w:tabs>
      <w:spacing w:before="6000"/>
      <w:jc w:val="center"/>
    </w:pPr>
    <w:rPr>
      <w:caps/>
      <w:szCs w:val="20"/>
    </w:rPr>
  </w:style>
  <w:style w:type="paragraph" w:customStyle="1" w:styleId="Clause">
    <w:name w:val="Clause"/>
    <w:basedOn w:val="Normal"/>
    <w:next w:val="Normal"/>
    <w:link w:val="ClauseChar"/>
    <w:uiPriority w:val="10"/>
    <w:qFormat/>
    <w:rsid w:val="009A51A2"/>
    <w:pPr>
      <w:tabs>
        <w:tab w:val="left" w:pos="851"/>
      </w:tabs>
    </w:pPr>
    <w:rPr>
      <w:szCs w:val="20"/>
    </w:rPr>
  </w:style>
  <w:style w:type="character" w:customStyle="1" w:styleId="ClauseChar">
    <w:name w:val="Clause Char"/>
    <w:basedOn w:val="DefaultParagraphFont"/>
    <w:link w:val="Clause"/>
    <w:uiPriority w:val="10"/>
    <w:rsid w:val="00C019A6"/>
    <w:rPr>
      <w:rFonts w:eastAsia="Times New Roman" w:cs="Times New Roman"/>
      <w:szCs w:val="20"/>
      <w:lang w:val="en-GB" w:bidi="en-US"/>
    </w:rPr>
  </w:style>
  <w:style w:type="paragraph" w:customStyle="1" w:styleId="Clauseheading">
    <w:name w:val="Clause heading"/>
    <w:basedOn w:val="Normal"/>
    <w:next w:val="Normal"/>
    <w:uiPriority w:val="14"/>
    <w:qFormat/>
    <w:rsid w:val="009A51A2"/>
    <w:pPr>
      <w:tabs>
        <w:tab w:val="left" w:pos="851"/>
      </w:tabs>
    </w:pPr>
    <w:rPr>
      <w:b/>
      <w:szCs w:val="20"/>
    </w:rPr>
  </w:style>
  <w:style w:type="paragraph" w:customStyle="1" w:styleId="ClauseList">
    <w:name w:val="Clause List"/>
    <w:basedOn w:val="Clause"/>
    <w:next w:val="Normal"/>
    <w:uiPriority w:val="14"/>
    <w:qFormat/>
    <w:rsid w:val="009A51A2"/>
  </w:style>
  <w:style w:type="paragraph" w:customStyle="1" w:styleId="Definition">
    <w:name w:val="Definition"/>
    <w:basedOn w:val="Normal"/>
    <w:next w:val="Normal"/>
    <w:uiPriority w:val="15"/>
    <w:qFormat/>
    <w:rsid w:val="009A51A2"/>
    <w:pPr>
      <w:ind w:left="1701" w:hanging="851"/>
    </w:pPr>
    <w:rPr>
      <w:szCs w:val="20"/>
    </w:rPr>
  </w:style>
  <w:style w:type="paragraph" w:customStyle="1" w:styleId="DivisionHeading">
    <w:name w:val="Division Heading"/>
    <w:basedOn w:val="Normal"/>
    <w:next w:val="Normal"/>
    <w:uiPriority w:val="15"/>
    <w:qFormat/>
    <w:rsid w:val="009A51A2"/>
    <w:pPr>
      <w:tabs>
        <w:tab w:val="left" w:pos="851"/>
      </w:tabs>
      <w:jc w:val="center"/>
    </w:pPr>
    <w:rPr>
      <w:b/>
      <w:sz w:val="28"/>
      <w:szCs w:val="20"/>
    </w:rPr>
  </w:style>
  <w:style w:type="paragraph" w:customStyle="1" w:styleId="EditorialNoteLine1">
    <w:name w:val="Editorial Note Line 1"/>
    <w:basedOn w:val="Normal"/>
    <w:next w:val="Normal"/>
    <w:uiPriority w:val="16"/>
    <w:qFormat/>
    <w:rsid w:val="009A51A2"/>
    <w:pPr>
      <w:pBdr>
        <w:top w:val="single" w:sz="6" w:space="0" w:color="auto"/>
        <w:left w:val="single" w:sz="6" w:space="0" w:color="auto"/>
        <w:bottom w:val="single" w:sz="6" w:space="0" w:color="auto"/>
        <w:right w:val="single" w:sz="6" w:space="0" w:color="auto"/>
      </w:pBdr>
      <w:tabs>
        <w:tab w:val="left" w:pos="851"/>
      </w:tabs>
    </w:pPr>
    <w:rPr>
      <w:b/>
      <w:szCs w:val="20"/>
    </w:rPr>
  </w:style>
  <w:style w:type="paragraph" w:customStyle="1" w:styleId="EditorialNotetext">
    <w:name w:val="Editorial Note text"/>
    <w:basedOn w:val="EditorialNoteLine1"/>
    <w:uiPriority w:val="16"/>
    <w:qFormat/>
    <w:rsid w:val="009A51A2"/>
    <w:rPr>
      <w:b w:val="0"/>
    </w:rPr>
  </w:style>
  <w:style w:type="paragraph" w:styleId="Footer">
    <w:name w:val="footer"/>
    <w:aliases w:val="FSFooter"/>
    <w:basedOn w:val="Normal"/>
    <w:link w:val="FooterChar"/>
    <w:uiPriority w:val="99"/>
    <w:qFormat/>
    <w:rsid w:val="009A51A2"/>
    <w:pPr>
      <w:tabs>
        <w:tab w:val="center" w:pos="4153"/>
        <w:tab w:val="right" w:pos="8306"/>
      </w:tabs>
    </w:pPr>
    <w:rPr>
      <w:sz w:val="20"/>
    </w:rPr>
  </w:style>
  <w:style w:type="character" w:customStyle="1" w:styleId="FooterChar">
    <w:name w:val="Footer Char"/>
    <w:aliases w:val="FSFooter Char"/>
    <w:basedOn w:val="DefaultParagraphFont"/>
    <w:link w:val="Footer"/>
    <w:uiPriority w:val="99"/>
    <w:rsid w:val="00E2450C"/>
    <w:rPr>
      <w:rFonts w:eastAsia="Times New Roman" w:cs="Times New Roman"/>
      <w:sz w:val="20"/>
      <w:szCs w:val="24"/>
      <w:lang w:val="en-GB" w:bidi="en-US"/>
    </w:rPr>
  </w:style>
  <w:style w:type="paragraph" w:styleId="FootnoteText">
    <w:name w:val="footnote text"/>
    <w:aliases w:val="Footnotes Text,FSFootnotes Text"/>
    <w:basedOn w:val="Normal"/>
    <w:link w:val="FootnoteTextChar"/>
    <w:uiPriority w:val="5"/>
    <w:qFormat/>
    <w:rsid w:val="009A51A2"/>
    <w:rPr>
      <w:sz w:val="20"/>
      <w:szCs w:val="20"/>
    </w:rPr>
  </w:style>
  <w:style w:type="character" w:customStyle="1" w:styleId="FootnoteTextChar">
    <w:name w:val="Footnote Text Char"/>
    <w:aliases w:val="Footnotes Text Char,FSFootnotes Text Char"/>
    <w:basedOn w:val="DefaultParagraphFont"/>
    <w:link w:val="FootnoteText"/>
    <w:uiPriority w:val="5"/>
    <w:rsid w:val="009A51A2"/>
    <w:rPr>
      <w:rFonts w:eastAsia="Times New Roman" w:cs="Times New Roman"/>
      <w:sz w:val="20"/>
      <w:szCs w:val="20"/>
      <w:lang w:val="en-GB" w:bidi="en-US"/>
    </w:rPr>
  </w:style>
  <w:style w:type="paragraph" w:customStyle="1" w:styleId="FSBullet1">
    <w:name w:val="FSBullet 1"/>
    <w:basedOn w:val="Normal"/>
    <w:next w:val="Normal"/>
    <w:link w:val="FSBullet1Char"/>
    <w:uiPriority w:val="6"/>
    <w:qFormat/>
    <w:rsid w:val="009A51A2"/>
    <w:pPr>
      <w:widowControl/>
      <w:numPr>
        <w:numId w:val="15"/>
      </w:numPr>
      <w:ind w:left="567" w:hanging="567"/>
    </w:pPr>
    <w:rPr>
      <w:rFonts w:cs="Arial"/>
      <w:lang w:bidi="ar-SA"/>
    </w:rPr>
  </w:style>
  <w:style w:type="character" w:customStyle="1" w:styleId="FSBullet1Char">
    <w:name w:val="FSBullet 1 Char"/>
    <w:link w:val="FSBullet1"/>
    <w:uiPriority w:val="6"/>
    <w:rsid w:val="009A51A2"/>
    <w:rPr>
      <w:rFonts w:eastAsia="Times New Roman"/>
      <w:szCs w:val="24"/>
      <w:lang w:val="en-GB"/>
    </w:rPr>
  </w:style>
  <w:style w:type="paragraph" w:customStyle="1" w:styleId="FSBullet2">
    <w:name w:val="FSBullet 2"/>
    <w:basedOn w:val="Normal"/>
    <w:uiPriority w:val="6"/>
    <w:qFormat/>
    <w:rsid w:val="009A51A2"/>
    <w:pPr>
      <w:widowControl/>
      <w:numPr>
        <w:numId w:val="16"/>
      </w:numPr>
      <w:ind w:left="1134" w:hanging="567"/>
    </w:pPr>
    <w:rPr>
      <w:rFonts w:eastAsia="Calibri"/>
      <w:szCs w:val="22"/>
      <w:lang w:bidi="ar-SA"/>
    </w:rPr>
  </w:style>
  <w:style w:type="paragraph" w:customStyle="1" w:styleId="FSBullet3">
    <w:name w:val="FSBullet 3"/>
    <w:basedOn w:val="Normal"/>
    <w:uiPriority w:val="6"/>
    <w:qFormat/>
    <w:rsid w:val="009A51A2"/>
    <w:pPr>
      <w:keepNext/>
      <w:widowControl/>
      <w:numPr>
        <w:numId w:val="17"/>
      </w:numPr>
      <w:ind w:left="1701" w:hanging="567"/>
    </w:pPr>
    <w:rPr>
      <w:rFonts w:eastAsia="Calibri"/>
      <w:b/>
      <w:szCs w:val="22"/>
      <w:lang w:bidi="ar-SA"/>
    </w:rPr>
  </w:style>
  <w:style w:type="paragraph" w:customStyle="1" w:styleId="FSCaption">
    <w:name w:val="FSCaption"/>
    <w:basedOn w:val="Normal"/>
    <w:uiPriority w:val="9"/>
    <w:qFormat/>
    <w:rsid w:val="00404702"/>
    <w:pPr>
      <w:keepNext/>
      <w:keepLines/>
      <w:spacing w:before="120"/>
    </w:pPr>
    <w:rPr>
      <w:i/>
      <w:sz w:val="16"/>
      <w:szCs w:val="16"/>
    </w:rPr>
  </w:style>
  <w:style w:type="paragraph" w:customStyle="1" w:styleId="FSCFootnote">
    <w:name w:val="FSCFootnote"/>
    <w:basedOn w:val="Normal"/>
    <w:next w:val="Normal"/>
    <w:uiPriority w:val="17"/>
    <w:qFormat/>
    <w:rsid w:val="00404702"/>
    <w:rPr>
      <w:sz w:val="16"/>
      <w:szCs w:val="20"/>
    </w:rPr>
  </w:style>
  <w:style w:type="paragraph" w:customStyle="1" w:styleId="FSCFooter">
    <w:name w:val="FSCFooter"/>
    <w:basedOn w:val="FSCFootnote"/>
    <w:uiPriority w:val="17"/>
    <w:qFormat/>
    <w:rsid w:val="00404702"/>
    <w:pPr>
      <w:tabs>
        <w:tab w:val="center" w:pos="4536"/>
        <w:tab w:val="right" w:pos="9070"/>
      </w:tabs>
    </w:pPr>
    <w:rPr>
      <w:sz w:val="18"/>
      <w:szCs w:val="18"/>
    </w:rPr>
  </w:style>
  <w:style w:type="paragraph" w:customStyle="1" w:styleId="FSPagenumber">
    <w:name w:val="FSPage number"/>
    <w:basedOn w:val="Normal"/>
    <w:uiPriority w:val="1"/>
    <w:qFormat/>
    <w:rsid w:val="00404702"/>
    <w:pPr>
      <w:jc w:val="center"/>
    </w:pPr>
    <w:rPr>
      <w:sz w:val="20"/>
      <w:szCs w:val="20"/>
    </w:rPr>
  </w:style>
  <w:style w:type="paragraph" w:customStyle="1" w:styleId="FSTableColumnRowheading">
    <w:name w:val="FSTable Column/Row heading"/>
    <w:basedOn w:val="Normal"/>
    <w:uiPriority w:val="8"/>
    <w:qFormat/>
    <w:rsid w:val="00404702"/>
    <w:pPr>
      <w:spacing w:before="120" w:after="120"/>
    </w:pPr>
    <w:rPr>
      <w:b/>
      <w:sz w:val="20"/>
      <w:szCs w:val="20"/>
    </w:rPr>
  </w:style>
  <w:style w:type="paragraph" w:customStyle="1" w:styleId="FSTableFigureHeading">
    <w:name w:val="FSTable/Figure Heading"/>
    <w:basedOn w:val="Normal"/>
    <w:uiPriority w:val="7"/>
    <w:qFormat/>
    <w:rsid w:val="00404702"/>
    <w:pPr>
      <w:spacing w:before="120" w:after="120"/>
      <w:ind w:left="1134" w:hanging="1134"/>
    </w:pPr>
    <w:rPr>
      <w:b/>
      <w:i/>
    </w:rPr>
  </w:style>
  <w:style w:type="paragraph" w:styleId="Header">
    <w:name w:val="header"/>
    <w:aliases w:val="FSHeader"/>
    <w:basedOn w:val="Normal"/>
    <w:link w:val="HeaderChar"/>
    <w:uiPriority w:val="3"/>
    <w:qFormat/>
    <w:rsid w:val="009A51A2"/>
  </w:style>
  <w:style w:type="character" w:customStyle="1" w:styleId="HeaderChar">
    <w:name w:val="Header Char"/>
    <w:aliases w:val="FSHeader Char"/>
    <w:basedOn w:val="DefaultParagraphFont"/>
    <w:link w:val="Header"/>
    <w:uiPriority w:val="3"/>
    <w:rsid w:val="009A51A2"/>
    <w:rPr>
      <w:rFonts w:eastAsia="Times New Roman" w:cs="Times New Roman"/>
      <w:szCs w:val="24"/>
      <w:lang w:val="en-GB" w:bidi="en-US"/>
    </w:rPr>
  </w:style>
  <w:style w:type="paragraph" w:customStyle="1" w:styleId="Paragraph">
    <w:name w:val="Paragraph"/>
    <w:basedOn w:val="Clause"/>
    <w:next w:val="Normal"/>
    <w:uiPriority w:val="12"/>
    <w:qFormat/>
    <w:rsid w:val="009A51A2"/>
    <w:pPr>
      <w:tabs>
        <w:tab w:val="clear" w:pos="851"/>
      </w:tabs>
      <w:ind w:left="1702" w:hanging="851"/>
    </w:pPr>
  </w:style>
  <w:style w:type="paragraph" w:customStyle="1" w:styleId="ScheduleHeading">
    <w:name w:val="Schedule Heading"/>
    <w:basedOn w:val="Normal"/>
    <w:next w:val="Normal"/>
    <w:uiPriority w:val="18"/>
    <w:qFormat/>
    <w:rsid w:val="009A51A2"/>
    <w:pPr>
      <w:tabs>
        <w:tab w:val="left" w:pos="851"/>
      </w:tabs>
      <w:jc w:val="center"/>
    </w:pPr>
    <w:rPr>
      <w:b/>
      <w:caps/>
      <w:szCs w:val="20"/>
    </w:rPr>
  </w:style>
  <w:style w:type="paragraph" w:customStyle="1" w:styleId="Standardtitle">
    <w:name w:val="Standard title"/>
    <w:basedOn w:val="Normal"/>
    <w:uiPriority w:val="18"/>
    <w:qFormat/>
    <w:rsid w:val="009A51A2"/>
    <w:pPr>
      <w:tabs>
        <w:tab w:val="left" w:pos="851"/>
      </w:tabs>
      <w:jc w:val="center"/>
    </w:pPr>
    <w:rPr>
      <w:b/>
      <w:i/>
      <w:iCs/>
      <w:caps/>
      <w:sz w:val="28"/>
      <w:szCs w:val="20"/>
    </w:rPr>
  </w:style>
  <w:style w:type="paragraph" w:customStyle="1" w:styleId="Subclause">
    <w:name w:val="Subclause"/>
    <w:basedOn w:val="Clause"/>
    <w:uiPriority w:val="11"/>
    <w:qFormat/>
    <w:rsid w:val="009A51A2"/>
    <w:pPr>
      <w:ind w:hanging="11"/>
    </w:pPr>
  </w:style>
  <w:style w:type="paragraph" w:customStyle="1" w:styleId="Subparagraph">
    <w:name w:val="Subparagraph"/>
    <w:basedOn w:val="Paragraph"/>
    <w:next w:val="Normal"/>
    <w:uiPriority w:val="13"/>
    <w:qFormat/>
    <w:rsid w:val="009A51A2"/>
    <w:pPr>
      <w:ind w:left="2553"/>
    </w:pPr>
  </w:style>
  <w:style w:type="paragraph" w:customStyle="1" w:styleId="Table1">
    <w:name w:val="Table 1"/>
    <w:basedOn w:val="Normal"/>
    <w:uiPriority w:val="20"/>
    <w:qFormat/>
    <w:rsid w:val="009A51A2"/>
    <w:pPr>
      <w:spacing w:after="120"/>
      <w:jc w:val="center"/>
    </w:pPr>
    <w:rPr>
      <w:b/>
      <w:bCs/>
      <w:sz w:val="20"/>
      <w:szCs w:val="20"/>
    </w:rPr>
  </w:style>
  <w:style w:type="paragraph" w:customStyle="1" w:styleId="TitleBorder">
    <w:name w:val="TitleBorder"/>
    <w:basedOn w:val="Normal"/>
    <w:uiPriority w:val="19"/>
    <w:qFormat/>
    <w:rsid w:val="009A51A2"/>
    <w:pPr>
      <w:pBdr>
        <w:bottom w:val="double" w:sz="6" w:space="0" w:color="auto"/>
      </w:pBdr>
      <w:tabs>
        <w:tab w:val="left" w:pos="851"/>
      </w:tabs>
    </w:pPr>
    <w:rPr>
      <w:b/>
      <w:szCs w:val="20"/>
    </w:rPr>
  </w:style>
  <w:style w:type="paragraph" w:styleId="NoSpacing">
    <w:name w:val="No Spacing"/>
    <w:uiPriority w:val="20"/>
    <w:rsid w:val="00E0050C"/>
    <w:pPr>
      <w:widowControl w:val="0"/>
    </w:pPr>
    <w:rPr>
      <w:rFonts w:cstheme="minorBidi"/>
      <w:lang w:val="en-GB"/>
    </w:rPr>
  </w:style>
  <w:style w:type="paragraph" w:styleId="Subtitle">
    <w:name w:val="Subtitle"/>
    <w:basedOn w:val="Normal"/>
    <w:next w:val="Normal"/>
    <w:link w:val="SubtitleChar"/>
    <w:uiPriority w:val="11"/>
    <w:rsid w:val="00E2450C"/>
    <w:pPr>
      <w:numPr>
        <w:ilvl w:val="1"/>
      </w:numPr>
      <w:ind w:left="567" w:hanging="567"/>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E2450C"/>
    <w:rPr>
      <w:rFonts w:asciiTheme="majorHAnsi" w:eastAsiaTheme="majorEastAsia" w:hAnsiTheme="majorHAnsi" w:cstheme="majorBidi"/>
      <w:i/>
      <w:iCs/>
      <w:color w:val="4F81BD" w:themeColor="accent1"/>
      <w:spacing w:val="15"/>
      <w:sz w:val="24"/>
      <w:szCs w:val="24"/>
      <w:lang w:val="en-GB"/>
    </w:rPr>
  </w:style>
  <w:style w:type="character" w:styleId="IntenseEmphasis">
    <w:name w:val="Intense Emphasis"/>
    <w:basedOn w:val="DefaultParagraphFont"/>
    <w:uiPriority w:val="21"/>
    <w:rsid w:val="00DF4A30"/>
    <w:rPr>
      <w:b/>
      <w:bCs/>
      <w:i/>
      <w:iCs/>
      <w:color w:val="4F81BD" w:themeColor="accent1"/>
    </w:rPr>
  </w:style>
  <w:style w:type="paragraph" w:styleId="ListParagraph">
    <w:name w:val="List Paragraph"/>
    <w:basedOn w:val="Normal"/>
    <w:uiPriority w:val="34"/>
    <w:qFormat/>
    <w:rsid w:val="009A51A2"/>
    <w:pPr>
      <w:ind w:left="720"/>
      <w:contextualSpacing/>
    </w:pPr>
  </w:style>
  <w:style w:type="character" w:customStyle="1" w:styleId="Heading7Char">
    <w:name w:val="Heading 7 Char"/>
    <w:basedOn w:val="DefaultParagraphFont"/>
    <w:link w:val="Heading7"/>
    <w:uiPriority w:val="9"/>
    <w:rsid w:val="009A51A2"/>
    <w:rPr>
      <w:rFonts w:eastAsia="Times New Roman" w:cs="Times New Roman"/>
      <w:szCs w:val="24"/>
      <w:lang w:val="en-GB" w:bidi="en-US"/>
    </w:rPr>
  </w:style>
  <w:style w:type="character" w:customStyle="1" w:styleId="Heading8Char">
    <w:name w:val="Heading 8 Char"/>
    <w:basedOn w:val="DefaultParagraphFont"/>
    <w:link w:val="Heading8"/>
    <w:uiPriority w:val="9"/>
    <w:rsid w:val="009A51A2"/>
    <w:rPr>
      <w:rFonts w:eastAsia="Times New Roman" w:cs="Times New Roman"/>
      <w:i/>
      <w:iCs/>
      <w:szCs w:val="24"/>
      <w:lang w:val="en-GB" w:bidi="en-US"/>
    </w:rPr>
  </w:style>
  <w:style w:type="character" w:customStyle="1" w:styleId="Heading9Char">
    <w:name w:val="Heading 9 Char"/>
    <w:basedOn w:val="DefaultParagraphFont"/>
    <w:link w:val="Heading9"/>
    <w:uiPriority w:val="9"/>
    <w:rsid w:val="009A51A2"/>
    <w:rPr>
      <w:rFonts w:ascii="Cambria" w:eastAsia="Times New Roman" w:hAnsi="Cambria" w:cs="Times New Roman"/>
      <w:lang w:val="en-GB" w:bidi="en-US"/>
    </w:rPr>
  </w:style>
  <w:style w:type="character" w:styleId="Hyperlink">
    <w:name w:val="Hyperlink"/>
    <w:basedOn w:val="DefaultParagraphFont"/>
    <w:uiPriority w:val="99"/>
    <w:rsid w:val="009A51A2"/>
    <w:rPr>
      <w:rFonts w:ascii="Arial" w:hAnsi="Arial"/>
      <w:color w:val="3333FF"/>
      <w:u w:val="single"/>
    </w:rPr>
  </w:style>
  <w:style w:type="paragraph" w:customStyle="1" w:styleId="FSTitle">
    <w:name w:val="FS Title"/>
    <w:basedOn w:val="Normal"/>
    <w:qFormat/>
    <w:rsid w:val="00BF2031"/>
    <w:rPr>
      <w:rFonts w:cs="Tahoma"/>
      <w:bCs/>
      <w:sz w:val="44"/>
    </w:rPr>
  </w:style>
  <w:style w:type="paragraph" w:customStyle="1" w:styleId="FSDash">
    <w:name w:val="FS Dash"/>
    <w:basedOn w:val="Normal"/>
    <w:qFormat/>
    <w:rsid w:val="009A51A2"/>
    <w:pPr>
      <w:ind w:left="1134" w:hanging="567"/>
    </w:pPr>
  </w:style>
  <w:style w:type="paragraph" w:styleId="TOC1">
    <w:name w:val="toc 1"/>
    <w:basedOn w:val="Normal"/>
    <w:next w:val="Normal"/>
    <w:autoRedefine/>
    <w:uiPriority w:val="39"/>
    <w:rsid w:val="009A51A2"/>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rsid w:val="009A51A2"/>
    <w:pPr>
      <w:ind w:left="220"/>
    </w:pPr>
    <w:rPr>
      <w:rFonts w:asciiTheme="minorHAnsi" w:hAnsiTheme="minorHAnsi" w:cstheme="minorHAnsi"/>
      <w:smallCaps/>
      <w:sz w:val="20"/>
      <w:szCs w:val="20"/>
    </w:rPr>
  </w:style>
  <w:style w:type="character" w:styleId="PageNumber">
    <w:name w:val="page number"/>
    <w:basedOn w:val="DefaultParagraphFont"/>
    <w:uiPriority w:val="99"/>
    <w:rsid w:val="009A51A2"/>
    <w:rPr>
      <w:rFonts w:ascii="Arial" w:hAnsi="Arial"/>
    </w:rPr>
  </w:style>
  <w:style w:type="paragraph" w:styleId="TOC3">
    <w:name w:val="toc 3"/>
    <w:basedOn w:val="Normal"/>
    <w:next w:val="Normal"/>
    <w:autoRedefine/>
    <w:uiPriority w:val="39"/>
    <w:rsid w:val="009A51A2"/>
    <w:pPr>
      <w:ind w:left="440"/>
    </w:pPr>
    <w:rPr>
      <w:rFonts w:asciiTheme="minorHAnsi" w:hAnsiTheme="minorHAnsi" w:cstheme="minorHAnsi"/>
      <w:i/>
      <w:iCs/>
      <w:sz w:val="20"/>
      <w:szCs w:val="20"/>
    </w:rPr>
  </w:style>
  <w:style w:type="paragraph" w:styleId="TOC4">
    <w:name w:val="toc 4"/>
    <w:basedOn w:val="Normal"/>
    <w:next w:val="Normal"/>
    <w:autoRedefine/>
    <w:semiHidden/>
    <w:rsid w:val="009A51A2"/>
    <w:pPr>
      <w:ind w:left="660"/>
    </w:pPr>
    <w:rPr>
      <w:rFonts w:asciiTheme="minorHAnsi" w:hAnsiTheme="minorHAnsi" w:cstheme="minorHAnsi"/>
      <w:sz w:val="18"/>
      <w:szCs w:val="18"/>
    </w:rPr>
  </w:style>
  <w:style w:type="paragraph" w:styleId="TOC5">
    <w:name w:val="toc 5"/>
    <w:basedOn w:val="Normal"/>
    <w:next w:val="Normal"/>
    <w:autoRedefine/>
    <w:semiHidden/>
    <w:rsid w:val="009A51A2"/>
    <w:pPr>
      <w:ind w:left="880"/>
    </w:pPr>
    <w:rPr>
      <w:rFonts w:asciiTheme="minorHAnsi" w:hAnsiTheme="minorHAnsi" w:cstheme="minorHAnsi"/>
      <w:sz w:val="18"/>
      <w:szCs w:val="18"/>
    </w:rPr>
  </w:style>
  <w:style w:type="character" w:styleId="FollowedHyperlink">
    <w:name w:val="FollowedHyperlink"/>
    <w:basedOn w:val="DefaultParagraphFont"/>
    <w:rsid w:val="009A51A2"/>
    <w:rPr>
      <w:rFonts w:ascii="Arial" w:hAnsi="Arial"/>
      <w:color w:val="3333FF"/>
      <w:sz w:val="22"/>
      <w:u w:val="single"/>
    </w:rPr>
  </w:style>
  <w:style w:type="paragraph" w:styleId="TOC6">
    <w:name w:val="toc 6"/>
    <w:basedOn w:val="Normal"/>
    <w:next w:val="Normal"/>
    <w:autoRedefine/>
    <w:semiHidden/>
    <w:rsid w:val="009A51A2"/>
    <w:pPr>
      <w:ind w:left="1100"/>
    </w:pPr>
    <w:rPr>
      <w:rFonts w:asciiTheme="minorHAnsi" w:hAnsiTheme="minorHAnsi" w:cstheme="minorHAnsi"/>
      <w:sz w:val="18"/>
      <w:szCs w:val="18"/>
    </w:rPr>
  </w:style>
  <w:style w:type="paragraph" w:customStyle="1" w:styleId="Box1">
    <w:name w:val="Box 1"/>
    <w:basedOn w:val="Normal"/>
    <w:rsid w:val="009A51A2"/>
    <w:pPr>
      <w:tabs>
        <w:tab w:val="num" w:pos="120"/>
      </w:tabs>
      <w:ind w:left="113" w:hanging="113"/>
    </w:pPr>
    <w:rPr>
      <w:sz w:val="16"/>
    </w:rPr>
  </w:style>
  <w:style w:type="paragraph" w:customStyle="1" w:styleId="Box2">
    <w:name w:val="Box 2"/>
    <w:basedOn w:val="Normal"/>
    <w:rsid w:val="009A51A2"/>
    <w:pPr>
      <w:tabs>
        <w:tab w:val="left" w:pos="4608"/>
        <w:tab w:val="left" w:pos="9180"/>
        <w:tab w:val="left" w:pos="9216"/>
      </w:tabs>
      <w:jc w:val="center"/>
    </w:pPr>
    <w:rPr>
      <w:b/>
      <w:bCs/>
      <w:i/>
      <w:iCs/>
      <w:color w:val="000000"/>
      <w:sz w:val="16"/>
    </w:rPr>
  </w:style>
  <w:style w:type="paragraph" w:customStyle="1" w:styleId="Box3">
    <w:name w:val="Box 3"/>
    <w:basedOn w:val="Normal"/>
    <w:rsid w:val="009A51A2"/>
    <w:pPr>
      <w:tabs>
        <w:tab w:val="left" w:pos="4608"/>
        <w:tab w:val="left" w:pos="9180"/>
        <w:tab w:val="left" w:pos="9216"/>
      </w:tabs>
      <w:jc w:val="center"/>
    </w:pPr>
    <w:rPr>
      <w:b/>
      <w:bCs/>
      <w:i/>
      <w:iCs/>
      <w:color w:val="000000"/>
      <w:sz w:val="16"/>
    </w:rPr>
  </w:style>
  <w:style w:type="paragraph" w:customStyle="1" w:styleId="142tableheading10">
    <w:name w:val="1.4.2 table heading1"/>
    <w:basedOn w:val="142Tableheading2"/>
    <w:rsid w:val="009A51A2"/>
    <w:rPr>
      <w:b/>
      <w:bCs/>
      <w:iCs w:val="0"/>
    </w:rPr>
  </w:style>
  <w:style w:type="paragraph" w:customStyle="1" w:styleId="142tabletext1">
    <w:name w:val="1.4.2 table text1"/>
    <w:basedOn w:val="Normal"/>
    <w:rsid w:val="009A51A2"/>
    <w:pPr>
      <w:numPr>
        <w:numId w:val="8"/>
      </w:numPr>
      <w:ind w:left="142" w:hanging="142"/>
    </w:pPr>
    <w:rPr>
      <w:smallCaps/>
      <w:sz w:val="20"/>
      <w:szCs w:val="20"/>
    </w:rPr>
  </w:style>
  <w:style w:type="paragraph" w:customStyle="1" w:styleId="142tabletext20">
    <w:name w:val="1.4.2 table text2"/>
    <w:basedOn w:val="142tabletext1"/>
    <w:rsid w:val="009A51A2"/>
    <w:pPr>
      <w:jc w:val="right"/>
    </w:pPr>
  </w:style>
  <w:style w:type="paragraph" w:customStyle="1" w:styleId="Footnote">
    <w:name w:val="Footnote"/>
    <w:basedOn w:val="Normal"/>
    <w:rsid w:val="009A51A2"/>
    <w:pPr>
      <w:tabs>
        <w:tab w:val="left" w:pos="851"/>
      </w:tabs>
    </w:pPr>
    <w:rPr>
      <w:sz w:val="20"/>
      <w:szCs w:val="20"/>
    </w:rPr>
  </w:style>
  <w:style w:type="paragraph" w:customStyle="1" w:styleId="MiscellaneousHeading">
    <w:name w:val="Miscellaneous Heading"/>
    <w:basedOn w:val="Normal"/>
    <w:next w:val="Normal"/>
    <w:rsid w:val="009A51A2"/>
    <w:rPr>
      <w:b/>
      <w:szCs w:val="20"/>
    </w:rPr>
  </w:style>
  <w:style w:type="paragraph" w:customStyle="1" w:styleId="TableHeading">
    <w:name w:val="Table Heading"/>
    <w:basedOn w:val="Normal"/>
    <w:next w:val="Normal"/>
    <w:uiPriority w:val="99"/>
    <w:rsid w:val="009A51A2"/>
    <w:pPr>
      <w:tabs>
        <w:tab w:val="left" w:pos="851"/>
      </w:tabs>
      <w:jc w:val="center"/>
    </w:pPr>
    <w:rPr>
      <w:b/>
      <w:szCs w:val="20"/>
    </w:rPr>
  </w:style>
  <w:style w:type="paragraph" w:styleId="TOC7">
    <w:name w:val="toc 7"/>
    <w:basedOn w:val="Normal"/>
    <w:next w:val="Normal"/>
    <w:autoRedefine/>
    <w:semiHidden/>
    <w:rsid w:val="009A51A2"/>
    <w:pPr>
      <w:ind w:left="1320"/>
    </w:pPr>
    <w:rPr>
      <w:rFonts w:asciiTheme="minorHAnsi" w:hAnsiTheme="minorHAnsi" w:cstheme="minorHAnsi"/>
      <w:sz w:val="18"/>
      <w:szCs w:val="18"/>
    </w:rPr>
  </w:style>
  <w:style w:type="paragraph" w:styleId="TOC8">
    <w:name w:val="toc 8"/>
    <w:basedOn w:val="Normal"/>
    <w:next w:val="Normal"/>
    <w:autoRedefine/>
    <w:semiHidden/>
    <w:rsid w:val="009A51A2"/>
    <w:pPr>
      <w:ind w:left="1540"/>
    </w:pPr>
    <w:rPr>
      <w:rFonts w:asciiTheme="minorHAnsi" w:hAnsiTheme="minorHAnsi" w:cstheme="minorHAnsi"/>
      <w:sz w:val="18"/>
      <w:szCs w:val="18"/>
    </w:rPr>
  </w:style>
  <w:style w:type="paragraph" w:styleId="TOC9">
    <w:name w:val="toc 9"/>
    <w:basedOn w:val="Normal"/>
    <w:next w:val="Normal"/>
    <w:autoRedefine/>
    <w:semiHidden/>
    <w:rsid w:val="009A51A2"/>
    <w:pPr>
      <w:ind w:left="1760"/>
    </w:pPr>
    <w:rPr>
      <w:rFonts w:asciiTheme="minorHAnsi" w:hAnsiTheme="minorHAnsi" w:cstheme="minorHAnsi"/>
      <w:sz w:val="18"/>
      <w:szCs w:val="18"/>
    </w:rPr>
  </w:style>
  <w:style w:type="character" w:styleId="FootnoteReference">
    <w:name w:val="footnote reference"/>
    <w:basedOn w:val="DefaultParagraphFont"/>
    <w:uiPriority w:val="99"/>
    <w:rsid w:val="009A51A2"/>
    <w:rPr>
      <w:vertAlign w:val="superscript"/>
    </w:rPr>
  </w:style>
  <w:style w:type="paragraph" w:customStyle="1" w:styleId="FSDecisionHeading">
    <w:name w:val="FS Decision Heading"/>
    <w:basedOn w:val="Normal"/>
    <w:next w:val="FSDecisiontext"/>
    <w:qFormat/>
    <w:rsid w:val="009A51A2"/>
    <w:pPr>
      <w:pBdr>
        <w:top w:val="single" w:sz="4" w:space="1" w:color="auto"/>
        <w:left w:val="single" w:sz="4" w:space="4" w:color="auto"/>
        <w:bottom w:val="single" w:sz="4" w:space="1" w:color="auto"/>
        <w:right w:val="single" w:sz="4" w:space="4" w:color="auto"/>
      </w:pBdr>
    </w:pPr>
    <w:rPr>
      <w:rFonts w:ascii="Arial Bold" w:hAnsi="Arial Bold"/>
      <w:b/>
      <w:bCs/>
    </w:rPr>
  </w:style>
  <w:style w:type="paragraph" w:customStyle="1" w:styleId="FSDecisiontext">
    <w:name w:val="FS Decision text"/>
    <w:basedOn w:val="Normal"/>
    <w:qFormat/>
    <w:rsid w:val="009A51A2"/>
    <w:pPr>
      <w:pBdr>
        <w:top w:val="single" w:sz="4" w:space="1" w:color="auto"/>
        <w:left w:val="single" w:sz="4" w:space="4" w:color="auto"/>
        <w:bottom w:val="single" w:sz="4" w:space="1" w:color="auto"/>
        <w:right w:val="single" w:sz="4" w:space="4" w:color="auto"/>
      </w:pBdr>
    </w:pPr>
  </w:style>
  <w:style w:type="paragraph" w:styleId="BalloonText">
    <w:name w:val="Balloon Text"/>
    <w:basedOn w:val="Normal"/>
    <w:link w:val="BalloonTextChar"/>
    <w:uiPriority w:val="99"/>
    <w:semiHidden/>
    <w:rsid w:val="009A51A2"/>
    <w:rPr>
      <w:rFonts w:ascii="Tahoma" w:hAnsi="Tahoma" w:cs="Tahoma"/>
      <w:sz w:val="16"/>
      <w:szCs w:val="16"/>
    </w:rPr>
  </w:style>
  <w:style w:type="character" w:customStyle="1" w:styleId="BalloonTextChar">
    <w:name w:val="Balloon Text Char"/>
    <w:basedOn w:val="DefaultParagraphFont"/>
    <w:link w:val="BalloonText"/>
    <w:uiPriority w:val="99"/>
    <w:semiHidden/>
    <w:rsid w:val="009A51A2"/>
    <w:rPr>
      <w:rFonts w:ascii="Tahoma" w:eastAsia="Times New Roman" w:hAnsi="Tahoma" w:cs="Tahoma"/>
      <w:sz w:val="16"/>
      <w:szCs w:val="16"/>
      <w:lang w:val="en-GB" w:bidi="en-US"/>
    </w:rPr>
  </w:style>
  <w:style w:type="paragraph" w:styleId="TOCHeading">
    <w:name w:val="TOC Heading"/>
    <w:basedOn w:val="Heading1"/>
    <w:next w:val="Normal"/>
    <w:uiPriority w:val="39"/>
    <w:unhideWhenUsed/>
    <w:qFormat/>
    <w:rsid w:val="009A51A2"/>
    <w:pPr>
      <w:outlineLvl w:val="9"/>
    </w:pPr>
  </w:style>
  <w:style w:type="paragraph" w:customStyle="1" w:styleId="FSBullet">
    <w:name w:val="FS Bullet"/>
    <w:basedOn w:val="Normal"/>
    <w:next w:val="Normal"/>
    <w:link w:val="FSBulletChar"/>
    <w:rsid w:val="009A51A2"/>
    <w:pPr>
      <w:numPr>
        <w:numId w:val="14"/>
      </w:numPr>
      <w:ind w:left="567" w:hanging="567"/>
    </w:pPr>
    <w:rPr>
      <w:rFonts w:cs="Arial"/>
    </w:rPr>
  </w:style>
  <w:style w:type="character" w:customStyle="1" w:styleId="FSBulletChar">
    <w:name w:val="FS Bullet Char"/>
    <w:basedOn w:val="DefaultParagraphFont"/>
    <w:link w:val="FSBullet"/>
    <w:rsid w:val="009A51A2"/>
    <w:rPr>
      <w:rFonts w:eastAsia="Times New Roman"/>
      <w:szCs w:val="24"/>
      <w:lang w:val="en-GB" w:bidi="en-US"/>
    </w:rPr>
  </w:style>
  <w:style w:type="table" w:styleId="TableGrid">
    <w:name w:val="Table Grid"/>
    <w:basedOn w:val="TableNormal"/>
    <w:rsid w:val="009A51A2"/>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STableTitle">
    <w:name w:val="FS Table Title"/>
    <w:basedOn w:val="Normal"/>
    <w:next w:val="Normal"/>
    <w:qFormat/>
    <w:rsid w:val="00180A32"/>
    <w:pPr>
      <w:spacing w:after="120"/>
    </w:pPr>
    <w:rPr>
      <w:rFonts w:cs="Arial"/>
      <w:b/>
    </w:rPr>
  </w:style>
  <w:style w:type="paragraph" w:customStyle="1" w:styleId="FSTableHeading">
    <w:name w:val="FS Table Heading"/>
    <w:basedOn w:val="Normal"/>
    <w:qFormat/>
    <w:rsid w:val="009A51A2"/>
    <w:pPr>
      <w:jc w:val="center"/>
    </w:pPr>
    <w:rPr>
      <w:rFonts w:ascii="Arial Bold" w:hAnsi="Arial Bold" w:cs="Arial"/>
      <w:b/>
      <w:sz w:val="20"/>
      <w:szCs w:val="20"/>
    </w:rPr>
  </w:style>
  <w:style w:type="paragraph" w:customStyle="1" w:styleId="FSTableText">
    <w:name w:val="FS Table Text"/>
    <w:basedOn w:val="Normal"/>
    <w:qFormat/>
    <w:rsid w:val="009A51A2"/>
    <w:rPr>
      <w:rFonts w:cs="Arial"/>
      <w:sz w:val="20"/>
      <w:szCs w:val="20"/>
    </w:rPr>
  </w:style>
  <w:style w:type="paragraph" w:customStyle="1" w:styleId="FSFigureTitle">
    <w:name w:val="FS Figure Title"/>
    <w:basedOn w:val="Normal"/>
    <w:next w:val="Normal"/>
    <w:qFormat/>
    <w:rsid w:val="009A51A2"/>
    <w:rPr>
      <w:rFonts w:cs="Arial"/>
      <w:i/>
    </w:rPr>
  </w:style>
  <w:style w:type="character" w:styleId="CommentReference">
    <w:name w:val="annotation reference"/>
    <w:basedOn w:val="DefaultParagraphFont"/>
    <w:uiPriority w:val="99"/>
    <w:rsid w:val="009A51A2"/>
    <w:rPr>
      <w:sz w:val="16"/>
      <w:szCs w:val="16"/>
    </w:rPr>
  </w:style>
  <w:style w:type="paragraph" w:styleId="CommentText">
    <w:name w:val="annotation text"/>
    <w:basedOn w:val="Normal"/>
    <w:link w:val="CommentTextChar"/>
    <w:uiPriority w:val="99"/>
    <w:rsid w:val="009A51A2"/>
    <w:rPr>
      <w:sz w:val="20"/>
      <w:szCs w:val="20"/>
    </w:rPr>
  </w:style>
  <w:style w:type="character" w:customStyle="1" w:styleId="CommentTextChar">
    <w:name w:val="Comment Text Char"/>
    <w:basedOn w:val="DefaultParagraphFont"/>
    <w:link w:val="CommentText"/>
    <w:uiPriority w:val="99"/>
    <w:rsid w:val="009A51A2"/>
    <w:rPr>
      <w:rFonts w:eastAsia="Times New Roman" w:cs="Times New Roman"/>
      <w:sz w:val="20"/>
      <w:szCs w:val="20"/>
      <w:lang w:val="en-GB" w:bidi="en-US"/>
    </w:rPr>
  </w:style>
  <w:style w:type="paragraph" w:styleId="CommentSubject">
    <w:name w:val="annotation subject"/>
    <w:basedOn w:val="CommentText"/>
    <w:next w:val="CommentText"/>
    <w:link w:val="CommentSubjectChar"/>
    <w:uiPriority w:val="99"/>
    <w:rsid w:val="009A51A2"/>
    <w:rPr>
      <w:b/>
      <w:bCs/>
    </w:rPr>
  </w:style>
  <w:style w:type="character" w:customStyle="1" w:styleId="CommentSubjectChar">
    <w:name w:val="Comment Subject Char"/>
    <w:basedOn w:val="CommentTextChar"/>
    <w:link w:val="CommentSubject"/>
    <w:uiPriority w:val="99"/>
    <w:rsid w:val="009A51A2"/>
    <w:rPr>
      <w:rFonts w:eastAsia="Times New Roman" w:cs="Times New Roman"/>
      <w:b/>
      <w:bCs/>
      <w:sz w:val="20"/>
      <w:szCs w:val="20"/>
      <w:lang w:val="en-GB" w:bidi="en-US"/>
    </w:rPr>
  </w:style>
  <w:style w:type="paragraph" w:styleId="DocumentMap">
    <w:name w:val="Document Map"/>
    <w:basedOn w:val="Normal"/>
    <w:link w:val="DocumentMapChar"/>
    <w:rsid w:val="009A51A2"/>
    <w:rPr>
      <w:rFonts w:ascii="Tahoma" w:hAnsi="Tahoma" w:cs="Tahoma"/>
      <w:sz w:val="16"/>
      <w:szCs w:val="16"/>
    </w:rPr>
  </w:style>
  <w:style w:type="character" w:customStyle="1" w:styleId="DocumentMapChar">
    <w:name w:val="Document Map Char"/>
    <w:basedOn w:val="DefaultParagraphFont"/>
    <w:link w:val="DocumentMap"/>
    <w:rsid w:val="009A51A2"/>
    <w:rPr>
      <w:rFonts w:ascii="Tahoma" w:eastAsia="Times New Roman" w:hAnsi="Tahoma" w:cs="Tahoma"/>
      <w:sz w:val="16"/>
      <w:szCs w:val="16"/>
      <w:lang w:val="en-GB" w:bidi="en-US"/>
    </w:rPr>
  </w:style>
  <w:style w:type="table" w:styleId="MediumShading1-Accent3">
    <w:name w:val="Medium Shading 1 Accent 3"/>
    <w:basedOn w:val="TableNormal"/>
    <w:uiPriority w:val="63"/>
    <w:rsid w:val="009A51A2"/>
    <w:rPr>
      <w:rFonts w:ascii="Calibri" w:eastAsia="Times New Roman" w:hAnsi="Calibri" w:cs="Times New Roman"/>
      <w:sz w:val="20"/>
      <w:szCs w:val="20"/>
      <w:lang w:val="en-GB" w:eastAsia="en-GB"/>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ableClassic4">
    <w:name w:val="Table Classic 4"/>
    <w:basedOn w:val="TableNormal"/>
    <w:rsid w:val="009A51A2"/>
    <w:pPr>
      <w:widowControl w:val="0"/>
    </w:pPr>
    <w:rPr>
      <w:rFonts w:ascii="Calibri" w:eastAsia="Times New Roman" w:hAnsi="Calibri" w:cs="Times New Roman"/>
      <w:sz w:val="20"/>
      <w:szCs w:val="20"/>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9A51A2"/>
    <w:rPr>
      <w:color w:val="808080"/>
    </w:rPr>
  </w:style>
  <w:style w:type="paragraph" w:customStyle="1" w:styleId="Default">
    <w:name w:val="Default"/>
    <w:rsid w:val="009A51A2"/>
    <w:pPr>
      <w:autoSpaceDE w:val="0"/>
      <w:autoSpaceDN w:val="0"/>
      <w:adjustRightInd w:val="0"/>
    </w:pPr>
    <w:rPr>
      <w:color w:val="000000"/>
      <w:sz w:val="24"/>
      <w:szCs w:val="24"/>
      <w:lang w:val="en-GB"/>
    </w:rPr>
  </w:style>
  <w:style w:type="paragraph" w:customStyle="1" w:styleId="TableFootnote">
    <w:name w:val="TableFootnote"/>
    <w:basedOn w:val="Normal"/>
    <w:rsid w:val="009A51A2"/>
    <w:pPr>
      <w:spacing w:before="120" w:after="120"/>
    </w:pPr>
    <w:rPr>
      <w:rFonts w:ascii="Times New Roman" w:hAnsi="Times New Roman"/>
      <w:snapToGrid w:val="0"/>
      <w:sz w:val="20"/>
      <w:szCs w:val="20"/>
      <w:lang w:eastAsia="zh-CN" w:bidi="ar-SA"/>
    </w:rPr>
  </w:style>
  <w:style w:type="paragraph" w:styleId="Caption">
    <w:name w:val="caption"/>
    <w:basedOn w:val="Normal"/>
    <w:next w:val="Normal"/>
    <w:uiPriority w:val="35"/>
    <w:unhideWhenUsed/>
    <w:qFormat/>
    <w:rsid w:val="006B2116"/>
    <w:pPr>
      <w:spacing w:after="200"/>
    </w:pPr>
    <w:rPr>
      <w:b/>
      <w:bCs/>
      <w:color w:val="4F81BD" w:themeColor="accent1"/>
      <w:sz w:val="18"/>
      <w:szCs w:val="18"/>
    </w:rPr>
  </w:style>
  <w:style w:type="paragraph" w:styleId="HTMLPreformatted">
    <w:name w:val="HTML Preformatted"/>
    <w:basedOn w:val="Normal"/>
    <w:link w:val="HTMLPreformattedChar"/>
    <w:uiPriority w:val="99"/>
    <w:semiHidden/>
    <w:unhideWhenUsed/>
    <w:rsid w:val="00574C9A"/>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574C9A"/>
    <w:rPr>
      <w:rFonts w:ascii="Consolas" w:eastAsia="Times New Roman" w:hAnsi="Consolas" w:cs="Consolas"/>
      <w:sz w:val="20"/>
      <w:szCs w:val="20"/>
      <w:lang w:val="en-GB" w:bidi="en-US"/>
    </w:rPr>
  </w:style>
  <w:style w:type="table" w:customStyle="1" w:styleId="TableGrid1">
    <w:name w:val="Table Grid1"/>
    <w:basedOn w:val="TableNormal"/>
    <w:next w:val="TableGrid"/>
    <w:rsid w:val="005D01C3"/>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455F54"/>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rsid w:val="000927AF"/>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rsid w:val="000E2C1F"/>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rsid w:val="00946972"/>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39"/>
    <w:rsid w:val="007B0AA1"/>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DD22E6"/>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39"/>
    <w:rsid w:val="007154FB"/>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8F10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352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1352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352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8101A"/>
  </w:style>
  <w:style w:type="table" w:customStyle="1" w:styleId="TableGrid9">
    <w:name w:val="Table Grid9"/>
    <w:basedOn w:val="TableNormal"/>
    <w:next w:val="TableGrid"/>
    <w:uiPriority w:val="59"/>
    <w:rsid w:val="00F81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Default"/>
    <w:next w:val="Default"/>
    <w:uiPriority w:val="99"/>
    <w:rsid w:val="00F8101A"/>
    <w:pPr>
      <w:spacing w:line="191" w:lineRule="atLeast"/>
    </w:pPr>
    <w:rPr>
      <w:rFonts w:ascii="Adobe Garamond Pro" w:hAnsi="Adobe Garamond Pro"/>
      <w:color w:val="auto"/>
    </w:rPr>
  </w:style>
  <w:style w:type="table" w:customStyle="1" w:styleId="TableGrid13">
    <w:name w:val="Table Grid13"/>
    <w:basedOn w:val="TableNormal"/>
    <w:next w:val="TableGrid"/>
    <w:uiPriority w:val="59"/>
    <w:rsid w:val="00F81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4">
    <w:name w:val="Pa24"/>
    <w:basedOn w:val="Default"/>
    <w:next w:val="Default"/>
    <w:uiPriority w:val="99"/>
    <w:rsid w:val="00F8101A"/>
    <w:pPr>
      <w:spacing w:line="131" w:lineRule="atLeast"/>
    </w:pPr>
    <w:rPr>
      <w:rFonts w:ascii="Univers LT Std 57 Cn" w:hAnsi="Univers LT Std 57 Cn"/>
      <w:color w:val="auto"/>
    </w:rPr>
  </w:style>
  <w:style w:type="character" w:customStyle="1" w:styleId="element-citation">
    <w:name w:val="element-citation"/>
    <w:basedOn w:val="DefaultParagraphFont"/>
    <w:rsid w:val="00F8101A"/>
  </w:style>
  <w:style w:type="character" w:customStyle="1" w:styleId="ref-journal">
    <w:name w:val="ref-journal"/>
    <w:basedOn w:val="DefaultParagraphFont"/>
    <w:rsid w:val="00F8101A"/>
  </w:style>
  <w:style w:type="character" w:customStyle="1" w:styleId="ref-vol">
    <w:name w:val="ref-vol"/>
    <w:basedOn w:val="DefaultParagraphFont"/>
    <w:rsid w:val="00F8101A"/>
  </w:style>
  <w:style w:type="character" w:styleId="Emphasis">
    <w:name w:val="Emphasis"/>
    <w:basedOn w:val="DefaultParagraphFont"/>
    <w:uiPriority w:val="20"/>
    <w:qFormat/>
    <w:rsid w:val="00F8101A"/>
    <w:rPr>
      <w:i/>
      <w:iCs/>
    </w:rPr>
  </w:style>
  <w:style w:type="character" w:customStyle="1" w:styleId="harvardtitle">
    <w:name w:val="harvard_title"/>
    <w:basedOn w:val="DefaultParagraphFont"/>
    <w:rsid w:val="00F8101A"/>
  </w:style>
  <w:style w:type="paragraph" w:customStyle="1" w:styleId="Pa20">
    <w:name w:val="Pa20"/>
    <w:basedOn w:val="Default"/>
    <w:next w:val="Default"/>
    <w:uiPriority w:val="99"/>
    <w:rsid w:val="00F8101A"/>
    <w:pPr>
      <w:spacing w:line="141" w:lineRule="atLeast"/>
    </w:pPr>
    <w:rPr>
      <w:rFonts w:ascii="Univers LT Std 57 Cn" w:hAnsi="Univers LT Std 57 Cn"/>
      <w:color w:val="auto"/>
    </w:rPr>
  </w:style>
  <w:style w:type="paragraph" w:customStyle="1" w:styleId="Pa12">
    <w:name w:val="Pa12"/>
    <w:basedOn w:val="Default"/>
    <w:next w:val="Default"/>
    <w:uiPriority w:val="99"/>
    <w:rsid w:val="00F8101A"/>
    <w:pPr>
      <w:spacing w:line="161" w:lineRule="atLeast"/>
    </w:pPr>
    <w:rPr>
      <w:rFonts w:ascii="Univers LT Std 47 Cn Lt" w:hAnsi="Univers LT Std 47 Cn Lt"/>
      <w:color w:val="auto"/>
    </w:rPr>
  </w:style>
  <w:style w:type="character" w:customStyle="1" w:styleId="A7">
    <w:name w:val="A7"/>
    <w:uiPriority w:val="99"/>
    <w:rsid w:val="00F8101A"/>
    <w:rPr>
      <w:rFonts w:cs="Adobe Garamond Pro"/>
      <w:color w:val="000000"/>
      <w:sz w:val="14"/>
      <w:szCs w:val="14"/>
    </w:rPr>
  </w:style>
  <w:style w:type="numbering" w:customStyle="1" w:styleId="NoList2">
    <w:name w:val="No List2"/>
    <w:next w:val="NoList"/>
    <w:uiPriority w:val="99"/>
    <w:semiHidden/>
    <w:unhideWhenUsed/>
    <w:rsid w:val="00F8101A"/>
  </w:style>
  <w:style w:type="table" w:customStyle="1" w:styleId="TableGrid10">
    <w:name w:val="Table Grid10"/>
    <w:basedOn w:val="TableNormal"/>
    <w:next w:val="TableGrid"/>
    <w:uiPriority w:val="59"/>
    <w:rsid w:val="00F81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F81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atus">
    <w:name w:val="status"/>
    <w:basedOn w:val="DefaultParagraphFont"/>
    <w:rsid w:val="00F8101A"/>
  </w:style>
  <w:style w:type="character" w:customStyle="1" w:styleId="red">
    <w:name w:val="red"/>
    <w:basedOn w:val="DefaultParagraphFont"/>
    <w:rsid w:val="00F8101A"/>
  </w:style>
  <w:style w:type="paragraph" w:customStyle="1" w:styleId="title1">
    <w:name w:val="title1"/>
    <w:basedOn w:val="Normal"/>
    <w:rsid w:val="00F8101A"/>
    <w:pPr>
      <w:widowControl/>
    </w:pPr>
    <w:rPr>
      <w:rFonts w:ascii="Times New Roman" w:hAnsi="Times New Roman"/>
      <w:sz w:val="27"/>
      <w:szCs w:val="27"/>
      <w:lang w:eastAsia="en-GB" w:bidi="ar-SA"/>
    </w:rPr>
  </w:style>
  <w:style w:type="paragraph" w:customStyle="1" w:styleId="desc2">
    <w:name w:val="desc2"/>
    <w:basedOn w:val="Normal"/>
    <w:rsid w:val="00F8101A"/>
    <w:pPr>
      <w:widowControl/>
    </w:pPr>
    <w:rPr>
      <w:rFonts w:ascii="Times New Roman" w:hAnsi="Times New Roman"/>
      <w:sz w:val="26"/>
      <w:szCs w:val="26"/>
      <w:lang w:eastAsia="en-GB" w:bidi="ar-SA"/>
    </w:rPr>
  </w:style>
  <w:style w:type="paragraph" w:customStyle="1" w:styleId="details1">
    <w:name w:val="details1"/>
    <w:basedOn w:val="Normal"/>
    <w:rsid w:val="00F8101A"/>
    <w:pPr>
      <w:widowControl/>
    </w:pPr>
    <w:rPr>
      <w:rFonts w:ascii="Times New Roman" w:hAnsi="Times New Roman"/>
      <w:szCs w:val="22"/>
      <w:lang w:eastAsia="en-GB" w:bidi="ar-SA"/>
    </w:rPr>
  </w:style>
  <w:style w:type="character" w:customStyle="1" w:styleId="jrnl">
    <w:name w:val="jrnl"/>
    <w:basedOn w:val="DefaultParagraphFont"/>
    <w:rsid w:val="00F8101A"/>
  </w:style>
  <w:style w:type="character" w:customStyle="1" w:styleId="highlight2">
    <w:name w:val="highlight2"/>
    <w:basedOn w:val="DefaultParagraphFont"/>
    <w:rsid w:val="00F8101A"/>
  </w:style>
  <w:style w:type="character" w:styleId="HTMLCite">
    <w:name w:val="HTML Cite"/>
    <w:basedOn w:val="DefaultParagraphFont"/>
    <w:uiPriority w:val="99"/>
    <w:semiHidden/>
    <w:unhideWhenUsed/>
    <w:rsid w:val="00F8101A"/>
    <w:rPr>
      <w:i/>
      <w:iCs/>
    </w:rPr>
  </w:style>
  <w:style w:type="paragraph" w:styleId="Revision">
    <w:name w:val="Revision"/>
    <w:hidden/>
    <w:uiPriority w:val="99"/>
    <w:semiHidden/>
    <w:rsid w:val="00512F95"/>
    <w:rPr>
      <w:rFonts w:eastAsia="Times New Roman" w:cs="Times New Roman"/>
      <w:szCs w:val="24"/>
      <w:lang w:val="en-GB" w:bidi="en-US"/>
    </w:rPr>
  </w:style>
  <w:style w:type="paragraph" w:customStyle="1" w:styleId="NoParagraphStyle">
    <w:name w:val="[No Paragraph Style]"/>
    <w:rsid w:val="000830C5"/>
    <w:pPr>
      <w:widowControl w:val="0"/>
      <w:autoSpaceDE w:val="0"/>
      <w:autoSpaceDN w:val="0"/>
      <w:adjustRightInd w:val="0"/>
      <w:spacing w:line="288" w:lineRule="auto"/>
      <w:textAlignment w:val="center"/>
    </w:pPr>
    <w:rPr>
      <w:rFonts w:ascii="HelveticaNeue-Bold" w:hAnsi="HelveticaNeue-Bold" w:cs="Times New Roman"/>
      <w:color w:val="000000"/>
      <w:sz w:val="24"/>
      <w:szCs w:val="24"/>
      <w:lang w:val="en-GB"/>
    </w:rPr>
  </w:style>
  <w:style w:type="paragraph" w:customStyle="1" w:styleId="TableBodyText">
    <w:name w:val="Table Body Text"/>
    <w:basedOn w:val="Normal"/>
    <w:uiPriority w:val="99"/>
    <w:rsid w:val="000830C5"/>
    <w:pPr>
      <w:suppressAutoHyphens/>
      <w:autoSpaceDE w:val="0"/>
      <w:autoSpaceDN w:val="0"/>
      <w:adjustRightInd w:val="0"/>
      <w:spacing w:after="28" w:line="200" w:lineRule="atLeast"/>
      <w:textAlignment w:val="center"/>
    </w:pPr>
    <w:rPr>
      <w:rFonts w:ascii="HelveticaNeue-Light" w:eastAsiaTheme="minorHAnsi" w:hAnsi="HelveticaNeue-Light" w:cs="HelveticaNeue-Light"/>
      <w:color w:val="000000"/>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756737">
      <w:bodyDiv w:val="1"/>
      <w:marLeft w:val="0"/>
      <w:marRight w:val="0"/>
      <w:marTop w:val="0"/>
      <w:marBottom w:val="0"/>
      <w:divBdr>
        <w:top w:val="none" w:sz="0" w:space="0" w:color="auto"/>
        <w:left w:val="none" w:sz="0" w:space="0" w:color="auto"/>
        <w:bottom w:val="none" w:sz="0" w:space="0" w:color="auto"/>
        <w:right w:val="none" w:sz="0" w:space="0" w:color="auto"/>
      </w:divBdr>
    </w:div>
    <w:div w:id="144708092">
      <w:bodyDiv w:val="1"/>
      <w:marLeft w:val="0"/>
      <w:marRight w:val="0"/>
      <w:marTop w:val="0"/>
      <w:marBottom w:val="0"/>
      <w:divBdr>
        <w:top w:val="none" w:sz="0" w:space="0" w:color="auto"/>
        <w:left w:val="none" w:sz="0" w:space="0" w:color="auto"/>
        <w:bottom w:val="none" w:sz="0" w:space="0" w:color="auto"/>
        <w:right w:val="none" w:sz="0" w:space="0" w:color="auto"/>
      </w:divBdr>
      <w:divsChild>
        <w:div w:id="1458570267">
          <w:marLeft w:val="0"/>
          <w:marRight w:val="1"/>
          <w:marTop w:val="0"/>
          <w:marBottom w:val="0"/>
          <w:divBdr>
            <w:top w:val="none" w:sz="0" w:space="0" w:color="auto"/>
            <w:left w:val="none" w:sz="0" w:space="0" w:color="auto"/>
            <w:bottom w:val="none" w:sz="0" w:space="0" w:color="auto"/>
            <w:right w:val="none" w:sz="0" w:space="0" w:color="auto"/>
          </w:divBdr>
          <w:divsChild>
            <w:div w:id="188684849">
              <w:marLeft w:val="0"/>
              <w:marRight w:val="0"/>
              <w:marTop w:val="0"/>
              <w:marBottom w:val="0"/>
              <w:divBdr>
                <w:top w:val="none" w:sz="0" w:space="0" w:color="auto"/>
                <w:left w:val="none" w:sz="0" w:space="0" w:color="auto"/>
                <w:bottom w:val="none" w:sz="0" w:space="0" w:color="auto"/>
                <w:right w:val="none" w:sz="0" w:space="0" w:color="auto"/>
              </w:divBdr>
              <w:divsChild>
                <w:div w:id="801847337">
                  <w:marLeft w:val="0"/>
                  <w:marRight w:val="1"/>
                  <w:marTop w:val="0"/>
                  <w:marBottom w:val="0"/>
                  <w:divBdr>
                    <w:top w:val="none" w:sz="0" w:space="0" w:color="auto"/>
                    <w:left w:val="none" w:sz="0" w:space="0" w:color="auto"/>
                    <w:bottom w:val="none" w:sz="0" w:space="0" w:color="auto"/>
                    <w:right w:val="none" w:sz="0" w:space="0" w:color="auto"/>
                  </w:divBdr>
                  <w:divsChild>
                    <w:div w:id="1622029534">
                      <w:marLeft w:val="0"/>
                      <w:marRight w:val="0"/>
                      <w:marTop w:val="0"/>
                      <w:marBottom w:val="0"/>
                      <w:divBdr>
                        <w:top w:val="none" w:sz="0" w:space="0" w:color="auto"/>
                        <w:left w:val="none" w:sz="0" w:space="0" w:color="auto"/>
                        <w:bottom w:val="none" w:sz="0" w:space="0" w:color="auto"/>
                        <w:right w:val="none" w:sz="0" w:space="0" w:color="auto"/>
                      </w:divBdr>
                      <w:divsChild>
                        <w:div w:id="1161625752">
                          <w:marLeft w:val="0"/>
                          <w:marRight w:val="0"/>
                          <w:marTop w:val="0"/>
                          <w:marBottom w:val="0"/>
                          <w:divBdr>
                            <w:top w:val="none" w:sz="0" w:space="0" w:color="auto"/>
                            <w:left w:val="none" w:sz="0" w:space="0" w:color="auto"/>
                            <w:bottom w:val="none" w:sz="0" w:space="0" w:color="auto"/>
                            <w:right w:val="none" w:sz="0" w:space="0" w:color="auto"/>
                          </w:divBdr>
                          <w:divsChild>
                            <w:div w:id="953175371">
                              <w:marLeft w:val="0"/>
                              <w:marRight w:val="0"/>
                              <w:marTop w:val="120"/>
                              <w:marBottom w:val="360"/>
                              <w:divBdr>
                                <w:top w:val="none" w:sz="0" w:space="0" w:color="auto"/>
                                <w:left w:val="none" w:sz="0" w:space="0" w:color="auto"/>
                                <w:bottom w:val="none" w:sz="0" w:space="0" w:color="auto"/>
                                <w:right w:val="none" w:sz="0" w:space="0" w:color="auto"/>
                              </w:divBdr>
                              <w:divsChild>
                                <w:div w:id="746194435">
                                  <w:marLeft w:val="420"/>
                                  <w:marRight w:val="0"/>
                                  <w:marTop w:val="0"/>
                                  <w:marBottom w:val="0"/>
                                  <w:divBdr>
                                    <w:top w:val="none" w:sz="0" w:space="0" w:color="auto"/>
                                    <w:left w:val="none" w:sz="0" w:space="0" w:color="auto"/>
                                    <w:bottom w:val="none" w:sz="0" w:space="0" w:color="auto"/>
                                    <w:right w:val="none" w:sz="0" w:space="0" w:color="auto"/>
                                  </w:divBdr>
                                  <w:divsChild>
                                    <w:div w:id="128550003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216273">
      <w:bodyDiv w:val="1"/>
      <w:marLeft w:val="0"/>
      <w:marRight w:val="0"/>
      <w:marTop w:val="0"/>
      <w:marBottom w:val="0"/>
      <w:divBdr>
        <w:top w:val="none" w:sz="0" w:space="0" w:color="auto"/>
        <w:left w:val="none" w:sz="0" w:space="0" w:color="auto"/>
        <w:bottom w:val="none" w:sz="0" w:space="0" w:color="auto"/>
        <w:right w:val="none" w:sz="0" w:space="0" w:color="auto"/>
      </w:divBdr>
      <w:divsChild>
        <w:div w:id="38016692">
          <w:marLeft w:val="0"/>
          <w:marRight w:val="1"/>
          <w:marTop w:val="0"/>
          <w:marBottom w:val="0"/>
          <w:divBdr>
            <w:top w:val="none" w:sz="0" w:space="0" w:color="auto"/>
            <w:left w:val="none" w:sz="0" w:space="0" w:color="auto"/>
            <w:bottom w:val="none" w:sz="0" w:space="0" w:color="auto"/>
            <w:right w:val="none" w:sz="0" w:space="0" w:color="auto"/>
          </w:divBdr>
          <w:divsChild>
            <w:div w:id="1117530295">
              <w:marLeft w:val="0"/>
              <w:marRight w:val="0"/>
              <w:marTop w:val="0"/>
              <w:marBottom w:val="0"/>
              <w:divBdr>
                <w:top w:val="none" w:sz="0" w:space="0" w:color="auto"/>
                <w:left w:val="none" w:sz="0" w:space="0" w:color="auto"/>
                <w:bottom w:val="none" w:sz="0" w:space="0" w:color="auto"/>
                <w:right w:val="none" w:sz="0" w:space="0" w:color="auto"/>
              </w:divBdr>
              <w:divsChild>
                <w:div w:id="2091073068">
                  <w:marLeft w:val="0"/>
                  <w:marRight w:val="1"/>
                  <w:marTop w:val="0"/>
                  <w:marBottom w:val="0"/>
                  <w:divBdr>
                    <w:top w:val="none" w:sz="0" w:space="0" w:color="auto"/>
                    <w:left w:val="none" w:sz="0" w:space="0" w:color="auto"/>
                    <w:bottom w:val="none" w:sz="0" w:space="0" w:color="auto"/>
                    <w:right w:val="none" w:sz="0" w:space="0" w:color="auto"/>
                  </w:divBdr>
                  <w:divsChild>
                    <w:div w:id="1484082545">
                      <w:marLeft w:val="0"/>
                      <w:marRight w:val="0"/>
                      <w:marTop w:val="0"/>
                      <w:marBottom w:val="0"/>
                      <w:divBdr>
                        <w:top w:val="none" w:sz="0" w:space="0" w:color="auto"/>
                        <w:left w:val="none" w:sz="0" w:space="0" w:color="auto"/>
                        <w:bottom w:val="none" w:sz="0" w:space="0" w:color="auto"/>
                        <w:right w:val="none" w:sz="0" w:space="0" w:color="auto"/>
                      </w:divBdr>
                      <w:divsChild>
                        <w:div w:id="590436791">
                          <w:marLeft w:val="0"/>
                          <w:marRight w:val="0"/>
                          <w:marTop w:val="0"/>
                          <w:marBottom w:val="0"/>
                          <w:divBdr>
                            <w:top w:val="none" w:sz="0" w:space="0" w:color="auto"/>
                            <w:left w:val="none" w:sz="0" w:space="0" w:color="auto"/>
                            <w:bottom w:val="none" w:sz="0" w:space="0" w:color="auto"/>
                            <w:right w:val="none" w:sz="0" w:space="0" w:color="auto"/>
                          </w:divBdr>
                          <w:divsChild>
                            <w:div w:id="2118064577">
                              <w:marLeft w:val="0"/>
                              <w:marRight w:val="0"/>
                              <w:marTop w:val="120"/>
                              <w:marBottom w:val="360"/>
                              <w:divBdr>
                                <w:top w:val="none" w:sz="0" w:space="0" w:color="auto"/>
                                <w:left w:val="none" w:sz="0" w:space="0" w:color="auto"/>
                                <w:bottom w:val="none" w:sz="0" w:space="0" w:color="auto"/>
                                <w:right w:val="none" w:sz="0" w:space="0" w:color="auto"/>
                              </w:divBdr>
                              <w:divsChild>
                                <w:div w:id="1245337186">
                                  <w:marLeft w:val="420"/>
                                  <w:marRight w:val="0"/>
                                  <w:marTop w:val="0"/>
                                  <w:marBottom w:val="0"/>
                                  <w:divBdr>
                                    <w:top w:val="none" w:sz="0" w:space="0" w:color="auto"/>
                                    <w:left w:val="none" w:sz="0" w:space="0" w:color="auto"/>
                                    <w:bottom w:val="none" w:sz="0" w:space="0" w:color="auto"/>
                                    <w:right w:val="none" w:sz="0" w:space="0" w:color="auto"/>
                                  </w:divBdr>
                                  <w:divsChild>
                                    <w:div w:id="121138572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7201079">
      <w:bodyDiv w:val="1"/>
      <w:marLeft w:val="0"/>
      <w:marRight w:val="0"/>
      <w:marTop w:val="0"/>
      <w:marBottom w:val="0"/>
      <w:divBdr>
        <w:top w:val="none" w:sz="0" w:space="0" w:color="auto"/>
        <w:left w:val="none" w:sz="0" w:space="0" w:color="auto"/>
        <w:bottom w:val="none" w:sz="0" w:space="0" w:color="auto"/>
        <w:right w:val="none" w:sz="0" w:space="0" w:color="auto"/>
      </w:divBdr>
    </w:div>
    <w:div w:id="1115249468">
      <w:bodyDiv w:val="1"/>
      <w:marLeft w:val="0"/>
      <w:marRight w:val="0"/>
      <w:marTop w:val="0"/>
      <w:marBottom w:val="0"/>
      <w:divBdr>
        <w:top w:val="none" w:sz="0" w:space="0" w:color="auto"/>
        <w:left w:val="none" w:sz="0" w:space="0" w:color="auto"/>
        <w:bottom w:val="none" w:sz="0" w:space="0" w:color="auto"/>
        <w:right w:val="none" w:sz="0" w:space="0" w:color="auto"/>
      </w:divBdr>
      <w:divsChild>
        <w:div w:id="235172917">
          <w:marLeft w:val="0"/>
          <w:marRight w:val="1"/>
          <w:marTop w:val="0"/>
          <w:marBottom w:val="0"/>
          <w:divBdr>
            <w:top w:val="none" w:sz="0" w:space="0" w:color="auto"/>
            <w:left w:val="none" w:sz="0" w:space="0" w:color="auto"/>
            <w:bottom w:val="none" w:sz="0" w:space="0" w:color="auto"/>
            <w:right w:val="none" w:sz="0" w:space="0" w:color="auto"/>
          </w:divBdr>
          <w:divsChild>
            <w:div w:id="330379421">
              <w:marLeft w:val="0"/>
              <w:marRight w:val="0"/>
              <w:marTop w:val="0"/>
              <w:marBottom w:val="0"/>
              <w:divBdr>
                <w:top w:val="none" w:sz="0" w:space="0" w:color="auto"/>
                <w:left w:val="none" w:sz="0" w:space="0" w:color="auto"/>
                <w:bottom w:val="none" w:sz="0" w:space="0" w:color="auto"/>
                <w:right w:val="none" w:sz="0" w:space="0" w:color="auto"/>
              </w:divBdr>
              <w:divsChild>
                <w:div w:id="1892108740">
                  <w:marLeft w:val="0"/>
                  <w:marRight w:val="1"/>
                  <w:marTop w:val="0"/>
                  <w:marBottom w:val="0"/>
                  <w:divBdr>
                    <w:top w:val="none" w:sz="0" w:space="0" w:color="auto"/>
                    <w:left w:val="none" w:sz="0" w:space="0" w:color="auto"/>
                    <w:bottom w:val="none" w:sz="0" w:space="0" w:color="auto"/>
                    <w:right w:val="none" w:sz="0" w:space="0" w:color="auto"/>
                  </w:divBdr>
                  <w:divsChild>
                    <w:div w:id="817234874">
                      <w:marLeft w:val="0"/>
                      <w:marRight w:val="0"/>
                      <w:marTop w:val="0"/>
                      <w:marBottom w:val="0"/>
                      <w:divBdr>
                        <w:top w:val="none" w:sz="0" w:space="0" w:color="auto"/>
                        <w:left w:val="none" w:sz="0" w:space="0" w:color="auto"/>
                        <w:bottom w:val="none" w:sz="0" w:space="0" w:color="auto"/>
                        <w:right w:val="none" w:sz="0" w:space="0" w:color="auto"/>
                      </w:divBdr>
                      <w:divsChild>
                        <w:div w:id="1377849120">
                          <w:marLeft w:val="0"/>
                          <w:marRight w:val="0"/>
                          <w:marTop w:val="0"/>
                          <w:marBottom w:val="0"/>
                          <w:divBdr>
                            <w:top w:val="none" w:sz="0" w:space="0" w:color="auto"/>
                            <w:left w:val="none" w:sz="0" w:space="0" w:color="auto"/>
                            <w:bottom w:val="none" w:sz="0" w:space="0" w:color="auto"/>
                            <w:right w:val="none" w:sz="0" w:space="0" w:color="auto"/>
                          </w:divBdr>
                          <w:divsChild>
                            <w:div w:id="2072262955">
                              <w:marLeft w:val="0"/>
                              <w:marRight w:val="0"/>
                              <w:marTop w:val="120"/>
                              <w:marBottom w:val="360"/>
                              <w:divBdr>
                                <w:top w:val="none" w:sz="0" w:space="0" w:color="auto"/>
                                <w:left w:val="none" w:sz="0" w:space="0" w:color="auto"/>
                                <w:bottom w:val="none" w:sz="0" w:space="0" w:color="auto"/>
                                <w:right w:val="none" w:sz="0" w:space="0" w:color="auto"/>
                              </w:divBdr>
                              <w:divsChild>
                                <w:div w:id="912008855">
                                  <w:marLeft w:val="0"/>
                                  <w:marRight w:val="0"/>
                                  <w:marTop w:val="0"/>
                                  <w:marBottom w:val="0"/>
                                  <w:divBdr>
                                    <w:top w:val="none" w:sz="0" w:space="0" w:color="auto"/>
                                    <w:left w:val="none" w:sz="0" w:space="0" w:color="auto"/>
                                    <w:bottom w:val="none" w:sz="0" w:space="0" w:color="auto"/>
                                    <w:right w:val="none" w:sz="0" w:space="0" w:color="auto"/>
                                  </w:divBdr>
                                </w:div>
                                <w:div w:id="200235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3097906">
      <w:bodyDiv w:val="1"/>
      <w:marLeft w:val="0"/>
      <w:marRight w:val="0"/>
      <w:marTop w:val="0"/>
      <w:marBottom w:val="0"/>
      <w:divBdr>
        <w:top w:val="none" w:sz="0" w:space="0" w:color="auto"/>
        <w:left w:val="none" w:sz="0" w:space="0" w:color="auto"/>
        <w:bottom w:val="none" w:sz="0" w:space="0" w:color="auto"/>
        <w:right w:val="none" w:sz="0" w:space="0" w:color="auto"/>
      </w:divBdr>
    </w:div>
    <w:div w:id="1703245754">
      <w:bodyDiv w:val="1"/>
      <w:marLeft w:val="0"/>
      <w:marRight w:val="0"/>
      <w:marTop w:val="0"/>
      <w:marBottom w:val="0"/>
      <w:divBdr>
        <w:top w:val="none" w:sz="0" w:space="0" w:color="auto"/>
        <w:left w:val="none" w:sz="0" w:space="0" w:color="auto"/>
        <w:bottom w:val="none" w:sz="0" w:space="0" w:color="auto"/>
        <w:right w:val="none" w:sz="0" w:space="0" w:color="auto"/>
      </w:divBdr>
      <w:divsChild>
        <w:div w:id="1013069654">
          <w:marLeft w:val="0"/>
          <w:marRight w:val="1"/>
          <w:marTop w:val="0"/>
          <w:marBottom w:val="0"/>
          <w:divBdr>
            <w:top w:val="none" w:sz="0" w:space="0" w:color="auto"/>
            <w:left w:val="none" w:sz="0" w:space="0" w:color="auto"/>
            <w:bottom w:val="none" w:sz="0" w:space="0" w:color="auto"/>
            <w:right w:val="none" w:sz="0" w:space="0" w:color="auto"/>
          </w:divBdr>
          <w:divsChild>
            <w:div w:id="1516846603">
              <w:marLeft w:val="0"/>
              <w:marRight w:val="0"/>
              <w:marTop w:val="0"/>
              <w:marBottom w:val="0"/>
              <w:divBdr>
                <w:top w:val="none" w:sz="0" w:space="0" w:color="auto"/>
                <w:left w:val="none" w:sz="0" w:space="0" w:color="auto"/>
                <w:bottom w:val="none" w:sz="0" w:space="0" w:color="auto"/>
                <w:right w:val="none" w:sz="0" w:space="0" w:color="auto"/>
              </w:divBdr>
              <w:divsChild>
                <w:div w:id="165561561">
                  <w:marLeft w:val="0"/>
                  <w:marRight w:val="1"/>
                  <w:marTop w:val="0"/>
                  <w:marBottom w:val="0"/>
                  <w:divBdr>
                    <w:top w:val="none" w:sz="0" w:space="0" w:color="auto"/>
                    <w:left w:val="none" w:sz="0" w:space="0" w:color="auto"/>
                    <w:bottom w:val="none" w:sz="0" w:space="0" w:color="auto"/>
                    <w:right w:val="none" w:sz="0" w:space="0" w:color="auto"/>
                  </w:divBdr>
                  <w:divsChild>
                    <w:div w:id="1493791862">
                      <w:marLeft w:val="0"/>
                      <w:marRight w:val="0"/>
                      <w:marTop w:val="0"/>
                      <w:marBottom w:val="0"/>
                      <w:divBdr>
                        <w:top w:val="none" w:sz="0" w:space="0" w:color="auto"/>
                        <w:left w:val="none" w:sz="0" w:space="0" w:color="auto"/>
                        <w:bottom w:val="none" w:sz="0" w:space="0" w:color="auto"/>
                        <w:right w:val="none" w:sz="0" w:space="0" w:color="auto"/>
                      </w:divBdr>
                      <w:divsChild>
                        <w:div w:id="55320834">
                          <w:marLeft w:val="0"/>
                          <w:marRight w:val="0"/>
                          <w:marTop w:val="0"/>
                          <w:marBottom w:val="0"/>
                          <w:divBdr>
                            <w:top w:val="none" w:sz="0" w:space="0" w:color="auto"/>
                            <w:left w:val="none" w:sz="0" w:space="0" w:color="auto"/>
                            <w:bottom w:val="none" w:sz="0" w:space="0" w:color="auto"/>
                            <w:right w:val="none" w:sz="0" w:space="0" w:color="auto"/>
                          </w:divBdr>
                          <w:divsChild>
                            <w:div w:id="249235904">
                              <w:marLeft w:val="0"/>
                              <w:marRight w:val="0"/>
                              <w:marTop w:val="120"/>
                              <w:marBottom w:val="360"/>
                              <w:divBdr>
                                <w:top w:val="none" w:sz="0" w:space="0" w:color="auto"/>
                                <w:left w:val="none" w:sz="0" w:space="0" w:color="auto"/>
                                <w:bottom w:val="none" w:sz="0" w:space="0" w:color="auto"/>
                                <w:right w:val="none" w:sz="0" w:space="0" w:color="auto"/>
                              </w:divBdr>
                              <w:divsChild>
                                <w:div w:id="2047638517">
                                  <w:marLeft w:val="420"/>
                                  <w:marRight w:val="0"/>
                                  <w:marTop w:val="0"/>
                                  <w:marBottom w:val="0"/>
                                  <w:divBdr>
                                    <w:top w:val="none" w:sz="0" w:space="0" w:color="auto"/>
                                    <w:left w:val="none" w:sz="0" w:space="0" w:color="auto"/>
                                    <w:bottom w:val="none" w:sz="0" w:space="0" w:color="auto"/>
                                    <w:right w:val="none" w:sz="0" w:space="0" w:color="auto"/>
                                  </w:divBdr>
                                  <w:divsChild>
                                    <w:div w:id="106594940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9108221">
      <w:bodyDiv w:val="1"/>
      <w:marLeft w:val="0"/>
      <w:marRight w:val="0"/>
      <w:marTop w:val="0"/>
      <w:marBottom w:val="0"/>
      <w:divBdr>
        <w:top w:val="none" w:sz="0" w:space="0" w:color="auto"/>
        <w:left w:val="none" w:sz="0" w:space="0" w:color="auto"/>
        <w:bottom w:val="none" w:sz="0" w:space="0" w:color="auto"/>
        <w:right w:val="none" w:sz="0" w:space="0" w:color="auto"/>
      </w:divBdr>
      <w:divsChild>
        <w:div w:id="1088694721">
          <w:marLeft w:val="0"/>
          <w:marRight w:val="1"/>
          <w:marTop w:val="0"/>
          <w:marBottom w:val="0"/>
          <w:divBdr>
            <w:top w:val="none" w:sz="0" w:space="0" w:color="auto"/>
            <w:left w:val="none" w:sz="0" w:space="0" w:color="auto"/>
            <w:bottom w:val="none" w:sz="0" w:space="0" w:color="auto"/>
            <w:right w:val="none" w:sz="0" w:space="0" w:color="auto"/>
          </w:divBdr>
          <w:divsChild>
            <w:div w:id="33820261">
              <w:marLeft w:val="0"/>
              <w:marRight w:val="0"/>
              <w:marTop w:val="0"/>
              <w:marBottom w:val="0"/>
              <w:divBdr>
                <w:top w:val="none" w:sz="0" w:space="0" w:color="auto"/>
                <w:left w:val="none" w:sz="0" w:space="0" w:color="auto"/>
                <w:bottom w:val="none" w:sz="0" w:space="0" w:color="auto"/>
                <w:right w:val="none" w:sz="0" w:space="0" w:color="auto"/>
              </w:divBdr>
              <w:divsChild>
                <w:div w:id="708844579">
                  <w:marLeft w:val="0"/>
                  <w:marRight w:val="1"/>
                  <w:marTop w:val="0"/>
                  <w:marBottom w:val="0"/>
                  <w:divBdr>
                    <w:top w:val="none" w:sz="0" w:space="0" w:color="auto"/>
                    <w:left w:val="none" w:sz="0" w:space="0" w:color="auto"/>
                    <w:bottom w:val="none" w:sz="0" w:space="0" w:color="auto"/>
                    <w:right w:val="none" w:sz="0" w:space="0" w:color="auto"/>
                  </w:divBdr>
                  <w:divsChild>
                    <w:div w:id="198904954">
                      <w:marLeft w:val="0"/>
                      <w:marRight w:val="0"/>
                      <w:marTop w:val="0"/>
                      <w:marBottom w:val="0"/>
                      <w:divBdr>
                        <w:top w:val="none" w:sz="0" w:space="0" w:color="auto"/>
                        <w:left w:val="none" w:sz="0" w:space="0" w:color="auto"/>
                        <w:bottom w:val="none" w:sz="0" w:space="0" w:color="auto"/>
                        <w:right w:val="none" w:sz="0" w:space="0" w:color="auto"/>
                      </w:divBdr>
                      <w:divsChild>
                        <w:div w:id="1440372332">
                          <w:marLeft w:val="0"/>
                          <w:marRight w:val="0"/>
                          <w:marTop w:val="0"/>
                          <w:marBottom w:val="0"/>
                          <w:divBdr>
                            <w:top w:val="none" w:sz="0" w:space="0" w:color="auto"/>
                            <w:left w:val="none" w:sz="0" w:space="0" w:color="auto"/>
                            <w:bottom w:val="none" w:sz="0" w:space="0" w:color="auto"/>
                            <w:right w:val="none" w:sz="0" w:space="0" w:color="auto"/>
                          </w:divBdr>
                          <w:divsChild>
                            <w:div w:id="1014772458">
                              <w:marLeft w:val="0"/>
                              <w:marRight w:val="0"/>
                              <w:marTop w:val="120"/>
                              <w:marBottom w:val="360"/>
                              <w:divBdr>
                                <w:top w:val="none" w:sz="0" w:space="0" w:color="auto"/>
                                <w:left w:val="none" w:sz="0" w:space="0" w:color="auto"/>
                                <w:bottom w:val="none" w:sz="0" w:space="0" w:color="auto"/>
                                <w:right w:val="none" w:sz="0" w:space="0" w:color="auto"/>
                              </w:divBdr>
                              <w:divsChild>
                                <w:div w:id="744256955">
                                  <w:marLeft w:val="420"/>
                                  <w:marRight w:val="0"/>
                                  <w:marTop w:val="0"/>
                                  <w:marBottom w:val="0"/>
                                  <w:divBdr>
                                    <w:top w:val="none" w:sz="0" w:space="0" w:color="auto"/>
                                    <w:left w:val="none" w:sz="0" w:space="0" w:color="auto"/>
                                    <w:bottom w:val="none" w:sz="0" w:space="0" w:color="auto"/>
                                    <w:right w:val="none" w:sz="0" w:space="0" w:color="auto"/>
                                  </w:divBdr>
                                  <w:divsChild>
                                    <w:div w:id="106032080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6844714">
      <w:bodyDiv w:val="1"/>
      <w:marLeft w:val="0"/>
      <w:marRight w:val="0"/>
      <w:marTop w:val="0"/>
      <w:marBottom w:val="0"/>
      <w:divBdr>
        <w:top w:val="none" w:sz="0" w:space="0" w:color="auto"/>
        <w:left w:val="none" w:sz="0" w:space="0" w:color="auto"/>
        <w:bottom w:val="none" w:sz="0" w:space="0" w:color="auto"/>
        <w:right w:val="none" w:sz="0" w:space="0" w:color="auto"/>
      </w:divBdr>
      <w:divsChild>
        <w:div w:id="1611088650">
          <w:marLeft w:val="0"/>
          <w:marRight w:val="1"/>
          <w:marTop w:val="0"/>
          <w:marBottom w:val="0"/>
          <w:divBdr>
            <w:top w:val="none" w:sz="0" w:space="0" w:color="auto"/>
            <w:left w:val="none" w:sz="0" w:space="0" w:color="auto"/>
            <w:bottom w:val="none" w:sz="0" w:space="0" w:color="auto"/>
            <w:right w:val="none" w:sz="0" w:space="0" w:color="auto"/>
          </w:divBdr>
          <w:divsChild>
            <w:div w:id="1462991593">
              <w:marLeft w:val="0"/>
              <w:marRight w:val="0"/>
              <w:marTop w:val="0"/>
              <w:marBottom w:val="0"/>
              <w:divBdr>
                <w:top w:val="none" w:sz="0" w:space="0" w:color="auto"/>
                <w:left w:val="none" w:sz="0" w:space="0" w:color="auto"/>
                <w:bottom w:val="none" w:sz="0" w:space="0" w:color="auto"/>
                <w:right w:val="none" w:sz="0" w:space="0" w:color="auto"/>
              </w:divBdr>
              <w:divsChild>
                <w:div w:id="2132748440">
                  <w:marLeft w:val="0"/>
                  <w:marRight w:val="1"/>
                  <w:marTop w:val="0"/>
                  <w:marBottom w:val="0"/>
                  <w:divBdr>
                    <w:top w:val="none" w:sz="0" w:space="0" w:color="auto"/>
                    <w:left w:val="none" w:sz="0" w:space="0" w:color="auto"/>
                    <w:bottom w:val="none" w:sz="0" w:space="0" w:color="auto"/>
                    <w:right w:val="none" w:sz="0" w:space="0" w:color="auto"/>
                  </w:divBdr>
                  <w:divsChild>
                    <w:div w:id="771173339">
                      <w:marLeft w:val="0"/>
                      <w:marRight w:val="0"/>
                      <w:marTop w:val="0"/>
                      <w:marBottom w:val="0"/>
                      <w:divBdr>
                        <w:top w:val="none" w:sz="0" w:space="0" w:color="auto"/>
                        <w:left w:val="none" w:sz="0" w:space="0" w:color="auto"/>
                        <w:bottom w:val="none" w:sz="0" w:space="0" w:color="auto"/>
                        <w:right w:val="none" w:sz="0" w:space="0" w:color="auto"/>
                      </w:divBdr>
                      <w:divsChild>
                        <w:div w:id="982461844">
                          <w:marLeft w:val="0"/>
                          <w:marRight w:val="0"/>
                          <w:marTop w:val="0"/>
                          <w:marBottom w:val="0"/>
                          <w:divBdr>
                            <w:top w:val="none" w:sz="0" w:space="0" w:color="auto"/>
                            <w:left w:val="none" w:sz="0" w:space="0" w:color="auto"/>
                            <w:bottom w:val="none" w:sz="0" w:space="0" w:color="auto"/>
                            <w:right w:val="none" w:sz="0" w:space="0" w:color="auto"/>
                          </w:divBdr>
                          <w:divsChild>
                            <w:div w:id="50619494">
                              <w:marLeft w:val="0"/>
                              <w:marRight w:val="0"/>
                              <w:marTop w:val="120"/>
                              <w:marBottom w:val="360"/>
                              <w:divBdr>
                                <w:top w:val="none" w:sz="0" w:space="0" w:color="auto"/>
                                <w:left w:val="none" w:sz="0" w:space="0" w:color="auto"/>
                                <w:bottom w:val="none" w:sz="0" w:space="0" w:color="auto"/>
                                <w:right w:val="none" w:sz="0" w:space="0" w:color="auto"/>
                              </w:divBdr>
                              <w:divsChild>
                                <w:div w:id="233054404">
                                  <w:marLeft w:val="420"/>
                                  <w:marRight w:val="0"/>
                                  <w:marTop w:val="0"/>
                                  <w:marBottom w:val="0"/>
                                  <w:divBdr>
                                    <w:top w:val="none" w:sz="0" w:space="0" w:color="auto"/>
                                    <w:left w:val="none" w:sz="0" w:space="0" w:color="auto"/>
                                    <w:bottom w:val="none" w:sz="0" w:space="0" w:color="auto"/>
                                    <w:right w:val="none" w:sz="0" w:space="0" w:color="auto"/>
                                  </w:divBdr>
                                  <w:divsChild>
                                    <w:div w:id="62615705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4909638">
      <w:bodyDiv w:val="1"/>
      <w:marLeft w:val="0"/>
      <w:marRight w:val="0"/>
      <w:marTop w:val="0"/>
      <w:marBottom w:val="0"/>
      <w:divBdr>
        <w:top w:val="none" w:sz="0" w:space="0" w:color="auto"/>
        <w:left w:val="none" w:sz="0" w:space="0" w:color="auto"/>
        <w:bottom w:val="none" w:sz="0" w:space="0" w:color="auto"/>
        <w:right w:val="none" w:sz="0" w:space="0" w:color="auto"/>
      </w:divBdr>
      <w:divsChild>
        <w:div w:id="1222985669">
          <w:marLeft w:val="0"/>
          <w:marRight w:val="1"/>
          <w:marTop w:val="0"/>
          <w:marBottom w:val="0"/>
          <w:divBdr>
            <w:top w:val="none" w:sz="0" w:space="0" w:color="auto"/>
            <w:left w:val="none" w:sz="0" w:space="0" w:color="auto"/>
            <w:bottom w:val="none" w:sz="0" w:space="0" w:color="auto"/>
            <w:right w:val="none" w:sz="0" w:space="0" w:color="auto"/>
          </w:divBdr>
          <w:divsChild>
            <w:div w:id="60838673">
              <w:marLeft w:val="0"/>
              <w:marRight w:val="0"/>
              <w:marTop w:val="0"/>
              <w:marBottom w:val="0"/>
              <w:divBdr>
                <w:top w:val="none" w:sz="0" w:space="0" w:color="auto"/>
                <w:left w:val="none" w:sz="0" w:space="0" w:color="auto"/>
                <w:bottom w:val="none" w:sz="0" w:space="0" w:color="auto"/>
                <w:right w:val="none" w:sz="0" w:space="0" w:color="auto"/>
              </w:divBdr>
              <w:divsChild>
                <w:div w:id="1225527467">
                  <w:marLeft w:val="0"/>
                  <w:marRight w:val="1"/>
                  <w:marTop w:val="0"/>
                  <w:marBottom w:val="0"/>
                  <w:divBdr>
                    <w:top w:val="none" w:sz="0" w:space="0" w:color="auto"/>
                    <w:left w:val="none" w:sz="0" w:space="0" w:color="auto"/>
                    <w:bottom w:val="none" w:sz="0" w:space="0" w:color="auto"/>
                    <w:right w:val="none" w:sz="0" w:space="0" w:color="auto"/>
                  </w:divBdr>
                  <w:divsChild>
                    <w:div w:id="1579484886">
                      <w:marLeft w:val="0"/>
                      <w:marRight w:val="0"/>
                      <w:marTop w:val="0"/>
                      <w:marBottom w:val="0"/>
                      <w:divBdr>
                        <w:top w:val="none" w:sz="0" w:space="0" w:color="auto"/>
                        <w:left w:val="none" w:sz="0" w:space="0" w:color="auto"/>
                        <w:bottom w:val="none" w:sz="0" w:space="0" w:color="auto"/>
                        <w:right w:val="none" w:sz="0" w:space="0" w:color="auto"/>
                      </w:divBdr>
                      <w:divsChild>
                        <w:div w:id="1250191216">
                          <w:marLeft w:val="0"/>
                          <w:marRight w:val="0"/>
                          <w:marTop w:val="0"/>
                          <w:marBottom w:val="0"/>
                          <w:divBdr>
                            <w:top w:val="none" w:sz="0" w:space="0" w:color="auto"/>
                            <w:left w:val="none" w:sz="0" w:space="0" w:color="auto"/>
                            <w:bottom w:val="none" w:sz="0" w:space="0" w:color="auto"/>
                            <w:right w:val="none" w:sz="0" w:space="0" w:color="auto"/>
                          </w:divBdr>
                          <w:divsChild>
                            <w:div w:id="818695709">
                              <w:marLeft w:val="0"/>
                              <w:marRight w:val="0"/>
                              <w:marTop w:val="120"/>
                              <w:marBottom w:val="360"/>
                              <w:divBdr>
                                <w:top w:val="none" w:sz="0" w:space="0" w:color="auto"/>
                                <w:left w:val="none" w:sz="0" w:space="0" w:color="auto"/>
                                <w:bottom w:val="none" w:sz="0" w:space="0" w:color="auto"/>
                                <w:right w:val="none" w:sz="0" w:space="0" w:color="auto"/>
                              </w:divBdr>
                              <w:divsChild>
                                <w:div w:id="936790139">
                                  <w:marLeft w:val="420"/>
                                  <w:marRight w:val="0"/>
                                  <w:marTop w:val="0"/>
                                  <w:marBottom w:val="0"/>
                                  <w:divBdr>
                                    <w:top w:val="none" w:sz="0" w:space="0" w:color="auto"/>
                                    <w:left w:val="none" w:sz="0" w:space="0" w:color="auto"/>
                                    <w:bottom w:val="none" w:sz="0" w:space="0" w:color="auto"/>
                                    <w:right w:val="none" w:sz="0" w:space="0" w:color="auto"/>
                                  </w:divBdr>
                                  <w:divsChild>
                                    <w:div w:id="117245455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7363250">
      <w:bodyDiv w:val="1"/>
      <w:marLeft w:val="0"/>
      <w:marRight w:val="0"/>
      <w:marTop w:val="0"/>
      <w:marBottom w:val="0"/>
      <w:divBdr>
        <w:top w:val="none" w:sz="0" w:space="0" w:color="auto"/>
        <w:left w:val="none" w:sz="0" w:space="0" w:color="auto"/>
        <w:bottom w:val="none" w:sz="0" w:space="0" w:color="auto"/>
        <w:right w:val="none" w:sz="0" w:space="0" w:color="auto"/>
      </w:divBdr>
      <w:divsChild>
        <w:div w:id="676232421">
          <w:marLeft w:val="0"/>
          <w:marRight w:val="0"/>
          <w:marTop w:val="0"/>
          <w:marBottom w:val="0"/>
          <w:divBdr>
            <w:top w:val="none" w:sz="0" w:space="0" w:color="auto"/>
            <w:left w:val="none" w:sz="0" w:space="0" w:color="auto"/>
            <w:bottom w:val="none" w:sz="0" w:space="0" w:color="auto"/>
            <w:right w:val="none" w:sz="0" w:space="0" w:color="auto"/>
          </w:divBdr>
          <w:divsChild>
            <w:div w:id="1087725429">
              <w:marLeft w:val="0"/>
              <w:marRight w:val="0"/>
              <w:marTop w:val="0"/>
              <w:marBottom w:val="0"/>
              <w:divBdr>
                <w:top w:val="none" w:sz="0" w:space="0" w:color="auto"/>
                <w:left w:val="none" w:sz="0" w:space="0" w:color="auto"/>
                <w:bottom w:val="none" w:sz="0" w:space="0" w:color="auto"/>
                <w:right w:val="none" w:sz="0" w:space="0" w:color="auto"/>
              </w:divBdr>
              <w:divsChild>
                <w:div w:id="1595627027">
                  <w:marLeft w:val="0"/>
                  <w:marRight w:val="0"/>
                  <w:marTop w:val="0"/>
                  <w:marBottom w:val="0"/>
                  <w:divBdr>
                    <w:top w:val="none" w:sz="0" w:space="0" w:color="auto"/>
                    <w:left w:val="none" w:sz="0" w:space="0" w:color="auto"/>
                    <w:bottom w:val="none" w:sz="0" w:space="0" w:color="auto"/>
                    <w:right w:val="none" w:sz="0" w:space="0" w:color="auto"/>
                  </w:divBdr>
                  <w:divsChild>
                    <w:div w:id="1275475254">
                      <w:marLeft w:val="0"/>
                      <w:marRight w:val="0"/>
                      <w:marTop w:val="0"/>
                      <w:marBottom w:val="0"/>
                      <w:divBdr>
                        <w:top w:val="none" w:sz="0" w:space="0" w:color="auto"/>
                        <w:left w:val="none" w:sz="0" w:space="0" w:color="auto"/>
                        <w:bottom w:val="none" w:sz="0" w:space="0" w:color="auto"/>
                        <w:right w:val="none" w:sz="0" w:space="0" w:color="auto"/>
                      </w:divBdr>
                      <w:divsChild>
                        <w:div w:id="9175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hyperlink" Target="https://www.ncbi.nlm.nih.gov/pubmed/25936871" TargetMode="External"/><Relationship Id="rId21" Type="http://schemas.openxmlformats.org/officeDocument/2006/relationships/footer" Target="footer3.xml"/><Relationship Id="rId42" Type="http://schemas.openxmlformats.org/officeDocument/2006/relationships/image" Target="media/image6.png"/><Relationship Id="rId47" Type="http://schemas.openxmlformats.org/officeDocument/2006/relationships/image" Target="media/image11.png"/><Relationship Id="rId63" Type="http://schemas.openxmlformats.org/officeDocument/2006/relationships/hyperlink" Target="https://www.ncbi.nlm.nih.gov/pubmed/27886542" TargetMode="External"/><Relationship Id="rId68" Type="http://schemas.openxmlformats.org/officeDocument/2006/relationships/image" Target="media/image19.png"/><Relationship Id="rId84" Type="http://schemas.openxmlformats.org/officeDocument/2006/relationships/image" Target="media/image35.png"/><Relationship Id="rId89" Type="http://schemas.openxmlformats.org/officeDocument/2006/relationships/image" Target="media/image40.png"/><Relationship Id="rId112" Type="http://schemas.openxmlformats.org/officeDocument/2006/relationships/hyperlink" Target="https://www.ncbi.nlm.nih.gov/pubmed/?term=Colquhoun%20D%5BAuthor%5D&amp;cauthor=true&amp;cauthor_uid=25936871" TargetMode="External"/><Relationship Id="rId133" Type="http://schemas.openxmlformats.org/officeDocument/2006/relationships/theme" Target="theme/theme1.xml"/><Relationship Id="rId159" Type="http://schemas.microsoft.com/office/2011/relationships/commentsExtended" Target="commentsExtended.xml"/><Relationship Id="rId16" Type="http://schemas.openxmlformats.org/officeDocument/2006/relationships/header" Target="header1.xml"/><Relationship Id="rId107" Type="http://schemas.openxmlformats.org/officeDocument/2006/relationships/hyperlink" Target="https://www.ncbi.nlm.nih.gov/pubmed/?term=Su%20TC%5BAuthor%5D&amp;cauthor=true&amp;cauthor_uid=23664439" TargetMode="External"/><Relationship Id="rId11" Type="http://schemas.openxmlformats.org/officeDocument/2006/relationships/settings" Target="settings.xml"/><Relationship Id="rId32" Type="http://schemas.openxmlformats.org/officeDocument/2006/relationships/footer" Target="footer8.xml"/><Relationship Id="rId37" Type="http://schemas.openxmlformats.org/officeDocument/2006/relationships/footer" Target="footer9.xml"/><Relationship Id="rId53" Type="http://schemas.openxmlformats.org/officeDocument/2006/relationships/hyperlink" Target="https://www.ncbi.nlm.nih.gov/pubmed/advanced" TargetMode="External"/><Relationship Id="rId58" Type="http://schemas.openxmlformats.org/officeDocument/2006/relationships/image" Target="media/image13.png"/><Relationship Id="rId74" Type="http://schemas.openxmlformats.org/officeDocument/2006/relationships/image" Target="media/image25.png"/><Relationship Id="rId79" Type="http://schemas.openxmlformats.org/officeDocument/2006/relationships/image" Target="media/image30.png"/><Relationship Id="rId102" Type="http://schemas.openxmlformats.org/officeDocument/2006/relationships/hyperlink" Target="https://www.ncbi.nlm.nih.gov/pubmed/?term=Chien%20KL%5BAuthor%5D&amp;cauthor=true&amp;cauthor_uid=23664439" TargetMode="External"/><Relationship Id="rId123" Type="http://schemas.openxmlformats.org/officeDocument/2006/relationships/hyperlink" Target="https://www.ncbi.nlm.nih.gov/pubmed/?term=Zobel%20LR%5BAuthor%5D&amp;cauthor=true&amp;cauthor_uid=22842914" TargetMode="External"/><Relationship Id="rId128" Type="http://schemas.openxmlformats.org/officeDocument/2006/relationships/hyperlink" Target="https://www.ncbi.nlm.nih.gov/pubmed/?term=Winquist%20A%5BAuthor%5D&amp;cauthor=true&amp;cauthor_uid=25601914" TargetMode="External"/><Relationship Id="rId5" Type="http://schemas.openxmlformats.org/officeDocument/2006/relationships/customXml" Target="../customXml/item5.xml"/><Relationship Id="rId90" Type="http://schemas.openxmlformats.org/officeDocument/2006/relationships/image" Target="media/image41.png"/><Relationship Id="rId95" Type="http://schemas.openxmlformats.org/officeDocument/2006/relationships/hyperlink" Target="https://www.ncbi.nlm.nih.gov/pubmed/?term=Copeland%20TL%5BAuthor%5D&amp;cauthor=true&amp;cauthor_uid=21770727" TargetMode="External"/><Relationship Id="rId160" Type="http://schemas.microsoft.com/office/2011/relationships/people" Target="people.xml"/><Relationship Id="rId14" Type="http://schemas.openxmlformats.org/officeDocument/2006/relationships/endnotes" Target="endnotes.xml"/><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image" Target="media/image4.png"/><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hyperlink" Target="https://www.ncbi.nlm.nih.gov/pubmed/?cmd=HistorySearch&amp;querykey=12" TargetMode="External"/><Relationship Id="rId64" Type="http://schemas.openxmlformats.org/officeDocument/2006/relationships/hyperlink" Target="https://www.ncbi.nlm.nih.gov/pubmed/?term=Prenatal+Exposure+to+Perfluorocarboxylic+Acids+(PFCAs)+and+Fetal+and+Postnatal+Growth+in+the+Taiwan" TargetMode="External"/><Relationship Id="rId69" Type="http://schemas.openxmlformats.org/officeDocument/2006/relationships/image" Target="media/image20.png"/><Relationship Id="rId77" Type="http://schemas.openxmlformats.org/officeDocument/2006/relationships/image" Target="media/image28.png"/><Relationship Id="rId100" Type="http://schemas.openxmlformats.org/officeDocument/2006/relationships/hyperlink" Target="https://www.ncbi.nlm.nih.gov/pubmed/?term=Wen%20TW%5BAuthor%5D&amp;cauthor=true&amp;cauthor_uid=23664439" TargetMode="External"/><Relationship Id="rId105" Type="http://schemas.openxmlformats.org/officeDocument/2006/relationships/hyperlink" Target="https://www.ncbi.nlm.nih.gov/pubmed/?term=Sung%20FC%5BAuthor%5D&amp;cauthor=true&amp;cauthor_uid=23664439" TargetMode="External"/><Relationship Id="rId113" Type="http://schemas.openxmlformats.org/officeDocument/2006/relationships/hyperlink" Target="https://www.ncbi.nlm.nih.gov/pubmed/?term=Noakes%20M%5BAuthor%5D&amp;cauthor=true&amp;cauthor_uid=25936871" TargetMode="External"/><Relationship Id="rId118" Type="http://schemas.openxmlformats.org/officeDocument/2006/relationships/hyperlink" Target="https://www.ncbi.nlm.nih.gov/pubmed/?term=Olsen%20GW%5BAuthor%5D&amp;cauthor=true&amp;cauthor_uid=22842914" TargetMode="External"/><Relationship Id="rId126" Type="http://schemas.openxmlformats.org/officeDocument/2006/relationships/hyperlink" Target="https://www.ncbi.nlm.nih.gov/pubmed/?term=Steenland%20K%5BAuthor%5D&amp;cauthor=true&amp;cauthor_uid=25601914" TargetMode="External"/><Relationship Id="rId8" Type="http://schemas.openxmlformats.org/officeDocument/2006/relationships/numbering" Target="numbering.xml"/><Relationship Id="rId51" Type="http://schemas.openxmlformats.org/officeDocument/2006/relationships/hyperlink" Target="https://www.ncbi.nlm.nih.gov/pubmed/advanced" TargetMode="External"/><Relationship Id="rId72" Type="http://schemas.openxmlformats.org/officeDocument/2006/relationships/image" Target="media/image23.png"/><Relationship Id="rId80" Type="http://schemas.openxmlformats.org/officeDocument/2006/relationships/image" Target="media/image31.png"/><Relationship Id="rId85" Type="http://schemas.openxmlformats.org/officeDocument/2006/relationships/image" Target="media/image36.png"/><Relationship Id="rId93" Type="http://schemas.openxmlformats.org/officeDocument/2006/relationships/hyperlink" Target="https://www.ncbi.nlm.nih.gov/pubmed/23611181" TargetMode="External"/><Relationship Id="rId98" Type="http://schemas.openxmlformats.org/officeDocument/2006/relationships/hyperlink" Target="https://www.ncbi.nlm.nih.gov/pubmed/?term=Lin%20CY%5BAuthor%5D&amp;cauthor=true&amp;cauthor_uid=23664439" TargetMode="External"/><Relationship Id="rId121" Type="http://schemas.openxmlformats.org/officeDocument/2006/relationships/hyperlink" Target="https://www.ncbi.nlm.nih.gov/pubmed/?term=Gibson%20BA%5BAuthor%5D&amp;cauthor=true&amp;cauthor_uid=22842914"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header" Target="header8.xml"/><Relationship Id="rId38" Type="http://schemas.openxmlformats.org/officeDocument/2006/relationships/footer" Target="footer10.xml"/><Relationship Id="rId46" Type="http://schemas.openxmlformats.org/officeDocument/2006/relationships/image" Target="media/image10.png"/><Relationship Id="rId59" Type="http://schemas.openxmlformats.org/officeDocument/2006/relationships/image" Target="media/image14.emf"/><Relationship Id="rId67" Type="http://schemas.openxmlformats.org/officeDocument/2006/relationships/image" Target="media/image18.png"/><Relationship Id="rId103" Type="http://schemas.openxmlformats.org/officeDocument/2006/relationships/hyperlink" Target="https://www.ncbi.nlm.nih.gov/pubmed/?term=Hsu%20SH%5BAuthor%5D&amp;cauthor=true&amp;cauthor_uid=23664439" TargetMode="External"/><Relationship Id="rId108" Type="http://schemas.openxmlformats.org/officeDocument/2006/relationships/hyperlink" Target="https://www.ncbi.nlm.nih.gov/pubmed/23664439" TargetMode="External"/><Relationship Id="rId116" Type="http://schemas.openxmlformats.org/officeDocument/2006/relationships/hyperlink" Target="https://www.ncbi.nlm.nih.gov/pubmed/?term=Thomas%20B%5BAuthor%5D&amp;cauthor=true&amp;cauthor_uid=25936871" TargetMode="External"/><Relationship Id="rId124" Type="http://schemas.openxmlformats.org/officeDocument/2006/relationships/hyperlink" Target="https://www.ncbi.nlm.nih.gov/pubmed/?term=Olsen+GW+2012+longitudinal+PFOA" TargetMode="External"/><Relationship Id="rId129" Type="http://schemas.openxmlformats.org/officeDocument/2006/relationships/hyperlink" Target="https://www.ncbi.nlm.nih.gov/pubmed/?term=Steenland-K+PFOA+2015+cholesterol" TargetMode="External"/><Relationship Id="rId20" Type="http://schemas.openxmlformats.org/officeDocument/2006/relationships/header" Target="header3.xml"/><Relationship Id="rId41" Type="http://schemas.openxmlformats.org/officeDocument/2006/relationships/image" Target="media/image5.png"/><Relationship Id="rId54" Type="http://schemas.openxmlformats.org/officeDocument/2006/relationships/hyperlink" Target="https://www.ncbi.nlm.nih.gov/pubmed/?cmd=HistorySearch&amp;querykey=13" TargetMode="External"/><Relationship Id="rId62" Type="http://schemas.openxmlformats.org/officeDocument/2006/relationships/hyperlink" Target="https://www.ncbi.nlm.nih.gov/pubmed/26605905" TargetMode="External"/><Relationship Id="rId70" Type="http://schemas.openxmlformats.org/officeDocument/2006/relationships/image" Target="media/image21.png"/><Relationship Id="rId75" Type="http://schemas.openxmlformats.org/officeDocument/2006/relationships/image" Target="media/image26.png"/><Relationship Id="rId83" Type="http://schemas.openxmlformats.org/officeDocument/2006/relationships/image" Target="media/image34.png"/><Relationship Id="rId88" Type="http://schemas.openxmlformats.org/officeDocument/2006/relationships/image" Target="media/image39.png"/><Relationship Id="rId91" Type="http://schemas.openxmlformats.org/officeDocument/2006/relationships/hyperlink" Target="https://www.ncbi.nlm.nih.gov/pubmed/24863755" TargetMode="External"/><Relationship Id="rId96" Type="http://schemas.openxmlformats.org/officeDocument/2006/relationships/hyperlink" Target="https://www.ncbi.nlm.nih.gov/pubmed/?term=DeCaprio%20AP%5BAuthor%5D&amp;cauthor=true&amp;cauthor_uid=21770727" TargetMode="External"/><Relationship Id="rId111" Type="http://schemas.openxmlformats.org/officeDocument/2006/relationships/hyperlink" Target="https://www.ncbi.nlm.nih.gov/pubmed/?term=Clifton%20P%5BAuthor%5D&amp;cauthor=true&amp;cauthor_uid=25936871"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header" Target="header4.xml"/><Relationship Id="rId28" Type="http://schemas.openxmlformats.org/officeDocument/2006/relationships/image" Target="media/image2.png"/><Relationship Id="rId36" Type="http://schemas.openxmlformats.org/officeDocument/2006/relationships/header" Target="header9.xml"/><Relationship Id="rId49" Type="http://schemas.openxmlformats.org/officeDocument/2006/relationships/hyperlink" Target="https://www.ncbi.nlm.nih.gov/pubmed/advanced" TargetMode="External"/><Relationship Id="rId57" Type="http://schemas.openxmlformats.org/officeDocument/2006/relationships/hyperlink" Target="https://www.ncbi.nlm.nih.gov/pubmed/?cmd=HistorySearch&amp;querykey=11" TargetMode="External"/><Relationship Id="rId106" Type="http://schemas.openxmlformats.org/officeDocument/2006/relationships/hyperlink" Target="https://www.ncbi.nlm.nih.gov/pubmed/?term=Chen%20PC%5BAuthor%5D&amp;cauthor=true&amp;cauthor_uid=23664439" TargetMode="External"/><Relationship Id="rId114" Type="http://schemas.openxmlformats.org/officeDocument/2006/relationships/hyperlink" Target="https://www.ncbi.nlm.nih.gov/pubmed/?term=Mori%20TA%5BAuthor%5D&amp;cauthor=true&amp;cauthor_uid=25936871" TargetMode="External"/><Relationship Id="rId119" Type="http://schemas.openxmlformats.org/officeDocument/2006/relationships/hyperlink" Target="https://www.ncbi.nlm.nih.gov/pubmed/?term=Ehresman%20DJ%5BAuthor%5D&amp;cauthor=true&amp;cauthor_uid=22842914" TargetMode="External"/><Relationship Id="rId127" Type="http://schemas.openxmlformats.org/officeDocument/2006/relationships/hyperlink" Target="https://www.ncbi.nlm.nih.gov/pubmed/?term=Zhao%20L%5BAuthor%5D&amp;cauthor=true&amp;cauthor_uid=25601914" TargetMode="External"/><Relationship Id="rId10" Type="http://schemas.microsoft.com/office/2007/relationships/stylesWithEffects" Target="stylesWithEffects.xml"/><Relationship Id="rId31" Type="http://schemas.openxmlformats.org/officeDocument/2006/relationships/footer" Target="footer7.xml"/><Relationship Id="rId44" Type="http://schemas.openxmlformats.org/officeDocument/2006/relationships/image" Target="media/image8.png"/><Relationship Id="rId52" Type="http://schemas.openxmlformats.org/officeDocument/2006/relationships/hyperlink" Target="https://www.ncbi.nlm.nih.gov/pubmed/?cmd=HistorySearch&amp;querykey=14" TargetMode="External"/><Relationship Id="rId60" Type="http://schemas.openxmlformats.org/officeDocument/2006/relationships/image" Target="media/image15.png"/><Relationship Id="rId65" Type="http://schemas.openxmlformats.org/officeDocument/2006/relationships/image" Target="media/image16.png"/><Relationship Id="rId73" Type="http://schemas.openxmlformats.org/officeDocument/2006/relationships/image" Target="media/image24.png"/><Relationship Id="rId78" Type="http://schemas.openxmlformats.org/officeDocument/2006/relationships/image" Target="media/image29.png"/><Relationship Id="rId81" Type="http://schemas.openxmlformats.org/officeDocument/2006/relationships/image" Target="media/image32.png"/><Relationship Id="rId86" Type="http://schemas.openxmlformats.org/officeDocument/2006/relationships/image" Target="media/image37.png"/><Relationship Id="rId94" Type="http://schemas.openxmlformats.org/officeDocument/2006/relationships/hyperlink" Target="https://www.ncbi.nlm.nih.gov/pubmed/?term=Kerger%20BD%5BAuthor%5D&amp;cauthor=true&amp;cauthor_uid=21770727" TargetMode="External"/><Relationship Id="rId99" Type="http://schemas.openxmlformats.org/officeDocument/2006/relationships/hyperlink" Target="https://www.ncbi.nlm.nih.gov/pubmed/?term=Lin%20LY%5BAuthor%5D&amp;cauthor=true&amp;cauthor_uid=23664439" TargetMode="External"/><Relationship Id="rId101" Type="http://schemas.openxmlformats.org/officeDocument/2006/relationships/hyperlink" Target="https://www.ncbi.nlm.nih.gov/pubmed/?term=Lien%20GW%5BAuthor%5D&amp;cauthor=true&amp;cauthor_uid=23664439" TargetMode="External"/><Relationship Id="rId122" Type="http://schemas.openxmlformats.org/officeDocument/2006/relationships/hyperlink" Target="https://www.ncbi.nlm.nih.gov/pubmed/?term=Butenhoff%20JL%5BAuthor%5D&amp;cauthor=true&amp;cauthor_uid=22842914" TargetMode="External"/><Relationship Id="rId130" Type="http://schemas.openxmlformats.org/officeDocument/2006/relationships/hyperlink" Target="https://www.ncbi.nlm.nih.gov/pubmed/24980755"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footnotes" Target="footnotes.xml"/><Relationship Id="rId18" Type="http://schemas.openxmlformats.org/officeDocument/2006/relationships/footer" Target="footer2.xml"/><Relationship Id="rId39" Type="http://schemas.openxmlformats.org/officeDocument/2006/relationships/header" Target="header10.xml"/><Relationship Id="rId109" Type="http://schemas.openxmlformats.org/officeDocument/2006/relationships/hyperlink" Target="https://www.ncbi.nlm.nih.gov/pubmed/26010307" TargetMode="External"/><Relationship Id="rId34" Type="http://schemas.openxmlformats.org/officeDocument/2006/relationships/chart" Target="charts/chart1.xml"/><Relationship Id="rId50" Type="http://schemas.openxmlformats.org/officeDocument/2006/relationships/hyperlink" Target="https://www.ncbi.nlm.nih.gov/pubmed/?cmd=HistorySearch&amp;querykey=15" TargetMode="External"/><Relationship Id="rId55" Type="http://schemas.openxmlformats.org/officeDocument/2006/relationships/hyperlink" Target="https://www.ncbi.nlm.nih.gov/pubmed/advanced" TargetMode="External"/><Relationship Id="rId76" Type="http://schemas.openxmlformats.org/officeDocument/2006/relationships/image" Target="media/image27.png"/><Relationship Id="rId97" Type="http://schemas.openxmlformats.org/officeDocument/2006/relationships/hyperlink" Target="https://www.ncbi.nlm.nih.gov/pubmed/?term=Kerger+tenuous+dose" TargetMode="External"/><Relationship Id="rId104" Type="http://schemas.openxmlformats.org/officeDocument/2006/relationships/hyperlink" Target="https://www.ncbi.nlm.nih.gov/pubmed/?term=Liao%20CC%5BAuthor%5D&amp;cauthor=true&amp;cauthor_uid=23664439" TargetMode="External"/><Relationship Id="rId120" Type="http://schemas.openxmlformats.org/officeDocument/2006/relationships/hyperlink" Target="https://www.ncbi.nlm.nih.gov/pubmed/?term=Buehrer%20BD%5BAuthor%5D&amp;cauthor=true&amp;cauthor_uid=22842914" TargetMode="External"/><Relationship Id="rId125" Type="http://schemas.openxmlformats.org/officeDocument/2006/relationships/hyperlink" Target="https://www.ncbi.nlm.nih.gov/pubmed/26432473" TargetMode="External"/><Relationship Id="rId7" Type="http://schemas.openxmlformats.org/officeDocument/2006/relationships/customXml" Target="../customXml/item7.xml"/><Relationship Id="rId71" Type="http://schemas.openxmlformats.org/officeDocument/2006/relationships/image" Target="media/image22.png"/><Relationship Id="rId92" Type="http://schemas.openxmlformats.org/officeDocument/2006/relationships/hyperlink" Target="https://www.ncbi.nlm.nih.gov/pubmed/23611181" TargetMode="External"/><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header" Target="header5.xml"/><Relationship Id="rId40" Type="http://schemas.openxmlformats.org/officeDocument/2006/relationships/footer" Target="footer11.xml"/><Relationship Id="rId45" Type="http://schemas.openxmlformats.org/officeDocument/2006/relationships/image" Target="media/image9.emf"/><Relationship Id="rId66" Type="http://schemas.openxmlformats.org/officeDocument/2006/relationships/image" Target="media/image17.png"/><Relationship Id="rId87" Type="http://schemas.openxmlformats.org/officeDocument/2006/relationships/image" Target="media/image38.png"/><Relationship Id="rId110" Type="http://schemas.openxmlformats.org/officeDocument/2006/relationships/hyperlink" Target="https://www.ncbi.nlm.nih.gov/pubmed/?term=Nestel%20P%5BAuthor%5D&amp;cauthor=true&amp;cauthor_uid=25936871" TargetMode="External"/><Relationship Id="rId115" Type="http://schemas.openxmlformats.org/officeDocument/2006/relationships/hyperlink" Target="https://www.ncbi.nlm.nih.gov/pubmed/?term=Sullivan%20D%5BAuthor%5D&amp;cauthor=true&amp;cauthor_uid=25936871" TargetMode="External"/><Relationship Id="rId131" Type="http://schemas.openxmlformats.org/officeDocument/2006/relationships/hyperlink" Target="https://www.ncbi.nlm.nih.gov/pubmed/25638651" TargetMode="External"/><Relationship Id="rId61" Type="http://schemas.openxmlformats.org/officeDocument/2006/relationships/hyperlink" Target="https://www.ncbi.nlm.nih.gov/pubmed/26605905" TargetMode="External"/><Relationship Id="rId82" Type="http://schemas.openxmlformats.org/officeDocument/2006/relationships/image" Target="media/image33.png"/><Relationship Id="rId19" Type="http://schemas.openxmlformats.org/officeDocument/2006/relationships/header" Target="head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tockChart>
        <c:ser>
          <c:idx val="0"/>
          <c:order val="0"/>
          <c:tx>
            <c:strRef>
              <c:f>Sheet1!$B$1</c:f>
              <c:strCache>
                <c:ptCount val="1"/>
                <c:pt idx="0">
                  <c:v>lower range</c:v>
                </c:pt>
              </c:strCache>
            </c:strRef>
          </c:tx>
          <c:spPr>
            <a:ln w="28575">
              <a:noFill/>
            </a:ln>
          </c:spPr>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Sheet1!$A$2:$A$4</c:f>
              <c:numCache>
                <c:formatCode>General</c:formatCode>
                <c:ptCount val="3"/>
                <c:pt idx="0">
                  <c:v>3</c:v>
                </c:pt>
                <c:pt idx="1">
                  <c:v>10</c:v>
                </c:pt>
                <c:pt idx="2">
                  <c:v>20</c:v>
                </c:pt>
              </c:numCache>
            </c:numRef>
          </c:cat>
          <c:val>
            <c:numRef>
              <c:f>Sheet1!$B$2:$B$4</c:f>
              <c:numCache>
                <c:formatCode>General</c:formatCode>
                <c:ptCount val="3"/>
                <c:pt idx="0">
                  <c:v>10</c:v>
                </c:pt>
                <c:pt idx="1">
                  <c:v>10</c:v>
                </c:pt>
                <c:pt idx="2">
                  <c:v>20</c:v>
                </c:pt>
              </c:numCache>
            </c:numRef>
          </c:val>
          <c:smooth val="0"/>
          <c:extLst xmlns:c16r2="http://schemas.microsoft.com/office/drawing/2015/06/chart">
            <c:ext xmlns:c16="http://schemas.microsoft.com/office/drawing/2014/chart" uri="{C3380CC4-5D6E-409C-BE32-E72D297353CC}">
              <c16:uniqueId val="{00000000-7364-46BD-8DB4-91272B760774}"/>
            </c:ext>
          </c:extLst>
        </c:ser>
        <c:ser>
          <c:idx val="1"/>
          <c:order val="1"/>
          <c:tx>
            <c:strRef>
              <c:f>Sheet1!$C$1</c:f>
              <c:strCache>
                <c:ptCount val="1"/>
                <c:pt idx="0">
                  <c:v>mean</c:v>
                </c:pt>
              </c:strCache>
            </c:strRef>
          </c:tx>
          <c:spPr>
            <a:ln w="28575">
              <a:noFill/>
            </a:ln>
          </c:spPr>
          <c:marker>
            <c:symbol val="none"/>
          </c:marker>
          <c:dLbls>
            <c:spPr>
              <a:noFill/>
              <a:ln>
                <a:noFill/>
              </a:ln>
              <a:effectLst/>
            </c:spPr>
            <c:dLblPos val="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Sheet1!$A$2:$A$4</c:f>
              <c:numCache>
                <c:formatCode>General</c:formatCode>
                <c:ptCount val="3"/>
                <c:pt idx="0">
                  <c:v>3</c:v>
                </c:pt>
                <c:pt idx="1">
                  <c:v>10</c:v>
                </c:pt>
                <c:pt idx="2">
                  <c:v>20</c:v>
                </c:pt>
              </c:numCache>
            </c:numRef>
          </c:cat>
          <c:val>
            <c:numRef>
              <c:f>Sheet1!$C$2:$C$4</c:f>
              <c:numCache>
                <c:formatCode>General</c:formatCode>
                <c:ptCount val="3"/>
                <c:pt idx="0">
                  <c:v>77</c:v>
                </c:pt>
                <c:pt idx="1">
                  <c:v>86</c:v>
                </c:pt>
                <c:pt idx="2">
                  <c:v>158</c:v>
                </c:pt>
              </c:numCache>
            </c:numRef>
          </c:val>
          <c:smooth val="0"/>
          <c:extLst xmlns:c16r2="http://schemas.microsoft.com/office/drawing/2015/06/chart">
            <c:ext xmlns:c16="http://schemas.microsoft.com/office/drawing/2014/chart" uri="{C3380CC4-5D6E-409C-BE32-E72D297353CC}">
              <c16:uniqueId val="{00000001-7364-46BD-8DB4-91272B760774}"/>
            </c:ext>
          </c:extLst>
        </c:ser>
        <c:ser>
          <c:idx val="2"/>
          <c:order val="2"/>
          <c:tx>
            <c:strRef>
              <c:f>Sheet1!$D$1</c:f>
              <c:strCache>
                <c:ptCount val="1"/>
                <c:pt idx="0">
                  <c:v>upper range</c:v>
                </c:pt>
              </c:strCache>
            </c:strRef>
          </c:tx>
          <c:spPr>
            <a:ln w="28575">
              <a:noFill/>
            </a:ln>
          </c:spPr>
          <c:marker>
            <c:symbol val="dot"/>
            <c:size val="3"/>
          </c:marker>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364-46BD-8DB4-91272B760774}"/>
                </c:ext>
              </c:extLst>
            </c:dLbl>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364-46BD-8DB4-91272B760774}"/>
                </c:ext>
              </c:extLst>
            </c:dLbl>
            <c:dLbl>
              <c:idx val="2"/>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364-46BD-8DB4-91272B760774}"/>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Sheet1!$A$2:$A$4</c:f>
              <c:numCache>
                <c:formatCode>General</c:formatCode>
                <c:ptCount val="3"/>
                <c:pt idx="0">
                  <c:v>3</c:v>
                </c:pt>
                <c:pt idx="1">
                  <c:v>10</c:v>
                </c:pt>
                <c:pt idx="2">
                  <c:v>20</c:v>
                </c:pt>
              </c:numCache>
            </c:numRef>
          </c:cat>
          <c:val>
            <c:numRef>
              <c:f>Sheet1!$D$2:$D$4</c:f>
              <c:numCache>
                <c:formatCode>General</c:formatCode>
                <c:ptCount val="3"/>
                <c:pt idx="0">
                  <c:v>154</c:v>
                </c:pt>
                <c:pt idx="1">
                  <c:v>180</c:v>
                </c:pt>
                <c:pt idx="2">
                  <c:v>467</c:v>
                </c:pt>
              </c:numCache>
            </c:numRef>
          </c:val>
          <c:smooth val="0"/>
          <c:extLst xmlns:c16r2="http://schemas.microsoft.com/office/drawing/2015/06/chart">
            <c:ext xmlns:c16="http://schemas.microsoft.com/office/drawing/2014/chart" uri="{C3380CC4-5D6E-409C-BE32-E72D297353CC}">
              <c16:uniqueId val="{00000005-7364-46BD-8DB4-91272B760774}"/>
            </c:ext>
          </c:extLst>
        </c:ser>
        <c:dLbls>
          <c:showLegendKey val="0"/>
          <c:showVal val="0"/>
          <c:showCatName val="0"/>
          <c:showSerName val="0"/>
          <c:showPercent val="0"/>
          <c:showBubbleSize val="0"/>
        </c:dLbls>
        <c:hiLowLines/>
        <c:axId val="288319360"/>
        <c:axId val="288320896"/>
      </c:stockChart>
      <c:catAx>
        <c:axId val="288319360"/>
        <c:scaling>
          <c:orientation val="minMax"/>
        </c:scaling>
        <c:delete val="0"/>
        <c:axPos val="b"/>
        <c:numFmt formatCode="General" sourceLinked="1"/>
        <c:majorTickMark val="out"/>
        <c:minorTickMark val="none"/>
        <c:tickLblPos val="nextTo"/>
        <c:crossAx val="288320896"/>
        <c:crossesAt val="0"/>
        <c:auto val="1"/>
        <c:lblAlgn val="ctr"/>
        <c:lblOffset val="100"/>
        <c:noMultiLvlLbl val="0"/>
      </c:catAx>
      <c:valAx>
        <c:axId val="288320896"/>
        <c:scaling>
          <c:orientation val="minMax"/>
        </c:scaling>
        <c:delete val="0"/>
        <c:axPos val="l"/>
        <c:majorGridlines/>
        <c:numFmt formatCode="General" sourceLinked="1"/>
        <c:majorTickMark val="out"/>
        <c:minorTickMark val="none"/>
        <c:tickLblPos val="nextTo"/>
        <c:crossAx val="288319360"/>
        <c:crosses val="autoZero"/>
        <c:crossBetween val="between"/>
      </c:valAx>
      <c:spPr>
        <a:noFill/>
        <a:ln w="25400">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8959f586-1386-49a0-8f25-29490ba8c513" ContentTypeId="0x01010004C4C934AD08B647A78FCADD498BE31902" PreviousValue="false"/>
</file>

<file path=customXml/item3.xml><?xml version="1.0" encoding="utf-8"?>
<ct:contentTypeSchema xmlns:ct="http://schemas.microsoft.com/office/2006/metadata/contentType" xmlns:ma="http://schemas.microsoft.com/office/2006/metadata/properties/metaAttributes" ct:_="" ma:_="" ma:contentTypeName="FSANZ Record" ma:contentTypeID="0x01010004C4C934AD08B647A78FCADD498BE3190200C606E9939A2F074E92F32145C45369E7" ma:contentTypeVersion="44" ma:contentTypeDescription="Files created by FSANZ including letters, draft documents and ideas for FSANZ business." ma:contentTypeScope="" ma:versionID="c823c6322609bc5c69ffe44f1b8b00ab">
  <xsd:schema xmlns:xsd="http://www.w3.org/2001/XMLSchema" xmlns:xs="http://www.w3.org/2001/XMLSchema" xmlns:p="http://schemas.microsoft.com/office/2006/metadata/properties" xmlns:ns3="ec50576e-4a27-4780-a1e1-e59563bc70b8" xmlns:ns4="5759555f-5bed-45a4-a4c2-4e28e2623455" targetNamespace="http://schemas.microsoft.com/office/2006/metadata/properties" ma:root="true" ma:fieldsID="32734b2b3395ff114ebdf2c62547ea4e" ns3:_="" ns4:_="">
    <xsd:import namespace="ec50576e-4a27-4780-a1e1-e59563bc70b8"/>
    <xsd:import namespace="5759555f-5bed-45a4-a4c2-4e28e2623455"/>
    <xsd:element name="properties">
      <xsd:complexType>
        <xsd:sequence>
          <xsd:element name="documentManagement">
            <xsd:complexType>
              <xsd:all>
                <xsd:element ref="ns3:bd06d2da0152468b9236b575a71e0e7c" minOccurs="0"/>
                <xsd:element ref="ns3:TaxCatchAll" minOccurs="0"/>
                <xsd:element ref="ns3:TaxCatchAllLabel" minOccurs="0"/>
                <xsd:element ref="ns3:Related_x0020_project" minOccurs="0"/>
                <xsd:element ref="ns3:a41428b017d04df981d58ffdf035d7b8"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50576e-4a27-4780-a1e1-e59563bc70b8" elementFormDefault="qualified">
    <xsd:import namespace="http://schemas.microsoft.com/office/2006/documentManagement/types"/>
    <xsd:import namespace="http://schemas.microsoft.com/office/infopath/2007/PartnerControls"/>
    <xsd:element name="bd06d2da0152468b9236b575a71e0e7c" ma:index="9" ma:taxonomy="true" ma:internalName="bd06d2da0152468b9236b575a71e0e7c" ma:taxonomyFieldName="BCS_" ma:displayName="BCS" ma:readOnly="false" ma:default="" ma:fieldId="{bd06d2da-0152-468b-9236-b575a71e0e7c}" ma:sspId="8959f586-1386-49a0-8f25-29490ba8c513" ma:termSetId="fc8f01d6-1aad-49dd-91fa-931823794f8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cb99702b-f02c-439b-bf93-e301643b6a94}" ma:internalName="TaxCatchAll" ma:showField="CatchAllData" ma:web="5759555f-5bed-45a4-a4c2-4e28e2623455">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cb99702b-f02c-439b-bf93-e301643b6a94}" ma:internalName="TaxCatchAllLabel" ma:readOnly="true" ma:showField="CatchAllDataLabel" ma:web="5759555f-5bed-45a4-a4c2-4e28e2623455">
      <xsd:complexType>
        <xsd:complexContent>
          <xsd:extension base="dms:MultiChoiceLookup">
            <xsd:sequence>
              <xsd:element name="Value" type="dms:Lookup" maxOccurs="unbounded" minOccurs="0" nillable="true"/>
            </xsd:sequence>
          </xsd:extension>
        </xsd:complexContent>
      </xsd:complexType>
    </xsd:element>
    <xsd:element name="Related_x0020_project" ma:index="13" nillable="true" ma:displayName="Related project" ma:description="Project ID this item relates to. eg: W1234" ma:internalName="Related_x0020_project">
      <xsd:simpleType>
        <xsd:restriction base="dms:Text">
          <xsd:maxLength value="255"/>
        </xsd:restriction>
      </xsd:simpleType>
    </xsd:element>
    <xsd:element name="a41428b017d04df981d58ffdf035d7b8" ma:index="14" nillable="true" ma:taxonomy="true" ma:internalName="a41428b017d04df981d58ffdf035d7b8" ma:taxonomyFieldName="DisposalClass" ma:displayName="DisposalClass" ma:readOnly="false" ma:default="" ma:fieldId="{a41428b0-17d0-4df9-81d5-8ffdf035d7b8}" ma:sspId="8959f586-1386-49a0-8f25-29490ba8c513" ma:termSetId="4886b3e6-2651-43e1-8d8c-92aa8c291d4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59555f-5bed-45a4-a4c2-4e28e2623455"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Related_x0020_project xmlns="ec50576e-4a27-4780-a1e1-e59563bc70b8">W1104</Related_x0020_project>
    <TaxCatchAll xmlns="ec50576e-4a27-4780-a1e1-e59563bc70b8">
      <Value>198</Value>
    </TaxCatchAll>
    <bd06d2da0152468b9236b575a71e0e7c xmlns="ec50576e-4a27-4780-a1e1-e59563bc70b8">
      <Terms xmlns="http://schemas.microsoft.com/office/infopath/2007/PartnerControls">
        <TermInfo xmlns="http://schemas.microsoft.com/office/infopath/2007/PartnerControls">
          <TermName>Evaluation</TermName>
          <TermId>2b41136d-ef26-4b1e-a392-8eaa90f1f286</TermId>
        </TermInfo>
      </Terms>
    </bd06d2da0152468b9236b575a71e0e7c>
    <_dlc_DocId xmlns="5759555f-5bed-45a4-a4c2-4e28e2623455">MMF7YEMDTSDN-833-1381</_dlc_DocId>
    <_dlc_DocIdUrl xmlns="5759555f-5bed-45a4-a4c2-4e28e2623455">
      <Url>http://fsintranet/IWG/W1104/_layouts/15/DocIdRedir.aspx?ID=MMF7YEMDTSDN-833-1381</Url>
      <Description>MMF7YEMDTSDN-833-1381</Description>
    </_dlc_DocIdUrl>
    <_dlc_DocIdPersistId xmlns="5759555f-5bed-45a4-a4c2-4e28e2623455" xsi:nil="true"/>
    <a41428b017d04df981d58ffdf035d7b8 xmlns="ec50576e-4a27-4780-a1e1-e59563bc70b8">
      <Terms xmlns="http://schemas.microsoft.com/office/infopath/2007/PartnerControls"/>
    </a41428b017d04df981d58ffdf035d7b8>
  </documentManagement>
</p:properties>
</file>

<file path=customXml/item5.xml><?xml version="1.0" encoding="utf-8"?>
<?mso-contentType ?>
<customXsn xmlns="http://schemas.microsoft.com/office/2006/metadata/customXsn">
  <xsnLocation/>
  <cached>True</cached>
  <openByDefault>True</openByDefault>
  <xsnScope/>
</customXs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AEC73-2072-4855-8C4F-18B8204B57DF}">
  <ds:schemaRefs>
    <ds:schemaRef ds:uri="http://schemas.microsoft.com/sharepoint/events"/>
  </ds:schemaRefs>
</ds:datastoreItem>
</file>

<file path=customXml/itemProps2.xml><?xml version="1.0" encoding="utf-8"?>
<ds:datastoreItem xmlns:ds="http://schemas.openxmlformats.org/officeDocument/2006/customXml" ds:itemID="{4EC074EA-655C-4BBB-95C9-30EEB204AD84}">
  <ds:schemaRefs>
    <ds:schemaRef ds:uri="Microsoft.SharePoint.Taxonomy.ContentTypeSync"/>
  </ds:schemaRefs>
</ds:datastoreItem>
</file>

<file path=customXml/itemProps3.xml><?xml version="1.0" encoding="utf-8"?>
<ds:datastoreItem xmlns:ds="http://schemas.openxmlformats.org/officeDocument/2006/customXml" ds:itemID="{CE2C2C43-728A-411A-89B8-DA7807FC3F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50576e-4a27-4780-a1e1-e59563bc70b8"/>
    <ds:schemaRef ds:uri="5759555f-5bed-45a4-a4c2-4e28e26234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0A64E3-9B60-47A9-99D0-A8FD55AF9E80}">
  <ds:schemaRefs>
    <ds:schemaRef ds:uri="http://schemas.microsoft.com/office/2006/metadata/properties"/>
    <ds:schemaRef ds:uri="http://schemas.microsoft.com/office/infopath/2007/PartnerControls"/>
    <ds:schemaRef ds:uri="ec50576e-4a27-4780-a1e1-e59563bc70b8"/>
    <ds:schemaRef ds:uri="5759555f-5bed-45a4-a4c2-4e28e2623455"/>
  </ds:schemaRefs>
</ds:datastoreItem>
</file>

<file path=customXml/itemProps5.xml><?xml version="1.0" encoding="utf-8"?>
<ds:datastoreItem xmlns:ds="http://schemas.openxmlformats.org/officeDocument/2006/customXml" ds:itemID="{7AE9322E-C98D-4DEC-8B4A-4D5D0B2841D4}">
  <ds:schemaRefs>
    <ds:schemaRef ds:uri="http://schemas.microsoft.com/office/2006/metadata/customXsn"/>
  </ds:schemaRefs>
</ds:datastoreItem>
</file>

<file path=customXml/itemProps6.xml><?xml version="1.0" encoding="utf-8"?>
<ds:datastoreItem xmlns:ds="http://schemas.openxmlformats.org/officeDocument/2006/customXml" ds:itemID="{1208227D-67E9-4096-B3DB-451527D3B74C}">
  <ds:schemaRefs>
    <ds:schemaRef ds:uri="http://schemas.microsoft.com/sharepoint/v3/contenttype/forms"/>
  </ds:schemaRefs>
</ds:datastoreItem>
</file>

<file path=customXml/itemProps7.xml><?xml version="1.0" encoding="utf-8"?>
<ds:datastoreItem xmlns:ds="http://schemas.openxmlformats.org/officeDocument/2006/customXml" ds:itemID="{83D6DAE2-DD6E-489B-A368-83F688A53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195</Pages>
  <Words>78687</Words>
  <Characters>448519</Characters>
  <Application>Microsoft Office Word</Application>
  <DocSecurity>0</DocSecurity>
  <Lines>3737</Lines>
  <Paragraphs>1052</Paragraphs>
  <ScaleCrop>false</ScaleCrop>
  <HeadingPairs>
    <vt:vector size="2" baseType="variant">
      <vt:variant>
        <vt:lpstr>Title</vt:lpstr>
      </vt:variant>
      <vt:variant>
        <vt:i4>1</vt:i4>
      </vt:variant>
    </vt:vector>
  </HeadingPairs>
  <TitlesOfParts>
    <vt:vector size="1" baseType="lpstr">
      <vt:lpstr>PFOA PFOS PFHxS combined Hazard Assessment</vt:lpstr>
    </vt:vector>
  </TitlesOfParts>
  <Company>Food Standards Australia New Zealand</Company>
  <LinksUpToDate>false</LinksUpToDate>
  <CharactersWithSpaces>526154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PFOA PFOS PFHxS combined Hazard Assessment</dc:title>
  <dc:creator>Barry Fields</dc:creator>
  <cp:keywords>PFOS PFOA PFHxS</cp:keywords>
  <cp:lastModifiedBy>collea</cp:lastModifiedBy>
  <cp:revision>14</cp:revision>
  <cp:lastPrinted>2017-02-28T03:19:00Z</cp:lastPrinted>
  <dcterms:created xsi:type="dcterms:W3CDTF">2017-04-05T02:33:00Z</dcterms:created>
  <dcterms:modified xsi:type="dcterms:W3CDTF">2017-05-17T23:10:00Z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0x01010004C4C934AD08B647A78FCADD498BE3190200C606E9939A2F074E92F32145C45369E7</vt:lpwstr>
  </property>
  <property fmtid="{D5CDD505-2E9C-101B-9397-08002B2CF9AE}" pid="3" name="DisposalClass">
    <vt:lpwstr/>
  </property>
  <property fmtid="{D5CDD505-2E9C-101B-9397-08002B2CF9AE}" pid="4" name="BCS_">
    <vt:lpwstr>198;#Evaluation|2b41136d-ef26-4b1e-a392-8eaa90f1f286</vt:lpwstr>
  </property>
  <property fmtid="{D5CDD505-2E9C-101B-9397-08002B2CF9AE}" pid="5" name="a41428b017d04df981d58ffdf035d7b8">
    <vt:lpwstr/>
  </property>
  <property fmtid="{D5CDD505-2E9C-101B-9397-08002B2CF9AE}" pid="6" name="_dlc_DocIdItemGuid">
    <vt:lpwstr>402e15ca-e227-405c-bc86-fd9edc40afab</vt:lpwstr>
  </property>
  <property fmtid="{D5CDD505-2E9C-101B-9397-08002B2CF9AE}" pid="7" name="SPPCopyMoveEvent">
    <vt:lpwstr>0</vt:lpwstr>
  </property>
</Properties>
</file>