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06CA" w14:textId="0709288F" w:rsidR="008810B7" w:rsidRDefault="008810B7" w:rsidP="008810B7">
      <w:r>
        <w:rPr>
          <w:noProof/>
          <w:lang w:val="en-US"/>
        </w:rPr>
        <w:drawing>
          <wp:inline distT="0" distB="0" distL="0" distR="0" wp14:anchorId="4C59C724" wp14:editId="2B39945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t xml:space="preserve"> </w:t>
      </w:r>
    </w:p>
    <w:p w14:paraId="2C590A8D" w14:textId="77777777" w:rsidR="008810B7" w:rsidRDefault="008810B7" w:rsidP="008810B7"/>
    <w:p w14:paraId="78CF7DA3" w14:textId="7B3A630F" w:rsidR="004C7DF5" w:rsidRDefault="009F3F26" w:rsidP="004B079A">
      <w:pPr>
        <w:pStyle w:val="FSTitle"/>
      </w:pPr>
      <w:r>
        <w:t xml:space="preserve">Supporting Document </w:t>
      </w:r>
      <w:r w:rsidR="00244E93" w:rsidRPr="00474032">
        <w:t>2</w:t>
      </w:r>
    </w:p>
    <w:p w14:paraId="02888597" w14:textId="560705A4" w:rsidR="00624D73" w:rsidRDefault="00807708" w:rsidP="004B079A">
      <w:pPr>
        <w:pStyle w:val="FSTitle"/>
      </w:pPr>
      <w:r>
        <w:t xml:space="preserve">Assessment of potential dietary exposure to </w:t>
      </w:r>
      <w:proofErr w:type="spellStart"/>
      <w:r w:rsidR="00624D73" w:rsidRPr="004B079A">
        <w:t>perfluorooctane</w:t>
      </w:r>
      <w:proofErr w:type="spellEnd"/>
      <w:r w:rsidR="00624D73" w:rsidRPr="004B079A">
        <w:t xml:space="preserve"> </w:t>
      </w:r>
      <w:proofErr w:type="spellStart"/>
      <w:r w:rsidR="00624D73" w:rsidRPr="004B079A">
        <w:t>sulfonate</w:t>
      </w:r>
      <w:proofErr w:type="spellEnd"/>
      <w:r w:rsidR="00624D73" w:rsidRPr="004B079A">
        <w:t xml:space="preserve"> (PFOS), </w:t>
      </w:r>
      <w:proofErr w:type="spellStart"/>
      <w:r w:rsidR="00624D73" w:rsidRPr="004B079A">
        <w:t>perfluorooctanoic</w:t>
      </w:r>
      <w:proofErr w:type="spellEnd"/>
      <w:r w:rsidR="00624D73" w:rsidRPr="004B079A">
        <w:t xml:space="preserve"> acid (PFOA) and </w:t>
      </w:r>
      <w:proofErr w:type="spellStart"/>
      <w:r w:rsidR="00624D73" w:rsidRPr="004B079A">
        <w:t>pe</w:t>
      </w:r>
      <w:r>
        <w:t>rfluorohexane</w:t>
      </w:r>
      <w:proofErr w:type="spellEnd"/>
      <w:r>
        <w:t xml:space="preserve"> </w:t>
      </w:r>
      <w:proofErr w:type="spellStart"/>
      <w:r>
        <w:t>sulfonate</w:t>
      </w:r>
      <w:proofErr w:type="spellEnd"/>
      <w:r>
        <w:t xml:space="preserve"> (</w:t>
      </w:r>
      <w:proofErr w:type="spellStart"/>
      <w:r>
        <w:t>PFHxS</w:t>
      </w:r>
      <w:proofErr w:type="spellEnd"/>
      <w:r>
        <w:t>)</w:t>
      </w:r>
      <w:r w:rsidR="00474032">
        <w:t xml:space="preserve"> occurring in foods sampled from contaminated sites</w:t>
      </w:r>
    </w:p>
    <w:p w14:paraId="0CF7C08C" w14:textId="77777777" w:rsidR="004B079A" w:rsidRDefault="004B079A">
      <w:r>
        <w:br w:type="page"/>
      </w:r>
    </w:p>
    <w:sdt>
      <w:sdtPr>
        <w:rPr>
          <w:rFonts w:asciiTheme="minorHAnsi" w:eastAsiaTheme="minorHAnsi" w:hAnsiTheme="minorHAnsi" w:cstheme="minorBidi"/>
          <w:caps/>
          <w:color w:val="auto"/>
          <w:sz w:val="20"/>
          <w:szCs w:val="20"/>
          <w:lang w:val="en-GB" w:eastAsia="en-US"/>
        </w:rPr>
        <w:id w:val="-2590653"/>
        <w:docPartObj>
          <w:docPartGallery w:val="Table of Contents"/>
          <w:docPartUnique/>
        </w:docPartObj>
      </w:sdtPr>
      <w:sdtEndPr>
        <w:rPr>
          <w:b w:val="0"/>
          <w:bCs w:val="0"/>
          <w:noProof/>
        </w:rPr>
      </w:sdtEndPr>
      <w:sdtContent>
        <w:p w14:paraId="0A6722F4" w14:textId="62CB0130" w:rsidR="000B1FBD" w:rsidRPr="00FC62C9" w:rsidRDefault="000B1FBD" w:rsidP="002968B3">
          <w:pPr>
            <w:pStyle w:val="TOCHeading"/>
            <w:numPr>
              <w:ilvl w:val="0"/>
              <w:numId w:val="0"/>
            </w:numPr>
            <w:ind w:left="431" w:hanging="431"/>
            <w:rPr>
              <w:sz w:val="18"/>
              <w:szCs w:val="18"/>
            </w:rPr>
          </w:pPr>
          <w:r w:rsidRPr="006558F6">
            <w:rPr>
              <w:rFonts w:ascii="Arial" w:hAnsi="Arial" w:cs="Arial"/>
              <w:color w:val="auto"/>
              <w:sz w:val="36"/>
              <w:szCs w:val="36"/>
            </w:rPr>
            <w:t>Contents</w:t>
          </w:r>
        </w:p>
        <w:p w14:paraId="5AA9D584" w14:textId="77777777" w:rsidR="00D5249B" w:rsidRDefault="003961ED">
          <w:pPr>
            <w:pStyle w:val="TOC1"/>
            <w:tabs>
              <w:tab w:val="left" w:pos="440"/>
              <w:tab w:val="right" w:leader="dot" w:pos="9060"/>
            </w:tabs>
            <w:rPr>
              <w:rFonts w:eastAsiaTheme="minorEastAsia"/>
              <w:b w:val="0"/>
              <w:bCs w:val="0"/>
              <w:caps w:val="0"/>
              <w:noProof/>
              <w:sz w:val="22"/>
              <w:szCs w:val="22"/>
              <w:lang w:eastAsia="en-GB"/>
            </w:rPr>
          </w:pPr>
          <w:r w:rsidRPr="00FC62C9">
            <w:rPr>
              <w:sz w:val="18"/>
              <w:szCs w:val="18"/>
            </w:rPr>
            <w:fldChar w:fldCharType="begin"/>
          </w:r>
          <w:r w:rsidRPr="00FC62C9">
            <w:rPr>
              <w:sz w:val="18"/>
              <w:szCs w:val="18"/>
            </w:rPr>
            <w:instrText xml:space="preserve"> TOC \o "1-3" \h \z \u </w:instrText>
          </w:r>
          <w:r w:rsidRPr="00FC62C9">
            <w:rPr>
              <w:sz w:val="18"/>
              <w:szCs w:val="18"/>
            </w:rPr>
            <w:fldChar w:fldCharType="separate"/>
          </w:r>
          <w:hyperlink w:anchor="_Toc475360590" w:history="1">
            <w:r w:rsidR="00D5249B" w:rsidRPr="00AB183C">
              <w:rPr>
                <w:rStyle w:val="Hyperlink"/>
                <w:noProof/>
              </w:rPr>
              <w:t>1</w:t>
            </w:r>
            <w:r w:rsidR="00D5249B">
              <w:rPr>
                <w:rFonts w:eastAsiaTheme="minorEastAsia"/>
                <w:b w:val="0"/>
                <w:bCs w:val="0"/>
                <w:caps w:val="0"/>
                <w:noProof/>
                <w:sz w:val="22"/>
                <w:szCs w:val="22"/>
                <w:lang w:eastAsia="en-GB"/>
              </w:rPr>
              <w:tab/>
            </w:r>
            <w:r w:rsidR="00D5249B" w:rsidRPr="00AB183C">
              <w:rPr>
                <w:rStyle w:val="Hyperlink"/>
                <w:noProof/>
              </w:rPr>
              <w:t>Executive Summary</w:t>
            </w:r>
            <w:r w:rsidR="00D5249B">
              <w:rPr>
                <w:noProof/>
                <w:webHidden/>
              </w:rPr>
              <w:tab/>
            </w:r>
            <w:r w:rsidR="00D5249B">
              <w:rPr>
                <w:noProof/>
                <w:webHidden/>
              </w:rPr>
              <w:fldChar w:fldCharType="begin"/>
            </w:r>
            <w:r w:rsidR="00D5249B">
              <w:rPr>
                <w:noProof/>
                <w:webHidden/>
              </w:rPr>
              <w:instrText xml:space="preserve"> PAGEREF _Toc475360590 \h </w:instrText>
            </w:r>
            <w:r w:rsidR="00D5249B">
              <w:rPr>
                <w:noProof/>
                <w:webHidden/>
              </w:rPr>
            </w:r>
            <w:r w:rsidR="00D5249B">
              <w:rPr>
                <w:noProof/>
                <w:webHidden/>
              </w:rPr>
              <w:fldChar w:fldCharType="separate"/>
            </w:r>
            <w:r w:rsidR="00D5249B">
              <w:rPr>
                <w:noProof/>
                <w:webHidden/>
              </w:rPr>
              <w:t>4</w:t>
            </w:r>
            <w:r w:rsidR="00D5249B">
              <w:rPr>
                <w:noProof/>
                <w:webHidden/>
              </w:rPr>
              <w:fldChar w:fldCharType="end"/>
            </w:r>
          </w:hyperlink>
        </w:p>
        <w:p w14:paraId="40711A2C"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591" w:history="1">
            <w:r w:rsidR="00D5249B" w:rsidRPr="00AB183C">
              <w:rPr>
                <w:rStyle w:val="Hyperlink"/>
                <w:noProof/>
              </w:rPr>
              <w:t>2</w:t>
            </w:r>
            <w:r w:rsidR="00D5249B">
              <w:rPr>
                <w:rFonts w:eastAsiaTheme="minorEastAsia"/>
                <w:b w:val="0"/>
                <w:bCs w:val="0"/>
                <w:caps w:val="0"/>
                <w:noProof/>
                <w:sz w:val="22"/>
                <w:szCs w:val="22"/>
                <w:lang w:eastAsia="en-GB"/>
              </w:rPr>
              <w:tab/>
            </w:r>
            <w:r w:rsidR="00D5249B" w:rsidRPr="00AB183C">
              <w:rPr>
                <w:rStyle w:val="Hyperlink"/>
                <w:noProof/>
              </w:rPr>
              <w:t>Introduction</w:t>
            </w:r>
            <w:r w:rsidR="00D5249B">
              <w:rPr>
                <w:noProof/>
                <w:webHidden/>
              </w:rPr>
              <w:tab/>
            </w:r>
            <w:r w:rsidR="00D5249B">
              <w:rPr>
                <w:noProof/>
                <w:webHidden/>
              </w:rPr>
              <w:fldChar w:fldCharType="begin"/>
            </w:r>
            <w:r w:rsidR="00D5249B">
              <w:rPr>
                <w:noProof/>
                <w:webHidden/>
              </w:rPr>
              <w:instrText xml:space="preserve"> PAGEREF _Toc475360591 \h </w:instrText>
            </w:r>
            <w:r w:rsidR="00D5249B">
              <w:rPr>
                <w:noProof/>
                <w:webHidden/>
              </w:rPr>
            </w:r>
            <w:r w:rsidR="00D5249B">
              <w:rPr>
                <w:noProof/>
                <w:webHidden/>
              </w:rPr>
              <w:fldChar w:fldCharType="separate"/>
            </w:r>
            <w:r w:rsidR="00D5249B">
              <w:rPr>
                <w:noProof/>
                <w:webHidden/>
              </w:rPr>
              <w:t>6</w:t>
            </w:r>
            <w:r w:rsidR="00D5249B">
              <w:rPr>
                <w:noProof/>
                <w:webHidden/>
              </w:rPr>
              <w:fldChar w:fldCharType="end"/>
            </w:r>
          </w:hyperlink>
        </w:p>
        <w:p w14:paraId="4E05CF11"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592" w:history="1">
            <w:r w:rsidR="00D5249B" w:rsidRPr="00AB183C">
              <w:rPr>
                <w:rStyle w:val="Hyperlink"/>
                <w:noProof/>
              </w:rPr>
              <w:t>3</w:t>
            </w:r>
            <w:r w:rsidR="00D5249B">
              <w:rPr>
                <w:rFonts w:eastAsiaTheme="minorEastAsia"/>
                <w:b w:val="0"/>
                <w:bCs w:val="0"/>
                <w:caps w:val="0"/>
                <w:noProof/>
                <w:sz w:val="22"/>
                <w:szCs w:val="22"/>
                <w:lang w:eastAsia="en-GB"/>
              </w:rPr>
              <w:tab/>
            </w:r>
            <w:r w:rsidR="00D5249B" w:rsidRPr="00AB183C">
              <w:rPr>
                <w:rStyle w:val="Hyperlink"/>
                <w:noProof/>
              </w:rPr>
              <w:t>Objective</w:t>
            </w:r>
            <w:r w:rsidR="00D5249B">
              <w:rPr>
                <w:noProof/>
                <w:webHidden/>
              </w:rPr>
              <w:tab/>
            </w:r>
            <w:r w:rsidR="00D5249B">
              <w:rPr>
                <w:noProof/>
                <w:webHidden/>
              </w:rPr>
              <w:fldChar w:fldCharType="begin"/>
            </w:r>
            <w:r w:rsidR="00D5249B">
              <w:rPr>
                <w:noProof/>
                <w:webHidden/>
              </w:rPr>
              <w:instrText xml:space="preserve"> PAGEREF _Toc475360592 \h </w:instrText>
            </w:r>
            <w:r w:rsidR="00D5249B">
              <w:rPr>
                <w:noProof/>
                <w:webHidden/>
              </w:rPr>
            </w:r>
            <w:r w:rsidR="00D5249B">
              <w:rPr>
                <w:noProof/>
                <w:webHidden/>
              </w:rPr>
              <w:fldChar w:fldCharType="separate"/>
            </w:r>
            <w:r w:rsidR="00D5249B">
              <w:rPr>
                <w:noProof/>
                <w:webHidden/>
              </w:rPr>
              <w:t>6</w:t>
            </w:r>
            <w:r w:rsidR="00D5249B">
              <w:rPr>
                <w:noProof/>
                <w:webHidden/>
              </w:rPr>
              <w:fldChar w:fldCharType="end"/>
            </w:r>
          </w:hyperlink>
        </w:p>
        <w:p w14:paraId="4FE5AB26"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593" w:history="1">
            <w:r w:rsidR="00D5249B" w:rsidRPr="00AB183C">
              <w:rPr>
                <w:rStyle w:val="Hyperlink"/>
                <w:noProof/>
              </w:rPr>
              <w:t>4</w:t>
            </w:r>
            <w:r w:rsidR="00D5249B">
              <w:rPr>
                <w:rFonts w:eastAsiaTheme="minorEastAsia"/>
                <w:b w:val="0"/>
                <w:bCs w:val="0"/>
                <w:caps w:val="0"/>
                <w:noProof/>
                <w:sz w:val="22"/>
                <w:szCs w:val="22"/>
                <w:lang w:eastAsia="en-GB"/>
              </w:rPr>
              <w:tab/>
            </w:r>
            <w:r w:rsidR="00D5249B" w:rsidRPr="00AB183C">
              <w:rPr>
                <w:rStyle w:val="Hyperlink"/>
                <w:noProof/>
              </w:rPr>
              <w:t>Scope</w:t>
            </w:r>
            <w:r w:rsidR="00D5249B">
              <w:rPr>
                <w:noProof/>
                <w:webHidden/>
              </w:rPr>
              <w:tab/>
            </w:r>
            <w:r w:rsidR="00D5249B">
              <w:rPr>
                <w:noProof/>
                <w:webHidden/>
              </w:rPr>
              <w:fldChar w:fldCharType="begin"/>
            </w:r>
            <w:r w:rsidR="00D5249B">
              <w:rPr>
                <w:noProof/>
                <w:webHidden/>
              </w:rPr>
              <w:instrText xml:space="preserve"> PAGEREF _Toc475360593 \h </w:instrText>
            </w:r>
            <w:r w:rsidR="00D5249B">
              <w:rPr>
                <w:noProof/>
                <w:webHidden/>
              </w:rPr>
            </w:r>
            <w:r w:rsidR="00D5249B">
              <w:rPr>
                <w:noProof/>
                <w:webHidden/>
              </w:rPr>
              <w:fldChar w:fldCharType="separate"/>
            </w:r>
            <w:r w:rsidR="00D5249B">
              <w:rPr>
                <w:noProof/>
                <w:webHidden/>
              </w:rPr>
              <w:t>6</w:t>
            </w:r>
            <w:r w:rsidR="00D5249B">
              <w:rPr>
                <w:noProof/>
                <w:webHidden/>
              </w:rPr>
              <w:fldChar w:fldCharType="end"/>
            </w:r>
          </w:hyperlink>
        </w:p>
        <w:p w14:paraId="38E3A0D4"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594" w:history="1">
            <w:r w:rsidR="00D5249B" w:rsidRPr="00AB183C">
              <w:rPr>
                <w:rStyle w:val="Hyperlink"/>
                <w:noProof/>
              </w:rPr>
              <w:t>4.1</w:t>
            </w:r>
            <w:r w:rsidR="00D5249B">
              <w:rPr>
                <w:rFonts w:eastAsiaTheme="minorEastAsia"/>
                <w:smallCaps w:val="0"/>
                <w:noProof/>
                <w:sz w:val="22"/>
                <w:szCs w:val="22"/>
                <w:lang w:eastAsia="en-GB"/>
              </w:rPr>
              <w:tab/>
            </w:r>
            <w:r w:rsidR="00D5249B" w:rsidRPr="00AB183C">
              <w:rPr>
                <w:rStyle w:val="Hyperlink"/>
                <w:noProof/>
              </w:rPr>
              <w:t>Included</w:t>
            </w:r>
            <w:r w:rsidR="00D5249B">
              <w:rPr>
                <w:noProof/>
                <w:webHidden/>
              </w:rPr>
              <w:tab/>
            </w:r>
            <w:r w:rsidR="00D5249B">
              <w:rPr>
                <w:noProof/>
                <w:webHidden/>
              </w:rPr>
              <w:fldChar w:fldCharType="begin"/>
            </w:r>
            <w:r w:rsidR="00D5249B">
              <w:rPr>
                <w:noProof/>
                <w:webHidden/>
              </w:rPr>
              <w:instrText xml:space="preserve"> PAGEREF _Toc475360594 \h </w:instrText>
            </w:r>
            <w:r w:rsidR="00D5249B">
              <w:rPr>
                <w:noProof/>
                <w:webHidden/>
              </w:rPr>
            </w:r>
            <w:r w:rsidR="00D5249B">
              <w:rPr>
                <w:noProof/>
                <w:webHidden/>
              </w:rPr>
              <w:fldChar w:fldCharType="separate"/>
            </w:r>
            <w:r w:rsidR="00D5249B">
              <w:rPr>
                <w:noProof/>
                <w:webHidden/>
              </w:rPr>
              <w:t>6</w:t>
            </w:r>
            <w:r w:rsidR="00D5249B">
              <w:rPr>
                <w:noProof/>
                <w:webHidden/>
              </w:rPr>
              <w:fldChar w:fldCharType="end"/>
            </w:r>
          </w:hyperlink>
        </w:p>
        <w:p w14:paraId="0F9DBE8F"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595" w:history="1">
            <w:r w:rsidR="00D5249B" w:rsidRPr="00AB183C">
              <w:rPr>
                <w:rStyle w:val="Hyperlink"/>
                <w:noProof/>
              </w:rPr>
              <w:t>4.2</w:t>
            </w:r>
            <w:r w:rsidR="00D5249B">
              <w:rPr>
                <w:rFonts w:eastAsiaTheme="minorEastAsia"/>
                <w:smallCaps w:val="0"/>
                <w:noProof/>
                <w:sz w:val="22"/>
                <w:szCs w:val="22"/>
                <w:lang w:eastAsia="en-GB"/>
              </w:rPr>
              <w:tab/>
            </w:r>
            <w:r w:rsidR="00D5249B" w:rsidRPr="00AB183C">
              <w:rPr>
                <w:rStyle w:val="Hyperlink"/>
                <w:noProof/>
              </w:rPr>
              <w:t>Excluded</w:t>
            </w:r>
            <w:r w:rsidR="00D5249B">
              <w:rPr>
                <w:noProof/>
                <w:webHidden/>
              </w:rPr>
              <w:tab/>
            </w:r>
            <w:r w:rsidR="00D5249B">
              <w:rPr>
                <w:noProof/>
                <w:webHidden/>
              </w:rPr>
              <w:fldChar w:fldCharType="begin"/>
            </w:r>
            <w:r w:rsidR="00D5249B">
              <w:rPr>
                <w:noProof/>
                <w:webHidden/>
              </w:rPr>
              <w:instrText xml:space="preserve"> PAGEREF _Toc475360595 \h </w:instrText>
            </w:r>
            <w:r w:rsidR="00D5249B">
              <w:rPr>
                <w:noProof/>
                <w:webHidden/>
              </w:rPr>
            </w:r>
            <w:r w:rsidR="00D5249B">
              <w:rPr>
                <w:noProof/>
                <w:webHidden/>
              </w:rPr>
              <w:fldChar w:fldCharType="separate"/>
            </w:r>
            <w:r w:rsidR="00D5249B">
              <w:rPr>
                <w:noProof/>
                <w:webHidden/>
              </w:rPr>
              <w:t>7</w:t>
            </w:r>
            <w:r w:rsidR="00D5249B">
              <w:rPr>
                <w:noProof/>
                <w:webHidden/>
              </w:rPr>
              <w:fldChar w:fldCharType="end"/>
            </w:r>
          </w:hyperlink>
        </w:p>
        <w:p w14:paraId="31A429C0"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596" w:history="1">
            <w:r w:rsidR="00D5249B" w:rsidRPr="00AB183C">
              <w:rPr>
                <w:rStyle w:val="Hyperlink"/>
                <w:noProof/>
              </w:rPr>
              <w:t>5</w:t>
            </w:r>
            <w:r w:rsidR="00D5249B">
              <w:rPr>
                <w:rFonts w:eastAsiaTheme="minorEastAsia"/>
                <w:b w:val="0"/>
                <w:bCs w:val="0"/>
                <w:caps w:val="0"/>
                <w:noProof/>
                <w:sz w:val="22"/>
                <w:szCs w:val="22"/>
                <w:lang w:eastAsia="en-GB"/>
              </w:rPr>
              <w:tab/>
            </w:r>
            <w:r w:rsidR="00D5249B" w:rsidRPr="00AB183C">
              <w:rPr>
                <w:rStyle w:val="Hyperlink"/>
                <w:noProof/>
              </w:rPr>
              <w:t>Outline</w:t>
            </w:r>
            <w:r w:rsidR="00D5249B">
              <w:rPr>
                <w:noProof/>
                <w:webHidden/>
              </w:rPr>
              <w:tab/>
            </w:r>
            <w:r w:rsidR="00D5249B">
              <w:rPr>
                <w:noProof/>
                <w:webHidden/>
              </w:rPr>
              <w:fldChar w:fldCharType="begin"/>
            </w:r>
            <w:r w:rsidR="00D5249B">
              <w:rPr>
                <w:noProof/>
                <w:webHidden/>
              </w:rPr>
              <w:instrText xml:space="preserve"> PAGEREF _Toc475360596 \h </w:instrText>
            </w:r>
            <w:r w:rsidR="00D5249B">
              <w:rPr>
                <w:noProof/>
                <w:webHidden/>
              </w:rPr>
            </w:r>
            <w:r w:rsidR="00D5249B">
              <w:rPr>
                <w:noProof/>
                <w:webHidden/>
              </w:rPr>
              <w:fldChar w:fldCharType="separate"/>
            </w:r>
            <w:r w:rsidR="00D5249B">
              <w:rPr>
                <w:noProof/>
                <w:webHidden/>
              </w:rPr>
              <w:t>7</w:t>
            </w:r>
            <w:r w:rsidR="00D5249B">
              <w:rPr>
                <w:noProof/>
                <w:webHidden/>
              </w:rPr>
              <w:fldChar w:fldCharType="end"/>
            </w:r>
          </w:hyperlink>
        </w:p>
        <w:p w14:paraId="01E26E44"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597" w:history="1">
            <w:r w:rsidR="00D5249B" w:rsidRPr="00AB183C">
              <w:rPr>
                <w:rStyle w:val="Hyperlink"/>
                <w:noProof/>
              </w:rPr>
              <w:t>6</w:t>
            </w:r>
            <w:r w:rsidR="00D5249B">
              <w:rPr>
                <w:rFonts w:eastAsiaTheme="minorEastAsia"/>
                <w:b w:val="0"/>
                <w:bCs w:val="0"/>
                <w:caps w:val="0"/>
                <w:noProof/>
                <w:sz w:val="22"/>
                <w:szCs w:val="22"/>
                <w:lang w:eastAsia="en-GB"/>
              </w:rPr>
              <w:tab/>
            </w:r>
            <w:r w:rsidR="00D5249B" w:rsidRPr="00AB183C">
              <w:rPr>
                <w:rStyle w:val="Hyperlink"/>
                <w:noProof/>
              </w:rPr>
              <w:t>PFOS, PFOA and PFHxS occurrence and dietary exposure in the Australian general food supply</w:t>
            </w:r>
            <w:r w:rsidR="00D5249B">
              <w:rPr>
                <w:noProof/>
                <w:webHidden/>
              </w:rPr>
              <w:tab/>
            </w:r>
            <w:r w:rsidR="00D5249B">
              <w:rPr>
                <w:noProof/>
                <w:webHidden/>
              </w:rPr>
              <w:fldChar w:fldCharType="begin"/>
            </w:r>
            <w:r w:rsidR="00D5249B">
              <w:rPr>
                <w:noProof/>
                <w:webHidden/>
              </w:rPr>
              <w:instrText xml:space="preserve"> PAGEREF _Toc475360597 \h </w:instrText>
            </w:r>
            <w:r w:rsidR="00D5249B">
              <w:rPr>
                <w:noProof/>
                <w:webHidden/>
              </w:rPr>
            </w:r>
            <w:r w:rsidR="00D5249B">
              <w:rPr>
                <w:noProof/>
                <w:webHidden/>
              </w:rPr>
              <w:fldChar w:fldCharType="separate"/>
            </w:r>
            <w:r w:rsidR="00D5249B">
              <w:rPr>
                <w:noProof/>
                <w:webHidden/>
              </w:rPr>
              <w:t>7</w:t>
            </w:r>
            <w:r w:rsidR="00D5249B">
              <w:rPr>
                <w:noProof/>
                <w:webHidden/>
              </w:rPr>
              <w:fldChar w:fldCharType="end"/>
            </w:r>
          </w:hyperlink>
        </w:p>
        <w:p w14:paraId="66ACCD10"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598" w:history="1">
            <w:r w:rsidR="00D5249B" w:rsidRPr="00AB183C">
              <w:rPr>
                <w:rStyle w:val="Hyperlink"/>
                <w:noProof/>
              </w:rPr>
              <w:t>6.1</w:t>
            </w:r>
            <w:r w:rsidR="00D5249B">
              <w:rPr>
                <w:rFonts w:eastAsiaTheme="minorEastAsia"/>
                <w:smallCaps w:val="0"/>
                <w:noProof/>
                <w:sz w:val="22"/>
                <w:szCs w:val="22"/>
                <w:lang w:eastAsia="en-GB"/>
              </w:rPr>
              <w:tab/>
            </w:r>
            <w:r w:rsidR="00D5249B" w:rsidRPr="00AB183C">
              <w:rPr>
                <w:rStyle w:val="Hyperlink"/>
                <w:noProof/>
              </w:rPr>
              <w:t>Australian Total Diet Study</w:t>
            </w:r>
            <w:r w:rsidR="00D5249B">
              <w:rPr>
                <w:noProof/>
                <w:webHidden/>
              </w:rPr>
              <w:tab/>
            </w:r>
            <w:r w:rsidR="00D5249B">
              <w:rPr>
                <w:noProof/>
                <w:webHidden/>
              </w:rPr>
              <w:fldChar w:fldCharType="begin"/>
            </w:r>
            <w:r w:rsidR="00D5249B">
              <w:rPr>
                <w:noProof/>
                <w:webHidden/>
              </w:rPr>
              <w:instrText xml:space="preserve"> PAGEREF _Toc475360598 \h </w:instrText>
            </w:r>
            <w:r w:rsidR="00D5249B">
              <w:rPr>
                <w:noProof/>
                <w:webHidden/>
              </w:rPr>
            </w:r>
            <w:r w:rsidR="00D5249B">
              <w:rPr>
                <w:noProof/>
                <w:webHidden/>
              </w:rPr>
              <w:fldChar w:fldCharType="separate"/>
            </w:r>
            <w:r w:rsidR="00D5249B">
              <w:rPr>
                <w:noProof/>
                <w:webHidden/>
              </w:rPr>
              <w:t>7</w:t>
            </w:r>
            <w:r w:rsidR="00D5249B">
              <w:rPr>
                <w:noProof/>
                <w:webHidden/>
              </w:rPr>
              <w:fldChar w:fldCharType="end"/>
            </w:r>
          </w:hyperlink>
        </w:p>
        <w:p w14:paraId="0E43DF05"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599" w:history="1">
            <w:r w:rsidR="00D5249B" w:rsidRPr="00AB183C">
              <w:rPr>
                <w:rStyle w:val="Hyperlink"/>
                <w:noProof/>
              </w:rPr>
              <w:t>6.2</w:t>
            </w:r>
            <w:r w:rsidR="00D5249B">
              <w:rPr>
                <w:rFonts w:eastAsiaTheme="minorEastAsia"/>
                <w:smallCaps w:val="0"/>
                <w:noProof/>
                <w:sz w:val="22"/>
                <w:szCs w:val="22"/>
                <w:lang w:eastAsia="en-GB"/>
              </w:rPr>
              <w:tab/>
            </w:r>
            <w:r w:rsidR="00D5249B" w:rsidRPr="00AB183C">
              <w:rPr>
                <w:rStyle w:val="Hyperlink"/>
                <w:noProof/>
              </w:rPr>
              <w:t>NSW Food Authority follow up fish study</w:t>
            </w:r>
            <w:r w:rsidR="00D5249B">
              <w:rPr>
                <w:noProof/>
                <w:webHidden/>
              </w:rPr>
              <w:tab/>
            </w:r>
            <w:r w:rsidR="00D5249B">
              <w:rPr>
                <w:noProof/>
                <w:webHidden/>
              </w:rPr>
              <w:fldChar w:fldCharType="begin"/>
            </w:r>
            <w:r w:rsidR="00D5249B">
              <w:rPr>
                <w:noProof/>
                <w:webHidden/>
              </w:rPr>
              <w:instrText xml:space="preserve"> PAGEREF _Toc475360599 \h </w:instrText>
            </w:r>
            <w:r w:rsidR="00D5249B">
              <w:rPr>
                <w:noProof/>
                <w:webHidden/>
              </w:rPr>
            </w:r>
            <w:r w:rsidR="00D5249B">
              <w:rPr>
                <w:noProof/>
                <w:webHidden/>
              </w:rPr>
              <w:fldChar w:fldCharType="separate"/>
            </w:r>
            <w:r w:rsidR="00D5249B">
              <w:rPr>
                <w:noProof/>
                <w:webHidden/>
              </w:rPr>
              <w:t>8</w:t>
            </w:r>
            <w:r w:rsidR="00D5249B">
              <w:rPr>
                <w:noProof/>
                <w:webHidden/>
              </w:rPr>
              <w:fldChar w:fldCharType="end"/>
            </w:r>
          </w:hyperlink>
        </w:p>
        <w:p w14:paraId="5CCF8520"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600" w:history="1">
            <w:r w:rsidR="00D5249B" w:rsidRPr="00AB183C">
              <w:rPr>
                <w:rStyle w:val="Hyperlink"/>
                <w:noProof/>
              </w:rPr>
              <w:t>7</w:t>
            </w:r>
            <w:r w:rsidR="00D5249B">
              <w:rPr>
                <w:rFonts w:eastAsiaTheme="minorEastAsia"/>
                <w:b w:val="0"/>
                <w:bCs w:val="0"/>
                <w:caps w:val="0"/>
                <w:noProof/>
                <w:sz w:val="22"/>
                <w:szCs w:val="22"/>
                <w:lang w:eastAsia="en-GB"/>
              </w:rPr>
              <w:tab/>
            </w:r>
            <w:r w:rsidR="00D5249B" w:rsidRPr="00AB183C">
              <w:rPr>
                <w:rStyle w:val="Hyperlink"/>
                <w:noProof/>
              </w:rPr>
              <w:t>PFOS, PFOA and PFHxS occurrence and dietary exposure estimates reported in the literature</w:t>
            </w:r>
            <w:r w:rsidR="00D5249B">
              <w:rPr>
                <w:noProof/>
                <w:webHidden/>
              </w:rPr>
              <w:tab/>
            </w:r>
            <w:r w:rsidR="00D5249B">
              <w:rPr>
                <w:noProof/>
                <w:webHidden/>
              </w:rPr>
              <w:fldChar w:fldCharType="begin"/>
            </w:r>
            <w:r w:rsidR="00D5249B">
              <w:rPr>
                <w:noProof/>
                <w:webHidden/>
              </w:rPr>
              <w:instrText xml:space="preserve"> PAGEREF _Toc475360600 \h </w:instrText>
            </w:r>
            <w:r w:rsidR="00D5249B">
              <w:rPr>
                <w:noProof/>
                <w:webHidden/>
              </w:rPr>
            </w:r>
            <w:r w:rsidR="00D5249B">
              <w:rPr>
                <w:noProof/>
                <w:webHidden/>
              </w:rPr>
              <w:fldChar w:fldCharType="separate"/>
            </w:r>
            <w:r w:rsidR="00D5249B">
              <w:rPr>
                <w:noProof/>
                <w:webHidden/>
              </w:rPr>
              <w:t>9</w:t>
            </w:r>
            <w:r w:rsidR="00D5249B">
              <w:rPr>
                <w:noProof/>
                <w:webHidden/>
              </w:rPr>
              <w:fldChar w:fldCharType="end"/>
            </w:r>
          </w:hyperlink>
        </w:p>
        <w:p w14:paraId="20331350"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601" w:history="1">
            <w:r w:rsidR="00D5249B" w:rsidRPr="00AB183C">
              <w:rPr>
                <w:rStyle w:val="Hyperlink"/>
                <w:noProof/>
              </w:rPr>
              <w:t>7.1</w:t>
            </w:r>
            <w:r w:rsidR="00D5249B">
              <w:rPr>
                <w:rFonts w:eastAsiaTheme="minorEastAsia"/>
                <w:smallCaps w:val="0"/>
                <w:noProof/>
                <w:sz w:val="22"/>
                <w:szCs w:val="22"/>
                <w:lang w:eastAsia="en-GB"/>
              </w:rPr>
              <w:tab/>
            </w:r>
            <w:r w:rsidR="00D5249B" w:rsidRPr="00AB183C">
              <w:rPr>
                <w:rStyle w:val="Hyperlink"/>
                <w:noProof/>
              </w:rPr>
              <w:t>Occurrence data outside of Australia</w:t>
            </w:r>
            <w:r w:rsidR="00D5249B">
              <w:rPr>
                <w:noProof/>
                <w:webHidden/>
              </w:rPr>
              <w:tab/>
            </w:r>
            <w:r w:rsidR="00D5249B">
              <w:rPr>
                <w:noProof/>
                <w:webHidden/>
              </w:rPr>
              <w:fldChar w:fldCharType="begin"/>
            </w:r>
            <w:r w:rsidR="00D5249B">
              <w:rPr>
                <w:noProof/>
                <w:webHidden/>
              </w:rPr>
              <w:instrText xml:space="preserve"> PAGEREF _Toc475360601 \h </w:instrText>
            </w:r>
            <w:r w:rsidR="00D5249B">
              <w:rPr>
                <w:noProof/>
                <w:webHidden/>
              </w:rPr>
            </w:r>
            <w:r w:rsidR="00D5249B">
              <w:rPr>
                <w:noProof/>
                <w:webHidden/>
              </w:rPr>
              <w:fldChar w:fldCharType="separate"/>
            </w:r>
            <w:r w:rsidR="00D5249B">
              <w:rPr>
                <w:noProof/>
                <w:webHidden/>
              </w:rPr>
              <w:t>9</w:t>
            </w:r>
            <w:r w:rsidR="00D5249B">
              <w:rPr>
                <w:noProof/>
                <w:webHidden/>
              </w:rPr>
              <w:fldChar w:fldCharType="end"/>
            </w:r>
          </w:hyperlink>
        </w:p>
        <w:p w14:paraId="6278B31C"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602" w:history="1">
            <w:r w:rsidR="00D5249B" w:rsidRPr="00AB183C">
              <w:rPr>
                <w:rStyle w:val="Hyperlink"/>
                <w:noProof/>
              </w:rPr>
              <w:t>7.2</w:t>
            </w:r>
            <w:r w:rsidR="00D5249B">
              <w:rPr>
                <w:rFonts w:eastAsiaTheme="minorEastAsia"/>
                <w:smallCaps w:val="0"/>
                <w:noProof/>
                <w:sz w:val="22"/>
                <w:szCs w:val="22"/>
                <w:lang w:eastAsia="en-GB"/>
              </w:rPr>
              <w:tab/>
            </w:r>
            <w:r w:rsidR="00D5249B" w:rsidRPr="00AB183C">
              <w:rPr>
                <w:rStyle w:val="Hyperlink"/>
                <w:noProof/>
              </w:rPr>
              <w:t>Dietary exposure estimates outside of Australia</w:t>
            </w:r>
            <w:r w:rsidR="00D5249B">
              <w:rPr>
                <w:noProof/>
                <w:webHidden/>
              </w:rPr>
              <w:tab/>
            </w:r>
            <w:r w:rsidR="00D5249B">
              <w:rPr>
                <w:noProof/>
                <w:webHidden/>
              </w:rPr>
              <w:fldChar w:fldCharType="begin"/>
            </w:r>
            <w:r w:rsidR="00D5249B">
              <w:rPr>
                <w:noProof/>
                <w:webHidden/>
              </w:rPr>
              <w:instrText xml:space="preserve"> PAGEREF _Toc475360602 \h </w:instrText>
            </w:r>
            <w:r w:rsidR="00D5249B">
              <w:rPr>
                <w:noProof/>
                <w:webHidden/>
              </w:rPr>
            </w:r>
            <w:r w:rsidR="00D5249B">
              <w:rPr>
                <w:noProof/>
                <w:webHidden/>
              </w:rPr>
              <w:fldChar w:fldCharType="separate"/>
            </w:r>
            <w:r w:rsidR="00D5249B">
              <w:rPr>
                <w:noProof/>
                <w:webHidden/>
              </w:rPr>
              <w:t>9</w:t>
            </w:r>
            <w:r w:rsidR="00D5249B">
              <w:rPr>
                <w:noProof/>
                <w:webHidden/>
              </w:rPr>
              <w:fldChar w:fldCharType="end"/>
            </w:r>
          </w:hyperlink>
        </w:p>
        <w:p w14:paraId="4B7C2B36"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603" w:history="1">
            <w:r w:rsidR="00D5249B" w:rsidRPr="00AB183C">
              <w:rPr>
                <w:rStyle w:val="Hyperlink"/>
                <w:noProof/>
              </w:rPr>
              <w:t>8</w:t>
            </w:r>
            <w:r w:rsidR="00D5249B">
              <w:rPr>
                <w:rFonts w:eastAsiaTheme="minorEastAsia"/>
                <w:b w:val="0"/>
                <w:bCs w:val="0"/>
                <w:caps w:val="0"/>
                <w:noProof/>
                <w:sz w:val="22"/>
                <w:szCs w:val="22"/>
                <w:lang w:eastAsia="en-GB"/>
              </w:rPr>
              <w:tab/>
            </w:r>
            <w:r w:rsidR="00D5249B" w:rsidRPr="00AB183C">
              <w:rPr>
                <w:rStyle w:val="Hyperlink"/>
                <w:noProof/>
              </w:rPr>
              <w:t>Dietary exposure calculations for Australian populations consuming foods contaminated by PFOS, PFOA and PFHxS</w:t>
            </w:r>
            <w:r w:rsidR="00D5249B">
              <w:rPr>
                <w:noProof/>
                <w:webHidden/>
              </w:rPr>
              <w:tab/>
            </w:r>
            <w:r w:rsidR="00D5249B">
              <w:rPr>
                <w:noProof/>
                <w:webHidden/>
              </w:rPr>
              <w:fldChar w:fldCharType="begin"/>
            </w:r>
            <w:r w:rsidR="00D5249B">
              <w:rPr>
                <w:noProof/>
                <w:webHidden/>
              </w:rPr>
              <w:instrText xml:space="preserve"> PAGEREF _Toc475360603 \h </w:instrText>
            </w:r>
            <w:r w:rsidR="00D5249B">
              <w:rPr>
                <w:noProof/>
                <w:webHidden/>
              </w:rPr>
            </w:r>
            <w:r w:rsidR="00D5249B">
              <w:rPr>
                <w:noProof/>
                <w:webHidden/>
              </w:rPr>
              <w:fldChar w:fldCharType="separate"/>
            </w:r>
            <w:r w:rsidR="00D5249B">
              <w:rPr>
                <w:noProof/>
                <w:webHidden/>
              </w:rPr>
              <w:t>10</w:t>
            </w:r>
            <w:r w:rsidR="00D5249B">
              <w:rPr>
                <w:noProof/>
                <w:webHidden/>
              </w:rPr>
              <w:fldChar w:fldCharType="end"/>
            </w:r>
          </w:hyperlink>
        </w:p>
        <w:p w14:paraId="7592A1FD"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604" w:history="1">
            <w:r w:rsidR="00D5249B" w:rsidRPr="00AB183C">
              <w:rPr>
                <w:rStyle w:val="Hyperlink"/>
                <w:noProof/>
              </w:rPr>
              <w:t>8.1</w:t>
            </w:r>
            <w:r w:rsidR="00D5249B">
              <w:rPr>
                <w:rFonts w:eastAsiaTheme="minorEastAsia"/>
                <w:smallCaps w:val="0"/>
                <w:noProof/>
                <w:sz w:val="22"/>
                <w:szCs w:val="22"/>
                <w:lang w:eastAsia="en-GB"/>
              </w:rPr>
              <w:tab/>
            </w:r>
            <w:r w:rsidR="00D5249B" w:rsidRPr="00AB183C">
              <w:rPr>
                <w:rStyle w:val="Hyperlink"/>
                <w:noProof/>
              </w:rPr>
              <w:t>Methods</w:t>
            </w:r>
            <w:r w:rsidR="00D5249B">
              <w:rPr>
                <w:noProof/>
                <w:webHidden/>
              </w:rPr>
              <w:tab/>
            </w:r>
            <w:r w:rsidR="00D5249B">
              <w:rPr>
                <w:noProof/>
                <w:webHidden/>
              </w:rPr>
              <w:fldChar w:fldCharType="begin"/>
            </w:r>
            <w:r w:rsidR="00D5249B">
              <w:rPr>
                <w:noProof/>
                <w:webHidden/>
              </w:rPr>
              <w:instrText xml:space="preserve"> PAGEREF _Toc475360604 \h </w:instrText>
            </w:r>
            <w:r w:rsidR="00D5249B">
              <w:rPr>
                <w:noProof/>
                <w:webHidden/>
              </w:rPr>
            </w:r>
            <w:r w:rsidR="00D5249B">
              <w:rPr>
                <w:noProof/>
                <w:webHidden/>
              </w:rPr>
              <w:fldChar w:fldCharType="separate"/>
            </w:r>
            <w:r w:rsidR="00D5249B">
              <w:rPr>
                <w:noProof/>
                <w:webHidden/>
              </w:rPr>
              <w:t>10</w:t>
            </w:r>
            <w:r w:rsidR="00D5249B">
              <w:rPr>
                <w:noProof/>
                <w:webHidden/>
              </w:rPr>
              <w:fldChar w:fldCharType="end"/>
            </w:r>
          </w:hyperlink>
        </w:p>
        <w:p w14:paraId="155D4BEB"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05" w:history="1">
            <w:r w:rsidR="00D5249B" w:rsidRPr="00AB183C">
              <w:rPr>
                <w:rStyle w:val="Hyperlink"/>
                <w:noProof/>
                <w14:scene3d>
                  <w14:camera w14:prst="orthographicFront"/>
                  <w14:lightRig w14:rig="threePt" w14:dir="t">
                    <w14:rot w14:lat="0" w14:lon="0" w14:rev="0"/>
                  </w14:lightRig>
                </w14:scene3d>
              </w:rPr>
              <w:t>8.1.1</w:t>
            </w:r>
            <w:r w:rsidR="00D5249B">
              <w:rPr>
                <w:rFonts w:eastAsiaTheme="minorEastAsia"/>
                <w:i w:val="0"/>
                <w:iCs w:val="0"/>
                <w:noProof/>
                <w:sz w:val="22"/>
                <w:szCs w:val="22"/>
                <w:lang w:eastAsia="en-GB"/>
              </w:rPr>
              <w:tab/>
            </w:r>
            <w:r w:rsidR="00D5249B" w:rsidRPr="00AB183C">
              <w:rPr>
                <w:rStyle w:val="Hyperlink"/>
                <w:noProof/>
              </w:rPr>
              <w:t>Occurrence data</w:t>
            </w:r>
            <w:r w:rsidR="00D5249B">
              <w:rPr>
                <w:noProof/>
                <w:webHidden/>
              </w:rPr>
              <w:tab/>
            </w:r>
            <w:r w:rsidR="00D5249B">
              <w:rPr>
                <w:noProof/>
                <w:webHidden/>
              </w:rPr>
              <w:fldChar w:fldCharType="begin"/>
            </w:r>
            <w:r w:rsidR="00D5249B">
              <w:rPr>
                <w:noProof/>
                <w:webHidden/>
              </w:rPr>
              <w:instrText xml:space="preserve"> PAGEREF _Toc475360605 \h </w:instrText>
            </w:r>
            <w:r w:rsidR="00D5249B">
              <w:rPr>
                <w:noProof/>
                <w:webHidden/>
              </w:rPr>
            </w:r>
            <w:r w:rsidR="00D5249B">
              <w:rPr>
                <w:noProof/>
                <w:webHidden/>
              </w:rPr>
              <w:fldChar w:fldCharType="separate"/>
            </w:r>
            <w:r w:rsidR="00D5249B">
              <w:rPr>
                <w:noProof/>
                <w:webHidden/>
              </w:rPr>
              <w:t>10</w:t>
            </w:r>
            <w:r w:rsidR="00D5249B">
              <w:rPr>
                <w:noProof/>
                <w:webHidden/>
              </w:rPr>
              <w:fldChar w:fldCharType="end"/>
            </w:r>
          </w:hyperlink>
        </w:p>
        <w:p w14:paraId="37362427"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06" w:history="1">
            <w:r w:rsidR="00D5249B" w:rsidRPr="00AB183C">
              <w:rPr>
                <w:rStyle w:val="Hyperlink"/>
                <w:noProof/>
                <w14:scene3d>
                  <w14:camera w14:prst="orthographicFront"/>
                  <w14:lightRig w14:rig="threePt" w14:dir="t">
                    <w14:rot w14:lat="0" w14:lon="0" w14:rev="0"/>
                  </w14:lightRig>
                </w14:scene3d>
              </w:rPr>
              <w:t>8.1.2</w:t>
            </w:r>
            <w:r w:rsidR="00D5249B">
              <w:rPr>
                <w:rFonts w:eastAsiaTheme="minorEastAsia"/>
                <w:i w:val="0"/>
                <w:iCs w:val="0"/>
                <w:noProof/>
                <w:sz w:val="22"/>
                <w:szCs w:val="22"/>
                <w:lang w:eastAsia="en-GB"/>
              </w:rPr>
              <w:tab/>
            </w:r>
            <w:r w:rsidR="00D5249B" w:rsidRPr="00AB183C">
              <w:rPr>
                <w:rStyle w:val="Hyperlink"/>
                <w:noProof/>
              </w:rPr>
              <w:t>Consumption data for Australia</w:t>
            </w:r>
            <w:r w:rsidR="00D5249B">
              <w:rPr>
                <w:noProof/>
                <w:webHidden/>
              </w:rPr>
              <w:tab/>
            </w:r>
            <w:r w:rsidR="00D5249B">
              <w:rPr>
                <w:noProof/>
                <w:webHidden/>
              </w:rPr>
              <w:fldChar w:fldCharType="begin"/>
            </w:r>
            <w:r w:rsidR="00D5249B">
              <w:rPr>
                <w:noProof/>
                <w:webHidden/>
              </w:rPr>
              <w:instrText xml:space="preserve"> PAGEREF _Toc475360606 \h </w:instrText>
            </w:r>
            <w:r w:rsidR="00D5249B">
              <w:rPr>
                <w:noProof/>
                <w:webHidden/>
              </w:rPr>
            </w:r>
            <w:r w:rsidR="00D5249B">
              <w:rPr>
                <w:noProof/>
                <w:webHidden/>
              </w:rPr>
              <w:fldChar w:fldCharType="separate"/>
            </w:r>
            <w:r w:rsidR="00D5249B">
              <w:rPr>
                <w:noProof/>
                <w:webHidden/>
              </w:rPr>
              <w:t>12</w:t>
            </w:r>
            <w:r w:rsidR="00D5249B">
              <w:rPr>
                <w:noProof/>
                <w:webHidden/>
              </w:rPr>
              <w:fldChar w:fldCharType="end"/>
            </w:r>
          </w:hyperlink>
        </w:p>
        <w:p w14:paraId="3315C555"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07" w:history="1">
            <w:r w:rsidR="00D5249B" w:rsidRPr="00AB183C">
              <w:rPr>
                <w:rStyle w:val="Hyperlink"/>
                <w:noProof/>
                <w14:scene3d>
                  <w14:camera w14:prst="orthographicFront"/>
                  <w14:lightRig w14:rig="threePt" w14:dir="t">
                    <w14:rot w14:lat="0" w14:lon="0" w14:rev="0"/>
                  </w14:lightRig>
                </w14:scene3d>
              </w:rPr>
              <w:t>8.1.3</w:t>
            </w:r>
            <w:r w:rsidR="00D5249B">
              <w:rPr>
                <w:rFonts w:eastAsiaTheme="minorEastAsia"/>
                <w:i w:val="0"/>
                <w:iCs w:val="0"/>
                <w:noProof/>
                <w:sz w:val="22"/>
                <w:szCs w:val="22"/>
                <w:lang w:eastAsia="en-GB"/>
              </w:rPr>
              <w:tab/>
            </w:r>
            <w:r w:rsidR="00D5249B" w:rsidRPr="00AB183C">
              <w:rPr>
                <w:rStyle w:val="Hyperlink"/>
                <w:noProof/>
              </w:rPr>
              <w:t>Health Based Guidance Values</w:t>
            </w:r>
            <w:r w:rsidR="00D5249B">
              <w:rPr>
                <w:noProof/>
                <w:webHidden/>
              </w:rPr>
              <w:tab/>
            </w:r>
            <w:r w:rsidR="00D5249B">
              <w:rPr>
                <w:noProof/>
                <w:webHidden/>
              </w:rPr>
              <w:fldChar w:fldCharType="begin"/>
            </w:r>
            <w:r w:rsidR="00D5249B">
              <w:rPr>
                <w:noProof/>
                <w:webHidden/>
              </w:rPr>
              <w:instrText xml:space="preserve"> PAGEREF _Toc475360607 \h </w:instrText>
            </w:r>
            <w:r w:rsidR="00D5249B">
              <w:rPr>
                <w:noProof/>
                <w:webHidden/>
              </w:rPr>
            </w:r>
            <w:r w:rsidR="00D5249B">
              <w:rPr>
                <w:noProof/>
                <w:webHidden/>
              </w:rPr>
              <w:fldChar w:fldCharType="separate"/>
            </w:r>
            <w:r w:rsidR="00D5249B">
              <w:rPr>
                <w:noProof/>
                <w:webHidden/>
              </w:rPr>
              <w:t>12</w:t>
            </w:r>
            <w:r w:rsidR="00D5249B">
              <w:rPr>
                <w:noProof/>
                <w:webHidden/>
              </w:rPr>
              <w:fldChar w:fldCharType="end"/>
            </w:r>
          </w:hyperlink>
        </w:p>
        <w:p w14:paraId="65402D8F"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08" w:history="1">
            <w:r w:rsidR="00D5249B" w:rsidRPr="00AB183C">
              <w:rPr>
                <w:rStyle w:val="Hyperlink"/>
                <w:noProof/>
                <w14:scene3d>
                  <w14:camera w14:prst="orthographicFront"/>
                  <w14:lightRig w14:rig="threePt" w14:dir="t">
                    <w14:rot w14:lat="0" w14:lon="0" w14:rev="0"/>
                  </w14:lightRig>
                </w14:scene3d>
              </w:rPr>
              <w:t>8.1.4</w:t>
            </w:r>
            <w:r w:rsidR="00D5249B">
              <w:rPr>
                <w:rFonts w:eastAsiaTheme="minorEastAsia"/>
                <w:i w:val="0"/>
                <w:iCs w:val="0"/>
                <w:noProof/>
                <w:sz w:val="22"/>
                <w:szCs w:val="22"/>
                <w:lang w:eastAsia="en-GB"/>
              </w:rPr>
              <w:tab/>
            </w:r>
            <w:r w:rsidR="00D5249B" w:rsidRPr="00AB183C">
              <w:rPr>
                <w:rStyle w:val="Hyperlink"/>
                <w:noProof/>
              </w:rPr>
              <w:t>Calculating the amount of individual foods or food groups that could be consumed before reaching the TDI at the reported concentration levels</w:t>
            </w:r>
            <w:r w:rsidR="00D5249B">
              <w:rPr>
                <w:noProof/>
                <w:webHidden/>
              </w:rPr>
              <w:tab/>
            </w:r>
            <w:r w:rsidR="00D5249B">
              <w:rPr>
                <w:noProof/>
                <w:webHidden/>
              </w:rPr>
              <w:fldChar w:fldCharType="begin"/>
            </w:r>
            <w:r w:rsidR="00D5249B">
              <w:rPr>
                <w:noProof/>
                <w:webHidden/>
              </w:rPr>
              <w:instrText xml:space="preserve"> PAGEREF _Toc475360608 \h </w:instrText>
            </w:r>
            <w:r w:rsidR="00D5249B">
              <w:rPr>
                <w:noProof/>
                <w:webHidden/>
              </w:rPr>
            </w:r>
            <w:r w:rsidR="00D5249B">
              <w:rPr>
                <w:noProof/>
                <w:webHidden/>
              </w:rPr>
              <w:fldChar w:fldCharType="separate"/>
            </w:r>
            <w:r w:rsidR="00D5249B">
              <w:rPr>
                <w:noProof/>
                <w:webHidden/>
              </w:rPr>
              <w:t>13</w:t>
            </w:r>
            <w:r w:rsidR="00D5249B">
              <w:rPr>
                <w:noProof/>
                <w:webHidden/>
              </w:rPr>
              <w:fldChar w:fldCharType="end"/>
            </w:r>
          </w:hyperlink>
        </w:p>
        <w:p w14:paraId="6A20C56D"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09" w:history="1">
            <w:r w:rsidR="00D5249B" w:rsidRPr="00AB183C">
              <w:rPr>
                <w:rStyle w:val="Hyperlink"/>
                <w:noProof/>
                <w14:scene3d>
                  <w14:camera w14:prst="orthographicFront"/>
                  <w14:lightRig w14:rig="threePt" w14:dir="t">
                    <w14:rot w14:lat="0" w14:lon="0" w14:rev="0"/>
                  </w14:lightRig>
                </w14:scene3d>
              </w:rPr>
              <w:t>8.1.5</w:t>
            </w:r>
            <w:r w:rsidR="00D5249B">
              <w:rPr>
                <w:rFonts w:eastAsiaTheme="minorEastAsia"/>
                <w:i w:val="0"/>
                <w:iCs w:val="0"/>
                <w:noProof/>
                <w:sz w:val="22"/>
                <w:szCs w:val="22"/>
                <w:lang w:eastAsia="en-GB"/>
              </w:rPr>
              <w:tab/>
            </w:r>
            <w:r w:rsidR="00D5249B" w:rsidRPr="00AB183C">
              <w:rPr>
                <w:rStyle w:val="Hyperlink"/>
                <w:noProof/>
              </w:rPr>
              <w:t>Calculating trigger points for investigation for use by public health official for individual foods or food groups</w:t>
            </w:r>
            <w:r w:rsidR="00D5249B">
              <w:rPr>
                <w:noProof/>
                <w:webHidden/>
              </w:rPr>
              <w:tab/>
            </w:r>
            <w:r w:rsidR="00D5249B">
              <w:rPr>
                <w:noProof/>
                <w:webHidden/>
              </w:rPr>
              <w:fldChar w:fldCharType="begin"/>
            </w:r>
            <w:r w:rsidR="00D5249B">
              <w:rPr>
                <w:noProof/>
                <w:webHidden/>
              </w:rPr>
              <w:instrText xml:space="preserve"> PAGEREF _Toc475360609 \h </w:instrText>
            </w:r>
            <w:r w:rsidR="00D5249B">
              <w:rPr>
                <w:noProof/>
                <w:webHidden/>
              </w:rPr>
            </w:r>
            <w:r w:rsidR="00D5249B">
              <w:rPr>
                <w:noProof/>
                <w:webHidden/>
              </w:rPr>
              <w:fldChar w:fldCharType="separate"/>
            </w:r>
            <w:r w:rsidR="00D5249B">
              <w:rPr>
                <w:noProof/>
                <w:webHidden/>
              </w:rPr>
              <w:t>14</w:t>
            </w:r>
            <w:r w:rsidR="00D5249B">
              <w:rPr>
                <w:noProof/>
                <w:webHidden/>
              </w:rPr>
              <w:fldChar w:fldCharType="end"/>
            </w:r>
          </w:hyperlink>
        </w:p>
        <w:p w14:paraId="0642D7D1"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10" w:history="1">
            <w:r w:rsidR="00D5249B" w:rsidRPr="00AB183C">
              <w:rPr>
                <w:rStyle w:val="Hyperlink"/>
                <w:noProof/>
                <w14:scene3d>
                  <w14:camera w14:prst="orthographicFront"/>
                  <w14:lightRig w14:rig="threePt" w14:dir="t">
                    <w14:rot w14:lat="0" w14:lon="0" w14:rev="0"/>
                  </w14:lightRig>
                </w14:scene3d>
              </w:rPr>
              <w:t>8.1.6</w:t>
            </w:r>
            <w:r w:rsidR="00D5249B">
              <w:rPr>
                <w:rFonts w:eastAsiaTheme="minorEastAsia"/>
                <w:i w:val="0"/>
                <w:iCs w:val="0"/>
                <w:noProof/>
                <w:sz w:val="22"/>
                <w:szCs w:val="22"/>
                <w:lang w:eastAsia="en-GB"/>
              </w:rPr>
              <w:tab/>
            </w:r>
            <w:r w:rsidR="00D5249B" w:rsidRPr="00AB183C">
              <w:rPr>
                <w:rStyle w:val="Hyperlink"/>
                <w:noProof/>
              </w:rPr>
              <w:t>Assumptions for dietary exposure calculations for individual foods</w:t>
            </w:r>
            <w:r w:rsidR="00D5249B">
              <w:rPr>
                <w:noProof/>
                <w:webHidden/>
              </w:rPr>
              <w:tab/>
            </w:r>
            <w:r w:rsidR="00D5249B">
              <w:rPr>
                <w:noProof/>
                <w:webHidden/>
              </w:rPr>
              <w:fldChar w:fldCharType="begin"/>
            </w:r>
            <w:r w:rsidR="00D5249B">
              <w:rPr>
                <w:noProof/>
                <w:webHidden/>
              </w:rPr>
              <w:instrText xml:space="preserve"> PAGEREF _Toc475360610 \h </w:instrText>
            </w:r>
            <w:r w:rsidR="00D5249B">
              <w:rPr>
                <w:noProof/>
                <w:webHidden/>
              </w:rPr>
            </w:r>
            <w:r w:rsidR="00D5249B">
              <w:rPr>
                <w:noProof/>
                <w:webHidden/>
              </w:rPr>
              <w:fldChar w:fldCharType="separate"/>
            </w:r>
            <w:r w:rsidR="00D5249B">
              <w:rPr>
                <w:noProof/>
                <w:webHidden/>
              </w:rPr>
              <w:t>14</w:t>
            </w:r>
            <w:r w:rsidR="00D5249B">
              <w:rPr>
                <w:noProof/>
                <w:webHidden/>
              </w:rPr>
              <w:fldChar w:fldCharType="end"/>
            </w:r>
          </w:hyperlink>
        </w:p>
        <w:p w14:paraId="4D5E3202"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611" w:history="1">
            <w:r w:rsidR="00D5249B" w:rsidRPr="00AB183C">
              <w:rPr>
                <w:rStyle w:val="Hyperlink"/>
                <w:noProof/>
              </w:rPr>
              <w:t>8.2</w:t>
            </w:r>
            <w:r w:rsidR="00D5249B">
              <w:rPr>
                <w:rFonts w:eastAsiaTheme="minorEastAsia"/>
                <w:smallCaps w:val="0"/>
                <w:noProof/>
                <w:sz w:val="22"/>
                <w:szCs w:val="22"/>
                <w:lang w:eastAsia="en-GB"/>
              </w:rPr>
              <w:tab/>
            </w:r>
            <w:r w:rsidR="00D5249B" w:rsidRPr="00AB183C">
              <w:rPr>
                <w:rStyle w:val="Hyperlink"/>
                <w:noProof/>
              </w:rPr>
              <w:t>Limitations and inherent uncertainties in the assessment</w:t>
            </w:r>
            <w:r w:rsidR="00D5249B">
              <w:rPr>
                <w:noProof/>
                <w:webHidden/>
              </w:rPr>
              <w:tab/>
            </w:r>
            <w:r w:rsidR="00D5249B">
              <w:rPr>
                <w:noProof/>
                <w:webHidden/>
              </w:rPr>
              <w:fldChar w:fldCharType="begin"/>
            </w:r>
            <w:r w:rsidR="00D5249B">
              <w:rPr>
                <w:noProof/>
                <w:webHidden/>
              </w:rPr>
              <w:instrText xml:space="preserve"> PAGEREF _Toc475360611 \h </w:instrText>
            </w:r>
            <w:r w:rsidR="00D5249B">
              <w:rPr>
                <w:noProof/>
                <w:webHidden/>
              </w:rPr>
            </w:r>
            <w:r w:rsidR="00D5249B">
              <w:rPr>
                <w:noProof/>
                <w:webHidden/>
              </w:rPr>
              <w:fldChar w:fldCharType="separate"/>
            </w:r>
            <w:r w:rsidR="00D5249B">
              <w:rPr>
                <w:noProof/>
                <w:webHidden/>
              </w:rPr>
              <w:t>15</w:t>
            </w:r>
            <w:r w:rsidR="00D5249B">
              <w:rPr>
                <w:noProof/>
                <w:webHidden/>
              </w:rPr>
              <w:fldChar w:fldCharType="end"/>
            </w:r>
          </w:hyperlink>
        </w:p>
        <w:p w14:paraId="31B162B3"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12" w:history="1">
            <w:r w:rsidR="00D5249B" w:rsidRPr="00AB183C">
              <w:rPr>
                <w:rStyle w:val="Hyperlink"/>
                <w:noProof/>
                <w14:scene3d>
                  <w14:camera w14:prst="orthographicFront"/>
                  <w14:lightRig w14:rig="threePt" w14:dir="t">
                    <w14:rot w14:lat="0" w14:lon="0" w14:rev="0"/>
                  </w14:lightRig>
                </w14:scene3d>
              </w:rPr>
              <w:t>8.2.1</w:t>
            </w:r>
            <w:r w:rsidR="00D5249B">
              <w:rPr>
                <w:rFonts w:eastAsiaTheme="minorEastAsia"/>
                <w:i w:val="0"/>
                <w:iCs w:val="0"/>
                <w:noProof/>
                <w:sz w:val="22"/>
                <w:szCs w:val="22"/>
                <w:lang w:eastAsia="en-GB"/>
              </w:rPr>
              <w:tab/>
            </w:r>
            <w:r w:rsidR="00D5249B" w:rsidRPr="00AB183C">
              <w:rPr>
                <w:rStyle w:val="Hyperlink"/>
                <w:noProof/>
              </w:rPr>
              <w:t>Assessment objectives</w:t>
            </w:r>
            <w:r w:rsidR="00D5249B">
              <w:rPr>
                <w:noProof/>
                <w:webHidden/>
              </w:rPr>
              <w:tab/>
            </w:r>
            <w:r w:rsidR="00D5249B">
              <w:rPr>
                <w:noProof/>
                <w:webHidden/>
              </w:rPr>
              <w:fldChar w:fldCharType="begin"/>
            </w:r>
            <w:r w:rsidR="00D5249B">
              <w:rPr>
                <w:noProof/>
                <w:webHidden/>
              </w:rPr>
              <w:instrText xml:space="preserve"> PAGEREF _Toc475360612 \h </w:instrText>
            </w:r>
            <w:r w:rsidR="00D5249B">
              <w:rPr>
                <w:noProof/>
                <w:webHidden/>
              </w:rPr>
            </w:r>
            <w:r w:rsidR="00D5249B">
              <w:rPr>
                <w:noProof/>
                <w:webHidden/>
              </w:rPr>
              <w:fldChar w:fldCharType="separate"/>
            </w:r>
            <w:r w:rsidR="00D5249B">
              <w:rPr>
                <w:noProof/>
                <w:webHidden/>
              </w:rPr>
              <w:t>15</w:t>
            </w:r>
            <w:r w:rsidR="00D5249B">
              <w:rPr>
                <w:noProof/>
                <w:webHidden/>
              </w:rPr>
              <w:fldChar w:fldCharType="end"/>
            </w:r>
          </w:hyperlink>
        </w:p>
        <w:p w14:paraId="7D243D0C"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13" w:history="1">
            <w:r w:rsidR="00D5249B" w:rsidRPr="00AB183C">
              <w:rPr>
                <w:rStyle w:val="Hyperlink"/>
                <w:noProof/>
                <w14:scene3d>
                  <w14:camera w14:prst="orthographicFront"/>
                  <w14:lightRig w14:rig="threePt" w14:dir="t">
                    <w14:rot w14:lat="0" w14:lon="0" w14:rev="0"/>
                  </w14:lightRig>
                </w14:scene3d>
              </w:rPr>
              <w:t>8.2.2</w:t>
            </w:r>
            <w:r w:rsidR="00D5249B">
              <w:rPr>
                <w:rFonts w:eastAsiaTheme="minorEastAsia"/>
                <w:i w:val="0"/>
                <w:iCs w:val="0"/>
                <w:noProof/>
                <w:sz w:val="22"/>
                <w:szCs w:val="22"/>
                <w:lang w:eastAsia="en-GB"/>
              </w:rPr>
              <w:tab/>
            </w:r>
            <w:r w:rsidR="00D5249B" w:rsidRPr="00AB183C">
              <w:rPr>
                <w:rStyle w:val="Hyperlink"/>
                <w:noProof/>
              </w:rPr>
              <w:t>Occurrence data</w:t>
            </w:r>
            <w:r w:rsidR="00D5249B">
              <w:rPr>
                <w:noProof/>
                <w:webHidden/>
              </w:rPr>
              <w:tab/>
            </w:r>
            <w:r w:rsidR="00D5249B">
              <w:rPr>
                <w:noProof/>
                <w:webHidden/>
              </w:rPr>
              <w:fldChar w:fldCharType="begin"/>
            </w:r>
            <w:r w:rsidR="00D5249B">
              <w:rPr>
                <w:noProof/>
                <w:webHidden/>
              </w:rPr>
              <w:instrText xml:space="preserve"> PAGEREF _Toc475360613 \h </w:instrText>
            </w:r>
            <w:r w:rsidR="00D5249B">
              <w:rPr>
                <w:noProof/>
                <w:webHidden/>
              </w:rPr>
            </w:r>
            <w:r w:rsidR="00D5249B">
              <w:rPr>
                <w:noProof/>
                <w:webHidden/>
              </w:rPr>
              <w:fldChar w:fldCharType="separate"/>
            </w:r>
            <w:r w:rsidR="00D5249B">
              <w:rPr>
                <w:noProof/>
                <w:webHidden/>
              </w:rPr>
              <w:t>15</w:t>
            </w:r>
            <w:r w:rsidR="00D5249B">
              <w:rPr>
                <w:noProof/>
                <w:webHidden/>
              </w:rPr>
              <w:fldChar w:fldCharType="end"/>
            </w:r>
          </w:hyperlink>
        </w:p>
        <w:p w14:paraId="7246F542"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14" w:history="1">
            <w:r w:rsidR="00D5249B" w:rsidRPr="00AB183C">
              <w:rPr>
                <w:rStyle w:val="Hyperlink"/>
                <w:noProof/>
                <w14:scene3d>
                  <w14:camera w14:prst="orthographicFront"/>
                  <w14:lightRig w14:rig="threePt" w14:dir="t">
                    <w14:rot w14:lat="0" w14:lon="0" w14:rev="0"/>
                  </w14:lightRig>
                </w14:scene3d>
              </w:rPr>
              <w:t>8.2.3</w:t>
            </w:r>
            <w:r w:rsidR="00D5249B">
              <w:rPr>
                <w:rFonts w:eastAsiaTheme="minorEastAsia"/>
                <w:i w:val="0"/>
                <w:iCs w:val="0"/>
                <w:noProof/>
                <w:sz w:val="22"/>
                <w:szCs w:val="22"/>
                <w:lang w:eastAsia="en-GB"/>
              </w:rPr>
              <w:tab/>
            </w:r>
            <w:r w:rsidR="00D5249B" w:rsidRPr="00AB183C">
              <w:rPr>
                <w:rStyle w:val="Hyperlink"/>
                <w:noProof/>
              </w:rPr>
              <w:t>Consumption data</w:t>
            </w:r>
            <w:r w:rsidR="00D5249B">
              <w:rPr>
                <w:noProof/>
                <w:webHidden/>
              </w:rPr>
              <w:tab/>
            </w:r>
            <w:r w:rsidR="00D5249B">
              <w:rPr>
                <w:noProof/>
                <w:webHidden/>
              </w:rPr>
              <w:fldChar w:fldCharType="begin"/>
            </w:r>
            <w:r w:rsidR="00D5249B">
              <w:rPr>
                <w:noProof/>
                <w:webHidden/>
              </w:rPr>
              <w:instrText xml:space="preserve"> PAGEREF _Toc475360614 \h </w:instrText>
            </w:r>
            <w:r w:rsidR="00D5249B">
              <w:rPr>
                <w:noProof/>
                <w:webHidden/>
              </w:rPr>
            </w:r>
            <w:r w:rsidR="00D5249B">
              <w:rPr>
                <w:noProof/>
                <w:webHidden/>
              </w:rPr>
              <w:fldChar w:fldCharType="separate"/>
            </w:r>
            <w:r w:rsidR="00D5249B">
              <w:rPr>
                <w:noProof/>
                <w:webHidden/>
              </w:rPr>
              <w:t>16</w:t>
            </w:r>
            <w:r w:rsidR="00D5249B">
              <w:rPr>
                <w:noProof/>
                <w:webHidden/>
              </w:rPr>
              <w:fldChar w:fldCharType="end"/>
            </w:r>
          </w:hyperlink>
        </w:p>
        <w:p w14:paraId="273BE794" w14:textId="77777777" w:rsidR="00D5249B" w:rsidRDefault="00B42527">
          <w:pPr>
            <w:pStyle w:val="TOC2"/>
            <w:tabs>
              <w:tab w:val="left" w:pos="880"/>
              <w:tab w:val="right" w:leader="dot" w:pos="9060"/>
            </w:tabs>
            <w:rPr>
              <w:rFonts w:eastAsiaTheme="minorEastAsia"/>
              <w:smallCaps w:val="0"/>
              <w:noProof/>
              <w:sz w:val="22"/>
              <w:szCs w:val="22"/>
              <w:lang w:eastAsia="en-GB"/>
            </w:rPr>
          </w:pPr>
          <w:hyperlink w:anchor="_Toc475360615" w:history="1">
            <w:r w:rsidR="00D5249B" w:rsidRPr="00AB183C">
              <w:rPr>
                <w:rStyle w:val="Hyperlink"/>
                <w:noProof/>
              </w:rPr>
              <w:t>8.3</w:t>
            </w:r>
            <w:r w:rsidR="00D5249B">
              <w:rPr>
                <w:rFonts w:eastAsiaTheme="minorEastAsia"/>
                <w:smallCaps w:val="0"/>
                <w:noProof/>
                <w:sz w:val="22"/>
                <w:szCs w:val="22"/>
                <w:lang w:eastAsia="en-GB"/>
              </w:rPr>
              <w:tab/>
            </w:r>
            <w:r w:rsidR="00D5249B" w:rsidRPr="00AB183C">
              <w:rPr>
                <w:rStyle w:val="Hyperlink"/>
                <w:noProof/>
              </w:rPr>
              <w:t>Results</w:t>
            </w:r>
            <w:r w:rsidR="00D5249B">
              <w:rPr>
                <w:noProof/>
                <w:webHidden/>
              </w:rPr>
              <w:tab/>
            </w:r>
            <w:r w:rsidR="00D5249B">
              <w:rPr>
                <w:noProof/>
                <w:webHidden/>
              </w:rPr>
              <w:fldChar w:fldCharType="begin"/>
            </w:r>
            <w:r w:rsidR="00D5249B">
              <w:rPr>
                <w:noProof/>
                <w:webHidden/>
              </w:rPr>
              <w:instrText xml:space="preserve"> PAGEREF _Toc475360615 \h </w:instrText>
            </w:r>
            <w:r w:rsidR="00D5249B">
              <w:rPr>
                <w:noProof/>
                <w:webHidden/>
              </w:rPr>
            </w:r>
            <w:r w:rsidR="00D5249B">
              <w:rPr>
                <w:noProof/>
                <w:webHidden/>
              </w:rPr>
              <w:fldChar w:fldCharType="separate"/>
            </w:r>
            <w:r w:rsidR="00D5249B">
              <w:rPr>
                <w:noProof/>
                <w:webHidden/>
              </w:rPr>
              <w:t>16</w:t>
            </w:r>
            <w:r w:rsidR="00D5249B">
              <w:rPr>
                <w:noProof/>
                <w:webHidden/>
              </w:rPr>
              <w:fldChar w:fldCharType="end"/>
            </w:r>
          </w:hyperlink>
        </w:p>
        <w:p w14:paraId="402FE352" w14:textId="0B8CFB6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16" w:history="1">
            <w:r w:rsidR="00D5249B" w:rsidRPr="00AB183C">
              <w:rPr>
                <w:rStyle w:val="Hyperlink"/>
                <w:noProof/>
                <w14:scene3d>
                  <w14:camera w14:prst="orthographicFront"/>
                  <w14:lightRig w14:rig="threePt" w14:dir="t">
                    <w14:rot w14:lat="0" w14:lon="0" w14:rev="0"/>
                  </w14:lightRig>
                </w14:scene3d>
              </w:rPr>
              <w:t>8.3.1</w:t>
            </w:r>
            <w:r w:rsidR="00D5249B">
              <w:rPr>
                <w:rFonts w:eastAsiaTheme="minorEastAsia"/>
                <w:i w:val="0"/>
                <w:iCs w:val="0"/>
                <w:noProof/>
                <w:sz w:val="22"/>
                <w:szCs w:val="22"/>
                <w:lang w:eastAsia="en-GB"/>
              </w:rPr>
              <w:tab/>
            </w:r>
            <w:r w:rsidR="00D5249B" w:rsidRPr="00AB183C">
              <w:rPr>
                <w:rStyle w:val="Hyperlink"/>
                <w:noProof/>
              </w:rPr>
              <w:t>Amount of individual foods or food groups that could be consumed at the reported concentration levels</w:t>
            </w:r>
            <w:r w:rsidR="00D5249B">
              <w:rPr>
                <w:noProof/>
                <w:webHidden/>
              </w:rPr>
              <w:tab/>
            </w:r>
            <w:r w:rsidR="00F01EFB">
              <w:rPr>
                <w:noProof/>
                <w:webHidden/>
              </w:rPr>
              <w:tab/>
            </w:r>
            <w:r w:rsidR="00D5249B">
              <w:rPr>
                <w:noProof/>
                <w:webHidden/>
              </w:rPr>
              <w:fldChar w:fldCharType="begin"/>
            </w:r>
            <w:r w:rsidR="00D5249B">
              <w:rPr>
                <w:noProof/>
                <w:webHidden/>
              </w:rPr>
              <w:instrText xml:space="preserve"> PAGEREF _Toc475360616 \h </w:instrText>
            </w:r>
            <w:r w:rsidR="00D5249B">
              <w:rPr>
                <w:noProof/>
                <w:webHidden/>
              </w:rPr>
            </w:r>
            <w:r w:rsidR="00D5249B">
              <w:rPr>
                <w:noProof/>
                <w:webHidden/>
              </w:rPr>
              <w:fldChar w:fldCharType="separate"/>
            </w:r>
            <w:r w:rsidR="00D5249B">
              <w:rPr>
                <w:noProof/>
                <w:webHidden/>
              </w:rPr>
              <w:t>16</w:t>
            </w:r>
            <w:r w:rsidR="00D5249B">
              <w:rPr>
                <w:noProof/>
                <w:webHidden/>
              </w:rPr>
              <w:fldChar w:fldCharType="end"/>
            </w:r>
          </w:hyperlink>
        </w:p>
        <w:p w14:paraId="0830905E" w14:textId="77777777" w:rsidR="00D5249B" w:rsidRDefault="00B42527">
          <w:pPr>
            <w:pStyle w:val="TOC3"/>
            <w:tabs>
              <w:tab w:val="left" w:pos="1100"/>
              <w:tab w:val="right" w:leader="dot" w:pos="9060"/>
            </w:tabs>
            <w:rPr>
              <w:rFonts w:eastAsiaTheme="minorEastAsia"/>
              <w:i w:val="0"/>
              <w:iCs w:val="0"/>
              <w:noProof/>
              <w:sz w:val="22"/>
              <w:szCs w:val="22"/>
              <w:lang w:eastAsia="en-GB"/>
            </w:rPr>
          </w:pPr>
          <w:hyperlink w:anchor="_Toc475360617" w:history="1">
            <w:r w:rsidR="00D5249B" w:rsidRPr="00AB183C">
              <w:rPr>
                <w:rStyle w:val="Hyperlink"/>
                <w:noProof/>
                <w14:scene3d>
                  <w14:camera w14:prst="orthographicFront"/>
                  <w14:lightRig w14:rig="threePt" w14:dir="t">
                    <w14:rot w14:lat="0" w14:lon="0" w14:rev="0"/>
                  </w14:lightRig>
                </w14:scene3d>
              </w:rPr>
              <w:t>8.3.2</w:t>
            </w:r>
            <w:r w:rsidR="00D5249B">
              <w:rPr>
                <w:rFonts w:eastAsiaTheme="minorEastAsia"/>
                <w:i w:val="0"/>
                <w:iCs w:val="0"/>
                <w:noProof/>
                <w:sz w:val="22"/>
                <w:szCs w:val="22"/>
                <w:lang w:eastAsia="en-GB"/>
              </w:rPr>
              <w:tab/>
            </w:r>
            <w:r w:rsidR="00D5249B" w:rsidRPr="00AB183C">
              <w:rPr>
                <w:rStyle w:val="Hyperlink"/>
                <w:noProof/>
              </w:rPr>
              <w:t>Proposed trigger points for individual foods or food groups</w:t>
            </w:r>
            <w:r w:rsidR="00D5249B">
              <w:rPr>
                <w:noProof/>
                <w:webHidden/>
              </w:rPr>
              <w:tab/>
            </w:r>
            <w:r w:rsidR="00D5249B">
              <w:rPr>
                <w:noProof/>
                <w:webHidden/>
              </w:rPr>
              <w:fldChar w:fldCharType="begin"/>
            </w:r>
            <w:r w:rsidR="00D5249B">
              <w:rPr>
                <w:noProof/>
                <w:webHidden/>
              </w:rPr>
              <w:instrText xml:space="preserve"> PAGEREF _Toc475360617 \h </w:instrText>
            </w:r>
            <w:r w:rsidR="00D5249B">
              <w:rPr>
                <w:noProof/>
                <w:webHidden/>
              </w:rPr>
            </w:r>
            <w:r w:rsidR="00D5249B">
              <w:rPr>
                <w:noProof/>
                <w:webHidden/>
              </w:rPr>
              <w:fldChar w:fldCharType="separate"/>
            </w:r>
            <w:r w:rsidR="00D5249B">
              <w:rPr>
                <w:noProof/>
                <w:webHidden/>
              </w:rPr>
              <w:t>23</w:t>
            </w:r>
            <w:r w:rsidR="00D5249B">
              <w:rPr>
                <w:noProof/>
                <w:webHidden/>
              </w:rPr>
              <w:fldChar w:fldCharType="end"/>
            </w:r>
          </w:hyperlink>
        </w:p>
        <w:p w14:paraId="4A1F15E1"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618" w:history="1">
            <w:r w:rsidR="00D5249B" w:rsidRPr="00AB183C">
              <w:rPr>
                <w:rStyle w:val="Hyperlink"/>
                <w:noProof/>
                <w:lang w:eastAsia="en-AU"/>
              </w:rPr>
              <w:t>9</w:t>
            </w:r>
            <w:r w:rsidR="00D5249B">
              <w:rPr>
                <w:rFonts w:eastAsiaTheme="minorEastAsia"/>
                <w:b w:val="0"/>
                <w:bCs w:val="0"/>
                <w:caps w:val="0"/>
                <w:noProof/>
                <w:sz w:val="22"/>
                <w:szCs w:val="22"/>
                <w:lang w:eastAsia="en-GB"/>
              </w:rPr>
              <w:tab/>
            </w:r>
            <w:r w:rsidR="00D5249B" w:rsidRPr="00AB183C">
              <w:rPr>
                <w:rStyle w:val="Hyperlink"/>
                <w:noProof/>
                <w:lang w:eastAsia="en-AU"/>
              </w:rPr>
              <w:t>Conclusions</w:t>
            </w:r>
            <w:r w:rsidR="00D5249B">
              <w:rPr>
                <w:noProof/>
                <w:webHidden/>
              </w:rPr>
              <w:tab/>
            </w:r>
            <w:r w:rsidR="00D5249B">
              <w:rPr>
                <w:noProof/>
                <w:webHidden/>
              </w:rPr>
              <w:fldChar w:fldCharType="begin"/>
            </w:r>
            <w:r w:rsidR="00D5249B">
              <w:rPr>
                <w:noProof/>
                <w:webHidden/>
              </w:rPr>
              <w:instrText xml:space="preserve"> PAGEREF _Toc475360618 \h </w:instrText>
            </w:r>
            <w:r w:rsidR="00D5249B">
              <w:rPr>
                <w:noProof/>
                <w:webHidden/>
              </w:rPr>
            </w:r>
            <w:r w:rsidR="00D5249B">
              <w:rPr>
                <w:noProof/>
                <w:webHidden/>
              </w:rPr>
              <w:fldChar w:fldCharType="separate"/>
            </w:r>
            <w:r w:rsidR="00D5249B">
              <w:rPr>
                <w:noProof/>
                <w:webHidden/>
              </w:rPr>
              <w:t>25</w:t>
            </w:r>
            <w:r w:rsidR="00D5249B">
              <w:rPr>
                <w:noProof/>
                <w:webHidden/>
              </w:rPr>
              <w:fldChar w:fldCharType="end"/>
            </w:r>
          </w:hyperlink>
        </w:p>
        <w:p w14:paraId="25972744" w14:textId="77777777" w:rsidR="00D5249B" w:rsidRDefault="00B42527">
          <w:pPr>
            <w:pStyle w:val="TOC1"/>
            <w:tabs>
              <w:tab w:val="left" w:pos="440"/>
              <w:tab w:val="right" w:leader="dot" w:pos="9060"/>
            </w:tabs>
            <w:rPr>
              <w:rFonts w:eastAsiaTheme="minorEastAsia"/>
              <w:b w:val="0"/>
              <w:bCs w:val="0"/>
              <w:caps w:val="0"/>
              <w:noProof/>
              <w:sz w:val="22"/>
              <w:szCs w:val="22"/>
              <w:lang w:eastAsia="en-GB"/>
            </w:rPr>
          </w:pPr>
          <w:hyperlink w:anchor="_Toc475360619" w:history="1">
            <w:r w:rsidR="00D5249B" w:rsidRPr="00AB183C">
              <w:rPr>
                <w:rStyle w:val="Hyperlink"/>
                <w:noProof/>
                <w:lang w:eastAsia="en-AU"/>
              </w:rPr>
              <w:t>10</w:t>
            </w:r>
            <w:r w:rsidR="00D5249B">
              <w:rPr>
                <w:rFonts w:eastAsiaTheme="minorEastAsia"/>
                <w:b w:val="0"/>
                <w:bCs w:val="0"/>
                <w:caps w:val="0"/>
                <w:noProof/>
                <w:sz w:val="22"/>
                <w:szCs w:val="22"/>
                <w:lang w:eastAsia="en-GB"/>
              </w:rPr>
              <w:tab/>
            </w:r>
            <w:r w:rsidR="00D5249B" w:rsidRPr="00AB183C">
              <w:rPr>
                <w:rStyle w:val="Hyperlink"/>
                <w:noProof/>
                <w:lang w:eastAsia="en-AU"/>
              </w:rPr>
              <w:t>References</w:t>
            </w:r>
            <w:r w:rsidR="00D5249B">
              <w:rPr>
                <w:noProof/>
                <w:webHidden/>
              </w:rPr>
              <w:tab/>
            </w:r>
            <w:r w:rsidR="00D5249B">
              <w:rPr>
                <w:noProof/>
                <w:webHidden/>
              </w:rPr>
              <w:fldChar w:fldCharType="begin"/>
            </w:r>
            <w:r w:rsidR="00D5249B">
              <w:rPr>
                <w:noProof/>
                <w:webHidden/>
              </w:rPr>
              <w:instrText xml:space="preserve"> PAGEREF _Toc475360619 \h </w:instrText>
            </w:r>
            <w:r w:rsidR="00D5249B">
              <w:rPr>
                <w:noProof/>
                <w:webHidden/>
              </w:rPr>
            </w:r>
            <w:r w:rsidR="00D5249B">
              <w:rPr>
                <w:noProof/>
                <w:webHidden/>
              </w:rPr>
              <w:fldChar w:fldCharType="separate"/>
            </w:r>
            <w:r w:rsidR="00D5249B">
              <w:rPr>
                <w:noProof/>
                <w:webHidden/>
              </w:rPr>
              <w:t>27</w:t>
            </w:r>
            <w:r w:rsidR="00D5249B">
              <w:rPr>
                <w:noProof/>
                <w:webHidden/>
              </w:rPr>
              <w:fldChar w:fldCharType="end"/>
            </w:r>
          </w:hyperlink>
        </w:p>
        <w:p w14:paraId="32CA1CF8" w14:textId="77777777" w:rsidR="00D5249B" w:rsidRDefault="00B42527">
          <w:pPr>
            <w:pStyle w:val="TOC1"/>
            <w:tabs>
              <w:tab w:val="right" w:leader="dot" w:pos="9060"/>
            </w:tabs>
            <w:rPr>
              <w:rFonts w:eastAsiaTheme="minorEastAsia"/>
              <w:b w:val="0"/>
              <w:bCs w:val="0"/>
              <w:caps w:val="0"/>
              <w:noProof/>
              <w:sz w:val="22"/>
              <w:szCs w:val="22"/>
              <w:lang w:eastAsia="en-GB"/>
            </w:rPr>
          </w:pPr>
          <w:hyperlink w:anchor="_Toc475360620" w:history="1">
            <w:r w:rsidR="00D5249B" w:rsidRPr="00AB183C">
              <w:rPr>
                <w:rStyle w:val="Hyperlink"/>
                <w:noProof/>
              </w:rPr>
              <w:t>List of Tables</w:t>
            </w:r>
            <w:r w:rsidR="00D5249B">
              <w:rPr>
                <w:noProof/>
                <w:webHidden/>
              </w:rPr>
              <w:tab/>
            </w:r>
            <w:r w:rsidR="00D5249B">
              <w:rPr>
                <w:noProof/>
                <w:webHidden/>
              </w:rPr>
              <w:fldChar w:fldCharType="begin"/>
            </w:r>
            <w:r w:rsidR="00D5249B">
              <w:rPr>
                <w:noProof/>
                <w:webHidden/>
              </w:rPr>
              <w:instrText xml:space="preserve"> PAGEREF _Toc475360620 \h </w:instrText>
            </w:r>
            <w:r w:rsidR="00D5249B">
              <w:rPr>
                <w:noProof/>
                <w:webHidden/>
              </w:rPr>
            </w:r>
            <w:r w:rsidR="00D5249B">
              <w:rPr>
                <w:noProof/>
                <w:webHidden/>
              </w:rPr>
              <w:fldChar w:fldCharType="separate"/>
            </w:r>
            <w:r w:rsidR="00D5249B">
              <w:rPr>
                <w:noProof/>
                <w:webHidden/>
              </w:rPr>
              <w:t>28</w:t>
            </w:r>
            <w:r w:rsidR="00D5249B">
              <w:rPr>
                <w:noProof/>
                <w:webHidden/>
              </w:rPr>
              <w:fldChar w:fldCharType="end"/>
            </w:r>
          </w:hyperlink>
        </w:p>
        <w:p w14:paraId="0EC61197" w14:textId="77777777" w:rsidR="00D5249B" w:rsidRDefault="00B42527">
          <w:pPr>
            <w:pStyle w:val="TOC1"/>
            <w:tabs>
              <w:tab w:val="right" w:leader="dot" w:pos="9060"/>
            </w:tabs>
            <w:rPr>
              <w:rFonts w:eastAsiaTheme="minorEastAsia"/>
              <w:b w:val="0"/>
              <w:bCs w:val="0"/>
              <w:caps w:val="0"/>
              <w:noProof/>
              <w:sz w:val="22"/>
              <w:szCs w:val="22"/>
              <w:lang w:eastAsia="en-GB"/>
            </w:rPr>
          </w:pPr>
          <w:hyperlink w:anchor="_Toc475360621" w:history="1">
            <w:r w:rsidR="00D5249B" w:rsidRPr="00AB183C">
              <w:rPr>
                <w:rStyle w:val="Hyperlink"/>
                <w:noProof/>
              </w:rPr>
              <w:t>Appendix 1 Summary of occurrence data used in dietary exposure calculations</w:t>
            </w:r>
            <w:r w:rsidR="00D5249B">
              <w:rPr>
                <w:noProof/>
                <w:webHidden/>
              </w:rPr>
              <w:tab/>
            </w:r>
            <w:r w:rsidR="00D5249B">
              <w:rPr>
                <w:noProof/>
                <w:webHidden/>
              </w:rPr>
              <w:fldChar w:fldCharType="begin"/>
            </w:r>
            <w:r w:rsidR="00D5249B">
              <w:rPr>
                <w:noProof/>
                <w:webHidden/>
              </w:rPr>
              <w:instrText xml:space="preserve"> PAGEREF _Toc475360621 \h </w:instrText>
            </w:r>
            <w:r w:rsidR="00D5249B">
              <w:rPr>
                <w:noProof/>
                <w:webHidden/>
              </w:rPr>
            </w:r>
            <w:r w:rsidR="00D5249B">
              <w:rPr>
                <w:noProof/>
                <w:webHidden/>
              </w:rPr>
              <w:fldChar w:fldCharType="separate"/>
            </w:r>
            <w:r w:rsidR="00D5249B">
              <w:rPr>
                <w:noProof/>
                <w:webHidden/>
              </w:rPr>
              <w:t>29</w:t>
            </w:r>
            <w:r w:rsidR="00D5249B">
              <w:rPr>
                <w:noProof/>
                <w:webHidden/>
              </w:rPr>
              <w:fldChar w:fldCharType="end"/>
            </w:r>
          </w:hyperlink>
        </w:p>
        <w:p w14:paraId="5F9D89DF" w14:textId="77777777" w:rsidR="00D5249B" w:rsidRDefault="00B42527">
          <w:pPr>
            <w:pStyle w:val="TOC1"/>
            <w:tabs>
              <w:tab w:val="right" w:leader="dot" w:pos="9060"/>
            </w:tabs>
            <w:rPr>
              <w:rFonts w:eastAsiaTheme="minorEastAsia"/>
              <w:b w:val="0"/>
              <w:bCs w:val="0"/>
              <w:caps w:val="0"/>
              <w:noProof/>
              <w:sz w:val="22"/>
              <w:szCs w:val="22"/>
              <w:lang w:eastAsia="en-GB"/>
            </w:rPr>
          </w:pPr>
          <w:hyperlink w:anchor="_Toc475360622" w:history="1">
            <w:r w:rsidR="00D5249B" w:rsidRPr="00AB183C">
              <w:rPr>
                <w:rStyle w:val="Hyperlink"/>
                <w:noProof/>
              </w:rPr>
              <w:t>Appendix 2: Food consumption from the 2011-12 NNPAS</w:t>
            </w:r>
            <w:r w:rsidR="00D5249B">
              <w:rPr>
                <w:noProof/>
                <w:webHidden/>
              </w:rPr>
              <w:tab/>
            </w:r>
            <w:r w:rsidR="00D5249B">
              <w:rPr>
                <w:noProof/>
                <w:webHidden/>
              </w:rPr>
              <w:fldChar w:fldCharType="begin"/>
            </w:r>
            <w:r w:rsidR="00D5249B">
              <w:rPr>
                <w:noProof/>
                <w:webHidden/>
              </w:rPr>
              <w:instrText xml:space="preserve"> PAGEREF _Toc475360622 \h </w:instrText>
            </w:r>
            <w:r w:rsidR="00D5249B">
              <w:rPr>
                <w:noProof/>
                <w:webHidden/>
              </w:rPr>
            </w:r>
            <w:r w:rsidR="00D5249B">
              <w:rPr>
                <w:noProof/>
                <w:webHidden/>
              </w:rPr>
              <w:fldChar w:fldCharType="separate"/>
            </w:r>
            <w:r w:rsidR="00D5249B">
              <w:rPr>
                <w:noProof/>
                <w:webHidden/>
              </w:rPr>
              <w:t>30</w:t>
            </w:r>
            <w:r w:rsidR="00D5249B">
              <w:rPr>
                <w:noProof/>
                <w:webHidden/>
              </w:rPr>
              <w:fldChar w:fldCharType="end"/>
            </w:r>
          </w:hyperlink>
        </w:p>
        <w:p w14:paraId="39BF1CCF" w14:textId="77777777" w:rsidR="00D5249B" w:rsidRDefault="00B42527">
          <w:pPr>
            <w:pStyle w:val="TOC1"/>
            <w:tabs>
              <w:tab w:val="right" w:leader="dot" w:pos="9060"/>
            </w:tabs>
            <w:rPr>
              <w:rFonts w:eastAsiaTheme="minorEastAsia"/>
              <w:b w:val="0"/>
              <w:bCs w:val="0"/>
              <w:caps w:val="0"/>
              <w:noProof/>
              <w:sz w:val="22"/>
              <w:szCs w:val="22"/>
              <w:lang w:eastAsia="en-GB"/>
            </w:rPr>
          </w:pPr>
          <w:hyperlink w:anchor="_Toc475360623" w:history="1">
            <w:r w:rsidR="00D5249B" w:rsidRPr="00AB183C">
              <w:rPr>
                <w:rStyle w:val="Hyperlink"/>
                <w:noProof/>
              </w:rPr>
              <w:t>Appendix 3: Amount of food at median PFOS, PFOA, PFHxS levels to reach TDI</w:t>
            </w:r>
            <w:r w:rsidR="00D5249B">
              <w:rPr>
                <w:noProof/>
                <w:webHidden/>
              </w:rPr>
              <w:tab/>
            </w:r>
            <w:r w:rsidR="00D5249B">
              <w:rPr>
                <w:noProof/>
                <w:webHidden/>
              </w:rPr>
              <w:fldChar w:fldCharType="begin"/>
            </w:r>
            <w:r w:rsidR="00D5249B">
              <w:rPr>
                <w:noProof/>
                <w:webHidden/>
              </w:rPr>
              <w:instrText xml:space="preserve"> PAGEREF _Toc475360623 \h </w:instrText>
            </w:r>
            <w:r w:rsidR="00D5249B">
              <w:rPr>
                <w:noProof/>
                <w:webHidden/>
              </w:rPr>
            </w:r>
            <w:r w:rsidR="00D5249B">
              <w:rPr>
                <w:noProof/>
                <w:webHidden/>
              </w:rPr>
              <w:fldChar w:fldCharType="separate"/>
            </w:r>
            <w:r w:rsidR="00D5249B">
              <w:rPr>
                <w:noProof/>
                <w:webHidden/>
              </w:rPr>
              <w:t>32</w:t>
            </w:r>
            <w:r w:rsidR="00D5249B">
              <w:rPr>
                <w:noProof/>
                <w:webHidden/>
              </w:rPr>
              <w:fldChar w:fldCharType="end"/>
            </w:r>
          </w:hyperlink>
        </w:p>
        <w:p w14:paraId="73C10125" w14:textId="77777777" w:rsidR="00D5249B" w:rsidRDefault="00B42527">
          <w:pPr>
            <w:pStyle w:val="TOC1"/>
            <w:tabs>
              <w:tab w:val="right" w:leader="dot" w:pos="9060"/>
            </w:tabs>
            <w:rPr>
              <w:rFonts w:eastAsiaTheme="minorEastAsia"/>
              <w:b w:val="0"/>
              <w:bCs w:val="0"/>
              <w:caps w:val="0"/>
              <w:noProof/>
              <w:sz w:val="22"/>
              <w:szCs w:val="22"/>
              <w:lang w:eastAsia="en-GB"/>
            </w:rPr>
          </w:pPr>
          <w:hyperlink w:anchor="_Toc475360624" w:history="1">
            <w:r w:rsidR="00D5249B" w:rsidRPr="00AB183C">
              <w:rPr>
                <w:rStyle w:val="Hyperlink"/>
                <w:noProof/>
              </w:rPr>
              <w:t xml:space="preserve">Appendix 4: Maximum concentrations and </w:t>
            </w:r>
            <w:r w:rsidR="00D5249B" w:rsidRPr="00AB183C">
              <w:rPr>
                <w:rStyle w:val="Hyperlink"/>
                <w:noProof/>
                <w:lang w:eastAsia="en-AU"/>
              </w:rPr>
              <w:t>trigger points for investigation</w:t>
            </w:r>
            <w:r w:rsidR="00D5249B">
              <w:rPr>
                <w:noProof/>
                <w:webHidden/>
              </w:rPr>
              <w:tab/>
            </w:r>
            <w:r w:rsidR="00D5249B">
              <w:rPr>
                <w:noProof/>
                <w:webHidden/>
              </w:rPr>
              <w:fldChar w:fldCharType="begin"/>
            </w:r>
            <w:r w:rsidR="00D5249B">
              <w:rPr>
                <w:noProof/>
                <w:webHidden/>
              </w:rPr>
              <w:instrText xml:space="preserve"> PAGEREF _Toc475360624 \h </w:instrText>
            </w:r>
            <w:r w:rsidR="00D5249B">
              <w:rPr>
                <w:noProof/>
                <w:webHidden/>
              </w:rPr>
            </w:r>
            <w:r w:rsidR="00D5249B">
              <w:rPr>
                <w:noProof/>
                <w:webHidden/>
              </w:rPr>
              <w:fldChar w:fldCharType="separate"/>
            </w:r>
            <w:r w:rsidR="00D5249B">
              <w:rPr>
                <w:noProof/>
                <w:webHidden/>
              </w:rPr>
              <w:t>40</w:t>
            </w:r>
            <w:r w:rsidR="00D5249B">
              <w:rPr>
                <w:noProof/>
                <w:webHidden/>
              </w:rPr>
              <w:fldChar w:fldCharType="end"/>
            </w:r>
          </w:hyperlink>
        </w:p>
        <w:p w14:paraId="4E55E160" w14:textId="77777777" w:rsidR="00D5249B" w:rsidRDefault="00B42527">
          <w:pPr>
            <w:pStyle w:val="TOC1"/>
            <w:tabs>
              <w:tab w:val="right" w:leader="dot" w:pos="9060"/>
            </w:tabs>
            <w:rPr>
              <w:rFonts w:eastAsiaTheme="minorEastAsia"/>
              <w:b w:val="0"/>
              <w:bCs w:val="0"/>
              <w:caps w:val="0"/>
              <w:noProof/>
              <w:sz w:val="22"/>
              <w:szCs w:val="22"/>
              <w:lang w:eastAsia="en-GB"/>
            </w:rPr>
          </w:pPr>
          <w:hyperlink w:anchor="_Toc475360625" w:history="1">
            <w:r w:rsidR="00D5249B" w:rsidRPr="00AB183C">
              <w:rPr>
                <w:rStyle w:val="Hyperlink"/>
                <w:noProof/>
              </w:rPr>
              <w:t>Appendix 5: Dietary exposure assessments at FSANZ</w:t>
            </w:r>
            <w:r w:rsidR="00D5249B">
              <w:rPr>
                <w:noProof/>
                <w:webHidden/>
              </w:rPr>
              <w:tab/>
            </w:r>
            <w:r w:rsidR="00D5249B">
              <w:rPr>
                <w:noProof/>
                <w:webHidden/>
              </w:rPr>
              <w:fldChar w:fldCharType="begin"/>
            </w:r>
            <w:r w:rsidR="00D5249B">
              <w:rPr>
                <w:noProof/>
                <w:webHidden/>
              </w:rPr>
              <w:instrText xml:space="preserve"> PAGEREF _Toc475360625 \h </w:instrText>
            </w:r>
            <w:r w:rsidR="00D5249B">
              <w:rPr>
                <w:noProof/>
                <w:webHidden/>
              </w:rPr>
            </w:r>
            <w:r w:rsidR="00D5249B">
              <w:rPr>
                <w:noProof/>
                <w:webHidden/>
              </w:rPr>
              <w:fldChar w:fldCharType="separate"/>
            </w:r>
            <w:r w:rsidR="00D5249B">
              <w:rPr>
                <w:noProof/>
                <w:webHidden/>
              </w:rPr>
              <w:t>41</w:t>
            </w:r>
            <w:r w:rsidR="00D5249B">
              <w:rPr>
                <w:noProof/>
                <w:webHidden/>
              </w:rPr>
              <w:fldChar w:fldCharType="end"/>
            </w:r>
          </w:hyperlink>
        </w:p>
        <w:p w14:paraId="31B4AB28" w14:textId="1596CB64" w:rsidR="000B1FBD" w:rsidRPr="00380A89" w:rsidRDefault="003961ED" w:rsidP="00380A89">
          <w:pPr>
            <w:pStyle w:val="TOC1"/>
            <w:rPr>
              <w:b w:val="0"/>
              <w:bCs w:val="0"/>
              <w:noProof/>
            </w:rPr>
          </w:pPr>
          <w:r w:rsidRPr="00FC62C9">
            <w:rPr>
              <w:sz w:val="18"/>
              <w:szCs w:val="18"/>
            </w:rPr>
            <w:fldChar w:fldCharType="end"/>
          </w:r>
        </w:p>
      </w:sdtContent>
    </w:sdt>
    <w:p w14:paraId="6487E8B0" w14:textId="586270BF" w:rsidR="00B6342F" w:rsidRDefault="00FC62C9" w:rsidP="00474032">
      <w:pPr>
        <w:pStyle w:val="Heading1"/>
      </w:pPr>
      <w:bookmarkStart w:id="0" w:name="_Toc474153244"/>
      <w:bookmarkStart w:id="1" w:name="_Toc474158924"/>
      <w:bookmarkStart w:id="2" w:name="_Toc474847884"/>
      <w:r>
        <w:br w:type="column"/>
      </w:r>
      <w:bookmarkStart w:id="3" w:name="_Toc475360590"/>
      <w:r w:rsidR="00624D73" w:rsidRPr="00474032">
        <w:lastRenderedPageBreak/>
        <w:t xml:space="preserve">Executive </w:t>
      </w:r>
      <w:r w:rsidR="00B6342F" w:rsidRPr="00474032">
        <w:t>Summary</w:t>
      </w:r>
      <w:bookmarkEnd w:id="0"/>
      <w:bookmarkEnd w:id="1"/>
      <w:bookmarkEnd w:id="2"/>
      <w:bookmarkEnd w:id="3"/>
    </w:p>
    <w:p w14:paraId="1334FBAB" w14:textId="1214CB1F" w:rsidR="00427893" w:rsidRPr="005246CB" w:rsidRDefault="00427893" w:rsidP="00FC40EB">
      <w:r w:rsidRPr="005246CB">
        <w:t xml:space="preserve">In </w:t>
      </w:r>
      <w:r w:rsidR="0035248B">
        <w:t>June</w:t>
      </w:r>
      <w:r w:rsidR="005246CB" w:rsidRPr="005246CB">
        <w:t xml:space="preserve"> 2016</w:t>
      </w:r>
      <w:r w:rsidRPr="005246CB">
        <w:t xml:space="preserve"> t</w:t>
      </w:r>
      <w:r w:rsidR="00587F9A" w:rsidRPr="005246CB">
        <w:t xml:space="preserve">he Department of Health </w:t>
      </w:r>
      <w:r w:rsidRPr="005246CB">
        <w:t>asked Food Standards Australia New Zealand (</w:t>
      </w:r>
      <w:r w:rsidR="00587F9A" w:rsidRPr="005246CB">
        <w:t>FSANZ</w:t>
      </w:r>
      <w:r w:rsidRPr="005246CB">
        <w:t>)</w:t>
      </w:r>
      <w:r w:rsidR="00587F9A" w:rsidRPr="005246CB">
        <w:t xml:space="preserve"> </w:t>
      </w:r>
      <w:r w:rsidR="006C1C23" w:rsidRPr="005246CB">
        <w:t xml:space="preserve">to </w:t>
      </w:r>
      <w:r w:rsidR="00FC40EB" w:rsidRPr="005246CB">
        <w:t xml:space="preserve">provide a preliminary dietary exposure report </w:t>
      </w:r>
      <w:r w:rsidRPr="005246CB">
        <w:t xml:space="preserve">on </w:t>
      </w:r>
      <w:proofErr w:type="spellStart"/>
      <w:r w:rsidRPr="005246CB">
        <w:t>perfluorooctane</w:t>
      </w:r>
      <w:proofErr w:type="spellEnd"/>
      <w:r w:rsidRPr="005246CB">
        <w:t xml:space="preserve"> </w:t>
      </w:r>
      <w:proofErr w:type="spellStart"/>
      <w:r w:rsidRPr="005246CB">
        <w:t>sulfonate</w:t>
      </w:r>
      <w:proofErr w:type="spellEnd"/>
      <w:r w:rsidRPr="005246CB">
        <w:t xml:space="preserve"> (PFOS), </w:t>
      </w:r>
      <w:proofErr w:type="spellStart"/>
      <w:r w:rsidRPr="005246CB">
        <w:t>perfluorooctanoic</w:t>
      </w:r>
      <w:proofErr w:type="spellEnd"/>
      <w:r w:rsidRPr="005246CB">
        <w:t xml:space="preserve"> acid (PFOA) and </w:t>
      </w:r>
      <w:proofErr w:type="spellStart"/>
      <w:r w:rsidRPr="005246CB">
        <w:t>perfluorohexane</w:t>
      </w:r>
      <w:proofErr w:type="spellEnd"/>
      <w:r w:rsidRPr="005246CB">
        <w:t xml:space="preserve"> </w:t>
      </w:r>
      <w:proofErr w:type="spellStart"/>
      <w:r w:rsidRPr="005246CB">
        <w:t>sulfonate</w:t>
      </w:r>
      <w:proofErr w:type="spellEnd"/>
      <w:r w:rsidRPr="005246CB">
        <w:t xml:space="preserve"> (</w:t>
      </w:r>
      <w:proofErr w:type="spellStart"/>
      <w:r w:rsidRPr="005246CB">
        <w:t>PFHxS</w:t>
      </w:r>
      <w:proofErr w:type="spellEnd"/>
      <w:r w:rsidRPr="005246CB">
        <w:t xml:space="preserve">). </w:t>
      </w:r>
    </w:p>
    <w:p w14:paraId="3259493B" w14:textId="5BE3FDBB" w:rsidR="00427893" w:rsidRPr="005246CB" w:rsidRDefault="00427893" w:rsidP="00FC40EB">
      <w:r w:rsidRPr="005246CB">
        <w:t xml:space="preserve">FSANZ assessed the potential risks related to exposure to these compounds </w:t>
      </w:r>
      <w:r w:rsidR="006C1C23" w:rsidRPr="005246CB">
        <w:t xml:space="preserve">from the diet for the general population and populations living </w:t>
      </w:r>
      <w:r w:rsidR="00E9211C" w:rsidRPr="005246CB">
        <w:t>close</w:t>
      </w:r>
      <w:r w:rsidR="006C1C23" w:rsidRPr="005246CB">
        <w:t xml:space="preserve"> to contaminated sites. The objective </w:t>
      </w:r>
      <w:r w:rsidRPr="005246CB">
        <w:t>of this work</w:t>
      </w:r>
      <w:r w:rsidR="006C1C23" w:rsidRPr="005246CB">
        <w:t xml:space="preserve"> was to provide sufficient information to allow an assessment of the potential risks to public health and safety. </w:t>
      </w:r>
    </w:p>
    <w:p w14:paraId="56187FAA" w14:textId="69368580" w:rsidR="006C1C23" w:rsidRDefault="00FC40EB" w:rsidP="00FC40EB">
      <w:r w:rsidRPr="005246CB">
        <w:t>This report complements the first report provided by FSANZ to the Department of Health on health-based guidance values</w:t>
      </w:r>
      <w:r>
        <w:t xml:space="preserve"> for the three chemicals (</w:t>
      </w:r>
      <w:r w:rsidR="00614EF7">
        <w:t xml:space="preserve">Supporting Document </w:t>
      </w:r>
      <w:r>
        <w:t>1).</w:t>
      </w:r>
      <w:r w:rsidR="00D04C5D">
        <w:t xml:space="preserve"> </w:t>
      </w:r>
      <w:r w:rsidR="00CA4F27">
        <w:t>It</w:t>
      </w:r>
      <w:r w:rsidR="00D04C5D" w:rsidRPr="0038596E">
        <w:t xml:space="preserve"> </w:t>
      </w:r>
      <w:r w:rsidR="00666D6A">
        <w:t>aims to provide</w:t>
      </w:r>
      <w:r w:rsidR="00D04C5D">
        <w:t xml:space="preserve"> information </w:t>
      </w:r>
      <w:r w:rsidR="00427893">
        <w:t>that p</w:t>
      </w:r>
      <w:r w:rsidR="00D04C5D" w:rsidRPr="00B72350">
        <w:t>ublic health and food regulatory officials</w:t>
      </w:r>
      <w:r w:rsidR="00D04C5D">
        <w:t xml:space="preserve"> </w:t>
      </w:r>
      <w:r w:rsidR="00427893">
        <w:t xml:space="preserve">can use to develop </w:t>
      </w:r>
      <w:r w:rsidR="00D04C5D">
        <w:t>a response to finding</w:t>
      </w:r>
      <w:r w:rsidR="00427893">
        <w:t xml:space="preserve"> these chemicals i</w:t>
      </w:r>
      <w:r w:rsidR="003D4980">
        <w:t xml:space="preserve">n food sourced </w:t>
      </w:r>
      <w:r w:rsidR="00E9211C">
        <w:t xml:space="preserve">from or near </w:t>
      </w:r>
      <w:r w:rsidR="003D4980">
        <w:t>contaminated sites.</w:t>
      </w:r>
    </w:p>
    <w:p w14:paraId="0B417132" w14:textId="054AB29F" w:rsidR="00E9211C" w:rsidRDefault="00F0153C" w:rsidP="006C1C23">
      <w:r>
        <w:t>T</w:t>
      </w:r>
      <w:r w:rsidR="006C1C23">
        <w:t xml:space="preserve">he preliminary dietary exposure assessment identified a number of data deficiencies which </w:t>
      </w:r>
      <w:r w:rsidR="00E9211C">
        <w:t xml:space="preserve">meant </w:t>
      </w:r>
      <w:r w:rsidR="006C1C23">
        <w:t xml:space="preserve">FSANZ </w:t>
      </w:r>
      <w:r w:rsidR="00E9211C">
        <w:t xml:space="preserve">could not do </w:t>
      </w:r>
      <w:r w:rsidR="006C1C23">
        <w:t>a formal dietary exposure assessment</w:t>
      </w:r>
      <w:r w:rsidR="00453CD7">
        <w:t xml:space="preserve"> for the general </w:t>
      </w:r>
      <w:r w:rsidR="00C437A3">
        <w:t>population. However, the limited data available from the 24</w:t>
      </w:r>
      <w:r w:rsidR="00C437A3" w:rsidRPr="00EC2820">
        <w:rPr>
          <w:vertAlign w:val="superscript"/>
        </w:rPr>
        <w:t>th</w:t>
      </w:r>
      <w:r w:rsidR="00C437A3">
        <w:t xml:space="preserve"> Australian Total Diet Study (ATDS) and a review of the literature indicate that dietary exposure from the general f</w:t>
      </w:r>
      <w:r w:rsidR="008E4DFD">
        <w:t>ood supply is likely to be low.</w:t>
      </w:r>
    </w:p>
    <w:p w14:paraId="1B1220A8" w14:textId="772312B8" w:rsidR="008A30A7" w:rsidRDefault="00453CD7" w:rsidP="00965109">
      <w:r>
        <w:t>T</w:t>
      </w:r>
      <w:r w:rsidR="006C1C23">
        <w:t xml:space="preserve">his report assesses </w:t>
      </w:r>
      <w:r w:rsidR="00427893">
        <w:t>how much of an</w:t>
      </w:r>
      <w:r w:rsidR="006C1C23">
        <w:t xml:space="preserve"> individual food or food group sourced from contaminated sites that contain PFOS, PFOA and/or </w:t>
      </w:r>
      <w:proofErr w:type="spellStart"/>
      <w:r w:rsidR="006C1C23">
        <w:t>PFHxS</w:t>
      </w:r>
      <w:proofErr w:type="spellEnd"/>
      <w:r w:rsidR="006C1C23">
        <w:t xml:space="preserve"> may be consumed by the Australian population without exceeding the relevant Tolerable Daily Intake (TDI). </w:t>
      </w:r>
      <w:r w:rsidR="008D2ACE">
        <w:t xml:space="preserve">If a calculated amount for a </w:t>
      </w:r>
      <w:r w:rsidR="008D2ACE" w:rsidRPr="00B72350">
        <w:t xml:space="preserve">specified </w:t>
      </w:r>
      <w:r w:rsidR="008D2ACE">
        <w:t xml:space="preserve">chemical/ </w:t>
      </w:r>
      <w:r w:rsidR="008D2ACE" w:rsidRPr="00B72350">
        <w:t>food group</w:t>
      </w:r>
      <w:r w:rsidR="008D2ACE">
        <w:t xml:space="preserve">(s) combination is less than people normally eat </w:t>
      </w:r>
      <w:r w:rsidR="004A2D8D">
        <w:t xml:space="preserve">then </w:t>
      </w:r>
      <w:r w:rsidR="008D2ACE">
        <w:t xml:space="preserve">public advice on consuming these foods </w:t>
      </w:r>
      <w:r w:rsidR="004A2D8D">
        <w:t xml:space="preserve">may be required </w:t>
      </w:r>
      <w:r w:rsidR="008D2ACE">
        <w:t xml:space="preserve">when they are sourced from or near contaminated sites. </w:t>
      </w:r>
      <w:r w:rsidR="006C1C23">
        <w:t xml:space="preserve">In addition, </w:t>
      </w:r>
      <w:r w:rsidR="00530B74">
        <w:t xml:space="preserve">trigger points for investigation </w:t>
      </w:r>
      <w:r w:rsidR="00FC40EB">
        <w:t xml:space="preserve">have been </w:t>
      </w:r>
      <w:r w:rsidR="006C1C23">
        <w:t>derived for each food or food group</w:t>
      </w:r>
      <w:r w:rsidR="00965109">
        <w:t xml:space="preserve"> assessed</w:t>
      </w:r>
      <w:r w:rsidR="006C1C23">
        <w:t xml:space="preserve"> for PFOS</w:t>
      </w:r>
      <w:r w:rsidR="00AD43C8">
        <w:t xml:space="preserve"> + </w:t>
      </w:r>
      <w:proofErr w:type="spellStart"/>
      <w:r w:rsidR="00AD43C8">
        <w:t>PFHxS</w:t>
      </w:r>
      <w:proofErr w:type="spellEnd"/>
      <w:r w:rsidR="00AD43C8">
        <w:t xml:space="preserve"> combined </w:t>
      </w:r>
      <w:r w:rsidR="006C1C23">
        <w:t>and PFOA.</w:t>
      </w:r>
      <w:r w:rsidR="008D2ACE">
        <w:t xml:space="preserve"> Public health and/or food regulatory professionals may use the trigger points for investigation of specified chemicals to identify when levels in analysed foods exceed these values and require more research</w:t>
      </w:r>
      <w:r w:rsidR="008D2ACE" w:rsidRPr="00B72350">
        <w:t>.</w:t>
      </w:r>
    </w:p>
    <w:p w14:paraId="4793041A" w14:textId="6765D942" w:rsidR="001A0516" w:rsidRDefault="00B72350" w:rsidP="00965109">
      <w:r>
        <w:t>The quality of the o</w:t>
      </w:r>
      <w:r w:rsidR="008D5909">
        <w:t>ccurrence data</w:t>
      </w:r>
      <w:r>
        <w:t xml:space="preserve"> and the high number of non-detects are</w:t>
      </w:r>
      <w:r w:rsidR="008D5909">
        <w:t xml:space="preserve"> </w:t>
      </w:r>
      <w:r>
        <w:t>the</w:t>
      </w:r>
      <w:r w:rsidR="008D5909">
        <w:t xml:space="preserve"> major source of uncertainty in </w:t>
      </w:r>
      <w:r>
        <w:t>the exposure calculations.</w:t>
      </w:r>
      <w:r w:rsidR="008D5909">
        <w:t xml:space="preserve"> </w:t>
      </w:r>
      <w:r w:rsidR="00C42120">
        <w:t xml:space="preserve">FSANZ addressed this </w:t>
      </w:r>
      <w:r>
        <w:t xml:space="preserve">by </w:t>
      </w:r>
      <w:r w:rsidR="00E9211C">
        <w:t>using</w:t>
      </w:r>
      <w:r w:rsidR="008D5909">
        <w:t xml:space="preserve"> </w:t>
      </w:r>
      <w:r w:rsidR="00E177EA">
        <w:t xml:space="preserve">low, </w:t>
      </w:r>
      <w:r w:rsidR="002429BD">
        <w:t>middle and</w:t>
      </w:r>
      <w:r w:rsidR="00E177EA">
        <w:t xml:space="preserve"> </w:t>
      </w:r>
      <w:r w:rsidR="008D5909">
        <w:t xml:space="preserve">upper </w:t>
      </w:r>
      <w:r w:rsidR="00794478">
        <w:t>bound concentration levels</w:t>
      </w:r>
      <w:r w:rsidR="000A37C2">
        <w:t xml:space="preserve"> for PFOS</w:t>
      </w:r>
      <w:r w:rsidR="000A37C2" w:rsidRPr="00182BB3">
        <w:t xml:space="preserve">, </w:t>
      </w:r>
      <w:r w:rsidR="000A37C2">
        <w:t xml:space="preserve">PFOA and </w:t>
      </w:r>
      <w:proofErr w:type="spellStart"/>
      <w:r w:rsidR="000A37C2">
        <w:t>PFHxS</w:t>
      </w:r>
      <w:proofErr w:type="spellEnd"/>
      <w:r w:rsidR="000A37C2">
        <w:t xml:space="preserve"> in the differ</w:t>
      </w:r>
      <w:r w:rsidR="00F0153C">
        <w:t>en</w:t>
      </w:r>
      <w:r w:rsidR="000A37C2">
        <w:t>t food groups for which data were available</w:t>
      </w:r>
      <w:r w:rsidR="002429BD">
        <w:t>. T</w:t>
      </w:r>
      <w:r w:rsidR="002429BD" w:rsidRPr="002429BD">
        <w:t xml:space="preserve">he lower bound median is a ‘best case’ </w:t>
      </w:r>
      <w:r w:rsidR="001D5B0C">
        <w:t xml:space="preserve">scenario that </w:t>
      </w:r>
      <w:r w:rsidR="002429BD" w:rsidRPr="002429BD">
        <w:t>assum</w:t>
      </w:r>
      <w:r w:rsidR="001D5B0C">
        <w:t>es</w:t>
      </w:r>
      <w:r w:rsidR="002429BD" w:rsidRPr="002429BD">
        <w:t xml:space="preserve"> </w:t>
      </w:r>
      <w:r w:rsidR="001D5B0C">
        <w:t>for</w:t>
      </w:r>
      <w:r w:rsidR="002429BD" w:rsidRPr="002429BD">
        <w:t xml:space="preserve"> a non-detect </w:t>
      </w:r>
      <w:r w:rsidR="001D5B0C">
        <w:t xml:space="preserve">result </w:t>
      </w:r>
      <w:r w:rsidR="002429BD" w:rsidRPr="002429BD">
        <w:t xml:space="preserve">the food is free of the component. The upper bound median is a ‘worst case’ </w:t>
      </w:r>
      <w:r w:rsidR="001D5B0C">
        <w:t xml:space="preserve">scenario that </w:t>
      </w:r>
      <w:r w:rsidR="002429BD" w:rsidRPr="002429BD">
        <w:t>assum</w:t>
      </w:r>
      <w:r w:rsidR="001D5B0C">
        <w:t>es</w:t>
      </w:r>
      <w:r w:rsidR="002429BD" w:rsidRPr="002429BD">
        <w:t xml:space="preserve"> </w:t>
      </w:r>
      <w:r w:rsidR="001D5B0C">
        <w:t xml:space="preserve">for </w:t>
      </w:r>
      <w:r w:rsidR="002429BD" w:rsidRPr="002429BD">
        <w:t xml:space="preserve">a non-detect </w:t>
      </w:r>
      <w:r w:rsidR="001D5B0C">
        <w:t xml:space="preserve">result </w:t>
      </w:r>
      <w:r w:rsidR="002429BD" w:rsidRPr="002429BD">
        <w:t xml:space="preserve">the component is present at the </w:t>
      </w:r>
      <w:r w:rsidR="00794478">
        <w:t>limit of detection (LOD)</w:t>
      </w:r>
      <w:r w:rsidR="002429BD" w:rsidRPr="002429BD">
        <w:t>. The middle bound is halfway between the other bounds.</w:t>
      </w:r>
      <w:r w:rsidR="008D5909">
        <w:t xml:space="preserve"> </w:t>
      </w:r>
    </w:p>
    <w:p w14:paraId="2D6A6E14" w14:textId="35457CBF" w:rsidR="004F08DA" w:rsidRDefault="004F08DA" w:rsidP="00965109">
      <w:r>
        <w:t xml:space="preserve">Based on the limited occurrence data for contaminated sites submitted to FSANZ, mean upper bound PFOS concentrations were highest for rabbit meat, finfish livers, </w:t>
      </w:r>
      <w:r w:rsidR="003D6B71">
        <w:t xml:space="preserve">cattle meat and </w:t>
      </w:r>
      <w:r>
        <w:t>mammal</w:t>
      </w:r>
      <w:r w:rsidR="00941ABC">
        <w:t>ian offal. PFOA</w:t>
      </w:r>
      <w:r>
        <w:t xml:space="preserve"> concentrations </w:t>
      </w:r>
      <w:r w:rsidR="00AD28B5">
        <w:t xml:space="preserve">were </w:t>
      </w:r>
      <w:r>
        <w:t xml:space="preserve">below reporting limits for most samples. Mean upper bound analytical results for foods with </w:t>
      </w:r>
      <w:r w:rsidR="00AD28B5">
        <w:t xml:space="preserve">PFOA </w:t>
      </w:r>
      <w:r>
        <w:t xml:space="preserve">detections were highest for molluscs and freshwater fish. </w:t>
      </w:r>
      <w:r w:rsidR="002429BD">
        <w:t xml:space="preserve">There was less data available on </w:t>
      </w:r>
      <w:proofErr w:type="spellStart"/>
      <w:r>
        <w:t>PFHxS</w:t>
      </w:r>
      <w:proofErr w:type="spellEnd"/>
      <w:r>
        <w:t xml:space="preserve"> analyses than </w:t>
      </w:r>
      <w:r w:rsidR="00AD28B5">
        <w:t xml:space="preserve">for </w:t>
      </w:r>
      <w:r>
        <w:t>PFOS or PFOA</w:t>
      </w:r>
      <w:r w:rsidR="00BF336C">
        <w:t xml:space="preserve"> analyses</w:t>
      </w:r>
      <w:r>
        <w:t xml:space="preserve">. Mean upper bound </w:t>
      </w:r>
      <w:proofErr w:type="spellStart"/>
      <w:r w:rsidR="00AD28B5">
        <w:t>PFHxS</w:t>
      </w:r>
      <w:proofErr w:type="spellEnd"/>
      <w:r w:rsidR="00AD28B5">
        <w:t xml:space="preserve"> </w:t>
      </w:r>
      <w:r>
        <w:t xml:space="preserve">concentrations were highest for cattle meat, </w:t>
      </w:r>
      <w:r w:rsidR="000C5BB0">
        <w:t xml:space="preserve">rabbit meat and </w:t>
      </w:r>
      <w:r>
        <w:t xml:space="preserve">eggs. </w:t>
      </w:r>
    </w:p>
    <w:p w14:paraId="38B22B0C" w14:textId="149459F1" w:rsidR="00960346" w:rsidRDefault="008D2ACE" w:rsidP="008D5909">
      <w:r>
        <w:t>For PFOA t</w:t>
      </w:r>
      <w:r w:rsidR="005D3216">
        <w:t xml:space="preserve">he amount of each 'contaminated site' food that could be consumed before the relevant TDI was </w:t>
      </w:r>
      <w:r w:rsidR="00221402">
        <w:t>exceeded</w:t>
      </w:r>
      <w:r w:rsidR="005D3216">
        <w:t xml:space="preserve"> was much greater than amounts usually eaten by high consumers even </w:t>
      </w:r>
      <w:r w:rsidR="004A2D8D">
        <w:t xml:space="preserve">assuming </w:t>
      </w:r>
      <w:r w:rsidR="005D3216">
        <w:t>upper bound median concentrations</w:t>
      </w:r>
      <w:r w:rsidR="004A2D8D">
        <w:t xml:space="preserve"> of PFOA</w:t>
      </w:r>
      <w:r w:rsidR="005D3216">
        <w:t xml:space="preserve">. </w:t>
      </w:r>
      <w:r>
        <w:t xml:space="preserve">Usual food </w:t>
      </w:r>
      <w:r>
        <w:lastRenderedPageBreak/>
        <w:t>consumption p</w:t>
      </w:r>
      <w:r w:rsidR="00965109">
        <w:t xml:space="preserve">atterns were as reported in the </w:t>
      </w:r>
      <w:r>
        <w:t>2011-13 Australian Health Survey</w:t>
      </w:r>
      <w:r w:rsidR="005D3216">
        <w:t xml:space="preserve">. PFOS has a lower TDI than PFOA so the outcome of </w:t>
      </w:r>
      <w:r w:rsidR="00D32030">
        <w:t xml:space="preserve">these </w:t>
      </w:r>
      <w:r w:rsidR="005D3216">
        <w:t>calculations was different. For PFOS</w:t>
      </w:r>
      <w:r w:rsidR="005D3216" w:rsidRPr="005D3216">
        <w:t xml:space="preserve"> </w:t>
      </w:r>
      <w:r w:rsidR="005D3216">
        <w:t xml:space="preserve">and PFOS + </w:t>
      </w:r>
      <w:proofErr w:type="spellStart"/>
      <w:r w:rsidR="005D3216">
        <w:t>PFHxS</w:t>
      </w:r>
      <w:proofErr w:type="spellEnd"/>
      <w:r w:rsidR="005D3216">
        <w:t xml:space="preserve"> combined</w:t>
      </w:r>
      <w:r w:rsidR="00F54A3E">
        <w:t xml:space="preserve"> f</w:t>
      </w:r>
      <w:r w:rsidR="005828AA">
        <w:t xml:space="preserve">or </w:t>
      </w:r>
      <w:r w:rsidR="005D3216">
        <w:t xml:space="preserve">the </w:t>
      </w:r>
      <w:r w:rsidR="005828AA">
        <w:t>food groups</w:t>
      </w:r>
      <w:r w:rsidR="003D68B2">
        <w:t xml:space="preserve"> </w:t>
      </w:r>
      <w:r w:rsidR="001F30EB">
        <w:t>assessed</w:t>
      </w:r>
      <w:r w:rsidR="002330C0">
        <w:t>,</w:t>
      </w:r>
      <w:r w:rsidR="001F30EB">
        <w:t xml:space="preserve"> </w:t>
      </w:r>
      <w:r w:rsidR="003D68B2">
        <w:t xml:space="preserve">the amount of foods </w:t>
      </w:r>
      <w:r w:rsidR="005828AA">
        <w:t xml:space="preserve">containing PFOS </w:t>
      </w:r>
      <w:r w:rsidR="003E67F8">
        <w:t>or</w:t>
      </w:r>
      <w:r w:rsidR="005828AA">
        <w:t xml:space="preserve"> PFOS + </w:t>
      </w:r>
      <w:proofErr w:type="spellStart"/>
      <w:r w:rsidR="005828AA">
        <w:t>PFHxS</w:t>
      </w:r>
      <w:proofErr w:type="spellEnd"/>
      <w:r w:rsidR="005828AA">
        <w:t xml:space="preserve"> </w:t>
      </w:r>
      <w:r w:rsidR="00DF58B4">
        <w:t xml:space="preserve">combined </w:t>
      </w:r>
      <w:r w:rsidR="005828AA">
        <w:t xml:space="preserve">at reported levels </w:t>
      </w:r>
      <w:r w:rsidR="003D68B2">
        <w:t xml:space="preserve">from contaminated sites </w:t>
      </w:r>
      <w:r w:rsidR="005828AA">
        <w:t xml:space="preserve">that </w:t>
      </w:r>
      <w:r w:rsidR="003D68B2">
        <w:t xml:space="preserve">may be consumed without </w:t>
      </w:r>
      <w:r w:rsidR="00221402">
        <w:t>exceeding</w:t>
      </w:r>
      <w:r w:rsidR="003D68B2" w:rsidRPr="00BB76EF">
        <w:rPr>
          <w:color w:val="000000" w:themeColor="text1"/>
        </w:rPr>
        <w:t xml:space="preserve"> </w:t>
      </w:r>
      <w:r w:rsidR="003D68B2">
        <w:t>the relevant TDI</w:t>
      </w:r>
      <w:r w:rsidR="005828AA">
        <w:t xml:space="preserve"> was lower than the </w:t>
      </w:r>
      <w:r w:rsidR="001A0516" w:rsidRPr="001A0516">
        <w:t>usual amounts of food</w:t>
      </w:r>
      <w:r w:rsidR="005828AA">
        <w:t xml:space="preserve"> consumed</w:t>
      </w:r>
      <w:r w:rsidR="001A0516" w:rsidRPr="001A0516">
        <w:t>.</w:t>
      </w:r>
      <w:r w:rsidR="00AC5933">
        <w:t xml:space="preserve"> </w:t>
      </w:r>
      <w:r w:rsidR="008D5909">
        <w:t xml:space="preserve">For PFOS </w:t>
      </w:r>
      <w:r w:rsidR="00AC5933">
        <w:t>this occurred for the whole population with</w:t>
      </w:r>
      <w:r w:rsidR="008D5909">
        <w:t xml:space="preserve"> cattle meat, rabbit meat, milk and offal</w:t>
      </w:r>
      <w:r w:rsidR="001F30EB">
        <w:t xml:space="preserve"> assuming low, mid</w:t>
      </w:r>
      <w:r w:rsidR="00F54A3E">
        <w:t>dle</w:t>
      </w:r>
      <w:r w:rsidR="001F30EB">
        <w:t xml:space="preserve"> and upper bound median concentrations</w:t>
      </w:r>
      <w:r w:rsidR="008D5909">
        <w:t xml:space="preserve">. For children aged 2-6 years </w:t>
      </w:r>
      <w:r w:rsidR="001A0516">
        <w:t xml:space="preserve">this </w:t>
      </w:r>
      <w:r w:rsidR="008D5909">
        <w:t>applie</w:t>
      </w:r>
      <w:r w:rsidR="00AC5933">
        <w:t>d</w:t>
      </w:r>
      <w:r w:rsidR="008D5909">
        <w:t xml:space="preserve"> to cattle meat and milk </w:t>
      </w:r>
      <w:r w:rsidR="001F30EB">
        <w:t>assuming low, mid</w:t>
      </w:r>
      <w:r w:rsidR="00F54A3E">
        <w:t>dle</w:t>
      </w:r>
      <w:r w:rsidR="001F30EB">
        <w:t xml:space="preserve"> and upper bound median concentrations </w:t>
      </w:r>
      <w:r w:rsidR="008D5909">
        <w:t xml:space="preserve">and in addition, at the upper bound </w:t>
      </w:r>
      <w:r w:rsidR="001F30EB">
        <w:t xml:space="preserve">median concentration </w:t>
      </w:r>
      <w:r w:rsidR="00854CC8">
        <w:t xml:space="preserve">for </w:t>
      </w:r>
      <w:r w:rsidR="008D5909">
        <w:t>some vegetables</w:t>
      </w:r>
      <w:r w:rsidR="001A0516">
        <w:t xml:space="preserve">. </w:t>
      </w:r>
      <w:r w:rsidR="00221402">
        <w:t xml:space="preserve">Occasional </w:t>
      </w:r>
      <w:proofErr w:type="spellStart"/>
      <w:r w:rsidR="00221402">
        <w:t>exceedances</w:t>
      </w:r>
      <w:proofErr w:type="spellEnd"/>
      <w:r w:rsidR="00221402">
        <w:t xml:space="preserve"> of the TDI from consumption of a specific food on one day or over a short period are not of public health concern. </w:t>
      </w:r>
    </w:p>
    <w:p w14:paraId="47CD96E0" w14:textId="7DB5EDB2" w:rsidR="008D5909" w:rsidRPr="005246CB" w:rsidRDefault="008A0CC2" w:rsidP="008D5909">
      <w:r>
        <w:t>I</w:t>
      </w:r>
      <w:r w:rsidR="00FD3BEF" w:rsidRPr="005246CB">
        <w:t xml:space="preserve">t is considered extremely unlikely that food consumption of a specific food group over </w:t>
      </w:r>
      <w:r w:rsidR="00D869CD" w:rsidRPr="005246CB">
        <w:t xml:space="preserve">a </w:t>
      </w:r>
      <w:r w:rsidR="006D6983" w:rsidRPr="005246CB">
        <w:t>period</w:t>
      </w:r>
      <w:r w:rsidR="00FD3BEF" w:rsidRPr="005246CB">
        <w:t xml:space="preserve"> would all be from food sourced locally </w:t>
      </w:r>
      <w:r w:rsidR="002F1FF0" w:rsidRPr="005246CB">
        <w:t xml:space="preserve">from </w:t>
      </w:r>
      <w:r w:rsidR="00FD3BEF" w:rsidRPr="005246CB">
        <w:t xml:space="preserve">a contaminated site. This is particularly true for milk </w:t>
      </w:r>
      <w:r w:rsidR="00EF3056" w:rsidRPr="005246CB">
        <w:t xml:space="preserve">and milk products </w:t>
      </w:r>
      <w:r w:rsidR="00C42120" w:rsidRPr="005246CB">
        <w:t xml:space="preserve">because </w:t>
      </w:r>
      <w:r w:rsidR="00EF3056" w:rsidRPr="005246CB">
        <w:t>milk</w:t>
      </w:r>
      <w:r w:rsidR="00FD3BEF" w:rsidRPr="005246CB">
        <w:t xml:space="preserve"> </w:t>
      </w:r>
      <w:r w:rsidR="00C42120" w:rsidRPr="005246CB">
        <w:t xml:space="preserve">doesn’t normally come </w:t>
      </w:r>
      <w:r w:rsidR="00FD3BEF" w:rsidRPr="005246CB">
        <w:t>from one animal but is collected from many animals and several sources, mixed and homogenised and then distributed through retail outlets.</w:t>
      </w:r>
    </w:p>
    <w:p w14:paraId="7AAC6115" w14:textId="1087A024" w:rsidR="001A0516" w:rsidRPr="005246CB" w:rsidRDefault="004A2D8D" w:rsidP="008D5909">
      <w:r>
        <w:t xml:space="preserve">FSANZ developed trigger points for investigation for PFOS + </w:t>
      </w:r>
      <w:proofErr w:type="spellStart"/>
      <w:r>
        <w:t>PFHxS</w:t>
      </w:r>
      <w:proofErr w:type="spellEnd"/>
      <w:r>
        <w:t xml:space="preserve"> combined and PFOA</w:t>
      </w:r>
      <w:r w:rsidR="00965109">
        <w:t xml:space="preserve"> </w:t>
      </w:r>
      <w:r w:rsidR="00965109" w:rsidRPr="005246CB">
        <w:t>for all the food groups assessed</w:t>
      </w:r>
      <w:r>
        <w:t>. Trigger points are the maximum concentration level of these chemicals</w:t>
      </w:r>
      <w:r w:rsidRPr="00D45325">
        <w:t xml:space="preserve"> that could be present in individual food</w:t>
      </w:r>
      <w:r>
        <w:t>s</w:t>
      </w:r>
      <w:r w:rsidRPr="00D45325">
        <w:t xml:space="preserve"> or food groups </w:t>
      </w:r>
      <w:r>
        <w:t xml:space="preserve">so even high consumers of these foods would not have dietary exposures exceeding the relevant TDI. </w:t>
      </w:r>
      <w:r w:rsidR="00965109">
        <w:t>F</w:t>
      </w:r>
      <w:r w:rsidR="006804C6" w:rsidRPr="005246CB">
        <w:t>or a chemical of interest</w:t>
      </w:r>
      <w:r w:rsidR="000608FF" w:rsidRPr="005246CB">
        <w:t>,</w:t>
      </w:r>
      <w:r w:rsidR="006804C6" w:rsidRPr="005246CB">
        <w:t xml:space="preserve"> the </w:t>
      </w:r>
      <w:r>
        <w:t xml:space="preserve">trigger points are lower for </w:t>
      </w:r>
      <w:r w:rsidR="00490D72">
        <w:t xml:space="preserve">those </w:t>
      </w:r>
      <w:r>
        <w:t xml:space="preserve">foods </w:t>
      </w:r>
      <w:r w:rsidR="00490D72">
        <w:t xml:space="preserve">that are usually </w:t>
      </w:r>
      <w:r>
        <w:t>consumed in larger amounts.</w:t>
      </w:r>
      <w:r w:rsidR="006804C6" w:rsidRPr="005246CB">
        <w:t xml:space="preserve"> </w:t>
      </w:r>
      <w:r w:rsidR="001A0516" w:rsidRPr="005246CB">
        <w:t xml:space="preserve">Proposed </w:t>
      </w:r>
      <w:r w:rsidR="00530B74" w:rsidRPr="005246CB">
        <w:t xml:space="preserve">trigger points for investigation </w:t>
      </w:r>
      <w:r w:rsidR="001A0516" w:rsidRPr="005246CB">
        <w:t xml:space="preserve">for </w:t>
      </w:r>
      <w:r w:rsidR="008D5909" w:rsidRPr="005246CB">
        <w:t>PFOS +</w:t>
      </w:r>
      <w:r w:rsidR="00AD28B5" w:rsidRPr="005246CB">
        <w:t xml:space="preserve"> </w:t>
      </w:r>
      <w:proofErr w:type="spellStart"/>
      <w:r w:rsidR="008D5909" w:rsidRPr="005246CB">
        <w:t>PFHxS</w:t>
      </w:r>
      <w:proofErr w:type="spellEnd"/>
      <w:r w:rsidR="008D5909" w:rsidRPr="005246CB">
        <w:t xml:space="preserve"> combined </w:t>
      </w:r>
      <w:r w:rsidR="00530B74" w:rsidRPr="005246CB">
        <w:t>are</w:t>
      </w:r>
      <w:r w:rsidR="008D5909" w:rsidRPr="005246CB">
        <w:t xml:space="preserve"> lower for </w:t>
      </w:r>
      <w:r w:rsidR="00E005E3">
        <w:t>milk (</w:t>
      </w:r>
      <w:r w:rsidR="00E005E3">
        <w:rPr>
          <w:lang w:eastAsia="en-AU"/>
        </w:rPr>
        <w:t>0.4</w:t>
      </w:r>
      <w:r w:rsidR="00E005E3" w:rsidRPr="00C66D88">
        <w:rPr>
          <w:lang w:eastAsia="en-AU"/>
        </w:rPr>
        <w:t xml:space="preserve"> </w:t>
      </w:r>
      <w:r w:rsidR="00E005E3" w:rsidRPr="00F365FE">
        <w:rPr>
          <w:lang w:eastAsia="en-AU"/>
        </w:rPr>
        <w:t>µg/kg</w:t>
      </w:r>
      <w:r w:rsidR="00E005E3">
        <w:rPr>
          <w:lang w:eastAsia="en-AU"/>
        </w:rPr>
        <w:t xml:space="preserve">), </w:t>
      </w:r>
      <w:r w:rsidR="008D5909" w:rsidRPr="005246CB">
        <w:t>fruit and vegetables (0.6 and 1.1 µg/kg res</w:t>
      </w:r>
      <w:r w:rsidR="00B42527">
        <w:t>pectively) than for finfish (5.2</w:t>
      </w:r>
      <w:r w:rsidR="008D5909" w:rsidRPr="005246CB">
        <w:t xml:space="preserve"> µg/kg), mammalia</w:t>
      </w:r>
      <w:r w:rsidR="00D869CD" w:rsidRPr="005246CB">
        <w:t>n meat (3.5 µg/kg) and eggs (11 </w:t>
      </w:r>
      <w:r w:rsidR="008D5909" w:rsidRPr="005246CB">
        <w:t xml:space="preserve">µg/kg). </w:t>
      </w:r>
      <w:r w:rsidR="009F6055" w:rsidRPr="005246CB">
        <w:t xml:space="preserve">Proposed </w:t>
      </w:r>
      <w:r w:rsidR="00D808CE" w:rsidRPr="005246CB">
        <w:t xml:space="preserve">trigger points for investigation for PFOS + </w:t>
      </w:r>
      <w:proofErr w:type="spellStart"/>
      <w:r w:rsidR="00D808CE" w:rsidRPr="005246CB">
        <w:t>PFHxS</w:t>
      </w:r>
      <w:proofErr w:type="spellEnd"/>
      <w:r w:rsidR="00D808CE" w:rsidRPr="005246CB">
        <w:t xml:space="preserve"> </w:t>
      </w:r>
      <w:r w:rsidR="007E19A8">
        <w:t xml:space="preserve">combined </w:t>
      </w:r>
      <w:r w:rsidR="008D5909" w:rsidRPr="005246CB">
        <w:t>for other seafood, honey and offal are substantially higher than those proposed for other commodities</w:t>
      </w:r>
      <w:r w:rsidR="007E19A8">
        <w:t>.</w:t>
      </w:r>
    </w:p>
    <w:p w14:paraId="440F2F9B" w14:textId="62ADCEF0" w:rsidR="001A0516" w:rsidRDefault="008D5909" w:rsidP="008D5909">
      <w:r w:rsidRPr="005246CB">
        <w:t xml:space="preserve">In most commodities, </w:t>
      </w:r>
      <w:r w:rsidR="00D61FDE" w:rsidRPr="005246CB">
        <w:t xml:space="preserve">the proposed </w:t>
      </w:r>
      <w:r w:rsidR="00D808CE" w:rsidRPr="005246CB">
        <w:t>trigger points for investigation</w:t>
      </w:r>
      <w:r w:rsidRPr="005246CB">
        <w:t xml:space="preserve"> </w:t>
      </w:r>
      <w:r w:rsidR="00D61FDE" w:rsidRPr="005246CB">
        <w:t xml:space="preserve">for PFOA </w:t>
      </w:r>
      <w:r w:rsidRPr="005246CB">
        <w:t xml:space="preserve">are </w:t>
      </w:r>
      <w:r w:rsidR="00D61FDE" w:rsidRPr="005246CB">
        <w:t xml:space="preserve">an </w:t>
      </w:r>
      <w:r w:rsidRPr="005246CB">
        <w:t xml:space="preserve">order of magnitude higher than those for PFOS. Like PFOS, </w:t>
      </w:r>
      <w:r w:rsidR="009F6055" w:rsidRPr="005246CB">
        <w:t xml:space="preserve">proposed </w:t>
      </w:r>
      <w:r w:rsidR="00D808CE" w:rsidRPr="005246CB">
        <w:t xml:space="preserve">trigger points for investigation </w:t>
      </w:r>
      <w:r w:rsidRPr="005246CB">
        <w:t>are lowest in fruit and vegetables, finfish and meat.</w:t>
      </w:r>
    </w:p>
    <w:p w14:paraId="0799BBEE" w14:textId="77777777" w:rsidR="001A0516" w:rsidRDefault="001A0516">
      <w:r>
        <w:br w:type="page"/>
      </w:r>
    </w:p>
    <w:p w14:paraId="2FDF5BD9" w14:textId="48794B97" w:rsidR="00B6342F" w:rsidRPr="00474032" w:rsidRDefault="00997E8E" w:rsidP="00474032">
      <w:pPr>
        <w:pStyle w:val="Heading1"/>
      </w:pPr>
      <w:bookmarkStart w:id="4" w:name="_Toc474153245"/>
      <w:bookmarkStart w:id="5" w:name="_Toc474158925"/>
      <w:bookmarkStart w:id="6" w:name="_Toc474847885"/>
      <w:bookmarkStart w:id="7" w:name="_Toc475360591"/>
      <w:r w:rsidRPr="00474032">
        <w:lastRenderedPageBreak/>
        <w:t>Introduction</w:t>
      </w:r>
      <w:bookmarkEnd w:id="4"/>
      <w:bookmarkEnd w:id="5"/>
      <w:bookmarkEnd w:id="6"/>
      <w:bookmarkEnd w:id="7"/>
    </w:p>
    <w:p w14:paraId="25FB7068" w14:textId="1C32E7B9" w:rsidR="00F51FC7" w:rsidRDefault="00B21E39" w:rsidP="00F51FC7">
      <w:r>
        <w:t>P</w:t>
      </w:r>
      <w:r w:rsidRPr="00B21E39">
        <w:t>er- and pol</w:t>
      </w:r>
      <w:r>
        <w:t>y-</w:t>
      </w:r>
      <w:proofErr w:type="spellStart"/>
      <w:r>
        <w:t>fluoroalkyl</w:t>
      </w:r>
      <w:proofErr w:type="spellEnd"/>
      <w:r>
        <w:t xml:space="preserve"> substances (PFAS)</w:t>
      </w:r>
      <w:r w:rsidRPr="00B21E39">
        <w:t xml:space="preserve"> are </w:t>
      </w:r>
      <w:proofErr w:type="spellStart"/>
      <w:r w:rsidRPr="00B21E39">
        <w:t>bioaccumulative</w:t>
      </w:r>
      <w:proofErr w:type="spellEnd"/>
      <w:r w:rsidRPr="00B21E39">
        <w:t xml:space="preserve"> in animals and humans</w:t>
      </w:r>
      <w:r w:rsidR="00A648D8">
        <w:t>.</w:t>
      </w:r>
      <w:r w:rsidRPr="00B21E39">
        <w:t xml:space="preserve"> </w:t>
      </w:r>
      <w:r w:rsidR="00F51FC7">
        <w:t xml:space="preserve">They are </w:t>
      </w:r>
      <w:r w:rsidR="00F51FC7" w:rsidRPr="003D5F9C">
        <w:t xml:space="preserve">very stable </w:t>
      </w:r>
      <w:proofErr w:type="spellStart"/>
      <w:r w:rsidR="00F51FC7" w:rsidRPr="003D5F9C">
        <w:t>organofluorine</w:t>
      </w:r>
      <w:proofErr w:type="spellEnd"/>
      <w:r w:rsidR="00F51FC7" w:rsidRPr="003D5F9C">
        <w:t xml:space="preserve"> chemicals that persist for a long time </w:t>
      </w:r>
      <w:r w:rsidR="00EC5776">
        <w:t xml:space="preserve">(years) </w:t>
      </w:r>
      <w:r w:rsidR="00F51FC7" w:rsidRPr="003D5F9C">
        <w:t>in the environment and in humans</w:t>
      </w:r>
      <w:r w:rsidR="00F51FC7">
        <w:t xml:space="preserve"> (ATSDR 2015</w:t>
      </w:r>
      <w:r w:rsidR="00F51FC7" w:rsidRPr="0002258A">
        <w:t xml:space="preserve">, </w:t>
      </w:r>
      <w:r w:rsidR="0002258A" w:rsidRPr="0002258A">
        <w:t>Supporting Document</w:t>
      </w:r>
      <w:r w:rsidR="001D4D50" w:rsidRPr="0002258A">
        <w:t xml:space="preserve"> 1</w:t>
      </w:r>
      <w:r w:rsidR="00F51FC7" w:rsidRPr="0002258A">
        <w:t xml:space="preserve">). </w:t>
      </w:r>
      <w:r w:rsidR="005F5B16" w:rsidRPr="0002258A">
        <w:t>PFAS</w:t>
      </w:r>
      <w:r w:rsidR="005F5B16">
        <w:t xml:space="preserve"> </w:t>
      </w:r>
      <w:r w:rsidR="000B1E49">
        <w:t xml:space="preserve">have been </w:t>
      </w:r>
      <w:r w:rsidR="00F51FC7" w:rsidRPr="00B21E39">
        <w:t>detected in various environmental media and matrices, including food</w:t>
      </w:r>
      <w:r w:rsidR="00F51FC7">
        <w:t>.</w:t>
      </w:r>
      <w:r w:rsidR="00EC5776">
        <w:t xml:space="preserve"> Unlike other persistent organic pollutants</w:t>
      </w:r>
      <w:r w:rsidR="00016FB3">
        <w:t>,</w:t>
      </w:r>
      <w:r w:rsidR="00EC5776">
        <w:t xml:space="preserve"> due to the physical </w:t>
      </w:r>
      <w:r w:rsidR="00016FB3">
        <w:t xml:space="preserve">and </w:t>
      </w:r>
      <w:r w:rsidR="00EC5776">
        <w:t>chemical properties of</w:t>
      </w:r>
      <w:r w:rsidR="00F51FC7">
        <w:t xml:space="preserve"> PFAS </w:t>
      </w:r>
      <w:r w:rsidR="00EC5776">
        <w:t xml:space="preserve">they </w:t>
      </w:r>
      <w:r w:rsidR="00F51FC7">
        <w:t>do not accumulate in fatty tissues of animals. Their ability to repel oil, grease and water led to use in carpets, upholstery, paper and cardboard coatings, and as fire-fighting foams.</w:t>
      </w:r>
    </w:p>
    <w:p w14:paraId="0DEE4BAD" w14:textId="529CFCAE" w:rsidR="00700417" w:rsidRDefault="00B21E39" w:rsidP="00700417">
      <w:r>
        <w:t>T</w:t>
      </w:r>
      <w:r w:rsidRPr="00B21E39">
        <w:t xml:space="preserve">he </w:t>
      </w:r>
      <w:r>
        <w:t xml:space="preserve">PFAS considered in this dietary exposure assessment </w:t>
      </w:r>
      <w:r w:rsidR="00E74BEA">
        <w:t>we</w:t>
      </w:r>
      <w:r>
        <w:t>re</w:t>
      </w:r>
      <w:r w:rsidRPr="00B21E39">
        <w:t xml:space="preserve"> </w:t>
      </w:r>
      <w:proofErr w:type="spellStart"/>
      <w:r w:rsidRPr="00B21E39">
        <w:t>perfluorooctane</w:t>
      </w:r>
      <w:proofErr w:type="spellEnd"/>
      <w:r w:rsidRPr="00B21E39">
        <w:t xml:space="preserve"> </w:t>
      </w:r>
      <w:proofErr w:type="spellStart"/>
      <w:r w:rsidRPr="00B21E39">
        <w:t>sulfonate</w:t>
      </w:r>
      <w:proofErr w:type="spellEnd"/>
      <w:r w:rsidRPr="00B21E39">
        <w:t xml:space="preserve"> (PFOS), </w:t>
      </w:r>
      <w:proofErr w:type="spellStart"/>
      <w:r w:rsidRPr="00B21E39">
        <w:t>perfluorooctanoic</w:t>
      </w:r>
      <w:proofErr w:type="spellEnd"/>
      <w:r w:rsidRPr="00B21E39">
        <w:t xml:space="preserve"> acid (PFOA) and </w:t>
      </w:r>
      <w:proofErr w:type="spellStart"/>
      <w:r w:rsidRPr="00B21E39">
        <w:t>perfluorohexane</w:t>
      </w:r>
      <w:proofErr w:type="spellEnd"/>
      <w:r w:rsidRPr="00B21E39">
        <w:t xml:space="preserve"> </w:t>
      </w:r>
      <w:proofErr w:type="spellStart"/>
      <w:r w:rsidRPr="00B21E39">
        <w:t>sulfonate</w:t>
      </w:r>
      <w:proofErr w:type="spellEnd"/>
      <w:r w:rsidRPr="00B21E39">
        <w:t xml:space="preserve"> (</w:t>
      </w:r>
      <w:proofErr w:type="spellStart"/>
      <w:r w:rsidRPr="00B21E39">
        <w:t>PFHxS</w:t>
      </w:r>
      <w:proofErr w:type="spellEnd"/>
      <w:r w:rsidRPr="00B21E39">
        <w:t>)</w:t>
      </w:r>
      <w:r>
        <w:t xml:space="preserve">. </w:t>
      </w:r>
    </w:p>
    <w:p w14:paraId="2021C102" w14:textId="036ED2AF" w:rsidR="0038596E" w:rsidRPr="009A14E0" w:rsidRDefault="0038596E" w:rsidP="00474032">
      <w:pPr>
        <w:pStyle w:val="Heading1"/>
      </w:pPr>
      <w:bookmarkStart w:id="8" w:name="_Toc474153246"/>
      <w:bookmarkStart w:id="9" w:name="_Toc474158926"/>
      <w:bookmarkStart w:id="10" w:name="_Toc474847886"/>
      <w:bookmarkStart w:id="11" w:name="_Toc475360592"/>
      <w:r w:rsidRPr="009A14E0">
        <w:t>Objective</w:t>
      </w:r>
      <w:bookmarkEnd w:id="8"/>
      <w:bookmarkEnd w:id="9"/>
      <w:bookmarkEnd w:id="10"/>
      <w:bookmarkEnd w:id="11"/>
    </w:p>
    <w:p w14:paraId="4BC50BC5" w14:textId="7A91BBEE" w:rsidR="00564B91" w:rsidRDefault="00B15C16" w:rsidP="00564B91">
      <w:r>
        <w:t>The Department of Health contracted FSANZ to provide a preliminary dietary exposure</w:t>
      </w:r>
      <w:r w:rsidR="0038596E" w:rsidRPr="0038596E">
        <w:t xml:space="preserve"> </w:t>
      </w:r>
      <w:r w:rsidR="0038596E">
        <w:t>report</w:t>
      </w:r>
      <w:r w:rsidR="0038596E" w:rsidRPr="0038596E">
        <w:t xml:space="preserve"> </w:t>
      </w:r>
      <w:r>
        <w:t xml:space="preserve">(the ‘second report’) by </w:t>
      </w:r>
      <w:r w:rsidR="00E2272E">
        <w:t xml:space="preserve">28 February 2017 </w:t>
      </w:r>
      <w:r>
        <w:t xml:space="preserve">that assessed the potential risks related to exposure to </w:t>
      </w:r>
      <w:r w:rsidRPr="00765B52">
        <w:t xml:space="preserve">PFOS, PFOA and </w:t>
      </w:r>
      <w:proofErr w:type="spellStart"/>
      <w:r w:rsidRPr="00765B52">
        <w:t>PFHxS</w:t>
      </w:r>
      <w:proofErr w:type="spellEnd"/>
      <w:r w:rsidRPr="00765B52">
        <w:t xml:space="preserve"> </w:t>
      </w:r>
      <w:r>
        <w:t xml:space="preserve">from the diet for the general population and populations living in proximity to contaminated sites. The objective was to provide sufficient information to allow an assessment of the potential risks to public health and safety. </w:t>
      </w:r>
      <w:r w:rsidR="003C65B1">
        <w:t>The preliminary dietary exposure assessment identified a number of data deficiencies (see</w:t>
      </w:r>
      <w:r w:rsidR="0023602A">
        <w:t xml:space="preserve"> section</w:t>
      </w:r>
      <w:r w:rsidR="003C65B1">
        <w:t xml:space="preserve"> </w:t>
      </w:r>
      <w:r w:rsidR="007E19A8" w:rsidRPr="007E19A8">
        <w:rPr>
          <w:rStyle w:val="CrossReferenceChar"/>
        </w:rPr>
        <w:fldChar w:fldCharType="begin"/>
      </w:r>
      <w:r w:rsidR="007E19A8" w:rsidRPr="007E19A8">
        <w:rPr>
          <w:rStyle w:val="CrossReferenceChar"/>
        </w:rPr>
        <w:instrText xml:space="preserve"> REF _Ref474996685 \r \h </w:instrText>
      </w:r>
      <w:r w:rsidR="007E19A8">
        <w:rPr>
          <w:rStyle w:val="CrossReferenceChar"/>
        </w:rPr>
        <w:instrText xml:space="preserve"> \* MERGEFORMAT </w:instrText>
      </w:r>
      <w:r w:rsidR="007E19A8" w:rsidRPr="007E19A8">
        <w:rPr>
          <w:rStyle w:val="CrossReferenceChar"/>
        </w:rPr>
      </w:r>
      <w:r w:rsidR="007E19A8" w:rsidRPr="007E19A8">
        <w:rPr>
          <w:rStyle w:val="CrossReferenceChar"/>
        </w:rPr>
        <w:fldChar w:fldCharType="separate"/>
      </w:r>
      <w:r w:rsidR="00D5249B">
        <w:rPr>
          <w:rStyle w:val="CrossReferenceChar"/>
        </w:rPr>
        <w:t>8.2</w:t>
      </w:r>
      <w:r w:rsidR="007E19A8" w:rsidRPr="007E19A8">
        <w:rPr>
          <w:rStyle w:val="CrossReferenceChar"/>
        </w:rPr>
        <w:fldChar w:fldCharType="end"/>
      </w:r>
      <w:r w:rsidR="003C65B1">
        <w:t>) which prevented FSANZ undertaking a formal dietary exposure assessment.</w:t>
      </w:r>
      <w:r w:rsidR="00756A7D">
        <w:t xml:space="preserve"> </w:t>
      </w:r>
      <w:r w:rsidR="003C65B1">
        <w:t xml:space="preserve">Therefore, </w:t>
      </w:r>
      <w:r w:rsidR="00756A7D">
        <w:t>t</w:t>
      </w:r>
      <w:r w:rsidR="0038596E" w:rsidRPr="0038596E">
        <w:t xml:space="preserve">his </w:t>
      </w:r>
      <w:r w:rsidR="0038596E">
        <w:t>repor</w:t>
      </w:r>
      <w:r w:rsidR="00756A7D">
        <w:t>t</w:t>
      </w:r>
      <w:r w:rsidR="0038596E">
        <w:t xml:space="preserve"> </w:t>
      </w:r>
      <w:r w:rsidR="00564B91">
        <w:t>assess</w:t>
      </w:r>
      <w:r w:rsidR="00263A28">
        <w:t>ed</w:t>
      </w:r>
      <w:r w:rsidR="00016FB3">
        <w:t xml:space="preserve"> </w:t>
      </w:r>
      <w:r w:rsidR="00EC5776">
        <w:t xml:space="preserve">the </w:t>
      </w:r>
      <w:r w:rsidR="00564B91">
        <w:t>amount of individual foods or food groups sourced from contaminated sites that contain</w:t>
      </w:r>
      <w:r w:rsidR="0038596E">
        <w:t xml:space="preserve"> </w:t>
      </w:r>
      <w:r w:rsidR="0038596E" w:rsidRPr="0038596E">
        <w:t>PFOS</w:t>
      </w:r>
      <w:r w:rsidR="004C181B">
        <w:t>,</w:t>
      </w:r>
      <w:r w:rsidR="00A304C7" w:rsidRPr="0038596E" w:rsidDel="00A304C7">
        <w:t xml:space="preserve"> </w:t>
      </w:r>
      <w:r w:rsidR="004C181B">
        <w:t>PFOA</w:t>
      </w:r>
      <w:r w:rsidR="0038596E" w:rsidRPr="0038596E">
        <w:t xml:space="preserve"> and</w:t>
      </w:r>
      <w:r w:rsidR="00A304C7">
        <w:t>/or</w:t>
      </w:r>
      <w:r w:rsidR="0038596E" w:rsidRPr="0038596E">
        <w:t xml:space="preserve"> </w:t>
      </w:r>
      <w:proofErr w:type="spellStart"/>
      <w:r w:rsidR="0038596E">
        <w:t>PFHxS</w:t>
      </w:r>
      <w:proofErr w:type="spellEnd"/>
      <w:r w:rsidR="0038596E">
        <w:t xml:space="preserve"> </w:t>
      </w:r>
      <w:r w:rsidR="00564B91">
        <w:t xml:space="preserve">that may be consumed </w:t>
      </w:r>
      <w:r w:rsidR="00016FB3">
        <w:t xml:space="preserve">by the Australian population </w:t>
      </w:r>
      <w:r w:rsidR="00564B91">
        <w:t xml:space="preserve">without exceeding the relevant </w:t>
      </w:r>
      <w:r w:rsidR="006A0CCF">
        <w:t>T</w:t>
      </w:r>
      <w:r w:rsidR="00E41E60">
        <w:t>olerable Daily Intake (</w:t>
      </w:r>
      <w:r w:rsidR="00564B91">
        <w:t>TDI</w:t>
      </w:r>
      <w:r w:rsidR="00E41E60">
        <w:t>)</w:t>
      </w:r>
      <w:r w:rsidR="003E52C1">
        <w:rPr>
          <w:rStyle w:val="FootnoteReference"/>
        </w:rPr>
        <w:footnoteReference w:id="2"/>
      </w:r>
      <w:r w:rsidR="00EC5776">
        <w:t>. Assessment was</w:t>
      </w:r>
      <w:r w:rsidR="00553F26">
        <w:t xml:space="preserve"> </w:t>
      </w:r>
      <w:r w:rsidR="0038596E">
        <w:t>based</w:t>
      </w:r>
      <w:r w:rsidR="0038596E" w:rsidRPr="0038596E">
        <w:t xml:space="preserve"> on the most recent nutrition survey data </w:t>
      </w:r>
      <w:r w:rsidR="0038596E">
        <w:t>and occurrence data submitted to F</w:t>
      </w:r>
      <w:r w:rsidR="000077B5">
        <w:t>S</w:t>
      </w:r>
      <w:r w:rsidR="0038596E">
        <w:t>ANZ in response to a call for data.</w:t>
      </w:r>
      <w:r w:rsidR="00564B91">
        <w:t xml:space="preserve"> In addition, </w:t>
      </w:r>
      <w:r w:rsidR="00015533">
        <w:t xml:space="preserve">trigger points for investigation </w:t>
      </w:r>
      <w:r w:rsidR="00564B91">
        <w:t xml:space="preserve">were </w:t>
      </w:r>
      <w:r w:rsidR="00E74BEA">
        <w:t>derived</w:t>
      </w:r>
      <w:r w:rsidR="00564B91">
        <w:t xml:space="preserve"> for each food or food group for PFOS</w:t>
      </w:r>
      <w:r w:rsidR="003D68B2">
        <w:t xml:space="preserve"> +</w:t>
      </w:r>
      <w:r w:rsidR="00564B91" w:rsidRPr="007F61A3">
        <w:t xml:space="preserve"> </w:t>
      </w:r>
      <w:proofErr w:type="spellStart"/>
      <w:r w:rsidR="00564B91" w:rsidRPr="00A22B70">
        <w:t>PFHxS</w:t>
      </w:r>
      <w:proofErr w:type="spellEnd"/>
      <w:r w:rsidR="00564B91">
        <w:t xml:space="preserve"> </w:t>
      </w:r>
      <w:r w:rsidR="00D67C1E">
        <w:t>combined</w:t>
      </w:r>
      <w:r w:rsidR="00F66A34">
        <w:rPr>
          <w:rStyle w:val="FootnoteReference"/>
        </w:rPr>
        <w:footnoteReference w:id="3"/>
      </w:r>
      <w:r w:rsidR="00D67C1E">
        <w:t xml:space="preserve"> </w:t>
      </w:r>
      <w:r w:rsidR="00564B91">
        <w:t>and PFOA, such that for a high consumer of these foods at this concentration level</w:t>
      </w:r>
      <w:r w:rsidR="00535CA0">
        <w:t>,</w:t>
      </w:r>
      <w:r w:rsidR="00564B91">
        <w:t xml:space="preserve"> </w:t>
      </w:r>
      <w:r w:rsidR="00D67C1E">
        <w:t>dietary exposures would not exceed the relevant TDI.</w:t>
      </w:r>
    </w:p>
    <w:p w14:paraId="0AA861B2" w14:textId="76218BB3" w:rsidR="00B21E39" w:rsidRPr="009A14E0" w:rsidRDefault="00B21E39" w:rsidP="00474032">
      <w:pPr>
        <w:pStyle w:val="Heading1"/>
      </w:pPr>
      <w:bookmarkStart w:id="12" w:name="_Toc474153247"/>
      <w:bookmarkStart w:id="13" w:name="_Toc474158927"/>
      <w:bookmarkStart w:id="14" w:name="_Toc474847887"/>
      <w:bookmarkStart w:id="15" w:name="_Toc475360593"/>
      <w:r w:rsidRPr="009A14E0">
        <w:t>Scope</w:t>
      </w:r>
      <w:bookmarkEnd w:id="12"/>
      <w:bookmarkEnd w:id="13"/>
      <w:bookmarkEnd w:id="14"/>
      <w:bookmarkEnd w:id="15"/>
    </w:p>
    <w:p w14:paraId="3F568B0F" w14:textId="62B12BBD" w:rsidR="00B21E39" w:rsidRPr="00EE414D" w:rsidRDefault="0018728C" w:rsidP="006738CB">
      <w:pPr>
        <w:pStyle w:val="Heading2"/>
      </w:pPr>
      <w:bookmarkStart w:id="16" w:name="_Toc474153248"/>
      <w:bookmarkStart w:id="17" w:name="_Toc474158928"/>
      <w:bookmarkStart w:id="18" w:name="_Toc474847888"/>
      <w:bookmarkStart w:id="19" w:name="_Toc475360594"/>
      <w:r w:rsidRPr="00EE414D">
        <w:t>Included</w:t>
      </w:r>
      <w:bookmarkEnd w:id="16"/>
      <w:bookmarkEnd w:id="17"/>
      <w:bookmarkEnd w:id="18"/>
      <w:bookmarkEnd w:id="19"/>
    </w:p>
    <w:p w14:paraId="081BFEA0" w14:textId="3F8E1A57" w:rsidR="00553F26" w:rsidRDefault="0056567D" w:rsidP="00710BF4">
      <w:pPr>
        <w:pStyle w:val="ListParagraph"/>
        <w:numPr>
          <w:ilvl w:val="0"/>
          <w:numId w:val="4"/>
        </w:numPr>
      </w:pPr>
      <w:r>
        <w:t xml:space="preserve">estimates </w:t>
      </w:r>
      <w:r w:rsidR="00553F26">
        <w:t>of the amount of individual foods or food groups sourced from contaminated sites that</w:t>
      </w:r>
      <w:r>
        <w:t xml:space="preserve"> </w:t>
      </w:r>
      <w:r w:rsidR="00553F26">
        <w:t xml:space="preserve">may be safely consumed </w:t>
      </w:r>
      <w:r w:rsidR="00584E81">
        <w:t xml:space="preserve">at reported </w:t>
      </w:r>
      <w:r w:rsidR="001C6D99" w:rsidRPr="001C6D99">
        <w:t xml:space="preserve">PFOS, PFOA and </w:t>
      </w:r>
      <w:proofErr w:type="spellStart"/>
      <w:r w:rsidR="001C6D99" w:rsidRPr="001C6D99">
        <w:t>PFHxS</w:t>
      </w:r>
      <w:proofErr w:type="spellEnd"/>
      <w:r w:rsidR="00584E81">
        <w:t xml:space="preserve"> concentration levels</w:t>
      </w:r>
    </w:p>
    <w:p w14:paraId="1C36A24D" w14:textId="13D7B51B" w:rsidR="00B469FC" w:rsidRDefault="002D5E0E" w:rsidP="00710BF4">
      <w:pPr>
        <w:pStyle w:val="ListParagraph"/>
        <w:numPr>
          <w:ilvl w:val="0"/>
          <w:numId w:val="4"/>
        </w:numPr>
      </w:pPr>
      <w:r>
        <w:t>trigger points for investigation</w:t>
      </w:r>
      <w:r w:rsidR="00553F26">
        <w:t xml:space="preserve"> for PFO</w:t>
      </w:r>
      <w:r w:rsidR="00A304C7">
        <w:t>A</w:t>
      </w:r>
      <w:r w:rsidR="00553F26">
        <w:t>, PFO</w:t>
      </w:r>
      <w:r w:rsidR="00A304C7">
        <w:t>S</w:t>
      </w:r>
      <w:r w:rsidR="00384627">
        <w:t xml:space="preserve"> +</w:t>
      </w:r>
      <w:r w:rsidR="00553F26">
        <w:t xml:space="preserve"> </w:t>
      </w:r>
      <w:proofErr w:type="spellStart"/>
      <w:r w:rsidR="00553F26">
        <w:t>PFHxS</w:t>
      </w:r>
      <w:proofErr w:type="spellEnd"/>
      <w:r w:rsidR="00553F26">
        <w:t xml:space="preserve"> </w:t>
      </w:r>
      <w:r w:rsidR="00015FCA">
        <w:t>combined</w:t>
      </w:r>
      <w:r>
        <w:t>, the maximum concentration</w:t>
      </w:r>
      <w:r w:rsidR="00015FCA">
        <w:t xml:space="preserve"> </w:t>
      </w:r>
      <w:r w:rsidR="00553F26">
        <w:t>that may be present in individual foods or food groups and be consumed safely</w:t>
      </w:r>
      <w:r w:rsidR="006C30D5">
        <w:t>,</w:t>
      </w:r>
      <w:r w:rsidR="006508DD">
        <w:t xml:space="preserve"> taking account of </w:t>
      </w:r>
      <w:r w:rsidR="005811F5">
        <w:t>known food consumption patterns</w:t>
      </w:r>
      <w:r w:rsidR="00AF49EF">
        <w:t>.</w:t>
      </w:r>
    </w:p>
    <w:p w14:paraId="6DADC970" w14:textId="2F54AB9C" w:rsidR="00B469FC" w:rsidRPr="00EE414D" w:rsidRDefault="0018728C" w:rsidP="006738CB">
      <w:pPr>
        <w:pStyle w:val="Heading2"/>
      </w:pPr>
      <w:bookmarkStart w:id="20" w:name="_Toc474153249"/>
      <w:bookmarkStart w:id="21" w:name="_Toc474158929"/>
      <w:bookmarkStart w:id="22" w:name="_Toc474847889"/>
      <w:bookmarkStart w:id="23" w:name="_Toc475360595"/>
      <w:r w:rsidRPr="00EE414D">
        <w:lastRenderedPageBreak/>
        <w:t>Excluded</w:t>
      </w:r>
      <w:bookmarkEnd w:id="20"/>
      <w:bookmarkEnd w:id="21"/>
      <w:bookmarkEnd w:id="22"/>
      <w:bookmarkEnd w:id="23"/>
    </w:p>
    <w:p w14:paraId="73AABB0A" w14:textId="77777777" w:rsidR="001858E6" w:rsidRDefault="001858E6" w:rsidP="00710BF4">
      <w:pPr>
        <w:pStyle w:val="ListParagraph"/>
        <w:numPr>
          <w:ilvl w:val="0"/>
          <w:numId w:val="4"/>
        </w:numPr>
      </w:pPr>
      <w:r>
        <w:t xml:space="preserve">estimated dietary exposure to </w:t>
      </w:r>
      <w:r w:rsidRPr="001C6D99">
        <w:t xml:space="preserve">PFOS, PFOA and </w:t>
      </w:r>
      <w:proofErr w:type="spellStart"/>
      <w:r w:rsidRPr="001C6D99">
        <w:t>PFHxS</w:t>
      </w:r>
      <w:proofErr w:type="spellEnd"/>
      <w:r>
        <w:t xml:space="preserve"> for the general population </w:t>
      </w:r>
    </w:p>
    <w:p w14:paraId="3E4310E8" w14:textId="26FEEADA" w:rsidR="00553F26" w:rsidRDefault="006508DD" w:rsidP="00710BF4">
      <w:pPr>
        <w:pStyle w:val="ListParagraph"/>
        <w:numPr>
          <w:ilvl w:val="0"/>
          <w:numId w:val="5"/>
        </w:numPr>
      </w:pPr>
      <w:r>
        <w:t xml:space="preserve">overall </w:t>
      </w:r>
      <w:r w:rsidR="00553F26">
        <w:t xml:space="preserve">chronic dietary exposure from dietary sources </w:t>
      </w:r>
      <w:r w:rsidR="00E35552">
        <w:t xml:space="preserve">(food and water) </w:t>
      </w:r>
      <w:r w:rsidR="00553F26">
        <w:t>at a contaminated site</w:t>
      </w:r>
      <w:r>
        <w:t>, noting it is considered unrealistic to assume that all the food and water consumed by populations living in proximity to contaminated sites is sourced from these sites</w:t>
      </w:r>
    </w:p>
    <w:p w14:paraId="047A9BFF" w14:textId="370DB30A" w:rsidR="006508DD" w:rsidRDefault="000077B5" w:rsidP="00710BF4">
      <w:pPr>
        <w:pStyle w:val="ListParagraph"/>
        <w:numPr>
          <w:ilvl w:val="0"/>
          <w:numId w:val="5"/>
        </w:numPr>
      </w:pPr>
      <w:r>
        <w:t xml:space="preserve">exposure </w:t>
      </w:r>
      <w:r w:rsidR="00B469FC">
        <w:t>from sources other than the diet</w:t>
      </w:r>
      <w:r>
        <w:t>, including occupational exposure</w:t>
      </w:r>
      <w:r w:rsidR="003B0CB6">
        <w:t xml:space="preserve"> </w:t>
      </w:r>
    </w:p>
    <w:p w14:paraId="30D447BD" w14:textId="12DCCC60" w:rsidR="006508DD" w:rsidRDefault="006508DD" w:rsidP="00710BF4">
      <w:pPr>
        <w:pStyle w:val="ListParagraph"/>
        <w:numPr>
          <w:ilvl w:val="0"/>
          <w:numId w:val="5"/>
        </w:numPr>
      </w:pPr>
      <w:r>
        <w:t>calculations for</w:t>
      </w:r>
      <w:r w:rsidR="0056567D">
        <w:t xml:space="preserve"> specific </w:t>
      </w:r>
      <w:r w:rsidR="009A6789">
        <w:t>identified contaminated</w:t>
      </w:r>
      <w:r w:rsidR="0056567D">
        <w:t xml:space="preserve"> sites</w:t>
      </w:r>
      <w:r w:rsidR="000077B5">
        <w:t xml:space="preserve"> in the Australian </w:t>
      </w:r>
      <w:r w:rsidR="0056567D">
        <w:t>States or Territories</w:t>
      </w:r>
      <w:r w:rsidR="00046BB4">
        <w:t>.</w:t>
      </w:r>
    </w:p>
    <w:p w14:paraId="5A343EDF" w14:textId="28A639F9" w:rsidR="00827C5D" w:rsidRDefault="00827C5D" w:rsidP="00827C5D">
      <w:pPr>
        <w:pStyle w:val="Heading1"/>
      </w:pPr>
      <w:bookmarkStart w:id="24" w:name="_Toc474847890"/>
      <w:bookmarkStart w:id="25" w:name="_Toc475360596"/>
      <w:r>
        <w:t>Outline</w:t>
      </w:r>
      <w:bookmarkEnd w:id="24"/>
      <w:bookmarkEnd w:id="25"/>
    </w:p>
    <w:p w14:paraId="3C420660" w14:textId="6BAC6639" w:rsidR="00CE4F1C" w:rsidRDefault="00827C5D" w:rsidP="00827C5D">
      <w:r>
        <w:t xml:space="preserve">This </w:t>
      </w:r>
      <w:r w:rsidR="007818AE">
        <w:t>Supporting Document</w:t>
      </w:r>
      <w:r>
        <w:t xml:space="preserve"> </w:t>
      </w:r>
      <w:r w:rsidR="007818AE">
        <w:t>provides information for use by</w:t>
      </w:r>
      <w:r w:rsidR="007818AE" w:rsidRPr="00B72350">
        <w:t xml:space="preserve"> public health and food regulatory officials</w:t>
      </w:r>
      <w:r w:rsidR="007818AE">
        <w:t xml:space="preserve"> in developing a response to the findings that </w:t>
      </w:r>
      <w:r w:rsidR="00765B52">
        <w:t>PFOS</w:t>
      </w:r>
      <w:r w:rsidR="007818AE" w:rsidRPr="00182BB3">
        <w:t xml:space="preserve">, </w:t>
      </w:r>
      <w:r w:rsidR="00765B52">
        <w:t>PFOA</w:t>
      </w:r>
      <w:r w:rsidR="00351DFF">
        <w:t xml:space="preserve"> </w:t>
      </w:r>
      <w:r w:rsidR="00765B52">
        <w:t xml:space="preserve">and </w:t>
      </w:r>
      <w:proofErr w:type="spellStart"/>
      <w:r w:rsidR="00765B52">
        <w:t>PFHxS</w:t>
      </w:r>
      <w:proofErr w:type="spellEnd"/>
      <w:r w:rsidR="007818AE">
        <w:t xml:space="preserve"> may occur in food sourced in proximity to contaminated sites. T</w:t>
      </w:r>
      <w:r w:rsidR="007818AE" w:rsidRPr="00D45325">
        <w:t xml:space="preserve">wo different approaches </w:t>
      </w:r>
      <w:r w:rsidR="00E2272E">
        <w:t>were</w:t>
      </w:r>
      <w:r w:rsidR="007818AE">
        <w:t xml:space="preserve"> taken by FSANZ</w:t>
      </w:r>
      <w:r w:rsidR="007818AE" w:rsidRPr="00D45325">
        <w:t xml:space="preserve">. </w:t>
      </w:r>
      <w:r w:rsidR="007818AE">
        <w:t>First, the report describes t</w:t>
      </w:r>
      <w:r>
        <w:t>he dietary exposure calculations</w:t>
      </w:r>
      <w:r w:rsidRPr="00827C5D">
        <w:t xml:space="preserve"> to assess the amount of i</w:t>
      </w:r>
      <w:r>
        <w:t>ndividual foods or food groups</w:t>
      </w:r>
      <w:r w:rsidRPr="00827C5D">
        <w:t xml:space="preserve"> from contaminated si</w:t>
      </w:r>
      <w:r>
        <w:t xml:space="preserve">tes that contain PFOS, PFOA </w:t>
      </w:r>
      <w:r w:rsidRPr="00827C5D">
        <w:t xml:space="preserve">and/or </w:t>
      </w:r>
      <w:proofErr w:type="spellStart"/>
      <w:r w:rsidRPr="00827C5D">
        <w:t>PFHxS</w:t>
      </w:r>
      <w:proofErr w:type="spellEnd"/>
      <w:r w:rsidRPr="00827C5D">
        <w:t xml:space="preserve"> that may be consumed by the Australian population without exceeding the relevant TDI</w:t>
      </w:r>
      <w:r>
        <w:t>.</w:t>
      </w:r>
      <w:r w:rsidR="007818AE">
        <w:t xml:space="preserve"> Second, the report describes the derivation of </w:t>
      </w:r>
      <w:r w:rsidR="002D5E0E">
        <w:t>trigger points for investigation</w:t>
      </w:r>
      <w:r w:rsidR="007818AE">
        <w:t xml:space="preserve"> for PFOS + </w:t>
      </w:r>
      <w:proofErr w:type="spellStart"/>
      <w:r w:rsidR="007818AE">
        <w:t>PFHxs</w:t>
      </w:r>
      <w:proofErr w:type="spellEnd"/>
      <w:r w:rsidR="007818AE">
        <w:t xml:space="preserve"> combined and PFOA.</w:t>
      </w:r>
    </w:p>
    <w:p w14:paraId="6CEBABC2" w14:textId="4FDA9A08" w:rsidR="00F20A05" w:rsidRDefault="00351DFF" w:rsidP="00827C5D">
      <w:r>
        <w:t xml:space="preserve">A discussion of the potential options for overall risk management </w:t>
      </w:r>
      <w:r w:rsidR="00DA58E5">
        <w:t>of the occurrence of PFOS</w:t>
      </w:r>
      <w:r w:rsidR="00DA58E5" w:rsidRPr="00182BB3">
        <w:t xml:space="preserve">, </w:t>
      </w:r>
      <w:r w:rsidR="00DA58E5">
        <w:t xml:space="preserve">PFOA and </w:t>
      </w:r>
      <w:proofErr w:type="spellStart"/>
      <w:r w:rsidR="00DA58E5">
        <w:t>PFHxS</w:t>
      </w:r>
      <w:proofErr w:type="spellEnd"/>
      <w:r w:rsidR="00DA58E5">
        <w:t xml:space="preserve"> in the food supply </w:t>
      </w:r>
      <w:r>
        <w:t>is found in the Summary Report.</w:t>
      </w:r>
      <w:r w:rsidR="00CE4F1C">
        <w:t xml:space="preserve"> </w:t>
      </w:r>
      <w:r w:rsidR="00827C5D">
        <w:t xml:space="preserve">Detailed tables showing the key inputs and </w:t>
      </w:r>
      <w:r w:rsidR="00941ABC">
        <w:t>outputs of the calculations are</w:t>
      </w:r>
      <w:r w:rsidR="00827C5D">
        <w:t xml:space="preserve"> in the appendices to the report. </w:t>
      </w:r>
    </w:p>
    <w:p w14:paraId="4B3C21CF" w14:textId="3E33D1ED" w:rsidR="00F20A05" w:rsidRDefault="00827C5D" w:rsidP="00827C5D">
      <w:r>
        <w:t xml:space="preserve">A literature review on the occurrence of and dietary exposure to </w:t>
      </w:r>
      <w:r w:rsidRPr="00827C5D">
        <w:t xml:space="preserve">PFOS, PFOA and/or </w:t>
      </w:r>
      <w:proofErr w:type="spellStart"/>
      <w:r w:rsidRPr="00827C5D">
        <w:t>PFHxS</w:t>
      </w:r>
      <w:proofErr w:type="spellEnd"/>
      <w:r>
        <w:t xml:space="preserve"> </w:t>
      </w:r>
      <w:r w:rsidR="00046BB4">
        <w:t xml:space="preserve">in regions other than Australia </w:t>
      </w:r>
      <w:r>
        <w:t xml:space="preserve">is </w:t>
      </w:r>
      <w:r w:rsidR="00F20A05">
        <w:t>in</w:t>
      </w:r>
      <w:r w:rsidR="0023602A">
        <w:t xml:space="preserve"> Attachment 1</w:t>
      </w:r>
      <w:r>
        <w:t xml:space="preserve">. </w:t>
      </w:r>
    </w:p>
    <w:p w14:paraId="0078E512" w14:textId="5AED0D8C" w:rsidR="00827C5D" w:rsidRDefault="008E1D95" w:rsidP="00827C5D">
      <w:r>
        <w:t>A summary of t</w:t>
      </w:r>
      <w:r w:rsidR="00827C5D">
        <w:t xml:space="preserve">he occurrence data </w:t>
      </w:r>
      <w:r w:rsidR="00F20A05">
        <w:t xml:space="preserve">relevant to </w:t>
      </w:r>
      <w:r w:rsidR="007818AE">
        <w:t xml:space="preserve">Supporting Document 2 </w:t>
      </w:r>
      <w:r w:rsidR="00F20A05">
        <w:t>is in</w:t>
      </w:r>
      <w:r w:rsidR="0023602A">
        <w:t xml:space="preserve"> Attachment 2</w:t>
      </w:r>
      <w:r w:rsidR="00EC1AAB">
        <w:t>.</w:t>
      </w:r>
    </w:p>
    <w:p w14:paraId="189ACB1C" w14:textId="050FF118" w:rsidR="009B193C" w:rsidRPr="009A14E0" w:rsidRDefault="001C6D99" w:rsidP="00474032">
      <w:pPr>
        <w:pStyle w:val="Heading1"/>
      </w:pPr>
      <w:bookmarkStart w:id="26" w:name="_Toc474153250"/>
      <w:bookmarkStart w:id="27" w:name="_Toc474158930"/>
      <w:bookmarkStart w:id="28" w:name="_Toc474847891"/>
      <w:bookmarkStart w:id="29" w:name="_Toc475360597"/>
      <w:r w:rsidRPr="001C6D99">
        <w:t xml:space="preserve">PFOS, PFOA and </w:t>
      </w:r>
      <w:proofErr w:type="spellStart"/>
      <w:r w:rsidRPr="001C6D99">
        <w:t>PFHxS</w:t>
      </w:r>
      <w:proofErr w:type="spellEnd"/>
      <w:r w:rsidR="005F1AA1" w:rsidRPr="009A14E0">
        <w:t xml:space="preserve"> occurrence and d</w:t>
      </w:r>
      <w:r w:rsidR="007B7738" w:rsidRPr="009A14E0">
        <w:t xml:space="preserve">ietary exposure </w:t>
      </w:r>
      <w:r w:rsidR="009B193C" w:rsidRPr="009A14E0">
        <w:t xml:space="preserve">in the </w:t>
      </w:r>
      <w:r w:rsidR="00CC7A35">
        <w:t xml:space="preserve">Australian </w:t>
      </w:r>
      <w:r w:rsidR="009B193C" w:rsidRPr="009A14E0">
        <w:t>general food supply</w:t>
      </w:r>
      <w:bookmarkEnd w:id="26"/>
      <w:bookmarkEnd w:id="27"/>
      <w:bookmarkEnd w:id="28"/>
      <w:bookmarkEnd w:id="29"/>
      <w:r w:rsidR="009B193C" w:rsidRPr="009A14E0">
        <w:t xml:space="preserve"> </w:t>
      </w:r>
    </w:p>
    <w:p w14:paraId="42DA8300" w14:textId="230C1508" w:rsidR="009C0796" w:rsidRDefault="009C0796" w:rsidP="009C0796">
      <w:bookmarkStart w:id="30" w:name="_Toc474153251"/>
      <w:bookmarkStart w:id="31" w:name="_Toc474158931"/>
      <w:r w:rsidRPr="00347535">
        <w:t>There was insufficient information to estimate total dietary exposure for the general population as the majority of the data on the amount of PFOS</w:t>
      </w:r>
      <w:r>
        <w:t>, PFOA</w:t>
      </w:r>
      <w:r w:rsidRPr="00347535">
        <w:t xml:space="preserve"> and </w:t>
      </w:r>
      <w:proofErr w:type="spellStart"/>
      <w:r>
        <w:t>PFHxS</w:t>
      </w:r>
      <w:proofErr w:type="spellEnd"/>
      <w:r w:rsidRPr="00347535">
        <w:t xml:space="preserve"> in food and water submitted was from contaminated sites. </w:t>
      </w:r>
      <w:r>
        <w:t xml:space="preserve">The data available </w:t>
      </w:r>
      <w:r w:rsidR="0058169A">
        <w:t xml:space="preserve">on the general food supply </w:t>
      </w:r>
      <w:r>
        <w:t xml:space="preserve">were for PFOS and PFOA from a recent </w:t>
      </w:r>
      <w:r w:rsidRPr="00B21E39">
        <w:t>Australian Total Diet Study (ATDS)</w:t>
      </w:r>
      <w:r>
        <w:t xml:space="preserve"> and data from a survey of</w:t>
      </w:r>
      <w:r w:rsidR="00276937">
        <w:t xml:space="preserve"> imported </w:t>
      </w:r>
      <w:r>
        <w:t xml:space="preserve">fish from retail outlets submitted by the </w:t>
      </w:r>
      <w:r w:rsidR="000B18BA" w:rsidRPr="00383396">
        <w:t xml:space="preserve">New South Wales Food Authority </w:t>
      </w:r>
      <w:r w:rsidR="00FC2144">
        <w:t>(NSW FA).</w:t>
      </w:r>
      <w:r>
        <w:t xml:space="preserve"> </w:t>
      </w:r>
      <w:r w:rsidR="00FC2144">
        <w:t>B</w:t>
      </w:r>
      <w:r>
        <w:t>oth studies are discussed briefly below.</w:t>
      </w:r>
    </w:p>
    <w:p w14:paraId="02AC0F17" w14:textId="3F50540A" w:rsidR="009B193C" w:rsidRDefault="009B193C" w:rsidP="006635AC">
      <w:pPr>
        <w:pStyle w:val="Heading2"/>
      </w:pPr>
      <w:bookmarkStart w:id="32" w:name="_Toc474847892"/>
      <w:bookmarkStart w:id="33" w:name="_Toc475360598"/>
      <w:r>
        <w:t>Australia</w:t>
      </w:r>
      <w:r w:rsidR="007A5AE2">
        <w:t>n Total Diet Study</w:t>
      </w:r>
      <w:bookmarkEnd w:id="30"/>
      <w:bookmarkEnd w:id="31"/>
      <w:bookmarkEnd w:id="32"/>
      <w:bookmarkEnd w:id="33"/>
      <w:r>
        <w:t xml:space="preserve"> </w:t>
      </w:r>
    </w:p>
    <w:p w14:paraId="1DCB97DC" w14:textId="081D3678" w:rsidR="009B193C" w:rsidRPr="00B21E39" w:rsidRDefault="009B193C" w:rsidP="009B193C">
      <w:pPr>
        <w:spacing w:before="100" w:beforeAutospacing="1" w:after="100" w:afterAutospacing="1"/>
      </w:pPr>
      <w:r>
        <w:t>I</w:t>
      </w:r>
      <w:r w:rsidRPr="00B21E39">
        <w:t>n the 24</w:t>
      </w:r>
      <w:r w:rsidRPr="00B21E39">
        <w:rPr>
          <w:vertAlign w:val="superscript"/>
        </w:rPr>
        <w:t>th</w:t>
      </w:r>
      <w:r w:rsidRPr="00B21E39">
        <w:t xml:space="preserve"> </w:t>
      </w:r>
      <w:r w:rsidR="00A50456">
        <w:t xml:space="preserve">ATDS </w:t>
      </w:r>
      <w:r w:rsidRPr="00B21E39">
        <w:t xml:space="preserve">Phase 2 </w:t>
      </w:r>
      <w:r w:rsidR="008F1E3A">
        <w:t>on packaging materials</w:t>
      </w:r>
      <w:r w:rsidRPr="00B21E39">
        <w:t xml:space="preserve">, </w:t>
      </w:r>
      <w:r w:rsidR="00E35552">
        <w:t>PF</w:t>
      </w:r>
      <w:r w:rsidR="004E50CB">
        <w:t>OS and PFOA</w:t>
      </w:r>
      <w:r w:rsidR="00E35552">
        <w:t xml:space="preserve"> were analysed</w:t>
      </w:r>
      <w:r w:rsidR="00AF49EF">
        <w:t>;</w:t>
      </w:r>
      <w:r w:rsidR="004E50CB">
        <w:t xml:space="preserve"> </w:t>
      </w:r>
      <w:proofErr w:type="spellStart"/>
      <w:r w:rsidR="004E50CB">
        <w:t>PFHxS</w:t>
      </w:r>
      <w:proofErr w:type="spellEnd"/>
      <w:r w:rsidR="004E50CB">
        <w:t xml:space="preserve"> was not </w:t>
      </w:r>
      <w:r w:rsidR="00DA2E9A">
        <w:t xml:space="preserve">included </w:t>
      </w:r>
      <w:r w:rsidR="004E50CB">
        <w:t>in this study</w:t>
      </w:r>
      <w:r w:rsidR="008F1E3A">
        <w:t xml:space="preserve"> </w:t>
      </w:r>
      <w:r w:rsidR="008F1E3A" w:rsidRPr="00B21E39">
        <w:t>(FSANZ 2016)</w:t>
      </w:r>
      <w:r w:rsidR="00E35552">
        <w:t xml:space="preserve">. </w:t>
      </w:r>
      <w:r w:rsidRPr="00B21E39">
        <w:t xml:space="preserve">PFOS was </w:t>
      </w:r>
      <w:r>
        <w:t>reported</w:t>
      </w:r>
      <w:r w:rsidR="00584E81">
        <w:t xml:space="preserve"> at low levels</w:t>
      </w:r>
      <w:r w:rsidRPr="00B21E39">
        <w:t xml:space="preserve"> in two foods (</w:t>
      </w:r>
      <w:r w:rsidR="00A50456">
        <w:t>1.0</w:t>
      </w:r>
      <w:r w:rsidR="00A50456" w:rsidRPr="00B21E39">
        <w:t xml:space="preserve"> </w:t>
      </w:r>
      <w:r w:rsidR="00A50456">
        <w:rPr>
          <w:rFonts w:cs="Arial"/>
        </w:rPr>
        <w:t>µ</w:t>
      </w:r>
      <w:r w:rsidR="00A50456">
        <w:t>g</w:t>
      </w:r>
      <w:r w:rsidR="00A50456" w:rsidRPr="00B21E39">
        <w:t xml:space="preserve">/kg </w:t>
      </w:r>
      <w:r w:rsidR="00A50456">
        <w:t>for fish fillets and 0.2</w:t>
      </w:r>
      <w:r w:rsidR="00A50456" w:rsidRPr="00B21E39">
        <w:t xml:space="preserve"> </w:t>
      </w:r>
      <w:r w:rsidR="00A50456">
        <w:rPr>
          <w:rFonts w:cs="Arial"/>
        </w:rPr>
        <w:t>µ</w:t>
      </w:r>
      <w:r w:rsidR="00A50456">
        <w:t>g</w:t>
      </w:r>
      <w:r w:rsidR="00A50456" w:rsidRPr="00B21E39">
        <w:t xml:space="preserve">/kg </w:t>
      </w:r>
      <w:r w:rsidR="00A50456">
        <w:t>for sausages</w:t>
      </w:r>
      <w:r w:rsidRPr="00B21E39">
        <w:t>) out of 50 food</w:t>
      </w:r>
      <w:r w:rsidR="00016FB3">
        <w:t xml:space="preserve"> types</w:t>
      </w:r>
      <w:r w:rsidRPr="00B21E39">
        <w:t xml:space="preserve"> tested for </w:t>
      </w:r>
      <w:r w:rsidR="000F2B27">
        <w:t>PFOS and PFOA</w:t>
      </w:r>
      <w:r w:rsidR="007B7738">
        <w:t xml:space="preserve">. </w:t>
      </w:r>
      <w:r w:rsidR="00A50456">
        <w:t>PF</w:t>
      </w:r>
      <w:r w:rsidR="00A50456" w:rsidRPr="00002967">
        <w:t xml:space="preserve">OA was not </w:t>
      </w:r>
      <w:r w:rsidR="00A50456">
        <w:t xml:space="preserve">detected in any foods </w:t>
      </w:r>
      <w:r w:rsidRPr="00B21E39">
        <w:t>(</w:t>
      </w:r>
      <w:r w:rsidR="004E645E">
        <w:t xml:space="preserve">see </w:t>
      </w:r>
      <w:r w:rsidR="008110E9" w:rsidRPr="008110E9">
        <w:rPr>
          <w:rStyle w:val="CrossReferenceChar"/>
        </w:rPr>
        <w:fldChar w:fldCharType="begin"/>
      </w:r>
      <w:r w:rsidR="008110E9" w:rsidRPr="008110E9">
        <w:rPr>
          <w:rStyle w:val="CrossReferenceChar"/>
        </w:rPr>
        <w:instrText xml:space="preserve"> REF _Ref474245002 \r \h </w:instrText>
      </w:r>
      <w:r w:rsidR="008110E9" w:rsidRPr="008110E9">
        <w:rPr>
          <w:rStyle w:val="CrossReferenceChar"/>
        </w:rPr>
      </w:r>
      <w:r w:rsidR="008110E9" w:rsidRPr="008110E9">
        <w:rPr>
          <w:rStyle w:val="CrossReferenceChar"/>
        </w:rPr>
        <w:fldChar w:fldCharType="separate"/>
      </w:r>
      <w:r w:rsidR="00D5249B">
        <w:rPr>
          <w:rStyle w:val="CrossReferenceChar"/>
        </w:rPr>
        <w:t>Table 1</w:t>
      </w:r>
      <w:r w:rsidR="008110E9" w:rsidRPr="008110E9">
        <w:rPr>
          <w:rStyle w:val="CrossReferenceChar"/>
        </w:rPr>
        <w:fldChar w:fldCharType="end"/>
      </w:r>
      <w:r w:rsidR="00A50456">
        <w:t>).</w:t>
      </w:r>
      <w:r w:rsidR="00CE7832">
        <w:t xml:space="preserve"> Overall, the 24</w:t>
      </w:r>
      <w:r w:rsidR="00CE7832" w:rsidRPr="00A94521">
        <w:rPr>
          <w:vertAlign w:val="superscript"/>
        </w:rPr>
        <w:t>th</w:t>
      </w:r>
      <w:r w:rsidR="00CE7832">
        <w:t xml:space="preserve"> ATDS indicates levels of PFOS and PFOA in the general food supply are low. </w:t>
      </w:r>
      <w:r w:rsidR="00CE7832" w:rsidRPr="00397717">
        <w:t>The concentration</w:t>
      </w:r>
      <w:r w:rsidR="00CE7832">
        <w:t>s</w:t>
      </w:r>
      <w:r w:rsidR="00CE7832" w:rsidRPr="00397717">
        <w:t xml:space="preserve"> of PFOS </w:t>
      </w:r>
      <w:r w:rsidR="00CE7832">
        <w:t>that were</w:t>
      </w:r>
      <w:r w:rsidR="00CE7832" w:rsidRPr="00397717">
        <w:t xml:space="preserve"> reported in </w:t>
      </w:r>
      <w:r w:rsidR="00CE7832">
        <w:t xml:space="preserve">two foods, </w:t>
      </w:r>
      <w:r w:rsidR="00CE7832" w:rsidRPr="00397717">
        <w:t xml:space="preserve">fish </w:t>
      </w:r>
      <w:r w:rsidR="00CE7832">
        <w:t>fillets and sausages, were in the same range as those reported elsewhere for similar foods (refer to section 4.1 in Attachment 1).</w:t>
      </w:r>
    </w:p>
    <w:p w14:paraId="268D96BC" w14:textId="01441C18" w:rsidR="009B193C" w:rsidRPr="00B21E39" w:rsidRDefault="009B193C" w:rsidP="009B193C">
      <w:pPr>
        <w:pStyle w:val="FSTableColumnRowheading"/>
      </w:pPr>
      <w:bookmarkStart w:id="34" w:name="_Toc474153711"/>
      <w:bookmarkStart w:id="35" w:name="_Toc474158903"/>
      <w:bookmarkStart w:id="36" w:name="_Ref474245002"/>
      <w:bookmarkStart w:id="37" w:name="_Toc474847863"/>
      <w:bookmarkStart w:id="38" w:name="_Toc474852103"/>
      <w:r w:rsidRPr="00B21E39">
        <w:lastRenderedPageBreak/>
        <w:t>PFOS detections in the 24</w:t>
      </w:r>
      <w:r w:rsidRPr="009B193C">
        <w:rPr>
          <w:vertAlign w:val="superscript"/>
        </w:rPr>
        <w:t>th</w:t>
      </w:r>
      <w:r w:rsidRPr="00B21E39">
        <w:t xml:space="preserve"> ATDS</w:t>
      </w:r>
      <w:r w:rsidR="001D7732">
        <w:t>, Phase 2</w:t>
      </w:r>
      <w:bookmarkEnd w:id="34"/>
      <w:bookmarkEnd w:id="35"/>
      <w:bookmarkEnd w:id="36"/>
      <w:bookmarkEnd w:id="37"/>
      <w:bookmarkEnd w:id="38"/>
    </w:p>
    <w:tbl>
      <w:tblPr>
        <w:tblStyle w:val="LightList-Accent11"/>
        <w:tblW w:w="0" w:type="auto"/>
        <w:tblLayout w:type="fixed"/>
        <w:tblLook w:val="04A0" w:firstRow="1" w:lastRow="0" w:firstColumn="1" w:lastColumn="0" w:noHBand="0" w:noVBand="1"/>
      </w:tblPr>
      <w:tblGrid>
        <w:gridCol w:w="1106"/>
        <w:gridCol w:w="1073"/>
        <w:gridCol w:w="1239"/>
        <w:gridCol w:w="1340"/>
        <w:gridCol w:w="2154"/>
        <w:gridCol w:w="1843"/>
      </w:tblGrid>
      <w:tr w:rsidR="007B7738" w:rsidRPr="00B21E39" w14:paraId="3E415E6E" w14:textId="77777777" w:rsidTr="009A14E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06" w:type="dxa"/>
          </w:tcPr>
          <w:p w14:paraId="20DC838A" w14:textId="60AEF571" w:rsidR="007B7738" w:rsidRPr="00B21E39" w:rsidRDefault="007B7738" w:rsidP="00C1071E">
            <w:pPr>
              <w:keepNext/>
              <w:autoSpaceDE w:val="0"/>
              <w:autoSpaceDN w:val="0"/>
              <w:adjustRightInd w:val="0"/>
              <w:spacing w:before="100" w:beforeAutospacing="1" w:after="100" w:afterAutospacing="1" w:line="161" w:lineRule="atLeast"/>
              <w:rPr>
                <w:rFonts w:cs="Arial"/>
                <w:sz w:val="20"/>
                <w:szCs w:val="20"/>
              </w:rPr>
            </w:pPr>
            <w:r w:rsidRPr="00B21E39">
              <w:rPr>
                <w:rFonts w:cs="Arial"/>
                <w:sz w:val="20"/>
                <w:szCs w:val="20"/>
              </w:rPr>
              <w:t>Chemical</w:t>
            </w:r>
          </w:p>
        </w:tc>
        <w:tc>
          <w:tcPr>
            <w:tcW w:w="1073" w:type="dxa"/>
          </w:tcPr>
          <w:p w14:paraId="46AF056C" w14:textId="4E7799F4" w:rsidR="007B7738" w:rsidRPr="00B21E39" w:rsidRDefault="00A61175" w:rsidP="00C1071E">
            <w:pPr>
              <w:keepNext/>
              <w:autoSpaceDE w:val="0"/>
              <w:autoSpaceDN w:val="0"/>
              <w:adjustRightInd w:val="0"/>
              <w:spacing w:before="100" w:beforeAutospacing="1" w:after="100" w:afterAutospacing="1" w:line="161" w:lineRule="atLeast"/>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Number of f</w:t>
            </w:r>
            <w:r w:rsidR="007B7738" w:rsidRPr="00B21E39">
              <w:rPr>
                <w:rFonts w:cs="Arial"/>
                <w:sz w:val="20"/>
                <w:szCs w:val="20"/>
              </w:rPr>
              <w:t>oods analysed</w:t>
            </w:r>
          </w:p>
        </w:tc>
        <w:tc>
          <w:tcPr>
            <w:tcW w:w="1239" w:type="dxa"/>
          </w:tcPr>
          <w:p w14:paraId="436FD43B" w14:textId="7BD44406" w:rsidR="007B7738" w:rsidRPr="00B21E39" w:rsidRDefault="00A61175" w:rsidP="00C1071E">
            <w:pPr>
              <w:keepNext/>
              <w:autoSpaceDE w:val="0"/>
              <w:autoSpaceDN w:val="0"/>
              <w:adjustRightInd w:val="0"/>
              <w:spacing w:before="100" w:beforeAutospacing="1" w:after="100" w:afterAutospacing="1" w:line="161" w:lineRule="atLeast"/>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Number of foods </w:t>
            </w:r>
            <w:r w:rsidR="007B7738" w:rsidRPr="00B21E39">
              <w:rPr>
                <w:rFonts w:cs="Arial"/>
                <w:sz w:val="20"/>
                <w:szCs w:val="20"/>
              </w:rPr>
              <w:t>with detections</w:t>
            </w:r>
          </w:p>
        </w:tc>
        <w:tc>
          <w:tcPr>
            <w:tcW w:w="1340" w:type="dxa"/>
          </w:tcPr>
          <w:p w14:paraId="342DA6AA" w14:textId="7D33A6FE" w:rsidR="007B7738" w:rsidRPr="00B21E39" w:rsidRDefault="007B7738" w:rsidP="00C1071E">
            <w:pPr>
              <w:keepNext/>
              <w:autoSpaceDE w:val="0"/>
              <w:autoSpaceDN w:val="0"/>
              <w:adjustRightInd w:val="0"/>
              <w:spacing w:before="100" w:beforeAutospacing="1" w:after="100" w:afterAutospacing="1" w:line="161" w:lineRule="atLeast"/>
              <w:cnfStyle w:val="100000000000" w:firstRow="1" w:lastRow="0" w:firstColumn="0" w:lastColumn="0" w:oddVBand="0" w:evenVBand="0" w:oddHBand="0" w:evenHBand="0" w:firstRowFirstColumn="0" w:firstRowLastColumn="0" w:lastRowFirstColumn="0" w:lastRowLastColumn="0"/>
              <w:rPr>
                <w:rFonts w:cs="Arial"/>
                <w:sz w:val="20"/>
                <w:szCs w:val="20"/>
              </w:rPr>
            </w:pPr>
            <w:r w:rsidRPr="00B21E39">
              <w:rPr>
                <w:rFonts w:cs="Arial"/>
                <w:sz w:val="20"/>
                <w:szCs w:val="20"/>
              </w:rPr>
              <w:t>% with detections</w:t>
            </w:r>
            <w:r w:rsidRPr="00B21E39">
              <w:rPr>
                <w:rFonts w:cs="Arial"/>
                <w:sz w:val="20"/>
                <w:szCs w:val="20"/>
                <w:vertAlign w:val="superscript"/>
              </w:rPr>
              <w:t>1</w:t>
            </w:r>
          </w:p>
        </w:tc>
        <w:tc>
          <w:tcPr>
            <w:tcW w:w="2154" w:type="dxa"/>
          </w:tcPr>
          <w:p w14:paraId="13224093" w14:textId="4F591633" w:rsidR="007B7738" w:rsidRPr="00B21E39" w:rsidRDefault="007B7738" w:rsidP="00C1071E">
            <w:pPr>
              <w:keepNext/>
              <w:autoSpaceDE w:val="0"/>
              <w:autoSpaceDN w:val="0"/>
              <w:adjustRightInd w:val="0"/>
              <w:spacing w:before="100" w:beforeAutospacing="1" w:after="100" w:afterAutospacing="1" w:line="161" w:lineRule="atLeast"/>
              <w:cnfStyle w:val="100000000000" w:firstRow="1" w:lastRow="0" w:firstColumn="0" w:lastColumn="0" w:oddVBand="0" w:evenVBand="0" w:oddHBand="0" w:evenHBand="0" w:firstRowFirstColumn="0" w:firstRowLastColumn="0" w:lastRowFirstColumn="0" w:lastRowLastColumn="0"/>
              <w:rPr>
                <w:rFonts w:cs="Arial"/>
                <w:sz w:val="20"/>
                <w:szCs w:val="20"/>
              </w:rPr>
            </w:pPr>
            <w:r w:rsidRPr="00B21E39">
              <w:rPr>
                <w:rFonts w:cs="Arial"/>
                <w:sz w:val="20"/>
                <w:szCs w:val="20"/>
              </w:rPr>
              <w:t xml:space="preserve">Foods with </w:t>
            </w:r>
            <w:r>
              <w:rPr>
                <w:rFonts w:cs="Arial"/>
                <w:sz w:val="20"/>
                <w:szCs w:val="20"/>
              </w:rPr>
              <w:t>detected values</w:t>
            </w:r>
          </w:p>
        </w:tc>
        <w:tc>
          <w:tcPr>
            <w:tcW w:w="1843" w:type="dxa"/>
          </w:tcPr>
          <w:p w14:paraId="7ACA6A65" w14:textId="77B5EF37" w:rsidR="007B7738" w:rsidRDefault="007B7738" w:rsidP="00C1071E">
            <w:pPr>
              <w:keepNext/>
              <w:autoSpaceDE w:val="0"/>
              <w:autoSpaceDN w:val="0"/>
              <w:adjustRightInd w:val="0"/>
              <w:spacing w:before="100" w:beforeAutospacing="1" w:after="100" w:afterAutospacing="1" w:line="161" w:lineRule="atLeast"/>
              <w:cnfStyle w:val="100000000000" w:firstRow="1" w:lastRow="0" w:firstColumn="0" w:lastColumn="0" w:oddVBand="0" w:evenVBand="0" w:oddHBand="0" w:evenHBand="0" w:firstRowFirstColumn="0" w:firstRowLastColumn="0" w:lastRowFirstColumn="0" w:lastRowLastColumn="0"/>
              <w:rPr>
                <w:rFonts w:cs="Arial"/>
                <w:sz w:val="20"/>
                <w:szCs w:val="20"/>
              </w:rPr>
            </w:pPr>
            <w:r w:rsidRPr="00B21E39">
              <w:rPr>
                <w:rFonts w:cs="Arial"/>
                <w:sz w:val="20"/>
                <w:szCs w:val="20"/>
              </w:rPr>
              <w:t>Concentration range (</w:t>
            </w:r>
            <w:r>
              <w:rPr>
                <w:rFonts w:cs="Arial"/>
                <w:sz w:val="20"/>
                <w:szCs w:val="20"/>
              </w:rPr>
              <w:t>µ</w:t>
            </w:r>
            <w:r w:rsidRPr="00B21E39">
              <w:rPr>
                <w:rFonts w:cs="Arial"/>
                <w:sz w:val="20"/>
                <w:szCs w:val="20"/>
              </w:rPr>
              <w:t>g/kg)</w:t>
            </w:r>
            <w:r w:rsidRPr="00B21E39">
              <w:rPr>
                <w:rFonts w:cs="Arial"/>
                <w:sz w:val="20"/>
                <w:szCs w:val="20"/>
                <w:vertAlign w:val="superscript"/>
              </w:rPr>
              <w:t>2</w:t>
            </w:r>
          </w:p>
        </w:tc>
      </w:tr>
      <w:tr w:rsidR="007B7738" w:rsidRPr="00B21E39" w14:paraId="7C8821B7" w14:textId="77777777" w:rsidTr="009A14E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106" w:type="dxa"/>
          </w:tcPr>
          <w:p w14:paraId="6CD069E4" w14:textId="442841EF" w:rsidR="007B7738" w:rsidRPr="007B7738" w:rsidRDefault="007B7738" w:rsidP="00C1071E">
            <w:pPr>
              <w:keepNext/>
              <w:autoSpaceDE w:val="0"/>
              <w:autoSpaceDN w:val="0"/>
              <w:adjustRightInd w:val="0"/>
              <w:spacing w:before="100" w:beforeAutospacing="1" w:after="100" w:afterAutospacing="1" w:line="161" w:lineRule="atLeast"/>
              <w:jc w:val="center"/>
              <w:rPr>
                <w:rFonts w:cs="Arial"/>
                <w:b w:val="0"/>
                <w:color w:val="000000"/>
                <w:sz w:val="20"/>
                <w:szCs w:val="20"/>
              </w:rPr>
            </w:pPr>
            <w:r w:rsidRPr="007B7738">
              <w:rPr>
                <w:rFonts w:cs="Arial"/>
                <w:b w:val="0"/>
                <w:color w:val="000000"/>
                <w:sz w:val="20"/>
                <w:szCs w:val="20"/>
              </w:rPr>
              <w:t>PFOS</w:t>
            </w:r>
          </w:p>
        </w:tc>
        <w:tc>
          <w:tcPr>
            <w:tcW w:w="1073" w:type="dxa"/>
          </w:tcPr>
          <w:p w14:paraId="127B380E" w14:textId="0000FEA5" w:rsidR="007B7738" w:rsidRPr="00B21E39" w:rsidRDefault="007B7738" w:rsidP="00C1071E">
            <w:pPr>
              <w:keepNext/>
              <w:autoSpaceDE w:val="0"/>
              <w:autoSpaceDN w:val="0"/>
              <w:adjustRightInd w:val="0"/>
              <w:spacing w:before="100" w:beforeAutospacing="1" w:after="100" w:afterAutospacing="1" w:line="161"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1E39">
              <w:rPr>
                <w:rFonts w:cs="Arial"/>
                <w:color w:val="000000"/>
                <w:sz w:val="20"/>
                <w:szCs w:val="20"/>
              </w:rPr>
              <w:t>50</w:t>
            </w:r>
          </w:p>
        </w:tc>
        <w:tc>
          <w:tcPr>
            <w:tcW w:w="1239" w:type="dxa"/>
          </w:tcPr>
          <w:p w14:paraId="1C223E0A" w14:textId="4CE673D8" w:rsidR="007B7738" w:rsidRPr="00B21E39" w:rsidRDefault="007B7738" w:rsidP="00C1071E">
            <w:pPr>
              <w:keepNext/>
              <w:autoSpaceDE w:val="0"/>
              <w:autoSpaceDN w:val="0"/>
              <w:adjustRightInd w:val="0"/>
              <w:spacing w:before="100" w:beforeAutospacing="1" w:after="100" w:afterAutospacing="1" w:line="161"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1E39">
              <w:rPr>
                <w:rFonts w:cs="Arial"/>
                <w:color w:val="000000"/>
                <w:sz w:val="20"/>
                <w:szCs w:val="20"/>
              </w:rPr>
              <w:t>2</w:t>
            </w:r>
          </w:p>
        </w:tc>
        <w:tc>
          <w:tcPr>
            <w:tcW w:w="1340" w:type="dxa"/>
          </w:tcPr>
          <w:p w14:paraId="68B2CE03" w14:textId="74BE2B0D" w:rsidR="007B7738" w:rsidRPr="00B21E39" w:rsidRDefault="007B7738" w:rsidP="00C1071E">
            <w:pPr>
              <w:keepNext/>
              <w:autoSpaceDE w:val="0"/>
              <w:autoSpaceDN w:val="0"/>
              <w:adjustRightInd w:val="0"/>
              <w:spacing w:before="100" w:beforeAutospacing="1" w:after="100" w:afterAutospacing="1" w:line="161"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1E39">
              <w:rPr>
                <w:rFonts w:cs="Arial"/>
                <w:color w:val="000000"/>
                <w:sz w:val="20"/>
                <w:szCs w:val="20"/>
              </w:rPr>
              <w:t>0.7 (2/304)</w:t>
            </w:r>
          </w:p>
        </w:tc>
        <w:tc>
          <w:tcPr>
            <w:tcW w:w="2154" w:type="dxa"/>
          </w:tcPr>
          <w:p w14:paraId="3CB765FE" w14:textId="77777777" w:rsidR="007B7738" w:rsidRDefault="007B7738" w:rsidP="00C1071E">
            <w:pPr>
              <w:keepNext/>
              <w:autoSpaceDE w:val="0"/>
              <w:autoSpaceDN w:val="0"/>
              <w:adjustRightInd w:val="0"/>
              <w:spacing w:before="100" w:beforeAutospacing="1" w:after="100" w:afterAutospacing="1" w:line="161" w:lineRule="atLeas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1E39">
              <w:rPr>
                <w:rFonts w:cs="Arial"/>
                <w:color w:val="000000"/>
                <w:sz w:val="20"/>
                <w:szCs w:val="20"/>
              </w:rPr>
              <w:t>Fish fillets</w:t>
            </w:r>
            <w:r>
              <w:rPr>
                <w:rFonts w:cs="Arial"/>
                <w:color w:val="000000"/>
                <w:sz w:val="20"/>
                <w:szCs w:val="20"/>
              </w:rPr>
              <w:t>, white fish</w:t>
            </w:r>
          </w:p>
          <w:p w14:paraId="059E49AB" w14:textId="62D08A54" w:rsidR="007B7738" w:rsidRPr="00B21E39" w:rsidRDefault="007B7738" w:rsidP="00C1071E">
            <w:pPr>
              <w:keepNext/>
              <w:autoSpaceDE w:val="0"/>
              <w:autoSpaceDN w:val="0"/>
              <w:adjustRightInd w:val="0"/>
              <w:spacing w:before="100" w:beforeAutospacing="1" w:after="100" w:afterAutospacing="1" w:line="161" w:lineRule="atLeas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S</w:t>
            </w:r>
            <w:r w:rsidRPr="00B21E39">
              <w:rPr>
                <w:rFonts w:cs="Arial"/>
                <w:color w:val="000000"/>
                <w:sz w:val="20"/>
                <w:szCs w:val="20"/>
              </w:rPr>
              <w:t>ausages</w:t>
            </w:r>
            <w:r>
              <w:rPr>
                <w:rFonts w:cs="Arial"/>
                <w:color w:val="000000"/>
                <w:sz w:val="20"/>
                <w:szCs w:val="20"/>
              </w:rPr>
              <w:t>, beef</w:t>
            </w:r>
          </w:p>
        </w:tc>
        <w:tc>
          <w:tcPr>
            <w:tcW w:w="1843" w:type="dxa"/>
          </w:tcPr>
          <w:p w14:paraId="19A70712" w14:textId="77777777" w:rsidR="007B7738" w:rsidRDefault="007B7738" w:rsidP="00C1071E">
            <w:pPr>
              <w:keepNext/>
              <w:autoSpaceDE w:val="0"/>
              <w:autoSpaceDN w:val="0"/>
              <w:adjustRightInd w:val="0"/>
              <w:spacing w:before="100" w:beforeAutospacing="1" w:after="100" w:afterAutospacing="1" w:line="161" w:lineRule="atLeas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1E39">
              <w:rPr>
                <w:rFonts w:cs="Arial"/>
                <w:color w:val="000000"/>
                <w:sz w:val="20"/>
                <w:szCs w:val="20"/>
              </w:rPr>
              <w:t>&lt;LOR–</w:t>
            </w:r>
            <w:r>
              <w:rPr>
                <w:rFonts w:cs="Arial"/>
                <w:color w:val="000000"/>
                <w:sz w:val="20"/>
                <w:szCs w:val="20"/>
              </w:rPr>
              <w:t>1.0</w:t>
            </w:r>
          </w:p>
          <w:p w14:paraId="5322988B" w14:textId="4FFE0FBF" w:rsidR="007B7738" w:rsidRDefault="007B7738" w:rsidP="00C1071E">
            <w:pPr>
              <w:keepNext/>
              <w:autoSpaceDE w:val="0"/>
              <w:autoSpaceDN w:val="0"/>
              <w:adjustRightInd w:val="0"/>
              <w:spacing w:before="100" w:beforeAutospacing="1" w:after="100" w:afterAutospacing="1" w:line="161" w:lineRule="atLeas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1E39">
              <w:rPr>
                <w:rFonts w:cs="Arial"/>
                <w:color w:val="000000"/>
                <w:sz w:val="20"/>
                <w:szCs w:val="20"/>
              </w:rPr>
              <w:t>&lt;LOR–0.</w:t>
            </w:r>
            <w:r>
              <w:rPr>
                <w:rFonts w:cs="Arial"/>
                <w:color w:val="000000"/>
                <w:sz w:val="20"/>
                <w:szCs w:val="20"/>
              </w:rPr>
              <w:t>2</w:t>
            </w:r>
          </w:p>
        </w:tc>
      </w:tr>
    </w:tbl>
    <w:p w14:paraId="0D826A83" w14:textId="19F8A2DB" w:rsidR="009B193C" w:rsidRPr="00B21E39" w:rsidRDefault="009B193C" w:rsidP="00C1071E">
      <w:pPr>
        <w:pStyle w:val="FSCFootnote"/>
      </w:pPr>
      <w:r w:rsidRPr="00B21E39">
        <w:rPr>
          <w:vertAlign w:val="superscript"/>
        </w:rPr>
        <w:t xml:space="preserve">1 </w:t>
      </w:r>
      <w:r w:rsidRPr="00B21E39">
        <w:t>The proportion of total samples analysed. In most cases, each sample analysed was a composite of three individual primary samples</w:t>
      </w:r>
      <w:r w:rsidR="00AE37CE">
        <w:t xml:space="preserve"> with</w:t>
      </w:r>
      <w:r w:rsidRPr="00B21E39">
        <w:t xml:space="preserve"> 304 composites from 50 different foods tested for PFOS. For </w:t>
      </w:r>
      <w:r w:rsidR="007B7738">
        <w:t>further details refer to FSANZ 2016</w:t>
      </w:r>
      <w:r w:rsidR="00AE37CE">
        <w:t>.</w:t>
      </w:r>
    </w:p>
    <w:p w14:paraId="5F3CCED2" w14:textId="7BCEA6C9" w:rsidR="009B193C" w:rsidRPr="00C42AB3" w:rsidRDefault="009B193C" w:rsidP="00C1071E">
      <w:pPr>
        <w:pStyle w:val="FSCFootnote"/>
      </w:pPr>
      <w:r w:rsidRPr="00C42AB3">
        <w:rPr>
          <w:vertAlign w:val="superscript"/>
        </w:rPr>
        <w:t>2</w:t>
      </w:r>
      <w:r w:rsidR="0011090C">
        <w:t xml:space="preserve">LOR </w:t>
      </w:r>
      <w:r w:rsidRPr="00C42AB3">
        <w:t>limit of reporting</w:t>
      </w:r>
      <w:r w:rsidR="0011090C">
        <w:t>;</w:t>
      </w:r>
      <w:r w:rsidR="00C42AB3" w:rsidRPr="00C42AB3">
        <w:t xml:space="preserve"> </w:t>
      </w:r>
      <w:r w:rsidR="0011090C">
        <w:t xml:space="preserve">LOR = </w:t>
      </w:r>
      <w:r w:rsidR="00C42AB3" w:rsidRPr="00C42AB3">
        <w:t xml:space="preserve">0.4 </w:t>
      </w:r>
      <w:r w:rsidR="00C42AB3" w:rsidRPr="00C42AB3">
        <w:rPr>
          <w:rFonts w:cs="Arial"/>
        </w:rPr>
        <w:t xml:space="preserve">µg/kg for </w:t>
      </w:r>
      <w:r w:rsidR="00C42AB3">
        <w:rPr>
          <w:rFonts w:cs="Arial"/>
        </w:rPr>
        <w:t xml:space="preserve">PFOS in </w:t>
      </w:r>
      <w:r w:rsidR="00C42AB3" w:rsidRPr="00C42AB3">
        <w:rPr>
          <w:rFonts w:cs="Arial"/>
        </w:rPr>
        <w:t xml:space="preserve">fish fillets and sausages </w:t>
      </w:r>
    </w:p>
    <w:p w14:paraId="123C751F" w14:textId="1688E1FD" w:rsidR="00270C9D" w:rsidRDefault="009B193C" w:rsidP="009B193C">
      <w:pPr>
        <w:spacing w:before="100" w:beforeAutospacing="1" w:after="100" w:afterAutospacing="1"/>
      </w:pPr>
      <w:r w:rsidRPr="00B21E39">
        <w:t>In the 24</w:t>
      </w:r>
      <w:r w:rsidRPr="00B21E39">
        <w:rPr>
          <w:vertAlign w:val="superscript"/>
        </w:rPr>
        <w:t>th</w:t>
      </w:r>
      <w:r w:rsidRPr="00B21E39">
        <w:t xml:space="preserve"> ATDS packaging chemicals were first screened to determine if a more refined dietary exposure estimate was required</w:t>
      </w:r>
      <w:r w:rsidR="002D5754">
        <w:t>,</w:t>
      </w:r>
      <w:r w:rsidRPr="00B21E39">
        <w:t xml:space="preserve"> by calculating the theoretical maximum daily exposure (TMDE)</w:t>
      </w:r>
      <w:r w:rsidR="008F1E3A">
        <w:rPr>
          <w:rStyle w:val="FootnoteReference"/>
        </w:rPr>
        <w:footnoteReference w:id="4"/>
      </w:r>
      <w:r w:rsidRPr="00B21E39">
        <w:t xml:space="preserve"> for each chemical. </w:t>
      </w:r>
      <w:r w:rsidR="00854C3E">
        <w:t xml:space="preserve">This screening step is intentionally a conservative approach as it assumes 50% </w:t>
      </w:r>
      <w:r w:rsidR="00872BC7">
        <w:t xml:space="preserve">of all </w:t>
      </w:r>
      <w:r w:rsidR="00854C3E">
        <w:t>foods and beverages consumed contain the chemical of interest at the reported level.</w:t>
      </w:r>
      <w:r w:rsidR="008F1E3A">
        <w:t xml:space="preserve"> </w:t>
      </w:r>
      <w:r w:rsidR="000B113C">
        <w:t>In th</w:t>
      </w:r>
      <w:r w:rsidR="008F1E3A">
        <w:t>is</w:t>
      </w:r>
      <w:r w:rsidR="000B113C">
        <w:t xml:space="preserve"> screening step</w:t>
      </w:r>
      <w:r w:rsidR="00342A1D">
        <w:t>,</w:t>
      </w:r>
      <w:r w:rsidR="000B113C">
        <w:t xml:space="preserve"> t</w:t>
      </w:r>
      <w:r w:rsidRPr="00B21E39">
        <w:t>he TMDE</w:t>
      </w:r>
      <w:r w:rsidR="00E963C0">
        <w:rPr>
          <w:rStyle w:val="FootnoteReference"/>
        </w:rPr>
        <w:footnoteReference w:id="5"/>
      </w:r>
      <w:r w:rsidRPr="00B21E39">
        <w:t xml:space="preserve"> for PFOS was low in comparison to the TDI</w:t>
      </w:r>
      <w:r w:rsidR="00270C9D">
        <w:t xml:space="preserve"> of 150 </w:t>
      </w:r>
      <w:proofErr w:type="spellStart"/>
      <w:r w:rsidR="00BA6040">
        <w:rPr>
          <w:rFonts w:cs="Arial"/>
        </w:rPr>
        <w:t>n</w:t>
      </w:r>
      <w:r w:rsidR="00270C9D">
        <w:t>g</w:t>
      </w:r>
      <w:proofErr w:type="spellEnd"/>
      <w:r w:rsidR="00270C9D" w:rsidRPr="00B21E39">
        <w:t>/kg</w:t>
      </w:r>
      <w:r w:rsidR="00270C9D">
        <w:t xml:space="preserve"> </w:t>
      </w:r>
      <w:proofErr w:type="spellStart"/>
      <w:proofErr w:type="gramStart"/>
      <w:r w:rsidR="00270C9D">
        <w:t>bw</w:t>
      </w:r>
      <w:proofErr w:type="spellEnd"/>
      <w:proofErr w:type="gramEnd"/>
      <w:r w:rsidR="00BA6040">
        <w:t xml:space="preserve"> </w:t>
      </w:r>
      <w:r w:rsidR="00BD5CD4">
        <w:t>(</w:t>
      </w:r>
      <w:r w:rsidR="00BD5CD4" w:rsidRPr="00B21E39">
        <w:t>33% of TDI</w:t>
      </w:r>
      <w:r w:rsidR="00BD5CD4">
        <w:t xml:space="preserve">), established by the European Food Safety </w:t>
      </w:r>
      <w:r w:rsidR="00221402">
        <w:t>Authority</w:t>
      </w:r>
      <w:r w:rsidR="00BD5CD4">
        <w:t xml:space="preserve"> (</w:t>
      </w:r>
      <w:r w:rsidR="00BD5CD4" w:rsidRPr="00BD5CD4">
        <w:t>EFSA</w:t>
      </w:r>
      <w:r w:rsidR="00BD5CD4">
        <w:t>)</w:t>
      </w:r>
      <w:r w:rsidRPr="00B21E39">
        <w:t>. This indicated a negligible public health and safety risk</w:t>
      </w:r>
      <w:r w:rsidR="00E137AB">
        <w:t xml:space="preserve">, so </w:t>
      </w:r>
      <w:r w:rsidR="00546F9E">
        <w:t xml:space="preserve">that </w:t>
      </w:r>
      <w:r w:rsidR="00E137AB">
        <w:t xml:space="preserve">a full dietary exposure assessment </w:t>
      </w:r>
      <w:r w:rsidR="004A2D98">
        <w:t xml:space="preserve">for the general population </w:t>
      </w:r>
      <w:r w:rsidR="00E137AB">
        <w:t>was not deemed necessary</w:t>
      </w:r>
      <w:r w:rsidRPr="00B21E39">
        <w:t>.</w:t>
      </w:r>
      <w:r w:rsidR="00270C9D">
        <w:t xml:space="preserve"> </w:t>
      </w:r>
    </w:p>
    <w:p w14:paraId="050B2FFE" w14:textId="7622F4CC" w:rsidR="009B193C" w:rsidRPr="00046BB4" w:rsidRDefault="009B193C" w:rsidP="006635AC">
      <w:pPr>
        <w:pStyle w:val="Heading2"/>
      </w:pPr>
      <w:bookmarkStart w:id="39" w:name="_Toc474153252"/>
      <w:bookmarkStart w:id="40" w:name="_Toc474158932"/>
      <w:bookmarkStart w:id="41" w:name="_Toc474847893"/>
      <w:bookmarkStart w:id="42" w:name="_Toc475360599"/>
      <w:r w:rsidRPr="00046BB4">
        <w:t xml:space="preserve">NSW </w:t>
      </w:r>
      <w:r w:rsidR="000B18BA">
        <w:t>F</w:t>
      </w:r>
      <w:r w:rsidR="00546F9E">
        <w:t xml:space="preserve">ood </w:t>
      </w:r>
      <w:r w:rsidR="000B18BA">
        <w:t>A</w:t>
      </w:r>
      <w:r w:rsidR="00546F9E">
        <w:t>uthority</w:t>
      </w:r>
      <w:r w:rsidR="000B18BA">
        <w:t xml:space="preserve"> </w:t>
      </w:r>
      <w:r w:rsidRPr="00046BB4">
        <w:t>follow up fish study</w:t>
      </w:r>
      <w:bookmarkEnd w:id="39"/>
      <w:bookmarkEnd w:id="40"/>
      <w:bookmarkEnd w:id="41"/>
      <w:bookmarkEnd w:id="42"/>
    </w:p>
    <w:p w14:paraId="63E6BBA1" w14:textId="0A81A1A0" w:rsidR="00667BBA" w:rsidRDefault="00AF4352" w:rsidP="00AF4352">
      <w:r w:rsidRPr="00383396">
        <w:t>Following the publication of the 24</w:t>
      </w:r>
      <w:r w:rsidRPr="00383396">
        <w:rPr>
          <w:vertAlign w:val="superscript"/>
        </w:rPr>
        <w:t>th</w:t>
      </w:r>
      <w:r w:rsidRPr="00383396">
        <w:t xml:space="preserve"> ATDS Phase 2 report, the </w:t>
      </w:r>
      <w:r w:rsidR="000B18BA">
        <w:t>NSW F</w:t>
      </w:r>
      <w:r w:rsidR="00546F9E">
        <w:t xml:space="preserve">ood </w:t>
      </w:r>
      <w:r w:rsidR="000B18BA">
        <w:t>A</w:t>
      </w:r>
      <w:r w:rsidR="00546F9E">
        <w:t>uthority</w:t>
      </w:r>
      <w:r w:rsidRPr="00383396">
        <w:t xml:space="preserve"> undertook further research on </w:t>
      </w:r>
      <w:r w:rsidR="000F2B27" w:rsidRPr="000F2B27">
        <w:t xml:space="preserve">PFOS, PFOA and </w:t>
      </w:r>
      <w:proofErr w:type="spellStart"/>
      <w:r w:rsidR="000F2B27" w:rsidRPr="000F2B27">
        <w:t>PFHxS</w:t>
      </w:r>
      <w:proofErr w:type="spellEnd"/>
      <w:r w:rsidRPr="00383396">
        <w:t xml:space="preserve"> in fish</w:t>
      </w:r>
      <w:r w:rsidR="00383396" w:rsidRPr="00383396">
        <w:t xml:space="preserve"> in </w:t>
      </w:r>
      <w:r w:rsidR="00961123">
        <w:t>February 2016</w:t>
      </w:r>
      <w:r w:rsidRPr="00383396">
        <w:t xml:space="preserve">, </w:t>
      </w:r>
      <w:r w:rsidR="00702EE6" w:rsidRPr="00383396">
        <w:t xml:space="preserve">analysing </w:t>
      </w:r>
      <w:r w:rsidR="0086576C" w:rsidRPr="00383396">
        <w:t xml:space="preserve">an additional </w:t>
      </w:r>
      <w:r w:rsidR="00702EE6" w:rsidRPr="00383396">
        <w:t>5</w:t>
      </w:r>
      <w:r w:rsidR="00961123">
        <w:t>2</w:t>
      </w:r>
      <w:r w:rsidR="00702EE6" w:rsidRPr="00383396">
        <w:t xml:space="preserve"> </w:t>
      </w:r>
      <w:r w:rsidR="00961123">
        <w:t xml:space="preserve">imported </w:t>
      </w:r>
      <w:r w:rsidR="00702EE6" w:rsidRPr="00383396">
        <w:t xml:space="preserve">fish </w:t>
      </w:r>
      <w:r w:rsidR="00961123">
        <w:t xml:space="preserve">and prawn </w:t>
      </w:r>
      <w:r w:rsidR="00702EE6" w:rsidRPr="00383396">
        <w:t xml:space="preserve">samples </w:t>
      </w:r>
      <w:r w:rsidR="00961123">
        <w:t xml:space="preserve">purchased </w:t>
      </w:r>
      <w:r w:rsidR="0086576C" w:rsidRPr="00383396">
        <w:t xml:space="preserve">from Sydney </w:t>
      </w:r>
      <w:r w:rsidR="00961123">
        <w:t>retail outlets</w:t>
      </w:r>
      <w:r w:rsidR="0086576C" w:rsidRPr="00383396">
        <w:t xml:space="preserve"> </w:t>
      </w:r>
      <w:r w:rsidR="00702EE6" w:rsidRPr="00383396">
        <w:t>(</w:t>
      </w:r>
      <w:r w:rsidR="00022324">
        <w:t>s</w:t>
      </w:r>
      <w:r w:rsidR="00702EE6" w:rsidRPr="00383396">
        <w:t xml:space="preserve">ee </w:t>
      </w:r>
      <w:r w:rsidR="008110E9" w:rsidRPr="008110E9">
        <w:rPr>
          <w:rStyle w:val="CrossReferenceChar"/>
        </w:rPr>
        <w:fldChar w:fldCharType="begin"/>
      </w:r>
      <w:r w:rsidR="008110E9" w:rsidRPr="008110E9">
        <w:rPr>
          <w:rStyle w:val="CrossReferenceChar"/>
        </w:rPr>
        <w:instrText xml:space="preserve"> REF _Ref474245021 \r \h </w:instrText>
      </w:r>
      <w:r w:rsidR="008110E9" w:rsidRPr="008110E9">
        <w:rPr>
          <w:rStyle w:val="CrossReferenceChar"/>
        </w:rPr>
      </w:r>
      <w:r w:rsidR="008110E9" w:rsidRPr="008110E9">
        <w:rPr>
          <w:rStyle w:val="CrossReferenceChar"/>
        </w:rPr>
        <w:fldChar w:fldCharType="separate"/>
      </w:r>
      <w:r w:rsidR="00D5249B">
        <w:rPr>
          <w:rStyle w:val="CrossReferenceChar"/>
        </w:rPr>
        <w:t>Table 2</w:t>
      </w:r>
      <w:r w:rsidR="008110E9" w:rsidRPr="008110E9">
        <w:rPr>
          <w:rStyle w:val="CrossReferenceChar"/>
        </w:rPr>
        <w:fldChar w:fldCharType="end"/>
      </w:r>
      <w:r w:rsidR="00702EE6" w:rsidRPr="00383396">
        <w:t xml:space="preserve">). </w:t>
      </w:r>
      <w:r w:rsidR="00DA3E58">
        <w:t>There was only</w:t>
      </w:r>
      <w:r w:rsidR="00022324">
        <w:t xml:space="preserve"> </w:t>
      </w:r>
      <w:r w:rsidR="00941ABC">
        <w:t>one</w:t>
      </w:r>
      <w:r w:rsidR="00022324">
        <w:t xml:space="preserve"> detection </w:t>
      </w:r>
      <w:r w:rsidR="000F48DB">
        <w:t xml:space="preserve">in prawns </w:t>
      </w:r>
      <w:r w:rsidR="00022324">
        <w:t>for PFOS</w:t>
      </w:r>
      <w:r w:rsidRPr="00383396">
        <w:t>. No further dietary exposure assessment was undertaken.</w:t>
      </w:r>
    </w:p>
    <w:p w14:paraId="7309B376" w14:textId="53ACE9DE" w:rsidR="00A61175" w:rsidRPr="009A14E0" w:rsidRDefault="00A61175" w:rsidP="009A14E0">
      <w:pPr>
        <w:pStyle w:val="FSTableColumnRowheading"/>
      </w:pPr>
      <w:bookmarkStart w:id="43" w:name="_Toc474153712"/>
      <w:bookmarkStart w:id="44" w:name="_Toc474158904"/>
      <w:bookmarkStart w:id="45" w:name="_Ref474245021"/>
      <w:bookmarkStart w:id="46" w:name="_Toc474847864"/>
      <w:bookmarkStart w:id="47" w:name="_Toc474852104"/>
      <w:r w:rsidRPr="009A14E0">
        <w:t>PFOS detections in the NSW</w:t>
      </w:r>
      <w:r w:rsidR="005D1385" w:rsidRPr="009A14E0">
        <w:t xml:space="preserve"> </w:t>
      </w:r>
      <w:r w:rsidRPr="009A14E0">
        <w:t>F</w:t>
      </w:r>
      <w:r w:rsidR="002A31CA">
        <w:t xml:space="preserve">ood </w:t>
      </w:r>
      <w:r w:rsidRPr="009A14E0">
        <w:t>A</w:t>
      </w:r>
      <w:r w:rsidR="002A31CA">
        <w:t>uthority</w:t>
      </w:r>
      <w:r w:rsidRPr="009A14E0">
        <w:t xml:space="preserve"> fish survey</w:t>
      </w:r>
      <w:bookmarkEnd w:id="43"/>
      <w:bookmarkEnd w:id="44"/>
      <w:bookmarkEnd w:id="45"/>
      <w:bookmarkEnd w:id="46"/>
      <w:bookmarkEnd w:id="47"/>
    </w:p>
    <w:tbl>
      <w:tblPr>
        <w:tblStyle w:val="LightList-Accent11"/>
        <w:tblW w:w="0" w:type="auto"/>
        <w:tblLayout w:type="fixed"/>
        <w:tblLook w:val="04A0" w:firstRow="1" w:lastRow="0" w:firstColumn="1" w:lastColumn="0" w:noHBand="0" w:noVBand="1"/>
      </w:tblPr>
      <w:tblGrid>
        <w:gridCol w:w="1106"/>
        <w:gridCol w:w="1073"/>
        <w:gridCol w:w="1239"/>
        <w:gridCol w:w="1340"/>
        <w:gridCol w:w="2154"/>
        <w:gridCol w:w="1843"/>
      </w:tblGrid>
      <w:tr w:rsidR="00A61175" w:rsidRPr="00B21E39" w14:paraId="12140B17" w14:textId="77777777" w:rsidTr="00CE1CE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6" w:type="dxa"/>
          </w:tcPr>
          <w:p w14:paraId="5636A429" w14:textId="77777777" w:rsidR="00A61175" w:rsidRPr="00B21E39" w:rsidRDefault="00A61175" w:rsidP="00E10031">
            <w:pPr>
              <w:keepNext/>
              <w:autoSpaceDE w:val="0"/>
              <w:autoSpaceDN w:val="0"/>
              <w:adjustRightInd w:val="0"/>
              <w:contextualSpacing/>
              <w:rPr>
                <w:rFonts w:cs="Arial"/>
                <w:sz w:val="20"/>
                <w:szCs w:val="20"/>
              </w:rPr>
            </w:pPr>
            <w:r w:rsidRPr="00B21E39">
              <w:rPr>
                <w:rFonts w:cs="Arial"/>
                <w:sz w:val="20"/>
                <w:szCs w:val="20"/>
              </w:rPr>
              <w:t>Chemical</w:t>
            </w:r>
          </w:p>
        </w:tc>
        <w:tc>
          <w:tcPr>
            <w:tcW w:w="1073" w:type="dxa"/>
          </w:tcPr>
          <w:p w14:paraId="0944A120" w14:textId="68E25362" w:rsidR="00A61175" w:rsidRPr="00B21E39" w:rsidRDefault="00A61175" w:rsidP="00E10031">
            <w:pPr>
              <w:keepNext/>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Number of f</w:t>
            </w:r>
            <w:r w:rsidRPr="00B21E39">
              <w:rPr>
                <w:rFonts w:cs="Arial"/>
                <w:sz w:val="20"/>
                <w:szCs w:val="20"/>
              </w:rPr>
              <w:t>oods analysed</w:t>
            </w:r>
          </w:p>
        </w:tc>
        <w:tc>
          <w:tcPr>
            <w:tcW w:w="1239" w:type="dxa"/>
          </w:tcPr>
          <w:p w14:paraId="28E5EF24" w14:textId="6DB893CF" w:rsidR="00A61175" w:rsidRPr="00B21E39" w:rsidRDefault="00A61175" w:rsidP="00E10031">
            <w:pPr>
              <w:keepNext/>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Number of foods </w:t>
            </w:r>
            <w:r w:rsidRPr="00B21E39">
              <w:rPr>
                <w:rFonts w:cs="Arial"/>
                <w:sz w:val="20"/>
                <w:szCs w:val="20"/>
              </w:rPr>
              <w:t>with detections</w:t>
            </w:r>
          </w:p>
        </w:tc>
        <w:tc>
          <w:tcPr>
            <w:tcW w:w="1340" w:type="dxa"/>
          </w:tcPr>
          <w:p w14:paraId="1813F97E" w14:textId="77777777" w:rsidR="00A61175" w:rsidRPr="00B21E39" w:rsidRDefault="00A61175" w:rsidP="00E10031">
            <w:pPr>
              <w:keepNext/>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cs="Arial"/>
                <w:sz w:val="20"/>
                <w:szCs w:val="20"/>
              </w:rPr>
            </w:pPr>
            <w:r w:rsidRPr="00B21E39">
              <w:rPr>
                <w:rFonts w:cs="Arial"/>
                <w:sz w:val="20"/>
                <w:szCs w:val="20"/>
              </w:rPr>
              <w:t>% with detections</w:t>
            </w:r>
            <w:r w:rsidRPr="00B21E39">
              <w:rPr>
                <w:rFonts w:cs="Arial"/>
                <w:sz w:val="20"/>
                <w:szCs w:val="20"/>
                <w:vertAlign w:val="superscript"/>
              </w:rPr>
              <w:t>1</w:t>
            </w:r>
          </w:p>
        </w:tc>
        <w:tc>
          <w:tcPr>
            <w:tcW w:w="2154" w:type="dxa"/>
          </w:tcPr>
          <w:p w14:paraId="51572034" w14:textId="77777777" w:rsidR="00A61175" w:rsidRPr="00B21E39" w:rsidRDefault="00A61175" w:rsidP="00E10031">
            <w:pPr>
              <w:keepNext/>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cs="Arial"/>
                <w:sz w:val="20"/>
                <w:szCs w:val="20"/>
              </w:rPr>
            </w:pPr>
            <w:r w:rsidRPr="00B21E39">
              <w:rPr>
                <w:rFonts w:cs="Arial"/>
                <w:sz w:val="20"/>
                <w:szCs w:val="20"/>
              </w:rPr>
              <w:t xml:space="preserve">Foods with </w:t>
            </w:r>
            <w:r>
              <w:rPr>
                <w:rFonts w:cs="Arial"/>
                <w:sz w:val="20"/>
                <w:szCs w:val="20"/>
              </w:rPr>
              <w:t>detected values</w:t>
            </w:r>
          </w:p>
        </w:tc>
        <w:tc>
          <w:tcPr>
            <w:tcW w:w="1843" w:type="dxa"/>
          </w:tcPr>
          <w:p w14:paraId="167B4508" w14:textId="77777777" w:rsidR="00A61175" w:rsidRDefault="00A61175" w:rsidP="00E10031">
            <w:pPr>
              <w:keepNext/>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cs="Arial"/>
                <w:sz w:val="20"/>
                <w:szCs w:val="20"/>
              </w:rPr>
            </w:pPr>
            <w:r w:rsidRPr="00B21E39">
              <w:rPr>
                <w:rFonts w:cs="Arial"/>
                <w:sz w:val="20"/>
                <w:szCs w:val="20"/>
              </w:rPr>
              <w:t>Concentration range (</w:t>
            </w:r>
            <w:r>
              <w:rPr>
                <w:rFonts w:cs="Arial"/>
                <w:sz w:val="20"/>
                <w:szCs w:val="20"/>
              </w:rPr>
              <w:t>µ</w:t>
            </w:r>
            <w:r w:rsidRPr="00B21E39">
              <w:rPr>
                <w:rFonts w:cs="Arial"/>
                <w:sz w:val="20"/>
                <w:szCs w:val="20"/>
              </w:rPr>
              <w:t>g/kg)</w:t>
            </w:r>
            <w:r w:rsidRPr="00B21E39">
              <w:rPr>
                <w:rFonts w:cs="Arial"/>
                <w:sz w:val="20"/>
                <w:szCs w:val="20"/>
                <w:vertAlign w:val="superscript"/>
              </w:rPr>
              <w:t>2</w:t>
            </w:r>
          </w:p>
        </w:tc>
      </w:tr>
      <w:tr w:rsidR="00A61175" w:rsidRPr="00B21E39" w14:paraId="30456090" w14:textId="77777777" w:rsidTr="00CE1C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6" w:type="dxa"/>
          </w:tcPr>
          <w:p w14:paraId="25FA3A43" w14:textId="77777777" w:rsidR="00A61175" w:rsidRPr="007B7738" w:rsidRDefault="00A61175" w:rsidP="00E10031">
            <w:pPr>
              <w:keepNext/>
              <w:autoSpaceDE w:val="0"/>
              <w:autoSpaceDN w:val="0"/>
              <w:adjustRightInd w:val="0"/>
              <w:spacing w:after="0" w:line="240" w:lineRule="auto"/>
              <w:contextualSpacing/>
              <w:jc w:val="center"/>
              <w:rPr>
                <w:rFonts w:cs="Arial"/>
                <w:b w:val="0"/>
                <w:color w:val="000000"/>
                <w:sz w:val="20"/>
                <w:szCs w:val="20"/>
              </w:rPr>
            </w:pPr>
            <w:r w:rsidRPr="007B7738">
              <w:rPr>
                <w:rFonts w:cs="Arial"/>
                <w:b w:val="0"/>
                <w:color w:val="000000"/>
                <w:sz w:val="20"/>
                <w:szCs w:val="20"/>
              </w:rPr>
              <w:t>PFOS</w:t>
            </w:r>
          </w:p>
        </w:tc>
        <w:tc>
          <w:tcPr>
            <w:tcW w:w="1073" w:type="dxa"/>
          </w:tcPr>
          <w:p w14:paraId="0B99EC11" w14:textId="1C7F4129" w:rsidR="00A61175" w:rsidRPr="00B21E39" w:rsidRDefault="00A61175" w:rsidP="00E10031">
            <w:pPr>
              <w:keepNext/>
              <w:autoSpaceDE w:val="0"/>
              <w:autoSpaceDN w:val="0"/>
              <w:adjustRightInd w:val="0"/>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1E39">
              <w:rPr>
                <w:rFonts w:cs="Arial"/>
                <w:color w:val="000000"/>
                <w:sz w:val="20"/>
                <w:szCs w:val="20"/>
              </w:rPr>
              <w:t>5</w:t>
            </w:r>
            <w:r w:rsidR="00961123">
              <w:rPr>
                <w:rFonts w:cs="Arial"/>
                <w:color w:val="000000"/>
                <w:sz w:val="20"/>
                <w:szCs w:val="20"/>
              </w:rPr>
              <w:t>2</w:t>
            </w:r>
          </w:p>
        </w:tc>
        <w:tc>
          <w:tcPr>
            <w:tcW w:w="1239" w:type="dxa"/>
          </w:tcPr>
          <w:p w14:paraId="2B0205D8" w14:textId="6393A03A" w:rsidR="00A61175" w:rsidRPr="00B21E39" w:rsidRDefault="00961123" w:rsidP="00E10031">
            <w:pPr>
              <w:keepNext/>
              <w:autoSpaceDE w:val="0"/>
              <w:autoSpaceDN w:val="0"/>
              <w:adjustRightInd w:val="0"/>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p>
        </w:tc>
        <w:tc>
          <w:tcPr>
            <w:tcW w:w="1340" w:type="dxa"/>
          </w:tcPr>
          <w:p w14:paraId="07A6F5C1" w14:textId="08E25E49" w:rsidR="00A61175" w:rsidRPr="00B21E39" w:rsidRDefault="00961123" w:rsidP="00E10031">
            <w:pPr>
              <w:keepNext/>
              <w:autoSpaceDE w:val="0"/>
              <w:autoSpaceDN w:val="0"/>
              <w:adjustRightInd w:val="0"/>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w:t>
            </w:r>
          </w:p>
        </w:tc>
        <w:tc>
          <w:tcPr>
            <w:tcW w:w="2154" w:type="dxa"/>
          </w:tcPr>
          <w:p w14:paraId="39013970" w14:textId="1049D7B9" w:rsidR="00A61175" w:rsidRPr="00B21E39" w:rsidRDefault="00961123" w:rsidP="00E10031">
            <w:pPr>
              <w:keepNext/>
              <w:autoSpaceDE w:val="0"/>
              <w:autoSpaceDN w:val="0"/>
              <w:adjustRightInd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prawns</w:t>
            </w:r>
          </w:p>
        </w:tc>
        <w:tc>
          <w:tcPr>
            <w:tcW w:w="1843" w:type="dxa"/>
          </w:tcPr>
          <w:p w14:paraId="0BD61DE4" w14:textId="438605F8" w:rsidR="00A61175" w:rsidRDefault="00A61175" w:rsidP="00E10031">
            <w:pPr>
              <w:keepNext/>
              <w:autoSpaceDE w:val="0"/>
              <w:autoSpaceDN w:val="0"/>
              <w:adjustRightInd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22324">
              <w:rPr>
                <w:rFonts w:cs="Arial"/>
                <w:color w:val="000000"/>
                <w:sz w:val="20"/>
                <w:szCs w:val="20"/>
              </w:rPr>
              <w:t>&lt;LOR–</w:t>
            </w:r>
            <w:r w:rsidR="00961123" w:rsidRPr="00022324">
              <w:rPr>
                <w:rFonts w:cs="Arial"/>
                <w:color w:val="000000"/>
                <w:sz w:val="20"/>
                <w:szCs w:val="20"/>
              </w:rPr>
              <w:t>0.</w:t>
            </w:r>
            <w:r w:rsidR="00961123">
              <w:rPr>
                <w:rFonts w:cs="Arial"/>
                <w:color w:val="000000"/>
                <w:sz w:val="20"/>
                <w:szCs w:val="20"/>
              </w:rPr>
              <w:t>39</w:t>
            </w:r>
          </w:p>
        </w:tc>
      </w:tr>
      <w:tr w:rsidR="00C168CC" w:rsidRPr="00B21E39" w14:paraId="79E3F88E" w14:textId="77777777" w:rsidTr="00CE1CED">
        <w:trPr>
          <w:trHeight w:val="340"/>
        </w:trPr>
        <w:tc>
          <w:tcPr>
            <w:cnfStyle w:val="001000000000" w:firstRow="0" w:lastRow="0" w:firstColumn="1" w:lastColumn="0" w:oddVBand="0" w:evenVBand="0" w:oddHBand="0" w:evenHBand="0" w:firstRowFirstColumn="0" w:firstRowLastColumn="0" w:lastRowFirstColumn="0" w:lastRowLastColumn="0"/>
            <w:tcW w:w="1106" w:type="dxa"/>
          </w:tcPr>
          <w:p w14:paraId="5ABBB6AC" w14:textId="67211F12" w:rsidR="00C168CC" w:rsidRPr="007B7738" w:rsidRDefault="00C168CC" w:rsidP="00E10031">
            <w:pPr>
              <w:keepNext/>
              <w:autoSpaceDE w:val="0"/>
              <w:autoSpaceDN w:val="0"/>
              <w:adjustRightInd w:val="0"/>
              <w:spacing w:after="0" w:line="240" w:lineRule="auto"/>
              <w:contextualSpacing/>
              <w:jc w:val="center"/>
              <w:rPr>
                <w:rFonts w:cs="Arial"/>
                <w:b w:val="0"/>
                <w:color w:val="000000"/>
                <w:sz w:val="20"/>
                <w:szCs w:val="20"/>
              </w:rPr>
            </w:pPr>
            <w:r>
              <w:rPr>
                <w:rFonts w:cs="Arial"/>
                <w:b w:val="0"/>
                <w:color w:val="000000"/>
                <w:sz w:val="20"/>
                <w:szCs w:val="20"/>
              </w:rPr>
              <w:t>PFOA</w:t>
            </w:r>
          </w:p>
        </w:tc>
        <w:tc>
          <w:tcPr>
            <w:tcW w:w="1073" w:type="dxa"/>
          </w:tcPr>
          <w:p w14:paraId="6E5BCE22" w14:textId="7CB1D478" w:rsidR="00C168CC" w:rsidRPr="00B21E39" w:rsidRDefault="00C168CC" w:rsidP="00E10031">
            <w:pPr>
              <w:keepNext/>
              <w:autoSpaceDE w:val="0"/>
              <w:autoSpaceDN w:val="0"/>
              <w:adjustRightInd w:val="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52</w:t>
            </w:r>
          </w:p>
        </w:tc>
        <w:tc>
          <w:tcPr>
            <w:tcW w:w="1239" w:type="dxa"/>
          </w:tcPr>
          <w:p w14:paraId="52FFD800" w14:textId="4D31051E" w:rsidR="00C168CC" w:rsidRDefault="00C168CC" w:rsidP="00E10031">
            <w:pPr>
              <w:keepNext/>
              <w:autoSpaceDE w:val="0"/>
              <w:autoSpaceDN w:val="0"/>
              <w:adjustRightInd w:val="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w:t>
            </w:r>
          </w:p>
        </w:tc>
        <w:tc>
          <w:tcPr>
            <w:tcW w:w="1340" w:type="dxa"/>
          </w:tcPr>
          <w:p w14:paraId="3C0E562F" w14:textId="6C9E1D99" w:rsidR="00C168CC" w:rsidRDefault="00C168CC" w:rsidP="00E10031">
            <w:pPr>
              <w:keepNext/>
              <w:autoSpaceDE w:val="0"/>
              <w:autoSpaceDN w:val="0"/>
              <w:adjustRightInd w:val="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w:t>
            </w:r>
          </w:p>
        </w:tc>
        <w:tc>
          <w:tcPr>
            <w:tcW w:w="2154" w:type="dxa"/>
          </w:tcPr>
          <w:p w14:paraId="0D0D2F48" w14:textId="77777777" w:rsidR="00C168CC" w:rsidRPr="00B21E39" w:rsidDel="00961123" w:rsidRDefault="00C168CC" w:rsidP="00E10031">
            <w:pPr>
              <w:keepNext/>
              <w:autoSpaceDE w:val="0"/>
              <w:autoSpaceDN w:val="0"/>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1843" w:type="dxa"/>
          </w:tcPr>
          <w:p w14:paraId="4DDB8757" w14:textId="6F47D8FA" w:rsidR="00C168CC" w:rsidRPr="00022324" w:rsidRDefault="00C168CC" w:rsidP="00E10031">
            <w:pPr>
              <w:keepNext/>
              <w:autoSpaceDE w:val="0"/>
              <w:autoSpaceDN w:val="0"/>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22324">
              <w:rPr>
                <w:rFonts w:cs="Arial"/>
                <w:color w:val="000000"/>
                <w:sz w:val="20"/>
                <w:szCs w:val="20"/>
              </w:rPr>
              <w:t>&lt;LOR</w:t>
            </w:r>
          </w:p>
        </w:tc>
      </w:tr>
      <w:tr w:rsidR="00C168CC" w:rsidRPr="00B21E39" w14:paraId="12543F2A" w14:textId="77777777" w:rsidTr="00CE1C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6" w:type="dxa"/>
          </w:tcPr>
          <w:p w14:paraId="1CE888F2" w14:textId="0DC83173" w:rsidR="00C168CC" w:rsidRDefault="00C168CC" w:rsidP="00E10031">
            <w:pPr>
              <w:keepNext/>
              <w:autoSpaceDE w:val="0"/>
              <w:autoSpaceDN w:val="0"/>
              <w:adjustRightInd w:val="0"/>
              <w:spacing w:after="0" w:line="240" w:lineRule="auto"/>
              <w:contextualSpacing/>
              <w:jc w:val="center"/>
              <w:rPr>
                <w:rFonts w:cs="Arial"/>
                <w:b w:val="0"/>
                <w:color w:val="000000"/>
                <w:sz w:val="20"/>
                <w:szCs w:val="20"/>
              </w:rPr>
            </w:pPr>
            <w:proofErr w:type="spellStart"/>
            <w:r>
              <w:rPr>
                <w:rFonts w:cs="Arial"/>
                <w:b w:val="0"/>
                <w:color w:val="000000"/>
                <w:sz w:val="20"/>
                <w:szCs w:val="20"/>
              </w:rPr>
              <w:t>PFHxS</w:t>
            </w:r>
            <w:proofErr w:type="spellEnd"/>
          </w:p>
        </w:tc>
        <w:tc>
          <w:tcPr>
            <w:tcW w:w="1073" w:type="dxa"/>
          </w:tcPr>
          <w:p w14:paraId="1FDA7D5D" w14:textId="541DC6AB" w:rsidR="00C168CC" w:rsidRDefault="00C168CC" w:rsidP="00E10031">
            <w:pPr>
              <w:keepNext/>
              <w:autoSpaceDE w:val="0"/>
              <w:autoSpaceDN w:val="0"/>
              <w:adjustRightInd w:val="0"/>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52</w:t>
            </w:r>
          </w:p>
        </w:tc>
        <w:tc>
          <w:tcPr>
            <w:tcW w:w="1239" w:type="dxa"/>
          </w:tcPr>
          <w:p w14:paraId="1C081D46" w14:textId="155B6950" w:rsidR="00C168CC" w:rsidRDefault="00C168CC" w:rsidP="00E10031">
            <w:pPr>
              <w:keepNext/>
              <w:autoSpaceDE w:val="0"/>
              <w:autoSpaceDN w:val="0"/>
              <w:adjustRightInd w:val="0"/>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w:t>
            </w:r>
          </w:p>
        </w:tc>
        <w:tc>
          <w:tcPr>
            <w:tcW w:w="1340" w:type="dxa"/>
          </w:tcPr>
          <w:p w14:paraId="7E57BAA7" w14:textId="6EE3D7B5" w:rsidR="00C168CC" w:rsidRDefault="00C168CC" w:rsidP="00E10031">
            <w:pPr>
              <w:keepNext/>
              <w:autoSpaceDE w:val="0"/>
              <w:autoSpaceDN w:val="0"/>
              <w:adjustRightInd w:val="0"/>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w:t>
            </w:r>
          </w:p>
        </w:tc>
        <w:tc>
          <w:tcPr>
            <w:tcW w:w="2154" w:type="dxa"/>
          </w:tcPr>
          <w:p w14:paraId="06A089AA" w14:textId="77777777" w:rsidR="00C168CC" w:rsidRPr="00B21E39" w:rsidDel="00961123" w:rsidRDefault="00C168CC" w:rsidP="00E10031">
            <w:pPr>
              <w:keepNext/>
              <w:autoSpaceDE w:val="0"/>
              <w:autoSpaceDN w:val="0"/>
              <w:adjustRightInd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843" w:type="dxa"/>
          </w:tcPr>
          <w:p w14:paraId="57CDEEF0" w14:textId="35D73D0E" w:rsidR="00C168CC" w:rsidRDefault="00C168CC" w:rsidP="00E10031">
            <w:pPr>
              <w:keepNext/>
              <w:autoSpaceDE w:val="0"/>
              <w:autoSpaceDN w:val="0"/>
              <w:adjustRightInd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022324">
              <w:rPr>
                <w:rFonts w:cs="Arial"/>
                <w:color w:val="000000"/>
                <w:sz w:val="20"/>
                <w:szCs w:val="20"/>
              </w:rPr>
              <w:t>&lt;LOR</w:t>
            </w:r>
          </w:p>
        </w:tc>
      </w:tr>
    </w:tbl>
    <w:p w14:paraId="709638A5" w14:textId="682CBDB1" w:rsidR="00A61175" w:rsidRPr="00B21E39" w:rsidRDefault="00A61175" w:rsidP="003C3E3C">
      <w:pPr>
        <w:pStyle w:val="TableFoot"/>
      </w:pPr>
      <w:r w:rsidRPr="00B21E39">
        <w:rPr>
          <w:vertAlign w:val="superscript"/>
        </w:rPr>
        <w:t xml:space="preserve">1 </w:t>
      </w:r>
      <w:r w:rsidR="00022324" w:rsidRPr="00022324">
        <w:t>no detec</w:t>
      </w:r>
      <w:r w:rsidR="00022324">
        <w:t>t result</w:t>
      </w:r>
      <w:r w:rsidR="00022324" w:rsidRPr="00022324">
        <w:t xml:space="preserve"> is &lt;LOR</w:t>
      </w:r>
      <w:r>
        <w:t>.</w:t>
      </w:r>
    </w:p>
    <w:p w14:paraId="4E0804F5" w14:textId="2ED8EEE4" w:rsidR="00A61175" w:rsidRPr="00E10031" w:rsidRDefault="00A61175" w:rsidP="003C3E3C">
      <w:pPr>
        <w:pStyle w:val="TableFoot"/>
        <w:rPr>
          <w:rFonts w:cs="Arial"/>
        </w:rPr>
      </w:pPr>
      <w:r w:rsidRPr="00C42AB3">
        <w:rPr>
          <w:vertAlign w:val="superscript"/>
        </w:rPr>
        <w:t>2</w:t>
      </w:r>
      <w:r>
        <w:t xml:space="preserve">LOR </w:t>
      </w:r>
      <w:r w:rsidRPr="00C42AB3">
        <w:t>limit of reporting</w:t>
      </w:r>
      <w:r>
        <w:t>;</w:t>
      </w:r>
      <w:r w:rsidRPr="00C42AB3">
        <w:t xml:space="preserve"> </w:t>
      </w:r>
      <w:r>
        <w:t xml:space="preserve">LOR </w:t>
      </w:r>
      <w:r w:rsidRPr="00022324">
        <w:t xml:space="preserve">= </w:t>
      </w:r>
      <w:r w:rsidR="00C168CC" w:rsidRPr="00022324">
        <w:t xml:space="preserve">0.3 </w:t>
      </w:r>
      <w:r w:rsidRPr="00022324">
        <w:rPr>
          <w:rFonts w:cs="Arial"/>
        </w:rPr>
        <w:t>µg/kg for PFOS</w:t>
      </w:r>
      <w:r w:rsidR="00C168CC">
        <w:rPr>
          <w:rFonts w:cs="Arial"/>
        </w:rPr>
        <w:t xml:space="preserve">, PFOA and </w:t>
      </w:r>
      <w:proofErr w:type="spellStart"/>
      <w:r w:rsidR="00C168CC">
        <w:rPr>
          <w:rFonts w:cs="Arial"/>
        </w:rPr>
        <w:t>PFHxS</w:t>
      </w:r>
      <w:proofErr w:type="spellEnd"/>
      <w:r w:rsidR="00160214">
        <w:rPr>
          <w:rFonts w:cs="Arial"/>
        </w:rPr>
        <w:t xml:space="preserve"> </w:t>
      </w:r>
      <w:r>
        <w:rPr>
          <w:rFonts w:cs="Arial"/>
        </w:rPr>
        <w:t xml:space="preserve">in </w:t>
      </w:r>
      <w:r w:rsidRPr="00C42AB3">
        <w:rPr>
          <w:rFonts w:cs="Arial"/>
        </w:rPr>
        <w:t>fish fillets</w:t>
      </w:r>
      <w:r w:rsidR="00C168CC">
        <w:rPr>
          <w:rFonts w:cs="Arial"/>
        </w:rPr>
        <w:t xml:space="preserve"> and prawns</w:t>
      </w:r>
    </w:p>
    <w:p w14:paraId="710FC342" w14:textId="479D83D7" w:rsidR="009B193C" w:rsidRDefault="001A7A44" w:rsidP="00CC7A35">
      <w:pPr>
        <w:pStyle w:val="Heading1"/>
      </w:pPr>
      <w:bookmarkStart w:id="48" w:name="_Toc474153253"/>
      <w:bookmarkStart w:id="49" w:name="_Toc474158933"/>
      <w:bookmarkStart w:id="50" w:name="_Toc474847894"/>
      <w:bookmarkStart w:id="51" w:name="_Toc475360600"/>
      <w:r w:rsidRPr="001A7A44">
        <w:lastRenderedPageBreak/>
        <w:t xml:space="preserve">PFOS, PFOA and </w:t>
      </w:r>
      <w:proofErr w:type="spellStart"/>
      <w:r w:rsidRPr="001A7A44">
        <w:t>PFHxS</w:t>
      </w:r>
      <w:proofErr w:type="spellEnd"/>
      <w:r w:rsidR="009B193C">
        <w:t xml:space="preserve"> occurrence</w:t>
      </w:r>
      <w:r w:rsidR="005F1AA1">
        <w:t xml:space="preserve"> and</w:t>
      </w:r>
      <w:r w:rsidR="00FE2CD8">
        <w:t xml:space="preserve"> </w:t>
      </w:r>
      <w:r w:rsidR="009B193C">
        <w:t>dietary exposure estimates reported in the literature</w:t>
      </w:r>
      <w:bookmarkEnd w:id="48"/>
      <w:bookmarkEnd w:id="49"/>
      <w:bookmarkEnd w:id="50"/>
      <w:bookmarkEnd w:id="51"/>
    </w:p>
    <w:p w14:paraId="04C2A05C" w14:textId="0B3740F5" w:rsidR="009B193C" w:rsidRPr="007E557B" w:rsidRDefault="009B193C" w:rsidP="009B193C">
      <w:r>
        <w:t xml:space="preserve">The literature on </w:t>
      </w:r>
      <w:r w:rsidR="00397717">
        <w:t xml:space="preserve">occurrence data and </w:t>
      </w:r>
      <w:r>
        <w:t xml:space="preserve">dietary exposure estimates for </w:t>
      </w:r>
      <w:r w:rsidR="00397717">
        <w:t>PF</w:t>
      </w:r>
      <w:r w:rsidR="00872BC7">
        <w:t>O</w:t>
      </w:r>
      <w:r w:rsidR="00397717">
        <w:t xml:space="preserve">S, PFOA and </w:t>
      </w:r>
      <w:proofErr w:type="spellStart"/>
      <w:r w:rsidR="00397717">
        <w:t>PFHxS</w:t>
      </w:r>
      <w:proofErr w:type="spellEnd"/>
      <w:r>
        <w:t xml:space="preserve"> </w:t>
      </w:r>
      <w:r w:rsidR="00383396">
        <w:t>is</w:t>
      </w:r>
      <w:r>
        <w:t xml:space="preserve"> </w:t>
      </w:r>
      <w:r w:rsidR="00CA4519">
        <w:t xml:space="preserve">reported </w:t>
      </w:r>
      <w:r>
        <w:t>in</w:t>
      </w:r>
      <w:r w:rsidR="002A31CA">
        <w:t xml:space="preserve"> Attachment 1 a</w:t>
      </w:r>
      <w:r w:rsidR="00383396">
        <w:t>nd summarised below.</w:t>
      </w:r>
    </w:p>
    <w:p w14:paraId="51A821E8" w14:textId="319A823E" w:rsidR="00383396" w:rsidRPr="00397717" w:rsidRDefault="00383396" w:rsidP="006635AC">
      <w:pPr>
        <w:pStyle w:val="Heading2"/>
      </w:pPr>
      <w:bookmarkStart w:id="52" w:name="_Toc474153254"/>
      <w:bookmarkStart w:id="53" w:name="_Toc474158934"/>
      <w:bookmarkStart w:id="54" w:name="_Toc474847895"/>
      <w:bookmarkStart w:id="55" w:name="_Toc475360601"/>
      <w:r w:rsidRPr="00397717">
        <w:t>Occurrence data</w:t>
      </w:r>
      <w:r w:rsidR="00397717">
        <w:t xml:space="preserve"> </w:t>
      </w:r>
      <w:r w:rsidR="00AB2A70">
        <w:t>outside of Australia</w:t>
      </w:r>
      <w:bookmarkEnd w:id="52"/>
      <w:bookmarkEnd w:id="53"/>
      <w:bookmarkEnd w:id="54"/>
      <w:bookmarkEnd w:id="55"/>
    </w:p>
    <w:p w14:paraId="0AC38E99" w14:textId="1D660F0E" w:rsidR="00AB2A70" w:rsidRDefault="00714BD1" w:rsidP="00FE2CD8">
      <w:pPr>
        <w:spacing w:before="100" w:beforeAutospacing="1" w:after="100" w:afterAutospacing="1"/>
        <w:rPr>
          <w:lang w:eastAsia="en-AU"/>
        </w:rPr>
      </w:pPr>
      <w:r>
        <w:t>Occurrence data were reported for a number of European count</w:t>
      </w:r>
      <w:r w:rsidR="00F55BA9">
        <w:t>r</w:t>
      </w:r>
      <w:r>
        <w:t>ies, with limited data from Canada, Korea, China and Japan</w:t>
      </w:r>
      <w:r w:rsidR="009A2B47">
        <w:t>, noting different methods of analysis and limi</w:t>
      </w:r>
      <w:r w:rsidR="00532892">
        <w:t>t</w:t>
      </w:r>
      <w:r w:rsidR="009A2B47">
        <w:t>s of reporting were applied across different studies</w:t>
      </w:r>
      <w:r>
        <w:t xml:space="preserve">. </w:t>
      </w:r>
      <w:r w:rsidRPr="00CF7BCE">
        <w:rPr>
          <w:lang w:eastAsia="en-AU"/>
        </w:rPr>
        <w:t>G</w:t>
      </w:r>
      <w:r>
        <w:rPr>
          <w:lang w:eastAsia="en-AU"/>
        </w:rPr>
        <w:t>enerally</w:t>
      </w:r>
      <w:r w:rsidR="00CA26B6">
        <w:rPr>
          <w:lang w:eastAsia="en-AU"/>
        </w:rPr>
        <w:t>,</w:t>
      </w:r>
      <w:r w:rsidRPr="00CF7BCE">
        <w:rPr>
          <w:lang w:eastAsia="en-AU"/>
        </w:rPr>
        <w:t xml:space="preserve"> </w:t>
      </w:r>
      <w:r>
        <w:rPr>
          <w:lang w:eastAsia="en-AU"/>
        </w:rPr>
        <w:t>P</w:t>
      </w:r>
      <w:r w:rsidRPr="00CF7BCE">
        <w:rPr>
          <w:lang w:eastAsia="en-AU"/>
        </w:rPr>
        <w:t>FOS</w:t>
      </w:r>
      <w:r>
        <w:rPr>
          <w:lang w:eastAsia="en-AU"/>
        </w:rPr>
        <w:t>,</w:t>
      </w:r>
      <w:r w:rsidRPr="00CF7BCE">
        <w:rPr>
          <w:lang w:eastAsia="en-AU"/>
        </w:rPr>
        <w:t xml:space="preserve"> PFOA </w:t>
      </w:r>
      <w:r>
        <w:rPr>
          <w:lang w:eastAsia="en-AU"/>
        </w:rPr>
        <w:t xml:space="preserve">and </w:t>
      </w:r>
      <w:proofErr w:type="spellStart"/>
      <w:r>
        <w:rPr>
          <w:lang w:eastAsia="en-AU"/>
        </w:rPr>
        <w:t>PFHxS</w:t>
      </w:r>
      <w:proofErr w:type="spellEnd"/>
      <w:r>
        <w:rPr>
          <w:lang w:eastAsia="en-AU"/>
        </w:rPr>
        <w:t xml:space="preserve"> wer</w:t>
      </w:r>
      <w:r w:rsidRPr="00CF7BCE">
        <w:rPr>
          <w:lang w:eastAsia="en-AU"/>
        </w:rPr>
        <w:t>e</w:t>
      </w:r>
      <w:r>
        <w:rPr>
          <w:lang w:eastAsia="en-AU"/>
        </w:rPr>
        <w:t xml:space="preserve"> </w:t>
      </w:r>
      <w:r w:rsidRPr="00CF7BCE">
        <w:rPr>
          <w:lang w:eastAsia="en-AU"/>
        </w:rPr>
        <w:t>pres</w:t>
      </w:r>
      <w:r>
        <w:rPr>
          <w:lang w:eastAsia="en-AU"/>
        </w:rPr>
        <w:t>e</w:t>
      </w:r>
      <w:r w:rsidRPr="00CF7BCE">
        <w:rPr>
          <w:lang w:eastAsia="en-AU"/>
        </w:rPr>
        <w:t xml:space="preserve">nt in a similar range of foods </w:t>
      </w:r>
      <w:r>
        <w:rPr>
          <w:lang w:eastAsia="en-AU"/>
        </w:rPr>
        <w:t>and at levels of the same order of magnitude</w:t>
      </w:r>
      <w:r w:rsidR="00803A2C">
        <w:rPr>
          <w:lang w:eastAsia="en-AU"/>
        </w:rPr>
        <w:t xml:space="preserve">; the major exceptions </w:t>
      </w:r>
      <w:r w:rsidR="00AB2A70">
        <w:rPr>
          <w:lang w:eastAsia="en-AU"/>
        </w:rPr>
        <w:t xml:space="preserve">are </w:t>
      </w:r>
      <w:r w:rsidR="00961BBF">
        <w:rPr>
          <w:lang w:eastAsia="en-AU"/>
        </w:rPr>
        <w:t>described</w:t>
      </w:r>
      <w:r w:rsidR="00AB2A70">
        <w:rPr>
          <w:lang w:eastAsia="en-AU"/>
        </w:rPr>
        <w:t xml:space="preserve"> below.</w:t>
      </w:r>
    </w:p>
    <w:p w14:paraId="5923F565" w14:textId="0C3A3067" w:rsidR="00714BD1" w:rsidRDefault="004C2D87" w:rsidP="00FE2CD8">
      <w:pPr>
        <w:spacing w:before="100" w:beforeAutospacing="1" w:after="100" w:afterAutospacing="1"/>
      </w:pPr>
      <w:r>
        <w:rPr>
          <w:lang w:eastAsia="en-AU"/>
        </w:rPr>
        <w:t>M</w:t>
      </w:r>
      <w:r w:rsidR="00714BD1">
        <w:rPr>
          <w:lang w:eastAsia="en-AU"/>
        </w:rPr>
        <w:t>eat and meat products</w:t>
      </w:r>
      <w:r w:rsidR="00803A2C">
        <w:rPr>
          <w:lang w:eastAsia="en-AU"/>
        </w:rPr>
        <w:t>,</w:t>
      </w:r>
      <w:r w:rsidR="00714BD1">
        <w:rPr>
          <w:lang w:eastAsia="en-AU"/>
        </w:rPr>
        <w:t xml:space="preserve"> and </w:t>
      </w:r>
      <w:r w:rsidR="000F48DB">
        <w:rPr>
          <w:lang w:eastAsia="en-AU"/>
        </w:rPr>
        <w:t>F</w:t>
      </w:r>
      <w:r w:rsidR="00714BD1">
        <w:rPr>
          <w:lang w:eastAsia="en-AU"/>
        </w:rPr>
        <w:t>ish and other seafood food groups had the highest re</w:t>
      </w:r>
      <w:r w:rsidR="009F506E">
        <w:rPr>
          <w:lang w:eastAsia="en-AU"/>
        </w:rPr>
        <w:t xml:space="preserve">ported levels of </w:t>
      </w:r>
      <w:r w:rsidR="00E32C47" w:rsidRPr="00E32C47">
        <w:rPr>
          <w:lang w:eastAsia="en-AU"/>
        </w:rPr>
        <w:t xml:space="preserve">PFOS, PFOA and </w:t>
      </w:r>
      <w:proofErr w:type="spellStart"/>
      <w:r w:rsidR="00E32C47" w:rsidRPr="00E32C47">
        <w:rPr>
          <w:lang w:eastAsia="en-AU"/>
        </w:rPr>
        <w:t>PFHxS</w:t>
      </w:r>
      <w:proofErr w:type="spellEnd"/>
      <w:r w:rsidR="00714BD1">
        <w:rPr>
          <w:lang w:eastAsia="en-AU"/>
        </w:rPr>
        <w:t xml:space="preserve">. </w:t>
      </w:r>
      <w:r w:rsidR="000F48DB">
        <w:rPr>
          <w:lang w:eastAsia="en-AU"/>
        </w:rPr>
        <w:t>F</w:t>
      </w:r>
      <w:r w:rsidR="00714BD1">
        <w:rPr>
          <w:lang w:eastAsia="en-AU"/>
        </w:rPr>
        <w:t xml:space="preserve">or these two </w:t>
      </w:r>
      <w:r w:rsidR="006F20DB">
        <w:rPr>
          <w:lang w:eastAsia="en-AU"/>
        </w:rPr>
        <w:t xml:space="preserve">major </w:t>
      </w:r>
      <w:r w:rsidR="00714BD1">
        <w:rPr>
          <w:lang w:eastAsia="en-AU"/>
        </w:rPr>
        <w:t>food groups</w:t>
      </w:r>
      <w:r w:rsidR="006F20DB">
        <w:rPr>
          <w:lang w:eastAsia="en-AU"/>
        </w:rPr>
        <w:t>,</w:t>
      </w:r>
      <w:r w:rsidR="00714BD1">
        <w:rPr>
          <w:lang w:eastAsia="en-AU"/>
        </w:rPr>
        <w:t xml:space="preserve"> reported PFOS levels were </w:t>
      </w:r>
      <w:r w:rsidR="00532892">
        <w:rPr>
          <w:lang w:eastAsia="en-AU"/>
        </w:rPr>
        <w:t xml:space="preserve">of a </w:t>
      </w:r>
      <w:r w:rsidR="00714BD1">
        <w:rPr>
          <w:lang w:eastAsia="en-AU"/>
        </w:rPr>
        <w:t xml:space="preserve">higher </w:t>
      </w:r>
      <w:r w:rsidR="00532892">
        <w:rPr>
          <w:lang w:eastAsia="en-AU"/>
        </w:rPr>
        <w:t xml:space="preserve">order of magnitude </w:t>
      </w:r>
      <w:r w:rsidR="00714BD1">
        <w:rPr>
          <w:lang w:eastAsia="en-AU"/>
        </w:rPr>
        <w:t xml:space="preserve">than those for </w:t>
      </w:r>
      <w:r w:rsidR="00714BD1" w:rsidRPr="00CF7BCE">
        <w:rPr>
          <w:lang w:eastAsia="en-AU"/>
        </w:rPr>
        <w:t>PFOA</w:t>
      </w:r>
      <w:r w:rsidR="00714BD1">
        <w:rPr>
          <w:lang w:eastAsia="en-AU"/>
        </w:rPr>
        <w:t>,</w:t>
      </w:r>
      <w:r w:rsidR="00714BD1" w:rsidRPr="00CF7BCE">
        <w:rPr>
          <w:lang w:eastAsia="en-AU"/>
        </w:rPr>
        <w:t xml:space="preserve"> </w:t>
      </w:r>
      <w:r w:rsidR="00714BD1">
        <w:rPr>
          <w:lang w:eastAsia="en-AU"/>
        </w:rPr>
        <w:t xml:space="preserve">which were </w:t>
      </w:r>
      <w:r w:rsidR="000F48DB">
        <w:rPr>
          <w:lang w:eastAsia="en-AU"/>
        </w:rPr>
        <w:t xml:space="preserve">generally </w:t>
      </w:r>
      <w:r w:rsidR="00714BD1">
        <w:rPr>
          <w:lang w:eastAsia="en-AU"/>
        </w:rPr>
        <w:t xml:space="preserve">higher than </w:t>
      </w:r>
      <w:r w:rsidR="009A2B47">
        <w:rPr>
          <w:lang w:eastAsia="en-AU"/>
        </w:rPr>
        <w:t xml:space="preserve">those for </w:t>
      </w:r>
      <w:proofErr w:type="spellStart"/>
      <w:r w:rsidR="00714BD1">
        <w:rPr>
          <w:lang w:eastAsia="en-AU"/>
        </w:rPr>
        <w:t>PFHxS</w:t>
      </w:r>
      <w:proofErr w:type="spellEnd"/>
      <w:r w:rsidR="00714BD1">
        <w:rPr>
          <w:lang w:eastAsia="en-AU"/>
        </w:rPr>
        <w:t xml:space="preserve">. </w:t>
      </w:r>
      <w:r w:rsidR="00532892">
        <w:rPr>
          <w:lang w:eastAsia="en-AU"/>
        </w:rPr>
        <w:t>Another exception was for cereals and grain-base</w:t>
      </w:r>
      <w:r w:rsidR="00D93849">
        <w:rPr>
          <w:lang w:eastAsia="en-AU"/>
        </w:rPr>
        <w:t>d</w:t>
      </w:r>
      <w:r w:rsidR="00532892">
        <w:rPr>
          <w:lang w:eastAsia="en-AU"/>
        </w:rPr>
        <w:t xml:space="preserve"> products where PFOA tended to be reported at higher levels than PFOS.</w:t>
      </w:r>
    </w:p>
    <w:p w14:paraId="0362E6A4" w14:textId="6E609867" w:rsidR="00854C3E" w:rsidRPr="00AB2A70" w:rsidRDefault="00397717" w:rsidP="006635AC">
      <w:pPr>
        <w:pStyle w:val="Heading2"/>
      </w:pPr>
      <w:bookmarkStart w:id="56" w:name="_Toc474153255"/>
      <w:bookmarkStart w:id="57" w:name="_Toc474158935"/>
      <w:bookmarkStart w:id="58" w:name="_Toc474847896"/>
      <w:bookmarkStart w:id="59" w:name="_Toc475360602"/>
      <w:r w:rsidRPr="00AB2A70">
        <w:t xml:space="preserve">Dietary exposure estimates </w:t>
      </w:r>
      <w:r w:rsidR="00AB2A70">
        <w:t>outside of Australia</w:t>
      </w:r>
      <w:bookmarkEnd w:id="56"/>
      <w:bookmarkEnd w:id="57"/>
      <w:bookmarkEnd w:id="58"/>
      <w:bookmarkEnd w:id="59"/>
    </w:p>
    <w:p w14:paraId="26C92731" w14:textId="2A201ECC" w:rsidR="00AB2A70" w:rsidRDefault="003C469B" w:rsidP="003C469B">
      <w:pPr>
        <w:rPr>
          <w:lang w:eastAsia="en-AU"/>
        </w:rPr>
      </w:pPr>
      <w:r>
        <w:rPr>
          <w:lang w:eastAsia="en-AU"/>
        </w:rPr>
        <w:t>The mean and high consumer (95</w:t>
      </w:r>
      <w:r w:rsidRPr="00AB2A70">
        <w:rPr>
          <w:vertAlign w:val="superscript"/>
          <w:lang w:eastAsia="en-AU"/>
        </w:rPr>
        <w:t>th</w:t>
      </w:r>
      <w:r>
        <w:rPr>
          <w:lang w:eastAsia="en-AU"/>
        </w:rPr>
        <w:t xml:space="preserve"> percentile) dietary exposure estimates for PFOS, PFOA and </w:t>
      </w:r>
      <w:proofErr w:type="spellStart"/>
      <w:r>
        <w:rPr>
          <w:lang w:eastAsia="en-AU"/>
        </w:rPr>
        <w:t>PFHxS</w:t>
      </w:r>
      <w:proofErr w:type="spellEnd"/>
      <w:r>
        <w:rPr>
          <w:lang w:eastAsia="en-AU"/>
        </w:rPr>
        <w:t xml:space="preserve"> reported for Europe and other regions of the world were surprisingly similar across countries for each chemical</w:t>
      </w:r>
      <w:r w:rsidR="00A63F9F">
        <w:rPr>
          <w:lang w:eastAsia="en-AU"/>
        </w:rPr>
        <w:t>.</w:t>
      </w:r>
      <w:r>
        <w:rPr>
          <w:lang w:eastAsia="en-AU"/>
        </w:rPr>
        <w:t xml:space="preserve"> </w:t>
      </w:r>
      <w:r w:rsidR="00A63F9F">
        <w:rPr>
          <w:lang w:eastAsia="en-AU"/>
        </w:rPr>
        <w:t>An</w:t>
      </w:r>
      <w:r>
        <w:rPr>
          <w:lang w:eastAsia="en-AU"/>
        </w:rPr>
        <w:t xml:space="preserve"> </w:t>
      </w:r>
      <w:proofErr w:type="gramStart"/>
      <w:r>
        <w:rPr>
          <w:lang w:eastAsia="en-AU"/>
        </w:rPr>
        <w:t>exception</w:t>
      </w:r>
      <w:proofErr w:type="gramEnd"/>
      <w:r w:rsidDel="004C2D87">
        <w:rPr>
          <w:lang w:eastAsia="en-AU"/>
        </w:rPr>
        <w:t xml:space="preserve"> </w:t>
      </w:r>
      <w:r w:rsidR="004C2D87">
        <w:rPr>
          <w:lang w:eastAsia="en-AU"/>
        </w:rPr>
        <w:t xml:space="preserve">was </w:t>
      </w:r>
      <w:proofErr w:type="gramStart"/>
      <w:r>
        <w:rPr>
          <w:lang w:eastAsia="en-AU"/>
        </w:rPr>
        <w:t xml:space="preserve">those reported for PFOS and PFOA by </w:t>
      </w:r>
      <w:proofErr w:type="spellStart"/>
      <w:r>
        <w:rPr>
          <w:lang w:eastAsia="en-AU"/>
        </w:rPr>
        <w:t>Cornelis</w:t>
      </w:r>
      <w:proofErr w:type="spellEnd"/>
      <w:r>
        <w:rPr>
          <w:lang w:eastAsia="en-AU"/>
        </w:rPr>
        <w:t xml:space="preserve"> </w:t>
      </w:r>
      <w:r w:rsidR="00652002" w:rsidRPr="00652002">
        <w:rPr>
          <w:i/>
          <w:lang w:eastAsia="en-AU"/>
        </w:rPr>
        <w:t>et al.</w:t>
      </w:r>
      <w:r>
        <w:rPr>
          <w:lang w:eastAsia="en-AU"/>
        </w:rPr>
        <w:t xml:space="preserve"> (2012) for the Belgi</w:t>
      </w:r>
      <w:r w:rsidR="00B660B4">
        <w:rPr>
          <w:lang w:eastAsia="en-AU"/>
        </w:rPr>
        <w:t>an</w:t>
      </w:r>
      <w:r>
        <w:rPr>
          <w:lang w:eastAsia="en-AU"/>
        </w:rPr>
        <w:t xml:space="preserve"> population</w:t>
      </w:r>
      <w:proofErr w:type="gramEnd"/>
      <w:r w:rsidR="007D708B">
        <w:rPr>
          <w:lang w:eastAsia="en-AU"/>
        </w:rPr>
        <w:t>. However</w:t>
      </w:r>
      <w:r w:rsidR="005938D0">
        <w:rPr>
          <w:lang w:eastAsia="en-AU"/>
        </w:rPr>
        <w:t xml:space="preserve"> </w:t>
      </w:r>
      <w:r w:rsidR="007D708B">
        <w:rPr>
          <w:lang w:eastAsia="en-AU"/>
        </w:rPr>
        <w:t xml:space="preserve">these </w:t>
      </w:r>
      <w:r>
        <w:rPr>
          <w:lang w:eastAsia="en-AU"/>
        </w:rPr>
        <w:t>are likely to be overestimated due to high LODs applied in the derivation of mean concentration levels (</w:t>
      </w:r>
      <w:proofErr w:type="spellStart"/>
      <w:r>
        <w:rPr>
          <w:lang w:eastAsia="en-AU"/>
        </w:rPr>
        <w:t>Cornelis</w:t>
      </w:r>
      <w:proofErr w:type="spellEnd"/>
      <w:r>
        <w:rPr>
          <w:lang w:eastAsia="en-AU"/>
        </w:rPr>
        <w:t xml:space="preserve"> </w:t>
      </w:r>
      <w:r w:rsidR="00652002" w:rsidRPr="00652002">
        <w:rPr>
          <w:i/>
          <w:lang w:eastAsia="en-AU"/>
        </w:rPr>
        <w:t>et al.</w:t>
      </w:r>
      <w:r>
        <w:rPr>
          <w:lang w:eastAsia="en-AU"/>
        </w:rPr>
        <w:t xml:space="preserve"> 2012). </w:t>
      </w:r>
    </w:p>
    <w:p w14:paraId="0223D010" w14:textId="16E62C93" w:rsidR="003C469B" w:rsidRDefault="003C469B" w:rsidP="003C469B">
      <w:pPr>
        <w:rPr>
          <w:lang w:eastAsia="en-AU"/>
        </w:rPr>
      </w:pPr>
      <w:r>
        <w:rPr>
          <w:lang w:eastAsia="en-AU"/>
        </w:rPr>
        <w:t xml:space="preserve">Discounting the values reported by </w:t>
      </w:r>
      <w:proofErr w:type="spellStart"/>
      <w:r>
        <w:rPr>
          <w:lang w:eastAsia="en-AU"/>
        </w:rPr>
        <w:t>Cornelis</w:t>
      </w:r>
      <w:proofErr w:type="spellEnd"/>
      <w:r>
        <w:rPr>
          <w:lang w:eastAsia="en-AU"/>
        </w:rPr>
        <w:t xml:space="preserve"> </w:t>
      </w:r>
      <w:r w:rsidR="00652002" w:rsidRPr="00652002">
        <w:rPr>
          <w:i/>
          <w:lang w:eastAsia="en-AU"/>
        </w:rPr>
        <w:t>et al.</w:t>
      </w:r>
      <w:r>
        <w:rPr>
          <w:lang w:eastAsia="en-AU"/>
        </w:rPr>
        <w:t xml:space="preserve"> (2012) and noting that estimates were derived in a number of different ways across the studies, reported mean dietary exposure estimates across all studies for PFOS ranged from 0-14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/day, high dietary exposure (95</w:t>
      </w:r>
      <w:r w:rsidRPr="00694DFD">
        <w:rPr>
          <w:vertAlign w:val="superscript"/>
          <w:lang w:eastAsia="en-AU"/>
        </w:rPr>
        <w:t>th</w:t>
      </w:r>
      <w:r>
        <w:rPr>
          <w:lang w:eastAsia="en-AU"/>
        </w:rPr>
        <w:t xml:space="preserve"> percentile) estimates from 0-29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/day</w:t>
      </w:r>
      <w:r w:rsidR="0014461A">
        <w:rPr>
          <w:lang w:eastAsia="en-AU"/>
        </w:rPr>
        <w:t>. R</w:t>
      </w:r>
      <w:r>
        <w:rPr>
          <w:lang w:eastAsia="en-AU"/>
        </w:rPr>
        <w:t xml:space="preserve">eported mean dietary exposure estimates for PFOA ranged </w:t>
      </w:r>
      <w:r w:rsidRPr="00D06EDB">
        <w:t xml:space="preserve">from 0-17 </w:t>
      </w:r>
      <w:proofErr w:type="spellStart"/>
      <w:r w:rsidRPr="00D06EDB">
        <w:t>ng</w:t>
      </w:r>
      <w:proofErr w:type="spellEnd"/>
      <w:r w:rsidRPr="00D06EDB">
        <w:t xml:space="preserve">/kg </w:t>
      </w:r>
      <w:proofErr w:type="spellStart"/>
      <w:r w:rsidRPr="00D06EDB">
        <w:t>bw</w:t>
      </w:r>
      <w:proofErr w:type="spellEnd"/>
      <w:r w:rsidRPr="00D06EDB">
        <w:t xml:space="preserve">/day, </w:t>
      </w:r>
      <w:r>
        <w:rPr>
          <w:lang w:eastAsia="en-AU"/>
        </w:rPr>
        <w:t>95</w:t>
      </w:r>
      <w:r w:rsidRPr="00694DFD">
        <w:rPr>
          <w:vertAlign w:val="superscript"/>
          <w:lang w:eastAsia="en-AU"/>
        </w:rPr>
        <w:t>th</w:t>
      </w:r>
      <w:r>
        <w:rPr>
          <w:lang w:eastAsia="en-AU"/>
        </w:rPr>
        <w:t xml:space="preserve"> percentile exposure </w:t>
      </w:r>
      <w:r w:rsidRPr="00D06EDB">
        <w:t xml:space="preserve">estimates from 0-32 </w:t>
      </w:r>
      <w:proofErr w:type="spellStart"/>
      <w:r w:rsidRPr="00D06EDB">
        <w:t>ng</w:t>
      </w:r>
      <w:proofErr w:type="spellEnd"/>
      <w:r w:rsidRPr="00D06EDB">
        <w:t xml:space="preserve">/kg </w:t>
      </w:r>
      <w:proofErr w:type="spellStart"/>
      <w:r w:rsidRPr="00D06EDB">
        <w:t>bw</w:t>
      </w:r>
      <w:proofErr w:type="spellEnd"/>
      <w:r w:rsidRPr="00D06EDB">
        <w:t>/day</w:t>
      </w:r>
      <w:r w:rsidR="0014461A">
        <w:rPr>
          <w:lang w:eastAsia="en-AU"/>
        </w:rPr>
        <w:t>. R</w:t>
      </w:r>
      <w:r>
        <w:rPr>
          <w:lang w:eastAsia="en-AU"/>
        </w:rPr>
        <w:t xml:space="preserve">eported mean dietary exposure estimates for </w:t>
      </w:r>
      <w:proofErr w:type="spellStart"/>
      <w:r>
        <w:rPr>
          <w:lang w:eastAsia="en-AU"/>
        </w:rPr>
        <w:t>PFHxS</w:t>
      </w:r>
      <w:proofErr w:type="spellEnd"/>
      <w:r>
        <w:rPr>
          <w:lang w:eastAsia="en-AU"/>
        </w:rPr>
        <w:t xml:space="preserve"> were available for Europe only and ranged from 0-1.22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/day, 95</w:t>
      </w:r>
      <w:r w:rsidRPr="00694DFD">
        <w:rPr>
          <w:vertAlign w:val="superscript"/>
          <w:lang w:eastAsia="en-AU"/>
        </w:rPr>
        <w:t>th</w:t>
      </w:r>
      <w:r>
        <w:rPr>
          <w:lang w:eastAsia="en-AU"/>
        </w:rPr>
        <w:t xml:space="preserve"> percentile exposure </w:t>
      </w:r>
      <w:r w:rsidRPr="00D06EDB">
        <w:t>estimates</w:t>
      </w:r>
      <w:r>
        <w:rPr>
          <w:lang w:eastAsia="en-AU"/>
        </w:rPr>
        <w:t xml:space="preserve"> from 0-2.25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/day</w:t>
      </w:r>
      <w:r w:rsidR="00081314">
        <w:rPr>
          <w:lang w:eastAsia="en-AU"/>
        </w:rPr>
        <w:t xml:space="preserve"> (refer to </w:t>
      </w:r>
      <w:r w:rsidR="00081314">
        <w:t>section 4.2</w:t>
      </w:r>
      <w:r w:rsidR="005938D0">
        <w:t xml:space="preserve"> in Attachment 1)</w:t>
      </w:r>
      <w:r>
        <w:rPr>
          <w:lang w:eastAsia="en-AU"/>
        </w:rPr>
        <w:t>.</w:t>
      </w:r>
    </w:p>
    <w:p w14:paraId="7B37B638" w14:textId="16B74305" w:rsidR="003C469B" w:rsidRDefault="003C469B" w:rsidP="003C469B">
      <w:pPr>
        <w:rPr>
          <w:lang w:eastAsia="en-AU"/>
        </w:rPr>
      </w:pPr>
      <w:r>
        <w:rPr>
          <w:lang w:eastAsia="en-AU"/>
        </w:rPr>
        <w:t xml:space="preserve">Where information was available, dietary exposure estimates </w:t>
      </w:r>
      <w:r w:rsidR="005B2AC6">
        <w:rPr>
          <w:lang w:eastAsia="en-AU"/>
        </w:rPr>
        <w:t xml:space="preserve">for </w:t>
      </w:r>
      <w:r w:rsidR="00372484">
        <w:rPr>
          <w:lang w:eastAsia="en-AU"/>
        </w:rPr>
        <w:t>a range of PFAS</w:t>
      </w:r>
      <w:r w:rsidR="00134920">
        <w:rPr>
          <w:lang w:eastAsia="en-AU"/>
        </w:rPr>
        <w:t xml:space="preserve"> </w:t>
      </w:r>
      <w:r>
        <w:rPr>
          <w:lang w:eastAsia="en-AU"/>
        </w:rPr>
        <w:t xml:space="preserve">for infants and young children were higher than for other age groups in the same population, when expressed </w:t>
      </w:r>
      <w:r w:rsidR="00E2395E">
        <w:rPr>
          <w:lang w:eastAsia="en-AU"/>
        </w:rPr>
        <w:t xml:space="preserve">on a </w:t>
      </w:r>
      <w:r>
        <w:rPr>
          <w:lang w:eastAsia="en-AU"/>
        </w:rPr>
        <w:t>per kilogram bodyweight</w:t>
      </w:r>
      <w:r w:rsidR="00F562C7">
        <w:rPr>
          <w:lang w:eastAsia="en-AU"/>
        </w:rPr>
        <w:t xml:space="preserve"> </w:t>
      </w:r>
      <w:r w:rsidR="00E2395E">
        <w:rPr>
          <w:lang w:eastAsia="en-AU"/>
        </w:rPr>
        <w:t xml:space="preserve">basis </w:t>
      </w:r>
      <w:r w:rsidR="002D5754">
        <w:rPr>
          <w:lang w:eastAsia="en-AU"/>
        </w:rPr>
        <w:t xml:space="preserve">(EFSA 2012, Domingo </w:t>
      </w:r>
      <w:r w:rsidR="00652002" w:rsidRPr="00652002">
        <w:rPr>
          <w:i/>
          <w:lang w:eastAsia="en-AU"/>
        </w:rPr>
        <w:t>et al.</w:t>
      </w:r>
      <w:r w:rsidR="002D5754">
        <w:rPr>
          <w:lang w:eastAsia="en-AU"/>
        </w:rPr>
        <w:t xml:space="preserve"> </w:t>
      </w:r>
      <w:r w:rsidR="002D5754" w:rsidRPr="003E259C">
        <w:rPr>
          <w:rFonts w:cs="Arial"/>
          <w:lang w:eastAsia="en-AU"/>
        </w:rPr>
        <w:t xml:space="preserve">2012, </w:t>
      </w:r>
      <w:proofErr w:type="spellStart"/>
      <w:r w:rsidR="002D5754" w:rsidRPr="003E259C">
        <w:rPr>
          <w:rFonts w:cs="Arial"/>
          <w:lang w:eastAsia="en-AU"/>
        </w:rPr>
        <w:t>Klenow</w:t>
      </w:r>
      <w:proofErr w:type="spellEnd"/>
      <w:r w:rsidR="002D5754" w:rsidRPr="003E259C">
        <w:rPr>
          <w:rFonts w:cs="Arial"/>
          <w:lang w:eastAsia="en-AU"/>
        </w:rPr>
        <w:t xml:space="preserve"> </w:t>
      </w:r>
      <w:r w:rsidR="00652002" w:rsidRPr="00652002">
        <w:rPr>
          <w:rFonts w:cs="Arial"/>
          <w:i/>
          <w:lang w:eastAsia="en-AU"/>
        </w:rPr>
        <w:t>et al.</w:t>
      </w:r>
      <w:r w:rsidR="002D5754" w:rsidRPr="003E259C">
        <w:rPr>
          <w:rFonts w:cs="Arial"/>
          <w:lang w:eastAsia="en-AU"/>
        </w:rPr>
        <w:t xml:space="preserve"> 2013</w:t>
      </w:r>
      <w:r w:rsidR="002D5754">
        <w:rPr>
          <w:rFonts w:cs="Arial"/>
          <w:lang w:eastAsia="en-AU"/>
        </w:rPr>
        <w:t xml:space="preserve">, </w:t>
      </w:r>
      <w:proofErr w:type="spellStart"/>
      <w:r w:rsidR="002D5754">
        <w:rPr>
          <w:lang w:eastAsia="en-AU"/>
        </w:rPr>
        <w:t>Cornelis</w:t>
      </w:r>
      <w:proofErr w:type="spellEnd"/>
      <w:r w:rsidR="002D5754">
        <w:rPr>
          <w:lang w:eastAsia="en-AU"/>
        </w:rPr>
        <w:t xml:space="preserve"> </w:t>
      </w:r>
      <w:r w:rsidR="00652002" w:rsidRPr="00652002">
        <w:rPr>
          <w:i/>
          <w:lang w:eastAsia="en-AU"/>
        </w:rPr>
        <w:t>et al.</w:t>
      </w:r>
      <w:r w:rsidR="002D5754">
        <w:rPr>
          <w:lang w:eastAsia="en-AU"/>
        </w:rPr>
        <w:t xml:space="preserve"> 2012). This is </w:t>
      </w:r>
      <w:r>
        <w:rPr>
          <w:lang w:eastAsia="en-AU"/>
        </w:rPr>
        <w:t xml:space="preserve">likely </w:t>
      </w:r>
      <w:r w:rsidR="005B2AC6">
        <w:rPr>
          <w:lang w:eastAsia="en-AU"/>
        </w:rPr>
        <w:t>a result of</w:t>
      </w:r>
      <w:r>
        <w:rPr>
          <w:lang w:eastAsia="en-AU"/>
        </w:rPr>
        <w:t xml:space="preserve"> higher food consumption per kilogram bodyweight due to growth and maintenance requirements. Estimates of dietary exposure </w:t>
      </w:r>
      <w:r w:rsidR="00EB3A8F">
        <w:rPr>
          <w:lang w:eastAsia="en-AU"/>
        </w:rPr>
        <w:t xml:space="preserve">for </w:t>
      </w:r>
      <w:r w:rsidR="00636CDC">
        <w:rPr>
          <w:lang w:eastAsia="en-AU"/>
        </w:rPr>
        <w:t xml:space="preserve">a </w:t>
      </w:r>
      <w:r w:rsidR="0085485B">
        <w:rPr>
          <w:lang w:eastAsia="en-AU"/>
        </w:rPr>
        <w:t>range</w:t>
      </w:r>
      <w:r w:rsidR="00636CDC">
        <w:rPr>
          <w:lang w:eastAsia="en-AU"/>
        </w:rPr>
        <w:t xml:space="preserve"> of </w:t>
      </w:r>
      <w:r w:rsidR="00EB3A8F">
        <w:rPr>
          <w:lang w:eastAsia="en-AU"/>
        </w:rPr>
        <w:t xml:space="preserve">PFAS </w:t>
      </w:r>
      <w:r>
        <w:rPr>
          <w:lang w:eastAsia="en-AU"/>
        </w:rPr>
        <w:t>were higher for coastal communities in France, including pregnant women, than for the general population, as consumption of fish and other seafood</w:t>
      </w:r>
      <w:r w:rsidR="00EB3A8F">
        <w:rPr>
          <w:lang w:eastAsia="en-AU"/>
        </w:rPr>
        <w:t>, a</w:t>
      </w:r>
      <w:r w:rsidR="005B2AC6">
        <w:rPr>
          <w:lang w:eastAsia="en-AU"/>
        </w:rPr>
        <w:t xml:space="preserve"> ma</w:t>
      </w:r>
      <w:r w:rsidR="00EB3A8F">
        <w:rPr>
          <w:lang w:eastAsia="en-AU"/>
        </w:rPr>
        <w:t>jor</w:t>
      </w:r>
      <w:r w:rsidR="005B2AC6">
        <w:rPr>
          <w:lang w:eastAsia="en-AU"/>
        </w:rPr>
        <w:t xml:space="preserve"> source of PFAS,</w:t>
      </w:r>
      <w:r>
        <w:rPr>
          <w:lang w:eastAsia="en-AU"/>
        </w:rPr>
        <w:t xml:space="preserve"> was reported to be higher in these coastal areas (</w:t>
      </w:r>
      <w:proofErr w:type="spellStart"/>
      <w:r>
        <w:rPr>
          <w:lang w:eastAsia="en-AU"/>
        </w:rPr>
        <w:t>Yamanda</w:t>
      </w:r>
      <w:proofErr w:type="spellEnd"/>
      <w:r>
        <w:rPr>
          <w:lang w:eastAsia="en-AU"/>
        </w:rPr>
        <w:t xml:space="preserve"> </w:t>
      </w:r>
      <w:r w:rsidR="00652002" w:rsidRPr="00652002">
        <w:rPr>
          <w:i/>
          <w:lang w:eastAsia="en-AU"/>
        </w:rPr>
        <w:t>et al.</w:t>
      </w:r>
      <w:r>
        <w:rPr>
          <w:lang w:eastAsia="en-AU"/>
        </w:rPr>
        <w:t xml:space="preserve"> 2014). </w:t>
      </w:r>
    </w:p>
    <w:p w14:paraId="336834EF" w14:textId="20C8947E" w:rsidR="00AB2A70" w:rsidRDefault="00AB2A70" w:rsidP="00FE2CD8">
      <w:pPr>
        <w:spacing w:before="100" w:beforeAutospacing="1" w:after="100" w:afterAutospacing="1"/>
      </w:pPr>
      <w:r>
        <w:t>The literature highlights</w:t>
      </w:r>
      <w:r w:rsidR="0082055E">
        <w:t xml:space="preserve"> that estimated dietary exposure to PFAS based on levels found in foods have generally not been considered to be of </w:t>
      </w:r>
      <w:r w:rsidR="001D6048">
        <w:t xml:space="preserve">public health </w:t>
      </w:r>
      <w:r w:rsidR="00276937">
        <w:t>concern for the public.</w:t>
      </w:r>
    </w:p>
    <w:p w14:paraId="679ECB5B" w14:textId="4BD8C23C" w:rsidR="00DE4473" w:rsidRDefault="00397717" w:rsidP="00FE2CD8">
      <w:pPr>
        <w:spacing w:before="100" w:beforeAutospacing="1" w:after="100" w:afterAutospacing="1"/>
        <w:rPr>
          <w:lang w:eastAsia="en-AU"/>
        </w:rPr>
      </w:pPr>
      <w:r>
        <w:rPr>
          <w:lang w:eastAsia="en-AU"/>
        </w:rPr>
        <w:lastRenderedPageBreak/>
        <w:t xml:space="preserve">Reported dietary exposure estimates were all lower than the relevant EFSA TDIs for PFOS (150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 xml:space="preserve">/day) and PFOA (1500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/day), the health-based guidance values referred to in most of these st</w:t>
      </w:r>
      <w:r w:rsidR="0082055E">
        <w:rPr>
          <w:lang w:eastAsia="en-AU"/>
        </w:rPr>
        <w:t xml:space="preserve">udies. </w:t>
      </w:r>
      <w:r>
        <w:rPr>
          <w:lang w:eastAsia="en-AU"/>
        </w:rPr>
        <w:t xml:space="preserve">When evaluated against the TDIs </w:t>
      </w:r>
      <w:r w:rsidR="00EB3A8F">
        <w:rPr>
          <w:lang w:eastAsia="en-AU"/>
        </w:rPr>
        <w:t>derived</w:t>
      </w:r>
      <w:r>
        <w:rPr>
          <w:lang w:eastAsia="en-AU"/>
        </w:rPr>
        <w:t xml:space="preserve"> by FSANZ for PFOS</w:t>
      </w:r>
      <w:r w:rsidR="00060DBD">
        <w:rPr>
          <w:lang w:eastAsia="en-AU"/>
        </w:rPr>
        <w:t xml:space="preserve"> + </w:t>
      </w:r>
      <w:proofErr w:type="spellStart"/>
      <w:r>
        <w:rPr>
          <w:lang w:eastAsia="en-AU"/>
        </w:rPr>
        <w:t>PFHxS</w:t>
      </w:r>
      <w:proofErr w:type="spellEnd"/>
      <w:r>
        <w:rPr>
          <w:lang w:eastAsia="en-AU"/>
        </w:rPr>
        <w:t xml:space="preserve"> </w:t>
      </w:r>
      <w:r w:rsidR="00060DBD">
        <w:rPr>
          <w:lang w:eastAsia="en-AU"/>
        </w:rPr>
        <w:t>combined</w:t>
      </w:r>
      <w:r>
        <w:rPr>
          <w:lang w:eastAsia="en-AU"/>
        </w:rPr>
        <w:t xml:space="preserve"> (20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 xml:space="preserve">/day) and PFOA (160 </w:t>
      </w:r>
      <w:proofErr w:type="spellStart"/>
      <w:r>
        <w:rPr>
          <w:lang w:eastAsia="en-AU"/>
        </w:rPr>
        <w:t>ng</w:t>
      </w:r>
      <w:proofErr w:type="spellEnd"/>
      <w:r>
        <w:rPr>
          <w:lang w:eastAsia="en-AU"/>
        </w:rPr>
        <w:t xml:space="preserve">/kg </w:t>
      </w:r>
      <w:proofErr w:type="spellStart"/>
      <w:r>
        <w:rPr>
          <w:lang w:eastAsia="en-AU"/>
        </w:rPr>
        <w:t>bw</w:t>
      </w:r>
      <w:proofErr w:type="spellEnd"/>
      <w:r>
        <w:rPr>
          <w:lang w:eastAsia="en-AU"/>
        </w:rPr>
        <w:t xml:space="preserve">/day), virtually all dietary exposure estimates would be lower than these health-based guidance values. </w:t>
      </w:r>
      <w:r w:rsidR="00134920">
        <w:rPr>
          <w:lang w:eastAsia="en-AU"/>
        </w:rPr>
        <w:t xml:space="preserve">This is important </w:t>
      </w:r>
      <w:r w:rsidR="00134920" w:rsidRPr="00134920">
        <w:rPr>
          <w:lang w:eastAsia="en-AU"/>
        </w:rPr>
        <w:t>because it shows that the FSANZ TDI is reasonable and readily achievable for the general population</w:t>
      </w:r>
      <w:r w:rsidR="00134920">
        <w:rPr>
          <w:lang w:eastAsia="en-AU"/>
        </w:rPr>
        <w:t xml:space="preserve"> </w:t>
      </w:r>
      <w:r w:rsidR="00134920" w:rsidRPr="00134920">
        <w:rPr>
          <w:lang w:eastAsia="en-AU"/>
        </w:rPr>
        <w:t>i.e. suitable for risk management purposes</w:t>
      </w:r>
      <w:r w:rsidR="00134920">
        <w:rPr>
          <w:lang w:eastAsia="en-AU"/>
        </w:rPr>
        <w:t xml:space="preserve">. </w:t>
      </w:r>
      <w:r>
        <w:rPr>
          <w:lang w:eastAsia="en-AU"/>
        </w:rPr>
        <w:t xml:space="preserve">The exceptions were the </w:t>
      </w:r>
      <w:r w:rsidR="0082055E">
        <w:rPr>
          <w:lang w:eastAsia="en-AU"/>
        </w:rPr>
        <w:t xml:space="preserve">conservative </w:t>
      </w:r>
      <w:r>
        <w:rPr>
          <w:lang w:eastAsia="en-AU"/>
        </w:rPr>
        <w:t xml:space="preserve">upper bound estimate </w:t>
      </w:r>
      <w:r w:rsidR="00A64F39">
        <w:rPr>
          <w:lang w:eastAsia="en-AU"/>
        </w:rPr>
        <w:t xml:space="preserve">of </w:t>
      </w:r>
      <w:r>
        <w:rPr>
          <w:lang w:eastAsia="en-AU"/>
        </w:rPr>
        <w:t xml:space="preserve">high </w:t>
      </w:r>
      <w:r w:rsidR="00A64F39">
        <w:rPr>
          <w:lang w:eastAsia="en-AU"/>
        </w:rPr>
        <w:t xml:space="preserve">dietary exposure to PFOS for </w:t>
      </w:r>
      <w:r>
        <w:rPr>
          <w:lang w:eastAsia="en-AU"/>
        </w:rPr>
        <w:t xml:space="preserve">toddlers in Europe (EFSA 2012) and the PFOS estimates reported by Cornelius </w:t>
      </w:r>
      <w:r w:rsidR="00652002" w:rsidRPr="00652002">
        <w:rPr>
          <w:i/>
          <w:lang w:eastAsia="en-AU"/>
        </w:rPr>
        <w:t>et al.</w:t>
      </w:r>
      <w:r>
        <w:rPr>
          <w:lang w:eastAsia="en-AU"/>
        </w:rPr>
        <w:t xml:space="preserve"> for the Belgi</w:t>
      </w:r>
      <w:r w:rsidR="003C18B9">
        <w:rPr>
          <w:lang w:eastAsia="en-AU"/>
        </w:rPr>
        <w:t>an</w:t>
      </w:r>
      <w:r>
        <w:rPr>
          <w:lang w:eastAsia="en-AU"/>
        </w:rPr>
        <w:t xml:space="preserve"> population (Cornelius </w:t>
      </w:r>
      <w:r w:rsidR="00652002" w:rsidRPr="00652002">
        <w:rPr>
          <w:i/>
          <w:lang w:eastAsia="en-AU"/>
        </w:rPr>
        <w:t>et al.</w:t>
      </w:r>
      <w:r>
        <w:rPr>
          <w:lang w:eastAsia="en-AU"/>
        </w:rPr>
        <w:t xml:space="preserve"> 2012).</w:t>
      </w:r>
    </w:p>
    <w:p w14:paraId="0E434BC9" w14:textId="7E1329F0" w:rsidR="009A14E0" w:rsidRPr="009A14E0" w:rsidRDefault="009A14E0" w:rsidP="00AB2A70">
      <w:pPr>
        <w:pStyle w:val="Heading1"/>
      </w:pPr>
      <w:bookmarkStart w:id="60" w:name="_Toc474153256"/>
      <w:bookmarkStart w:id="61" w:name="_Toc474158936"/>
      <w:bookmarkStart w:id="62" w:name="_Toc474847897"/>
      <w:bookmarkStart w:id="63" w:name="_Toc475360603"/>
      <w:r w:rsidRPr="009A14E0">
        <w:t>Dietary exposure calculations for Australian populations</w:t>
      </w:r>
      <w:r w:rsidR="00AB2A70">
        <w:t xml:space="preserve"> </w:t>
      </w:r>
      <w:r w:rsidR="005701ED">
        <w:t xml:space="preserve">consuming foods </w:t>
      </w:r>
      <w:r w:rsidR="00AB2A70">
        <w:t xml:space="preserve">contaminated by </w:t>
      </w:r>
      <w:r w:rsidR="00E32C47" w:rsidRPr="00E32C47">
        <w:t xml:space="preserve">PFOS, PFOA and </w:t>
      </w:r>
      <w:proofErr w:type="spellStart"/>
      <w:r w:rsidR="00E32C47" w:rsidRPr="00E32C47">
        <w:t>PFHxS</w:t>
      </w:r>
      <w:bookmarkEnd w:id="60"/>
      <w:bookmarkEnd w:id="61"/>
      <w:bookmarkEnd w:id="62"/>
      <w:bookmarkEnd w:id="63"/>
      <w:proofErr w:type="spellEnd"/>
    </w:p>
    <w:p w14:paraId="6A772259" w14:textId="10541288" w:rsidR="00347535" w:rsidRDefault="00854C3E" w:rsidP="002F50E9">
      <w:r>
        <w:t xml:space="preserve">As </w:t>
      </w:r>
      <w:r w:rsidR="00347535" w:rsidRPr="00347535">
        <w:t xml:space="preserve">it is unknown how much food consumed by populations living near contaminated sites is sourced locally, a total dietary exposure estimate </w:t>
      </w:r>
      <w:r w:rsidR="002C2D34">
        <w:t>was</w:t>
      </w:r>
      <w:r w:rsidR="00347535" w:rsidRPr="00347535">
        <w:t xml:space="preserve"> not undertaken for these populations</w:t>
      </w:r>
      <w:r w:rsidR="00347535">
        <w:t>.</w:t>
      </w:r>
      <w:r>
        <w:t xml:space="preserve"> The section below describes </w:t>
      </w:r>
      <w:r w:rsidR="002F50E9">
        <w:t>the</w:t>
      </w:r>
      <w:r>
        <w:t xml:space="preserve"> calculations undertaken to determine</w:t>
      </w:r>
      <w:r w:rsidR="002F50E9">
        <w:t xml:space="preserve"> </w:t>
      </w:r>
      <w:r>
        <w:t xml:space="preserve">potential risks for populations living in proximity </w:t>
      </w:r>
      <w:r w:rsidR="00041E6B">
        <w:t xml:space="preserve">to </w:t>
      </w:r>
      <w:r>
        <w:t>contaminated sites who may consume local foods</w:t>
      </w:r>
      <w:r w:rsidR="00060DBD">
        <w:t>,</w:t>
      </w:r>
      <w:r>
        <w:t xml:space="preserve"> </w:t>
      </w:r>
      <w:r w:rsidR="002F50E9">
        <w:t xml:space="preserve">and </w:t>
      </w:r>
      <w:r w:rsidR="00101B89">
        <w:t xml:space="preserve">trigger points for investigation </w:t>
      </w:r>
      <w:r>
        <w:t>f</w:t>
      </w:r>
      <w:r w:rsidR="00361EB3">
        <w:t>or PFOS</w:t>
      </w:r>
      <w:r w:rsidR="00060DBD">
        <w:t xml:space="preserve"> +</w:t>
      </w:r>
      <w:r w:rsidR="004C2D87">
        <w:t xml:space="preserve"> </w:t>
      </w:r>
      <w:proofErr w:type="spellStart"/>
      <w:r w:rsidR="00361EB3">
        <w:t>PFHxS</w:t>
      </w:r>
      <w:proofErr w:type="spellEnd"/>
      <w:r w:rsidR="00361EB3">
        <w:t xml:space="preserve"> </w:t>
      </w:r>
      <w:r w:rsidR="00275E11">
        <w:t>combined</w:t>
      </w:r>
      <w:r w:rsidR="007D708B">
        <w:t>,</w:t>
      </w:r>
      <w:r w:rsidR="00275E11">
        <w:t xml:space="preserve"> </w:t>
      </w:r>
      <w:r w:rsidR="00361EB3">
        <w:t>and PFOA in foods</w:t>
      </w:r>
      <w:r>
        <w:t xml:space="preserve">. </w:t>
      </w:r>
    </w:p>
    <w:p w14:paraId="63F4E50A" w14:textId="2F89E185" w:rsidR="00347535" w:rsidRPr="002A0DED" w:rsidRDefault="00347535" w:rsidP="006635AC">
      <w:pPr>
        <w:pStyle w:val="Heading2"/>
      </w:pPr>
      <w:bookmarkStart w:id="64" w:name="_Toc474153257"/>
      <w:bookmarkStart w:id="65" w:name="_Toc474158937"/>
      <w:bookmarkStart w:id="66" w:name="_Toc474847898"/>
      <w:bookmarkStart w:id="67" w:name="_Toc475360604"/>
      <w:r w:rsidRPr="00D84718">
        <w:t>Methods</w:t>
      </w:r>
      <w:bookmarkEnd w:id="64"/>
      <w:bookmarkEnd w:id="65"/>
      <w:bookmarkEnd w:id="66"/>
      <w:bookmarkEnd w:id="67"/>
    </w:p>
    <w:p w14:paraId="45039B2E" w14:textId="77777777" w:rsidR="00347535" w:rsidRDefault="00347535" w:rsidP="00347535">
      <w:r>
        <w:t>Two sets of calculations were undertaken for populations living in proximity to contaminated sites, who may consume locally sourced food:</w:t>
      </w:r>
    </w:p>
    <w:p w14:paraId="5F74D87E" w14:textId="784F3FB7" w:rsidR="00347535" w:rsidRDefault="00AA23AE" w:rsidP="00710BF4">
      <w:pPr>
        <w:pStyle w:val="FSBullet1"/>
        <w:numPr>
          <w:ilvl w:val="0"/>
          <w:numId w:val="9"/>
        </w:numPr>
      </w:pPr>
      <w:r>
        <w:t>D</w:t>
      </w:r>
      <w:r w:rsidR="00347535">
        <w:t xml:space="preserve">etermination of the amount of individual foods or food groups that could be consumed at the reported concentration levels for </w:t>
      </w:r>
      <w:r w:rsidR="00347535" w:rsidRPr="00A22B70">
        <w:t>PFOS</w:t>
      </w:r>
      <w:r w:rsidR="00765B52">
        <w:t xml:space="preserve">, </w:t>
      </w:r>
      <w:r w:rsidR="00347535" w:rsidRPr="00A22B70">
        <w:t xml:space="preserve">PFOA and </w:t>
      </w:r>
      <w:proofErr w:type="spellStart"/>
      <w:r w:rsidR="00347535" w:rsidRPr="00A22B70">
        <w:t>PFHxS</w:t>
      </w:r>
      <w:proofErr w:type="spellEnd"/>
      <w:r w:rsidR="00347535" w:rsidRPr="00A22B70">
        <w:t xml:space="preserve"> </w:t>
      </w:r>
      <w:r w:rsidR="00347535">
        <w:t xml:space="preserve">without exceeding the relevant TDI </w:t>
      </w:r>
      <w:r w:rsidR="00163011">
        <w:t>derived</w:t>
      </w:r>
      <w:r w:rsidR="00347535">
        <w:t xml:space="preserve"> by FSANZ</w:t>
      </w:r>
    </w:p>
    <w:p w14:paraId="20A2552F" w14:textId="5B19FD16" w:rsidR="00347535" w:rsidRDefault="00AA23AE" w:rsidP="00710BF4">
      <w:pPr>
        <w:pStyle w:val="FSBullet1"/>
        <w:numPr>
          <w:ilvl w:val="0"/>
          <w:numId w:val="9"/>
        </w:numPr>
      </w:pPr>
      <w:r>
        <w:t>E</w:t>
      </w:r>
      <w:r w:rsidR="00347535">
        <w:t xml:space="preserve">stablishment of </w:t>
      </w:r>
      <w:r w:rsidR="005701ED">
        <w:t>trigger points for investigation</w:t>
      </w:r>
      <w:r w:rsidR="00D62B6D">
        <w:t xml:space="preserve"> </w:t>
      </w:r>
      <w:r w:rsidR="00347535">
        <w:t>for individual foods or food groups for PFOS</w:t>
      </w:r>
      <w:r w:rsidR="00275E11">
        <w:t xml:space="preserve"> +</w:t>
      </w:r>
      <w:r w:rsidR="004C2D87">
        <w:t xml:space="preserve"> </w:t>
      </w:r>
      <w:proofErr w:type="spellStart"/>
      <w:r w:rsidR="00347535" w:rsidRPr="00A22B70">
        <w:t>PFHxS</w:t>
      </w:r>
      <w:proofErr w:type="spellEnd"/>
      <w:r w:rsidR="00347535">
        <w:t xml:space="preserve"> combined and PFOA, such that for a high consumer of these foods at this concentration level</w:t>
      </w:r>
      <w:r w:rsidR="00A17256">
        <w:t>,</w:t>
      </w:r>
      <w:r w:rsidR="00347535">
        <w:t xml:space="preserve"> the relevant TDI would not be exceeded.</w:t>
      </w:r>
    </w:p>
    <w:p w14:paraId="1704EA07" w14:textId="6CFE73A8" w:rsidR="0092155A" w:rsidRPr="00347535" w:rsidRDefault="0092155A" w:rsidP="00A75BE9">
      <w:pPr>
        <w:pStyle w:val="Heading3"/>
      </w:pPr>
      <w:bookmarkStart w:id="68" w:name="_Toc474153258"/>
      <w:bookmarkStart w:id="69" w:name="_Toc474158938"/>
      <w:bookmarkStart w:id="70" w:name="_Toc474847899"/>
      <w:bookmarkStart w:id="71" w:name="_Toc475360605"/>
      <w:r w:rsidRPr="00347535">
        <w:t>Occurrence data</w:t>
      </w:r>
      <w:bookmarkEnd w:id="68"/>
      <w:bookmarkEnd w:id="69"/>
      <w:bookmarkEnd w:id="70"/>
      <w:bookmarkEnd w:id="71"/>
      <w:r w:rsidR="00685A8C">
        <w:t xml:space="preserve"> </w:t>
      </w:r>
    </w:p>
    <w:p w14:paraId="3069F060" w14:textId="77777777" w:rsidR="003C190F" w:rsidRDefault="00662DD2" w:rsidP="003C190F">
      <w:pPr>
        <w:rPr>
          <w:rStyle w:val="Hyperlink"/>
        </w:rPr>
      </w:pPr>
      <w:r>
        <w:rPr>
          <w:lang w:eastAsia="en-AU"/>
        </w:rPr>
        <w:t xml:space="preserve">Mean analytical results for PFOS were highest for rabbit meat, finfish livers, cattle meat and mammalian offal. Similarly, median PFOS concentrations were highest for rabbit meat, mammalian offal, </w:t>
      </w:r>
      <w:proofErr w:type="gramStart"/>
      <w:r>
        <w:rPr>
          <w:lang w:eastAsia="en-AU"/>
        </w:rPr>
        <w:t>cattle</w:t>
      </w:r>
      <w:proofErr w:type="gramEnd"/>
      <w:r>
        <w:rPr>
          <w:lang w:eastAsia="en-AU"/>
        </w:rPr>
        <w:t xml:space="preserve"> meat and finfish livers.</w:t>
      </w:r>
      <w:r w:rsidRPr="00A57AE7">
        <w:rPr>
          <w:lang w:eastAsia="en-AU"/>
        </w:rPr>
        <w:t xml:space="preserve"> </w:t>
      </w:r>
      <w:r w:rsidRPr="00B82F7C">
        <w:rPr>
          <w:lang w:eastAsia="en-AU"/>
        </w:rPr>
        <w:t>PFOA was reported at concentrations below reporting limits for most samples.</w:t>
      </w:r>
      <w:r w:rsidRPr="00A57AE7">
        <w:rPr>
          <w:lang w:eastAsia="en-AU"/>
        </w:rPr>
        <w:t xml:space="preserve"> </w:t>
      </w:r>
      <w:r>
        <w:rPr>
          <w:lang w:eastAsia="en-AU"/>
        </w:rPr>
        <w:t>A</w:t>
      </w:r>
      <w:r w:rsidRPr="00B82F7C">
        <w:rPr>
          <w:lang w:eastAsia="en-AU"/>
        </w:rPr>
        <w:t xml:space="preserve">nalytical results for foods with </w:t>
      </w:r>
      <w:r>
        <w:rPr>
          <w:lang w:eastAsia="en-AU"/>
        </w:rPr>
        <w:t xml:space="preserve">PFOA </w:t>
      </w:r>
      <w:r w:rsidRPr="00B82F7C">
        <w:rPr>
          <w:lang w:eastAsia="en-AU"/>
        </w:rPr>
        <w:t xml:space="preserve">detections were highest for molluscs and freshwater fish. </w:t>
      </w:r>
      <w:r>
        <w:rPr>
          <w:lang w:eastAsia="en-AU"/>
        </w:rPr>
        <w:t>There was</w:t>
      </w:r>
      <w:r w:rsidRPr="00B82F7C">
        <w:rPr>
          <w:lang w:eastAsia="en-AU"/>
        </w:rPr>
        <w:t xml:space="preserve"> less </w:t>
      </w:r>
      <w:r>
        <w:rPr>
          <w:lang w:eastAsia="en-AU"/>
        </w:rPr>
        <w:t xml:space="preserve">data on </w:t>
      </w:r>
      <w:proofErr w:type="spellStart"/>
      <w:r w:rsidRPr="00B82F7C">
        <w:rPr>
          <w:lang w:eastAsia="en-AU"/>
        </w:rPr>
        <w:t>PFHxS</w:t>
      </w:r>
      <w:proofErr w:type="spellEnd"/>
      <w:r w:rsidRPr="00B82F7C">
        <w:rPr>
          <w:lang w:eastAsia="en-AU"/>
        </w:rPr>
        <w:t xml:space="preserve"> analyses </w:t>
      </w:r>
      <w:r>
        <w:rPr>
          <w:lang w:eastAsia="en-AU"/>
        </w:rPr>
        <w:t>available</w:t>
      </w:r>
      <w:r w:rsidRPr="00B82F7C">
        <w:rPr>
          <w:lang w:eastAsia="en-AU"/>
        </w:rPr>
        <w:t xml:space="preserve"> </w:t>
      </w:r>
      <w:r>
        <w:rPr>
          <w:lang w:eastAsia="en-AU"/>
        </w:rPr>
        <w:t xml:space="preserve">compared to </w:t>
      </w:r>
      <w:r w:rsidRPr="00B82F7C">
        <w:rPr>
          <w:lang w:eastAsia="en-AU"/>
        </w:rPr>
        <w:t xml:space="preserve">the other two chemicals. There were no detections for </w:t>
      </w:r>
      <w:proofErr w:type="spellStart"/>
      <w:r w:rsidRPr="00B82F7C">
        <w:rPr>
          <w:lang w:eastAsia="en-AU"/>
        </w:rPr>
        <w:t>diadromous</w:t>
      </w:r>
      <w:proofErr w:type="spellEnd"/>
      <w:r w:rsidRPr="00B82F7C">
        <w:rPr>
          <w:lang w:eastAsia="en-AU"/>
        </w:rPr>
        <w:t xml:space="preserve"> and marine fish, honey and offal and most fruit and vegetables. Mean </w:t>
      </w:r>
      <w:proofErr w:type="spellStart"/>
      <w:r>
        <w:rPr>
          <w:lang w:eastAsia="en-AU"/>
        </w:rPr>
        <w:t>PFHxS</w:t>
      </w:r>
      <w:proofErr w:type="spellEnd"/>
      <w:r w:rsidRPr="00B82F7C">
        <w:rPr>
          <w:lang w:eastAsia="en-AU"/>
        </w:rPr>
        <w:t xml:space="preserve"> concentrations were highest for cattle meat, eggs and crustaceans.</w:t>
      </w:r>
      <w:r w:rsidR="00ED4B3C">
        <w:rPr>
          <w:lang w:eastAsia="en-AU"/>
        </w:rPr>
        <w:t xml:space="preserve"> </w:t>
      </w:r>
      <w:r w:rsidR="00ED4B3C">
        <w:t>Details about the occurrence data set are in Attachment 2.</w:t>
      </w:r>
      <w:r w:rsidR="003C190F">
        <w:t xml:space="preserve"> </w:t>
      </w:r>
      <w:r w:rsidR="003C190F">
        <w:rPr>
          <w:lang w:eastAsia="en-AU"/>
        </w:rPr>
        <w:t xml:space="preserve">The occurrence data used in dietary exposure calculations is set out in </w:t>
      </w:r>
      <w:r w:rsidR="003C190F" w:rsidRPr="00662DD2">
        <w:rPr>
          <w:rStyle w:val="CrossReferenceChar"/>
        </w:rPr>
        <w:fldChar w:fldCharType="begin"/>
      </w:r>
      <w:r w:rsidR="003C190F" w:rsidRPr="00662DD2">
        <w:rPr>
          <w:rStyle w:val="CrossReferenceChar"/>
        </w:rPr>
        <w:instrText xml:space="preserve"> REF _Ref473786769 \h  \* MERGEFORMAT </w:instrText>
      </w:r>
      <w:r w:rsidR="003C190F" w:rsidRPr="00662DD2">
        <w:rPr>
          <w:rStyle w:val="CrossReferenceChar"/>
        </w:rPr>
      </w:r>
      <w:r w:rsidR="003C190F" w:rsidRPr="00662DD2">
        <w:rPr>
          <w:rStyle w:val="CrossReferenceChar"/>
        </w:rPr>
        <w:fldChar w:fldCharType="separate"/>
      </w:r>
      <w:r w:rsidR="00D5249B" w:rsidRPr="00D5249B">
        <w:rPr>
          <w:rStyle w:val="CrossReferenceChar"/>
        </w:rPr>
        <w:t>Appendix 1</w:t>
      </w:r>
      <w:r w:rsidR="00D5249B" w:rsidRPr="00D5249B">
        <w:rPr>
          <w:color w:val="0000FF"/>
        </w:rPr>
        <w:t xml:space="preserve"> Summary of occurrence data used in dietary exposure calculations</w:t>
      </w:r>
      <w:r w:rsidR="003C190F" w:rsidRPr="00662DD2">
        <w:rPr>
          <w:rStyle w:val="CrossReferenceChar"/>
        </w:rPr>
        <w:fldChar w:fldCharType="end"/>
      </w:r>
      <w:r w:rsidR="003C190F">
        <w:rPr>
          <w:rStyle w:val="CrossReferenceChar"/>
        </w:rPr>
        <w:t>.</w:t>
      </w:r>
    </w:p>
    <w:p w14:paraId="5FB19F38" w14:textId="0ACC4CCE" w:rsidR="00662DD2" w:rsidRPr="00347535" w:rsidRDefault="00662DD2" w:rsidP="00662DD2"/>
    <w:p w14:paraId="3C361B42" w14:textId="746695D7" w:rsidR="00662DD2" w:rsidRDefault="00662DD2" w:rsidP="00662DD2">
      <w:pPr>
        <w:pStyle w:val="Heading4"/>
      </w:pPr>
      <w:r>
        <w:t>Summary of data call</w:t>
      </w:r>
    </w:p>
    <w:p w14:paraId="015B70FE" w14:textId="3400E01E" w:rsidR="004C7DF5" w:rsidRDefault="00C545BF" w:rsidP="004C7DF5">
      <w:pPr>
        <w:rPr>
          <w:rStyle w:val="Hyperlink"/>
        </w:rPr>
      </w:pPr>
      <w:r w:rsidRPr="00C545BF">
        <w:t xml:space="preserve">Only </w:t>
      </w:r>
      <w:r>
        <w:t xml:space="preserve">very </w:t>
      </w:r>
      <w:r w:rsidRPr="00C545BF">
        <w:t xml:space="preserve">limited data on </w:t>
      </w:r>
      <w:r w:rsidR="00402AC0">
        <w:t>the</w:t>
      </w:r>
      <w:r w:rsidRPr="00C545BF">
        <w:t xml:space="preserve"> concentration of </w:t>
      </w:r>
      <w:r w:rsidR="0096314E" w:rsidRPr="0096314E">
        <w:t xml:space="preserve">PFOS, PFOA and </w:t>
      </w:r>
      <w:proofErr w:type="spellStart"/>
      <w:r w:rsidR="0096314E" w:rsidRPr="0096314E">
        <w:t>PFHxS</w:t>
      </w:r>
      <w:proofErr w:type="spellEnd"/>
      <w:r w:rsidR="000077B5" w:rsidRPr="00C545BF">
        <w:t xml:space="preserve"> </w:t>
      </w:r>
      <w:r w:rsidRPr="00C545BF">
        <w:t xml:space="preserve">in Australian </w:t>
      </w:r>
      <w:r>
        <w:t xml:space="preserve">foods </w:t>
      </w:r>
      <w:r w:rsidRPr="00C545BF">
        <w:t>w</w:t>
      </w:r>
      <w:r w:rsidR="00041E6B">
        <w:t>ere</w:t>
      </w:r>
      <w:r w:rsidRPr="00C545BF">
        <w:t xml:space="preserve"> </w:t>
      </w:r>
      <w:r w:rsidR="00041E6B">
        <w:t>m</w:t>
      </w:r>
      <w:r>
        <w:t xml:space="preserve">ade </w:t>
      </w:r>
      <w:r w:rsidRPr="00C545BF">
        <w:t xml:space="preserve">available </w:t>
      </w:r>
      <w:r>
        <w:t xml:space="preserve">to FSANZ </w:t>
      </w:r>
      <w:r w:rsidRPr="00C545BF">
        <w:t xml:space="preserve">as inputs into </w:t>
      </w:r>
      <w:r w:rsidR="000077B5">
        <w:t xml:space="preserve">dietary </w:t>
      </w:r>
      <w:r w:rsidRPr="00C545BF">
        <w:t xml:space="preserve">exposure </w:t>
      </w:r>
      <w:r w:rsidR="009B193C">
        <w:t>calculations</w:t>
      </w:r>
      <w:r w:rsidR="004C7DF5">
        <w:t xml:space="preserve">. </w:t>
      </w:r>
    </w:p>
    <w:p w14:paraId="1F821619" w14:textId="18F622DD" w:rsidR="004C7DF5" w:rsidRDefault="005C14B1" w:rsidP="004C7DF5">
      <w:pPr>
        <w:rPr>
          <w:lang w:eastAsia="en-AU"/>
        </w:rPr>
      </w:pPr>
      <w:r>
        <w:rPr>
          <w:lang w:eastAsia="en-AU"/>
        </w:rPr>
        <w:lastRenderedPageBreak/>
        <w:t>O</w:t>
      </w:r>
      <w:r w:rsidR="004C7DF5" w:rsidRPr="00ED5DDB">
        <w:t>n the 8 August 2016</w:t>
      </w:r>
      <w:r w:rsidR="006300BE" w:rsidRPr="00ED5DDB">
        <w:t>,</w:t>
      </w:r>
      <w:r w:rsidR="004C7DF5" w:rsidRPr="00ED5DDB">
        <w:t xml:space="preserve"> FSANZ undertook a data call seeking any data on the occurrence of </w:t>
      </w:r>
      <w:r w:rsidR="004C7DF5">
        <w:rPr>
          <w:lang w:eastAsia="en-AU"/>
        </w:rPr>
        <w:t xml:space="preserve">PFOS, PFOA and </w:t>
      </w:r>
      <w:proofErr w:type="spellStart"/>
      <w:r w:rsidR="004C7DF5">
        <w:rPr>
          <w:lang w:eastAsia="en-AU"/>
        </w:rPr>
        <w:t>PFHxS</w:t>
      </w:r>
      <w:proofErr w:type="spellEnd"/>
      <w:r w:rsidR="004C7DF5">
        <w:rPr>
          <w:lang w:eastAsia="en-AU"/>
        </w:rPr>
        <w:t xml:space="preserve"> in food and water in Australia. FSANZ received 10 data sets in response with most data being environmental samples from contaminated sites. The majority of samples were seafood. All data received were included in a combined data</w:t>
      </w:r>
      <w:r w:rsidR="000F313F">
        <w:rPr>
          <w:lang w:eastAsia="en-AU"/>
        </w:rPr>
        <w:t xml:space="preserve"> </w:t>
      </w:r>
      <w:r w:rsidR="004C7DF5">
        <w:rPr>
          <w:lang w:eastAsia="en-AU"/>
        </w:rPr>
        <w:t>set and</w:t>
      </w:r>
      <w:r w:rsidR="004C2D87">
        <w:t>,</w:t>
      </w:r>
      <w:r w:rsidR="004C2D87" w:rsidRPr="00EE638F">
        <w:t xml:space="preserve"> </w:t>
      </w:r>
      <w:r w:rsidR="004C2D87">
        <w:t xml:space="preserve">following data cleaning and transformation, </w:t>
      </w:r>
      <w:r w:rsidR="004C7DF5">
        <w:rPr>
          <w:lang w:eastAsia="en-AU"/>
        </w:rPr>
        <w:t>use</w:t>
      </w:r>
      <w:r w:rsidR="00720318">
        <w:rPr>
          <w:lang w:eastAsia="en-AU"/>
        </w:rPr>
        <w:t>d</w:t>
      </w:r>
      <w:r w:rsidR="004C7DF5">
        <w:rPr>
          <w:lang w:eastAsia="en-AU"/>
        </w:rPr>
        <w:t xml:space="preserve"> to create a final analytical data</w:t>
      </w:r>
      <w:r w:rsidR="000F313F">
        <w:rPr>
          <w:lang w:eastAsia="en-AU"/>
        </w:rPr>
        <w:t xml:space="preserve"> </w:t>
      </w:r>
      <w:r w:rsidR="004C7DF5">
        <w:rPr>
          <w:lang w:eastAsia="en-AU"/>
        </w:rPr>
        <w:t>set for use i</w:t>
      </w:r>
      <w:r w:rsidR="002358B6">
        <w:rPr>
          <w:lang w:eastAsia="en-AU"/>
        </w:rPr>
        <w:t>n dietary exposure calculations</w:t>
      </w:r>
      <w:r w:rsidR="004C7DF5">
        <w:rPr>
          <w:lang w:eastAsia="en-AU"/>
        </w:rPr>
        <w:t>.</w:t>
      </w:r>
    </w:p>
    <w:p w14:paraId="14181C3A" w14:textId="39A5BDB6" w:rsidR="004C7DF5" w:rsidRDefault="004C7DF5" w:rsidP="004C7DF5">
      <w:pPr>
        <w:rPr>
          <w:lang w:eastAsia="en-AU"/>
        </w:rPr>
      </w:pPr>
      <w:r>
        <w:rPr>
          <w:lang w:eastAsia="en-AU"/>
        </w:rPr>
        <w:t>There were a number of limitations in the occurrence data</w:t>
      </w:r>
      <w:r w:rsidR="00402AC0">
        <w:rPr>
          <w:lang w:eastAsia="en-AU"/>
        </w:rPr>
        <w:t>.</w:t>
      </w:r>
      <w:r>
        <w:rPr>
          <w:lang w:eastAsia="en-AU"/>
        </w:rPr>
        <w:t xml:space="preserve"> </w:t>
      </w:r>
      <w:r w:rsidR="00402AC0">
        <w:rPr>
          <w:lang w:eastAsia="en-AU"/>
        </w:rPr>
        <w:t>M</w:t>
      </w:r>
      <w:r>
        <w:rPr>
          <w:lang w:eastAsia="en-AU"/>
        </w:rPr>
        <w:t xml:space="preserve">ost data were based on environmental samples </w:t>
      </w:r>
      <w:r w:rsidR="00402AC0">
        <w:rPr>
          <w:lang w:eastAsia="en-AU"/>
        </w:rPr>
        <w:t xml:space="preserve">and were </w:t>
      </w:r>
      <w:r>
        <w:rPr>
          <w:lang w:eastAsia="en-AU"/>
        </w:rPr>
        <w:t xml:space="preserve">not foods </w:t>
      </w:r>
      <w:r w:rsidR="009F688F">
        <w:rPr>
          <w:lang w:eastAsia="en-AU"/>
        </w:rPr>
        <w:t>for retail sale</w:t>
      </w:r>
      <w:r w:rsidR="00402AC0">
        <w:rPr>
          <w:lang w:eastAsia="en-AU"/>
        </w:rPr>
        <w:t xml:space="preserve">; </w:t>
      </w:r>
      <w:r>
        <w:rPr>
          <w:lang w:eastAsia="en-AU"/>
        </w:rPr>
        <w:t xml:space="preserve">some animal based food data were estimated from serum measurements. There were major gaps in the data including poultry meat, cereal grains and oils. Some data had poor metadata and were subject to </w:t>
      </w:r>
      <w:r w:rsidR="000F313F">
        <w:rPr>
          <w:lang w:eastAsia="en-AU"/>
        </w:rPr>
        <w:t xml:space="preserve">limited </w:t>
      </w:r>
      <w:r>
        <w:rPr>
          <w:lang w:eastAsia="en-AU"/>
        </w:rPr>
        <w:t>auditing or validation prior to submission. A large number of data were non</w:t>
      </w:r>
      <w:r w:rsidR="00CD5191">
        <w:rPr>
          <w:lang w:eastAsia="en-AU"/>
        </w:rPr>
        <w:t>-</w:t>
      </w:r>
      <w:r>
        <w:rPr>
          <w:lang w:eastAsia="en-AU"/>
        </w:rPr>
        <w:t>detect</w:t>
      </w:r>
      <w:r w:rsidR="00402AC0">
        <w:rPr>
          <w:lang w:eastAsia="en-AU"/>
        </w:rPr>
        <w:t xml:space="preserve"> results</w:t>
      </w:r>
      <w:r>
        <w:rPr>
          <w:lang w:eastAsia="en-AU"/>
        </w:rPr>
        <w:t>, with different limits of detection (LOD) and/or limits of quantification (LOQ) and/or limits of reporting (LOR) used</w:t>
      </w:r>
      <w:r w:rsidR="00AC4D7C">
        <w:rPr>
          <w:lang w:eastAsia="en-AU"/>
        </w:rPr>
        <w:t xml:space="preserve"> to analyse samples</w:t>
      </w:r>
      <w:r w:rsidR="00F73C4E">
        <w:rPr>
          <w:lang w:eastAsia="en-AU"/>
        </w:rPr>
        <w:t>.</w:t>
      </w:r>
    </w:p>
    <w:p w14:paraId="2A55884A" w14:textId="377524F3" w:rsidR="00ED6A53" w:rsidRDefault="00AC4D7C" w:rsidP="00A57AE7">
      <w:pPr>
        <w:rPr>
          <w:lang w:eastAsia="en-AU"/>
        </w:rPr>
      </w:pPr>
      <w:r>
        <w:rPr>
          <w:lang w:eastAsia="en-AU"/>
        </w:rPr>
        <w:t>Foods in the final</w:t>
      </w:r>
      <w:r w:rsidR="00A57AE7">
        <w:rPr>
          <w:lang w:eastAsia="en-AU"/>
        </w:rPr>
        <w:t xml:space="preserve"> analytical data set were assigned a food category and food classification. </w:t>
      </w:r>
      <w:r w:rsidR="00A57AE7" w:rsidRPr="00B82F7C">
        <w:rPr>
          <w:lang w:eastAsia="en-AU"/>
        </w:rPr>
        <w:t xml:space="preserve">Lower, middle and upper bound median PFOS, PFOA and </w:t>
      </w:r>
      <w:proofErr w:type="spellStart"/>
      <w:r w:rsidR="00A57AE7" w:rsidRPr="00B82F7C">
        <w:rPr>
          <w:lang w:eastAsia="en-AU"/>
        </w:rPr>
        <w:t>PFHxS</w:t>
      </w:r>
      <w:proofErr w:type="spellEnd"/>
      <w:r w:rsidR="00A57AE7">
        <w:rPr>
          <w:lang w:eastAsia="en-AU"/>
        </w:rPr>
        <w:t xml:space="preserve"> values were calculated from the analysed foods assigned to each food classification</w:t>
      </w:r>
      <w:r w:rsidR="00662DD2">
        <w:rPr>
          <w:lang w:eastAsia="en-AU"/>
        </w:rPr>
        <w:t xml:space="preserve"> (see below</w:t>
      </w:r>
      <w:r w:rsidR="00014CBC">
        <w:rPr>
          <w:lang w:eastAsia="en-AU"/>
        </w:rPr>
        <w:t xml:space="preserve">, </w:t>
      </w:r>
      <w:r w:rsidR="00014CBC" w:rsidRPr="00217906">
        <w:rPr>
          <w:rStyle w:val="CrossReferenceChar"/>
        </w:rPr>
        <w:fldChar w:fldCharType="begin"/>
      </w:r>
      <w:r w:rsidR="00014CBC" w:rsidRPr="00217906">
        <w:rPr>
          <w:rStyle w:val="CrossReferenceChar"/>
        </w:rPr>
        <w:instrText xml:space="preserve"> REF _Ref474317985 \r \h </w:instrText>
      </w:r>
      <w:r w:rsidR="00014CBC">
        <w:rPr>
          <w:rStyle w:val="CrossReferenceChar"/>
        </w:rPr>
        <w:instrText xml:space="preserve"> \* MERGEFORMAT </w:instrText>
      </w:r>
      <w:r w:rsidR="00014CBC" w:rsidRPr="00217906">
        <w:rPr>
          <w:rStyle w:val="CrossReferenceChar"/>
        </w:rPr>
      </w:r>
      <w:r w:rsidR="00014CBC" w:rsidRPr="00217906">
        <w:rPr>
          <w:rStyle w:val="CrossReferenceChar"/>
        </w:rPr>
        <w:fldChar w:fldCharType="separate"/>
      </w:r>
      <w:r w:rsidR="00D5249B">
        <w:rPr>
          <w:rStyle w:val="CrossReferenceChar"/>
        </w:rPr>
        <w:t>Table 4</w:t>
      </w:r>
      <w:r w:rsidR="00014CBC" w:rsidRPr="00217906">
        <w:rPr>
          <w:rStyle w:val="CrossReferenceChar"/>
        </w:rPr>
        <w:fldChar w:fldCharType="end"/>
      </w:r>
      <w:r w:rsidR="00014CBC">
        <w:t xml:space="preserve"> for definitions</w:t>
      </w:r>
      <w:r w:rsidR="00662DD2">
        <w:rPr>
          <w:lang w:eastAsia="en-AU"/>
        </w:rPr>
        <w:t>)</w:t>
      </w:r>
      <w:r w:rsidR="00A57AE7">
        <w:rPr>
          <w:lang w:eastAsia="en-AU"/>
        </w:rPr>
        <w:t xml:space="preserve">. </w:t>
      </w:r>
    </w:p>
    <w:p w14:paraId="0B1B5FE9" w14:textId="73E2339F" w:rsidR="005C14B1" w:rsidRDefault="00A57AE7" w:rsidP="00B35986">
      <w:pPr>
        <w:pStyle w:val="Heading4"/>
        <w:rPr>
          <w:lang w:eastAsia="en-AU"/>
        </w:rPr>
      </w:pPr>
      <w:r>
        <w:rPr>
          <w:lang w:eastAsia="en-AU"/>
        </w:rPr>
        <w:t>Management of non-detects</w:t>
      </w:r>
    </w:p>
    <w:p w14:paraId="35CEFDEC" w14:textId="24DAB8FB" w:rsidR="0048304D" w:rsidRDefault="00A57AE7" w:rsidP="00A57AE7">
      <w:pPr>
        <w:rPr>
          <w:lang w:eastAsia="en-AU"/>
        </w:rPr>
      </w:pPr>
      <w:r>
        <w:rPr>
          <w:lang w:eastAsia="en-AU"/>
        </w:rPr>
        <w:t>A</w:t>
      </w:r>
      <w:r w:rsidRPr="00A57AE7">
        <w:rPr>
          <w:lang w:eastAsia="en-AU"/>
        </w:rPr>
        <w:t xml:space="preserve"> difficult step in dietary exposure assessment is the handling of </w:t>
      </w:r>
      <w:r w:rsidR="00CE31CC">
        <w:rPr>
          <w:lang w:eastAsia="en-AU"/>
        </w:rPr>
        <w:t>occurrence</w:t>
      </w:r>
      <w:r>
        <w:rPr>
          <w:lang w:eastAsia="en-AU"/>
        </w:rPr>
        <w:t xml:space="preserve"> data reported to be below the LOD, LOR or LOQ</w:t>
      </w:r>
      <w:r w:rsidRPr="00A57AE7">
        <w:rPr>
          <w:lang w:eastAsia="en-AU"/>
        </w:rPr>
        <w:t xml:space="preserve">. These data are known as </w:t>
      </w:r>
      <w:r>
        <w:rPr>
          <w:lang w:eastAsia="en-AU"/>
        </w:rPr>
        <w:t>‘</w:t>
      </w:r>
      <w:r w:rsidRPr="00A57AE7">
        <w:rPr>
          <w:lang w:eastAsia="en-AU"/>
        </w:rPr>
        <w:t>non-detects</w:t>
      </w:r>
      <w:r>
        <w:rPr>
          <w:lang w:eastAsia="en-AU"/>
        </w:rPr>
        <w:t>’</w:t>
      </w:r>
      <w:r w:rsidRPr="00A57AE7">
        <w:rPr>
          <w:lang w:eastAsia="en-AU"/>
        </w:rPr>
        <w:t>. Handling</w:t>
      </w:r>
      <w:r>
        <w:rPr>
          <w:lang w:eastAsia="en-AU"/>
        </w:rPr>
        <w:t xml:space="preserve"> non-detects</w:t>
      </w:r>
      <w:r w:rsidRPr="00A57AE7">
        <w:rPr>
          <w:lang w:eastAsia="en-AU"/>
        </w:rPr>
        <w:t xml:space="preserve"> represents a challenge for collection and statistical analysis of chemical occurrence data</w:t>
      </w:r>
      <w:r w:rsidR="0048304D">
        <w:rPr>
          <w:lang w:eastAsia="en-AU"/>
        </w:rPr>
        <w:t xml:space="preserve">. Where a component is not detected there is a high level of uncertainty about its occurrence in the food, for example if the LOD is 5 </w:t>
      </w:r>
      <w:r w:rsidR="0048304D">
        <w:rPr>
          <w:rFonts w:cs="Arial"/>
          <w:lang w:eastAsia="en-AU"/>
        </w:rPr>
        <w:t>µ</w:t>
      </w:r>
      <w:r w:rsidR="0048304D">
        <w:rPr>
          <w:lang w:eastAsia="en-AU"/>
        </w:rPr>
        <w:t xml:space="preserve">g/kg the component may not </w:t>
      </w:r>
      <w:r w:rsidR="00402AC0">
        <w:rPr>
          <w:lang w:eastAsia="en-AU"/>
        </w:rPr>
        <w:t xml:space="preserve">be </w:t>
      </w:r>
      <w:r w:rsidR="0048304D">
        <w:rPr>
          <w:lang w:eastAsia="en-AU"/>
        </w:rPr>
        <w:t xml:space="preserve">present, or </w:t>
      </w:r>
      <w:r w:rsidR="00AC4D7C">
        <w:rPr>
          <w:lang w:eastAsia="en-AU"/>
        </w:rPr>
        <w:t xml:space="preserve">may be present </w:t>
      </w:r>
      <w:r w:rsidR="00717009">
        <w:rPr>
          <w:lang w:eastAsia="en-AU"/>
        </w:rPr>
        <w:t xml:space="preserve">somewhere </w:t>
      </w:r>
      <w:r w:rsidR="0048304D">
        <w:rPr>
          <w:lang w:eastAsia="en-AU"/>
        </w:rPr>
        <w:t xml:space="preserve">between </w:t>
      </w:r>
      <w:r w:rsidR="00302912">
        <w:rPr>
          <w:lang w:eastAsia="en-AU"/>
        </w:rPr>
        <w:t xml:space="preserve">zero and 5 </w:t>
      </w:r>
      <w:r w:rsidR="00302912">
        <w:rPr>
          <w:rFonts w:cs="Arial"/>
          <w:lang w:eastAsia="en-AU"/>
        </w:rPr>
        <w:t>µ</w:t>
      </w:r>
      <w:r w:rsidR="00302912">
        <w:rPr>
          <w:lang w:eastAsia="en-AU"/>
        </w:rPr>
        <w:t>g/kg</w:t>
      </w:r>
      <w:r w:rsidR="0048304D">
        <w:rPr>
          <w:lang w:eastAsia="en-AU"/>
        </w:rPr>
        <w:t>.</w:t>
      </w:r>
    </w:p>
    <w:p w14:paraId="4B68615B" w14:textId="23070127" w:rsidR="00B82F7C" w:rsidRDefault="0048304D" w:rsidP="00B82F7C">
      <w:pPr>
        <w:rPr>
          <w:lang w:eastAsia="en-AU"/>
        </w:rPr>
      </w:pPr>
      <w:r>
        <w:rPr>
          <w:lang w:eastAsia="en-AU"/>
        </w:rPr>
        <w:t xml:space="preserve">The data set contained a large number of non-detects and this issue was addressed by deriving lower, middle and upper bound median concentrations </w:t>
      </w:r>
      <w:r w:rsidR="009B281F">
        <w:rPr>
          <w:lang w:eastAsia="en-AU"/>
        </w:rPr>
        <w:t xml:space="preserve">for the contaminants of interest. </w:t>
      </w:r>
      <w:r w:rsidR="00B82F7C" w:rsidRPr="00B82F7C">
        <w:rPr>
          <w:lang w:eastAsia="en-AU"/>
        </w:rPr>
        <w:t xml:space="preserve">Lower, middle and upper bound values were assigned to each individual analytical record, based on that record's reported LOR (assigning zero, ½ LOR, LOR respectively), prior to calculating lower, middle and upper bound median concentrations for each food classification. </w:t>
      </w:r>
      <w:r w:rsidR="00E5639F">
        <w:rPr>
          <w:lang w:eastAsia="en-AU"/>
        </w:rPr>
        <w:t>As a result,</w:t>
      </w:r>
      <w:r w:rsidR="006F3E19">
        <w:rPr>
          <w:lang w:eastAsia="en-AU"/>
        </w:rPr>
        <w:t xml:space="preserve"> the lower b</w:t>
      </w:r>
      <w:r w:rsidR="00E5639F">
        <w:rPr>
          <w:lang w:eastAsia="en-AU"/>
        </w:rPr>
        <w:t xml:space="preserve">ound </w:t>
      </w:r>
      <w:r w:rsidR="006F3E19">
        <w:rPr>
          <w:lang w:eastAsia="en-AU"/>
        </w:rPr>
        <w:t xml:space="preserve">median </w:t>
      </w:r>
      <w:r w:rsidR="00E5639F">
        <w:rPr>
          <w:lang w:eastAsia="en-AU"/>
        </w:rPr>
        <w:t xml:space="preserve">is a ‘best case’ </w:t>
      </w:r>
      <w:r w:rsidR="00CE4A6F">
        <w:rPr>
          <w:lang w:eastAsia="en-AU"/>
        </w:rPr>
        <w:t xml:space="preserve">scenario </w:t>
      </w:r>
      <w:r w:rsidR="00BA45F5">
        <w:rPr>
          <w:lang w:eastAsia="en-AU"/>
        </w:rPr>
        <w:t xml:space="preserve">and </w:t>
      </w:r>
      <w:r w:rsidR="00E5639F">
        <w:rPr>
          <w:lang w:eastAsia="en-AU"/>
        </w:rPr>
        <w:t>assum</w:t>
      </w:r>
      <w:r w:rsidR="00BA45F5">
        <w:rPr>
          <w:lang w:eastAsia="en-AU"/>
        </w:rPr>
        <w:t xml:space="preserve">es that </w:t>
      </w:r>
      <w:r w:rsidR="00E5639F">
        <w:rPr>
          <w:lang w:eastAsia="en-AU"/>
        </w:rPr>
        <w:t xml:space="preserve">wherever there is a non-detect </w:t>
      </w:r>
      <w:r w:rsidR="006F3E19">
        <w:rPr>
          <w:lang w:eastAsia="en-AU"/>
        </w:rPr>
        <w:t xml:space="preserve">the food is free of the component. The upper bound median is a ‘worst case’ </w:t>
      </w:r>
      <w:r w:rsidR="00CE4A6F">
        <w:rPr>
          <w:lang w:eastAsia="en-AU"/>
        </w:rPr>
        <w:t xml:space="preserve">scenario </w:t>
      </w:r>
      <w:r w:rsidR="00BA45F5">
        <w:rPr>
          <w:lang w:eastAsia="en-AU"/>
        </w:rPr>
        <w:t xml:space="preserve">and </w:t>
      </w:r>
      <w:r w:rsidR="006F3E19">
        <w:rPr>
          <w:lang w:eastAsia="en-AU"/>
        </w:rPr>
        <w:t>assum</w:t>
      </w:r>
      <w:r w:rsidR="00BA45F5">
        <w:rPr>
          <w:lang w:eastAsia="en-AU"/>
        </w:rPr>
        <w:t xml:space="preserve">es </w:t>
      </w:r>
      <w:r w:rsidR="006F3E19">
        <w:rPr>
          <w:lang w:eastAsia="en-AU"/>
        </w:rPr>
        <w:t>that wherever there is a non-detect the component is present at the LOR.</w:t>
      </w:r>
      <w:r w:rsidR="00744E14">
        <w:rPr>
          <w:lang w:eastAsia="en-AU"/>
        </w:rPr>
        <w:t xml:space="preserve"> </w:t>
      </w:r>
      <w:r w:rsidR="006F3E19">
        <w:rPr>
          <w:lang w:eastAsia="en-AU"/>
        </w:rPr>
        <w:t>The middle bound is halfway between the other bounds.</w:t>
      </w:r>
    </w:p>
    <w:p w14:paraId="4841B1EB" w14:textId="269094EB" w:rsidR="00A57AE7" w:rsidRDefault="00A57AE7" w:rsidP="00A57AE7">
      <w:pPr>
        <w:pStyle w:val="Heading4"/>
        <w:rPr>
          <w:lang w:eastAsia="en-AU"/>
        </w:rPr>
      </w:pPr>
      <w:r>
        <w:rPr>
          <w:lang w:eastAsia="en-AU"/>
        </w:rPr>
        <w:t xml:space="preserve">Reporting combined occurrence of PFOS and </w:t>
      </w:r>
      <w:proofErr w:type="spellStart"/>
      <w:r>
        <w:rPr>
          <w:lang w:eastAsia="en-AU"/>
        </w:rPr>
        <w:t>PFHxS</w:t>
      </w:r>
      <w:proofErr w:type="spellEnd"/>
    </w:p>
    <w:p w14:paraId="59C7AD92" w14:textId="60229132" w:rsidR="00AF1AF7" w:rsidRPr="00AF1AF7" w:rsidRDefault="00AF1AF7" w:rsidP="00AF1AF7">
      <w:pPr>
        <w:rPr>
          <w:rFonts w:eastAsia="Times New Roman" w:cs="Times New Roman"/>
          <w:szCs w:val="24"/>
          <w:lang w:bidi="en-US"/>
        </w:rPr>
      </w:pPr>
      <w:r w:rsidRPr="00AF1AF7">
        <w:rPr>
          <w:rFonts w:eastAsia="Times New Roman" w:cs="Times New Roman"/>
          <w:szCs w:val="24"/>
          <w:lang w:bidi="en-US"/>
        </w:rPr>
        <w:t>There was insufficient toxicological and epidemiological information to justi</w:t>
      </w:r>
      <w:r>
        <w:rPr>
          <w:rFonts w:eastAsia="Times New Roman" w:cs="Times New Roman"/>
          <w:szCs w:val="24"/>
          <w:lang w:bidi="en-US"/>
        </w:rPr>
        <w:t xml:space="preserve">fy establishing a TDI for </w:t>
      </w:r>
      <w:proofErr w:type="spellStart"/>
      <w:r>
        <w:rPr>
          <w:rFonts w:eastAsia="Times New Roman" w:cs="Times New Roman"/>
          <w:szCs w:val="24"/>
          <w:lang w:bidi="en-US"/>
        </w:rPr>
        <w:t>PFHxS</w:t>
      </w:r>
      <w:proofErr w:type="spellEnd"/>
      <w:r w:rsidR="00146C80">
        <w:rPr>
          <w:rFonts w:eastAsia="Times New Roman" w:cs="Times New Roman"/>
          <w:szCs w:val="24"/>
          <w:lang w:bidi="en-US"/>
        </w:rPr>
        <w:t>. Effectively</w:t>
      </w:r>
      <w:r w:rsidRPr="00AF1AF7">
        <w:rPr>
          <w:rFonts w:eastAsia="Times New Roman" w:cs="Times New Roman"/>
          <w:szCs w:val="24"/>
          <w:lang w:bidi="en-US"/>
        </w:rPr>
        <w:t xml:space="preserve"> this means that </w:t>
      </w:r>
      <w:proofErr w:type="spellStart"/>
      <w:r w:rsidRPr="00AF1AF7">
        <w:rPr>
          <w:rFonts w:eastAsia="Times New Roman" w:cs="Times New Roman"/>
          <w:szCs w:val="24"/>
          <w:lang w:bidi="en-US"/>
        </w:rPr>
        <w:t>PFHxS</w:t>
      </w:r>
      <w:proofErr w:type="spellEnd"/>
      <w:r w:rsidRPr="00AF1AF7">
        <w:rPr>
          <w:rFonts w:eastAsia="Times New Roman" w:cs="Times New Roman"/>
          <w:szCs w:val="24"/>
          <w:lang w:bidi="en-US"/>
        </w:rPr>
        <w:t xml:space="preserve"> and PFOS</w:t>
      </w:r>
      <w:r w:rsidR="005A0BAC">
        <w:rPr>
          <w:rFonts w:eastAsia="Times New Roman" w:cs="Times New Roman"/>
          <w:szCs w:val="24"/>
          <w:lang w:bidi="en-US"/>
        </w:rPr>
        <w:t xml:space="preserve"> concentrations</w:t>
      </w:r>
      <w:r w:rsidRPr="00AF1AF7">
        <w:rPr>
          <w:rFonts w:eastAsia="Times New Roman" w:cs="Times New Roman"/>
          <w:szCs w:val="24"/>
          <w:lang w:bidi="en-US"/>
        </w:rPr>
        <w:t xml:space="preserve"> should be summed for the purposes of a dietary exposure assessment and risk characterisation</w:t>
      </w:r>
      <w:r>
        <w:rPr>
          <w:rFonts w:eastAsia="Times New Roman" w:cs="Times New Roman"/>
          <w:szCs w:val="24"/>
          <w:lang w:bidi="en-US"/>
        </w:rPr>
        <w:t xml:space="preserve"> (</w:t>
      </w:r>
      <w:r w:rsidR="00146C80">
        <w:rPr>
          <w:rFonts w:eastAsia="Times New Roman" w:cs="Times New Roman"/>
          <w:szCs w:val="24"/>
          <w:lang w:bidi="en-US"/>
        </w:rPr>
        <w:t xml:space="preserve">refer to </w:t>
      </w:r>
      <w:r w:rsidR="00E00555" w:rsidRPr="00E00555">
        <w:rPr>
          <w:rFonts w:eastAsia="Times New Roman" w:cs="Times New Roman"/>
          <w:szCs w:val="24"/>
          <w:lang w:bidi="en-US"/>
        </w:rPr>
        <w:t xml:space="preserve">Supporting </w:t>
      </w:r>
      <w:r w:rsidRPr="00E00555">
        <w:rPr>
          <w:rFonts w:eastAsia="Times New Roman" w:cs="Times New Roman"/>
          <w:szCs w:val="24"/>
          <w:lang w:bidi="en-US"/>
        </w:rPr>
        <w:t>D</w:t>
      </w:r>
      <w:r w:rsidR="00E00555" w:rsidRPr="00E00555">
        <w:rPr>
          <w:rFonts w:eastAsia="Times New Roman" w:cs="Times New Roman"/>
          <w:szCs w:val="24"/>
          <w:lang w:bidi="en-US"/>
        </w:rPr>
        <w:t xml:space="preserve">ocument </w:t>
      </w:r>
      <w:r w:rsidRPr="00E00555">
        <w:rPr>
          <w:rFonts w:eastAsia="Times New Roman" w:cs="Times New Roman"/>
          <w:szCs w:val="24"/>
          <w:lang w:bidi="en-US"/>
        </w:rPr>
        <w:t>1</w:t>
      </w:r>
      <w:r>
        <w:rPr>
          <w:rFonts w:eastAsia="Times New Roman" w:cs="Times New Roman"/>
          <w:szCs w:val="24"/>
          <w:lang w:bidi="en-US"/>
        </w:rPr>
        <w:t>)</w:t>
      </w:r>
      <w:r w:rsidRPr="00AF1AF7">
        <w:rPr>
          <w:rFonts w:eastAsia="Times New Roman" w:cs="Times New Roman"/>
          <w:szCs w:val="24"/>
          <w:lang w:bidi="en-US"/>
        </w:rPr>
        <w:t>.</w:t>
      </w:r>
    </w:p>
    <w:p w14:paraId="1D6B815F" w14:textId="419D6194" w:rsidR="00233A6B" w:rsidRDefault="004C7DF5" w:rsidP="00B82F7C">
      <w:pPr>
        <w:rPr>
          <w:lang w:eastAsia="en-AU"/>
        </w:rPr>
      </w:pPr>
      <w:r>
        <w:rPr>
          <w:lang w:eastAsia="en-AU"/>
        </w:rPr>
        <w:t xml:space="preserve">Due to the limited number of </w:t>
      </w:r>
      <w:proofErr w:type="spellStart"/>
      <w:r>
        <w:rPr>
          <w:lang w:eastAsia="en-AU"/>
        </w:rPr>
        <w:t>PFHxS</w:t>
      </w:r>
      <w:proofErr w:type="spellEnd"/>
      <w:r>
        <w:rPr>
          <w:lang w:eastAsia="en-AU"/>
        </w:rPr>
        <w:t xml:space="preserve"> analyses</w:t>
      </w:r>
      <w:r w:rsidR="00B82F7C" w:rsidRPr="00B82F7C">
        <w:rPr>
          <w:lang w:eastAsia="en-AU"/>
        </w:rPr>
        <w:t>,</w:t>
      </w:r>
      <w:r>
        <w:rPr>
          <w:lang w:eastAsia="en-AU"/>
        </w:rPr>
        <w:t xml:space="preserve"> </w:t>
      </w:r>
      <w:r w:rsidR="00233A6B">
        <w:rPr>
          <w:lang w:eastAsia="en-AU"/>
        </w:rPr>
        <w:t>there were substantially fewer</w:t>
      </w:r>
      <w:r>
        <w:rPr>
          <w:lang w:eastAsia="en-AU"/>
        </w:rPr>
        <w:t xml:space="preserve"> </w:t>
      </w:r>
      <w:r w:rsidR="00233A6B">
        <w:rPr>
          <w:lang w:eastAsia="en-AU"/>
        </w:rPr>
        <w:t>a</w:t>
      </w:r>
      <w:r>
        <w:rPr>
          <w:lang w:eastAsia="en-AU"/>
        </w:rPr>
        <w:t xml:space="preserve">nalyses </w:t>
      </w:r>
      <w:r w:rsidR="005A0BAC">
        <w:rPr>
          <w:lang w:eastAsia="en-AU"/>
        </w:rPr>
        <w:t>available to calculate median concentrations</w:t>
      </w:r>
      <w:r w:rsidR="00233A6B">
        <w:rPr>
          <w:lang w:eastAsia="en-AU"/>
        </w:rPr>
        <w:t xml:space="preserve"> based on the</w:t>
      </w:r>
      <w:r>
        <w:rPr>
          <w:lang w:eastAsia="en-AU"/>
        </w:rPr>
        <w:t xml:space="preserve"> sum of PFOS and </w:t>
      </w:r>
      <w:proofErr w:type="spellStart"/>
      <w:r>
        <w:rPr>
          <w:lang w:eastAsia="en-AU"/>
        </w:rPr>
        <w:t>PFHxS</w:t>
      </w:r>
      <w:proofErr w:type="spellEnd"/>
      <w:r w:rsidR="003D5706">
        <w:rPr>
          <w:lang w:eastAsia="en-AU"/>
        </w:rPr>
        <w:t>.</w:t>
      </w:r>
      <w:r>
        <w:rPr>
          <w:lang w:eastAsia="en-AU"/>
        </w:rPr>
        <w:t xml:space="preserve"> Reduced numbers of analyses </w:t>
      </w:r>
      <w:r w:rsidR="000264EB">
        <w:rPr>
          <w:lang w:eastAsia="en-AU"/>
        </w:rPr>
        <w:t>that tested for both compounds</w:t>
      </w:r>
      <w:r>
        <w:rPr>
          <w:lang w:eastAsia="en-AU"/>
        </w:rPr>
        <w:t xml:space="preserve"> resulted in changed distributions of concentrations</w:t>
      </w:r>
      <w:r w:rsidR="002D493E">
        <w:rPr>
          <w:lang w:eastAsia="en-AU"/>
        </w:rPr>
        <w:t xml:space="preserve"> compared to </w:t>
      </w:r>
      <w:r w:rsidR="000264EB">
        <w:rPr>
          <w:lang w:eastAsia="en-AU"/>
        </w:rPr>
        <w:t xml:space="preserve">when </w:t>
      </w:r>
      <w:r w:rsidR="002D493E">
        <w:rPr>
          <w:lang w:eastAsia="en-AU"/>
        </w:rPr>
        <w:t xml:space="preserve">PFOS </w:t>
      </w:r>
      <w:r w:rsidR="000264EB">
        <w:rPr>
          <w:lang w:eastAsia="en-AU"/>
        </w:rPr>
        <w:t xml:space="preserve">was analysed </w:t>
      </w:r>
      <w:r w:rsidR="002D493E">
        <w:rPr>
          <w:lang w:eastAsia="en-AU"/>
        </w:rPr>
        <w:t>alone</w:t>
      </w:r>
      <w:r w:rsidR="00233A6B">
        <w:rPr>
          <w:lang w:eastAsia="en-AU"/>
        </w:rPr>
        <w:t xml:space="preserve">. Changed distributions of the occurrence data affect any subsequent exposure calculations. For </w:t>
      </w:r>
      <w:r w:rsidR="0036266F">
        <w:rPr>
          <w:lang w:eastAsia="en-AU"/>
        </w:rPr>
        <w:t>some food groups the</w:t>
      </w:r>
      <w:r w:rsidR="003627D5">
        <w:rPr>
          <w:lang w:eastAsia="en-AU"/>
        </w:rPr>
        <w:t xml:space="preserve"> m</w:t>
      </w:r>
      <w:r w:rsidR="00B82F7C" w:rsidRPr="00B82F7C">
        <w:rPr>
          <w:lang w:eastAsia="en-AU"/>
        </w:rPr>
        <w:t>ean</w:t>
      </w:r>
      <w:r>
        <w:rPr>
          <w:lang w:eastAsia="en-AU"/>
        </w:rPr>
        <w:t xml:space="preserve"> and median concentrations </w:t>
      </w:r>
      <w:r w:rsidR="00B82F7C" w:rsidRPr="00B82F7C">
        <w:rPr>
          <w:lang w:eastAsia="en-AU"/>
        </w:rPr>
        <w:t>of</w:t>
      </w:r>
      <w:r>
        <w:rPr>
          <w:lang w:eastAsia="en-AU"/>
        </w:rPr>
        <w:t xml:space="preserve"> PFOS</w:t>
      </w:r>
      <w:r w:rsidR="003D5706">
        <w:rPr>
          <w:lang w:eastAsia="en-AU"/>
        </w:rPr>
        <w:t xml:space="preserve"> </w:t>
      </w:r>
      <w:r>
        <w:rPr>
          <w:lang w:eastAsia="en-AU"/>
        </w:rPr>
        <w:t>+</w:t>
      </w:r>
      <w:r w:rsidR="003D5706">
        <w:rPr>
          <w:lang w:eastAsia="en-AU"/>
        </w:rPr>
        <w:t xml:space="preserve"> </w:t>
      </w:r>
      <w:proofErr w:type="spellStart"/>
      <w:r>
        <w:rPr>
          <w:lang w:eastAsia="en-AU"/>
        </w:rPr>
        <w:t>PFHxS</w:t>
      </w:r>
      <w:proofErr w:type="spellEnd"/>
      <w:r w:rsidR="00B82F7C" w:rsidRPr="00B82F7C">
        <w:rPr>
          <w:lang w:eastAsia="en-AU"/>
        </w:rPr>
        <w:t xml:space="preserve"> </w:t>
      </w:r>
      <w:r w:rsidR="00275E11">
        <w:rPr>
          <w:lang w:eastAsia="en-AU"/>
        </w:rPr>
        <w:t xml:space="preserve">combined </w:t>
      </w:r>
      <w:r>
        <w:rPr>
          <w:lang w:eastAsia="en-AU"/>
        </w:rPr>
        <w:t xml:space="preserve">were markedly higher </w:t>
      </w:r>
      <w:r w:rsidR="00B82F7C" w:rsidRPr="00B82F7C">
        <w:rPr>
          <w:lang w:eastAsia="en-AU"/>
        </w:rPr>
        <w:t xml:space="preserve">than </w:t>
      </w:r>
      <w:r>
        <w:rPr>
          <w:lang w:eastAsia="en-AU"/>
        </w:rPr>
        <w:t xml:space="preserve">those </w:t>
      </w:r>
      <w:r w:rsidR="0036266F">
        <w:rPr>
          <w:lang w:eastAsia="en-AU"/>
        </w:rPr>
        <w:t xml:space="preserve">based on </w:t>
      </w:r>
      <w:r>
        <w:rPr>
          <w:lang w:eastAsia="en-AU"/>
        </w:rPr>
        <w:t>PFOS</w:t>
      </w:r>
      <w:r w:rsidR="0036266F" w:rsidRPr="0036266F">
        <w:rPr>
          <w:lang w:eastAsia="en-AU"/>
        </w:rPr>
        <w:t xml:space="preserve"> </w:t>
      </w:r>
      <w:r w:rsidR="0036266F">
        <w:rPr>
          <w:lang w:eastAsia="en-AU"/>
        </w:rPr>
        <w:t>results only, for</w:t>
      </w:r>
      <w:r w:rsidR="0036266F" w:rsidRPr="00B82F7C">
        <w:rPr>
          <w:lang w:eastAsia="en-AU"/>
        </w:rPr>
        <w:t xml:space="preserve"> </w:t>
      </w:r>
      <w:r w:rsidR="0036266F">
        <w:rPr>
          <w:lang w:eastAsia="en-AU"/>
        </w:rPr>
        <w:t xml:space="preserve">example </w:t>
      </w:r>
      <w:r w:rsidR="0036266F" w:rsidRPr="00B82F7C">
        <w:rPr>
          <w:lang w:eastAsia="en-AU"/>
        </w:rPr>
        <w:t xml:space="preserve">crustaceans and </w:t>
      </w:r>
      <w:r w:rsidR="0036266F" w:rsidRPr="00B82F7C">
        <w:rPr>
          <w:lang w:eastAsia="en-AU"/>
        </w:rPr>
        <w:lastRenderedPageBreak/>
        <w:t>freshwater fish</w:t>
      </w:r>
      <w:r w:rsidR="00B82F7C" w:rsidRPr="00B82F7C">
        <w:rPr>
          <w:lang w:eastAsia="en-AU"/>
        </w:rPr>
        <w:t>.</w:t>
      </w:r>
      <w:r>
        <w:rPr>
          <w:lang w:eastAsia="en-AU"/>
        </w:rPr>
        <w:t xml:space="preserve"> </w:t>
      </w:r>
      <w:r w:rsidR="00233A6B">
        <w:rPr>
          <w:lang w:eastAsia="en-AU"/>
        </w:rPr>
        <w:t xml:space="preserve">Consequently, the calculated exposure was higher. </w:t>
      </w:r>
      <w:r w:rsidR="00212BEF">
        <w:rPr>
          <w:lang w:eastAsia="en-AU"/>
        </w:rPr>
        <w:t>For other food groups</w:t>
      </w:r>
      <w:r w:rsidR="00626397">
        <w:rPr>
          <w:lang w:eastAsia="en-AU"/>
        </w:rPr>
        <w:t>,</w:t>
      </w:r>
      <w:r w:rsidR="00DC64F7">
        <w:rPr>
          <w:lang w:eastAsia="en-AU"/>
        </w:rPr>
        <w:t xml:space="preserve"> </w:t>
      </w:r>
      <w:r w:rsidR="00626397">
        <w:rPr>
          <w:lang w:eastAsia="en-AU"/>
        </w:rPr>
        <w:t xml:space="preserve">for example marine fish and molluscs, </w:t>
      </w:r>
      <w:r w:rsidR="00DC64F7">
        <w:rPr>
          <w:lang w:eastAsia="en-AU"/>
        </w:rPr>
        <w:t xml:space="preserve">mean and median PFOS + </w:t>
      </w:r>
      <w:proofErr w:type="spellStart"/>
      <w:r w:rsidR="00DC64F7">
        <w:rPr>
          <w:lang w:eastAsia="en-AU"/>
        </w:rPr>
        <w:t>PFHxS</w:t>
      </w:r>
      <w:proofErr w:type="spellEnd"/>
      <w:r w:rsidR="00DC64F7">
        <w:rPr>
          <w:lang w:eastAsia="en-AU"/>
        </w:rPr>
        <w:t xml:space="preserve"> results were </w:t>
      </w:r>
      <w:r w:rsidR="002D493E">
        <w:rPr>
          <w:lang w:eastAsia="en-AU"/>
        </w:rPr>
        <w:t xml:space="preserve">only </w:t>
      </w:r>
      <w:r w:rsidR="00DC64F7">
        <w:rPr>
          <w:lang w:eastAsia="en-AU"/>
        </w:rPr>
        <w:t>slightly higher or lower</w:t>
      </w:r>
      <w:r w:rsidR="00A465E3">
        <w:rPr>
          <w:lang w:eastAsia="en-AU"/>
        </w:rPr>
        <w:t xml:space="preserve"> </w:t>
      </w:r>
      <w:r w:rsidR="00DC64F7">
        <w:rPr>
          <w:lang w:eastAsia="en-AU"/>
        </w:rPr>
        <w:t>compared with PFO</w:t>
      </w:r>
      <w:r w:rsidR="00212BEF">
        <w:rPr>
          <w:lang w:eastAsia="en-AU"/>
        </w:rPr>
        <w:t>S results only</w:t>
      </w:r>
      <w:r w:rsidR="00DC64F7">
        <w:rPr>
          <w:lang w:eastAsia="en-AU"/>
        </w:rPr>
        <w:t xml:space="preserve"> and the exposure calculations were </w:t>
      </w:r>
      <w:r w:rsidR="002D493E">
        <w:rPr>
          <w:lang w:eastAsia="en-AU"/>
        </w:rPr>
        <w:t xml:space="preserve">minimally </w:t>
      </w:r>
      <w:r w:rsidR="00DC64F7">
        <w:rPr>
          <w:lang w:eastAsia="en-AU"/>
        </w:rPr>
        <w:t>affected</w:t>
      </w:r>
      <w:r w:rsidR="00233A6B">
        <w:rPr>
          <w:lang w:eastAsia="en-AU"/>
        </w:rPr>
        <w:t>.</w:t>
      </w:r>
    </w:p>
    <w:p w14:paraId="2A960BF5" w14:textId="3D498608" w:rsidR="0092155A" w:rsidRDefault="0092155A" w:rsidP="00A75BE9">
      <w:pPr>
        <w:pStyle w:val="Heading3"/>
      </w:pPr>
      <w:bookmarkStart w:id="72" w:name="_Toc474153259"/>
      <w:bookmarkStart w:id="73" w:name="_Toc474158939"/>
      <w:bookmarkStart w:id="74" w:name="_Toc474847900"/>
      <w:bookmarkStart w:id="75" w:name="_Toc475360606"/>
      <w:r>
        <w:t>Consumption data</w:t>
      </w:r>
      <w:r w:rsidR="00685A8C">
        <w:t xml:space="preserve"> for Australia</w:t>
      </w:r>
      <w:bookmarkEnd w:id="72"/>
      <w:bookmarkEnd w:id="73"/>
      <w:bookmarkEnd w:id="74"/>
      <w:bookmarkEnd w:id="75"/>
    </w:p>
    <w:p w14:paraId="5C0DDEC8" w14:textId="1217159F" w:rsidR="00DE4473" w:rsidRDefault="00A251D6" w:rsidP="00AF49E7">
      <w:r>
        <w:t xml:space="preserve">Food consumption data </w:t>
      </w:r>
      <w:r w:rsidR="003D5706">
        <w:t>were</w:t>
      </w:r>
      <w:r w:rsidR="00EB3547" w:rsidRPr="00EB3547">
        <w:t xml:space="preserve"> derived </w:t>
      </w:r>
      <w:r w:rsidR="002D3E5E">
        <w:t>f</w:t>
      </w:r>
      <w:r w:rsidR="00845119">
        <w:t xml:space="preserve">or the Australian population </w:t>
      </w:r>
      <w:r w:rsidR="00EB3547" w:rsidRPr="00EB3547">
        <w:t xml:space="preserve">from the 2011-12 National Nutrition and Physical Activity Survey (NNPAS) </w:t>
      </w:r>
      <w:r w:rsidR="002A0DED">
        <w:t xml:space="preserve">component of the 2011-13 Australian Health Survey, </w:t>
      </w:r>
      <w:r w:rsidR="00EB3547" w:rsidRPr="00EB3547">
        <w:t xml:space="preserve">which surveyed 12,153 respondents aged </w:t>
      </w:r>
      <w:r w:rsidR="006A39FE">
        <w:t>two</w:t>
      </w:r>
      <w:r w:rsidR="00EB3547" w:rsidRPr="00EB3547">
        <w:t xml:space="preserve"> years and above. </w:t>
      </w:r>
      <w:r>
        <w:t xml:space="preserve">Approximately two thirds of the survey respondents </w:t>
      </w:r>
      <w:r w:rsidR="0038596E">
        <w:t>(64%</w:t>
      </w:r>
      <w:r>
        <w:t xml:space="preserve"> or 7735</w:t>
      </w:r>
      <w:r w:rsidR="0038596E">
        <w:t xml:space="preserve"> </w:t>
      </w:r>
      <w:r w:rsidR="006834C9">
        <w:t>individuals</w:t>
      </w:r>
      <w:r>
        <w:t>)</w:t>
      </w:r>
      <w:r w:rsidR="006834C9">
        <w:t xml:space="preserve"> were surveyed for </w:t>
      </w:r>
      <w:r w:rsidR="007665A9">
        <w:t>two</w:t>
      </w:r>
      <w:r w:rsidR="006834C9">
        <w:t xml:space="preserve"> non-consecutive days making it possible to derive </w:t>
      </w:r>
      <w:r w:rsidR="000077B5">
        <w:t xml:space="preserve">two day </w:t>
      </w:r>
      <w:r w:rsidR="006834C9">
        <w:t xml:space="preserve">average </w:t>
      </w:r>
      <w:r w:rsidR="00845119">
        <w:t xml:space="preserve">food </w:t>
      </w:r>
      <w:r w:rsidR="006834C9">
        <w:t>consumption amounts</w:t>
      </w:r>
      <w:r w:rsidR="000077B5">
        <w:t xml:space="preserve"> for this sub</w:t>
      </w:r>
      <w:r w:rsidR="003D5706">
        <w:t>-</w:t>
      </w:r>
      <w:r w:rsidR="000077B5">
        <w:t xml:space="preserve">set of the </w:t>
      </w:r>
      <w:r w:rsidR="002C170B">
        <w:t>population</w:t>
      </w:r>
      <w:r w:rsidR="0038596E" w:rsidRPr="0038596E">
        <w:t xml:space="preserve"> (applying a different set of sample weights to make this survey sub-sample representative of the population). </w:t>
      </w:r>
    </w:p>
    <w:p w14:paraId="7C8CDD38" w14:textId="160DF9C3" w:rsidR="00DE4473" w:rsidRDefault="00706D43" w:rsidP="00AF49E7">
      <w:r w:rsidRPr="00EB3547">
        <w:t xml:space="preserve">Consumption amounts were </w:t>
      </w:r>
      <w:r>
        <w:t xml:space="preserve">derived </w:t>
      </w:r>
      <w:r w:rsidRPr="00EB3547">
        <w:t xml:space="preserve">for </w:t>
      </w:r>
      <w:r w:rsidR="00A251D6">
        <w:t xml:space="preserve">mean and high </w:t>
      </w:r>
      <w:r w:rsidRPr="00EB3547">
        <w:t>con</w:t>
      </w:r>
      <w:r>
        <w:t xml:space="preserve">sumers who had reported consuming the food likely to contain PFOS, PFOA and/or </w:t>
      </w:r>
      <w:proofErr w:type="spellStart"/>
      <w:r>
        <w:t>PFHxS</w:t>
      </w:r>
      <w:proofErr w:type="spellEnd"/>
      <w:r>
        <w:t xml:space="preserve"> on at least one of the two day</w:t>
      </w:r>
      <w:r w:rsidR="002A0DED">
        <w:t>s</w:t>
      </w:r>
      <w:r>
        <w:t>.</w:t>
      </w:r>
      <w:r w:rsidR="002A0DED">
        <w:t xml:space="preserve"> </w:t>
      </w:r>
      <w:r w:rsidR="0038596E" w:rsidRPr="0038596E">
        <w:t xml:space="preserve">The </w:t>
      </w:r>
      <w:r w:rsidR="00A75BE9" w:rsidRPr="0038596E">
        <w:t>two-day</w:t>
      </w:r>
      <w:r w:rsidR="0038596E" w:rsidRPr="0038596E">
        <w:t xml:space="preserve"> average reflects longer term </w:t>
      </w:r>
      <w:r w:rsidR="00845119">
        <w:t>food consumption patterns</w:t>
      </w:r>
      <w:r w:rsidR="0038596E" w:rsidRPr="0038596E">
        <w:t xml:space="preserve"> and therefore </w:t>
      </w:r>
      <w:r w:rsidR="00845119">
        <w:t>prov</w:t>
      </w:r>
      <w:r>
        <w:t>i</w:t>
      </w:r>
      <w:r w:rsidR="00845119">
        <w:t xml:space="preserve">des </w:t>
      </w:r>
      <w:r w:rsidR="0038596E" w:rsidRPr="0038596E">
        <w:t xml:space="preserve">a better estimate </w:t>
      </w:r>
      <w:r w:rsidR="00845119">
        <w:t xml:space="preserve">for </w:t>
      </w:r>
      <w:r>
        <w:t xml:space="preserve">use </w:t>
      </w:r>
      <w:r w:rsidR="00A251D6">
        <w:t>in calculations when the health based guidance value relates to chronic or long term exposures</w:t>
      </w:r>
      <w:r w:rsidR="00DD40AB">
        <w:t>.</w:t>
      </w:r>
    </w:p>
    <w:p w14:paraId="32A5D711" w14:textId="0291C9E4" w:rsidR="00EB3547" w:rsidRPr="00EB3547" w:rsidRDefault="00DD40AB" w:rsidP="00AF49E7">
      <w:pPr>
        <w:rPr>
          <w:lang w:eastAsia="en-AU"/>
        </w:rPr>
      </w:pPr>
      <w:r>
        <w:t xml:space="preserve">Details of the consumption values used as an input into the </w:t>
      </w:r>
      <w:r w:rsidR="00DE4473">
        <w:t>exposure</w:t>
      </w:r>
      <w:r>
        <w:t xml:space="preserve"> calculations are </w:t>
      </w:r>
      <w:r w:rsidR="00DE4473">
        <w:t xml:space="preserve">set out in </w:t>
      </w:r>
      <w:r w:rsidR="00DE4473" w:rsidRPr="008110E9">
        <w:rPr>
          <w:rStyle w:val="CrossReferenceChar"/>
        </w:rPr>
        <w:fldChar w:fldCharType="begin"/>
      </w:r>
      <w:r w:rsidR="00DE4473" w:rsidRPr="008110E9">
        <w:rPr>
          <w:rStyle w:val="CrossReferenceChar"/>
        </w:rPr>
        <w:instrText xml:space="preserve"> REF _Ref473786920 \h </w:instrText>
      </w:r>
      <w:r w:rsidR="00DE4473" w:rsidRPr="008110E9">
        <w:rPr>
          <w:rStyle w:val="CrossReferenceChar"/>
        </w:rPr>
      </w:r>
      <w:r w:rsidR="00DE4473" w:rsidRPr="008110E9">
        <w:rPr>
          <w:rStyle w:val="CrossReferenceChar"/>
        </w:rPr>
        <w:fldChar w:fldCharType="separate"/>
      </w:r>
      <w:r w:rsidR="00D5249B">
        <w:t>A</w:t>
      </w:r>
      <w:r w:rsidR="00D5249B" w:rsidRPr="005F1AA1">
        <w:t xml:space="preserve">ppendix </w:t>
      </w:r>
      <w:r w:rsidR="00D5249B">
        <w:t xml:space="preserve">2: Food consumption from the 2011-12 </w:t>
      </w:r>
      <w:r w:rsidR="00DE4473" w:rsidRPr="008110E9">
        <w:rPr>
          <w:rStyle w:val="CrossReferenceChar"/>
        </w:rPr>
        <w:fldChar w:fldCharType="end"/>
      </w:r>
      <w:r w:rsidR="00A465E3">
        <w:rPr>
          <w:rStyle w:val="CrossReferenceChar"/>
        </w:rPr>
        <w:t>NNPAS</w:t>
      </w:r>
      <w:r w:rsidR="00DE4473">
        <w:t>.</w:t>
      </w:r>
    </w:p>
    <w:p w14:paraId="3017A41C" w14:textId="1CDD748A" w:rsidR="0092155A" w:rsidRDefault="0092155A" w:rsidP="00A75BE9">
      <w:pPr>
        <w:pStyle w:val="Heading3"/>
      </w:pPr>
      <w:bookmarkStart w:id="76" w:name="_Toc474153260"/>
      <w:bookmarkStart w:id="77" w:name="_Toc474158940"/>
      <w:bookmarkStart w:id="78" w:name="_Toc474847901"/>
      <w:bookmarkStart w:id="79" w:name="_Toc475360607"/>
      <w:r>
        <w:t>Health Based Guidance Values</w:t>
      </w:r>
      <w:bookmarkEnd w:id="76"/>
      <w:bookmarkEnd w:id="77"/>
      <w:bookmarkEnd w:id="78"/>
      <w:bookmarkEnd w:id="79"/>
    </w:p>
    <w:p w14:paraId="213F3433" w14:textId="012C39A8" w:rsidR="00134920" w:rsidRDefault="003C70A0" w:rsidP="00E00555">
      <w:pPr>
        <w:pStyle w:val="FootnoteText"/>
        <w:rPr>
          <w:sz w:val="22"/>
        </w:rPr>
      </w:pPr>
      <w:r>
        <w:rPr>
          <w:sz w:val="22"/>
          <w:szCs w:val="22"/>
        </w:rPr>
        <w:t xml:space="preserve">A </w:t>
      </w:r>
      <w:r w:rsidR="00134920" w:rsidRPr="00134920">
        <w:rPr>
          <w:sz w:val="22"/>
          <w:szCs w:val="22"/>
        </w:rPr>
        <w:t>TDI is</w:t>
      </w:r>
      <w:r w:rsidR="00134920" w:rsidRPr="00FE28F8">
        <w:rPr>
          <w:sz w:val="22"/>
          <w:szCs w:val="22"/>
        </w:rPr>
        <w:t xml:space="preserve"> an estimate of the amount of a che</w:t>
      </w:r>
      <w:r w:rsidR="0060063F">
        <w:rPr>
          <w:sz w:val="22"/>
          <w:szCs w:val="22"/>
        </w:rPr>
        <w:t>mical in food or drinking water</w:t>
      </w:r>
      <w:r w:rsidR="00134920" w:rsidRPr="00FE28F8">
        <w:rPr>
          <w:sz w:val="22"/>
          <w:szCs w:val="22"/>
        </w:rPr>
        <w:t xml:space="preserve"> expressed on a body weight basis</w:t>
      </w:r>
      <w:r w:rsidR="007665A9">
        <w:rPr>
          <w:sz w:val="22"/>
          <w:szCs w:val="22"/>
        </w:rPr>
        <w:t xml:space="preserve"> </w:t>
      </w:r>
      <w:r w:rsidR="00134920" w:rsidRPr="00FE28F8">
        <w:rPr>
          <w:sz w:val="22"/>
          <w:szCs w:val="22"/>
        </w:rPr>
        <w:t>that can be ingested daily over a lifetime without appreciable health risk to the consumer (FAO/WHO, 2009).</w:t>
      </w:r>
    </w:p>
    <w:p w14:paraId="1B6C27DF" w14:textId="4086B2DA" w:rsidR="00E00555" w:rsidRPr="00FE28F8" w:rsidRDefault="00F2153B" w:rsidP="00E00555">
      <w:pPr>
        <w:pStyle w:val="FootnoteText"/>
        <w:rPr>
          <w:sz w:val="22"/>
          <w:szCs w:val="22"/>
          <w:lang w:val="en-AU"/>
        </w:rPr>
      </w:pPr>
      <w:r w:rsidRPr="00FE28F8">
        <w:rPr>
          <w:sz w:val="22"/>
        </w:rPr>
        <w:t>FSANZ</w:t>
      </w:r>
      <w:r w:rsidR="00EB3547" w:rsidRPr="00FE28F8">
        <w:rPr>
          <w:sz w:val="22"/>
        </w:rPr>
        <w:t xml:space="preserve"> has established a </w:t>
      </w:r>
      <w:r w:rsidR="00765B52" w:rsidRPr="00FE28F8">
        <w:rPr>
          <w:sz w:val="22"/>
        </w:rPr>
        <w:t>TDI</w:t>
      </w:r>
      <w:r w:rsidR="00EB3547" w:rsidRPr="00FE28F8">
        <w:rPr>
          <w:sz w:val="22"/>
        </w:rPr>
        <w:t xml:space="preserve"> of </w:t>
      </w:r>
      <w:r w:rsidR="00706D43" w:rsidRPr="00FE28F8">
        <w:rPr>
          <w:sz w:val="22"/>
        </w:rPr>
        <w:t xml:space="preserve">20 </w:t>
      </w:r>
      <w:proofErr w:type="spellStart"/>
      <w:r w:rsidR="00706D43" w:rsidRPr="00FE28F8">
        <w:rPr>
          <w:sz w:val="22"/>
        </w:rPr>
        <w:t>ng</w:t>
      </w:r>
      <w:proofErr w:type="spellEnd"/>
      <w:r w:rsidR="00EB3547" w:rsidRPr="00FE28F8">
        <w:rPr>
          <w:sz w:val="22"/>
        </w:rPr>
        <w:t xml:space="preserve">/kg </w:t>
      </w:r>
      <w:proofErr w:type="spellStart"/>
      <w:proofErr w:type="gramStart"/>
      <w:r w:rsidR="00EB3547" w:rsidRPr="00FE28F8">
        <w:rPr>
          <w:sz w:val="22"/>
        </w:rPr>
        <w:t>bw</w:t>
      </w:r>
      <w:proofErr w:type="spellEnd"/>
      <w:proofErr w:type="gramEnd"/>
      <w:r w:rsidR="00EB3547" w:rsidRPr="00FE28F8">
        <w:rPr>
          <w:sz w:val="22"/>
        </w:rPr>
        <w:t xml:space="preserve"> for PFOS</w:t>
      </w:r>
      <w:r w:rsidRPr="00FE28F8">
        <w:rPr>
          <w:sz w:val="22"/>
        </w:rPr>
        <w:t xml:space="preserve"> and a TDI of </w:t>
      </w:r>
      <w:r w:rsidR="00706D43" w:rsidRPr="00FE28F8">
        <w:rPr>
          <w:sz w:val="22"/>
        </w:rPr>
        <w:t>1</w:t>
      </w:r>
      <w:r w:rsidR="002A0DED" w:rsidRPr="00FE28F8">
        <w:rPr>
          <w:sz w:val="22"/>
        </w:rPr>
        <w:t>6</w:t>
      </w:r>
      <w:r w:rsidR="00706D43" w:rsidRPr="00FE28F8">
        <w:rPr>
          <w:sz w:val="22"/>
        </w:rPr>
        <w:t>0</w:t>
      </w:r>
      <w:r w:rsidRPr="00FE28F8">
        <w:rPr>
          <w:sz w:val="22"/>
        </w:rPr>
        <w:t xml:space="preserve"> </w:t>
      </w:r>
      <w:proofErr w:type="spellStart"/>
      <w:r w:rsidR="00706D43" w:rsidRPr="00FE28F8">
        <w:rPr>
          <w:sz w:val="22"/>
        </w:rPr>
        <w:t>n</w:t>
      </w:r>
      <w:r w:rsidRPr="00FE28F8">
        <w:rPr>
          <w:sz w:val="22"/>
        </w:rPr>
        <w:t>g</w:t>
      </w:r>
      <w:proofErr w:type="spellEnd"/>
      <w:r w:rsidRPr="00FE28F8">
        <w:rPr>
          <w:sz w:val="22"/>
        </w:rPr>
        <w:t xml:space="preserve">/kg </w:t>
      </w:r>
      <w:proofErr w:type="spellStart"/>
      <w:r w:rsidRPr="00FE28F8">
        <w:rPr>
          <w:sz w:val="22"/>
        </w:rPr>
        <w:t>bw</w:t>
      </w:r>
      <w:proofErr w:type="spellEnd"/>
      <w:r w:rsidRPr="00FE28F8">
        <w:rPr>
          <w:sz w:val="22"/>
        </w:rPr>
        <w:t xml:space="preserve"> for PFO</w:t>
      </w:r>
      <w:r w:rsidR="002A0DED" w:rsidRPr="00FE28F8">
        <w:rPr>
          <w:sz w:val="22"/>
        </w:rPr>
        <w:t>A</w:t>
      </w:r>
      <w:r w:rsidR="00134920">
        <w:rPr>
          <w:sz w:val="22"/>
        </w:rPr>
        <w:t xml:space="preserve">. </w:t>
      </w:r>
      <w:r w:rsidR="00134920" w:rsidRPr="00134920">
        <w:rPr>
          <w:sz w:val="22"/>
        </w:rPr>
        <w:t xml:space="preserve">There was insufficient toxicological and epidemiological information to justify establishing a TDI for </w:t>
      </w:r>
      <w:proofErr w:type="spellStart"/>
      <w:r w:rsidR="00134920" w:rsidRPr="00134920">
        <w:rPr>
          <w:sz w:val="22"/>
        </w:rPr>
        <w:t>PFHxS</w:t>
      </w:r>
      <w:proofErr w:type="spellEnd"/>
      <w:r w:rsidR="00134920" w:rsidRPr="00134920">
        <w:rPr>
          <w:sz w:val="22"/>
        </w:rPr>
        <w:t xml:space="preserve">. In the absence of a TDI, it </w:t>
      </w:r>
      <w:r w:rsidR="004A03B8">
        <w:rPr>
          <w:sz w:val="22"/>
        </w:rPr>
        <w:t>is reasonable to conclude that</w:t>
      </w:r>
      <w:r w:rsidR="00134920" w:rsidRPr="00134920">
        <w:rPr>
          <w:sz w:val="22"/>
        </w:rPr>
        <w:t xml:space="preserve"> using the TDI for PFOS is likely to be conservative and protective of publi</w:t>
      </w:r>
      <w:r w:rsidR="00134920">
        <w:rPr>
          <w:sz w:val="22"/>
        </w:rPr>
        <w:t xml:space="preserve">c health as an interim measure </w:t>
      </w:r>
      <w:r w:rsidR="00DD40AB" w:rsidRPr="00FE28F8">
        <w:rPr>
          <w:sz w:val="22"/>
        </w:rPr>
        <w:t>(</w:t>
      </w:r>
      <w:r w:rsidR="004D6380">
        <w:rPr>
          <w:sz w:val="22"/>
        </w:rPr>
        <w:t>Table 3,</w:t>
      </w:r>
      <w:r w:rsidR="0060063F">
        <w:rPr>
          <w:sz w:val="22"/>
        </w:rPr>
        <w:t xml:space="preserve"> Supporting Document 1</w:t>
      </w:r>
      <w:hyperlink r:id="rId16" w:history="1"/>
      <w:r w:rsidR="00DD40AB" w:rsidRPr="00FE28F8">
        <w:rPr>
          <w:sz w:val="22"/>
        </w:rPr>
        <w:t>)</w:t>
      </w:r>
      <w:r w:rsidR="00EB3547" w:rsidRPr="00FE28F8">
        <w:rPr>
          <w:sz w:val="22"/>
        </w:rPr>
        <w:t xml:space="preserve">. </w:t>
      </w:r>
    </w:p>
    <w:p w14:paraId="74153905" w14:textId="7CF44DB4" w:rsidR="0092155A" w:rsidRDefault="00134920" w:rsidP="00EB3547">
      <w:r>
        <w:t>No</w:t>
      </w:r>
      <w:r w:rsidR="00720318">
        <w:t xml:space="preserve"> </w:t>
      </w:r>
      <w:r w:rsidR="00EB3547">
        <w:t>acute health based guidance value has been established</w:t>
      </w:r>
      <w:r>
        <w:t>,</w:t>
      </w:r>
      <w:r w:rsidR="00720318">
        <w:t xml:space="preserve"> so</w:t>
      </w:r>
      <w:r w:rsidR="00EB3547">
        <w:t xml:space="preserve"> there is no need for an acute dietary exposure assessment.</w:t>
      </w:r>
    </w:p>
    <w:p w14:paraId="356BEDF1" w14:textId="12CD3C2F" w:rsidR="0092155A" w:rsidRDefault="008A74CB" w:rsidP="008A74CB">
      <w:pPr>
        <w:pStyle w:val="FSTableColumnRowheading"/>
      </w:pPr>
      <w:bookmarkStart w:id="80" w:name="_Ref473723868"/>
      <w:bookmarkStart w:id="81" w:name="_Toc474153713"/>
      <w:bookmarkStart w:id="82" w:name="_Toc474158905"/>
      <w:bookmarkStart w:id="83" w:name="_Toc474847865"/>
      <w:bookmarkStart w:id="84" w:name="_Toc474852105"/>
      <w:r w:rsidRPr="008A74CB">
        <w:t>Health Based Guidance Values</w:t>
      </w:r>
      <w:r w:rsidR="00ED719A">
        <w:t xml:space="preserve"> used in </w:t>
      </w:r>
      <w:r w:rsidR="00A8076B">
        <w:t xml:space="preserve">dietary exposure </w:t>
      </w:r>
      <w:r w:rsidR="00ED719A">
        <w:t>assessment</w:t>
      </w:r>
      <w:bookmarkEnd w:id="80"/>
      <w:bookmarkEnd w:id="81"/>
      <w:bookmarkEnd w:id="82"/>
      <w:bookmarkEnd w:id="83"/>
      <w:bookmarkEnd w:id="84"/>
    </w:p>
    <w:tbl>
      <w:tblPr>
        <w:tblStyle w:val="LightList-Accent1"/>
        <w:tblW w:w="5000" w:type="pct"/>
        <w:tblLook w:val="04A0" w:firstRow="1" w:lastRow="0" w:firstColumn="1" w:lastColumn="0" w:noHBand="0" w:noVBand="1"/>
      </w:tblPr>
      <w:tblGrid>
        <w:gridCol w:w="3757"/>
        <w:gridCol w:w="2966"/>
        <w:gridCol w:w="2563"/>
      </w:tblGrid>
      <w:tr w:rsidR="00134920" w:rsidRPr="003B1DDE" w14:paraId="7D42B301" w14:textId="77777777" w:rsidTr="00C1732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23" w:type="pct"/>
            <w:noWrap/>
          </w:tcPr>
          <w:p w14:paraId="72D42475" w14:textId="59CD8326" w:rsidR="00134920" w:rsidRDefault="00134920" w:rsidP="00ED6A53">
            <w:pPr>
              <w:keepNext/>
              <w:contextualSpacing/>
            </w:pPr>
            <w:r>
              <w:t>Component</w:t>
            </w:r>
          </w:p>
        </w:tc>
        <w:tc>
          <w:tcPr>
            <w:tcW w:w="1597" w:type="pct"/>
            <w:noWrap/>
          </w:tcPr>
          <w:p w14:paraId="4F879C8E" w14:textId="16A80BB8" w:rsidR="00134920" w:rsidRPr="003B1DDE" w:rsidRDefault="00134920" w:rsidP="00ED6A53">
            <w:pPr>
              <w:keepNext/>
              <w:contextualSpacing/>
              <w:cnfStyle w:val="100000000000" w:firstRow="1" w:lastRow="0" w:firstColumn="0" w:lastColumn="0" w:oddVBand="0" w:evenVBand="0" w:oddHBand="0" w:evenHBand="0" w:firstRowFirstColumn="0" w:firstRowLastColumn="0" w:lastRowFirstColumn="0" w:lastRowLastColumn="0"/>
            </w:pPr>
            <w:r>
              <w:t>Population</w:t>
            </w:r>
          </w:p>
        </w:tc>
        <w:tc>
          <w:tcPr>
            <w:tcW w:w="1380" w:type="pct"/>
            <w:noWrap/>
          </w:tcPr>
          <w:p w14:paraId="631D7C9E" w14:textId="3D64C336" w:rsidR="00134920" w:rsidRPr="003B1DDE" w:rsidRDefault="00134920" w:rsidP="00ED6A53">
            <w:pPr>
              <w:keepNext/>
              <w:contextualSpacing/>
              <w:cnfStyle w:val="100000000000" w:firstRow="1" w:lastRow="0" w:firstColumn="0" w:lastColumn="0" w:oddVBand="0" w:evenVBand="0" w:oddHBand="0" w:evenHBand="0" w:firstRowFirstColumn="0" w:firstRowLastColumn="0" w:lastRowFirstColumn="0" w:lastRowLastColumn="0"/>
            </w:pPr>
            <w:proofErr w:type="spellStart"/>
            <w:r>
              <w:t>n</w:t>
            </w:r>
            <w:r w:rsidRPr="00A82F35">
              <w:t>g</w:t>
            </w:r>
            <w:proofErr w:type="spellEnd"/>
            <w:r w:rsidRPr="00A82F35">
              <w:t xml:space="preserve">/kg </w:t>
            </w:r>
            <w:proofErr w:type="spellStart"/>
            <w:r w:rsidRPr="00A82F35">
              <w:t>bw</w:t>
            </w:r>
            <w:proofErr w:type="spellEnd"/>
          </w:p>
        </w:tc>
      </w:tr>
      <w:tr w:rsidR="00134920" w:rsidRPr="003B1DDE" w14:paraId="1482E060" w14:textId="77777777" w:rsidTr="00C173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23" w:type="pct"/>
            <w:noWrap/>
            <w:hideMark/>
          </w:tcPr>
          <w:p w14:paraId="646F9386" w14:textId="753A4B29" w:rsidR="00134920" w:rsidRPr="003B1DDE" w:rsidRDefault="00134920" w:rsidP="00ED6A53">
            <w:pPr>
              <w:keepNext/>
              <w:spacing w:after="0" w:line="240" w:lineRule="auto"/>
              <w:contextualSpacing/>
            </w:pPr>
            <w:r w:rsidRPr="003B1DDE">
              <w:t>PF</w:t>
            </w:r>
            <w:r>
              <w:t>OS</w:t>
            </w:r>
            <w:r w:rsidR="005C4C2C">
              <w:t>*</w:t>
            </w:r>
          </w:p>
        </w:tc>
        <w:tc>
          <w:tcPr>
            <w:tcW w:w="1597" w:type="pct"/>
            <w:noWrap/>
            <w:hideMark/>
          </w:tcPr>
          <w:p w14:paraId="46524A06" w14:textId="160EDDBE" w:rsidR="00134920" w:rsidRPr="003B1DDE" w:rsidRDefault="00134920" w:rsidP="00ED6A53">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pPr>
            <w:r w:rsidRPr="003B1DDE">
              <w:t>All ages</w:t>
            </w:r>
          </w:p>
        </w:tc>
        <w:tc>
          <w:tcPr>
            <w:tcW w:w="1380" w:type="pct"/>
            <w:noWrap/>
          </w:tcPr>
          <w:p w14:paraId="67932F1A" w14:textId="43FEA6A7" w:rsidR="00134920" w:rsidRPr="003B1DDE" w:rsidRDefault="00134920" w:rsidP="00ED6A53">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pPr>
            <w:r>
              <w:t xml:space="preserve">  20</w:t>
            </w:r>
          </w:p>
        </w:tc>
      </w:tr>
      <w:tr w:rsidR="00134920" w:rsidRPr="003B1DDE" w14:paraId="6333C94E" w14:textId="77777777" w:rsidTr="00C17323">
        <w:trPr>
          <w:trHeight w:val="340"/>
        </w:trPr>
        <w:tc>
          <w:tcPr>
            <w:cnfStyle w:val="001000000000" w:firstRow="0" w:lastRow="0" w:firstColumn="1" w:lastColumn="0" w:oddVBand="0" w:evenVBand="0" w:oddHBand="0" w:evenHBand="0" w:firstRowFirstColumn="0" w:firstRowLastColumn="0" w:lastRowFirstColumn="0" w:lastRowLastColumn="0"/>
            <w:tcW w:w="2023" w:type="pct"/>
            <w:noWrap/>
            <w:hideMark/>
          </w:tcPr>
          <w:p w14:paraId="7BE673E0" w14:textId="77777777" w:rsidR="00134920" w:rsidRPr="003B1DDE" w:rsidRDefault="00134920" w:rsidP="00ED6A53">
            <w:pPr>
              <w:keepNext/>
              <w:spacing w:after="0" w:line="240" w:lineRule="auto"/>
              <w:contextualSpacing/>
            </w:pPr>
            <w:r w:rsidRPr="003B1DDE">
              <w:t>PFOA</w:t>
            </w:r>
          </w:p>
        </w:tc>
        <w:tc>
          <w:tcPr>
            <w:tcW w:w="1597" w:type="pct"/>
            <w:noWrap/>
            <w:hideMark/>
          </w:tcPr>
          <w:p w14:paraId="1B3A4539" w14:textId="3A7C7C9F" w:rsidR="00134920" w:rsidRPr="003B1DDE" w:rsidRDefault="00134920" w:rsidP="00ED6A53">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pPr>
            <w:r w:rsidRPr="003B1DDE">
              <w:t>All ages</w:t>
            </w:r>
          </w:p>
        </w:tc>
        <w:tc>
          <w:tcPr>
            <w:tcW w:w="1380" w:type="pct"/>
            <w:noWrap/>
            <w:hideMark/>
          </w:tcPr>
          <w:p w14:paraId="49EB4E9D" w14:textId="0F2F00C7" w:rsidR="00134920" w:rsidRPr="003B1DDE" w:rsidRDefault="00134920" w:rsidP="00ED6A53">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pPr>
            <w:r>
              <w:t>160</w:t>
            </w:r>
          </w:p>
        </w:tc>
      </w:tr>
    </w:tbl>
    <w:p w14:paraId="546FCEB9" w14:textId="4A926D7B" w:rsidR="00C87DE3" w:rsidRPr="005C4C2C" w:rsidRDefault="005C4C2C" w:rsidP="005C4C2C">
      <w:pPr>
        <w:rPr>
          <w:sz w:val="18"/>
          <w:szCs w:val="18"/>
        </w:rPr>
      </w:pPr>
      <w:bookmarkStart w:id="85" w:name="_Toc474153261"/>
      <w:bookmarkStart w:id="86" w:name="_Toc474158941"/>
      <w:bookmarkStart w:id="87" w:name="_Toc474847902"/>
      <w:r w:rsidRPr="005C4C2C">
        <w:rPr>
          <w:sz w:val="18"/>
          <w:szCs w:val="18"/>
        </w:rPr>
        <w:t>*</w:t>
      </w:r>
      <w:r>
        <w:rPr>
          <w:sz w:val="18"/>
          <w:szCs w:val="18"/>
        </w:rPr>
        <w:t xml:space="preserve">applied to PFOS + </w:t>
      </w:r>
      <w:proofErr w:type="spellStart"/>
      <w:r>
        <w:rPr>
          <w:sz w:val="18"/>
          <w:szCs w:val="18"/>
        </w:rPr>
        <w:t>PFH</w:t>
      </w:r>
      <w:r w:rsidRPr="005C4C2C">
        <w:rPr>
          <w:sz w:val="18"/>
          <w:szCs w:val="18"/>
        </w:rPr>
        <w:t>xS</w:t>
      </w:r>
      <w:proofErr w:type="spellEnd"/>
      <w:r w:rsidRPr="005C4C2C">
        <w:rPr>
          <w:sz w:val="18"/>
          <w:szCs w:val="18"/>
        </w:rPr>
        <w:t xml:space="preserve"> combined dietary exposure calculations </w:t>
      </w:r>
    </w:p>
    <w:p w14:paraId="311EC096" w14:textId="5E4B6AD3" w:rsidR="00687651" w:rsidRPr="00316F2C" w:rsidRDefault="00F00F72" w:rsidP="00A75BE9">
      <w:pPr>
        <w:pStyle w:val="Heading3"/>
      </w:pPr>
      <w:bookmarkStart w:id="88" w:name="_Toc475360608"/>
      <w:r>
        <w:t>Calculating</w:t>
      </w:r>
      <w:r w:rsidR="00DE4473">
        <w:t xml:space="preserve"> the a</w:t>
      </w:r>
      <w:r w:rsidR="00687651" w:rsidRPr="00316F2C">
        <w:t xml:space="preserve">mount of individual foods or food groups that could be consumed </w:t>
      </w:r>
      <w:r>
        <w:t xml:space="preserve">before reaching the TDI </w:t>
      </w:r>
      <w:r w:rsidR="00687651" w:rsidRPr="00316F2C">
        <w:t>at the reported concentration levels</w:t>
      </w:r>
      <w:bookmarkEnd w:id="85"/>
      <w:bookmarkEnd w:id="86"/>
      <w:bookmarkEnd w:id="87"/>
      <w:bookmarkEnd w:id="88"/>
    </w:p>
    <w:p w14:paraId="0B6D485F" w14:textId="7205B356" w:rsidR="00906BCE" w:rsidRDefault="00906BCE" w:rsidP="00906BCE">
      <w:pPr>
        <w:rPr>
          <w:rFonts w:cs="Arial"/>
        </w:rPr>
      </w:pPr>
      <w:r w:rsidRPr="003B3047">
        <w:rPr>
          <w:rFonts w:cs="Arial"/>
        </w:rPr>
        <w:t xml:space="preserve">For chronic dietary exposure estimates, results are generally reported for the whole population, that is the mean dietary exposure is derived from data for all survey respondents (eaters and non-eaters of </w:t>
      </w:r>
      <w:r w:rsidR="00B832C2">
        <w:rPr>
          <w:rFonts w:cs="Arial"/>
        </w:rPr>
        <w:t xml:space="preserve">all of </w:t>
      </w:r>
      <w:r w:rsidRPr="003B3047">
        <w:rPr>
          <w:rFonts w:cs="Arial"/>
        </w:rPr>
        <w:t xml:space="preserve">the foods of interest), assuming </w:t>
      </w:r>
      <w:r>
        <w:rPr>
          <w:rFonts w:cs="Arial"/>
        </w:rPr>
        <w:t>median</w:t>
      </w:r>
      <w:r w:rsidRPr="003B3047">
        <w:rPr>
          <w:rFonts w:cs="Arial"/>
        </w:rPr>
        <w:t xml:space="preserve"> contamination levels.  </w:t>
      </w:r>
    </w:p>
    <w:p w14:paraId="6D25C25F" w14:textId="2B9E105C" w:rsidR="00DE4473" w:rsidRDefault="00687651" w:rsidP="00243C8F">
      <w:r>
        <w:t>O</w:t>
      </w:r>
      <w:r w:rsidRPr="00A22B70">
        <w:t>ccurrence data submitted to F</w:t>
      </w:r>
      <w:r>
        <w:t>S</w:t>
      </w:r>
      <w:r w:rsidRPr="00A22B70">
        <w:t>ANZ in response to a call for data</w:t>
      </w:r>
      <w:r>
        <w:t xml:space="preserve"> </w:t>
      </w:r>
      <w:r w:rsidR="000E2A50">
        <w:t xml:space="preserve">for PFOS, PFOA or </w:t>
      </w:r>
      <w:proofErr w:type="spellStart"/>
      <w:r w:rsidR="000E2A50">
        <w:t>PFHxS</w:t>
      </w:r>
      <w:proofErr w:type="spellEnd"/>
      <w:r w:rsidR="000E2A50">
        <w:t xml:space="preserve"> in the food supply </w:t>
      </w:r>
      <w:r>
        <w:t>w</w:t>
      </w:r>
      <w:r w:rsidR="00E6711E">
        <w:t>ere</w:t>
      </w:r>
      <w:r>
        <w:t xml:space="preserve"> used for the first</w:t>
      </w:r>
      <w:r w:rsidR="00564030">
        <w:t xml:space="preserve"> set of </w:t>
      </w:r>
      <w:r>
        <w:t xml:space="preserve">calculations. </w:t>
      </w:r>
      <w:r w:rsidR="00DC64F7">
        <w:t>As there was a large number of non-detects in the concentration data sets, the lower bound, mid</w:t>
      </w:r>
      <w:r w:rsidR="00A465E3">
        <w:t>dle</w:t>
      </w:r>
      <w:r w:rsidR="00DC64F7" w:rsidRPr="00141F58">
        <w:t xml:space="preserve"> bound and </w:t>
      </w:r>
      <w:r w:rsidR="00DC64F7">
        <w:lastRenderedPageBreak/>
        <w:t>u</w:t>
      </w:r>
      <w:r w:rsidR="00DC64F7" w:rsidRPr="00141F58">
        <w:t>pper bound</w:t>
      </w:r>
      <w:r w:rsidR="00DC64F7">
        <w:t xml:space="preserve"> </w:t>
      </w:r>
      <w:r w:rsidR="00DC64F7" w:rsidRPr="00141F58">
        <w:t>median</w:t>
      </w:r>
      <w:r w:rsidR="00DC64F7">
        <w:t xml:space="preserve"> concentration values were derived from submitted data on food sourced in proximity to contaminated sites  (refer to </w:t>
      </w:r>
      <w:r w:rsidR="00DC64F7" w:rsidRPr="00217906">
        <w:rPr>
          <w:rStyle w:val="CrossReferenceChar"/>
        </w:rPr>
        <w:fldChar w:fldCharType="begin"/>
      </w:r>
      <w:r w:rsidR="00DC64F7" w:rsidRPr="00217906">
        <w:rPr>
          <w:rStyle w:val="CrossReferenceChar"/>
        </w:rPr>
        <w:instrText xml:space="preserve"> REF _Ref474317985 \r \h </w:instrText>
      </w:r>
      <w:r w:rsidR="00DC64F7">
        <w:rPr>
          <w:rStyle w:val="CrossReferenceChar"/>
        </w:rPr>
        <w:instrText xml:space="preserve"> \* MERGEFORMAT </w:instrText>
      </w:r>
      <w:r w:rsidR="00DC64F7" w:rsidRPr="00217906">
        <w:rPr>
          <w:rStyle w:val="CrossReferenceChar"/>
        </w:rPr>
      </w:r>
      <w:r w:rsidR="00DC64F7" w:rsidRPr="00217906">
        <w:rPr>
          <w:rStyle w:val="CrossReferenceChar"/>
        </w:rPr>
        <w:fldChar w:fldCharType="separate"/>
      </w:r>
      <w:r w:rsidR="00D5249B">
        <w:rPr>
          <w:rStyle w:val="CrossReferenceChar"/>
        </w:rPr>
        <w:t>Table 4</w:t>
      </w:r>
      <w:r w:rsidR="00DC64F7" w:rsidRPr="00217906">
        <w:rPr>
          <w:rStyle w:val="CrossReferenceChar"/>
        </w:rPr>
        <w:fldChar w:fldCharType="end"/>
      </w:r>
      <w:r w:rsidR="00DC64F7">
        <w:t xml:space="preserve"> for definitions). </w:t>
      </w:r>
    </w:p>
    <w:p w14:paraId="469C424F" w14:textId="28A2CFE2" w:rsidR="00243C8F" w:rsidRDefault="00B35540" w:rsidP="00243C8F">
      <w:pPr>
        <w:rPr>
          <w:rFonts w:cs="Arial"/>
        </w:rPr>
      </w:pPr>
      <w:r>
        <w:t xml:space="preserve">As the TDI for </w:t>
      </w:r>
      <w:r w:rsidRPr="00A22B70">
        <w:t>PFOS</w:t>
      </w:r>
      <w:r>
        <w:t xml:space="preserve"> also applies to </w:t>
      </w:r>
      <w:proofErr w:type="spellStart"/>
      <w:r w:rsidRPr="00A22B70">
        <w:t>PFHxS</w:t>
      </w:r>
      <w:proofErr w:type="spellEnd"/>
      <w:r>
        <w:t>, concentration values were summed for these compounds for each food as well as undertaking the calculations for PFOS and PFOA alone (</w:t>
      </w:r>
      <w:r w:rsidR="005C2068">
        <w:t>refer to</w:t>
      </w:r>
      <w:r w:rsidR="00E03209">
        <w:t xml:space="preserve"> Supporting Document 1)</w:t>
      </w:r>
      <w:r>
        <w:t xml:space="preserve">. </w:t>
      </w:r>
      <w:r w:rsidR="00243C8F" w:rsidRPr="003B3047">
        <w:rPr>
          <w:rFonts w:cs="Arial"/>
        </w:rPr>
        <w:t>The use of the median concentration level reflects the fact that there will always be a distribution of the contaminant in the foods eate</w:t>
      </w:r>
      <w:r w:rsidR="001C4D62">
        <w:rPr>
          <w:rFonts w:cs="Arial"/>
        </w:rPr>
        <w:t>n over time or even in one meal, e.g.</w:t>
      </w:r>
      <w:r w:rsidR="00243C8F" w:rsidRPr="003B3047">
        <w:rPr>
          <w:rFonts w:cs="Arial"/>
        </w:rPr>
        <w:t xml:space="preserve"> in a plate of a dozen oysters (~150 g)</w:t>
      </w:r>
      <w:r w:rsidR="001C4D62">
        <w:rPr>
          <w:rFonts w:cs="Arial"/>
        </w:rPr>
        <w:t>. It is</w:t>
      </w:r>
      <w:r w:rsidR="00243C8F" w:rsidRPr="003B3047">
        <w:rPr>
          <w:rFonts w:cs="Arial"/>
        </w:rPr>
        <w:t xml:space="preserve"> unrealistic to expect each food item consumed to be contaminated at the highest reported level on every eating occasion. </w:t>
      </w:r>
    </w:p>
    <w:p w14:paraId="096636D5" w14:textId="304F3274" w:rsidR="00B35540" w:rsidRPr="00A91018" w:rsidRDefault="00B35540" w:rsidP="00D04B6F">
      <w:pPr>
        <w:pStyle w:val="FSTableColumnRowheading"/>
      </w:pPr>
      <w:bookmarkStart w:id="89" w:name="_Ref473723946"/>
      <w:bookmarkStart w:id="90" w:name="_Toc474153714"/>
      <w:bookmarkStart w:id="91" w:name="_Toc474158906"/>
      <w:bookmarkStart w:id="92" w:name="_Ref474317985"/>
      <w:bookmarkStart w:id="93" w:name="_Toc474847866"/>
      <w:bookmarkStart w:id="94" w:name="_Toc474852106"/>
      <w:bookmarkStart w:id="95" w:name="_Ref464198039"/>
      <w:r>
        <w:t xml:space="preserve">Concentrations of PFOS, PFOA and </w:t>
      </w:r>
      <w:proofErr w:type="spellStart"/>
      <w:r>
        <w:t>PFHxS</w:t>
      </w:r>
      <w:proofErr w:type="spellEnd"/>
      <w:r>
        <w:t xml:space="preserve"> used in calculations</w:t>
      </w:r>
      <w:bookmarkEnd w:id="89"/>
      <w:bookmarkEnd w:id="90"/>
      <w:bookmarkEnd w:id="91"/>
      <w:bookmarkEnd w:id="92"/>
      <w:bookmarkEnd w:id="93"/>
      <w:bookmarkEnd w:id="94"/>
    </w:p>
    <w:tbl>
      <w:tblPr>
        <w:tblStyle w:val="LightList-Accent11"/>
        <w:tblW w:w="0" w:type="auto"/>
        <w:tblLayout w:type="fixed"/>
        <w:tblLook w:val="04A0" w:firstRow="1" w:lastRow="0" w:firstColumn="1" w:lastColumn="0" w:noHBand="0" w:noVBand="1"/>
      </w:tblPr>
      <w:tblGrid>
        <w:gridCol w:w="1951"/>
        <w:gridCol w:w="2126"/>
        <w:gridCol w:w="1843"/>
        <w:gridCol w:w="3366"/>
      </w:tblGrid>
      <w:tr w:rsidR="00B35540" w:rsidRPr="00FF61B2" w14:paraId="2E26BC86" w14:textId="77777777" w:rsidTr="00DD4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bookmarkEnd w:id="95"/>
          <w:p w14:paraId="3152331D" w14:textId="77777777" w:rsidR="00B35540" w:rsidRPr="00A465E3" w:rsidRDefault="00B35540" w:rsidP="00D04B6F">
            <w:pPr>
              <w:keepNext/>
              <w:contextualSpacing/>
              <w:rPr>
                <w:sz w:val="20"/>
                <w:szCs w:val="20"/>
              </w:rPr>
            </w:pPr>
            <w:r w:rsidRPr="00A465E3">
              <w:rPr>
                <w:sz w:val="20"/>
                <w:szCs w:val="20"/>
              </w:rPr>
              <w:t>Concentration level</w:t>
            </w:r>
          </w:p>
        </w:tc>
        <w:tc>
          <w:tcPr>
            <w:tcW w:w="2126" w:type="dxa"/>
          </w:tcPr>
          <w:p w14:paraId="397FC00B" w14:textId="77777777" w:rsidR="00B35540" w:rsidRPr="00FF61B2" w:rsidRDefault="00B35540" w:rsidP="00D04B6F">
            <w:pPr>
              <w:keepNext/>
              <w:contextualSpacing/>
              <w:cnfStyle w:val="100000000000" w:firstRow="1" w:lastRow="0" w:firstColumn="0" w:lastColumn="0" w:oddVBand="0" w:evenVBand="0" w:oddHBand="0" w:evenHBand="0" w:firstRowFirstColumn="0" w:firstRowLastColumn="0" w:lastRowFirstColumn="0" w:lastRowLastColumn="0"/>
              <w:rPr>
                <w:sz w:val="20"/>
                <w:szCs w:val="20"/>
              </w:rPr>
            </w:pPr>
            <w:r w:rsidRPr="00FF61B2">
              <w:rPr>
                <w:sz w:val="20"/>
                <w:szCs w:val="20"/>
              </w:rPr>
              <w:t>Measure of central tendency</w:t>
            </w:r>
          </w:p>
        </w:tc>
        <w:tc>
          <w:tcPr>
            <w:tcW w:w="1843" w:type="dxa"/>
          </w:tcPr>
          <w:p w14:paraId="74F73E09" w14:textId="77777777" w:rsidR="00B35540" w:rsidRPr="00FF61B2" w:rsidRDefault="00B35540" w:rsidP="00D04B6F">
            <w:pPr>
              <w:keepNext/>
              <w:contextualSpacing/>
              <w:cnfStyle w:val="100000000000" w:firstRow="1" w:lastRow="0" w:firstColumn="0" w:lastColumn="0" w:oddVBand="0" w:evenVBand="0" w:oddHBand="0" w:evenHBand="0" w:firstRowFirstColumn="0" w:firstRowLastColumn="0" w:lastRowFirstColumn="0" w:lastRowLastColumn="0"/>
              <w:rPr>
                <w:sz w:val="20"/>
                <w:szCs w:val="20"/>
              </w:rPr>
            </w:pPr>
            <w:r w:rsidRPr="00FF61B2">
              <w:rPr>
                <w:sz w:val="20"/>
                <w:szCs w:val="20"/>
              </w:rPr>
              <w:t>Characteristic</w:t>
            </w:r>
          </w:p>
        </w:tc>
        <w:tc>
          <w:tcPr>
            <w:tcW w:w="3366" w:type="dxa"/>
          </w:tcPr>
          <w:p w14:paraId="4C13C984" w14:textId="77777777" w:rsidR="00B35540" w:rsidRPr="00FF61B2" w:rsidRDefault="00B35540" w:rsidP="00D04B6F">
            <w:pPr>
              <w:keepNext/>
              <w:contextualSpacing/>
              <w:cnfStyle w:val="100000000000" w:firstRow="1" w:lastRow="0" w:firstColumn="0" w:lastColumn="0" w:oddVBand="0" w:evenVBand="0" w:oddHBand="0" w:evenHBand="0" w:firstRowFirstColumn="0" w:firstRowLastColumn="0" w:lastRowFirstColumn="0" w:lastRowLastColumn="0"/>
              <w:rPr>
                <w:sz w:val="20"/>
                <w:szCs w:val="20"/>
              </w:rPr>
            </w:pPr>
            <w:r w:rsidRPr="00FF61B2">
              <w:rPr>
                <w:sz w:val="20"/>
                <w:szCs w:val="20"/>
              </w:rPr>
              <w:t>Description</w:t>
            </w:r>
          </w:p>
        </w:tc>
      </w:tr>
      <w:tr w:rsidR="00B35540" w:rsidRPr="00FF61B2" w14:paraId="66733DCE" w14:textId="77777777" w:rsidTr="00DD4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F1B25EA" w14:textId="31E2C2DA" w:rsidR="00B35540" w:rsidRPr="00FF61B2" w:rsidRDefault="00B35540" w:rsidP="00D04B6F">
            <w:pPr>
              <w:keepNext/>
              <w:spacing w:after="0" w:line="240" w:lineRule="auto"/>
              <w:contextualSpacing/>
              <w:rPr>
                <w:sz w:val="20"/>
                <w:szCs w:val="20"/>
              </w:rPr>
            </w:pPr>
            <w:r w:rsidRPr="00FF61B2">
              <w:rPr>
                <w:sz w:val="20"/>
                <w:szCs w:val="20"/>
              </w:rPr>
              <w:t>Lower Bound</w:t>
            </w:r>
            <w:r w:rsidR="00EC6233">
              <w:rPr>
                <w:sz w:val="20"/>
                <w:szCs w:val="20"/>
              </w:rPr>
              <w:t xml:space="preserve"> (LB)</w:t>
            </w:r>
          </w:p>
        </w:tc>
        <w:tc>
          <w:tcPr>
            <w:tcW w:w="2126" w:type="dxa"/>
          </w:tcPr>
          <w:p w14:paraId="6F8A558D" w14:textId="77777777" w:rsidR="00B35540" w:rsidRPr="00FF61B2" w:rsidRDefault="00B35540" w:rsidP="00D04B6F">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FF61B2">
              <w:rPr>
                <w:sz w:val="20"/>
                <w:szCs w:val="20"/>
              </w:rPr>
              <w:t>Median</w:t>
            </w:r>
          </w:p>
        </w:tc>
        <w:tc>
          <w:tcPr>
            <w:tcW w:w="1843" w:type="dxa"/>
          </w:tcPr>
          <w:p w14:paraId="2900F05E" w14:textId="77777777" w:rsidR="00B35540" w:rsidRPr="00FF61B2" w:rsidRDefault="00B35540" w:rsidP="00D04B6F">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FF61B2">
              <w:rPr>
                <w:sz w:val="20"/>
                <w:szCs w:val="20"/>
              </w:rPr>
              <w:t>Least conservative</w:t>
            </w:r>
          </w:p>
        </w:tc>
        <w:tc>
          <w:tcPr>
            <w:tcW w:w="3366" w:type="dxa"/>
          </w:tcPr>
          <w:p w14:paraId="24122070" w14:textId="77777777" w:rsidR="00B35540" w:rsidRPr="00FF61B2" w:rsidRDefault="00B35540" w:rsidP="00D04B6F">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FF61B2">
              <w:rPr>
                <w:sz w:val="20"/>
                <w:szCs w:val="20"/>
              </w:rPr>
              <w:t>Where a non-detect is reported for a component, the concentration in the food is zero</w:t>
            </w:r>
          </w:p>
        </w:tc>
      </w:tr>
      <w:tr w:rsidR="00B35540" w:rsidRPr="00FF61B2" w14:paraId="08834459" w14:textId="77777777" w:rsidTr="00DD40AB">
        <w:tc>
          <w:tcPr>
            <w:cnfStyle w:val="001000000000" w:firstRow="0" w:lastRow="0" w:firstColumn="1" w:lastColumn="0" w:oddVBand="0" w:evenVBand="0" w:oddHBand="0" w:evenHBand="0" w:firstRowFirstColumn="0" w:firstRowLastColumn="0" w:lastRowFirstColumn="0" w:lastRowLastColumn="0"/>
            <w:tcW w:w="1951" w:type="dxa"/>
          </w:tcPr>
          <w:p w14:paraId="6E16EEDC" w14:textId="7A0A7717" w:rsidR="00B35540" w:rsidRPr="00FF61B2" w:rsidRDefault="00B35540" w:rsidP="00D04B6F">
            <w:pPr>
              <w:keepNext/>
              <w:spacing w:after="0" w:line="240" w:lineRule="auto"/>
              <w:contextualSpacing/>
              <w:rPr>
                <w:sz w:val="20"/>
                <w:szCs w:val="20"/>
              </w:rPr>
            </w:pPr>
            <w:r w:rsidRPr="00FF61B2">
              <w:rPr>
                <w:sz w:val="20"/>
                <w:szCs w:val="20"/>
              </w:rPr>
              <w:t>Mid</w:t>
            </w:r>
            <w:r w:rsidR="00A8076B">
              <w:rPr>
                <w:sz w:val="20"/>
                <w:szCs w:val="20"/>
              </w:rPr>
              <w:t>dle</w:t>
            </w:r>
            <w:r w:rsidRPr="00FF61B2">
              <w:rPr>
                <w:sz w:val="20"/>
                <w:szCs w:val="20"/>
              </w:rPr>
              <w:t xml:space="preserve"> Bound</w:t>
            </w:r>
            <w:r w:rsidR="00EC6233">
              <w:rPr>
                <w:sz w:val="20"/>
                <w:szCs w:val="20"/>
              </w:rPr>
              <w:t xml:space="preserve"> (MB)</w:t>
            </w:r>
          </w:p>
        </w:tc>
        <w:tc>
          <w:tcPr>
            <w:tcW w:w="2126" w:type="dxa"/>
          </w:tcPr>
          <w:p w14:paraId="00D664C3" w14:textId="77777777" w:rsidR="00B35540" w:rsidRPr="00FF61B2" w:rsidRDefault="00B35540" w:rsidP="00D04B6F">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FF61B2">
              <w:rPr>
                <w:sz w:val="20"/>
                <w:szCs w:val="20"/>
              </w:rPr>
              <w:t>Median</w:t>
            </w:r>
          </w:p>
        </w:tc>
        <w:tc>
          <w:tcPr>
            <w:tcW w:w="1843" w:type="dxa"/>
          </w:tcPr>
          <w:p w14:paraId="3BE44377" w14:textId="77777777" w:rsidR="00B35540" w:rsidRPr="00FF61B2" w:rsidRDefault="00B35540" w:rsidP="00D04B6F">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FF61B2">
              <w:rPr>
                <w:sz w:val="20"/>
                <w:szCs w:val="20"/>
              </w:rPr>
              <w:t>Conservative</w:t>
            </w:r>
          </w:p>
        </w:tc>
        <w:tc>
          <w:tcPr>
            <w:tcW w:w="3366" w:type="dxa"/>
          </w:tcPr>
          <w:p w14:paraId="3EFCEFAB" w14:textId="77777777" w:rsidR="00B35540" w:rsidRPr="00FF61B2" w:rsidRDefault="00B35540" w:rsidP="00D04B6F">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FF61B2">
              <w:rPr>
                <w:sz w:val="20"/>
                <w:szCs w:val="20"/>
              </w:rPr>
              <w:t xml:space="preserve">Where a non-detect is reported for a component, the concentration in the food is half the </w:t>
            </w:r>
            <w:r>
              <w:rPr>
                <w:sz w:val="20"/>
                <w:szCs w:val="20"/>
              </w:rPr>
              <w:t>LOD</w:t>
            </w:r>
          </w:p>
        </w:tc>
      </w:tr>
      <w:tr w:rsidR="00B35540" w:rsidRPr="00FF61B2" w14:paraId="6AB2CE81" w14:textId="77777777" w:rsidTr="00DD4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EE1B9EA" w14:textId="2147B6D6" w:rsidR="00B35540" w:rsidRPr="00FF61B2" w:rsidRDefault="00B35540" w:rsidP="00CE36A1">
            <w:pPr>
              <w:keepNext/>
              <w:spacing w:after="100" w:afterAutospacing="1" w:line="240" w:lineRule="auto"/>
              <w:contextualSpacing/>
              <w:rPr>
                <w:sz w:val="20"/>
                <w:szCs w:val="20"/>
              </w:rPr>
            </w:pPr>
            <w:r w:rsidRPr="00FF61B2">
              <w:rPr>
                <w:sz w:val="20"/>
                <w:szCs w:val="20"/>
              </w:rPr>
              <w:t>Upper bound</w:t>
            </w:r>
            <w:r w:rsidR="00EC6233">
              <w:rPr>
                <w:sz w:val="20"/>
                <w:szCs w:val="20"/>
              </w:rPr>
              <w:t xml:space="preserve"> (UB)</w:t>
            </w:r>
          </w:p>
        </w:tc>
        <w:tc>
          <w:tcPr>
            <w:tcW w:w="2126" w:type="dxa"/>
          </w:tcPr>
          <w:p w14:paraId="24A60699" w14:textId="77777777" w:rsidR="00B35540" w:rsidRPr="00FF61B2" w:rsidRDefault="00B35540" w:rsidP="00CE36A1">
            <w:pPr>
              <w:keepNext/>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FF61B2">
              <w:rPr>
                <w:sz w:val="20"/>
                <w:szCs w:val="20"/>
              </w:rPr>
              <w:t>Median</w:t>
            </w:r>
          </w:p>
        </w:tc>
        <w:tc>
          <w:tcPr>
            <w:tcW w:w="1843" w:type="dxa"/>
          </w:tcPr>
          <w:p w14:paraId="1057E517" w14:textId="77777777" w:rsidR="00B35540" w:rsidRPr="00FF61B2" w:rsidRDefault="00B35540" w:rsidP="00CE36A1">
            <w:pPr>
              <w:keepNext/>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FF61B2">
              <w:rPr>
                <w:sz w:val="20"/>
                <w:szCs w:val="20"/>
              </w:rPr>
              <w:t>Highly conservative</w:t>
            </w:r>
          </w:p>
        </w:tc>
        <w:tc>
          <w:tcPr>
            <w:tcW w:w="3366" w:type="dxa"/>
          </w:tcPr>
          <w:p w14:paraId="16FC5E1A" w14:textId="77777777" w:rsidR="00B35540" w:rsidRPr="00FF61B2" w:rsidRDefault="00B35540" w:rsidP="00CE36A1">
            <w:pPr>
              <w:keepNext/>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sz w:val="20"/>
                <w:szCs w:val="20"/>
              </w:rPr>
            </w:pPr>
            <w:r w:rsidRPr="00FF61B2">
              <w:rPr>
                <w:sz w:val="20"/>
                <w:szCs w:val="20"/>
              </w:rPr>
              <w:t xml:space="preserve">Where a non-detect is reported for a component, the concentration in the food is at the </w:t>
            </w:r>
            <w:r>
              <w:rPr>
                <w:sz w:val="20"/>
                <w:szCs w:val="20"/>
              </w:rPr>
              <w:t>LOD</w:t>
            </w:r>
          </w:p>
        </w:tc>
      </w:tr>
    </w:tbl>
    <w:p w14:paraId="543271A7" w14:textId="7DA341AC" w:rsidR="005D3C62" w:rsidRDefault="00DC64F7" w:rsidP="00CE36A1">
      <w:pPr>
        <w:spacing w:before="120"/>
        <w:rPr>
          <w:rFonts w:cs="Arial"/>
        </w:rPr>
      </w:pPr>
      <w:r>
        <w:t xml:space="preserve">The </w:t>
      </w:r>
      <w:r w:rsidR="00014CBC">
        <w:t>lower, middle</w:t>
      </w:r>
      <w:r>
        <w:t xml:space="preserve"> and </w:t>
      </w:r>
      <w:r w:rsidR="00014CBC">
        <w:t>upper</w:t>
      </w:r>
      <w:r>
        <w:t xml:space="preserve"> median concentrations for PFOS</w:t>
      </w:r>
      <w:r w:rsidR="00A465E3">
        <w:t xml:space="preserve"> +</w:t>
      </w:r>
      <w:r w:rsidRPr="00B35540">
        <w:t xml:space="preserve"> </w:t>
      </w:r>
      <w:proofErr w:type="spellStart"/>
      <w:r>
        <w:t>PFHxS</w:t>
      </w:r>
      <w:proofErr w:type="spellEnd"/>
      <w:r>
        <w:t xml:space="preserve"> and PFOA were used for</w:t>
      </w:r>
      <w:r w:rsidRPr="00141F58">
        <w:t xml:space="preserve"> each food</w:t>
      </w:r>
      <w:r>
        <w:t xml:space="preserve"> category to calculate the amount of food that could be consumed at this level of contamination such that th</w:t>
      </w:r>
      <w:r w:rsidR="002358B6">
        <w:t>e relevant TDI was not exceeded, assuming background exposure from all other foods was zero.</w:t>
      </w:r>
    </w:p>
    <w:p w14:paraId="75DB7894" w14:textId="7BF25416" w:rsidR="00DE4473" w:rsidRDefault="00687651" w:rsidP="00687651">
      <w:r>
        <w:t xml:space="preserve">The </w:t>
      </w:r>
      <w:r w:rsidR="00564030">
        <w:t xml:space="preserve">calculated </w:t>
      </w:r>
      <w:r>
        <w:t xml:space="preserve">food consumption </w:t>
      </w:r>
      <w:r w:rsidR="00564030">
        <w:t xml:space="preserve">amounts </w:t>
      </w:r>
      <w:r>
        <w:t xml:space="preserve">were then compared </w:t>
      </w:r>
      <w:r w:rsidR="00E6711E">
        <w:t xml:space="preserve">with </w:t>
      </w:r>
      <w:r w:rsidR="00B832C2">
        <w:t>mean and high (90</w:t>
      </w:r>
      <w:r w:rsidR="00B832C2" w:rsidRPr="00B832C2">
        <w:rPr>
          <w:vertAlign w:val="superscript"/>
        </w:rPr>
        <w:t>th</w:t>
      </w:r>
      <w:r w:rsidR="00B832C2">
        <w:t xml:space="preserve"> percentile)</w:t>
      </w:r>
      <w:r>
        <w:t xml:space="preserve"> food consumption amounts reported from </w:t>
      </w:r>
      <w:r w:rsidR="00E137AB">
        <w:t xml:space="preserve">the </w:t>
      </w:r>
      <w:r w:rsidR="00E137AB" w:rsidDel="00A465E3">
        <w:t xml:space="preserve">most recent </w:t>
      </w:r>
      <w:r w:rsidDel="00A465E3">
        <w:t>nutrition survey</w:t>
      </w:r>
      <w:r w:rsidR="004613BF">
        <w:t xml:space="preserve"> for the Australian population, the 2011</w:t>
      </w:r>
      <w:r w:rsidR="00A465E3">
        <w:t xml:space="preserve">-12 </w:t>
      </w:r>
      <w:r w:rsidR="004613BF">
        <w:t>National Nutrition and Physical Activity Survey (</w:t>
      </w:r>
      <w:r w:rsidR="00A465E3">
        <w:t>NNPAS</w:t>
      </w:r>
      <w:r w:rsidR="004613BF">
        <w:t>) component of the 2011-13 Australian Health Survey (AHS)</w:t>
      </w:r>
      <w:r w:rsidR="000E0FE6">
        <w:t xml:space="preserve">. </w:t>
      </w:r>
      <w:r w:rsidR="000C36AB">
        <w:t xml:space="preserve">Where the calculated amount is less than the usual amount consumed for a </w:t>
      </w:r>
      <w:r w:rsidR="000C36AB" w:rsidRPr="00B72350">
        <w:t xml:space="preserve">specified </w:t>
      </w:r>
      <w:r w:rsidR="000C36AB">
        <w:t xml:space="preserve">chemical/ </w:t>
      </w:r>
      <w:r w:rsidR="000C36AB" w:rsidRPr="00B72350">
        <w:t>food group</w:t>
      </w:r>
      <w:r w:rsidR="000C36AB">
        <w:t>(s) combination this indicates public advice may be required on consuming these particular foods when sourced in proximity to contaminated sites.</w:t>
      </w:r>
    </w:p>
    <w:p w14:paraId="7FEDB6AA" w14:textId="137BBA3D" w:rsidR="00687651" w:rsidRDefault="00687651" w:rsidP="00687651">
      <w:r w:rsidRPr="00A22B70">
        <w:t>FSANZ</w:t>
      </w:r>
      <w:r>
        <w:t>’s</w:t>
      </w:r>
      <w:r w:rsidRPr="00A22B70">
        <w:t xml:space="preserve"> purpose </w:t>
      </w:r>
      <w:r w:rsidR="00D34E6F">
        <w:t>built</w:t>
      </w:r>
      <w:r w:rsidRPr="00A22B70">
        <w:t xml:space="preserve"> analysis platform Harvest</w:t>
      </w:r>
      <w:r>
        <w:t xml:space="preserve"> was used to extract relevant food consumption data for mean</w:t>
      </w:r>
      <w:r w:rsidR="00AE1500">
        <w:t>,</w:t>
      </w:r>
      <w:r>
        <w:t xml:space="preserve"> </w:t>
      </w:r>
      <w:r w:rsidR="00CD5975">
        <w:t xml:space="preserve">median or </w:t>
      </w:r>
      <w:r>
        <w:t xml:space="preserve">high consumers </w:t>
      </w:r>
      <w:r w:rsidR="00D57B9D">
        <w:t>(90</w:t>
      </w:r>
      <w:r w:rsidR="00D57B9D" w:rsidRPr="00DE4473">
        <w:rPr>
          <w:vertAlign w:val="superscript"/>
        </w:rPr>
        <w:t>th</w:t>
      </w:r>
      <w:r w:rsidR="00D57B9D">
        <w:t xml:space="preserve"> percentile) of foods reported to contain PF</w:t>
      </w:r>
      <w:r w:rsidR="000E2A50">
        <w:t>O</w:t>
      </w:r>
      <w:r w:rsidR="00D57B9D">
        <w:t xml:space="preserve">S, PFOA or </w:t>
      </w:r>
      <w:proofErr w:type="spellStart"/>
      <w:r w:rsidR="00D57B9D">
        <w:t>PFHxS</w:t>
      </w:r>
      <w:proofErr w:type="spellEnd"/>
      <w:r w:rsidR="00484180">
        <w:t>,</w:t>
      </w:r>
      <w:r w:rsidR="00D57B9D" w:rsidDel="0037569A">
        <w:t xml:space="preserve"> </w:t>
      </w:r>
      <w:r w:rsidRPr="00A22B70" w:rsidDel="0037569A">
        <w:t xml:space="preserve">based on the </w:t>
      </w:r>
      <w:r w:rsidR="00732AA7" w:rsidDel="0037569A">
        <w:t xml:space="preserve">2011-12 </w:t>
      </w:r>
      <w:r w:rsidR="005D3C62" w:rsidDel="0037569A">
        <w:t>NNPAS</w:t>
      </w:r>
      <w:r>
        <w:t>. As t</w:t>
      </w:r>
      <w:r w:rsidRPr="00141F58">
        <w:t xml:space="preserve">he </w:t>
      </w:r>
      <w:r w:rsidR="005477ED">
        <w:t xml:space="preserve">contaminants </w:t>
      </w:r>
      <w:r w:rsidRPr="00141F58">
        <w:t>of interest predominately occurred in raw commodities, such as fish and vegetables</w:t>
      </w:r>
      <w:r>
        <w:t xml:space="preserve">, </w:t>
      </w:r>
      <w:r w:rsidRPr="00141F58">
        <w:t>calculat</w:t>
      </w:r>
      <w:r>
        <w:t>ions were</w:t>
      </w:r>
      <w:r w:rsidRPr="00141F58">
        <w:t xml:space="preserve"> </w:t>
      </w:r>
      <w:r>
        <w:t xml:space="preserve">made </w:t>
      </w:r>
      <w:r w:rsidR="001C4D62" w:rsidRPr="00141F58">
        <w:t>based on</w:t>
      </w:r>
      <w:r w:rsidRPr="00141F58">
        <w:t xml:space="preserve"> consumption data aggregated at a raw commodity level</w:t>
      </w:r>
      <w:r>
        <w:t xml:space="preserve">. </w:t>
      </w:r>
      <w:r w:rsidRPr="00A4463D">
        <w:t xml:space="preserve">Consumption data </w:t>
      </w:r>
      <w:r>
        <w:t>aggregates</w:t>
      </w:r>
      <w:r w:rsidRPr="00A4463D">
        <w:t xml:space="preserve"> commodities </w:t>
      </w:r>
      <w:r w:rsidR="006A39FE">
        <w:t>that are</w:t>
      </w:r>
      <w:r w:rsidRPr="00A4463D">
        <w:t xml:space="preserve"> reported as consumed on their own (e.g. pork chop, glass of milk, boiled egg) and when used in a mixed food (e.g. pork </w:t>
      </w:r>
      <w:r w:rsidR="001C4D62" w:rsidRPr="00A4463D">
        <w:t>stir-fry</w:t>
      </w:r>
      <w:r w:rsidRPr="00A4463D">
        <w:t>, quiche).</w:t>
      </w:r>
    </w:p>
    <w:p w14:paraId="082E67DB" w14:textId="55D3BF39" w:rsidR="00D57B9D" w:rsidRDefault="00D57B9D" w:rsidP="00D57B9D">
      <w:r w:rsidRPr="0097663C">
        <w:t xml:space="preserve">As the </w:t>
      </w:r>
      <w:r w:rsidR="000F313F">
        <w:t xml:space="preserve">TDI </w:t>
      </w:r>
      <w:r w:rsidRPr="0097663C">
        <w:t>do</w:t>
      </w:r>
      <w:r w:rsidR="000F313F">
        <w:t>es</w:t>
      </w:r>
      <w:r w:rsidRPr="0097663C">
        <w:t xml:space="preserve"> not differ by gender, separate assessments were not conducted for Australian males and females and the age groups selected for this assessment were </w:t>
      </w:r>
      <w:r w:rsidR="005D7D65">
        <w:t xml:space="preserve">two years and over </w:t>
      </w:r>
      <w:r>
        <w:t xml:space="preserve">and </w:t>
      </w:r>
      <w:r w:rsidRPr="0097663C">
        <w:t>2-</w:t>
      </w:r>
      <w:r>
        <w:t xml:space="preserve">6 years. </w:t>
      </w:r>
      <w:r w:rsidR="005D7D65">
        <w:t>Young c</w:t>
      </w:r>
      <w:r w:rsidRPr="0097663C">
        <w:t>hildren are generally considered separately as the</w:t>
      </w:r>
      <w:r w:rsidR="00ED7719">
        <w:t>y</w:t>
      </w:r>
      <w:r w:rsidRPr="0097663C">
        <w:t xml:space="preserve"> </w:t>
      </w:r>
      <w:r w:rsidR="00ED7719">
        <w:t>have</w:t>
      </w:r>
      <w:r w:rsidRPr="0097663C">
        <w:t xml:space="preserve"> higher food consumption amounts per kilogram of body weight</w:t>
      </w:r>
      <w:r w:rsidR="00ED7719">
        <w:t>.</w:t>
      </w:r>
      <w:r w:rsidRPr="0097663C">
        <w:t xml:space="preserve"> </w:t>
      </w:r>
      <w:r w:rsidR="00ED7719">
        <w:t>This is</w:t>
      </w:r>
      <w:r w:rsidRPr="0097663C">
        <w:t xml:space="preserve"> </w:t>
      </w:r>
      <w:r w:rsidR="005D7D65">
        <w:t xml:space="preserve">due to requirements for growth and </w:t>
      </w:r>
      <w:r w:rsidR="001C4D62">
        <w:t>maintenance</w:t>
      </w:r>
      <w:r w:rsidR="00ED7719">
        <w:t xml:space="preserve"> and </w:t>
      </w:r>
      <w:r w:rsidRPr="0097663C">
        <w:t xml:space="preserve">means </w:t>
      </w:r>
      <w:r w:rsidR="00ED7719">
        <w:t>that</w:t>
      </w:r>
      <w:r w:rsidRPr="0097663C">
        <w:t xml:space="preserve"> their estimated </w:t>
      </w:r>
      <w:r>
        <w:t xml:space="preserve">dietary </w:t>
      </w:r>
      <w:r w:rsidRPr="0097663C">
        <w:t xml:space="preserve">exposure to food chemicals </w:t>
      </w:r>
      <w:r w:rsidR="005D7D65">
        <w:t xml:space="preserve">expressed </w:t>
      </w:r>
      <w:r w:rsidRPr="0097663C">
        <w:t xml:space="preserve">on a per-bodyweight basis is usually higher than that </w:t>
      </w:r>
      <w:r w:rsidR="00ED7719">
        <w:t>of</w:t>
      </w:r>
      <w:r w:rsidR="00ED7719" w:rsidRPr="0097663C">
        <w:t xml:space="preserve"> </w:t>
      </w:r>
      <w:r w:rsidRPr="0097663C">
        <w:t>adults.</w:t>
      </w:r>
    </w:p>
    <w:p w14:paraId="501CD150" w14:textId="0E54727F" w:rsidR="00D57B9D" w:rsidRDefault="00997A68" w:rsidP="00A75BE9">
      <w:pPr>
        <w:pStyle w:val="Heading3"/>
      </w:pPr>
      <w:bookmarkStart w:id="96" w:name="_Toc474153262"/>
      <w:bookmarkStart w:id="97" w:name="_Toc474158942"/>
      <w:bookmarkStart w:id="98" w:name="_Toc474847903"/>
      <w:bookmarkStart w:id="99" w:name="_Toc475360609"/>
      <w:r>
        <w:lastRenderedPageBreak/>
        <w:t>Calculating</w:t>
      </w:r>
      <w:r w:rsidR="00F00F72">
        <w:t xml:space="preserve"> </w:t>
      </w:r>
      <w:r w:rsidR="00FF2FE7">
        <w:t>trigger points for investigation</w:t>
      </w:r>
      <w:r w:rsidR="00CA3ABB">
        <w:t xml:space="preserve"> </w:t>
      </w:r>
      <w:r w:rsidR="00F00F72">
        <w:t xml:space="preserve">for use by </w:t>
      </w:r>
      <w:r w:rsidR="00BC3A81">
        <w:t>public health official</w:t>
      </w:r>
      <w:r w:rsidR="00F00F72">
        <w:t xml:space="preserve"> for </w:t>
      </w:r>
      <w:r w:rsidR="00D57B9D" w:rsidRPr="00D03406">
        <w:t>individual foods or</w:t>
      </w:r>
      <w:r w:rsidR="00D57B9D" w:rsidRPr="00316F2C">
        <w:t xml:space="preserve"> food groups</w:t>
      </w:r>
      <w:bookmarkEnd w:id="96"/>
      <w:bookmarkEnd w:id="97"/>
      <w:bookmarkEnd w:id="98"/>
      <w:bookmarkEnd w:id="99"/>
    </w:p>
    <w:p w14:paraId="54DB85D0" w14:textId="3F0FD4BB" w:rsidR="00BD302A" w:rsidRDefault="00BC3A81" w:rsidP="00BD302A">
      <w:pPr>
        <w:rPr>
          <w:rFonts w:cs="Arial"/>
        </w:rPr>
      </w:pPr>
      <w:r>
        <w:t xml:space="preserve">For the second set of calculations the high </w:t>
      </w:r>
      <w:r w:rsidR="0037569A">
        <w:t xml:space="preserve">food </w:t>
      </w:r>
      <w:r>
        <w:t>consumption</w:t>
      </w:r>
      <w:r w:rsidDel="0037569A">
        <w:t xml:space="preserve"> </w:t>
      </w:r>
      <w:r>
        <w:t>amounts (90</w:t>
      </w:r>
      <w:r w:rsidRPr="00D57B9D">
        <w:rPr>
          <w:vertAlign w:val="superscript"/>
        </w:rPr>
        <w:t>th</w:t>
      </w:r>
      <w:r>
        <w:t xml:space="preserve"> percentile, consumer only) derived from the NNPAS were used to determine the </w:t>
      </w:r>
      <w:r w:rsidRPr="00454C25">
        <w:rPr>
          <w:i/>
        </w:rPr>
        <w:t xml:space="preserve">maximum concentration level </w:t>
      </w:r>
      <w:r>
        <w:t>of PFOS</w:t>
      </w:r>
      <w:r w:rsidR="00E6711E">
        <w:t xml:space="preserve"> + </w:t>
      </w:r>
      <w:proofErr w:type="spellStart"/>
      <w:r>
        <w:t>PFHxS</w:t>
      </w:r>
      <w:proofErr w:type="spellEnd"/>
      <w:r>
        <w:t xml:space="preserve"> combined and PFOA that could be present in individual food or food groups without estimated dietary exposures </w:t>
      </w:r>
      <w:r w:rsidR="00454C25">
        <w:t xml:space="preserve">exceeding the relevant TDI. </w:t>
      </w:r>
      <w:r w:rsidR="00BD302A" w:rsidRPr="003B3047">
        <w:rPr>
          <w:rFonts w:cs="Arial"/>
        </w:rPr>
        <w:t xml:space="preserve">For </w:t>
      </w:r>
      <w:r w:rsidR="00BD302A">
        <w:rPr>
          <w:rFonts w:cs="Arial"/>
        </w:rPr>
        <w:t>‘occasionally consumed’ foods</w:t>
      </w:r>
      <w:r w:rsidR="00BD302A">
        <w:rPr>
          <w:rStyle w:val="FootnoteReference"/>
          <w:rFonts w:cs="Arial"/>
        </w:rPr>
        <w:footnoteReference w:id="6"/>
      </w:r>
      <w:r w:rsidR="00BD302A" w:rsidRPr="003B3047">
        <w:rPr>
          <w:rFonts w:cs="Arial"/>
        </w:rPr>
        <w:t xml:space="preserve"> such as </w:t>
      </w:r>
      <w:r w:rsidR="00BD302A">
        <w:rPr>
          <w:rFonts w:cs="Arial"/>
        </w:rPr>
        <w:t>offal</w:t>
      </w:r>
      <w:r w:rsidR="00BD302A" w:rsidRPr="003B3047">
        <w:rPr>
          <w:rFonts w:cs="Arial"/>
        </w:rPr>
        <w:t>, crustacean</w:t>
      </w:r>
      <w:r w:rsidR="00EA6551">
        <w:rPr>
          <w:rFonts w:cs="Arial"/>
        </w:rPr>
        <w:t>s</w:t>
      </w:r>
      <w:r w:rsidR="00BD302A" w:rsidRPr="003B3047">
        <w:rPr>
          <w:rFonts w:cs="Arial"/>
        </w:rPr>
        <w:t xml:space="preserve"> and molluscs</w:t>
      </w:r>
      <w:r w:rsidR="009C338C">
        <w:rPr>
          <w:rFonts w:cs="Arial"/>
        </w:rPr>
        <w:t>,</w:t>
      </w:r>
      <w:r w:rsidR="00BD302A">
        <w:rPr>
          <w:rFonts w:cs="Arial"/>
        </w:rPr>
        <w:t xml:space="preserve"> </w:t>
      </w:r>
      <w:r w:rsidR="009C338C">
        <w:rPr>
          <w:rFonts w:cs="Arial"/>
        </w:rPr>
        <w:t xml:space="preserve">the median consumption amount (consumers only) was used. Such foods are not considered </w:t>
      </w:r>
      <w:r w:rsidR="00BD302A">
        <w:rPr>
          <w:rFonts w:cs="Arial"/>
        </w:rPr>
        <w:t>staple foods</w:t>
      </w:r>
      <w:r w:rsidR="00BD302A" w:rsidRPr="003B3047">
        <w:rPr>
          <w:rFonts w:cs="Arial"/>
        </w:rPr>
        <w:t xml:space="preserve"> </w:t>
      </w:r>
      <w:r w:rsidR="009C338C">
        <w:rPr>
          <w:rFonts w:cs="Arial"/>
        </w:rPr>
        <w:t>and</w:t>
      </w:r>
      <w:r w:rsidR="00BD302A" w:rsidRPr="003B3047">
        <w:rPr>
          <w:rFonts w:cs="Arial"/>
        </w:rPr>
        <w:t xml:space="preserve"> </w:t>
      </w:r>
      <w:r w:rsidR="00BD302A">
        <w:rPr>
          <w:rFonts w:cs="Arial"/>
        </w:rPr>
        <w:t>may</w:t>
      </w:r>
      <w:r w:rsidR="00BD302A" w:rsidRPr="003B3047">
        <w:rPr>
          <w:rFonts w:cs="Arial"/>
        </w:rPr>
        <w:t xml:space="preserve"> be seasonal and therefore unlikely to be consumed every day over a long period of time</w:t>
      </w:r>
      <w:r w:rsidR="00BD302A">
        <w:rPr>
          <w:rFonts w:cs="Arial"/>
        </w:rPr>
        <w:t xml:space="preserve">, </w:t>
      </w:r>
      <w:r w:rsidR="00BD302A" w:rsidRPr="003B3047">
        <w:rPr>
          <w:rFonts w:cs="Arial"/>
        </w:rPr>
        <w:t xml:space="preserve">even by </w:t>
      </w:r>
      <w:r w:rsidR="00BD302A">
        <w:rPr>
          <w:rFonts w:cs="Arial"/>
        </w:rPr>
        <w:t xml:space="preserve">specific </w:t>
      </w:r>
      <w:r w:rsidR="00BD302A" w:rsidRPr="003B3047">
        <w:rPr>
          <w:rFonts w:cs="Arial"/>
        </w:rPr>
        <w:t>sub population group</w:t>
      </w:r>
      <w:r w:rsidR="00BD302A">
        <w:rPr>
          <w:rFonts w:cs="Arial"/>
        </w:rPr>
        <w:t>s such as families of profe</w:t>
      </w:r>
      <w:r w:rsidR="005A0BAC">
        <w:rPr>
          <w:rFonts w:cs="Arial"/>
        </w:rPr>
        <w:t>ssional or recreational fishers</w:t>
      </w:r>
      <w:r w:rsidR="00BD302A" w:rsidRPr="003B3047">
        <w:rPr>
          <w:rFonts w:cs="Arial"/>
        </w:rPr>
        <w:t xml:space="preserve">. </w:t>
      </w:r>
    </w:p>
    <w:p w14:paraId="793883EE" w14:textId="224F5700" w:rsidR="00454C25" w:rsidRPr="00454C25" w:rsidRDefault="00454C25" w:rsidP="00BC3A81">
      <w:r>
        <w:t xml:space="preserve">Maximum concentration levels form the basis of </w:t>
      </w:r>
      <w:r w:rsidR="00FF2FE7" w:rsidRPr="00FF2FE7">
        <w:rPr>
          <w:i/>
        </w:rPr>
        <w:t>trigger points for investigation</w:t>
      </w:r>
      <w:r w:rsidR="00EA6551">
        <w:rPr>
          <w:i/>
        </w:rPr>
        <w:t>,</w:t>
      </w:r>
      <w:r w:rsidR="00CA3ABB">
        <w:rPr>
          <w:i/>
        </w:rPr>
        <w:t xml:space="preserve"> </w:t>
      </w:r>
      <w:r w:rsidR="00EA6551">
        <w:t>which</w:t>
      </w:r>
      <w:r w:rsidRPr="00454C25">
        <w:t xml:space="preserve"> are selected to </w:t>
      </w:r>
      <w:r>
        <w:t>be protective</w:t>
      </w:r>
      <w:r w:rsidRPr="00454C25">
        <w:t xml:space="preserve"> </w:t>
      </w:r>
      <w:r>
        <w:t>of</w:t>
      </w:r>
      <w:r w:rsidRPr="00454C25">
        <w:t xml:space="preserve"> all population groups </w:t>
      </w:r>
      <w:r>
        <w:t>in a range of consumption scenarios.</w:t>
      </w:r>
    </w:p>
    <w:p w14:paraId="4F34A7E9" w14:textId="0F75F6D4" w:rsidR="00BC3A81" w:rsidRDefault="00FF2FE7" w:rsidP="00BC3A81">
      <w:r>
        <w:t>Trigger points for investigation</w:t>
      </w:r>
      <w:r w:rsidR="00CA3ABB">
        <w:t xml:space="preserve"> </w:t>
      </w:r>
      <w:r w:rsidR="00BC3A81">
        <w:t>are</w:t>
      </w:r>
      <w:r w:rsidR="00BC3A81" w:rsidRPr="00F00F72">
        <w:t xml:space="preserve"> provide</w:t>
      </w:r>
      <w:r w:rsidR="00BC3A81">
        <w:t>d to</w:t>
      </w:r>
      <w:r w:rsidR="00BC3A81" w:rsidRPr="00F00F72">
        <w:t xml:space="preserve"> public health </w:t>
      </w:r>
      <w:r w:rsidR="00BD302A">
        <w:t xml:space="preserve">and food regulatory </w:t>
      </w:r>
      <w:r w:rsidR="00BC3A81" w:rsidRPr="00F00F72">
        <w:t xml:space="preserve">officials </w:t>
      </w:r>
      <w:r w:rsidR="00BC3A81">
        <w:t xml:space="preserve">as </w:t>
      </w:r>
      <w:r w:rsidR="00BC3A81" w:rsidRPr="00F00F72">
        <w:t xml:space="preserve">an indication that further investigation may be required should analytical results for </w:t>
      </w:r>
      <w:r w:rsidR="00BC3A81">
        <w:t xml:space="preserve">PFOS, </w:t>
      </w:r>
      <w:r w:rsidR="00BC3A81" w:rsidRPr="00F00F72">
        <w:t>PFOS</w:t>
      </w:r>
      <w:r w:rsidR="00275E11">
        <w:t xml:space="preserve"> </w:t>
      </w:r>
      <w:r w:rsidR="00336C60">
        <w:t>+</w:t>
      </w:r>
      <w:r w:rsidR="00275E11">
        <w:t xml:space="preserve"> </w:t>
      </w:r>
      <w:proofErr w:type="spellStart"/>
      <w:r w:rsidR="00BC3A81" w:rsidRPr="00F00F72">
        <w:t>PFHxS</w:t>
      </w:r>
      <w:proofErr w:type="spellEnd"/>
      <w:r w:rsidR="00BC3A81" w:rsidRPr="00F00F72">
        <w:t xml:space="preserve"> combined or PFOA in individual foods or food groups</w:t>
      </w:r>
      <w:r w:rsidR="00336C60">
        <w:t>,</w:t>
      </w:r>
      <w:r w:rsidR="00BC3A81" w:rsidRPr="00F00F72">
        <w:t xml:space="preserve"> be higher than the </w:t>
      </w:r>
      <w:r>
        <w:t xml:space="preserve">trigger points </w:t>
      </w:r>
      <w:r w:rsidR="00BC3A81" w:rsidRPr="00F00F72">
        <w:t>for these chemicals in specified foods or food groups.</w:t>
      </w:r>
      <w:r w:rsidR="00BC3A81">
        <w:t xml:space="preserve"> </w:t>
      </w:r>
    </w:p>
    <w:p w14:paraId="380F9C7A" w14:textId="2AA40CC6" w:rsidR="00454C25" w:rsidRDefault="00454C25" w:rsidP="00BC3A81">
      <w:pPr>
        <w:rPr>
          <w:rFonts w:cs="Arial"/>
        </w:rPr>
      </w:pPr>
      <w:r>
        <w:rPr>
          <w:rFonts w:cs="Arial"/>
        </w:rPr>
        <w:t>Maximum concentration levels</w:t>
      </w:r>
      <w:r w:rsidR="00BC3A81" w:rsidRPr="00BC3A81">
        <w:rPr>
          <w:rFonts w:cs="Arial"/>
        </w:rPr>
        <w:t xml:space="preserve"> were determined for PFOS, PFOA and PFOS</w:t>
      </w:r>
      <w:r w:rsidR="00336C60">
        <w:rPr>
          <w:rFonts w:cs="Arial"/>
        </w:rPr>
        <w:t xml:space="preserve"> </w:t>
      </w:r>
      <w:r w:rsidR="00BC3A81" w:rsidRPr="00BC3A81">
        <w:rPr>
          <w:rFonts w:cs="Arial"/>
        </w:rPr>
        <w:t>+</w:t>
      </w:r>
      <w:r w:rsidR="00336C60">
        <w:rPr>
          <w:rFonts w:cs="Arial"/>
        </w:rPr>
        <w:t xml:space="preserve"> </w:t>
      </w:r>
      <w:proofErr w:type="spellStart"/>
      <w:r w:rsidR="00BC3A81" w:rsidRPr="00BC3A81">
        <w:rPr>
          <w:rFonts w:cs="Arial"/>
        </w:rPr>
        <w:t>PFHxS</w:t>
      </w:r>
      <w:proofErr w:type="spellEnd"/>
      <w:r w:rsidR="00BC3A81" w:rsidRPr="00BC3A81">
        <w:rPr>
          <w:rFonts w:cs="Arial"/>
        </w:rPr>
        <w:t xml:space="preserve"> </w:t>
      </w:r>
      <w:r w:rsidR="00336C60">
        <w:rPr>
          <w:rFonts w:cs="Arial"/>
        </w:rPr>
        <w:t>combined</w:t>
      </w:r>
      <w:r w:rsidR="00BC3A81" w:rsidRPr="00BC3A81">
        <w:rPr>
          <w:rFonts w:cs="Arial"/>
        </w:rPr>
        <w:t xml:space="preserve"> for each food classification for which</w:t>
      </w:r>
      <w:r>
        <w:rPr>
          <w:rFonts w:cs="Arial"/>
        </w:rPr>
        <w:t xml:space="preserve"> FSANZ received occurrence data</w:t>
      </w:r>
      <w:r w:rsidR="00BC3A81" w:rsidRPr="00BC3A81">
        <w:rPr>
          <w:rFonts w:cs="Arial"/>
        </w:rPr>
        <w:t xml:space="preserve"> </w:t>
      </w:r>
      <w:r>
        <w:rPr>
          <w:rFonts w:cs="Arial"/>
        </w:rPr>
        <w:t>f</w:t>
      </w:r>
      <w:r w:rsidR="00BC3A81" w:rsidRPr="00BC3A81">
        <w:rPr>
          <w:rFonts w:cs="Arial"/>
        </w:rPr>
        <w:t>or Aus</w:t>
      </w:r>
      <w:r>
        <w:rPr>
          <w:rFonts w:cs="Arial"/>
        </w:rPr>
        <w:t>tralian children aged 2-6 years</w:t>
      </w:r>
      <w:r w:rsidR="00BC3A81" w:rsidRPr="00BC3A81">
        <w:rPr>
          <w:rFonts w:cs="Arial"/>
        </w:rPr>
        <w:t xml:space="preserve"> and the Australian population aged 2 years and above</w:t>
      </w:r>
      <w:r>
        <w:rPr>
          <w:rFonts w:cs="Arial"/>
        </w:rPr>
        <w:t xml:space="preserve">. </w:t>
      </w:r>
    </w:p>
    <w:p w14:paraId="1771C93B" w14:textId="58171429" w:rsidR="00BC3A81" w:rsidRDefault="00BC3A81" w:rsidP="00BC3A81">
      <w:pPr>
        <w:rPr>
          <w:rFonts w:cs="Arial"/>
        </w:rPr>
      </w:pPr>
      <w:r w:rsidRPr="00BC3A81">
        <w:rPr>
          <w:rFonts w:cs="Arial"/>
        </w:rPr>
        <w:t xml:space="preserve">In order to provide </w:t>
      </w:r>
      <w:r w:rsidR="00FF2FE7">
        <w:t>trigger points for investigation</w:t>
      </w:r>
      <w:r w:rsidR="00CA3ABB">
        <w:t xml:space="preserve"> </w:t>
      </w:r>
      <w:r w:rsidR="00047797">
        <w:rPr>
          <w:rFonts w:cs="Arial"/>
        </w:rPr>
        <w:t>for major food groups</w:t>
      </w:r>
      <w:r w:rsidRPr="00BC3A81">
        <w:rPr>
          <w:rFonts w:cs="Arial"/>
        </w:rPr>
        <w:t xml:space="preserve">, the lowest calculated value </w:t>
      </w:r>
      <w:r w:rsidR="00FE0C1C">
        <w:rPr>
          <w:rFonts w:cs="Arial"/>
        </w:rPr>
        <w:t xml:space="preserve">for </w:t>
      </w:r>
      <w:r w:rsidR="00FE0C1C" w:rsidRPr="00BC3A81">
        <w:rPr>
          <w:rFonts w:cs="Arial"/>
        </w:rPr>
        <w:t>PFOA and PFOS</w:t>
      </w:r>
      <w:r w:rsidR="00336C60">
        <w:rPr>
          <w:rFonts w:cs="Arial"/>
        </w:rPr>
        <w:t xml:space="preserve"> </w:t>
      </w:r>
      <w:r w:rsidR="00FE0C1C" w:rsidRPr="00BC3A81">
        <w:rPr>
          <w:rFonts w:cs="Arial"/>
        </w:rPr>
        <w:t>+</w:t>
      </w:r>
      <w:r w:rsidR="00336C60">
        <w:rPr>
          <w:rFonts w:cs="Arial"/>
        </w:rPr>
        <w:t xml:space="preserve"> </w:t>
      </w:r>
      <w:proofErr w:type="spellStart"/>
      <w:r w:rsidR="00FE0C1C" w:rsidRPr="00BC3A81">
        <w:rPr>
          <w:rFonts w:cs="Arial"/>
        </w:rPr>
        <w:t>PFHxS</w:t>
      </w:r>
      <w:proofErr w:type="spellEnd"/>
      <w:r w:rsidR="00FE0C1C" w:rsidRPr="00BC3A81">
        <w:rPr>
          <w:rFonts w:cs="Arial"/>
        </w:rPr>
        <w:t xml:space="preserve"> </w:t>
      </w:r>
      <w:r w:rsidR="00336C60">
        <w:rPr>
          <w:rFonts w:cs="Arial"/>
        </w:rPr>
        <w:t xml:space="preserve">combined </w:t>
      </w:r>
      <w:r w:rsidRPr="00BC3A81">
        <w:rPr>
          <w:rFonts w:cs="Arial"/>
        </w:rPr>
        <w:t xml:space="preserve">was selected from either population group </w:t>
      </w:r>
      <w:r w:rsidR="00FE0C1C">
        <w:rPr>
          <w:rFonts w:cs="Arial"/>
        </w:rPr>
        <w:t>for</w:t>
      </w:r>
      <w:r w:rsidRPr="00BC3A81">
        <w:rPr>
          <w:rFonts w:cs="Arial"/>
        </w:rPr>
        <w:t xml:space="preserve"> specific food groups</w:t>
      </w:r>
      <w:r w:rsidR="000F313F">
        <w:rPr>
          <w:rFonts w:cs="Arial"/>
        </w:rPr>
        <w:t xml:space="preserve"> (‘worst case’)</w:t>
      </w:r>
      <w:r w:rsidR="00FE0C1C">
        <w:rPr>
          <w:rFonts w:cs="Arial"/>
        </w:rPr>
        <w:t>. I</w:t>
      </w:r>
      <w:r w:rsidRPr="00BC3A81">
        <w:rPr>
          <w:rFonts w:cs="Arial"/>
        </w:rPr>
        <w:t>f a food sub-group had a lower calculated level, then this w</w:t>
      </w:r>
      <w:r w:rsidR="00454C25">
        <w:rPr>
          <w:rFonts w:cs="Arial"/>
        </w:rPr>
        <w:t xml:space="preserve">as applied to the whole </w:t>
      </w:r>
      <w:r w:rsidR="00FE0C1C">
        <w:rPr>
          <w:rFonts w:cs="Arial"/>
        </w:rPr>
        <w:t>food group</w:t>
      </w:r>
      <w:r w:rsidR="00454C25">
        <w:rPr>
          <w:rFonts w:cs="Arial"/>
        </w:rPr>
        <w:t>.</w:t>
      </w:r>
    </w:p>
    <w:p w14:paraId="21BC4FBD" w14:textId="12643956" w:rsidR="0092155A" w:rsidRPr="00A75BE9" w:rsidRDefault="0092155A" w:rsidP="00A75BE9">
      <w:pPr>
        <w:pStyle w:val="Heading3"/>
        <w:numPr>
          <w:ilvl w:val="2"/>
          <w:numId w:val="13"/>
        </w:numPr>
      </w:pPr>
      <w:bookmarkStart w:id="100" w:name="_Toc474153263"/>
      <w:bookmarkStart w:id="101" w:name="_Toc474158943"/>
      <w:bookmarkStart w:id="102" w:name="_Toc474847904"/>
      <w:bookmarkStart w:id="103" w:name="_Toc475360610"/>
      <w:r w:rsidRPr="00A75BE9">
        <w:t>Assumptions</w:t>
      </w:r>
      <w:r w:rsidR="00DE4473" w:rsidRPr="00A75BE9">
        <w:t xml:space="preserve"> for dietary exposure calculations</w:t>
      </w:r>
      <w:bookmarkEnd w:id="100"/>
      <w:bookmarkEnd w:id="101"/>
      <w:bookmarkEnd w:id="102"/>
      <w:r w:rsidR="00022114">
        <w:t xml:space="preserve"> for individual foods</w:t>
      </w:r>
      <w:bookmarkEnd w:id="103"/>
    </w:p>
    <w:p w14:paraId="78F28A61" w14:textId="264FCCEF" w:rsidR="00D03406" w:rsidRPr="00366769" w:rsidRDefault="00C545BF" w:rsidP="00A75BE9">
      <w:pPr>
        <w:pStyle w:val="Heading4"/>
      </w:pPr>
      <w:bookmarkStart w:id="104" w:name="_Toc474153264"/>
      <w:bookmarkStart w:id="105" w:name="_Toc474158944"/>
      <w:r w:rsidRPr="00366769">
        <w:t>Consumption</w:t>
      </w:r>
      <w:bookmarkEnd w:id="104"/>
      <w:bookmarkEnd w:id="105"/>
    </w:p>
    <w:p w14:paraId="41013875" w14:textId="321DF8D0" w:rsidR="000964FC" w:rsidRDefault="00B47A79" w:rsidP="00710BF4">
      <w:pPr>
        <w:pStyle w:val="ListParagraph"/>
        <w:numPr>
          <w:ilvl w:val="0"/>
          <w:numId w:val="7"/>
        </w:numPr>
        <w:ind w:left="567" w:hanging="283"/>
      </w:pPr>
      <w:r>
        <w:t>t</w:t>
      </w:r>
      <w:r w:rsidR="000964FC">
        <w:t xml:space="preserve">he food consumption patterns </w:t>
      </w:r>
      <w:r w:rsidR="00654D51">
        <w:t xml:space="preserve">of the population </w:t>
      </w:r>
      <w:r w:rsidR="00A251D6">
        <w:t>living in proximity to</w:t>
      </w:r>
      <w:r w:rsidR="000964FC">
        <w:t xml:space="preserve"> contaminated areas are very similar to the general Australian population</w:t>
      </w:r>
    </w:p>
    <w:p w14:paraId="58CCA9E4" w14:textId="42DF05CD" w:rsidR="00654D51" w:rsidRPr="00654D51" w:rsidRDefault="00B47A79" w:rsidP="00710BF4">
      <w:pPr>
        <w:pStyle w:val="ListParagraph"/>
        <w:numPr>
          <w:ilvl w:val="0"/>
          <w:numId w:val="7"/>
        </w:numPr>
        <w:ind w:left="567" w:hanging="283"/>
      </w:pPr>
      <w:r>
        <w:t>t</w:t>
      </w:r>
      <w:r w:rsidR="000964FC">
        <w:t>he ages, gender and bodyweight</w:t>
      </w:r>
      <w:r w:rsidR="00654D51">
        <w:t>s of</w:t>
      </w:r>
      <w:r w:rsidR="00654D51" w:rsidRPr="00654D51">
        <w:t xml:space="preserve"> the population </w:t>
      </w:r>
      <w:r w:rsidR="00A251D6">
        <w:t>living in proximity to</w:t>
      </w:r>
      <w:r w:rsidR="00A251D6" w:rsidRPr="00654D51">
        <w:t xml:space="preserve"> </w:t>
      </w:r>
      <w:r w:rsidR="00654D51" w:rsidRPr="00654D51">
        <w:t>contaminated areas are very similar to the general Australian population</w:t>
      </w:r>
    </w:p>
    <w:p w14:paraId="2F6C4429" w14:textId="44C061CC" w:rsidR="008A74CB" w:rsidRDefault="00B47A79" w:rsidP="00710BF4">
      <w:pPr>
        <w:pStyle w:val="ListParagraph"/>
        <w:numPr>
          <w:ilvl w:val="0"/>
          <w:numId w:val="7"/>
        </w:numPr>
        <w:ind w:left="567" w:hanging="283"/>
      </w:pPr>
      <w:r>
        <w:t>f</w:t>
      </w:r>
      <w:r w:rsidR="00654D51">
        <w:t>oods consumed</w:t>
      </w:r>
      <w:r w:rsidR="00814081">
        <w:t xml:space="preserve"> by</w:t>
      </w:r>
      <w:r w:rsidR="00654D51">
        <w:t xml:space="preserve"> </w:t>
      </w:r>
      <w:r w:rsidR="00A251D6">
        <w:t>the population living in proximity to</w:t>
      </w:r>
      <w:r w:rsidR="00F95C6F">
        <w:t xml:space="preserve"> </w:t>
      </w:r>
      <w:r w:rsidR="00F95C6F" w:rsidRPr="00654D51">
        <w:t>contaminated area</w:t>
      </w:r>
      <w:r w:rsidR="00814081">
        <w:t>s</w:t>
      </w:r>
      <w:r w:rsidR="00F95C6F">
        <w:t xml:space="preserve"> are sourced </w:t>
      </w:r>
      <w:r w:rsidR="00A251D6">
        <w:t>locally</w:t>
      </w:r>
      <w:r w:rsidR="00F95C6F">
        <w:t xml:space="preserve">. </w:t>
      </w:r>
    </w:p>
    <w:p w14:paraId="1B2C2B15" w14:textId="69D95BFB" w:rsidR="00D03406" w:rsidRPr="00366769" w:rsidRDefault="00C545BF" w:rsidP="00A75BE9">
      <w:pPr>
        <w:pStyle w:val="Heading4"/>
      </w:pPr>
      <w:bookmarkStart w:id="106" w:name="_Toc474153265"/>
      <w:bookmarkStart w:id="107" w:name="_Toc474158945"/>
      <w:r w:rsidRPr="00366769">
        <w:t>Occurrence</w:t>
      </w:r>
      <w:bookmarkEnd w:id="106"/>
      <w:bookmarkEnd w:id="107"/>
    </w:p>
    <w:p w14:paraId="5EB23F8C" w14:textId="555EDA7B" w:rsidR="00F95C6F" w:rsidRDefault="00B47A79" w:rsidP="00975CAD">
      <w:pPr>
        <w:pStyle w:val="FSBullet1"/>
        <w:rPr>
          <w:lang w:eastAsia="en-AU"/>
        </w:rPr>
      </w:pPr>
      <w:r>
        <w:rPr>
          <w:lang w:eastAsia="en-AU"/>
        </w:rPr>
        <w:t>t</w:t>
      </w:r>
      <w:r w:rsidR="00C545BF">
        <w:rPr>
          <w:lang w:eastAsia="en-AU"/>
        </w:rPr>
        <w:t>he</w:t>
      </w:r>
      <w:r w:rsidR="00C545BF" w:rsidRPr="00C545BF">
        <w:rPr>
          <w:lang w:eastAsia="en-AU"/>
        </w:rPr>
        <w:t xml:space="preserve"> limited data on concentration</w:t>
      </w:r>
      <w:r w:rsidR="00814081">
        <w:rPr>
          <w:lang w:eastAsia="en-AU"/>
        </w:rPr>
        <w:t>s</w:t>
      </w:r>
      <w:r w:rsidR="00C545BF" w:rsidRPr="00C545BF">
        <w:rPr>
          <w:lang w:eastAsia="en-AU"/>
        </w:rPr>
        <w:t xml:space="preserve"> of </w:t>
      </w:r>
      <w:r w:rsidR="003B750E">
        <w:rPr>
          <w:lang w:eastAsia="en-AU"/>
        </w:rPr>
        <w:t xml:space="preserve">PFOS, PFOA </w:t>
      </w:r>
      <w:r w:rsidR="0096314E">
        <w:rPr>
          <w:lang w:eastAsia="en-AU"/>
        </w:rPr>
        <w:t>and</w:t>
      </w:r>
      <w:r w:rsidR="004E40AF" w:rsidRPr="00C545BF" w:rsidDel="0096314E">
        <w:rPr>
          <w:lang w:eastAsia="en-AU"/>
        </w:rPr>
        <w:t xml:space="preserve"> </w:t>
      </w:r>
      <w:proofErr w:type="spellStart"/>
      <w:r w:rsidR="0096314E">
        <w:rPr>
          <w:lang w:eastAsia="en-AU"/>
        </w:rPr>
        <w:t>PFHxS</w:t>
      </w:r>
      <w:proofErr w:type="spellEnd"/>
      <w:r w:rsidR="004E40AF" w:rsidRPr="00C545BF">
        <w:rPr>
          <w:lang w:eastAsia="en-AU"/>
        </w:rPr>
        <w:t xml:space="preserve"> </w:t>
      </w:r>
      <w:r w:rsidR="00C545BF" w:rsidRPr="00C545BF">
        <w:rPr>
          <w:lang w:eastAsia="en-AU"/>
        </w:rPr>
        <w:t xml:space="preserve">in Australia available as inputs into </w:t>
      </w:r>
      <w:r w:rsidR="004E40AF">
        <w:rPr>
          <w:lang w:eastAsia="en-AU"/>
        </w:rPr>
        <w:t xml:space="preserve">dietary </w:t>
      </w:r>
      <w:r w:rsidR="00C545BF" w:rsidRPr="00C545BF">
        <w:rPr>
          <w:lang w:eastAsia="en-AU"/>
        </w:rPr>
        <w:t>exposure estimates</w:t>
      </w:r>
      <w:r w:rsidR="00C545BF">
        <w:rPr>
          <w:lang w:eastAsia="en-AU"/>
        </w:rPr>
        <w:t xml:space="preserve"> adequately reflect occurrence in contaminated areas</w:t>
      </w:r>
    </w:p>
    <w:p w14:paraId="41350734" w14:textId="32F0932D" w:rsidR="005F156C" w:rsidRDefault="00B47A79" w:rsidP="00975CAD">
      <w:pPr>
        <w:pStyle w:val="FSBullet1"/>
        <w:rPr>
          <w:lang w:eastAsia="en-AU"/>
        </w:rPr>
      </w:pPr>
      <w:r>
        <w:rPr>
          <w:lang w:eastAsia="en-AU"/>
        </w:rPr>
        <w:t>w</w:t>
      </w:r>
      <w:r w:rsidR="005F156C">
        <w:rPr>
          <w:lang w:eastAsia="en-AU"/>
        </w:rPr>
        <w:t>herever a concentration was assigned to a raw commodity classification, this concentration is present in all foods that are assigned to the classification</w:t>
      </w:r>
    </w:p>
    <w:p w14:paraId="78B859E2" w14:textId="3BCD4FDB" w:rsidR="00C92B92" w:rsidRDefault="00B47A79" w:rsidP="00975CAD">
      <w:pPr>
        <w:pStyle w:val="FSBullet1"/>
        <w:rPr>
          <w:lang w:eastAsia="en-AU"/>
        </w:rPr>
      </w:pPr>
      <w:r>
        <w:rPr>
          <w:lang w:eastAsia="en-AU"/>
        </w:rPr>
        <w:lastRenderedPageBreak/>
        <w:t>w</w:t>
      </w:r>
      <w:r w:rsidR="00C92B92">
        <w:rPr>
          <w:lang w:eastAsia="en-AU"/>
        </w:rPr>
        <w:t xml:space="preserve">here a </w:t>
      </w:r>
      <w:r w:rsidR="00C92B92" w:rsidRPr="00C92B92">
        <w:rPr>
          <w:lang w:eastAsia="en-AU"/>
        </w:rPr>
        <w:t>raw commodity classification</w:t>
      </w:r>
      <w:r w:rsidR="00C92B92">
        <w:rPr>
          <w:lang w:eastAsia="en-AU"/>
        </w:rPr>
        <w:t xml:space="preserve"> matches no foods in the occurrence data set</w:t>
      </w:r>
      <w:r w:rsidR="007C0F43">
        <w:rPr>
          <w:lang w:eastAsia="en-AU"/>
        </w:rPr>
        <w:t>,</w:t>
      </w:r>
      <w:r w:rsidR="00C92B92">
        <w:rPr>
          <w:lang w:eastAsia="en-AU"/>
        </w:rPr>
        <w:t xml:space="preserve"> the </w:t>
      </w:r>
      <w:r w:rsidR="00D42FE7">
        <w:rPr>
          <w:lang w:eastAsia="en-AU"/>
        </w:rPr>
        <w:t xml:space="preserve">concentration level for </w:t>
      </w:r>
      <w:r w:rsidR="00C92B92">
        <w:rPr>
          <w:lang w:eastAsia="en-AU"/>
        </w:rPr>
        <w:t xml:space="preserve">those foods is </w:t>
      </w:r>
      <w:r w:rsidR="004E40AF">
        <w:rPr>
          <w:lang w:eastAsia="en-AU"/>
        </w:rPr>
        <w:t xml:space="preserve">assumed </w:t>
      </w:r>
      <w:r w:rsidR="00D94DED">
        <w:rPr>
          <w:lang w:eastAsia="en-AU"/>
        </w:rPr>
        <w:t xml:space="preserve">to be </w:t>
      </w:r>
      <w:r w:rsidR="00975CAD">
        <w:rPr>
          <w:lang w:eastAsia="en-AU"/>
        </w:rPr>
        <w:t>zero</w:t>
      </w:r>
      <w:r w:rsidR="00C92B92">
        <w:rPr>
          <w:lang w:eastAsia="en-AU"/>
        </w:rPr>
        <w:t>.</w:t>
      </w:r>
    </w:p>
    <w:p w14:paraId="6DCD8F30" w14:textId="731ADAFD" w:rsidR="0092155A" w:rsidRDefault="00164A1C" w:rsidP="006635AC">
      <w:pPr>
        <w:pStyle w:val="Heading2"/>
      </w:pPr>
      <w:bookmarkStart w:id="108" w:name="_Toc474153266"/>
      <w:bookmarkStart w:id="109" w:name="_Toc474158946"/>
      <w:bookmarkStart w:id="110" w:name="_Toc474847905"/>
      <w:bookmarkStart w:id="111" w:name="_Ref474996685"/>
      <w:bookmarkStart w:id="112" w:name="_Toc475360611"/>
      <w:r w:rsidRPr="00164A1C">
        <w:t>Limitations and inherent uncertainties in the assessment</w:t>
      </w:r>
      <w:bookmarkEnd w:id="108"/>
      <w:bookmarkEnd w:id="109"/>
      <w:bookmarkEnd w:id="110"/>
      <w:bookmarkEnd w:id="111"/>
      <w:bookmarkEnd w:id="112"/>
      <w:r w:rsidRPr="00164A1C">
        <w:t xml:space="preserve"> </w:t>
      </w:r>
    </w:p>
    <w:p w14:paraId="3DA6D393" w14:textId="0EDDB65D" w:rsidR="0097663C" w:rsidRDefault="0097663C" w:rsidP="0097663C">
      <w:pPr>
        <w:keepNext/>
        <w:rPr>
          <w:rFonts w:eastAsia="Times New Roman" w:cs="Arial"/>
          <w:szCs w:val="24"/>
        </w:rPr>
      </w:pPr>
      <w:r w:rsidRPr="0097663C">
        <w:rPr>
          <w:rFonts w:eastAsia="Times New Roman" w:cs="Arial"/>
          <w:szCs w:val="24"/>
        </w:rPr>
        <w:t>FSANZ aims to make as realistic an estimate of dietary exposure as possible. However, where significant uncertainties in the data exist, conservative (or ‘worst-case’) assumptions are</w:t>
      </w:r>
      <w:r w:rsidR="005F156C">
        <w:rPr>
          <w:rFonts w:eastAsia="Times New Roman" w:cs="Arial"/>
          <w:szCs w:val="24"/>
        </w:rPr>
        <w:t xml:space="preserve"> generally used to ensure that</w:t>
      </w:r>
      <w:r w:rsidRPr="0097663C">
        <w:rPr>
          <w:rFonts w:eastAsia="Times New Roman" w:cs="Arial"/>
          <w:szCs w:val="24"/>
        </w:rPr>
        <w:t xml:space="preserve"> exposure</w:t>
      </w:r>
      <w:r w:rsidR="005F156C">
        <w:rPr>
          <w:rFonts w:eastAsia="Times New Roman" w:cs="Arial"/>
          <w:szCs w:val="24"/>
        </w:rPr>
        <w:t xml:space="preserve"> estimates are protective of consumers</w:t>
      </w:r>
      <w:r w:rsidRPr="0097663C">
        <w:rPr>
          <w:rFonts w:eastAsia="Times New Roman" w:cs="Arial"/>
          <w:szCs w:val="24"/>
        </w:rPr>
        <w:t xml:space="preserve">. </w:t>
      </w:r>
    </w:p>
    <w:p w14:paraId="074FB19A" w14:textId="1884CCAC" w:rsidR="00164A1C" w:rsidRDefault="00164A1C" w:rsidP="0097663C">
      <w:pPr>
        <w:keepNext/>
        <w:rPr>
          <w:rFonts w:eastAsia="Times New Roman" w:cs="Arial"/>
          <w:szCs w:val="24"/>
        </w:rPr>
      </w:pPr>
      <w:r w:rsidRPr="00164A1C">
        <w:rPr>
          <w:rFonts w:eastAsia="Times New Roman" w:cs="Arial"/>
          <w:szCs w:val="24"/>
        </w:rPr>
        <w:t xml:space="preserve">According to the guidance provided by EFSA the following sources of uncertainties have been considered: </w:t>
      </w:r>
      <w:r w:rsidR="00AF0C3A">
        <w:rPr>
          <w:rFonts w:eastAsia="Times New Roman" w:cs="Arial"/>
          <w:szCs w:val="24"/>
        </w:rPr>
        <w:t>a</w:t>
      </w:r>
      <w:r w:rsidR="00AF0C3A" w:rsidRPr="00164A1C">
        <w:rPr>
          <w:rFonts w:eastAsia="Times New Roman" w:cs="Arial"/>
          <w:szCs w:val="24"/>
        </w:rPr>
        <w:t xml:space="preserve">ssessment </w:t>
      </w:r>
      <w:r w:rsidRPr="00164A1C">
        <w:rPr>
          <w:rFonts w:eastAsia="Times New Roman" w:cs="Arial"/>
          <w:szCs w:val="24"/>
        </w:rPr>
        <w:t>objectives, exposure scenario, exposure model,</w:t>
      </w:r>
      <w:r>
        <w:rPr>
          <w:rFonts w:eastAsia="Times New Roman" w:cs="Arial"/>
          <w:szCs w:val="24"/>
        </w:rPr>
        <w:t xml:space="preserve"> and model input (parameters)</w:t>
      </w:r>
      <w:r w:rsidR="00161D99">
        <w:rPr>
          <w:rFonts w:eastAsia="Times New Roman" w:cs="Arial"/>
          <w:szCs w:val="24"/>
        </w:rPr>
        <w:t xml:space="preserve"> (EFSA 2006)</w:t>
      </w:r>
      <w:r>
        <w:rPr>
          <w:rFonts w:eastAsia="Times New Roman" w:cs="Arial"/>
          <w:szCs w:val="24"/>
        </w:rPr>
        <w:t>.</w:t>
      </w:r>
      <w:r w:rsidR="0001223D" w:rsidRPr="00217906">
        <w:rPr>
          <w:rStyle w:val="CrossReferenceChar"/>
        </w:rPr>
        <w:t xml:space="preserve"> </w:t>
      </w:r>
      <w:r w:rsidR="002E1AF0" w:rsidRPr="00217906">
        <w:rPr>
          <w:rStyle w:val="CrossReferenceChar"/>
        </w:rPr>
        <w:fldChar w:fldCharType="begin"/>
      </w:r>
      <w:r w:rsidR="002E1AF0" w:rsidRPr="00217906">
        <w:rPr>
          <w:rStyle w:val="CrossReferenceChar"/>
        </w:rPr>
        <w:instrText xml:space="preserve"> REF _Ref474318045 \r \h </w:instrText>
      </w:r>
      <w:r w:rsidR="00217906">
        <w:rPr>
          <w:rStyle w:val="CrossReferenceChar"/>
        </w:rPr>
        <w:instrText xml:space="preserve"> \* MERGEFORMAT </w:instrText>
      </w:r>
      <w:r w:rsidR="002E1AF0" w:rsidRPr="00217906">
        <w:rPr>
          <w:rStyle w:val="CrossReferenceChar"/>
        </w:rPr>
      </w:r>
      <w:r w:rsidR="002E1AF0" w:rsidRPr="00217906">
        <w:rPr>
          <w:rStyle w:val="CrossReferenceChar"/>
        </w:rPr>
        <w:fldChar w:fldCharType="separate"/>
      </w:r>
      <w:r w:rsidR="00D5249B">
        <w:rPr>
          <w:rStyle w:val="CrossReferenceChar"/>
        </w:rPr>
        <w:t>Table 5</w:t>
      </w:r>
      <w:r w:rsidR="002E1AF0" w:rsidRPr="00217906">
        <w:rPr>
          <w:rStyle w:val="CrossReferenceChar"/>
        </w:rPr>
        <w:fldChar w:fldCharType="end"/>
      </w:r>
      <w:r w:rsidR="001C4D62">
        <w:t xml:space="preserve"> summarises</w:t>
      </w:r>
      <w:r w:rsidR="00AF0C3A">
        <w:t xml:space="preserve"> a </w:t>
      </w:r>
      <w:r w:rsidR="00AF0C3A" w:rsidRPr="00533CE7">
        <w:rPr>
          <w:lang w:eastAsia="en-AU"/>
        </w:rPr>
        <w:t xml:space="preserve">qualitative evaluation </w:t>
      </w:r>
      <w:r w:rsidR="00AF0C3A">
        <w:rPr>
          <w:lang w:eastAsia="en-AU"/>
        </w:rPr>
        <w:t>of the impact of uncertainties i</w:t>
      </w:r>
      <w:r w:rsidR="00AF0C3A" w:rsidRPr="00533CE7">
        <w:rPr>
          <w:lang w:eastAsia="en-AU"/>
        </w:rPr>
        <w:t>n calculations</w:t>
      </w:r>
      <w:r w:rsidR="00AF0C3A">
        <w:rPr>
          <w:lang w:eastAsia="en-AU"/>
        </w:rPr>
        <w:t>.</w:t>
      </w:r>
      <w:r w:rsidR="00AF0C3A" w:rsidRPr="0001223D">
        <w:rPr>
          <w:rFonts w:eastAsia="Times New Roman" w:cs="Arial"/>
          <w:szCs w:val="24"/>
        </w:rPr>
        <w:t xml:space="preserve"> </w:t>
      </w:r>
      <w:r w:rsidR="0001223D" w:rsidRPr="0001223D">
        <w:rPr>
          <w:rFonts w:eastAsia="Times New Roman" w:cs="Arial"/>
          <w:szCs w:val="24"/>
        </w:rPr>
        <w:t xml:space="preserve">For more information on </w:t>
      </w:r>
      <w:r w:rsidR="00190A05">
        <w:rPr>
          <w:rFonts w:eastAsia="Times New Roman" w:cs="Arial"/>
          <w:szCs w:val="24"/>
        </w:rPr>
        <w:t>the</w:t>
      </w:r>
      <w:r w:rsidR="0001223D" w:rsidRPr="0001223D">
        <w:rPr>
          <w:rFonts w:eastAsia="Times New Roman" w:cs="Arial"/>
          <w:szCs w:val="24"/>
        </w:rPr>
        <w:t xml:space="preserve"> FSANZ dietary exposure assessment principles, methodology, assumptions and limitations and uncertainties </w:t>
      </w:r>
      <w:r w:rsidR="00190A05">
        <w:rPr>
          <w:rFonts w:eastAsia="Times New Roman" w:cs="Arial"/>
          <w:szCs w:val="24"/>
        </w:rPr>
        <w:t xml:space="preserve">around </w:t>
      </w:r>
      <w:r w:rsidR="0001223D" w:rsidRPr="0001223D">
        <w:rPr>
          <w:rFonts w:eastAsia="Times New Roman" w:cs="Arial"/>
          <w:szCs w:val="24"/>
        </w:rPr>
        <w:t xml:space="preserve">concentration and food consumption data, see the FSANZ document, </w:t>
      </w:r>
      <w:r w:rsidR="0001223D" w:rsidRPr="00190A05">
        <w:rPr>
          <w:rFonts w:eastAsia="Times New Roman"/>
          <w:i/>
        </w:rPr>
        <w:t xml:space="preserve">Principles and Practices of Dietary Exposure Assessment for Food Regulatory Purposes </w:t>
      </w:r>
      <w:r w:rsidR="0001223D" w:rsidRPr="0001223D">
        <w:rPr>
          <w:rFonts w:eastAsia="Times New Roman" w:cs="Arial"/>
          <w:szCs w:val="24"/>
        </w:rPr>
        <w:t>(FSANZ, 2009a).</w:t>
      </w:r>
    </w:p>
    <w:p w14:paraId="5D85E93A" w14:textId="3AD15446" w:rsidR="00BC1526" w:rsidRPr="00A75BE9" w:rsidRDefault="00164A1C" w:rsidP="004E1EE4">
      <w:pPr>
        <w:pStyle w:val="Heading3"/>
      </w:pPr>
      <w:bookmarkStart w:id="113" w:name="_Toc474153267"/>
      <w:bookmarkStart w:id="114" w:name="_Toc474158947"/>
      <w:bookmarkStart w:id="115" w:name="_Toc475360612"/>
      <w:r w:rsidRPr="00A75BE9">
        <w:t>Assessment objectives</w:t>
      </w:r>
      <w:bookmarkEnd w:id="113"/>
      <w:bookmarkEnd w:id="114"/>
      <w:bookmarkEnd w:id="115"/>
    </w:p>
    <w:p w14:paraId="4892910E" w14:textId="6A7DBD96" w:rsidR="00164A1C" w:rsidRDefault="00164A1C" w:rsidP="00164A1C">
      <w:pPr>
        <w:rPr>
          <w:lang w:eastAsia="en-AU"/>
        </w:rPr>
      </w:pPr>
      <w:r w:rsidRPr="00164A1C">
        <w:rPr>
          <w:lang w:eastAsia="en-AU"/>
        </w:rPr>
        <w:t xml:space="preserve">FSANZ </w:t>
      </w:r>
      <w:r w:rsidR="00014CF0">
        <w:rPr>
          <w:lang w:eastAsia="en-AU"/>
        </w:rPr>
        <w:t>was</w:t>
      </w:r>
      <w:r>
        <w:rPr>
          <w:lang w:eastAsia="en-AU"/>
        </w:rPr>
        <w:t xml:space="preserve"> contracted</w:t>
      </w:r>
      <w:r w:rsidRPr="00164A1C">
        <w:rPr>
          <w:lang w:eastAsia="en-AU"/>
        </w:rPr>
        <w:t xml:space="preserve"> to assess the</w:t>
      </w:r>
      <w:r w:rsidR="00233EEE">
        <w:rPr>
          <w:lang w:eastAsia="en-AU"/>
        </w:rPr>
        <w:t xml:space="preserve"> potential risks related to </w:t>
      </w:r>
      <w:r>
        <w:rPr>
          <w:lang w:eastAsia="en-AU"/>
        </w:rPr>
        <w:t xml:space="preserve">exposure to </w:t>
      </w:r>
      <w:r w:rsidR="00F70BC9">
        <w:rPr>
          <w:lang w:eastAsia="en-AU"/>
        </w:rPr>
        <w:t xml:space="preserve">PFOS, PFOA and </w:t>
      </w:r>
      <w:proofErr w:type="spellStart"/>
      <w:r w:rsidR="00F70BC9">
        <w:rPr>
          <w:lang w:eastAsia="en-AU"/>
        </w:rPr>
        <w:t>PFHxS</w:t>
      </w:r>
      <w:proofErr w:type="spellEnd"/>
      <w:r w:rsidR="00233EEE">
        <w:rPr>
          <w:lang w:eastAsia="en-AU"/>
        </w:rPr>
        <w:t xml:space="preserve"> from the diet for population</w:t>
      </w:r>
      <w:r w:rsidR="00336C60">
        <w:rPr>
          <w:lang w:eastAsia="en-AU"/>
        </w:rPr>
        <w:t>s</w:t>
      </w:r>
      <w:r w:rsidR="00233EEE">
        <w:rPr>
          <w:lang w:eastAsia="en-AU"/>
        </w:rPr>
        <w:t xml:space="preserve"> living in proximity to contaminated sites</w:t>
      </w:r>
      <w:r w:rsidR="00022114">
        <w:rPr>
          <w:lang w:eastAsia="en-AU"/>
        </w:rPr>
        <w:t>.</w:t>
      </w:r>
      <w:r w:rsidRPr="00164A1C">
        <w:rPr>
          <w:lang w:eastAsia="en-AU"/>
        </w:rPr>
        <w:t xml:space="preserve"> The uncertainty of the assessment objectives is considered </w:t>
      </w:r>
      <w:r w:rsidR="00F70BC9">
        <w:rPr>
          <w:lang w:eastAsia="en-AU"/>
        </w:rPr>
        <w:t>low</w:t>
      </w:r>
      <w:r w:rsidR="00C93810">
        <w:rPr>
          <w:lang w:eastAsia="en-AU"/>
        </w:rPr>
        <w:t>, however it is noted that FSANZ determined a full dietary exposure assessment for the population could not be undertaken due to deficiencies in the data available.</w:t>
      </w:r>
    </w:p>
    <w:p w14:paraId="1DDF866E" w14:textId="6484C310" w:rsidR="007C0F43" w:rsidRPr="00A75BE9" w:rsidRDefault="007C0F43" w:rsidP="004E1EE4">
      <w:pPr>
        <w:pStyle w:val="Heading3"/>
      </w:pPr>
      <w:bookmarkStart w:id="116" w:name="_Toc474153268"/>
      <w:bookmarkStart w:id="117" w:name="_Toc474158948"/>
      <w:bookmarkStart w:id="118" w:name="_Toc475360613"/>
      <w:r w:rsidRPr="00A75BE9">
        <w:t>Occurrence data</w:t>
      </w:r>
      <w:bookmarkEnd w:id="116"/>
      <w:bookmarkEnd w:id="117"/>
      <w:bookmarkEnd w:id="118"/>
      <w:r w:rsidRPr="00A75BE9">
        <w:t xml:space="preserve"> </w:t>
      </w:r>
    </w:p>
    <w:p w14:paraId="5A6164E9" w14:textId="060AEE43" w:rsidR="004C78B4" w:rsidRDefault="004C78B4" w:rsidP="004C78B4">
      <w:pPr>
        <w:rPr>
          <w:lang w:eastAsia="en-AU"/>
        </w:rPr>
      </w:pPr>
      <w:r w:rsidRPr="009527FF">
        <w:rPr>
          <w:lang w:eastAsia="en-AU"/>
        </w:rPr>
        <w:t xml:space="preserve">It is </w:t>
      </w:r>
      <w:r>
        <w:rPr>
          <w:lang w:eastAsia="en-AU"/>
        </w:rPr>
        <w:t xml:space="preserve">highly </w:t>
      </w:r>
      <w:r w:rsidRPr="009527FF">
        <w:rPr>
          <w:lang w:eastAsia="en-AU"/>
        </w:rPr>
        <w:t xml:space="preserve">uncertain whether the occurrence data </w:t>
      </w:r>
      <w:r w:rsidR="00371C25" w:rsidRPr="0001223D">
        <w:rPr>
          <w:lang w:eastAsia="en-AU"/>
        </w:rPr>
        <w:t>made available to FSANZ in</w:t>
      </w:r>
      <w:r w:rsidR="00371C25">
        <w:rPr>
          <w:lang w:eastAsia="en-AU"/>
        </w:rPr>
        <w:t xml:space="preserve"> response to its call for data</w:t>
      </w:r>
      <w:r w:rsidR="00371C25" w:rsidRPr="009527FF">
        <w:rPr>
          <w:lang w:eastAsia="en-AU"/>
        </w:rPr>
        <w:t xml:space="preserve"> </w:t>
      </w:r>
      <w:r w:rsidRPr="009527FF">
        <w:rPr>
          <w:lang w:eastAsia="en-AU"/>
        </w:rPr>
        <w:t xml:space="preserve">are representative of the contamination of </w:t>
      </w:r>
      <w:r>
        <w:rPr>
          <w:lang w:eastAsia="en-AU"/>
        </w:rPr>
        <w:t xml:space="preserve">food with </w:t>
      </w:r>
      <w:r w:rsidRPr="0001223D">
        <w:rPr>
          <w:lang w:eastAsia="en-AU"/>
        </w:rPr>
        <w:t xml:space="preserve">PFOS, PFOA and </w:t>
      </w:r>
      <w:proofErr w:type="spellStart"/>
      <w:r w:rsidRPr="0001223D">
        <w:rPr>
          <w:lang w:eastAsia="en-AU"/>
        </w:rPr>
        <w:t>PFHxS</w:t>
      </w:r>
      <w:proofErr w:type="spellEnd"/>
      <w:r w:rsidRPr="009527FF">
        <w:rPr>
          <w:lang w:eastAsia="en-AU"/>
        </w:rPr>
        <w:t>. The data</w:t>
      </w:r>
      <w:r w:rsidRPr="009527FF" w:rsidDel="0037569A">
        <w:rPr>
          <w:lang w:eastAsia="en-AU"/>
        </w:rPr>
        <w:t xml:space="preserve"> </w:t>
      </w:r>
      <w:r w:rsidR="0037569A">
        <w:rPr>
          <w:lang w:eastAsia="en-AU"/>
        </w:rPr>
        <w:t>received</w:t>
      </w:r>
      <w:r w:rsidR="0037569A" w:rsidRPr="009527FF">
        <w:rPr>
          <w:lang w:eastAsia="en-AU"/>
        </w:rPr>
        <w:t xml:space="preserve"> </w:t>
      </w:r>
      <w:r w:rsidRPr="009527FF">
        <w:rPr>
          <w:lang w:eastAsia="en-AU"/>
        </w:rPr>
        <w:t xml:space="preserve">were from </w:t>
      </w:r>
      <w:r>
        <w:rPr>
          <w:lang w:eastAsia="en-AU"/>
        </w:rPr>
        <w:t xml:space="preserve">a variety of sources </w:t>
      </w:r>
      <w:r w:rsidR="00EA6551">
        <w:rPr>
          <w:lang w:eastAsia="en-AU"/>
        </w:rPr>
        <w:t xml:space="preserve">for </w:t>
      </w:r>
      <w:r w:rsidR="0037569A">
        <w:rPr>
          <w:lang w:eastAsia="en-AU"/>
        </w:rPr>
        <w:t xml:space="preserve">a limited range of </w:t>
      </w:r>
      <w:r w:rsidR="00EA6551">
        <w:rPr>
          <w:lang w:eastAsia="en-AU"/>
        </w:rPr>
        <w:t>food</w:t>
      </w:r>
      <w:r w:rsidR="0037569A">
        <w:rPr>
          <w:lang w:eastAsia="en-AU"/>
        </w:rPr>
        <w:t>s</w:t>
      </w:r>
      <w:r w:rsidR="00EA6551">
        <w:rPr>
          <w:lang w:eastAsia="en-AU"/>
        </w:rPr>
        <w:t xml:space="preserve"> </w:t>
      </w:r>
      <w:r w:rsidR="0037569A">
        <w:rPr>
          <w:lang w:eastAsia="en-AU"/>
        </w:rPr>
        <w:t xml:space="preserve">from </w:t>
      </w:r>
      <w:r w:rsidR="00EA6551">
        <w:rPr>
          <w:lang w:eastAsia="en-AU"/>
        </w:rPr>
        <w:t>contaminated sites or areas in close proximity to such sites</w:t>
      </w:r>
      <w:r w:rsidR="0037569A">
        <w:rPr>
          <w:lang w:eastAsia="en-AU"/>
        </w:rPr>
        <w:t>.</w:t>
      </w:r>
      <w:r w:rsidR="00EA6551">
        <w:rPr>
          <w:lang w:eastAsia="en-AU"/>
        </w:rPr>
        <w:t xml:space="preserve"> </w:t>
      </w:r>
      <w:r w:rsidR="0037569A">
        <w:rPr>
          <w:lang w:eastAsia="en-AU"/>
        </w:rPr>
        <w:t xml:space="preserve">These data </w:t>
      </w:r>
      <w:r>
        <w:rPr>
          <w:lang w:eastAsia="en-AU"/>
        </w:rPr>
        <w:t>provide t</w:t>
      </w:r>
      <w:r w:rsidRPr="0001223D">
        <w:rPr>
          <w:lang w:eastAsia="en-AU"/>
        </w:rPr>
        <w:t xml:space="preserve">he most significant limitation in this assessment </w:t>
      </w:r>
      <w:r>
        <w:rPr>
          <w:lang w:eastAsia="en-AU"/>
        </w:rPr>
        <w:t xml:space="preserve">because </w:t>
      </w:r>
      <w:r w:rsidR="00371C25">
        <w:rPr>
          <w:lang w:eastAsia="en-AU"/>
        </w:rPr>
        <w:t>there is</w:t>
      </w:r>
      <w:r w:rsidRPr="0001223D">
        <w:rPr>
          <w:lang w:eastAsia="en-AU"/>
        </w:rPr>
        <w:t xml:space="preserve"> very limited data on occurrence of </w:t>
      </w:r>
      <w:r w:rsidR="003B750E">
        <w:rPr>
          <w:lang w:eastAsia="en-AU"/>
        </w:rPr>
        <w:t xml:space="preserve">PFOS, PFOA AND </w:t>
      </w:r>
      <w:proofErr w:type="spellStart"/>
      <w:r w:rsidR="003B750E">
        <w:rPr>
          <w:lang w:eastAsia="en-AU"/>
        </w:rPr>
        <w:t>PFH</w:t>
      </w:r>
      <w:r w:rsidR="00F525EA">
        <w:rPr>
          <w:lang w:eastAsia="en-AU"/>
        </w:rPr>
        <w:t>x</w:t>
      </w:r>
      <w:r w:rsidR="003B750E">
        <w:rPr>
          <w:lang w:eastAsia="en-AU"/>
        </w:rPr>
        <w:t>S</w:t>
      </w:r>
      <w:proofErr w:type="spellEnd"/>
      <w:r w:rsidRPr="0001223D">
        <w:rPr>
          <w:lang w:eastAsia="en-AU"/>
        </w:rPr>
        <w:t xml:space="preserve"> in Australian foods</w:t>
      </w:r>
      <w:r w:rsidR="00BF0823">
        <w:rPr>
          <w:lang w:eastAsia="en-AU"/>
        </w:rPr>
        <w:t xml:space="preserve"> (Attachment 2).</w:t>
      </w:r>
    </w:p>
    <w:p w14:paraId="0CD46AA1" w14:textId="7B1C70F9" w:rsidR="0001223D" w:rsidRDefault="00B85F4E" w:rsidP="0001223D">
      <w:pPr>
        <w:rPr>
          <w:lang w:eastAsia="en-AU"/>
        </w:rPr>
      </w:pPr>
      <w:r>
        <w:rPr>
          <w:lang w:eastAsia="en-AU"/>
        </w:rPr>
        <w:t>A</w:t>
      </w:r>
      <w:r w:rsidR="0001223D">
        <w:rPr>
          <w:lang w:eastAsia="en-AU"/>
        </w:rPr>
        <w:t xml:space="preserve"> number of limitations in the occurrence data </w:t>
      </w:r>
      <w:r w:rsidR="00420FFA">
        <w:rPr>
          <w:lang w:eastAsia="en-AU"/>
        </w:rPr>
        <w:t>are</w:t>
      </w:r>
      <w:r w:rsidR="0001223D">
        <w:rPr>
          <w:lang w:eastAsia="en-AU"/>
        </w:rPr>
        <w:t xml:space="preserve"> described</w:t>
      </w:r>
      <w:r w:rsidR="00420FFA">
        <w:rPr>
          <w:lang w:eastAsia="en-AU"/>
        </w:rPr>
        <w:t xml:space="preserve"> below</w:t>
      </w:r>
      <w:r w:rsidR="0001223D">
        <w:rPr>
          <w:lang w:eastAsia="en-AU"/>
        </w:rPr>
        <w:t>:</w:t>
      </w:r>
    </w:p>
    <w:p w14:paraId="4C0B4AB9" w14:textId="3642EAD6" w:rsidR="0001223D" w:rsidRDefault="00233EEE" w:rsidP="0001223D">
      <w:pPr>
        <w:pStyle w:val="FSBullet1"/>
        <w:rPr>
          <w:lang w:eastAsia="en-AU"/>
        </w:rPr>
      </w:pPr>
      <w:r>
        <w:rPr>
          <w:lang w:eastAsia="en-AU"/>
        </w:rPr>
        <w:t>t</w:t>
      </w:r>
      <w:r w:rsidR="0001223D">
        <w:rPr>
          <w:lang w:eastAsia="en-AU"/>
        </w:rPr>
        <w:t xml:space="preserve">here is </w:t>
      </w:r>
      <w:r w:rsidR="00D34E6F">
        <w:rPr>
          <w:lang w:eastAsia="en-AU"/>
        </w:rPr>
        <w:t>a</w:t>
      </w:r>
      <w:r w:rsidR="0001223D">
        <w:rPr>
          <w:lang w:eastAsia="en-AU"/>
        </w:rPr>
        <w:t xml:space="preserve"> very high number of records where </w:t>
      </w:r>
      <w:r w:rsidR="00342F02">
        <w:rPr>
          <w:lang w:eastAsia="en-AU"/>
        </w:rPr>
        <w:t>the chemicals of interest</w:t>
      </w:r>
      <w:r w:rsidR="0001223D">
        <w:rPr>
          <w:lang w:eastAsia="en-AU"/>
        </w:rPr>
        <w:t xml:space="preserve"> ha</w:t>
      </w:r>
      <w:r w:rsidR="00342F02">
        <w:rPr>
          <w:lang w:eastAsia="en-AU"/>
        </w:rPr>
        <w:t>ve</w:t>
      </w:r>
      <w:r w:rsidR="0001223D">
        <w:rPr>
          <w:lang w:eastAsia="en-AU"/>
        </w:rPr>
        <w:t xml:space="preserve"> not been </w:t>
      </w:r>
      <w:r w:rsidR="007961D9">
        <w:rPr>
          <w:lang w:eastAsia="en-AU"/>
        </w:rPr>
        <w:t>detected</w:t>
      </w:r>
      <w:r w:rsidR="00355654">
        <w:rPr>
          <w:lang w:eastAsia="en-AU"/>
        </w:rPr>
        <w:t>;</w:t>
      </w:r>
      <w:r w:rsidR="0001223D">
        <w:rPr>
          <w:lang w:eastAsia="en-AU"/>
        </w:rPr>
        <w:t xml:space="preserve"> in the case of PFOA and </w:t>
      </w:r>
      <w:proofErr w:type="spellStart"/>
      <w:r w:rsidR="0001223D">
        <w:rPr>
          <w:lang w:eastAsia="en-AU"/>
        </w:rPr>
        <w:t>PFHxS</w:t>
      </w:r>
      <w:proofErr w:type="spellEnd"/>
      <w:r w:rsidR="0001223D">
        <w:rPr>
          <w:lang w:eastAsia="en-AU"/>
        </w:rPr>
        <w:t xml:space="preserve"> this is the majority of records</w:t>
      </w:r>
      <w:r w:rsidR="00D03406">
        <w:rPr>
          <w:lang w:eastAsia="en-AU"/>
        </w:rPr>
        <w:t>, consequently</w:t>
      </w:r>
      <w:r w:rsidR="0001223D">
        <w:rPr>
          <w:lang w:eastAsia="en-AU"/>
        </w:rPr>
        <w:t xml:space="preserve"> </w:t>
      </w:r>
      <w:r>
        <w:rPr>
          <w:lang w:eastAsia="en-AU"/>
        </w:rPr>
        <w:t>all</w:t>
      </w:r>
      <w:r w:rsidR="0001223D">
        <w:rPr>
          <w:lang w:eastAsia="en-AU"/>
        </w:rPr>
        <w:t xml:space="preserve"> </w:t>
      </w:r>
      <w:r>
        <w:rPr>
          <w:lang w:eastAsia="en-AU"/>
        </w:rPr>
        <w:t>calculations</w:t>
      </w:r>
      <w:r w:rsidR="0001223D">
        <w:rPr>
          <w:lang w:eastAsia="en-AU"/>
        </w:rPr>
        <w:t xml:space="preserve"> are highly sensitive to limits of </w:t>
      </w:r>
      <w:r>
        <w:rPr>
          <w:lang w:eastAsia="en-AU"/>
        </w:rPr>
        <w:t>determination (LOD)</w:t>
      </w:r>
    </w:p>
    <w:p w14:paraId="683E89CD" w14:textId="63BF572F" w:rsidR="0001223D" w:rsidRDefault="00233EEE" w:rsidP="0001223D">
      <w:pPr>
        <w:pStyle w:val="FSBullet1"/>
        <w:rPr>
          <w:lang w:eastAsia="en-AU"/>
        </w:rPr>
      </w:pPr>
      <w:r>
        <w:rPr>
          <w:lang w:eastAsia="en-AU"/>
        </w:rPr>
        <w:t>m</w:t>
      </w:r>
      <w:r w:rsidR="0001223D">
        <w:rPr>
          <w:lang w:eastAsia="en-AU"/>
        </w:rPr>
        <w:t>ost data are based on environmental sampling and do not necessarily reflect food as sold to the public (e.g. raw milk)</w:t>
      </w:r>
    </w:p>
    <w:p w14:paraId="42395B35" w14:textId="311A734F" w:rsidR="0001223D" w:rsidRDefault="00233EEE" w:rsidP="0001223D">
      <w:pPr>
        <w:pStyle w:val="FSBullet1"/>
        <w:rPr>
          <w:lang w:eastAsia="en-AU"/>
        </w:rPr>
      </w:pPr>
      <w:r>
        <w:rPr>
          <w:lang w:eastAsia="en-AU"/>
        </w:rPr>
        <w:t>s</w:t>
      </w:r>
      <w:r w:rsidR="0001223D">
        <w:rPr>
          <w:lang w:eastAsia="en-AU"/>
        </w:rPr>
        <w:t xml:space="preserve">ampling was </w:t>
      </w:r>
      <w:r>
        <w:rPr>
          <w:lang w:eastAsia="en-AU"/>
        </w:rPr>
        <w:t xml:space="preserve">targeted (in proximity to contaminated sites) </w:t>
      </w:r>
      <w:r w:rsidR="0001223D">
        <w:rPr>
          <w:lang w:eastAsia="en-AU"/>
        </w:rPr>
        <w:t>rather than randomised and is unlikely to be representative of the food supply</w:t>
      </w:r>
      <w:r w:rsidR="004570C5">
        <w:rPr>
          <w:lang w:eastAsia="en-AU"/>
        </w:rPr>
        <w:t xml:space="preserve">, therefore results </w:t>
      </w:r>
      <w:r w:rsidR="002C36A5">
        <w:rPr>
          <w:lang w:eastAsia="en-AU"/>
        </w:rPr>
        <w:t xml:space="preserve">are </w:t>
      </w:r>
      <w:r w:rsidR="004570C5">
        <w:rPr>
          <w:lang w:eastAsia="en-AU"/>
        </w:rPr>
        <w:t>likely to overestimate potential dietary exposure</w:t>
      </w:r>
    </w:p>
    <w:p w14:paraId="2D6CE303" w14:textId="387A1F3D" w:rsidR="0001223D" w:rsidRDefault="00233EEE" w:rsidP="0001223D">
      <w:pPr>
        <w:pStyle w:val="FSBullet1"/>
        <w:rPr>
          <w:lang w:eastAsia="en-AU"/>
        </w:rPr>
      </w:pPr>
      <w:r>
        <w:rPr>
          <w:lang w:eastAsia="en-AU"/>
        </w:rPr>
        <w:t>m</w:t>
      </w:r>
      <w:r w:rsidR="0001223D">
        <w:rPr>
          <w:lang w:eastAsia="en-AU"/>
        </w:rPr>
        <w:t>ost animal data used to estimate occurrence in meat w</w:t>
      </w:r>
      <w:r w:rsidR="00FF11D4">
        <w:rPr>
          <w:lang w:eastAsia="en-AU"/>
        </w:rPr>
        <w:t>ere</w:t>
      </w:r>
      <w:r w:rsidR="0001223D">
        <w:rPr>
          <w:lang w:eastAsia="en-AU"/>
        </w:rPr>
        <w:t xml:space="preserve"> estimated from </w:t>
      </w:r>
      <w:r>
        <w:rPr>
          <w:lang w:eastAsia="en-AU"/>
        </w:rPr>
        <w:t xml:space="preserve">blood </w:t>
      </w:r>
      <w:r w:rsidR="0001223D">
        <w:rPr>
          <w:lang w:eastAsia="en-AU"/>
        </w:rPr>
        <w:t>serum measuremen</w:t>
      </w:r>
      <w:r w:rsidR="00961BBF">
        <w:rPr>
          <w:lang w:eastAsia="en-AU"/>
        </w:rPr>
        <w:t>ts using a conversion factor</w:t>
      </w:r>
    </w:p>
    <w:p w14:paraId="454DAD00" w14:textId="21E6526D" w:rsidR="0001223D" w:rsidRDefault="00233EEE" w:rsidP="0001223D">
      <w:pPr>
        <w:pStyle w:val="FSBullet1"/>
        <w:rPr>
          <w:lang w:eastAsia="en-AU"/>
        </w:rPr>
      </w:pPr>
      <w:r>
        <w:rPr>
          <w:lang w:eastAsia="en-AU"/>
        </w:rPr>
        <w:t>t</w:t>
      </w:r>
      <w:r w:rsidR="0001223D">
        <w:rPr>
          <w:lang w:eastAsia="en-AU"/>
        </w:rPr>
        <w:t xml:space="preserve">here are major gaps in the data including </w:t>
      </w:r>
      <w:r>
        <w:rPr>
          <w:lang w:eastAsia="en-AU"/>
        </w:rPr>
        <w:t xml:space="preserve">for </w:t>
      </w:r>
      <w:r w:rsidR="0001223D">
        <w:rPr>
          <w:lang w:eastAsia="en-AU"/>
        </w:rPr>
        <w:t xml:space="preserve">poultry meat, </w:t>
      </w:r>
      <w:r w:rsidR="00DE4473">
        <w:rPr>
          <w:lang w:eastAsia="en-AU"/>
        </w:rPr>
        <w:t xml:space="preserve">cereal grains, oils and fats. </w:t>
      </w:r>
      <w:r w:rsidR="00342F02">
        <w:rPr>
          <w:lang w:eastAsia="en-AU"/>
        </w:rPr>
        <w:t>None</w:t>
      </w:r>
      <w:r w:rsidR="002C36A5">
        <w:rPr>
          <w:lang w:eastAsia="en-AU"/>
        </w:rPr>
        <w:t xml:space="preserve"> of</w:t>
      </w:r>
      <w:r w:rsidR="0001223D">
        <w:rPr>
          <w:lang w:eastAsia="en-AU"/>
        </w:rPr>
        <w:t xml:space="preserve"> the</w:t>
      </w:r>
      <w:r>
        <w:rPr>
          <w:lang w:eastAsia="en-AU"/>
        </w:rPr>
        <w:t>se foods</w:t>
      </w:r>
      <w:r w:rsidR="0001223D">
        <w:rPr>
          <w:lang w:eastAsia="en-AU"/>
        </w:rPr>
        <w:t xml:space="preserve"> could be matched to a raw commodity classification</w:t>
      </w:r>
      <w:r>
        <w:rPr>
          <w:lang w:eastAsia="en-AU"/>
        </w:rPr>
        <w:t xml:space="preserve"> w</w:t>
      </w:r>
      <w:r w:rsidR="00FF11D4">
        <w:rPr>
          <w:lang w:eastAsia="en-AU"/>
        </w:rPr>
        <w:t>h</w:t>
      </w:r>
      <w:r>
        <w:rPr>
          <w:lang w:eastAsia="en-AU"/>
        </w:rPr>
        <w:t>ere occurrence data were available, hence concentration levels were assumed to be zero</w:t>
      </w:r>
    </w:p>
    <w:p w14:paraId="33DD6D1E" w14:textId="5DF4FC06" w:rsidR="0001223D" w:rsidRDefault="00233EEE" w:rsidP="0001223D">
      <w:pPr>
        <w:pStyle w:val="FSBullet1"/>
        <w:rPr>
          <w:lang w:eastAsia="en-AU"/>
        </w:rPr>
      </w:pPr>
      <w:r>
        <w:rPr>
          <w:lang w:eastAsia="en-AU"/>
        </w:rPr>
        <w:t>s</w:t>
      </w:r>
      <w:r w:rsidR="0001223D">
        <w:rPr>
          <w:lang w:eastAsia="en-AU"/>
        </w:rPr>
        <w:t xml:space="preserve">ome of </w:t>
      </w:r>
      <w:r w:rsidR="00D34E6F">
        <w:rPr>
          <w:lang w:eastAsia="en-AU"/>
        </w:rPr>
        <w:t>the</w:t>
      </w:r>
      <w:r w:rsidR="0001223D">
        <w:rPr>
          <w:lang w:eastAsia="en-AU"/>
        </w:rPr>
        <w:t xml:space="preserve"> data included in the database had poor metadata and </w:t>
      </w:r>
      <w:r w:rsidR="000F313F">
        <w:rPr>
          <w:lang w:eastAsia="en-AU"/>
        </w:rPr>
        <w:t xml:space="preserve">limited </w:t>
      </w:r>
      <w:r w:rsidR="0001223D">
        <w:rPr>
          <w:lang w:eastAsia="en-AU"/>
        </w:rPr>
        <w:t>auditing or validation</w:t>
      </w:r>
      <w:r w:rsidR="00342F02">
        <w:rPr>
          <w:lang w:eastAsia="en-AU"/>
        </w:rPr>
        <w:t>.</w:t>
      </w:r>
      <w:r w:rsidR="004570C5">
        <w:rPr>
          <w:lang w:eastAsia="en-AU"/>
        </w:rPr>
        <w:t xml:space="preserve"> </w:t>
      </w:r>
      <w:r w:rsidR="002C36A5">
        <w:rPr>
          <w:lang w:eastAsia="en-AU"/>
        </w:rPr>
        <w:t>F</w:t>
      </w:r>
      <w:r w:rsidR="004570C5">
        <w:rPr>
          <w:lang w:eastAsia="en-AU"/>
        </w:rPr>
        <w:t xml:space="preserve">or example in some cases it is unclear </w:t>
      </w:r>
      <w:r w:rsidR="002C36A5">
        <w:rPr>
          <w:lang w:eastAsia="en-AU"/>
        </w:rPr>
        <w:t xml:space="preserve">whether </w:t>
      </w:r>
      <w:r w:rsidR="004570C5">
        <w:rPr>
          <w:lang w:eastAsia="en-AU"/>
        </w:rPr>
        <w:t xml:space="preserve">the data were duplicates </w:t>
      </w:r>
      <w:r w:rsidR="004570C5">
        <w:rPr>
          <w:lang w:eastAsia="en-AU"/>
        </w:rPr>
        <w:lastRenderedPageBreak/>
        <w:t>and/or composit</w:t>
      </w:r>
      <w:r w:rsidR="009110E5">
        <w:rPr>
          <w:lang w:eastAsia="en-AU"/>
        </w:rPr>
        <w:t>e</w:t>
      </w:r>
      <w:r w:rsidR="004570C5">
        <w:rPr>
          <w:lang w:eastAsia="en-AU"/>
        </w:rPr>
        <w:t xml:space="preserve"> samples, and in the latter case how many raw samples were included in each composit</w:t>
      </w:r>
      <w:r w:rsidR="009110E5">
        <w:rPr>
          <w:lang w:eastAsia="en-AU"/>
        </w:rPr>
        <w:t>e</w:t>
      </w:r>
      <w:r>
        <w:rPr>
          <w:lang w:eastAsia="en-AU"/>
        </w:rPr>
        <w:t>.</w:t>
      </w:r>
    </w:p>
    <w:p w14:paraId="14C94403" w14:textId="4C33F050" w:rsidR="009527FF" w:rsidRDefault="0001223D" w:rsidP="009527FF">
      <w:pPr>
        <w:rPr>
          <w:lang w:eastAsia="en-AU"/>
        </w:rPr>
      </w:pPr>
      <w:r>
        <w:rPr>
          <w:lang w:eastAsia="en-AU"/>
        </w:rPr>
        <w:t xml:space="preserve">As </w:t>
      </w:r>
      <w:r w:rsidRPr="0001223D">
        <w:rPr>
          <w:lang w:eastAsia="en-AU"/>
        </w:rPr>
        <w:t xml:space="preserve">occurrence data </w:t>
      </w:r>
      <w:r w:rsidR="00FF11D4">
        <w:rPr>
          <w:lang w:eastAsia="en-AU"/>
        </w:rPr>
        <w:t>are</w:t>
      </w:r>
      <w:r w:rsidRPr="0001223D">
        <w:rPr>
          <w:lang w:eastAsia="en-AU"/>
        </w:rPr>
        <w:t xml:space="preserve"> a significant input into </w:t>
      </w:r>
      <w:r w:rsidR="00342F02">
        <w:rPr>
          <w:lang w:eastAsia="en-AU"/>
        </w:rPr>
        <w:t xml:space="preserve">dietary exposure </w:t>
      </w:r>
      <w:r w:rsidRPr="0001223D">
        <w:rPr>
          <w:lang w:eastAsia="en-AU"/>
        </w:rPr>
        <w:t>estimates this is a major source of uncertainty in this assessment.</w:t>
      </w:r>
      <w:r w:rsidRPr="0001223D">
        <w:t xml:space="preserve"> </w:t>
      </w:r>
      <w:r>
        <w:t>T</w:t>
      </w:r>
      <w:r w:rsidRPr="0001223D">
        <w:rPr>
          <w:lang w:eastAsia="en-AU"/>
        </w:rPr>
        <w:t xml:space="preserve">he overall uncertainty in the model estimations </w:t>
      </w:r>
      <w:r>
        <w:rPr>
          <w:lang w:eastAsia="en-AU"/>
        </w:rPr>
        <w:t>due to the</w:t>
      </w:r>
      <w:r w:rsidR="004E40AF">
        <w:rPr>
          <w:lang w:eastAsia="en-AU"/>
        </w:rPr>
        <w:t xml:space="preserve"> quality of the </w:t>
      </w:r>
      <w:r>
        <w:rPr>
          <w:lang w:eastAsia="en-AU"/>
        </w:rPr>
        <w:t xml:space="preserve">occurrence data is </w:t>
      </w:r>
      <w:r w:rsidR="002C36A5">
        <w:rPr>
          <w:lang w:eastAsia="en-AU"/>
        </w:rPr>
        <w:t xml:space="preserve">therefore </w:t>
      </w:r>
      <w:r w:rsidRPr="0001223D">
        <w:rPr>
          <w:lang w:eastAsia="en-AU"/>
        </w:rPr>
        <w:t xml:space="preserve">considered to </w:t>
      </w:r>
      <w:r>
        <w:rPr>
          <w:lang w:eastAsia="en-AU"/>
        </w:rPr>
        <w:t xml:space="preserve">be </w:t>
      </w:r>
      <w:r w:rsidRPr="0001223D">
        <w:rPr>
          <w:lang w:eastAsia="en-AU"/>
        </w:rPr>
        <w:t>high.</w:t>
      </w:r>
      <w:r w:rsidR="00C26397">
        <w:rPr>
          <w:lang w:eastAsia="en-AU"/>
        </w:rPr>
        <w:t xml:space="preserve"> The use of the UB median levels in calculations is very conservative as a high proportion </w:t>
      </w:r>
      <w:r w:rsidR="00997A68">
        <w:rPr>
          <w:lang w:eastAsia="en-AU"/>
        </w:rPr>
        <w:t xml:space="preserve">of results for PFOS, PFOA and </w:t>
      </w:r>
      <w:proofErr w:type="spellStart"/>
      <w:r w:rsidR="00997A68">
        <w:rPr>
          <w:lang w:eastAsia="en-AU"/>
        </w:rPr>
        <w:t>PF</w:t>
      </w:r>
      <w:r w:rsidR="00C26397">
        <w:rPr>
          <w:lang w:eastAsia="en-AU"/>
        </w:rPr>
        <w:t>HxS</w:t>
      </w:r>
      <w:proofErr w:type="spellEnd"/>
      <w:r w:rsidR="00C26397">
        <w:rPr>
          <w:lang w:eastAsia="en-AU"/>
        </w:rPr>
        <w:t xml:space="preserve"> were non-detects (&lt; LO</w:t>
      </w:r>
      <w:r w:rsidR="00350FA5">
        <w:rPr>
          <w:lang w:eastAsia="en-AU"/>
        </w:rPr>
        <w:t>R</w:t>
      </w:r>
      <w:r w:rsidR="00C26397">
        <w:rPr>
          <w:lang w:eastAsia="en-AU"/>
        </w:rPr>
        <w:t>).</w:t>
      </w:r>
    </w:p>
    <w:p w14:paraId="07AB81AD" w14:textId="77777777" w:rsidR="007C0F43" w:rsidRPr="000C36AB" w:rsidRDefault="007C0F43" w:rsidP="004E1EE4">
      <w:pPr>
        <w:pStyle w:val="Heading3"/>
      </w:pPr>
      <w:bookmarkStart w:id="119" w:name="_Toc474153269"/>
      <w:bookmarkStart w:id="120" w:name="_Toc474158949"/>
      <w:bookmarkStart w:id="121" w:name="_Toc475360614"/>
      <w:r w:rsidRPr="000C36AB">
        <w:t>Consumption data</w:t>
      </w:r>
      <w:bookmarkEnd w:id="119"/>
      <w:bookmarkEnd w:id="120"/>
      <w:bookmarkEnd w:id="121"/>
    </w:p>
    <w:p w14:paraId="25B2D697" w14:textId="5BD9A8BB" w:rsidR="0001223D" w:rsidRDefault="0001223D" w:rsidP="009527FF">
      <w:pPr>
        <w:rPr>
          <w:lang w:eastAsia="en-AU"/>
        </w:rPr>
      </w:pPr>
      <w:r w:rsidRPr="0001223D">
        <w:rPr>
          <w:lang w:eastAsia="en-AU"/>
        </w:rPr>
        <w:t xml:space="preserve">Regarding </w:t>
      </w:r>
      <w:r>
        <w:rPr>
          <w:lang w:eastAsia="en-AU"/>
        </w:rPr>
        <w:t>food consumption, the FSANZ raw commodity food consumption</w:t>
      </w:r>
      <w:r w:rsidRPr="0001223D">
        <w:rPr>
          <w:lang w:eastAsia="en-AU"/>
        </w:rPr>
        <w:t xml:space="preserve"> </w:t>
      </w:r>
      <w:r>
        <w:rPr>
          <w:lang w:eastAsia="en-AU"/>
        </w:rPr>
        <w:t xml:space="preserve">model is well established and validated. </w:t>
      </w:r>
      <w:r w:rsidR="00DC64F7" w:rsidRPr="0001223D">
        <w:rPr>
          <w:lang w:eastAsia="en-AU"/>
        </w:rPr>
        <w:t xml:space="preserve">The overall uncertainty in the </w:t>
      </w:r>
      <w:r w:rsidR="00DC64F7">
        <w:rPr>
          <w:lang w:eastAsia="en-AU"/>
        </w:rPr>
        <w:t>calculations</w:t>
      </w:r>
      <w:r w:rsidR="00DC64F7" w:rsidRPr="0001223D">
        <w:rPr>
          <w:lang w:eastAsia="en-AU"/>
        </w:rPr>
        <w:t xml:space="preserve"> </w:t>
      </w:r>
      <w:r w:rsidR="00DC64F7">
        <w:rPr>
          <w:lang w:eastAsia="en-AU"/>
        </w:rPr>
        <w:t xml:space="preserve">from food consumption data </w:t>
      </w:r>
      <w:r w:rsidR="00DC64F7" w:rsidRPr="0001223D">
        <w:rPr>
          <w:lang w:eastAsia="en-AU"/>
        </w:rPr>
        <w:t xml:space="preserve">is </w:t>
      </w:r>
      <w:r w:rsidR="00DC64F7">
        <w:rPr>
          <w:lang w:eastAsia="en-AU"/>
        </w:rPr>
        <w:t>ranked as low</w:t>
      </w:r>
      <w:r w:rsidR="00CA3ABB" w:rsidDel="00342F02">
        <w:rPr>
          <w:lang w:eastAsia="en-AU"/>
        </w:rPr>
        <w:t>.</w:t>
      </w:r>
    </w:p>
    <w:p w14:paraId="0E802A23" w14:textId="62D5D8A1" w:rsidR="007C0F43" w:rsidRDefault="00533CE7" w:rsidP="009527FF">
      <w:pPr>
        <w:pStyle w:val="FSTableColumnRowheading"/>
        <w:rPr>
          <w:lang w:eastAsia="en-AU"/>
        </w:rPr>
      </w:pPr>
      <w:bookmarkStart w:id="122" w:name="_Toc474153715"/>
      <w:bookmarkStart w:id="123" w:name="_Toc474158907"/>
      <w:bookmarkStart w:id="124" w:name="_Ref474161018"/>
      <w:bookmarkStart w:id="125" w:name="_Ref474318045"/>
      <w:bookmarkStart w:id="126" w:name="_Toc474847867"/>
      <w:bookmarkStart w:id="127" w:name="_Toc474852107"/>
      <w:r w:rsidRPr="00DE4473">
        <w:rPr>
          <w:lang w:eastAsia="en-AU"/>
        </w:rPr>
        <w:t>S</w:t>
      </w:r>
      <w:r w:rsidR="007C0F43" w:rsidRPr="00DE4473">
        <w:rPr>
          <w:lang w:eastAsia="en-AU"/>
        </w:rPr>
        <w:t>um</w:t>
      </w:r>
      <w:r w:rsidR="007C0F43" w:rsidRPr="00533CE7">
        <w:rPr>
          <w:lang w:eastAsia="en-AU"/>
        </w:rPr>
        <w:t xml:space="preserve">mary of qualitative evaluation </w:t>
      </w:r>
      <w:r w:rsidR="00AA0143">
        <w:rPr>
          <w:lang w:eastAsia="en-AU"/>
        </w:rPr>
        <w:t>of the impact of uncertainties i</w:t>
      </w:r>
      <w:r w:rsidR="007C0F43" w:rsidRPr="00533CE7">
        <w:rPr>
          <w:lang w:eastAsia="en-AU"/>
        </w:rPr>
        <w:t>n calculations</w:t>
      </w:r>
      <w:bookmarkEnd w:id="122"/>
      <w:bookmarkEnd w:id="123"/>
      <w:bookmarkEnd w:id="124"/>
      <w:bookmarkEnd w:id="125"/>
      <w:bookmarkEnd w:id="126"/>
      <w:bookmarkEnd w:id="127"/>
    </w:p>
    <w:tbl>
      <w:tblPr>
        <w:tblStyle w:val="LightList-Accent11"/>
        <w:tblW w:w="0" w:type="auto"/>
        <w:tblLook w:val="04A0" w:firstRow="1" w:lastRow="0" w:firstColumn="1" w:lastColumn="0" w:noHBand="0" w:noVBand="1"/>
      </w:tblPr>
      <w:tblGrid>
        <w:gridCol w:w="5637"/>
        <w:gridCol w:w="3649"/>
      </w:tblGrid>
      <w:tr w:rsidR="007C0F43" w:rsidRPr="00DE4473" w14:paraId="33118D44" w14:textId="77777777" w:rsidTr="003C3E3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37" w:type="dxa"/>
          </w:tcPr>
          <w:p w14:paraId="2B12E1BD" w14:textId="1F0C5BF6" w:rsidR="007C0F43" w:rsidRPr="00DE4473" w:rsidRDefault="007C0F43" w:rsidP="003C3E3C">
            <w:pPr>
              <w:contextualSpacing/>
              <w:rPr>
                <w:sz w:val="20"/>
                <w:szCs w:val="20"/>
                <w:lang w:eastAsia="en-AU"/>
              </w:rPr>
            </w:pPr>
            <w:r w:rsidRPr="00DE4473">
              <w:rPr>
                <w:sz w:val="20"/>
                <w:szCs w:val="20"/>
                <w:lang w:eastAsia="en-AU"/>
              </w:rPr>
              <w:t>Sources of uncertainty</w:t>
            </w:r>
          </w:p>
        </w:tc>
        <w:tc>
          <w:tcPr>
            <w:tcW w:w="3649" w:type="dxa"/>
          </w:tcPr>
          <w:p w14:paraId="0E6AD246" w14:textId="3830AB3C" w:rsidR="007C0F43" w:rsidRPr="00DE4473" w:rsidRDefault="007C0F43" w:rsidP="003C3E3C">
            <w:pPr>
              <w:contextualSpacing/>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E4473">
              <w:rPr>
                <w:sz w:val="20"/>
                <w:szCs w:val="20"/>
                <w:lang w:eastAsia="en-AU"/>
              </w:rPr>
              <w:t>Direction</w:t>
            </w:r>
          </w:p>
        </w:tc>
      </w:tr>
      <w:tr w:rsidR="007C0F43" w:rsidRPr="00DE4473" w14:paraId="52CAA3CF"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37" w:type="dxa"/>
          </w:tcPr>
          <w:p w14:paraId="43652845" w14:textId="270BBB5E"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Uncertainty of analytical measurements</w:t>
            </w:r>
          </w:p>
        </w:tc>
        <w:tc>
          <w:tcPr>
            <w:tcW w:w="3649" w:type="dxa"/>
          </w:tcPr>
          <w:p w14:paraId="1AC6AC3F" w14:textId="0C8F9E71" w:rsidR="007C0F43" w:rsidRPr="00DE4473" w:rsidRDefault="007C0F43"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E4473">
              <w:rPr>
                <w:sz w:val="20"/>
                <w:szCs w:val="20"/>
                <w:lang w:eastAsia="en-AU"/>
              </w:rPr>
              <w:t>+/-</w:t>
            </w:r>
          </w:p>
        </w:tc>
      </w:tr>
      <w:tr w:rsidR="007C0F43" w:rsidRPr="00DE4473" w14:paraId="61C86EBE"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5637" w:type="dxa"/>
          </w:tcPr>
          <w:p w14:paraId="42FB1B82" w14:textId="4E9F69AC"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 xml:space="preserve">Sampling strategy (random/targeted) </w:t>
            </w:r>
          </w:p>
        </w:tc>
        <w:tc>
          <w:tcPr>
            <w:tcW w:w="3649" w:type="dxa"/>
          </w:tcPr>
          <w:p w14:paraId="365B25DD" w14:textId="54A5DA87" w:rsidR="007C0F43" w:rsidRPr="00DE4473" w:rsidRDefault="007C0F43"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E4473">
              <w:rPr>
                <w:sz w:val="20"/>
                <w:szCs w:val="20"/>
                <w:lang w:eastAsia="en-AU"/>
              </w:rPr>
              <w:t>+</w:t>
            </w:r>
          </w:p>
        </w:tc>
      </w:tr>
      <w:tr w:rsidR="0098619F" w:rsidRPr="00DE4473" w14:paraId="0FA95495"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37" w:type="dxa"/>
          </w:tcPr>
          <w:p w14:paraId="096550F0" w14:textId="57979C53" w:rsidR="0098619F" w:rsidRPr="00DE4473" w:rsidRDefault="0098619F" w:rsidP="003C3E3C">
            <w:pPr>
              <w:spacing w:after="0" w:line="240" w:lineRule="auto"/>
              <w:contextualSpacing/>
              <w:rPr>
                <w:b w:val="0"/>
                <w:sz w:val="20"/>
                <w:szCs w:val="20"/>
                <w:lang w:eastAsia="en-AU"/>
              </w:rPr>
            </w:pPr>
            <w:r w:rsidRPr="00DE4473">
              <w:rPr>
                <w:b w:val="0"/>
                <w:sz w:val="20"/>
                <w:szCs w:val="20"/>
                <w:lang w:eastAsia="en-AU"/>
              </w:rPr>
              <w:t>Analytical strategy (individual/composite samples)</w:t>
            </w:r>
          </w:p>
        </w:tc>
        <w:tc>
          <w:tcPr>
            <w:tcW w:w="3649" w:type="dxa"/>
          </w:tcPr>
          <w:p w14:paraId="0EDEAD41" w14:textId="505498AF" w:rsidR="0098619F" w:rsidRPr="00DE4473" w:rsidRDefault="0098619F"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E4473">
              <w:rPr>
                <w:sz w:val="20"/>
                <w:szCs w:val="20"/>
                <w:lang w:eastAsia="en-AU"/>
              </w:rPr>
              <w:t>+/-</w:t>
            </w:r>
          </w:p>
        </w:tc>
      </w:tr>
      <w:tr w:rsidR="007C0F43" w:rsidRPr="00DE4473" w14:paraId="6DF3C86E"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5637" w:type="dxa"/>
          </w:tcPr>
          <w:p w14:paraId="614D5898" w14:textId="1F4AF759"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Occurrence data available f</w:t>
            </w:r>
            <w:r w:rsidR="00533CE7" w:rsidRPr="00DE4473">
              <w:rPr>
                <w:b w:val="0"/>
                <w:sz w:val="20"/>
                <w:szCs w:val="20"/>
                <w:lang w:eastAsia="en-AU"/>
              </w:rPr>
              <w:t>ro</w:t>
            </w:r>
            <w:r w:rsidRPr="00DE4473">
              <w:rPr>
                <w:b w:val="0"/>
                <w:sz w:val="20"/>
                <w:szCs w:val="20"/>
                <w:lang w:eastAsia="en-AU"/>
              </w:rPr>
              <w:t>m a limited number of sites</w:t>
            </w:r>
          </w:p>
        </w:tc>
        <w:tc>
          <w:tcPr>
            <w:tcW w:w="3649" w:type="dxa"/>
          </w:tcPr>
          <w:p w14:paraId="6F4CBCCC" w14:textId="0140059E" w:rsidR="007C0F43" w:rsidRPr="00DE4473" w:rsidRDefault="00D5249B"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w:t>
            </w:r>
            <w:r w:rsidR="007C0F43" w:rsidRPr="00DE4473">
              <w:rPr>
                <w:sz w:val="20"/>
                <w:szCs w:val="20"/>
                <w:lang w:eastAsia="en-AU"/>
              </w:rPr>
              <w:t>+/-</w:t>
            </w:r>
            <w:r>
              <w:rPr>
                <w:sz w:val="20"/>
                <w:szCs w:val="20"/>
                <w:lang w:eastAsia="en-AU"/>
              </w:rPr>
              <w:t>-</w:t>
            </w:r>
          </w:p>
        </w:tc>
      </w:tr>
      <w:tr w:rsidR="007C0F43" w:rsidRPr="00DE4473" w14:paraId="28CCE1B8"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37" w:type="dxa"/>
          </w:tcPr>
          <w:p w14:paraId="3C5D1A93" w14:textId="53BF60B9"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Limited occurrence data</w:t>
            </w:r>
            <w:r w:rsidR="00A33872" w:rsidRPr="00DE4473">
              <w:rPr>
                <w:b w:val="0"/>
                <w:sz w:val="20"/>
                <w:szCs w:val="20"/>
                <w:lang w:eastAsia="en-AU"/>
              </w:rPr>
              <w:t>, missing data</w:t>
            </w:r>
            <w:r w:rsidR="00AA0143" w:rsidRPr="00DE4473">
              <w:rPr>
                <w:b w:val="0"/>
                <w:sz w:val="20"/>
                <w:szCs w:val="20"/>
                <w:lang w:eastAsia="en-AU"/>
              </w:rPr>
              <w:t xml:space="preserve"> for some food groups</w:t>
            </w:r>
          </w:p>
        </w:tc>
        <w:tc>
          <w:tcPr>
            <w:tcW w:w="3649" w:type="dxa"/>
          </w:tcPr>
          <w:p w14:paraId="5AD1418F" w14:textId="102427D6" w:rsidR="007C0F43" w:rsidRPr="00DE4473" w:rsidRDefault="007C0F43"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E4473">
              <w:rPr>
                <w:sz w:val="20"/>
                <w:szCs w:val="20"/>
                <w:lang w:eastAsia="en-AU"/>
              </w:rPr>
              <w:t>-</w:t>
            </w:r>
            <w:r w:rsidR="00D5249B">
              <w:rPr>
                <w:sz w:val="20"/>
                <w:szCs w:val="20"/>
                <w:lang w:eastAsia="en-AU"/>
              </w:rPr>
              <w:t>-</w:t>
            </w:r>
          </w:p>
        </w:tc>
      </w:tr>
      <w:tr w:rsidR="007C0F43" w:rsidRPr="00DE4473" w14:paraId="512EACEB"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5637" w:type="dxa"/>
          </w:tcPr>
          <w:p w14:paraId="55EBEABD" w14:textId="439D16A5"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Use of lower bound (LB) median level in estimates</w:t>
            </w:r>
          </w:p>
        </w:tc>
        <w:tc>
          <w:tcPr>
            <w:tcW w:w="3649" w:type="dxa"/>
          </w:tcPr>
          <w:p w14:paraId="56994666" w14:textId="78E9D4D5" w:rsidR="007C0F43" w:rsidRPr="00DE4473" w:rsidRDefault="007C0F43"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E4473">
              <w:rPr>
                <w:sz w:val="20"/>
                <w:szCs w:val="20"/>
                <w:lang w:eastAsia="en-AU"/>
              </w:rPr>
              <w:t>-</w:t>
            </w:r>
          </w:p>
        </w:tc>
      </w:tr>
      <w:tr w:rsidR="007C0F43" w:rsidRPr="00DE4473" w14:paraId="203AD726"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37" w:type="dxa"/>
          </w:tcPr>
          <w:p w14:paraId="5F7BF44E" w14:textId="4CD5F765"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Use of middle bound (MB) median level in estimates</w:t>
            </w:r>
          </w:p>
        </w:tc>
        <w:tc>
          <w:tcPr>
            <w:tcW w:w="3649" w:type="dxa"/>
          </w:tcPr>
          <w:p w14:paraId="315836CB" w14:textId="577FDFB8" w:rsidR="007C0F43" w:rsidRPr="00DE4473" w:rsidRDefault="007C0F43"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E4473">
              <w:rPr>
                <w:sz w:val="20"/>
                <w:szCs w:val="20"/>
                <w:lang w:eastAsia="en-AU"/>
              </w:rPr>
              <w:t>+</w:t>
            </w:r>
          </w:p>
        </w:tc>
      </w:tr>
      <w:tr w:rsidR="007C0F43" w:rsidRPr="00DE4473" w14:paraId="46A76C7A"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5637" w:type="dxa"/>
          </w:tcPr>
          <w:p w14:paraId="7246DBDE" w14:textId="4B551E48"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Use of upper bound (UB) median level in estimates</w:t>
            </w:r>
          </w:p>
        </w:tc>
        <w:tc>
          <w:tcPr>
            <w:tcW w:w="3649" w:type="dxa"/>
          </w:tcPr>
          <w:p w14:paraId="236DCEE8" w14:textId="5FB68CAE" w:rsidR="007C0F43" w:rsidRPr="00DE4473" w:rsidRDefault="007C0F43"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E4473">
              <w:rPr>
                <w:sz w:val="20"/>
                <w:szCs w:val="20"/>
                <w:lang w:eastAsia="en-AU"/>
              </w:rPr>
              <w:t>++</w:t>
            </w:r>
          </w:p>
        </w:tc>
      </w:tr>
      <w:tr w:rsidR="007C0F43" w:rsidRPr="00DE4473" w14:paraId="2D9D9FC2"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37" w:type="dxa"/>
          </w:tcPr>
          <w:p w14:paraId="05BBF566" w14:textId="5790C100" w:rsidR="007C0F43" w:rsidRPr="00DE4473" w:rsidRDefault="007C0F43" w:rsidP="003C3E3C">
            <w:pPr>
              <w:spacing w:after="0" w:line="240" w:lineRule="auto"/>
              <w:contextualSpacing/>
              <w:rPr>
                <w:b w:val="0"/>
                <w:sz w:val="20"/>
                <w:szCs w:val="20"/>
                <w:lang w:eastAsia="en-AU"/>
              </w:rPr>
            </w:pPr>
            <w:r w:rsidRPr="00DE4473">
              <w:rPr>
                <w:b w:val="0"/>
                <w:sz w:val="20"/>
                <w:szCs w:val="20"/>
                <w:lang w:eastAsia="en-AU"/>
              </w:rPr>
              <w:t>Food consumption data</w:t>
            </w:r>
          </w:p>
        </w:tc>
        <w:tc>
          <w:tcPr>
            <w:tcW w:w="3649" w:type="dxa"/>
          </w:tcPr>
          <w:p w14:paraId="16C20DF1" w14:textId="788DE11B" w:rsidR="007C0F43" w:rsidRPr="00DE4473" w:rsidRDefault="007C0F43"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E4473">
              <w:rPr>
                <w:sz w:val="20"/>
                <w:szCs w:val="20"/>
                <w:lang w:eastAsia="en-AU"/>
              </w:rPr>
              <w:t>+/-</w:t>
            </w:r>
          </w:p>
        </w:tc>
      </w:tr>
    </w:tbl>
    <w:p w14:paraId="2FD030EE" w14:textId="6E433461" w:rsidR="00DE4473" w:rsidRDefault="00DE4473" w:rsidP="006635AC">
      <w:pPr>
        <w:pStyle w:val="Heading2"/>
      </w:pPr>
      <w:bookmarkStart w:id="128" w:name="_Toc474153270"/>
      <w:bookmarkStart w:id="129" w:name="_Toc474158950"/>
      <w:bookmarkStart w:id="130" w:name="_Toc474847906"/>
      <w:bookmarkStart w:id="131" w:name="_Toc475360615"/>
      <w:r>
        <w:t>Results</w:t>
      </w:r>
      <w:bookmarkEnd w:id="128"/>
      <w:bookmarkEnd w:id="129"/>
      <w:bookmarkEnd w:id="130"/>
      <w:bookmarkEnd w:id="131"/>
    </w:p>
    <w:p w14:paraId="7EBEE281" w14:textId="17C5C50D" w:rsidR="003440FF" w:rsidRPr="00C12B2D" w:rsidRDefault="003440FF" w:rsidP="00A75BE9">
      <w:pPr>
        <w:pStyle w:val="Heading3"/>
      </w:pPr>
      <w:bookmarkStart w:id="132" w:name="_Toc474153271"/>
      <w:bookmarkStart w:id="133" w:name="_Toc474158951"/>
      <w:bookmarkStart w:id="134" w:name="_Toc474847907"/>
      <w:bookmarkStart w:id="135" w:name="_Toc475360616"/>
      <w:r w:rsidRPr="00C12B2D">
        <w:t>Amount of individual foods or food groups that could be consumed at the reported concentration levels</w:t>
      </w:r>
      <w:bookmarkEnd w:id="132"/>
      <w:bookmarkEnd w:id="133"/>
      <w:bookmarkEnd w:id="134"/>
      <w:bookmarkEnd w:id="135"/>
    </w:p>
    <w:p w14:paraId="545BE205" w14:textId="1EBDCCC1" w:rsidR="00A96AF4" w:rsidRDefault="00A96AF4" w:rsidP="00A96AF4">
      <w:r>
        <w:t xml:space="preserve">For </w:t>
      </w:r>
      <w:r w:rsidR="003B750E" w:rsidRPr="003B750E">
        <w:t xml:space="preserve">PFOS and </w:t>
      </w:r>
      <w:r w:rsidR="00AF0C3A">
        <w:t>PFOS +</w:t>
      </w:r>
      <w:r w:rsidR="003B750E" w:rsidRPr="003B750E">
        <w:t xml:space="preserve"> </w:t>
      </w:r>
      <w:proofErr w:type="spellStart"/>
      <w:r w:rsidR="003B750E" w:rsidRPr="003B750E">
        <w:t>PFHxS</w:t>
      </w:r>
      <w:proofErr w:type="spellEnd"/>
      <w:r>
        <w:t xml:space="preserve"> </w:t>
      </w:r>
      <w:r w:rsidR="00275E11">
        <w:t>combined</w:t>
      </w:r>
      <w:r>
        <w:t xml:space="preserve"> there were a range of food groups</w:t>
      </w:r>
      <w:r w:rsidRPr="00D70196">
        <w:t xml:space="preserve"> </w:t>
      </w:r>
      <w:r w:rsidR="00AC5933">
        <w:t xml:space="preserve">where the amount of contaminated site </w:t>
      </w:r>
      <w:r>
        <w:t xml:space="preserve">food that could be consumed before the TDI was </w:t>
      </w:r>
      <w:r w:rsidR="007C4D74">
        <w:t>reached</w:t>
      </w:r>
      <w:r w:rsidR="00CC6E6F">
        <w:t xml:space="preserve"> </w:t>
      </w:r>
      <w:r>
        <w:t>(at the upper or middle bound median concentration) was less than the 90</w:t>
      </w:r>
      <w:r w:rsidRPr="00D70196">
        <w:rPr>
          <w:vertAlign w:val="superscript"/>
        </w:rPr>
        <w:t>th</w:t>
      </w:r>
      <w:r>
        <w:t xml:space="preserve"> percentile </w:t>
      </w:r>
      <w:r w:rsidR="00AC5933">
        <w:t>(</w:t>
      </w:r>
      <w:r>
        <w:t>or mean</w:t>
      </w:r>
      <w:r w:rsidR="00AC5933">
        <w:t>) food consumption</w:t>
      </w:r>
      <w:r>
        <w:t xml:space="preserve"> amounts derived from the 2011-12 NNPAS. In these circumstances, consumers of a contaminated food may </w:t>
      </w:r>
      <w:r w:rsidR="00CC6E6F">
        <w:t>exceed</w:t>
      </w:r>
      <w:r>
        <w:t xml:space="preserve"> the TDI when they consume their usual amounts of that food. </w:t>
      </w:r>
      <w:r w:rsidR="00CE4F1C">
        <w:t xml:space="preserve">This has been summarised in </w:t>
      </w:r>
      <w:r w:rsidR="00CE4F1C" w:rsidRPr="001164E0">
        <w:rPr>
          <w:rStyle w:val="CrossReferenceChar"/>
        </w:rPr>
        <w:fldChar w:fldCharType="begin"/>
      </w:r>
      <w:r w:rsidR="00CE4F1C" w:rsidRPr="001164E0">
        <w:rPr>
          <w:rStyle w:val="CrossReferenceChar"/>
        </w:rPr>
        <w:instrText xml:space="preserve"> REF _Ref474764979 \r \h </w:instrText>
      </w:r>
      <w:r w:rsidR="001164E0">
        <w:rPr>
          <w:rStyle w:val="CrossReferenceChar"/>
        </w:rPr>
        <w:instrText xml:space="preserve"> \* MERGEFORMAT </w:instrText>
      </w:r>
      <w:r w:rsidR="00CE4F1C" w:rsidRPr="001164E0">
        <w:rPr>
          <w:rStyle w:val="CrossReferenceChar"/>
        </w:rPr>
      </w:r>
      <w:r w:rsidR="00CE4F1C" w:rsidRPr="001164E0">
        <w:rPr>
          <w:rStyle w:val="CrossReferenceChar"/>
        </w:rPr>
        <w:fldChar w:fldCharType="separate"/>
      </w:r>
      <w:r w:rsidR="00D5249B">
        <w:rPr>
          <w:rStyle w:val="CrossReferenceChar"/>
        </w:rPr>
        <w:t>Figure1</w:t>
      </w:r>
      <w:r w:rsidR="00CE4F1C" w:rsidRPr="001164E0">
        <w:rPr>
          <w:rStyle w:val="CrossReferenceChar"/>
        </w:rPr>
        <w:fldChar w:fldCharType="end"/>
      </w:r>
      <w:r w:rsidR="00BC6201">
        <w:rPr>
          <w:rStyle w:val="CrossReferenceChar"/>
        </w:rPr>
        <w:t>.</w:t>
      </w:r>
      <w:r w:rsidR="00CC6E6F">
        <w:rPr>
          <w:rStyle w:val="CrossReferenceChar"/>
        </w:rPr>
        <w:t xml:space="preserve"> </w:t>
      </w:r>
      <w:r w:rsidR="00CC6E6F">
        <w:t xml:space="preserve">Occasional </w:t>
      </w:r>
      <w:proofErr w:type="spellStart"/>
      <w:r w:rsidR="00CC6E6F">
        <w:t>exceedances</w:t>
      </w:r>
      <w:proofErr w:type="spellEnd"/>
      <w:r w:rsidR="00CC6E6F">
        <w:t xml:space="preserve"> of the TDI from consumption of a specific food on one day or over a short period of time are not of public health concern.</w:t>
      </w:r>
    </w:p>
    <w:p w14:paraId="58BBF068" w14:textId="523F03F0" w:rsidR="00B730EF" w:rsidRDefault="00B730EF" w:rsidP="00B730EF">
      <w:r>
        <w:t>However, it should be noted that it is considered extremely unlikely that food consumption of a specific food group</w:t>
      </w:r>
      <w:r w:rsidR="000D7CD3">
        <w:t>, for example meat,</w:t>
      </w:r>
      <w:r>
        <w:t xml:space="preserve"> over a period would all be from food sourced locally near a contaminated site. This is particularly true for milk and milk products where milk is not normally sourced from one animal but is collected from many animals and several sources, mixed and homogenised and then distributed through retail outlets.</w:t>
      </w:r>
    </w:p>
    <w:p w14:paraId="418BB467" w14:textId="0E85F30E" w:rsidR="005A6171" w:rsidRPr="00C12B2D" w:rsidRDefault="005A6171" w:rsidP="00C12B2D">
      <w:pPr>
        <w:pStyle w:val="Heading4"/>
      </w:pPr>
      <w:r w:rsidRPr="00C12B2D">
        <w:t>PFOS</w:t>
      </w:r>
    </w:p>
    <w:p w14:paraId="3EB259FD" w14:textId="044ECA63" w:rsidR="00AC5933" w:rsidRDefault="00F9608C" w:rsidP="00D70196">
      <w:r>
        <w:t xml:space="preserve">For the whole population (older than 2 years) </w:t>
      </w:r>
      <w:r w:rsidR="00442870" w:rsidRPr="008110E9">
        <w:rPr>
          <w:rStyle w:val="CrossReferenceChar"/>
        </w:rPr>
        <w:fldChar w:fldCharType="begin"/>
      </w:r>
      <w:r w:rsidR="00442870" w:rsidRPr="008110E9">
        <w:rPr>
          <w:rStyle w:val="CrossReferenceChar"/>
        </w:rPr>
        <w:instrText xml:space="preserve"> REF _Ref473802849 \r \h </w:instrText>
      </w:r>
      <w:r w:rsidR="00442870" w:rsidRPr="008110E9">
        <w:rPr>
          <w:rStyle w:val="CrossReferenceChar"/>
        </w:rPr>
      </w:r>
      <w:r w:rsidR="00442870" w:rsidRPr="008110E9">
        <w:rPr>
          <w:rStyle w:val="CrossReferenceChar"/>
        </w:rPr>
        <w:fldChar w:fldCharType="separate"/>
      </w:r>
      <w:r w:rsidR="00D5249B">
        <w:rPr>
          <w:rStyle w:val="CrossReferenceChar"/>
        </w:rPr>
        <w:t>Table 6</w:t>
      </w:r>
      <w:r w:rsidR="00442870" w:rsidRPr="008110E9">
        <w:rPr>
          <w:rStyle w:val="CrossReferenceChar"/>
        </w:rPr>
        <w:fldChar w:fldCharType="end"/>
      </w:r>
      <w:r w:rsidR="00442870">
        <w:t xml:space="preserve"> shows</w:t>
      </w:r>
      <w:r w:rsidR="00AC5933">
        <w:t xml:space="preserve"> in bold where </w:t>
      </w:r>
      <w:r>
        <w:t xml:space="preserve">the </w:t>
      </w:r>
      <w:r w:rsidR="00442870">
        <w:t>amounts of food</w:t>
      </w:r>
      <w:r w:rsidR="00265777">
        <w:t xml:space="preserve"> </w:t>
      </w:r>
      <w:r w:rsidR="000D7CD3">
        <w:t xml:space="preserve">sourced </w:t>
      </w:r>
      <w:r w:rsidR="00265777">
        <w:t>from contaminated sites</w:t>
      </w:r>
      <w:r w:rsidR="00442870">
        <w:t xml:space="preserve"> that </w:t>
      </w:r>
      <w:r w:rsidR="00AC5933">
        <w:t>may be consumed before</w:t>
      </w:r>
      <w:r w:rsidR="00997A68">
        <w:t xml:space="preserve"> the </w:t>
      </w:r>
      <w:r>
        <w:t>TDI</w:t>
      </w:r>
      <w:r w:rsidR="00A96AF4">
        <w:t xml:space="preserve"> for PFOS</w:t>
      </w:r>
      <w:r w:rsidR="00AC5933">
        <w:t xml:space="preserve"> is </w:t>
      </w:r>
      <w:r w:rsidR="007C4D74">
        <w:t>reached</w:t>
      </w:r>
      <w:r w:rsidR="00AC5933">
        <w:t xml:space="preserve"> </w:t>
      </w:r>
      <w:r>
        <w:t>are less than the 90</w:t>
      </w:r>
      <w:r w:rsidRPr="00442870">
        <w:rPr>
          <w:vertAlign w:val="superscript"/>
        </w:rPr>
        <w:t>th</w:t>
      </w:r>
      <w:r>
        <w:t xml:space="preserve"> percentiles</w:t>
      </w:r>
      <w:r w:rsidR="00442870">
        <w:t xml:space="preserve"> of consumpt</w:t>
      </w:r>
      <w:r w:rsidR="00AC5933">
        <w:t>ion</w:t>
      </w:r>
      <w:r w:rsidR="00CB09B1">
        <w:t xml:space="preserve"> for the whole population aged 2 </w:t>
      </w:r>
      <w:r w:rsidR="00CB09B1">
        <w:lastRenderedPageBreak/>
        <w:t>years and over</w:t>
      </w:r>
      <w:r w:rsidR="00442870">
        <w:t xml:space="preserve">. </w:t>
      </w:r>
      <w:r w:rsidR="00CB09B1">
        <w:t>C</w:t>
      </w:r>
      <w:r w:rsidR="00442870">
        <w:t xml:space="preserve">onsumption amounts to </w:t>
      </w:r>
      <w:r w:rsidR="007C4D74">
        <w:t>reach</w:t>
      </w:r>
      <w:r w:rsidR="00442870">
        <w:t xml:space="preserve"> the TDI that are less than the mean consumption of that food are </w:t>
      </w:r>
      <w:r w:rsidR="00CB09B1">
        <w:t xml:space="preserve">also </w:t>
      </w:r>
      <w:r w:rsidR="00442870">
        <w:t>shaded in gr</w:t>
      </w:r>
      <w:r w:rsidR="00997A68">
        <w:t>e</w:t>
      </w:r>
      <w:r w:rsidR="00442870">
        <w:t xml:space="preserve">y. </w:t>
      </w:r>
    </w:p>
    <w:p w14:paraId="02C5BE40" w14:textId="1BBD7575" w:rsidR="00442870" w:rsidRDefault="00442870" w:rsidP="00D70196">
      <w:r>
        <w:t xml:space="preserve">For PFOS, </w:t>
      </w:r>
      <w:r w:rsidR="009371A3">
        <w:t>for the whole population</w:t>
      </w:r>
      <w:r>
        <w:t xml:space="preserve">, </w:t>
      </w:r>
      <w:r w:rsidR="00F9608C">
        <w:t>amounts</w:t>
      </w:r>
      <w:r>
        <w:t xml:space="preserve"> of cattle meat, rabbit meat, cattle milk and mammalian offal </w:t>
      </w:r>
      <w:r w:rsidR="00F9608C">
        <w:t>that could be consumed before</w:t>
      </w:r>
      <w:r>
        <w:t xml:space="preserve"> the TDI for PFOS </w:t>
      </w:r>
      <w:r w:rsidR="00F9608C">
        <w:t xml:space="preserve">is </w:t>
      </w:r>
      <w:r w:rsidR="007C4D74">
        <w:t>reached</w:t>
      </w:r>
      <w:r w:rsidR="00F9608C">
        <w:t xml:space="preserve"> </w:t>
      </w:r>
      <w:r>
        <w:t>are less than the 90</w:t>
      </w:r>
      <w:r w:rsidRPr="00442870">
        <w:rPr>
          <w:vertAlign w:val="superscript"/>
        </w:rPr>
        <w:t>th</w:t>
      </w:r>
      <w:r>
        <w:t xml:space="preserve"> percentile and mean consumption amounts reported for these foods</w:t>
      </w:r>
      <w:r w:rsidR="00AC5933">
        <w:t xml:space="preserve"> in the </w:t>
      </w:r>
      <w:r w:rsidR="009371A3">
        <w:t xml:space="preserve">2011-12 </w:t>
      </w:r>
      <w:r w:rsidR="00E904A9">
        <w:t>NNPAS</w:t>
      </w:r>
      <w:r>
        <w:t>.</w:t>
      </w:r>
    </w:p>
    <w:p w14:paraId="6FA87961" w14:textId="61EA5660" w:rsidR="00D70196" w:rsidRDefault="00F9608C" w:rsidP="00D70196">
      <w:r>
        <w:t xml:space="preserve">In </w:t>
      </w:r>
      <w:r w:rsidR="00997A68" w:rsidRPr="008110E9">
        <w:rPr>
          <w:rStyle w:val="CrossReferenceChar"/>
        </w:rPr>
        <w:fldChar w:fldCharType="begin"/>
      </w:r>
      <w:r w:rsidR="00997A68" w:rsidRPr="008110E9">
        <w:rPr>
          <w:rStyle w:val="CrossReferenceChar"/>
        </w:rPr>
        <w:instrText xml:space="preserve"> REF _Ref473803216 \r \h </w:instrText>
      </w:r>
      <w:r w:rsidR="00997A68" w:rsidRPr="008110E9">
        <w:rPr>
          <w:rStyle w:val="CrossReferenceChar"/>
        </w:rPr>
      </w:r>
      <w:r w:rsidR="00997A68" w:rsidRPr="008110E9">
        <w:rPr>
          <w:rStyle w:val="CrossReferenceChar"/>
        </w:rPr>
        <w:fldChar w:fldCharType="separate"/>
      </w:r>
      <w:r w:rsidR="00D5249B">
        <w:rPr>
          <w:rStyle w:val="CrossReferenceChar"/>
        </w:rPr>
        <w:t>Table 7</w:t>
      </w:r>
      <w:r w:rsidR="00997A68" w:rsidRPr="008110E9">
        <w:rPr>
          <w:rStyle w:val="CrossReferenceChar"/>
        </w:rPr>
        <w:fldChar w:fldCharType="end"/>
      </w:r>
      <w:r>
        <w:t xml:space="preserve">, the same information is presented for children aged 2-6 years. </w:t>
      </w:r>
      <w:r w:rsidRPr="00F9608C">
        <w:t xml:space="preserve">For </w:t>
      </w:r>
      <w:r>
        <w:t xml:space="preserve">this population amounts </w:t>
      </w:r>
      <w:r w:rsidRPr="00F9608C">
        <w:t>of cattle meat</w:t>
      </w:r>
      <w:r>
        <w:t>,</w:t>
      </w:r>
      <w:r w:rsidRPr="00F9608C">
        <w:t xml:space="preserve"> </w:t>
      </w:r>
      <w:r>
        <w:t>milk</w:t>
      </w:r>
      <w:r w:rsidR="004E1EE4">
        <w:t>,</w:t>
      </w:r>
      <w:r>
        <w:t xml:space="preserve"> cattle milk</w:t>
      </w:r>
      <w:r w:rsidRPr="00F9608C">
        <w:t xml:space="preserve"> </w:t>
      </w:r>
      <w:r w:rsidR="004E1EE4">
        <w:t xml:space="preserve">and pome fruits (at the upper bound median concentration) </w:t>
      </w:r>
      <w:r>
        <w:t xml:space="preserve">that </w:t>
      </w:r>
      <w:r w:rsidR="009371A3">
        <w:t xml:space="preserve">can be </w:t>
      </w:r>
      <w:r w:rsidR="009371A3" w:rsidRPr="00F9608C">
        <w:t>consum</w:t>
      </w:r>
      <w:r w:rsidR="009371A3">
        <w:t>ed before</w:t>
      </w:r>
      <w:r w:rsidR="009371A3" w:rsidRPr="00F9608C">
        <w:t xml:space="preserve"> </w:t>
      </w:r>
      <w:r w:rsidR="007C4D74">
        <w:t>reach</w:t>
      </w:r>
      <w:r w:rsidR="009371A3">
        <w:t>ing</w:t>
      </w:r>
      <w:r w:rsidRPr="00F9608C">
        <w:t xml:space="preserve"> the TDI for PFOS are less than the 90</w:t>
      </w:r>
      <w:r w:rsidRPr="00F9608C">
        <w:rPr>
          <w:vertAlign w:val="superscript"/>
        </w:rPr>
        <w:t>th</w:t>
      </w:r>
      <w:r w:rsidRPr="00F9608C">
        <w:t xml:space="preserve"> percentile and mean consumption amounts reported for these foods.</w:t>
      </w:r>
      <w:r>
        <w:t xml:space="preserve"> In addition, at the upper bound the amount of some vegetables </w:t>
      </w:r>
      <w:r w:rsidR="00D00133">
        <w:t xml:space="preserve">that may be consumed before </w:t>
      </w:r>
      <w:r w:rsidR="007C4D74">
        <w:t>reaching</w:t>
      </w:r>
      <w:r w:rsidR="00D00133">
        <w:t xml:space="preserve"> the TDI is less that the 90</w:t>
      </w:r>
      <w:r w:rsidR="00D00133" w:rsidRPr="00D00133">
        <w:rPr>
          <w:vertAlign w:val="superscript"/>
        </w:rPr>
        <w:t>th</w:t>
      </w:r>
      <w:r w:rsidR="00D00133">
        <w:t xml:space="preserve"> percentile consumption for those foods</w:t>
      </w:r>
      <w:r w:rsidR="00AC5933">
        <w:t xml:space="preserve"> reported in the </w:t>
      </w:r>
      <w:r w:rsidR="009371A3">
        <w:t xml:space="preserve">2011-12 </w:t>
      </w:r>
      <w:r w:rsidR="00E904A9">
        <w:t>NNPAS</w:t>
      </w:r>
      <w:r w:rsidR="00D00133">
        <w:t xml:space="preserve">, but </w:t>
      </w:r>
      <w:r w:rsidR="000F313F">
        <w:t>more</w:t>
      </w:r>
      <w:r w:rsidR="00D00133">
        <w:t xml:space="preserve"> than the </w:t>
      </w:r>
      <w:r w:rsidR="00AC5933">
        <w:t xml:space="preserve">reported </w:t>
      </w:r>
      <w:r w:rsidR="00D00133">
        <w:t>mean consumption.</w:t>
      </w:r>
    </w:p>
    <w:p w14:paraId="2C006BE3" w14:textId="6E417E92" w:rsidR="00AB224C" w:rsidRDefault="00D70196" w:rsidP="00AB224C">
      <w:r>
        <w:t>More detailed results</w:t>
      </w:r>
      <w:r w:rsidR="00C02BCE">
        <w:t xml:space="preserve"> for </w:t>
      </w:r>
      <w:r>
        <w:t xml:space="preserve">all the commodities for which data </w:t>
      </w:r>
      <w:r w:rsidR="004E6731">
        <w:t>were</w:t>
      </w:r>
      <w:r>
        <w:t xml:space="preserve"> </w:t>
      </w:r>
      <w:r w:rsidR="00D00133">
        <w:t>available</w:t>
      </w:r>
      <w:r>
        <w:t xml:space="preserve"> </w:t>
      </w:r>
      <w:r w:rsidR="00B730EF">
        <w:t xml:space="preserve">for </w:t>
      </w:r>
      <w:r w:rsidR="00C02BCE">
        <w:t>PF</w:t>
      </w:r>
      <w:r>
        <w:t>OS</w:t>
      </w:r>
      <w:r w:rsidR="00C02BCE">
        <w:t xml:space="preserve"> a</w:t>
      </w:r>
      <w:r>
        <w:t>re</w:t>
      </w:r>
      <w:r w:rsidR="00C02BCE">
        <w:t xml:space="preserve"> provided</w:t>
      </w:r>
      <w:r w:rsidR="00C32D5E">
        <w:t xml:space="preserve"> in</w:t>
      </w:r>
      <w:r w:rsidR="00C02BCE">
        <w:t xml:space="preserve"> </w:t>
      </w:r>
      <w:r w:rsidR="00C32D5E">
        <w:t>Appendix 3</w:t>
      </w:r>
      <w:r w:rsidR="00D00133">
        <w:t xml:space="preserve">. Amounts of food that can be consumed to </w:t>
      </w:r>
      <w:r w:rsidR="007C4D74">
        <w:t>reach</w:t>
      </w:r>
      <w:r w:rsidR="00D00133">
        <w:t xml:space="preserve"> the TDI</w:t>
      </w:r>
      <w:r w:rsidR="00C32D5E">
        <w:t xml:space="preserve"> for the whole population </w:t>
      </w:r>
      <w:r w:rsidR="00D00133">
        <w:t xml:space="preserve">are set out in </w:t>
      </w:r>
      <w:r w:rsidR="00C02BCE">
        <w:t>in</w:t>
      </w:r>
      <w:r w:rsidR="00C32D5E">
        <w:t xml:space="preserve"> </w:t>
      </w:r>
      <w:r w:rsidR="00D00133" w:rsidRPr="008110E9">
        <w:rPr>
          <w:rStyle w:val="CrossReferenceChar"/>
        </w:rPr>
        <w:fldChar w:fldCharType="begin"/>
      </w:r>
      <w:r w:rsidR="00D00133" w:rsidRPr="008110E9">
        <w:rPr>
          <w:rStyle w:val="CrossReferenceChar"/>
        </w:rPr>
        <w:instrText xml:space="preserve"> REF _Ref473879918 \r \h </w:instrText>
      </w:r>
      <w:r w:rsidR="00D00133" w:rsidRPr="008110E9">
        <w:rPr>
          <w:rStyle w:val="CrossReferenceChar"/>
        </w:rPr>
      </w:r>
      <w:r w:rsidR="00D00133" w:rsidRPr="008110E9">
        <w:rPr>
          <w:rStyle w:val="CrossReferenceChar"/>
        </w:rPr>
        <w:fldChar w:fldCharType="separate"/>
      </w:r>
      <w:r w:rsidR="00D5249B">
        <w:rPr>
          <w:rStyle w:val="CrossReferenceChar"/>
        </w:rPr>
        <w:t>Table 14</w:t>
      </w:r>
      <w:r w:rsidR="00D00133" w:rsidRPr="008110E9">
        <w:rPr>
          <w:rStyle w:val="CrossReferenceChar"/>
        </w:rPr>
        <w:fldChar w:fldCharType="end"/>
      </w:r>
      <w:r w:rsidR="00C32D5E">
        <w:t xml:space="preserve"> and </w:t>
      </w:r>
      <w:r w:rsidR="00D00133">
        <w:t xml:space="preserve">for </w:t>
      </w:r>
      <w:r w:rsidR="00C32D5E">
        <w:t>children 2-6 years of age</w:t>
      </w:r>
      <w:r w:rsidR="00D00133">
        <w:t xml:space="preserve"> in</w:t>
      </w:r>
      <w:r w:rsidR="00C32D5E">
        <w:t xml:space="preserve"> </w:t>
      </w:r>
      <w:r w:rsidR="00C32D5E" w:rsidRPr="008110E9">
        <w:rPr>
          <w:rStyle w:val="CrossReferenceChar"/>
        </w:rPr>
        <w:fldChar w:fldCharType="begin"/>
      </w:r>
      <w:r w:rsidR="00C32D5E" w:rsidRPr="008110E9">
        <w:rPr>
          <w:rStyle w:val="CrossReferenceChar"/>
        </w:rPr>
        <w:instrText xml:space="preserve"> REF _Ref473803747 \r \h </w:instrText>
      </w:r>
      <w:r w:rsidR="00C32D5E" w:rsidRPr="008110E9">
        <w:rPr>
          <w:rStyle w:val="CrossReferenceChar"/>
        </w:rPr>
      </w:r>
      <w:r w:rsidR="00C32D5E" w:rsidRPr="008110E9">
        <w:rPr>
          <w:rStyle w:val="CrossReferenceChar"/>
        </w:rPr>
        <w:fldChar w:fldCharType="separate"/>
      </w:r>
      <w:r w:rsidR="00D5249B">
        <w:rPr>
          <w:rStyle w:val="CrossReferenceChar"/>
        </w:rPr>
        <w:t>Table 15</w:t>
      </w:r>
      <w:r w:rsidR="00C32D5E" w:rsidRPr="008110E9">
        <w:rPr>
          <w:rStyle w:val="CrossReferenceChar"/>
        </w:rPr>
        <w:fldChar w:fldCharType="end"/>
      </w:r>
      <w:r w:rsidR="00C32D5E">
        <w:t>.</w:t>
      </w:r>
    </w:p>
    <w:p w14:paraId="2737BCDB" w14:textId="7E6DB737" w:rsidR="00AB224C" w:rsidRPr="00C12B2D" w:rsidRDefault="005A6171" w:rsidP="00C12B2D">
      <w:pPr>
        <w:pStyle w:val="Heading4"/>
      </w:pPr>
      <w:r w:rsidRPr="00C12B2D">
        <w:t>PFOS</w:t>
      </w:r>
      <w:r w:rsidR="004E6731">
        <w:t xml:space="preserve"> </w:t>
      </w:r>
      <w:r w:rsidRPr="00C12B2D">
        <w:t>+</w:t>
      </w:r>
      <w:r w:rsidR="004E6731">
        <w:t xml:space="preserve"> </w:t>
      </w:r>
      <w:proofErr w:type="spellStart"/>
      <w:r w:rsidRPr="00C12B2D">
        <w:t>PFHxS</w:t>
      </w:r>
      <w:proofErr w:type="spellEnd"/>
      <w:r w:rsidR="00275E11">
        <w:t xml:space="preserve"> combined</w:t>
      </w:r>
    </w:p>
    <w:p w14:paraId="5EE07DD3" w14:textId="5BE89382" w:rsidR="00A96AF4" w:rsidRDefault="00AB224C" w:rsidP="00AB224C">
      <w:r>
        <w:t>For PFOS</w:t>
      </w:r>
      <w:r w:rsidR="00275E11">
        <w:t xml:space="preserve"> </w:t>
      </w:r>
      <w:r>
        <w:t>+</w:t>
      </w:r>
      <w:r w:rsidR="00275E11">
        <w:t xml:space="preserve"> </w:t>
      </w:r>
      <w:proofErr w:type="spellStart"/>
      <w:r>
        <w:t>PFHxS</w:t>
      </w:r>
      <w:proofErr w:type="spellEnd"/>
      <w:r w:rsidR="00275E11">
        <w:t xml:space="preserve"> combined</w:t>
      </w:r>
      <w:r>
        <w:t xml:space="preserve">, additional food groups </w:t>
      </w:r>
      <w:r w:rsidR="00AC5933">
        <w:t>to</w:t>
      </w:r>
      <w:r w:rsidR="00A96AF4">
        <w:t xml:space="preserve"> those discussed above </w:t>
      </w:r>
      <w:r w:rsidR="00355654">
        <w:t xml:space="preserve">for PFOS </w:t>
      </w:r>
      <w:r>
        <w:t xml:space="preserve">were identified </w:t>
      </w:r>
      <w:r w:rsidR="00A96AF4">
        <w:t>as having amounts</w:t>
      </w:r>
      <w:r>
        <w:t xml:space="preserve"> of food tha</w:t>
      </w:r>
      <w:r w:rsidR="00AC5933">
        <w:t>t could be consumed before reaching the TDI</w:t>
      </w:r>
      <w:r>
        <w:t xml:space="preserve"> </w:t>
      </w:r>
      <w:r w:rsidR="00A96AF4">
        <w:t xml:space="preserve">which </w:t>
      </w:r>
      <w:r w:rsidR="00AC5933">
        <w:t xml:space="preserve">were greater than their </w:t>
      </w:r>
      <w:r w:rsidR="00A96AF4">
        <w:t>90</w:t>
      </w:r>
      <w:r w:rsidR="00A96AF4" w:rsidRPr="00A96AF4">
        <w:rPr>
          <w:vertAlign w:val="superscript"/>
        </w:rPr>
        <w:t>th</w:t>
      </w:r>
      <w:r w:rsidR="00A96AF4">
        <w:t xml:space="preserve"> percentile and mean consumption amounts </w:t>
      </w:r>
      <w:r w:rsidR="00AC5933">
        <w:t xml:space="preserve">reported in the </w:t>
      </w:r>
      <w:r w:rsidR="00E904A9">
        <w:t>NNPAS</w:t>
      </w:r>
      <w:r w:rsidR="00AC5933">
        <w:t xml:space="preserve"> </w:t>
      </w:r>
      <w:r w:rsidR="00A96AF4">
        <w:t>(</w:t>
      </w:r>
      <w:r w:rsidR="00A96AF4" w:rsidRPr="008110E9">
        <w:rPr>
          <w:rStyle w:val="CrossReferenceChar"/>
        </w:rPr>
        <w:fldChar w:fldCharType="begin"/>
      </w:r>
      <w:r w:rsidR="00A96AF4" w:rsidRPr="008110E9">
        <w:rPr>
          <w:rStyle w:val="CrossReferenceChar"/>
        </w:rPr>
        <w:instrText xml:space="preserve"> REF _Ref473802849 \r \h </w:instrText>
      </w:r>
      <w:r w:rsidR="00A96AF4" w:rsidRPr="008110E9">
        <w:rPr>
          <w:rStyle w:val="CrossReferenceChar"/>
        </w:rPr>
      </w:r>
      <w:r w:rsidR="00A96AF4" w:rsidRPr="008110E9">
        <w:rPr>
          <w:rStyle w:val="CrossReferenceChar"/>
        </w:rPr>
        <w:fldChar w:fldCharType="separate"/>
      </w:r>
      <w:r w:rsidR="00D5249B">
        <w:rPr>
          <w:rStyle w:val="CrossReferenceChar"/>
        </w:rPr>
        <w:t>Table 6</w:t>
      </w:r>
      <w:r w:rsidR="00A96AF4" w:rsidRPr="008110E9">
        <w:rPr>
          <w:rStyle w:val="CrossReferenceChar"/>
        </w:rPr>
        <w:fldChar w:fldCharType="end"/>
      </w:r>
      <w:r w:rsidR="00A96AF4">
        <w:t xml:space="preserve">, </w:t>
      </w:r>
      <w:r w:rsidR="00A96AF4" w:rsidRPr="008110E9">
        <w:rPr>
          <w:rStyle w:val="CrossReferenceChar"/>
        </w:rPr>
        <w:fldChar w:fldCharType="begin"/>
      </w:r>
      <w:r w:rsidR="00A96AF4" w:rsidRPr="008110E9">
        <w:rPr>
          <w:rStyle w:val="CrossReferenceChar"/>
        </w:rPr>
        <w:instrText xml:space="preserve"> REF _Ref473803216 \r \h </w:instrText>
      </w:r>
      <w:r w:rsidR="00A96AF4" w:rsidRPr="008110E9">
        <w:rPr>
          <w:rStyle w:val="CrossReferenceChar"/>
        </w:rPr>
      </w:r>
      <w:r w:rsidR="00A96AF4" w:rsidRPr="008110E9">
        <w:rPr>
          <w:rStyle w:val="CrossReferenceChar"/>
        </w:rPr>
        <w:fldChar w:fldCharType="separate"/>
      </w:r>
      <w:r w:rsidR="00D5249B">
        <w:rPr>
          <w:rStyle w:val="CrossReferenceChar"/>
        </w:rPr>
        <w:t>Table 7</w:t>
      </w:r>
      <w:r w:rsidR="00A96AF4" w:rsidRPr="008110E9">
        <w:rPr>
          <w:rStyle w:val="CrossReferenceChar"/>
        </w:rPr>
        <w:fldChar w:fldCharType="end"/>
      </w:r>
      <w:r w:rsidR="00A96AF4">
        <w:t xml:space="preserve">). </w:t>
      </w:r>
    </w:p>
    <w:p w14:paraId="544BA16C" w14:textId="3E1733C2" w:rsidR="00A96AF4" w:rsidRDefault="00A96AF4" w:rsidP="00AB224C">
      <w:r>
        <w:t xml:space="preserve">For the whole population and for children, the amount of freshwater fish that may be consumed before reaching the TDI for </w:t>
      </w:r>
      <w:r w:rsidRPr="00A96AF4">
        <w:t>PFOS</w:t>
      </w:r>
      <w:r w:rsidR="004E6731">
        <w:t xml:space="preserve"> </w:t>
      </w:r>
      <w:r w:rsidRPr="00A96AF4">
        <w:t>+</w:t>
      </w:r>
      <w:r w:rsidR="004E6731">
        <w:t xml:space="preserve"> </w:t>
      </w:r>
      <w:proofErr w:type="spellStart"/>
      <w:r w:rsidRPr="00A96AF4">
        <w:t>PFHxS</w:t>
      </w:r>
      <w:proofErr w:type="spellEnd"/>
      <w:r>
        <w:t xml:space="preserve"> </w:t>
      </w:r>
      <w:r w:rsidR="004E6731">
        <w:t>combined</w:t>
      </w:r>
      <w:r>
        <w:t xml:space="preserve"> (all bounds) was less than the mean consumption of freshwater fish reported in the </w:t>
      </w:r>
      <w:r w:rsidR="00762488">
        <w:t>2011-12 NNPAS</w:t>
      </w:r>
      <w:r>
        <w:t xml:space="preserve">. </w:t>
      </w:r>
    </w:p>
    <w:p w14:paraId="784C64E2" w14:textId="0B43FADB" w:rsidR="00A96AF4" w:rsidRDefault="00A96AF4" w:rsidP="00AB224C">
      <w:r>
        <w:t xml:space="preserve">For the whole population, berries and </w:t>
      </w:r>
      <w:r w:rsidR="00762488">
        <w:t xml:space="preserve">other </w:t>
      </w:r>
      <w:r>
        <w:t>small f</w:t>
      </w:r>
      <w:r w:rsidR="00762488">
        <w:t>ruit</w:t>
      </w:r>
      <w:r>
        <w:t>s consumption amounts to reach the TDI at the middle bound as well as the upper bound were less than 90</w:t>
      </w:r>
      <w:r w:rsidRPr="00A96AF4">
        <w:rPr>
          <w:vertAlign w:val="superscript"/>
        </w:rPr>
        <w:t>th</w:t>
      </w:r>
      <w:r>
        <w:t xml:space="preserve"> percentile consumption. Finally, the amount of </w:t>
      </w:r>
      <w:r w:rsidR="00762488">
        <w:t xml:space="preserve">citrus, pome fruits, </w:t>
      </w:r>
      <w:r>
        <w:t>root and tuber vegetables consumed to reach the TDI at the upper bound was less than the 90</w:t>
      </w:r>
      <w:r w:rsidRPr="00A96AF4">
        <w:rPr>
          <w:vertAlign w:val="superscript"/>
        </w:rPr>
        <w:t>th</w:t>
      </w:r>
      <w:r>
        <w:t xml:space="preserve"> percentile consumption of these foods. </w:t>
      </w:r>
    </w:p>
    <w:p w14:paraId="1B17B350" w14:textId="62F474D0" w:rsidR="00A96AF4" w:rsidRDefault="00A96AF4" w:rsidP="00AB224C">
      <w:r>
        <w:t>For children aged 2-</w:t>
      </w:r>
      <w:r w:rsidR="00F26276">
        <w:t>6</w:t>
      </w:r>
      <w:r>
        <w:t xml:space="preserve"> </w:t>
      </w:r>
      <w:r w:rsidR="0024555B">
        <w:t>citrus,</w:t>
      </w:r>
      <w:r>
        <w:t xml:space="preserve"> other fruiting and root and tuber vegetable consumption to reach the TDI was less than the 90</w:t>
      </w:r>
      <w:r w:rsidRPr="00A96AF4">
        <w:rPr>
          <w:vertAlign w:val="superscript"/>
        </w:rPr>
        <w:t>th</w:t>
      </w:r>
      <w:r>
        <w:t xml:space="preserve">  percentile consumption reported for these foods at the middle bound, and less than their reported mean consumption at the upper bound.</w:t>
      </w:r>
    </w:p>
    <w:p w14:paraId="24758944" w14:textId="243FEFEB" w:rsidR="00A96AF4" w:rsidRDefault="00A96AF4" w:rsidP="00AB224C">
      <w:r w:rsidRPr="00A96AF4">
        <w:t xml:space="preserve">More detailed results for all </w:t>
      </w:r>
      <w:r w:rsidR="00DB2629">
        <w:t xml:space="preserve">of </w:t>
      </w:r>
      <w:r w:rsidRPr="00A96AF4">
        <w:t xml:space="preserve">the commodities for which data </w:t>
      </w:r>
      <w:r w:rsidR="004E6731">
        <w:t>were</w:t>
      </w:r>
      <w:r w:rsidRPr="00A96AF4">
        <w:t xml:space="preserve"> available </w:t>
      </w:r>
      <w:r w:rsidR="00DB2629">
        <w:t xml:space="preserve">for </w:t>
      </w:r>
      <w:r w:rsidRPr="00A96AF4">
        <w:t>PFOS</w:t>
      </w:r>
      <w:r w:rsidR="004E6731">
        <w:t xml:space="preserve"> </w:t>
      </w:r>
      <w:r>
        <w:t>+</w:t>
      </w:r>
      <w:r w:rsidR="004E6731">
        <w:t xml:space="preserve"> </w:t>
      </w:r>
      <w:proofErr w:type="spellStart"/>
      <w:r>
        <w:t>PFHxS</w:t>
      </w:r>
      <w:proofErr w:type="spellEnd"/>
      <w:r w:rsidR="004E6731">
        <w:t xml:space="preserve"> combined</w:t>
      </w:r>
      <w:r w:rsidRPr="00A96AF4">
        <w:t xml:space="preserve"> are provided in </w:t>
      </w:r>
      <w:r w:rsidRPr="008110E9">
        <w:rPr>
          <w:rStyle w:val="CrossReferenceChar"/>
        </w:rPr>
        <w:fldChar w:fldCharType="begin"/>
      </w:r>
      <w:r w:rsidRPr="008110E9">
        <w:rPr>
          <w:rStyle w:val="CrossReferenceChar"/>
        </w:rPr>
        <w:instrText xml:space="preserve"> REF _Ref473883223 \h </w:instrText>
      </w:r>
      <w:r w:rsidRPr="008110E9">
        <w:rPr>
          <w:rStyle w:val="CrossReferenceChar"/>
        </w:rPr>
      </w:r>
      <w:r w:rsidRPr="008110E9">
        <w:rPr>
          <w:rStyle w:val="CrossReferenceChar"/>
        </w:rPr>
        <w:fldChar w:fldCharType="separate"/>
      </w:r>
      <w:r w:rsidR="00D5249B" w:rsidRPr="00984802">
        <w:t xml:space="preserve">Appendix </w:t>
      </w:r>
      <w:r w:rsidR="00D5249B">
        <w:t>3</w:t>
      </w:r>
      <w:r w:rsidR="00D5249B" w:rsidRPr="00984802">
        <w:t>: Amount of food at median PF</w:t>
      </w:r>
      <w:r w:rsidR="00D5249B">
        <w:t xml:space="preserve">OS, PFOA, </w:t>
      </w:r>
      <w:proofErr w:type="spellStart"/>
      <w:r w:rsidR="00D5249B">
        <w:t>PFHxS</w:t>
      </w:r>
      <w:proofErr w:type="spellEnd"/>
      <w:r w:rsidR="00D5249B">
        <w:t xml:space="preserve"> levels</w:t>
      </w:r>
      <w:r w:rsidR="00D5249B" w:rsidRPr="00984802">
        <w:t xml:space="preserve"> to reach TDI</w:t>
      </w:r>
      <w:r w:rsidRPr="008110E9">
        <w:rPr>
          <w:rStyle w:val="CrossReferenceChar"/>
        </w:rPr>
        <w:fldChar w:fldCharType="end"/>
      </w:r>
      <w:r w:rsidRPr="00A96AF4">
        <w:t xml:space="preserve">. Amounts of food that can be consumed to reach the TDI for the whole population are set out in in </w:t>
      </w:r>
      <w:r w:rsidRPr="008110E9">
        <w:rPr>
          <w:rStyle w:val="CrossReferenceChar"/>
        </w:rPr>
        <w:fldChar w:fldCharType="begin"/>
      </w:r>
      <w:r w:rsidRPr="008110E9">
        <w:rPr>
          <w:rStyle w:val="CrossReferenceChar"/>
        </w:rPr>
        <w:instrText xml:space="preserve"> REF _Ref473883328 \r \h </w:instrText>
      </w:r>
      <w:r w:rsidRPr="008110E9">
        <w:rPr>
          <w:rStyle w:val="CrossReferenceChar"/>
        </w:rPr>
      </w:r>
      <w:r w:rsidRPr="008110E9">
        <w:rPr>
          <w:rStyle w:val="CrossReferenceChar"/>
        </w:rPr>
        <w:fldChar w:fldCharType="separate"/>
      </w:r>
      <w:r w:rsidR="00D5249B">
        <w:rPr>
          <w:rStyle w:val="CrossReferenceChar"/>
        </w:rPr>
        <w:t>Table 18</w:t>
      </w:r>
      <w:r w:rsidRPr="008110E9">
        <w:rPr>
          <w:rStyle w:val="CrossReferenceChar"/>
        </w:rPr>
        <w:fldChar w:fldCharType="end"/>
      </w:r>
      <w:r w:rsidRPr="00A96AF4">
        <w:t xml:space="preserve"> and for children 2-6 years of age</w:t>
      </w:r>
      <w:r>
        <w:t xml:space="preserve"> in </w:t>
      </w:r>
      <w:r w:rsidRPr="008110E9">
        <w:rPr>
          <w:rStyle w:val="CrossReferenceChar"/>
        </w:rPr>
        <w:fldChar w:fldCharType="begin"/>
      </w:r>
      <w:r w:rsidRPr="008110E9">
        <w:rPr>
          <w:rStyle w:val="CrossReferenceChar"/>
        </w:rPr>
        <w:instrText xml:space="preserve"> REF _Ref473883350 \r \h </w:instrText>
      </w:r>
      <w:r w:rsidRPr="008110E9">
        <w:rPr>
          <w:rStyle w:val="CrossReferenceChar"/>
        </w:rPr>
      </w:r>
      <w:r w:rsidRPr="008110E9">
        <w:rPr>
          <w:rStyle w:val="CrossReferenceChar"/>
        </w:rPr>
        <w:fldChar w:fldCharType="separate"/>
      </w:r>
      <w:r w:rsidR="00D5249B">
        <w:rPr>
          <w:rStyle w:val="CrossReferenceChar"/>
        </w:rPr>
        <w:t>Table 19</w:t>
      </w:r>
      <w:r w:rsidRPr="008110E9">
        <w:rPr>
          <w:rStyle w:val="CrossReferenceChar"/>
        </w:rPr>
        <w:fldChar w:fldCharType="end"/>
      </w:r>
      <w:r w:rsidRPr="00A96AF4">
        <w:t>.</w:t>
      </w:r>
    </w:p>
    <w:p w14:paraId="1BDED733" w14:textId="50CF5A9D" w:rsidR="00AB224C" w:rsidRDefault="005A6171" w:rsidP="005A6171">
      <w:pPr>
        <w:pStyle w:val="Heading4"/>
      </w:pPr>
      <w:r>
        <w:t>PFOA</w:t>
      </w:r>
    </w:p>
    <w:p w14:paraId="44A98399" w14:textId="73C0460D" w:rsidR="00442870" w:rsidRDefault="00AB224C" w:rsidP="00AB224C">
      <w:r>
        <w:t xml:space="preserve">PFOA has a higher TDI (160 </w:t>
      </w:r>
      <w:proofErr w:type="spellStart"/>
      <w:r>
        <w:t>ng</w:t>
      </w:r>
      <w:proofErr w:type="spellEnd"/>
      <w:r>
        <w:t>/kg/</w:t>
      </w:r>
      <w:proofErr w:type="spellStart"/>
      <w:r>
        <w:t>bw</w:t>
      </w:r>
      <w:proofErr w:type="spellEnd"/>
      <w:r>
        <w:t>/day)</w:t>
      </w:r>
      <w:r w:rsidR="00F00F72">
        <w:t xml:space="preserve"> than </w:t>
      </w:r>
      <w:r w:rsidR="003B750E">
        <w:t>PFOS</w:t>
      </w:r>
      <w:r w:rsidR="00F00F72">
        <w:t>. Consequently,</w:t>
      </w:r>
      <w:r>
        <w:t xml:space="preserve"> the amount of each</w:t>
      </w:r>
      <w:r w:rsidR="00C02BCE">
        <w:t xml:space="preserve"> 'contaminated site'</w:t>
      </w:r>
      <w:r>
        <w:t xml:space="preserve"> food group (at the median upper bound median PFOA concentration) that could be consumed before the TDI was reached </w:t>
      </w:r>
      <w:r w:rsidR="007C4D74">
        <w:t>was much higher than the</w:t>
      </w:r>
      <w:r>
        <w:t xml:space="preserve"> </w:t>
      </w:r>
      <w:r w:rsidR="00AD247E">
        <w:t>90</w:t>
      </w:r>
      <w:r w:rsidR="00AD247E" w:rsidRPr="00AD247E">
        <w:rPr>
          <w:vertAlign w:val="superscript"/>
        </w:rPr>
        <w:t>th</w:t>
      </w:r>
      <w:r w:rsidR="00AD247E">
        <w:t xml:space="preserve"> percentile</w:t>
      </w:r>
      <w:r>
        <w:t xml:space="preserve"> </w:t>
      </w:r>
      <w:r w:rsidR="007C4D74">
        <w:t xml:space="preserve">usual </w:t>
      </w:r>
      <w:r>
        <w:t>food consumption amounts for all food groups assessed for both children aged 2-6 years and the pop</w:t>
      </w:r>
      <w:r w:rsidR="00F00F72">
        <w:t>ulations aged 2 years and above (</w:t>
      </w:r>
      <w:r w:rsidR="00F00F72" w:rsidRPr="008110E9">
        <w:rPr>
          <w:rStyle w:val="CrossReferenceChar"/>
        </w:rPr>
        <w:fldChar w:fldCharType="begin"/>
      </w:r>
      <w:r w:rsidR="00F00F72" w:rsidRPr="008110E9">
        <w:rPr>
          <w:rStyle w:val="CrossReferenceChar"/>
        </w:rPr>
        <w:instrText xml:space="preserve"> REF _Ref473883537 \r \h </w:instrText>
      </w:r>
      <w:r w:rsidR="00F00F72" w:rsidRPr="008110E9">
        <w:rPr>
          <w:rStyle w:val="CrossReferenceChar"/>
        </w:rPr>
      </w:r>
      <w:r w:rsidR="00F00F72" w:rsidRPr="008110E9">
        <w:rPr>
          <w:rStyle w:val="CrossReferenceChar"/>
        </w:rPr>
        <w:fldChar w:fldCharType="separate"/>
      </w:r>
      <w:r w:rsidR="00D5249B">
        <w:rPr>
          <w:rStyle w:val="CrossReferenceChar"/>
        </w:rPr>
        <w:t>Table 16</w:t>
      </w:r>
      <w:r w:rsidR="00F00F72" w:rsidRPr="008110E9">
        <w:rPr>
          <w:rStyle w:val="CrossReferenceChar"/>
        </w:rPr>
        <w:fldChar w:fldCharType="end"/>
      </w:r>
      <w:r w:rsidR="00F00F72">
        <w:t xml:space="preserve">, </w:t>
      </w:r>
      <w:r w:rsidR="00F00F72" w:rsidRPr="008110E9">
        <w:rPr>
          <w:rStyle w:val="CrossReferenceChar"/>
        </w:rPr>
        <w:fldChar w:fldCharType="begin"/>
      </w:r>
      <w:r w:rsidR="00F00F72" w:rsidRPr="008110E9">
        <w:rPr>
          <w:rStyle w:val="CrossReferenceChar"/>
        </w:rPr>
        <w:instrText xml:space="preserve"> REF _Ref473883546 \r \h </w:instrText>
      </w:r>
      <w:r w:rsidR="00F00F72" w:rsidRPr="008110E9">
        <w:rPr>
          <w:rStyle w:val="CrossReferenceChar"/>
        </w:rPr>
      </w:r>
      <w:r w:rsidR="00F00F72" w:rsidRPr="008110E9">
        <w:rPr>
          <w:rStyle w:val="CrossReferenceChar"/>
        </w:rPr>
        <w:fldChar w:fldCharType="separate"/>
      </w:r>
      <w:r w:rsidR="00D5249B">
        <w:rPr>
          <w:rStyle w:val="CrossReferenceChar"/>
        </w:rPr>
        <w:t>Table 17</w:t>
      </w:r>
      <w:r w:rsidR="00F00F72" w:rsidRPr="008110E9">
        <w:rPr>
          <w:rStyle w:val="CrossReferenceChar"/>
        </w:rPr>
        <w:fldChar w:fldCharType="end"/>
      </w:r>
      <w:r w:rsidR="00F00F72">
        <w:t>).</w:t>
      </w:r>
    </w:p>
    <w:p w14:paraId="686A3374" w14:textId="77777777" w:rsidR="00442870" w:rsidRDefault="00442870" w:rsidP="00AB224C">
      <w:pPr>
        <w:sectPr w:rsidR="00442870" w:rsidSect="005A0BAC">
          <w:footerReference w:type="default" r:id="rId17"/>
          <w:pgSz w:w="11906" w:h="16838"/>
          <w:pgMar w:top="1418" w:right="1418" w:bottom="1418" w:left="1418" w:header="709" w:footer="709" w:gutter="0"/>
          <w:cols w:space="708"/>
          <w:titlePg/>
          <w:docGrid w:linePitch="360"/>
        </w:sectPr>
      </w:pPr>
    </w:p>
    <w:p w14:paraId="202B6129" w14:textId="0C1ECCCA" w:rsidR="00442870" w:rsidRPr="00442870" w:rsidRDefault="00442870" w:rsidP="00442870">
      <w:pPr>
        <w:pStyle w:val="FSTableColumnRowheading"/>
      </w:pPr>
      <w:bookmarkStart w:id="136" w:name="_Ref473802849"/>
      <w:bookmarkStart w:id="137" w:name="_Toc474153716"/>
      <w:bookmarkStart w:id="138" w:name="_Toc474158908"/>
      <w:bookmarkStart w:id="139" w:name="_Toc474847868"/>
      <w:bookmarkStart w:id="140" w:name="_Toc474852108"/>
      <w:r w:rsidRPr="00442870">
        <w:lastRenderedPageBreak/>
        <w:t>Food groups* where amount of food group consumed by the whole population (2 years and above) at median PF</w:t>
      </w:r>
      <w:r w:rsidR="003B750E">
        <w:t xml:space="preserve">OS and/or </w:t>
      </w:r>
      <w:proofErr w:type="spellStart"/>
      <w:r w:rsidR="003B750E" w:rsidRPr="003B750E">
        <w:t>PFOS+PFHxS</w:t>
      </w:r>
      <w:proofErr w:type="spellEnd"/>
      <w:r w:rsidRPr="00442870">
        <w:t xml:space="preserve"> </w:t>
      </w:r>
      <w:r w:rsidR="00275E11">
        <w:t>combined</w:t>
      </w:r>
      <w:r w:rsidR="000F313F">
        <w:t xml:space="preserve"> </w:t>
      </w:r>
      <w:r w:rsidRPr="00442870">
        <w:t xml:space="preserve">concentration to reach the TDI </w:t>
      </w:r>
      <w:r w:rsidR="00C648F6">
        <w:t>are less than</w:t>
      </w:r>
      <w:r w:rsidRPr="00442870">
        <w:t xml:space="preserve"> mean </w:t>
      </w:r>
      <w:r w:rsidR="000F313F">
        <w:t xml:space="preserve">(shaded) </w:t>
      </w:r>
      <w:r w:rsidRPr="00442870">
        <w:t xml:space="preserve">or </w:t>
      </w:r>
      <w:r w:rsidR="003B750E">
        <w:t>90</w:t>
      </w:r>
      <w:r w:rsidR="003B750E" w:rsidRPr="003B750E">
        <w:rPr>
          <w:vertAlign w:val="superscript"/>
        </w:rPr>
        <w:t>th</w:t>
      </w:r>
      <w:r w:rsidR="003B750E">
        <w:t xml:space="preserve"> percentile</w:t>
      </w:r>
      <w:r w:rsidRPr="00442870">
        <w:t xml:space="preserve"> food consumption </w:t>
      </w:r>
      <w:r w:rsidR="000F313F">
        <w:t xml:space="preserve">(bold) </w:t>
      </w:r>
      <w:r w:rsidRPr="00442870">
        <w:t>derived from the 2011</w:t>
      </w:r>
      <w:r w:rsidR="000F313F">
        <w:noBreakHyphen/>
      </w:r>
      <w:r w:rsidRPr="00442870">
        <w:t>12 NNPAS</w:t>
      </w:r>
      <w:bookmarkEnd w:id="136"/>
      <w:bookmarkEnd w:id="137"/>
      <w:bookmarkEnd w:id="138"/>
      <w:bookmarkEnd w:id="139"/>
      <w:bookmarkEnd w:id="140"/>
    </w:p>
    <w:tbl>
      <w:tblPr>
        <w:tblStyle w:val="LightList-Accent11"/>
        <w:tblW w:w="5000" w:type="pct"/>
        <w:tblLook w:val="04A0" w:firstRow="1" w:lastRow="0" w:firstColumn="1" w:lastColumn="0" w:noHBand="0" w:noVBand="1"/>
      </w:tblPr>
      <w:tblGrid>
        <w:gridCol w:w="3228"/>
        <w:gridCol w:w="1345"/>
        <w:gridCol w:w="1385"/>
        <w:gridCol w:w="1336"/>
        <w:gridCol w:w="1345"/>
        <w:gridCol w:w="1385"/>
        <w:gridCol w:w="1336"/>
        <w:gridCol w:w="1419"/>
        <w:gridCol w:w="1439"/>
      </w:tblGrid>
      <w:tr w:rsidR="00442870" w:rsidRPr="005A6171" w14:paraId="67C0B11C" w14:textId="77777777" w:rsidTr="003C3E3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vMerge w:val="restart"/>
            <w:vAlign w:val="center"/>
          </w:tcPr>
          <w:p w14:paraId="3B3B1C44" w14:textId="77777777" w:rsidR="00442870" w:rsidRPr="00C168B9" w:rsidRDefault="00442870" w:rsidP="003C3E3C">
            <w:pPr>
              <w:contextualSpacing/>
              <w:jc w:val="center"/>
              <w:rPr>
                <w:rFonts w:eastAsia="Times New Roman"/>
                <w:color w:val="FFFFFF" w:themeColor="background1"/>
                <w:sz w:val="18"/>
                <w:lang w:eastAsia="en-GB"/>
              </w:rPr>
            </w:pPr>
            <w:r w:rsidRPr="00C168B9">
              <w:rPr>
                <w:rFonts w:eastAsia="Times New Roman"/>
                <w:color w:val="FFFFFF" w:themeColor="background1"/>
                <w:sz w:val="18"/>
                <w:lang w:eastAsia="en-GB"/>
              </w:rPr>
              <w:t>Food Group</w:t>
            </w:r>
          </w:p>
        </w:tc>
        <w:tc>
          <w:tcPr>
            <w:tcW w:w="2860" w:type="pct"/>
            <w:gridSpan w:val="6"/>
            <w:vAlign w:val="center"/>
          </w:tcPr>
          <w:p w14:paraId="65B82349" w14:textId="72D777C2" w:rsidR="00442870" w:rsidRPr="00C168B9" w:rsidRDefault="00442870" w:rsidP="003C3E3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lang w:eastAsia="en-GB"/>
              </w:rPr>
            </w:pPr>
            <w:r w:rsidRPr="00C168B9">
              <w:rPr>
                <w:rFonts w:eastAsia="Times New Roman"/>
                <w:color w:val="FFFFFF" w:themeColor="background1"/>
                <w:sz w:val="18"/>
                <w:lang w:eastAsia="en-GB"/>
              </w:rPr>
              <w:t>Amount of food (grams/day) that ca</w:t>
            </w:r>
            <w:r w:rsidR="002358B6">
              <w:rPr>
                <w:rFonts w:eastAsia="Times New Roman"/>
                <w:color w:val="FFFFFF" w:themeColor="background1"/>
                <w:sz w:val="18"/>
                <w:lang w:eastAsia="en-GB"/>
              </w:rPr>
              <w:t xml:space="preserve">n be consumed to reach TDI (20 </w:t>
            </w:r>
            <w:proofErr w:type="spellStart"/>
            <w:r w:rsidR="002358B6">
              <w:rPr>
                <w:rFonts w:eastAsia="Times New Roman"/>
                <w:color w:val="FFFFFF" w:themeColor="background1"/>
                <w:sz w:val="18"/>
                <w:lang w:eastAsia="en-GB"/>
              </w:rPr>
              <w:t>n</w:t>
            </w:r>
            <w:r w:rsidRPr="00C168B9">
              <w:rPr>
                <w:rFonts w:eastAsia="Times New Roman"/>
                <w:color w:val="FFFFFF" w:themeColor="background1"/>
                <w:sz w:val="18"/>
                <w:lang w:eastAsia="en-GB"/>
              </w:rPr>
              <w:t>g</w:t>
            </w:r>
            <w:proofErr w:type="spellEnd"/>
            <w:r w:rsidRPr="00C168B9">
              <w:rPr>
                <w:rFonts w:eastAsia="Times New Roman"/>
                <w:color w:val="FFFFFF" w:themeColor="background1"/>
                <w:sz w:val="18"/>
                <w:lang w:eastAsia="en-GB"/>
              </w:rPr>
              <w:t xml:space="preserve">/kg </w:t>
            </w:r>
            <w:proofErr w:type="spellStart"/>
            <w:r w:rsidRPr="00C168B9">
              <w:rPr>
                <w:rFonts w:eastAsia="Times New Roman"/>
                <w:color w:val="FFFFFF" w:themeColor="background1"/>
                <w:sz w:val="18"/>
                <w:lang w:eastAsia="en-GB"/>
              </w:rPr>
              <w:t>bw</w:t>
            </w:r>
            <w:proofErr w:type="spellEnd"/>
            <w:r w:rsidRPr="00C168B9">
              <w:rPr>
                <w:rFonts w:eastAsia="Times New Roman"/>
                <w:color w:val="FFFFFF" w:themeColor="background1"/>
                <w:sz w:val="18"/>
                <w:lang w:eastAsia="en-GB"/>
              </w:rPr>
              <w:t>/day</w:t>
            </w:r>
            <w:r w:rsidR="002358B6">
              <w:rPr>
                <w:rFonts w:eastAsia="Times New Roman"/>
                <w:color w:val="FFFFFF" w:themeColor="background1"/>
                <w:sz w:val="18"/>
                <w:lang w:eastAsia="en-GB"/>
              </w:rPr>
              <w:t>)</w:t>
            </w:r>
            <w:r w:rsidRPr="00C168B9">
              <w:rPr>
                <w:rFonts w:eastAsia="Times New Roman"/>
                <w:color w:val="FFFFFF" w:themeColor="background1"/>
                <w:sz w:val="18"/>
                <w:lang w:eastAsia="en-GB"/>
              </w:rPr>
              <w:t>^</w:t>
            </w:r>
          </w:p>
        </w:tc>
        <w:tc>
          <w:tcPr>
            <w:tcW w:w="1005" w:type="pct"/>
            <w:gridSpan w:val="2"/>
            <w:vAlign w:val="center"/>
          </w:tcPr>
          <w:p w14:paraId="642E8567" w14:textId="6700EC44" w:rsidR="00442870" w:rsidRPr="00C168B9" w:rsidRDefault="00442870" w:rsidP="003C3E3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8"/>
                <w:lang w:eastAsia="en-GB"/>
              </w:rPr>
            </w:pPr>
            <w:r w:rsidRPr="00C168B9">
              <w:rPr>
                <w:rFonts w:eastAsia="Times New Roman"/>
                <w:color w:val="FFFFFF" w:themeColor="background1"/>
                <w:sz w:val="18"/>
                <w:lang w:eastAsia="en-GB"/>
              </w:rPr>
              <w:t>Food consumption</w:t>
            </w:r>
            <w:r w:rsidR="005A0BAC">
              <w:rPr>
                <w:rFonts w:eastAsia="Times New Roman"/>
                <w:color w:val="FFFFFF" w:themeColor="background1"/>
                <w:sz w:val="18"/>
                <w:lang w:eastAsia="en-GB"/>
              </w:rPr>
              <w:br/>
              <w:t>2011-2012 NNPAS</w:t>
            </w:r>
            <w:r w:rsidR="005A0BAC">
              <w:rPr>
                <w:rFonts w:eastAsia="Times New Roman"/>
                <w:color w:val="FFFFFF" w:themeColor="background1"/>
                <w:sz w:val="18"/>
                <w:lang w:eastAsia="en-GB"/>
              </w:rPr>
              <w:br/>
            </w:r>
            <w:r w:rsidRPr="00C168B9">
              <w:rPr>
                <w:rFonts w:eastAsia="Times New Roman"/>
                <w:color w:val="FFFFFF" w:themeColor="background1"/>
                <w:sz w:val="18"/>
                <w:lang w:eastAsia="en-GB"/>
              </w:rPr>
              <w:t xml:space="preserve"> (grams/day)</w:t>
            </w:r>
          </w:p>
        </w:tc>
      </w:tr>
      <w:tr w:rsidR="00442870" w:rsidRPr="005A6171" w14:paraId="38A4F292"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vMerge/>
            <w:vAlign w:val="center"/>
          </w:tcPr>
          <w:p w14:paraId="66576034" w14:textId="77777777" w:rsidR="00442870" w:rsidRPr="00C168B9" w:rsidRDefault="00442870" w:rsidP="003C3E3C">
            <w:pPr>
              <w:spacing w:after="0" w:line="240" w:lineRule="auto"/>
              <w:contextualSpacing/>
              <w:jc w:val="center"/>
              <w:rPr>
                <w:rFonts w:eastAsia="Times New Roman"/>
                <w:color w:val="000000"/>
                <w:sz w:val="18"/>
                <w:lang w:eastAsia="en-GB"/>
              </w:rPr>
            </w:pPr>
          </w:p>
        </w:tc>
        <w:tc>
          <w:tcPr>
            <w:tcW w:w="1430" w:type="pct"/>
            <w:gridSpan w:val="3"/>
            <w:vAlign w:val="center"/>
          </w:tcPr>
          <w:p w14:paraId="41128D59"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PFOS median concentration</w:t>
            </w:r>
          </w:p>
        </w:tc>
        <w:tc>
          <w:tcPr>
            <w:tcW w:w="1430" w:type="pct"/>
            <w:gridSpan w:val="3"/>
            <w:vAlign w:val="center"/>
          </w:tcPr>
          <w:p w14:paraId="7FC55CBB"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proofErr w:type="spellStart"/>
            <w:r w:rsidRPr="00C168B9">
              <w:rPr>
                <w:rFonts w:eastAsia="Times New Roman"/>
                <w:color w:val="000000"/>
                <w:sz w:val="18"/>
                <w:lang w:eastAsia="en-GB"/>
              </w:rPr>
              <w:t>PFOS+PFHxS</w:t>
            </w:r>
            <w:proofErr w:type="spellEnd"/>
            <w:r w:rsidRPr="00C168B9">
              <w:rPr>
                <w:rFonts w:eastAsia="Times New Roman"/>
                <w:color w:val="000000"/>
                <w:sz w:val="18"/>
                <w:lang w:eastAsia="en-GB"/>
              </w:rPr>
              <w:t xml:space="preserve"> median concentration</w:t>
            </w:r>
          </w:p>
        </w:tc>
        <w:tc>
          <w:tcPr>
            <w:tcW w:w="1005" w:type="pct"/>
            <w:gridSpan w:val="2"/>
            <w:vAlign w:val="center"/>
          </w:tcPr>
          <w:p w14:paraId="51836420"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Consumers only</w:t>
            </w:r>
          </w:p>
        </w:tc>
      </w:tr>
      <w:tr w:rsidR="00442870" w:rsidRPr="005A6171" w14:paraId="4A4D9514"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1135" w:type="pct"/>
            <w:vMerge/>
            <w:vAlign w:val="center"/>
            <w:hideMark/>
          </w:tcPr>
          <w:p w14:paraId="2AFAA7CD" w14:textId="77777777" w:rsidR="00442870" w:rsidRPr="00C168B9" w:rsidRDefault="00442870" w:rsidP="003C3E3C">
            <w:pPr>
              <w:spacing w:after="0" w:line="240" w:lineRule="auto"/>
              <w:contextualSpacing/>
              <w:jc w:val="center"/>
              <w:rPr>
                <w:rFonts w:eastAsia="Times New Roman"/>
                <w:color w:val="000000"/>
                <w:sz w:val="18"/>
                <w:lang w:eastAsia="en-GB"/>
              </w:rPr>
            </w:pPr>
          </w:p>
        </w:tc>
        <w:tc>
          <w:tcPr>
            <w:tcW w:w="473" w:type="pct"/>
            <w:vAlign w:val="center"/>
          </w:tcPr>
          <w:p w14:paraId="6D04385D" w14:textId="714C0C59"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Lower Bound</w:t>
            </w:r>
          </w:p>
        </w:tc>
        <w:tc>
          <w:tcPr>
            <w:tcW w:w="487" w:type="pct"/>
            <w:vAlign w:val="center"/>
          </w:tcPr>
          <w:p w14:paraId="55F34045"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Middle Bound</w:t>
            </w:r>
          </w:p>
        </w:tc>
        <w:tc>
          <w:tcPr>
            <w:tcW w:w="470" w:type="pct"/>
            <w:vAlign w:val="center"/>
          </w:tcPr>
          <w:p w14:paraId="6FF573E6"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Upper Bound</w:t>
            </w:r>
          </w:p>
        </w:tc>
        <w:tc>
          <w:tcPr>
            <w:tcW w:w="473" w:type="pct"/>
            <w:vAlign w:val="center"/>
          </w:tcPr>
          <w:p w14:paraId="366C40C8"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Lower Bound</w:t>
            </w:r>
          </w:p>
        </w:tc>
        <w:tc>
          <w:tcPr>
            <w:tcW w:w="487" w:type="pct"/>
            <w:vAlign w:val="center"/>
          </w:tcPr>
          <w:p w14:paraId="71FE06A7"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Middle Bound</w:t>
            </w:r>
          </w:p>
        </w:tc>
        <w:tc>
          <w:tcPr>
            <w:tcW w:w="470" w:type="pct"/>
            <w:vAlign w:val="center"/>
          </w:tcPr>
          <w:p w14:paraId="3952383E"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Upper Bound</w:t>
            </w:r>
          </w:p>
        </w:tc>
        <w:tc>
          <w:tcPr>
            <w:tcW w:w="499" w:type="pct"/>
            <w:vAlign w:val="center"/>
            <w:hideMark/>
          </w:tcPr>
          <w:p w14:paraId="22447ADE" w14:textId="0D82B3D0"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P90</w:t>
            </w:r>
          </w:p>
        </w:tc>
        <w:tc>
          <w:tcPr>
            <w:tcW w:w="506" w:type="pct"/>
            <w:vAlign w:val="center"/>
            <w:hideMark/>
          </w:tcPr>
          <w:p w14:paraId="382A500B" w14:textId="6A38E13E"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Mean</w:t>
            </w:r>
          </w:p>
        </w:tc>
      </w:tr>
      <w:tr w:rsidR="00442870" w:rsidRPr="005A6171" w14:paraId="15D66E3F"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9"/>
            <w:noWrap/>
            <w:vAlign w:val="center"/>
          </w:tcPr>
          <w:p w14:paraId="1D5D0D5D" w14:textId="77777777" w:rsidR="00442870" w:rsidRPr="00C168B9" w:rsidRDefault="00442870" w:rsidP="00DE5872">
            <w:pPr>
              <w:spacing w:after="0" w:line="240" w:lineRule="auto"/>
              <w:contextualSpacing/>
              <w:rPr>
                <w:rFonts w:eastAsia="Times New Roman"/>
                <w:color w:val="000000"/>
                <w:sz w:val="18"/>
                <w:lang w:eastAsia="en-GB"/>
              </w:rPr>
            </w:pPr>
            <w:r w:rsidRPr="00C168B9">
              <w:rPr>
                <w:color w:val="000000"/>
                <w:sz w:val="18"/>
              </w:rPr>
              <w:t>Population aged 2 years and above (mean body weight = 70 kg)</w:t>
            </w:r>
          </w:p>
        </w:tc>
      </w:tr>
      <w:tr w:rsidR="00442870" w:rsidRPr="005A6171" w14:paraId="2AF07313" w14:textId="77777777" w:rsidTr="00121F84">
        <w:trPr>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tcPr>
          <w:p w14:paraId="5E5028F9" w14:textId="77777777" w:rsidR="00442870" w:rsidRPr="00C168B9" w:rsidRDefault="00442870" w:rsidP="003C3E3C">
            <w:pPr>
              <w:spacing w:after="0" w:line="240" w:lineRule="auto"/>
              <w:contextualSpacing/>
              <w:rPr>
                <w:b w:val="0"/>
                <w:color w:val="000000"/>
                <w:sz w:val="18"/>
              </w:rPr>
            </w:pPr>
            <w:r w:rsidRPr="00C168B9">
              <w:rPr>
                <w:rFonts w:eastAsia="Times New Roman"/>
                <w:b w:val="0"/>
                <w:color w:val="000000"/>
                <w:sz w:val="18"/>
                <w:lang w:eastAsia="en-GB"/>
              </w:rPr>
              <w:t>Freshwater fish</w:t>
            </w:r>
          </w:p>
        </w:tc>
        <w:tc>
          <w:tcPr>
            <w:tcW w:w="473" w:type="pct"/>
            <w:noWrap/>
            <w:vAlign w:val="center"/>
          </w:tcPr>
          <w:p w14:paraId="4440BA3D"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406</w:t>
            </w:r>
          </w:p>
        </w:tc>
        <w:tc>
          <w:tcPr>
            <w:tcW w:w="487" w:type="pct"/>
            <w:noWrap/>
            <w:vAlign w:val="center"/>
          </w:tcPr>
          <w:p w14:paraId="02359194"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406</w:t>
            </w:r>
          </w:p>
        </w:tc>
        <w:tc>
          <w:tcPr>
            <w:tcW w:w="470" w:type="pct"/>
            <w:tcBorders>
              <w:right w:val="nil"/>
            </w:tcBorders>
            <w:noWrap/>
            <w:vAlign w:val="center"/>
          </w:tcPr>
          <w:p w14:paraId="5C1E7EF4"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406</w:t>
            </w:r>
          </w:p>
        </w:tc>
        <w:tc>
          <w:tcPr>
            <w:tcW w:w="473" w:type="pct"/>
            <w:tcBorders>
              <w:top w:val="nil"/>
              <w:left w:val="nil"/>
              <w:bottom w:val="nil"/>
            </w:tcBorders>
            <w:shd w:val="clear" w:color="auto" w:fill="BFBFBF" w:themeFill="background1" w:themeFillShade="BF"/>
            <w:vAlign w:val="center"/>
          </w:tcPr>
          <w:p w14:paraId="18F94C95"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33</w:t>
            </w:r>
          </w:p>
        </w:tc>
        <w:tc>
          <w:tcPr>
            <w:tcW w:w="487" w:type="pct"/>
            <w:tcBorders>
              <w:top w:val="single" w:sz="8" w:space="0" w:color="4F81BD"/>
              <w:bottom w:val="single" w:sz="8" w:space="0" w:color="4F81BD"/>
            </w:tcBorders>
            <w:shd w:val="clear" w:color="auto" w:fill="BFBFBF" w:themeFill="background1" w:themeFillShade="BF"/>
            <w:vAlign w:val="center"/>
          </w:tcPr>
          <w:p w14:paraId="2EFBB6DD"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33</w:t>
            </w:r>
          </w:p>
        </w:tc>
        <w:tc>
          <w:tcPr>
            <w:tcW w:w="470" w:type="pct"/>
            <w:tcBorders>
              <w:top w:val="nil"/>
              <w:bottom w:val="nil"/>
              <w:right w:val="nil"/>
            </w:tcBorders>
            <w:shd w:val="clear" w:color="auto" w:fill="BFBFBF" w:themeFill="background1" w:themeFillShade="BF"/>
            <w:vAlign w:val="center"/>
          </w:tcPr>
          <w:p w14:paraId="09A301BF"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32</w:t>
            </w:r>
          </w:p>
        </w:tc>
        <w:tc>
          <w:tcPr>
            <w:tcW w:w="499" w:type="pct"/>
            <w:tcBorders>
              <w:left w:val="nil"/>
            </w:tcBorders>
            <w:noWrap/>
            <w:vAlign w:val="center"/>
          </w:tcPr>
          <w:p w14:paraId="4D86BE79" w14:textId="4C490448"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143</w:t>
            </w:r>
          </w:p>
        </w:tc>
        <w:tc>
          <w:tcPr>
            <w:tcW w:w="506" w:type="pct"/>
            <w:noWrap/>
            <w:vAlign w:val="center"/>
          </w:tcPr>
          <w:p w14:paraId="454609BD" w14:textId="08A872AE"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56</w:t>
            </w:r>
          </w:p>
        </w:tc>
      </w:tr>
      <w:tr w:rsidR="00442870" w:rsidRPr="005A6171" w14:paraId="5034A577"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hideMark/>
          </w:tcPr>
          <w:p w14:paraId="657B6A74"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Berries and other small fruits</w:t>
            </w:r>
          </w:p>
        </w:tc>
        <w:tc>
          <w:tcPr>
            <w:tcW w:w="473" w:type="pct"/>
            <w:noWrap/>
            <w:vAlign w:val="center"/>
          </w:tcPr>
          <w:p w14:paraId="4AAFDA14"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p>
        </w:tc>
        <w:tc>
          <w:tcPr>
            <w:tcW w:w="487" w:type="pct"/>
            <w:noWrap/>
            <w:vAlign w:val="center"/>
          </w:tcPr>
          <w:p w14:paraId="574E075B"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color w:val="000000"/>
                <w:sz w:val="18"/>
              </w:rPr>
              <w:t>933</w:t>
            </w:r>
          </w:p>
        </w:tc>
        <w:tc>
          <w:tcPr>
            <w:tcW w:w="470" w:type="pct"/>
            <w:noWrap/>
            <w:vAlign w:val="center"/>
          </w:tcPr>
          <w:p w14:paraId="677D22F2"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467</w:t>
            </w:r>
          </w:p>
        </w:tc>
        <w:tc>
          <w:tcPr>
            <w:tcW w:w="473" w:type="pct"/>
            <w:vAlign w:val="center"/>
          </w:tcPr>
          <w:p w14:paraId="46B2858A"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p>
        </w:tc>
        <w:tc>
          <w:tcPr>
            <w:tcW w:w="487" w:type="pct"/>
            <w:vAlign w:val="center"/>
          </w:tcPr>
          <w:p w14:paraId="49B9E0FD"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467</w:t>
            </w:r>
          </w:p>
        </w:tc>
        <w:tc>
          <w:tcPr>
            <w:tcW w:w="470" w:type="pct"/>
            <w:vAlign w:val="center"/>
          </w:tcPr>
          <w:p w14:paraId="7AF92C4A"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233</w:t>
            </w:r>
          </w:p>
        </w:tc>
        <w:tc>
          <w:tcPr>
            <w:tcW w:w="499" w:type="pct"/>
            <w:noWrap/>
            <w:vAlign w:val="center"/>
            <w:hideMark/>
          </w:tcPr>
          <w:p w14:paraId="4424FFAE" w14:textId="594503E6"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52</w:t>
            </w:r>
            <w:r w:rsidR="00DE5872">
              <w:rPr>
                <w:rFonts w:eastAsia="Times New Roman"/>
                <w:color w:val="000000"/>
                <w:sz w:val="18"/>
                <w:lang w:eastAsia="en-GB"/>
              </w:rPr>
              <w:t>6</w:t>
            </w:r>
          </w:p>
        </w:tc>
        <w:tc>
          <w:tcPr>
            <w:tcW w:w="506" w:type="pct"/>
            <w:noWrap/>
            <w:vAlign w:val="center"/>
            <w:hideMark/>
          </w:tcPr>
          <w:p w14:paraId="5A718628" w14:textId="05A0723F"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166</w:t>
            </w:r>
          </w:p>
        </w:tc>
      </w:tr>
      <w:tr w:rsidR="00442870" w:rsidRPr="005A6171" w14:paraId="5D4BDDD8"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hideMark/>
          </w:tcPr>
          <w:p w14:paraId="0EBCA684"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Citrus fruits</w:t>
            </w:r>
          </w:p>
        </w:tc>
        <w:tc>
          <w:tcPr>
            <w:tcW w:w="473" w:type="pct"/>
            <w:noWrap/>
            <w:vAlign w:val="center"/>
          </w:tcPr>
          <w:p w14:paraId="764CD916"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p>
        </w:tc>
        <w:tc>
          <w:tcPr>
            <w:tcW w:w="487" w:type="pct"/>
            <w:noWrap/>
            <w:vAlign w:val="center"/>
          </w:tcPr>
          <w:p w14:paraId="7D31179A"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933</w:t>
            </w:r>
          </w:p>
        </w:tc>
        <w:tc>
          <w:tcPr>
            <w:tcW w:w="470" w:type="pct"/>
            <w:noWrap/>
            <w:vAlign w:val="center"/>
          </w:tcPr>
          <w:p w14:paraId="5F635D77"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467</w:t>
            </w:r>
          </w:p>
        </w:tc>
        <w:tc>
          <w:tcPr>
            <w:tcW w:w="473" w:type="pct"/>
            <w:vAlign w:val="center"/>
          </w:tcPr>
          <w:p w14:paraId="02057514"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p>
        </w:tc>
        <w:tc>
          <w:tcPr>
            <w:tcW w:w="487" w:type="pct"/>
            <w:vAlign w:val="center"/>
          </w:tcPr>
          <w:p w14:paraId="26692163"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467</w:t>
            </w:r>
          </w:p>
        </w:tc>
        <w:tc>
          <w:tcPr>
            <w:tcW w:w="470" w:type="pct"/>
            <w:vAlign w:val="center"/>
          </w:tcPr>
          <w:p w14:paraId="2A329162"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233</w:t>
            </w:r>
          </w:p>
        </w:tc>
        <w:tc>
          <w:tcPr>
            <w:tcW w:w="499" w:type="pct"/>
            <w:noWrap/>
            <w:vAlign w:val="center"/>
            <w:hideMark/>
          </w:tcPr>
          <w:p w14:paraId="710032D7" w14:textId="60B5E93A"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35</w:t>
            </w:r>
            <w:r w:rsidR="00DE5872">
              <w:rPr>
                <w:rFonts w:eastAsia="Times New Roman"/>
                <w:color w:val="000000"/>
                <w:sz w:val="18"/>
                <w:lang w:eastAsia="en-GB"/>
              </w:rPr>
              <w:t>4</w:t>
            </w:r>
          </w:p>
        </w:tc>
        <w:tc>
          <w:tcPr>
            <w:tcW w:w="506" w:type="pct"/>
            <w:noWrap/>
            <w:vAlign w:val="center"/>
            <w:hideMark/>
          </w:tcPr>
          <w:p w14:paraId="2FAB64EE" w14:textId="73A7B7ED"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129</w:t>
            </w:r>
          </w:p>
        </w:tc>
      </w:tr>
      <w:tr w:rsidR="00442870" w:rsidRPr="005A6171" w14:paraId="6FEC2413"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hideMark/>
          </w:tcPr>
          <w:p w14:paraId="428A8A13"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Pome fruits</w:t>
            </w:r>
          </w:p>
        </w:tc>
        <w:tc>
          <w:tcPr>
            <w:tcW w:w="473" w:type="pct"/>
            <w:noWrap/>
            <w:vAlign w:val="center"/>
          </w:tcPr>
          <w:p w14:paraId="57DFD63D"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p>
        </w:tc>
        <w:tc>
          <w:tcPr>
            <w:tcW w:w="487" w:type="pct"/>
            <w:noWrap/>
            <w:vAlign w:val="center"/>
          </w:tcPr>
          <w:p w14:paraId="412ACC1C"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color w:val="000000"/>
                <w:sz w:val="18"/>
              </w:rPr>
              <w:t>933</w:t>
            </w:r>
          </w:p>
        </w:tc>
        <w:tc>
          <w:tcPr>
            <w:tcW w:w="470" w:type="pct"/>
            <w:noWrap/>
            <w:vAlign w:val="center"/>
          </w:tcPr>
          <w:p w14:paraId="21E521DE"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color w:val="000000"/>
                <w:sz w:val="18"/>
              </w:rPr>
              <w:t>467</w:t>
            </w:r>
          </w:p>
        </w:tc>
        <w:tc>
          <w:tcPr>
            <w:tcW w:w="473" w:type="pct"/>
            <w:vAlign w:val="center"/>
          </w:tcPr>
          <w:p w14:paraId="6E51175D"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p>
        </w:tc>
        <w:tc>
          <w:tcPr>
            <w:tcW w:w="487" w:type="pct"/>
            <w:vAlign w:val="center"/>
          </w:tcPr>
          <w:p w14:paraId="37FA4332"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color w:val="000000"/>
                <w:sz w:val="18"/>
              </w:rPr>
              <w:t>467</w:t>
            </w:r>
          </w:p>
        </w:tc>
        <w:tc>
          <w:tcPr>
            <w:tcW w:w="470" w:type="pct"/>
            <w:vAlign w:val="center"/>
          </w:tcPr>
          <w:p w14:paraId="16F0AB1C"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233</w:t>
            </w:r>
          </w:p>
        </w:tc>
        <w:tc>
          <w:tcPr>
            <w:tcW w:w="499" w:type="pct"/>
            <w:noWrap/>
            <w:vAlign w:val="center"/>
            <w:hideMark/>
          </w:tcPr>
          <w:p w14:paraId="29E111C3" w14:textId="0C807CB4"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321</w:t>
            </w:r>
          </w:p>
        </w:tc>
        <w:tc>
          <w:tcPr>
            <w:tcW w:w="506" w:type="pct"/>
            <w:noWrap/>
            <w:vAlign w:val="center"/>
            <w:hideMark/>
          </w:tcPr>
          <w:p w14:paraId="3A732F58" w14:textId="2994C503"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14</w:t>
            </w:r>
            <w:r w:rsidR="00B42527">
              <w:rPr>
                <w:rFonts w:eastAsia="Times New Roman"/>
                <w:color w:val="000000"/>
                <w:sz w:val="18"/>
                <w:lang w:eastAsia="en-GB"/>
              </w:rPr>
              <w:t>7</w:t>
            </w:r>
          </w:p>
        </w:tc>
      </w:tr>
      <w:tr w:rsidR="008148B3" w:rsidRPr="005A6171" w14:paraId="75BA509B" w14:textId="77777777" w:rsidTr="005A0BAC">
        <w:trPr>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tcPr>
          <w:p w14:paraId="487D8C6F" w14:textId="46B74082" w:rsidR="008148B3" w:rsidRPr="00C168B9" w:rsidRDefault="008148B3" w:rsidP="003C3E3C">
            <w:pPr>
              <w:spacing w:after="0" w:line="240" w:lineRule="auto"/>
              <w:contextualSpacing/>
              <w:rPr>
                <w:rFonts w:eastAsia="Times New Roman"/>
                <w:b w:val="0"/>
                <w:color w:val="000000"/>
                <w:sz w:val="18"/>
                <w:lang w:eastAsia="en-GB"/>
              </w:rPr>
            </w:pPr>
            <w:r>
              <w:rPr>
                <w:rFonts w:eastAsia="Times New Roman"/>
                <w:b w:val="0"/>
                <w:color w:val="000000"/>
                <w:sz w:val="18"/>
                <w:lang w:eastAsia="en-GB"/>
              </w:rPr>
              <w:t>Meat mammalian (all)</w:t>
            </w:r>
          </w:p>
        </w:tc>
        <w:tc>
          <w:tcPr>
            <w:tcW w:w="473" w:type="pct"/>
            <w:shd w:val="clear" w:color="auto" w:fill="auto"/>
            <w:noWrap/>
            <w:vAlign w:val="center"/>
          </w:tcPr>
          <w:p w14:paraId="138168A7" w14:textId="60CBE7C8"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Pr>
                <w:b/>
                <w:color w:val="000000"/>
                <w:sz w:val="18"/>
              </w:rPr>
              <w:t>153</w:t>
            </w:r>
          </w:p>
        </w:tc>
        <w:tc>
          <w:tcPr>
            <w:tcW w:w="487" w:type="pct"/>
            <w:shd w:val="clear" w:color="auto" w:fill="auto"/>
            <w:noWrap/>
            <w:vAlign w:val="center"/>
          </w:tcPr>
          <w:p w14:paraId="6698787A" w14:textId="0987DAB9"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Pr>
                <w:b/>
                <w:color w:val="000000"/>
                <w:sz w:val="18"/>
              </w:rPr>
              <w:t>153</w:t>
            </w:r>
          </w:p>
        </w:tc>
        <w:tc>
          <w:tcPr>
            <w:tcW w:w="470" w:type="pct"/>
            <w:shd w:val="clear" w:color="auto" w:fill="auto"/>
            <w:noWrap/>
            <w:vAlign w:val="center"/>
          </w:tcPr>
          <w:p w14:paraId="0252C7CD" w14:textId="3BDE905F"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Pr>
                <w:b/>
                <w:color w:val="000000"/>
                <w:sz w:val="18"/>
              </w:rPr>
              <w:t>153</w:t>
            </w:r>
          </w:p>
        </w:tc>
        <w:tc>
          <w:tcPr>
            <w:tcW w:w="473" w:type="pct"/>
            <w:shd w:val="clear" w:color="auto" w:fill="auto"/>
            <w:vAlign w:val="center"/>
          </w:tcPr>
          <w:p w14:paraId="3CC7B108" w14:textId="57B510DE"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Pr>
                <w:b/>
                <w:color w:val="000000"/>
                <w:sz w:val="18"/>
              </w:rPr>
              <w:t>113</w:t>
            </w:r>
          </w:p>
        </w:tc>
        <w:tc>
          <w:tcPr>
            <w:tcW w:w="487" w:type="pct"/>
            <w:shd w:val="clear" w:color="auto" w:fill="auto"/>
            <w:vAlign w:val="center"/>
          </w:tcPr>
          <w:p w14:paraId="53DF442B" w14:textId="5854EFD6"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Pr>
                <w:b/>
                <w:color w:val="000000"/>
                <w:sz w:val="18"/>
              </w:rPr>
              <w:t>113</w:t>
            </w:r>
          </w:p>
        </w:tc>
        <w:tc>
          <w:tcPr>
            <w:tcW w:w="470" w:type="pct"/>
            <w:shd w:val="clear" w:color="auto" w:fill="auto"/>
            <w:vAlign w:val="center"/>
          </w:tcPr>
          <w:p w14:paraId="3747024F" w14:textId="05CC880E"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Pr>
                <w:b/>
                <w:color w:val="000000"/>
                <w:sz w:val="18"/>
              </w:rPr>
              <w:t>113</w:t>
            </w:r>
          </w:p>
        </w:tc>
        <w:tc>
          <w:tcPr>
            <w:tcW w:w="499" w:type="pct"/>
            <w:noWrap/>
            <w:vAlign w:val="center"/>
          </w:tcPr>
          <w:p w14:paraId="3A305EA0" w14:textId="128C2FB2"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Pr>
                <w:rFonts w:eastAsia="Times New Roman"/>
                <w:color w:val="000000"/>
                <w:sz w:val="18"/>
                <w:lang w:eastAsia="en-GB"/>
              </w:rPr>
              <w:t>221</w:t>
            </w:r>
          </w:p>
        </w:tc>
        <w:tc>
          <w:tcPr>
            <w:tcW w:w="506" w:type="pct"/>
            <w:noWrap/>
            <w:vAlign w:val="center"/>
          </w:tcPr>
          <w:p w14:paraId="6CAAF65D" w14:textId="270E7264" w:rsidR="008148B3" w:rsidRPr="00C168B9" w:rsidRDefault="00DE587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Pr>
                <w:rFonts w:eastAsia="Times New Roman"/>
                <w:color w:val="000000"/>
                <w:sz w:val="18"/>
                <w:lang w:eastAsia="en-GB"/>
              </w:rPr>
              <w:t>106</w:t>
            </w:r>
          </w:p>
        </w:tc>
      </w:tr>
      <w:tr w:rsidR="00442870" w:rsidRPr="005A6171" w14:paraId="07426300" w14:textId="77777777" w:rsidTr="00DE58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hideMark/>
          </w:tcPr>
          <w:p w14:paraId="4D501DE3"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Cattle meat</w:t>
            </w:r>
          </w:p>
        </w:tc>
        <w:tc>
          <w:tcPr>
            <w:tcW w:w="473" w:type="pct"/>
            <w:shd w:val="clear" w:color="auto" w:fill="BFBFBF" w:themeFill="background1" w:themeFillShade="BF"/>
            <w:noWrap/>
            <w:vAlign w:val="center"/>
          </w:tcPr>
          <w:p w14:paraId="159774CB" w14:textId="00400457" w:rsidR="00442870" w:rsidRPr="00C168B9" w:rsidRDefault="00DE5872"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Pr>
                <w:b/>
                <w:color w:val="000000"/>
                <w:sz w:val="18"/>
              </w:rPr>
              <w:t>26</w:t>
            </w:r>
          </w:p>
        </w:tc>
        <w:tc>
          <w:tcPr>
            <w:tcW w:w="487" w:type="pct"/>
            <w:shd w:val="clear" w:color="auto" w:fill="BFBFBF" w:themeFill="background1" w:themeFillShade="BF"/>
            <w:noWrap/>
            <w:vAlign w:val="center"/>
          </w:tcPr>
          <w:p w14:paraId="6E6855BA" w14:textId="41F03CF9" w:rsidR="00442870" w:rsidRPr="00C168B9" w:rsidRDefault="00DE5872"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Pr>
                <w:b/>
                <w:color w:val="000000"/>
                <w:sz w:val="18"/>
              </w:rPr>
              <w:t>26</w:t>
            </w:r>
          </w:p>
        </w:tc>
        <w:tc>
          <w:tcPr>
            <w:tcW w:w="470" w:type="pct"/>
            <w:shd w:val="clear" w:color="auto" w:fill="BFBFBF" w:themeFill="background1" w:themeFillShade="BF"/>
            <w:noWrap/>
            <w:vAlign w:val="center"/>
          </w:tcPr>
          <w:p w14:paraId="33ADB370" w14:textId="06F3A09B" w:rsidR="00442870" w:rsidRPr="00C168B9" w:rsidRDefault="00DE5872"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Pr>
                <w:b/>
                <w:color w:val="000000"/>
                <w:sz w:val="18"/>
              </w:rPr>
              <w:t>26</w:t>
            </w:r>
          </w:p>
        </w:tc>
        <w:tc>
          <w:tcPr>
            <w:tcW w:w="473" w:type="pct"/>
            <w:shd w:val="clear" w:color="auto" w:fill="BFBFBF" w:themeFill="background1" w:themeFillShade="BF"/>
            <w:vAlign w:val="center"/>
          </w:tcPr>
          <w:p w14:paraId="29C994B3" w14:textId="2A3605E0" w:rsidR="00442870" w:rsidRPr="00C168B9" w:rsidRDefault="00DE5872"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Pr>
                <w:b/>
                <w:color w:val="000000"/>
                <w:sz w:val="18"/>
              </w:rPr>
              <w:t>22</w:t>
            </w:r>
          </w:p>
        </w:tc>
        <w:tc>
          <w:tcPr>
            <w:tcW w:w="487" w:type="pct"/>
            <w:shd w:val="clear" w:color="auto" w:fill="BFBFBF" w:themeFill="background1" w:themeFillShade="BF"/>
            <w:vAlign w:val="center"/>
          </w:tcPr>
          <w:p w14:paraId="355A55AB" w14:textId="745FC9D5" w:rsidR="00442870" w:rsidRPr="00C168B9" w:rsidRDefault="00DE5872"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Pr>
                <w:b/>
                <w:color w:val="000000"/>
                <w:sz w:val="18"/>
              </w:rPr>
              <w:t>22</w:t>
            </w:r>
          </w:p>
        </w:tc>
        <w:tc>
          <w:tcPr>
            <w:tcW w:w="470" w:type="pct"/>
            <w:shd w:val="clear" w:color="auto" w:fill="BFBFBF" w:themeFill="background1" w:themeFillShade="BF"/>
            <w:vAlign w:val="center"/>
          </w:tcPr>
          <w:p w14:paraId="65955543" w14:textId="0805E3BA" w:rsidR="00442870" w:rsidRPr="00C168B9" w:rsidRDefault="00DE5872"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Pr>
                <w:b/>
                <w:color w:val="000000"/>
                <w:sz w:val="18"/>
              </w:rPr>
              <w:t>22</w:t>
            </w:r>
          </w:p>
        </w:tc>
        <w:tc>
          <w:tcPr>
            <w:tcW w:w="499" w:type="pct"/>
            <w:noWrap/>
            <w:vAlign w:val="center"/>
            <w:hideMark/>
          </w:tcPr>
          <w:p w14:paraId="2CF4EADF" w14:textId="5FAA638C"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163</w:t>
            </w:r>
          </w:p>
        </w:tc>
        <w:tc>
          <w:tcPr>
            <w:tcW w:w="506" w:type="pct"/>
            <w:noWrap/>
            <w:vAlign w:val="center"/>
            <w:hideMark/>
          </w:tcPr>
          <w:p w14:paraId="4AE32655" w14:textId="6F7B72EC"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71</w:t>
            </w:r>
          </w:p>
        </w:tc>
      </w:tr>
      <w:tr w:rsidR="00442870" w:rsidRPr="005A6171" w14:paraId="2C1C432A" w14:textId="77777777" w:rsidTr="00DE5872">
        <w:trPr>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hideMark/>
          </w:tcPr>
          <w:p w14:paraId="18DC9B7E"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Rabbit meat</w:t>
            </w:r>
          </w:p>
        </w:tc>
        <w:tc>
          <w:tcPr>
            <w:tcW w:w="473" w:type="pct"/>
            <w:shd w:val="clear" w:color="auto" w:fill="BFBFBF" w:themeFill="background1" w:themeFillShade="BF"/>
            <w:noWrap/>
            <w:vAlign w:val="center"/>
          </w:tcPr>
          <w:p w14:paraId="6245F5DB"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21</w:t>
            </w:r>
          </w:p>
        </w:tc>
        <w:tc>
          <w:tcPr>
            <w:tcW w:w="487" w:type="pct"/>
            <w:shd w:val="clear" w:color="auto" w:fill="BFBFBF" w:themeFill="background1" w:themeFillShade="BF"/>
            <w:noWrap/>
            <w:vAlign w:val="center"/>
          </w:tcPr>
          <w:p w14:paraId="30F5BE88"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21</w:t>
            </w:r>
          </w:p>
        </w:tc>
        <w:tc>
          <w:tcPr>
            <w:tcW w:w="470" w:type="pct"/>
            <w:shd w:val="clear" w:color="auto" w:fill="BFBFBF" w:themeFill="background1" w:themeFillShade="BF"/>
            <w:noWrap/>
            <w:vAlign w:val="center"/>
          </w:tcPr>
          <w:p w14:paraId="5E9B376E"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21</w:t>
            </w:r>
          </w:p>
        </w:tc>
        <w:tc>
          <w:tcPr>
            <w:tcW w:w="473" w:type="pct"/>
            <w:shd w:val="clear" w:color="auto" w:fill="BFBFBF" w:themeFill="background1" w:themeFillShade="BF"/>
            <w:vAlign w:val="center"/>
          </w:tcPr>
          <w:p w14:paraId="03AA5081"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19</w:t>
            </w:r>
          </w:p>
        </w:tc>
        <w:tc>
          <w:tcPr>
            <w:tcW w:w="487" w:type="pct"/>
            <w:shd w:val="clear" w:color="auto" w:fill="BFBFBF" w:themeFill="background1" w:themeFillShade="BF"/>
            <w:vAlign w:val="center"/>
          </w:tcPr>
          <w:p w14:paraId="37DF1AAA"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19</w:t>
            </w:r>
          </w:p>
        </w:tc>
        <w:tc>
          <w:tcPr>
            <w:tcW w:w="470" w:type="pct"/>
            <w:shd w:val="clear" w:color="auto" w:fill="BFBFBF" w:themeFill="background1" w:themeFillShade="BF"/>
            <w:vAlign w:val="center"/>
          </w:tcPr>
          <w:p w14:paraId="050EAF46"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19</w:t>
            </w:r>
          </w:p>
        </w:tc>
        <w:tc>
          <w:tcPr>
            <w:tcW w:w="499" w:type="pct"/>
            <w:noWrap/>
            <w:vAlign w:val="center"/>
            <w:hideMark/>
          </w:tcPr>
          <w:p w14:paraId="1F66B6CC"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w:t>
            </w:r>
          </w:p>
        </w:tc>
        <w:tc>
          <w:tcPr>
            <w:tcW w:w="506" w:type="pct"/>
            <w:noWrap/>
            <w:vAlign w:val="center"/>
            <w:hideMark/>
          </w:tcPr>
          <w:p w14:paraId="427F6396" w14:textId="4C5F4C27"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36</w:t>
            </w:r>
            <w:r w:rsidR="00DE5872">
              <w:rPr>
                <w:rFonts w:eastAsia="Times New Roman"/>
                <w:color w:val="000000"/>
                <w:sz w:val="18"/>
                <w:lang w:eastAsia="en-GB"/>
              </w:rPr>
              <w:t>4</w:t>
            </w:r>
          </w:p>
        </w:tc>
      </w:tr>
      <w:tr w:rsidR="00442870" w:rsidRPr="005A6171" w14:paraId="74876EF6" w14:textId="77777777" w:rsidTr="00DE58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tcPr>
          <w:p w14:paraId="6C832641"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Milk</w:t>
            </w:r>
          </w:p>
        </w:tc>
        <w:tc>
          <w:tcPr>
            <w:tcW w:w="473" w:type="pct"/>
            <w:shd w:val="clear" w:color="auto" w:fill="BFBFBF" w:themeFill="background1" w:themeFillShade="BF"/>
            <w:noWrap/>
            <w:vAlign w:val="center"/>
          </w:tcPr>
          <w:p w14:paraId="7E5F7D6D"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483</w:t>
            </w:r>
          </w:p>
        </w:tc>
        <w:tc>
          <w:tcPr>
            <w:tcW w:w="487" w:type="pct"/>
            <w:shd w:val="clear" w:color="auto" w:fill="BFBFBF" w:themeFill="background1" w:themeFillShade="BF"/>
            <w:noWrap/>
            <w:vAlign w:val="center"/>
          </w:tcPr>
          <w:p w14:paraId="305BBB81"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483</w:t>
            </w:r>
          </w:p>
        </w:tc>
        <w:tc>
          <w:tcPr>
            <w:tcW w:w="470" w:type="pct"/>
            <w:shd w:val="clear" w:color="auto" w:fill="BFBFBF" w:themeFill="background1" w:themeFillShade="BF"/>
            <w:noWrap/>
            <w:vAlign w:val="center"/>
          </w:tcPr>
          <w:p w14:paraId="4A3515E9"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483</w:t>
            </w:r>
          </w:p>
        </w:tc>
        <w:tc>
          <w:tcPr>
            <w:tcW w:w="473" w:type="pct"/>
            <w:shd w:val="clear" w:color="auto" w:fill="BFBFBF" w:themeFill="background1" w:themeFillShade="BF"/>
            <w:vAlign w:val="center"/>
          </w:tcPr>
          <w:p w14:paraId="71966182"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C168B9">
              <w:rPr>
                <w:b/>
                <w:color w:val="000000"/>
                <w:sz w:val="18"/>
              </w:rPr>
              <w:t>483</w:t>
            </w:r>
          </w:p>
        </w:tc>
        <w:tc>
          <w:tcPr>
            <w:tcW w:w="487" w:type="pct"/>
            <w:shd w:val="clear" w:color="auto" w:fill="BFBFBF" w:themeFill="background1" w:themeFillShade="BF"/>
            <w:vAlign w:val="center"/>
          </w:tcPr>
          <w:p w14:paraId="3127BE93"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C168B9">
              <w:rPr>
                <w:b/>
                <w:color w:val="000000"/>
                <w:sz w:val="18"/>
              </w:rPr>
              <w:t>444</w:t>
            </w:r>
          </w:p>
        </w:tc>
        <w:tc>
          <w:tcPr>
            <w:tcW w:w="470" w:type="pct"/>
            <w:shd w:val="clear" w:color="auto" w:fill="BFBFBF" w:themeFill="background1" w:themeFillShade="BF"/>
            <w:vAlign w:val="center"/>
          </w:tcPr>
          <w:p w14:paraId="5CC6DB1A"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C168B9">
              <w:rPr>
                <w:b/>
                <w:color w:val="000000"/>
                <w:sz w:val="18"/>
              </w:rPr>
              <w:t>412</w:t>
            </w:r>
          </w:p>
        </w:tc>
        <w:tc>
          <w:tcPr>
            <w:tcW w:w="499" w:type="pct"/>
            <w:noWrap/>
            <w:vAlign w:val="center"/>
          </w:tcPr>
          <w:p w14:paraId="53D05C25" w14:textId="62FE8423"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color w:val="000000"/>
                <w:sz w:val="18"/>
              </w:rPr>
              <w:t>129</w:t>
            </w:r>
            <w:r w:rsidR="00DE5872">
              <w:rPr>
                <w:color w:val="000000"/>
                <w:sz w:val="18"/>
              </w:rPr>
              <w:t>5</w:t>
            </w:r>
          </w:p>
        </w:tc>
        <w:tc>
          <w:tcPr>
            <w:tcW w:w="506" w:type="pct"/>
            <w:noWrap/>
            <w:vAlign w:val="center"/>
          </w:tcPr>
          <w:p w14:paraId="7B6BE043" w14:textId="1B2F3D33"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color w:val="000000"/>
                <w:sz w:val="18"/>
              </w:rPr>
              <w:t>693</w:t>
            </w:r>
          </w:p>
        </w:tc>
      </w:tr>
      <w:tr w:rsidR="00442870" w:rsidRPr="005A6171" w14:paraId="3B709AFE" w14:textId="77777777" w:rsidTr="00DE5872">
        <w:trPr>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hideMark/>
          </w:tcPr>
          <w:p w14:paraId="0AB8C08B"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Cattle milk</w:t>
            </w:r>
          </w:p>
        </w:tc>
        <w:tc>
          <w:tcPr>
            <w:tcW w:w="473" w:type="pct"/>
            <w:shd w:val="clear" w:color="auto" w:fill="BFBFBF" w:themeFill="background1" w:themeFillShade="BF"/>
            <w:noWrap/>
            <w:vAlign w:val="center"/>
          </w:tcPr>
          <w:p w14:paraId="6CBF3AA2" w14:textId="7D23F678" w:rsidR="00442870" w:rsidRPr="00C168B9" w:rsidRDefault="00C03AA7"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Pr>
                <w:b/>
                <w:color w:val="000000"/>
                <w:sz w:val="18"/>
              </w:rPr>
              <w:t>591</w:t>
            </w:r>
          </w:p>
        </w:tc>
        <w:tc>
          <w:tcPr>
            <w:tcW w:w="487" w:type="pct"/>
            <w:shd w:val="clear" w:color="auto" w:fill="BFBFBF" w:themeFill="background1" w:themeFillShade="BF"/>
            <w:noWrap/>
            <w:vAlign w:val="center"/>
          </w:tcPr>
          <w:p w14:paraId="7F394425"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591</w:t>
            </w:r>
          </w:p>
        </w:tc>
        <w:tc>
          <w:tcPr>
            <w:tcW w:w="470" w:type="pct"/>
            <w:shd w:val="clear" w:color="auto" w:fill="BFBFBF" w:themeFill="background1" w:themeFillShade="BF"/>
            <w:noWrap/>
            <w:vAlign w:val="center"/>
          </w:tcPr>
          <w:p w14:paraId="52F843D7"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591</w:t>
            </w:r>
          </w:p>
        </w:tc>
        <w:tc>
          <w:tcPr>
            <w:tcW w:w="473" w:type="pct"/>
            <w:shd w:val="clear" w:color="auto" w:fill="BFBFBF" w:themeFill="background1" w:themeFillShade="BF"/>
            <w:vAlign w:val="center"/>
          </w:tcPr>
          <w:p w14:paraId="194F6773"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591</w:t>
            </w:r>
          </w:p>
        </w:tc>
        <w:tc>
          <w:tcPr>
            <w:tcW w:w="487" w:type="pct"/>
            <w:shd w:val="clear" w:color="auto" w:fill="BFBFBF" w:themeFill="background1" w:themeFillShade="BF"/>
            <w:vAlign w:val="center"/>
          </w:tcPr>
          <w:p w14:paraId="1640602D"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533</w:t>
            </w:r>
          </w:p>
        </w:tc>
        <w:tc>
          <w:tcPr>
            <w:tcW w:w="470" w:type="pct"/>
            <w:shd w:val="clear" w:color="auto" w:fill="BFBFBF" w:themeFill="background1" w:themeFillShade="BF"/>
            <w:vAlign w:val="center"/>
          </w:tcPr>
          <w:p w14:paraId="3EB65712"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485</w:t>
            </w:r>
          </w:p>
        </w:tc>
        <w:tc>
          <w:tcPr>
            <w:tcW w:w="499" w:type="pct"/>
            <w:noWrap/>
            <w:vAlign w:val="center"/>
            <w:hideMark/>
          </w:tcPr>
          <w:p w14:paraId="74371445" w14:textId="335970C1"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129</w:t>
            </w:r>
            <w:r w:rsidR="00DE5872">
              <w:rPr>
                <w:rFonts w:eastAsia="Times New Roman"/>
                <w:color w:val="000000"/>
                <w:sz w:val="18"/>
                <w:lang w:eastAsia="en-GB"/>
              </w:rPr>
              <w:t>5</w:t>
            </w:r>
          </w:p>
        </w:tc>
        <w:tc>
          <w:tcPr>
            <w:tcW w:w="506" w:type="pct"/>
            <w:noWrap/>
            <w:vAlign w:val="center"/>
            <w:hideMark/>
          </w:tcPr>
          <w:p w14:paraId="001186E4" w14:textId="57AE81DD"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692</w:t>
            </w:r>
          </w:p>
        </w:tc>
      </w:tr>
      <w:tr w:rsidR="00442870" w:rsidRPr="005A6171" w14:paraId="4D585B21" w14:textId="77777777" w:rsidTr="003137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hideMark/>
          </w:tcPr>
          <w:p w14:paraId="29277CB4" w14:textId="77777777" w:rsidR="00442870" w:rsidRPr="00C168B9" w:rsidRDefault="00442870" w:rsidP="003C3E3C">
            <w:pPr>
              <w:spacing w:after="0" w:line="240" w:lineRule="auto"/>
              <w:contextualSpacing/>
              <w:rPr>
                <w:rFonts w:eastAsia="Times New Roman"/>
                <w:b w:val="0"/>
                <w:color w:val="000000"/>
                <w:sz w:val="18"/>
                <w:lang w:eastAsia="en-GB"/>
              </w:rPr>
            </w:pPr>
            <w:r w:rsidRPr="00C168B9">
              <w:rPr>
                <w:rFonts w:eastAsia="Times New Roman"/>
                <w:b w:val="0"/>
                <w:color w:val="000000"/>
                <w:sz w:val="18"/>
                <w:lang w:eastAsia="en-GB"/>
              </w:rPr>
              <w:t>Offal mammalian</w:t>
            </w:r>
          </w:p>
        </w:tc>
        <w:tc>
          <w:tcPr>
            <w:tcW w:w="473" w:type="pct"/>
            <w:shd w:val="clear" w:color="auto" w:fill="BFBFBF" w:themeFill="background1" w:themeFillShade="BF"/>
            <w:noWrap/>
            <w:vAlign w:val="center"/>
          </w:tcPr>
          <w:p w14:paraId="6AE7D855"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w:t>
            </w:r>
          </w:p>
        </w:tc>
        <w:tc>
          <w:tcPr>
            <w:tcW w:w="487" w:type="pct"/>
            <w:shd w:val="clear" w:color="auto" w:fill="BFBFBF" w:themeFill="background1" w:themeFillShade="BF"/>
            <w:noWrap/>
            <w:vAlign w:val="center"/>
          </w:tcPr>
          <w:p w14:paraId="5B633801"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w:t>
            </w:r>
          </w:p>
        </w:tc>
        <w:tc>
          <w:tcPr>
            <w:tcW w:w="470" w:type="pct"/>
            <w:shd w:val="clear" w:color="auto" w:fill="BFBFBF" w:themeFill="background1" w:themeFillShade="BF"/>
            <w:noWrap/>
            <w:vAlign w:val="center"/>
          </w:tcPr>
          <w:p w14:paraId="08685343"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w:t>
            </w:r>
          </w:p>
        </w:tc>
        <w:tc>
          <w:tcPr>
            <w:tcW w:w="473" w:type="pct"/>
            <w:shd w:val="clear" w:color="auto" w:fill="BFBFBF" w:themeFill="background1" w:themeFillShade="BF"/>
            <w:vAlign w:val="center"/>
          </w:tcPr>
          <w:p w14:paraId="254EDD1A"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w:t>
            </w:r>
          </w:p>
        </w:tc>
        <w:tc>
          <w:tcPr>
            <w:tcW w:w="487" w:type="pct"/>
            <w:shd w:val="clear" w:color="auto" w:fill="BFBFBF" w:themeFill="background1" w:themeFillShade="BF"/>
            <w:vAlign w:val="center"/>
          </w:tcPr>
          <w:p w14:paraId="5D84E4EB"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w:t>
            </w:r>
          </w:p>
        </w:tc>
        <w:tc>
          <w:tcPr>
            <w:tcW w:w="470" w:type="pct"/>
            <w:shd w:val="clear" w:color="auto" w:fill="BFBFBF" w:themeFill="background1" w:themeFillShade="BF"/>
            <w:vAlign w:val="center"/>
          </w:tcPr>
          <w:p w14:paraId="4E4EE73C" w14:textId="77777777" w:rsidR="00442870" w:rsidRPr="00C168B9" w:rsidRDefault="00442870"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lang w:eastAsia="en-GB"/>
              </w:rPr>
            </w:pPr>
            <w:r w:rsidRPr="00C168B9">
              <w:rPr>
                <w:b/>
                <w:color w:val="000000"/>
                <w:sz w:val="18"/>
              </w:rPr>
              <w:t>23</w:t>
            </w:r>
          </w:p>
        </w:tc>
        <w:tc>
          <w:tcPr>
            <w:tcW w:w="499" w:type="pct"/>
            <w:noWrap/>
            <w:vAlign w:val="center"/>
            <w:hideMark/>
          </w:tcPr>
          <w:p w14:paraId="4409B6CC" w14:textId="3E33C59F"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8</w:t>
            </w:r>
            <w:r w:rsidR="00DE5872">
              <w:rPr>
                <w:rFonts w:eastAsia="Times New Roman"/>
                <w:color w:val="000000"/>
                <w:sz w:val="18"/>
                <w:lang w:eastAsia="en-GB"/>
              </w:rPr>
              <w:t>4</w:t>
            </w:r>
          </w:p>
        </w:tc>
        <w:tc>
          <w:tcPr>
            <w:tcW w:w="506" w:type="pct"/>
            <w:noWrap/>
            <w:vAlign w:val="center"/>
            <w:hideMark/>
          </w:tcPr>
          <w:p w14:paraId="43B68D52" w14:textId="752796B0" w:rsidR="00442870" w:rsidRPr="00C168B9" w:rsidRDefault="00442870" w:rsidP="00DE587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3</w:t>
            </w:r>
            <w:r w:rsidR="00DE5872">
              <w:rPr>
                <w:rFonts w:eastAsia="Times New Roman"/>
                <w:color w:val="000000"/>
                <w:sz w:val="18"/>
                <w:lang w:eastAsia="en-GB"/>
              </w:rPr>
              <w:t>2</w:t>
            </w:r>
          </w:p>
        </w:tc>
      </w:tr>
      <w:tr w:rsidR="00442870" w:rsidRPr="005A6171" w14:paraId="7C6327BF"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1135" w:type="pct"/>
            <w:noWrap/>
            <w:vAlign w:val="center"/>
          </w:tcPr>
          <w:p w14:paraId="51ACE0BF" w14:textId="77777777" w:rsidR="00442870" w:rsidRPr="00C168B9" w:rsidRDefault="00442870" w:rsidP="003C3E3C">
            <w:pPr>
              <w:spacing w:after="0" w:line="240" w:lineRule="auto"/>
              <w:contextualSpacing/>
              <w:rPr>
                <w:color w:val="000000"/>
                <w:sz w:val="18"/>
              </w:rPr>
            </w:pPr>
            <w:r w:rsidRPr="00C168B9">
              <w:rPr>
                <w:rFonts w:eastAsia="Times New Roman"/>
                <w:b w:val="0"/>
                <w:color w:val="000000"/>
                <w:sz w:val="18"/>
                <w:lang w:eastAsia="en-GB"/>
              </w:rPr>
              <w:t>Root and tuber vegetables</w:t>
            </w:r>
          </w:p>
        </w:tc>
        <w:tc>
          <w:tcPr>
            <w:tcW w:w="473" w:type="pct"/>
            <w:noWrap/>
            <w:vAlign w:val="center"/>
          </w:tcPr>
          <w:p w14:paraId="7036DE78"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p>
        </w:tc>
        <w:tc>
          <w:tcPr>
            <w:tcW w:w="487" w:type="pct"/>
            <w:noWrap/>
            <w:vAlign w:val="center"/>
          </w:tcPr>
          <w:p w14:paraId="04018EB1"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933</w:t>
            </w:r>
          </w:p>
        </w:tc>
        <w:tc>
          <w:tcPr>
            <w:tcW w:w="470" w:type="pct"/>
            <w:noWrap/>
            <w:vAlign w:val="center"/>
          </w:tcPr>
          <w:p w14:paraId="4ACBE1C2"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467</w:t>
            </w:r>
          </w:p>
        </w:tc>
        <w:tc>
          <w:tcPr>
            <w:tcW w:w="473" w:type="pct"/>
            <w:vAlign w:val="center"/>
          </w:tcPr>
          <w:p w14:paraId="0AA0B7EE"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p>
        </w:tc>
        <w:tc>
          <w:tcPr>
            <w:tcW w:w="487" w:type="pct"/>
            <w:vAlign w:val="center"/>
          </w:tcPr>
          <w:p w14:paraId="52BCE0E1"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color w:val="000000"/>
                <w:sz w:val="18"/>
              </w:rPr>
              <w:t>467</w:t>
            </w:r>
          </w:p>
        </w:tc>
        <w:tc>
          <w:tcPr>
            <w:tcW w:w="470" w:type="pct"/>
            <w:vAlign w:val="center"/>
          </w:tcPr>
          <w:p w14:paraId="330BF327" w14:textId="77777777" w:rsidR="00442870" w:rsidRPr="00C168B9" w:rsidRDefault="00442870"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lang w:eastAsia="en-GB"/>
              </w:rPr>
            </w:pPr>
            <w:r w:rsidRPr="00C168B9">
              <w:rPr>
                <w:b/>
                <w:color w:val="000000"/>
                <w:sz w:val="18"/>
              </w:rPr>
              <w:t>233</w:t>
            </w:r>
          </w:p>
        </w:tc>
        <w:tc>
          <w:tcPr>
            <w:tcW w:w="499" w:type="pct"/>
            <w:noWrap/>
            <w:vAlign w:val="center"/>
          </w:tcPr>
          <w:p w14:paraId="6C7BE9B8" w14:textId="11BE7461"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27</w:t>
            </w:r>
            <w:r w:rsidR="00DE5872">
              <w:rPr>
                <w:rFonts w:eastAsia="Times New Roman"/>
                <w:color w:val="000000"/>
                <w:sz w:val="18"/>
                <w:lang w:eastAsia="en-GB"/>
              </w:rPr>
              <w:t>3</w:t>
            </w:r>
          </w:p>
        </w:tc>
        <w:tc>
          <w:tcPr>
            <w:tcW w:w="506" w:type="pct"/>
            <w:noWrap/>
            <w:vAlign w:val="center"/>
          </w:tcPr>
          <w:p w14:paraId="68C22DC7" w14:textId="5A944168" w:rsidR="00442870" w:rsidRPr="00C168B9" w:rsidRDefault="00442870" w:rsidP="00DE587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lang w:eastAsia="en-GB"/>
              </w:rPr>
            </w:pPr>
            <w:r w:rsidRPr="00C168B9">
              <w:rPr>
                <w:rFonts w:eastAsia="Times New Roman"/>
                <w:color w:val="000000"/>
                <w:sz w:val="18"/>
                <w:lang w:eastAsia="en-GB"/>
              </w:rPr>
              <w:t>123</w:t>
            </w:r>
          </w:p>
        </w:tc>
      </w:tr>
    </w:tbl>
    <w:p w14:paraId="4F1A4F2D" w14:textId="77777777" w:rsidR="002358B6" w:rsidRDefault="00442870" w:rsidP="003C3E3C">
      <w:pPr>
        <w:pStyle w:val="TableFoot"/>
      </w:pPr>
      <w:r w:rsidRPr="00AF4A4E">
        <w:t>*Consumption amounts not provided where median PFAS concentration was</w:t>
      </w:r>
      <w:r>
        <w:t xml:space="preserve"> &lt;LOR and calculated as zero</w:t>
      </w:r>
      <w:r w:rsidR="00606CAB">
        <w:t xml:space="preserve">; </w:t>
      </w:r>
      <w:r w:rsidR="00606CAB" w:rsidRPr="008A4D2C">
        <w:t>- insufficient consumers to derive P90 consumption</w:t>
      </w:r>
      <w:r w:rsidR="00606CAB">
        <w:t xml:space="preserve"> </w:t>
      </w:r>
    </w:p>
    <w:p w14:paraId="02F8BF47" w14:textId="4D075DF2" w:rsidR="00442870" w:rsidRDefault="002358B6" w:rsidP="003C3E3C">
      <w:pPr>
        <w:pStyle w:val="TableFoot"/>
        <w:rPr>
          <w:b/>
        </w:rPr>
      </w:pPr>
      <w:r>
        <w:t>^ For each food group it is assumed that background exposure from all other foods is zero</w:t>
      </w:r>
      <w:r w:rsidR="00442870">
        <w:br w:type="page"/>
      </w:r>
    </w:p>
    <w:p w14:paraId="1BCEC80F" w14:textId="26E19F63" w:rsidR="00442870" w:rsidRPr="00AF4A4E" w:rsidRDefault="00442870" w:rsidP="00442870">
      <w:pPr>
        <w:pStyle w:val="FSTableColumnRowheading"/>
      </w:pPr>
      <w:bookmarkStart w:id="141" w:name="_Ref473803216"/>
      <w:bookmarkStart w:id="142" w:name="_Toc474153717"/>
      <w:bookmarkStart w:id="143" w:name="_Toc474158909"/>
      <w:bookmarkStart w:id="144" w:name="_Toc474847869"/>
      <w:bookmarkStart w:id="145" w:name="_Toc474852109"/>
      <w:r w:rsidRPr="00AF4A4E">
        <w:lastRenderedPageBreak/>
        <w:t xml:space="preserve">Food groups* where amount of food group consumed by children aged 2-6 years at median </w:t>
      </w:r>
      <w:r w:rsidR="00975CAD">
        <w:t>PFOS and or/</w:t>
      </w:r>
      <w:r w:rsidR="00975CAD" w:rsidRPr="00975CAD">
        <w:t xml:space="preserve"> PFOS</w:t>
      </w:r>
      <w:r w:rsidR="000F313F">
        <w:t xml:space="preserve"> </w:t>
      </w:r>
      <w:r w:rsidR="00975CAD" w:rsidRPr="00975CAD">
        <w:t>+</w:t>
      </w:r>
      <w:r w:rsidR="000F313F">
        <w:t xml:space="preserve"> </w:t>
      </w:r>
      <w:proofErr w:type="spellStart"/>
      <w:r w:rsidR="00975CAD" w:rsidRPr="00975CAD">
        <w:t>PFHxS</w:t>
      </w:r>
      <w:proofErr w:type="spellEnd"/>
      <w:r w:rsidR="00975CAD">
        <w:t xml:space="preserve"> </w:t>
      </w:r>
      <w:r w:rsidR="00160865">
        <w:t xml:space="preserve">combined </w:t>
      </w:r>
      <w:r w:rsidRPr="00AF4A4E">
        <w:t xml:space="preserve">concentration to reach the TDI </w:t>
      </w:r>
      <w:r w:rsidR="00C648F6">
        <w:t>are less than</w:t>
      </w:r>
      <w:r w:rsidRPr="00AF4A4E">
        <w:t xml:space="preserve"> mean </w:t>
      </w:r>
      <w:r w:rsidR="000F313F">
        <w:t>(shaded)</w:t>
      </w:r>
      <w:r w:rsidRPr="00AF4A4E">
        <w:t xml:space="preserve"> or </w:t>
      </w:r>
      <w:r w:rsidR="00975CAD">
        <w:t>90</w:t>
      </w:r>
      <w:r w:rsidR="00975CAD" w:rsidRPr="000F313F">
        <w:rPr>
          <w:vertAlign w:val="superscript"/>
        </w:rPr>
        <w:t>th</w:t>
      </w:r>
      <w:r w:rsidR="00975CAD">
        <w:t xml:space="preserve"> percentile </w:t>
      </w:r>
      <w:r w:rsidR="000F313F">
        <w:t xml:space="preserve">(bold) </w:t>
      </w:r>
      <w:r w:rsidRPr="00AF4A4E">
        <w:t>food consumption derived from the 2011-12 NNPAS</w:t>
      </w:r>
      <w:bookmarkEnd w:id="141"/>
      <w:bookmarkEnd w:id="142"/>
      <w:bookmarkEnd w:id="143"/>
      <w:bookmarkEnd w:id="144"/>
      <w:bookmarkEnd w:id="145"/>
    </w:p>
    <w:tbl>
      <w:tblPr>
        <w:tblStyle w:val="LightList-Accent11"/>
        <w:tblW w:w="5000" w:type="pct"/>
        <w:tblLook w:val="04A0" w:firstRow="1" w:lastRow="0" w:firstColumn="1" w:lastColumn="0" w:noHBand="0" w:noVBand="1"/>
      </w:tblPr>
      <w:tblGrid>
        <w:gridCol w:w="3228"/>
        <w:gridCol w:w="1345"/>
        <w:gridCol w:w="1385"/>
        <w:gridCol w:w="1336"/>
        <w:gridCol w:w="1345"/>
        <w:gridCol w:w="1385"/>
        <w:gridCol w:w="1336"/>
        <w:gridCol w:w="1419"/>
        <w:gridCol w:w="1439"/>
      </w:tblGrid>
      <w:tr w:rsidR="00442870" w:rsidRPr="005A6171" w14:paraId="6637EC5B" w14:textId="77777777" w:rsidTr="003C3E3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vMerge w:val="restart"/>
            <w:vAlign w:val="center"/>
          </w:tcPr>
          <w:p w14:paraId="66DDA2F1" w14:textId="77777777" w:rsidR="00442870" w:rsidRPr="00D13E2D" w:rsidRDefault="00442870" w:rsidP="003C3E3C">
            <w:pPr>
              <w:contextualSpacing/>
              <w:rPr>
                <w:sz w:val="18"/>
                <w:lang w:eastAsia="en-GB"/>
              </w:rPr>
            </w:pPr>
            <w:r w:rsidRPr="00D13E2D">
              <w:rPr>
                <w:sz w:val="18"/>
                <w:lang w:eastAsia="en-GB"/>
              </w:rPr>
              <w:t>Food Group</w:t>
            </w:r>
          </w:p>
        </w:tc>
        <w:tc>
          <w:tcPr>
            <w:tcW w:w="2860" w:type="pct"/>
            <w:gridSpan w:val="6"/>
          </w:tcPr>
          <w:p w14:paraId="5FC0F0EF" w14:textId="7B5828CD" w:rsidR="00442870" w:rsidRPr="00D13E2D" w:rsidRDefault="00442870" w:rsidP="002358B6">
            <w:pPr>
              <w:contextualSpacing/>
              <w:cnfStyle w:val="100000000000" w:firstRow="1" w:lastRow="0" w:firstColumn="0" w:lastColumn="0" w:oddVBand="0" w:evenVBand="0" w:oddHBand="0" w:evenHBand="0" w:firstRowFirstColumn="0" w:firstRowLastColumn="0" w:lastRowFirstColumn="0" w:lastRowLastColumn="0"/>
              <w:rPr>
                <w:sz w:val="18"/>
                <w:lang w:eastAsia="en-GB"/>
              </w:rPr>
            </w:pPr>
            <w:r w:rsidRPr="00D13E2D">
              <w:rPr>
                <w:sz w:val="18"/>
                <w:lang w:eastAsia="en-GB"/>
              </w:rPr>
              <w:t xml:space="preserve">Amount of food (grams/day) that can be consumed to reach TDI (20 </w:t>
            </w:r>
            <w:proofErr w:type="spellStart"/>
            <w:r w:rsidR="002358B6">
              <w:rPr>
                <w:sz w:val="18"/>
                <w:lang w:eastAsia="en-GB"/>
              </w:rPr>
              <w:t>n</w:t>
            </w:r>
            <w:r w:rsidRPr="00D13E2D">
              <w:rPr>
                <w:sz w:val="18"/>
                <w:lang w:eastAsia="en-GB"/>
              </w:rPr>
              <w:t>g</w:t>
            </w:r>
            <w:proofErr w:type="spellEnd"/>
            <w:r w:rsidRPr="00D13E2D">
              <w:rPr>
                <w:sz w:val="18"/>
                <w:lang w:eastAsia="en-GB"/>
              </w:rPr>
              <w:t xml:space="preserve">/kg </w:t>
            </w:r>
            <w:proofErr w:type="spellStart"/>
            <w:r w:rsidRPr="00D13E2D">
              <w:rPr>
                <w:sz w:val="18"/>
                <w:lang w:eastAsia="en-GB"/>
              </w:rPr>
              <w:t>bw</w:t>
            </w:r>
            <w:proofErr w:type="spellEnd"/>
            <w:r w:rsidRPr="00D13E2D">
              <w:rPr>
                <w:sz w:val="18"/>
                <w:lang w:eastAsia="en-GB"/>
              </w:rPr>
              <w:t>/day</w:t>
            </w:r>
            <w:r w:rsidR="002358B6">
              <w:rPr>
                <w:sz w:val="18"/>
                <w:lang w:eastAsia="en-GB"/>
              </w:rPr>
              <w:t>)</w:t>
            </w:r>
            <w:r w:rsidRPr="00D13E2D">
              <w:rPr>
                <w:sz w:val="18"/>
                <w:lang w:eastAsia="en-GB"/>
              </w:rPr>
              <w:t>^</w:t>
            </w:r>
          </w:p>
        </w:tc>
        <w:tc>
          <w:tcPr>
            <w:tcW w:w="1005" w:type="pct"/>
            <w:gridSpan w:val="2"/>
          </w:tcPr>
          <w:p w14:paraId="07E7E48F" w14:textId="03A9095D" w:rsidR="00442870" w:rsidRPr="00D13E2D" w:rsidRDefault="00442870" w:rsidP="003C3E3C">
            <w:pPr>
              <w:contextualSpacing/>
              <w:cnfStyle w:val="100000000000" w:firstRow="1" w:lastRow="0" w:firstColumn="0" w:lastColumn="0" w:oddVBand="0" w:evenVBand="0" w:oddHBand="0" w:evenHBand="0" w:firstRowFirstColumn="0" w:firstRowLastColumn="0" w:lastRowFirstColumn="0" w:lastRowLastColumn="0"/>
              <w:rPr>
                <w:b w:val="0"/>
                <w:sz w:val="18"/>
                <w:lang w:eastAsia="en-GB"/>
              </w:rPr>
            </w:pPr>
            <w:r w:rsidRPr="00D13E2D">
              <w:rPr>
                <w:sz w:val="18"/>
                <w:lang w:eastAsia="en-GB"/>
              </w:rPr>
              <w:t>Food consumption</w:t>
            </w:r>
            <w:r w:rsidR="005A0BAC">
              <w:rPr>
                <w:sz w:val="18"/>
                <w:lang w:eastAsia="en-GB"/>
              </w:rPr>
              <w:br/>
              <w:t>2011-12 NNPAS</w:t>
            </w:r>
            <w:r w:rsidR="005A0BAC">
              <w:rPr>
                <w:sz w:val="18"/>
                <w:lang w:eastAsia="en-GB"/>
              </w:rPr>
              <w:br/>
            </w:r>
            <w:r w:rsidRPr="00D13E2D">
              <w:rPr>
                <w:sz w:val="18"/>
                <w:lang w:eastAsia="en-GB"/>
              </w:rPr>
              <w:t xml:space="preserve"> (grams/day) </w:t>
            </w:r>
          </w:p>
        </w:tc>
      </w:tr>
      <w:tr w:rsidR="00442870" w:rsidRPr="005A6171" w14:paraId="5C26973C"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vMerge/>
          </w:tcPr>
          <w:p w14:paraId="0A7357EC" w14:textId="77777777" w:rsidR="00442870" w:rsidRPr="00D13E2D" w:rsidRDefault="00442870" w:rsidP="003C3E3C">
            <w:pPr>
              <w:spacing w:after="0" w:line="240" w:lineRule="auto"/>
              <w:contextualSpacing/>
              <w:rPr>
                <w:color w:val="000000"/>
                <w:sz w:val="18"/>
                <w:lang w:eastAsia="en-GB"/>
              </w:rPr>
            </w:pPr>
          </w:p>
        </w:tc>
        <w:tc>
          <w:tcPr>
            <w:tcW w:w="1430" w:type="pct"/>
            <w:gridSpan w:val="3"/>
          </w:tcPr>
          <w:p w14:paraId="0600ABB1" w14:textId="77777777" w:rsidR="00442870" w:rsidRPr="00D13E2D" w:rsidRDefault="00442870" w:rsidP="003C3E3C">
            <w:pPr>
              <w:spacing w:after="0" w:line="240" w:lineRule="auto"/>
              <w:contextualSpacing/>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PFOS median concentration</w:t>
            </w:r>
          </w:p>
        </w:tc>
        <w:tc>
          <w:tcPr>
            <w:tcW w:w="1430" w:type="pct"/>
            <w:gridSpan w:val="3"/>
          </w:tcPr>
          <w:p w14:paraId="62C74631" w14:textId="77777777" w:rsidR="00442870" w:rsidRPr="00D13E2D" w:rsidRDefault="00442870" w:rsidP="003C3E3C">
            <w:pPr>
              <w:spacing w:after="0" w:line="240" w:lineRule="auto"/>
              <w:contextualSpacing/>
              <w:cnfStyle w:val="000000100000" w:firstRow="0" w:lastRow="0" w:firstColumn="0" w:lastColumn="0" w:oddVBand="0" w:evenVBand="0" w:oddHBand="1" w:evenHBand="0" w:firstRowFirstColumn="0" w:firstRowLastColumn="0" w:lastRowFirstColumn="0" w:lastRowLastColumn="0"/>
              <w:rPr>
                <w:color w:val="000000"/>
                <w:sz w:val="18"/>
                <w:lang w:eastAsia="en-GB"/>
              </w:rPr>
            </w:pPr>
            <w:proofErr w:type="spellStart"/>
            <w:r w:rsidRPr="00D13E2D">
              <w:rPr>
                <w:color w:val="000000"/>
                <w:sz w:val="18"/>
                <w:lang w:eastAsia="en-GB"/>
              </w:rPr>
              <w:t>PFOS+PFHxS</w:t>
            </w:r>
            <w:proofErr w:type="spellEnd"/>
            <w:r w:rsidRPr="00D13E2D">
              <w:rPr>
                <w:color w:val="000000"/>
                <w:sz w:val="18"/>
                <w:lang w:eastAsia="en-GB"/>
              </w:rPr>
              <w:t xml:space="preserve"> median concentration</w:t>
            </w:r>
          </w:p>
        </w:tc>
        <w:tc>
          <w:tcPr>
            <w:tcW w:w="1005" w:type="pct"/>
            <w:gridSpan w:val="2"/>
          </w:tcPr>
          <w:p w14:paraId="11DCBC0A" w14:textId="77777777" w:rsidR="00442870" w:rsidRPr="00D13E2D" w:rsidRDefault="00442870" w:rsidP="003C3E3C">
            <w:pPr>
              <w:spacing w:after="0" w:line="240" w:lineRule="auto"/>
              <w:contextualSpacing/>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Consumers only</w:t>
            </w:r>
          </w:p>
        </w:tc>
      </w:tr>
      <w:tr w:rsidR="00442870" w:rsidRPr="005A6171" w14:paraId="46B13834" w14:textId="77777777" w:rsidTr="003C3E3C">
        <w:trPr>
          <w:trHeight w:val="340"/>
        </w:trPr>
        <w:tc>
          <w:tcPr>
            <w:cnfStyle w:val="001000000000" w:firstRow="0" w:lastRow="0" w:firstColumn="1" w:lastColumn="0" w:oddVBand="0" w:evenVBand="0" w:oddHBand="0" w:evenHBand="0" w:firstRowFirstColumn="0" w:firstRowLastColumn="0" w:lastRowFirstColumn="0" w:lastRowLastColumn="0"/>
            <w:tcW w:w="1135" w:type="pct"/>
            <w:vMerge/>
            <w:hideMark/>
          </w:tcPr>
          <w:p w14:paraId="4F84BD33" w14:textId="77777777" w:rsidR="00442870" w:rsidRPr="00D13E2D" w:rsidRDefault="00442870" w:rsidP="003C3E3C">
            <w:pPr>
              <w:spacing w:after="0" w:line="240" w:lineRule="auto"/>
              <w:contextualSpacing/>
              <w:rPr>
                <w:color w:val="000000"/>
                <w:sz w:val="18"/>
                <w:lang w:eastAsia="en-GB"/>
              </w:rPr>
            </w:pPr>
          </w:p>
        </w:tc>
        <w:tc>
          <w:tcPr>
            <w:tcW w:w="473" w:type="pct"/>
          </w:tcPr>
          <w:p w14:paraId="325B36A7"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 xml:space="preserve">Lower Bound </w:t>
            </w:r>
          </w:p>
        </w:tc>
        <w:tc>
          <w:tcPr>
            <w:tcW w:w="487" w:type="pct"/>
          </w:tcPr>
          <w:p w14:paraId="704C786F"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Middle Bound</w:t>
            </w:r>
          </w:p>
        </w:tc>
        <w:tc>
          <w:tcPr>
            <w:tcW w:w="470" w:type="pct"/>
          </w:tcPr>
          <w:p w14:paraId="40B53D60"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Upper Bound</w:t>
            </w:r>
          </w:p>
        </w:tc>
        <w:tc>
          <w:tcPr>
            <w:tcW w:w="473" w:type="pct"/>
          </w:tcPr>
          <w:p w14:paraId="040059E1"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Lower Bound</w:t>
            </w:r>
          </w:p>
        </w:tc>
        <w:tc>
          <w:tcPr>
            <w:tcW w:w="487" w:type="pct"/>
          </w:tcPr>
          <w:p w14:paraId="1C84C397"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Middle Bound</w:t>
            </w:r>
          </w:p>
        </w:tc>
        <w:tc>
          <w:tcPr>
            <w:tcW w:w="470" w:type="pct"/>
          </w:tcPr>
          <w:p w14:paraId="2C5029D6"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Upper Bound</w:t>
            </w:r>
          </w:p>
        </w:tc>
        <w:tc>
          <w:tcPr>
            <w:tcW w:w="499" w:type="pct"/>
            <w:hideMark/>
          </w:tcPr>
          <w:p w14:paraId="1A61B024"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 xml:space="preserve">P90 </w:t>
            </w:r>
          </w:p>
        </w:tc>
        <w:tc>
          <w:tcPr>
            <w:tcW w:w="506" w:type="pct"/>
            <w:hideMark/>
          </w:tcPr>
          <w:p w14:paraId="30AF0DCD" w14:textId="77777777" w:rsidR="00442870" w:rsidRPr="00D13E2D" w:rsidRDefault="00442870" w:rsidP="003C3E3C">
            <w:pPr>
              <w:spacing w:after="0" w:line="240" w:lineRule="auto"/>
              <w:contextualSpacing/>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 xml:space="preserve">Mean </w:t>
            </w:r>
          </w:p>
        </w:tc>
      </w:tr>
      <w:tr w:rsidR="00442870" w:rsidRPr="005A6171" w14:paraId="242F4492" w14:textId="77777777" w:rsidTr="003C3E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9"/>
            <w:noWrap/>
            <w:vAlign w:val="center"/>
          </w:tcPr>
          <w:p w14:paraId="17C60EB7" w14:textId="77777777" w:rsidR="00442870" w:rsidRPr="00D13E2D" w:rsidRDefault="00442870" w:rsidP="003C3E3C">
            <w:pPr>
              <w:spacing w:after="0" w:line="240" w:lineRule="auto"/>
              <w:contextualSpacing/>
              <w:rPr>
                <w:color w:val="000000"/>
                <w:sz w:val="18"/>
                <w:lang w:eastAsia="en-GB"/>
              </w:rPr>
            </w:pPr>
            <w:r w:rsidRPr="00D13E2D">
              <w:rPr>
                <w:color w:val="000000"/>
                <w:sz w:val="18"/>
              </w:rPr>
              <w:t>Children Aged 2-6 years</w:t>
            </w:r>
            <w:r w:rsidRPr="00D13E2D">
              <w:rPr>
                <w:sz w:val="18"/>
              </w:rPr>
              <w:t xml:space="preserve"> (</w:t>
            </w:r>
            <w:r w:rsidRPr="00D13E2D">
              <w:rPr>
                <w:color w:val="000000"/>
                <w:sz w:val="18"/>
              </w:rPr>
              <w:t>Mean body weight =19 kg)</w:t>
            </w:r>
          </w:p>
        </w:tc>
      </w:tr>
      <w:tr w:rsidR="00442870" w:rsidRPr="005A6171" w14:paraId="5984EA69" w14:textId="77777777" w:rsidTr="00D5249B">
        <w:trPr>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5A448AF4" w14:textId="77777777" w:rsidR="00442870" w:rsidRPr="00D13E2D" w:rsidRDefault="00442870" w:rsidP="003C3E3C">
            <w:pPr>
              <w:spacing w:after="0" w:line="240" w:lineRule="auto"/>
              <w:contextualSpacing/>
              <w:rPr>
                <w:b w:val="0"/>
                <w:color w:val="000000"/>
                <w:sz w:val="18"/>
              </w:rPr>
            </w:pPr>
            <w:r w:rsidRPr="00D13E2D">
              <w:rPr>
                <w:b w:val="0"/>
                <w:color w:val="000000"/>
                <w:sz w:val="18"/>
                <w:lang w:eastAsia="en-GB"/>
              </w:rPr>
              <w:t>Freshwater fish</w:t>
            </w:r>
          </w:p>
        </w:tc>
        <w:tc>
          <w:tcPr>
            <w:tcW w:w="473" w:type="pct"/>
            <w:noWrap/>
            <w:vAlign w:val="center"/>
          </w:tcPr>
          <w:p w14:paraId="12939BD8" w14:textId="777777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rPr>
              <w:t>110</w:t>
            </w:r>
          </w:p>
        </w:tc>
        <w:tc>
          <w:tcPr>
            <w:tcW w:w="487" w:type="pct"/>
            <w:noWrap/>
            <w:vAlign w:val="center"/>
          </w:tcPr>
          <w:p w14:paraId="43CE61D8" w14:textId="777777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rPr>
              <w:t>110</w:t>
            </w:r>
          </w:p>
        </w:tc>
        <w:tc>
          <w:tcPr>
            <w:tcW w:w="470" w:type="pct"/>
            <w:noWrap/>
            <w:vAlign w:val="center"/>
          </w:tcPr>
          <w:p w14:paraId="5F8C7408" w14:textId="777777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rPr>
              <w:t>110</w:t>
            </w:r>
          </w:p>
        </w:tc>
        <w:tc>
          <w:tcPr>
            <w:tcW w:w="473" w:type="pct"/>
            <w:shd w:val="clear" w:color="auto" w:fill="BFBFBF" w:themeFill="background1" w:themeFillShade="BF"/>
            <w:vAlign w:val="center"/>
          </w:tcPr>
          <w:p w14:paraId="2A4C4B92"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28462F">
              <w:rPr>
                <w:b/>
                <w:color w:val="000000"/>
                <w:sz w:val="18"/>
              </w:rPr>
              <w:t>9</w:t>
            </w:r>
          </w:p>
        </w:tc>
        <w:tc>
          <w:tcPr>
            <w:tcW w:w="487" w:type="pct"/>
            <w:shd w:val="clear" w:color="auto" w:fill="BFBFBF" w:themeFill="background1" w:themeFillShade="BF"/>
            <w:vAlign w:val="center"/>
          </w:tcPr>
          <w:p w14:paraId="4BFBF2C2"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28462F">
              <w:rPr>
                <w:b/>
                <w:color w:val="000000"/>
                <w:sz w:val="18"/>
              </w:rPr>
              <w:t>9</w:t>
            </w:r>
          </w:p>
        </w:tc>
        <w:tc>
          <w:tcPr>
            <w:tcW w:w="470" w:type="pct"/>
            <w:shd w:val="clear" w:color="auto" w:fill="BFBFBF" w:themeFill="background1" w:themeFillShade="BF"/>
            <w:vAlign w:val="center"/>
          </w:tcPr>
          <w:p w14:paraId="1B9CEAB3"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28462F">
              <w:rPr>
                <w:b/>
                <w:color w:val="000000"/>
                <w:sz w:val="18"/>
              </w:rPr>
              <w:t>9</w:t>
            </w:r>
          </w:p>
        </w:tc>
        <w:tc>
          <w:tcPr>
            <w:tcW w:w="499" w:type="pct"/>
            <w:noWrap/>
            <w:vAlign w:val="center"/>
          </w:tcPr>
          <w:p w14:paraId="6DE48FEB" w14:textId="2A54CCF4"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7</w:t>
            </w:r>
            <w:r w:rsidR="00047176">
              <w:rPr>
                <w:color w:val="000000"/>
                <w:sz w:val="18"/>
                <w:lang w:eastAsia="en-GB"/>
              </w:rPr>
              <w:t>2</w:t>
            </w:r>
          </w:p>
        </w:tc>
        <w:tc>
          <w:tcPr>
            <w:tcW w:w="506" w:type="pct"/>
            <w:noWrap/>
            <w:vAlign w:val="center"/>
          </w:tcPr>
          <w:p w14:paraId="747221BB" w14:textId="39A082D0"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28</w:t>
            </w:r>
          </w:p>
        </w:tc>
      </w:tr>
      <w:tr w:rsidR="00442870" w:rsidRPr="005A6171" w14:paraId="0FAD3FF6" w14:textId="77777777" w:rsidTr="00D52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590FF99F" w14:textId="77777777" w:rsidR="00442870" w:rsidRPr="00D13E2D" w:rsidRDefault="00442870" w:rsidP="003C3E3C">
            <w:pPr>
              <w:spacing w:after="0" w:line="240" w:lineRule="auto"/>
              <w:contextualSpacing/>
              <w:rPr>
                <w:b w:val="0"/>
                <w:color w:val="000000"/>
                <w:sz w:val="18"/>
                <w:lang w:eastAsia="en-GB"/>
              </w:rPr>
            </w:pPr>
            <w:r w:rsidRPr="00D13E2D">
              <w:rPr>
                <w:b w:val="0"/>
                <w:color w:val="000000"/>
                <w:sz w:val="18"/>
                <w:lang w:eastAsia="en-GB"/>
              </w:rPr>
              <w:t>Berries and other small fruits</w:t>
            </w:r>
          </w:p>
        </w:tc>
        <w:tc>
          <w:tcPr>
            <w:tcW w:w="473" w:type="pct"/>
            <w:noWrap/>
            <w:vAlign w:val="center"/>
          </w:tcPr>
          <w:p w14:paraId="54E8382E"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p>
        </w:tc>
        <w:tc>
          <w:tcPr>
            <w:tcW w:w="487" w:type="pct"/>
            <w:noWrap/>
            <w:vAlign w:val="center"/>
          </w:tcPr>
          <w:p w14:paraId="6BC01A5E"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rPr>
              <w:t>253</w:t>
            </w:r>
          </w:p>
        </w:tc>
        <w:tc>
          <w:tcPr>
            <w:tcW w:w="470" w:type="pct"/>
            <w:noWrap/>
            <w:vAlign w:val="center"/>
          </w:tcPr>
          <w:p w14:paraId="43C08A4D"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rPr>
              <w:t>127</w:t>
            </w:r>
          </w:p>
        </w:tc>
        <w:tc>
          <w:tcPr>
            <w:tcW w:w="473" w:type="pct"/>
            <w:vAlign w:val="center"/>
          </w:tcPr>
          <w:p w14:paraId="4C867314"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p>
        </w:tc>
        <w:tc>
          <w:tcPr>
            <w:tcW w:w="487" w:type="pct"/>
            <w:vAlign w:val="center"/>
          </w:tcPr>
          <w:p w14:paraId="5CF9AE90"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rPr>
              <w:t>127</w:t>
            </w:r>
          </w:p>
        </w:tc>
        <w:tc>
          <w:tcPr>
            <w:tcW w:w="470" w:type="pct"/>
            <w:shd w:val="clear" w:color="auto" w:fill="BFBFBF" w:themeFill="background1" w:themeFillShade="BF"/>
            <w:vAlign w:val="center"/>
          </w:tcPr>
          <w:p w14:paraId="71AAC485"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lang w:eastAsia="en-GB"/>
              </w:rPr>
            </w:pPr>
            <w:r w:rsidRPr="0028462F">
              <w:rPr>
                <w:b/>
                <w:color w:val="000000"/>
                <w:sz w:val="18"/>
              </w:rPr>
              <w:t>63</w:t>
            </w:r>
          </w:p>
        </w:tc>
        <w:tc>
          <w:tcPr>
            <w:tcW w:w="499" w:type="pct"/>
            <w:noWrap/>
            <w:vAlign w:val="center"/>
          </w:tcPr>
          <w:p w14:paraId="3F4205F9" w14:textId="3CB26C92"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108</w:t>
            </w:r>
          </w:p>
        </w:tc>
        <w:tc>
          <w:tcPr>
            <w:tcW w:w="506" w:type="pct"/>
            <w:noWrap/>
            <w:vAlign w:val="center"/>
          </w:tcPr>
          <w:p w14:paraId="62EBEB42" w14:textId="40D76B9F"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38</w:t>
            </w:r>
          </w:p>
        </w:tc>
      </w:tr>
      <w:tr w:rsidR="00442870" w:rsidRPr="005A6171" w14:paraId="71288F70" w14:textId="77777777" w:rsidTr="00D5249B">
        <w:trPr>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047B72F3" w14:textId="77777777" w:rsidR="00442870" w:rsidRPr="00D13E2D" w:rsidRDefault="00442870" w:rsidP="003C3E3C">
            <w:pPr>
              <w:spacing w:after="0" w:line="240" w:lineRule="auto"/>
              <w:contextualSpacing/>
              <w:rPr>
                <w:b w:val="0"/>
                <w:color w:val="000000"/>
                <w:sz w:val="18"/>
                <w:lang w:eastAsia="en-GB"/>
              </w:rPr>
            </w:pPr>
            <w:r w:rsidRPr="00D13E2D">
              <w:rPr>
                <w:b w:val="0"/>
                <w:color w:val="000000"/>
                <w:sz w:val="18"/>
                <w:lang w:eastAsia="en-GB"/>
              </w:rPr>
              <w:t>Citrus fruits</w:t>
            </w:r>
          </w:p>
        </w:tc>
        <w:tc>
          <w:tcPr>
            <w:tcW w:w="473" w:type="pct"/>
            <w:noWrap/>
            <w:vAlign w:val="center"/>
          </w:tcPr>
          <w:p w14:paraId="0EF578B2" w14:textId="777777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p>
        </w:tc>
        <w:tc>
          <w:tcPr>
            <w:tcW w:w="487" w:type="pct"/>
            <w:noWrap/>
            <w:vAlign w:val="center"/>
          </w:tcPr>
          <w:p w14:paraId="7A2402C7" w14:textId="777777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rPr>
              <w:t>253</w:t>
            </w:r>
          </w:p>
        </w:tc>
        <w:tc>
          <w:tcPr>
            <w:tcW w:w="470" w:type="pct"/>
            <w:noWrap/>
            <w:vAlign w:val="center"/>
          </w:tcPr>
          <w:p w14:paraId="528B7C63" w14:textId="77777777" w:rsidR="00442870" w:rsidRPr="000F313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0F313F">
              <w:rPr>
                <w:b/>
                <w:color w:val="000000"/>
                <w:sz w:val="18"/>
              </w:rPr>
              <w:t>127</w:t>
            </w:r>
          </w:p>
        </w:tc>
        <w:tc>
          <w:tcPr>
            <w:tcW w:w="473" w:type="pct"/>
            <w:vAlign w:val="center"/>
          </w:tcPr>
          <w:p w14:paraId="4C2FB19D" w14:textId="77777777" w:rsidR="00442870" w:rsidRPr="000F313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p>
        </w:tc>
        <w:tc>
          <w:tcPr>
            <w:tcW w:w="487" w:type="pct"/>
            <w:vAlign w:val="center"/>
          </w:tcPr>
          <w:p w14:paraId="5CBDB118" w14:textId="77777777" w:rsidR="00442870" w:rsidRPr="000F313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0F313F">
              <w:rPr>
                <w:b/>
                <w:color w:val="000000"/>
                <w:sz w:val="18"/>
              </w:rPr>
              <w:t>127</w:t>
            </w:r>
          </w:p>
        </w:tc>
        <w:tc>
          <w:tcPr>
            <w:tcW w:w="470" w:type="pct"/>
            <w:shd w:val="clear" w:color="auto" w:fill="BFBFBF" w:themeFill="background1" w:themeFillShade="BF"/>
            <w:vAlign w:val="center"/>
          </w:tcPr>
          <w:p w14:paraId="743FD67C"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28462F">
              <w:rPr>
                <w:b/>
                <w:color w:val="000000"/>
                <w:sz w:val="18"/>
              </w:rPr>
              <w:t>63</w:t>
            </w:r>
          </w:p>
        </w:tc>
        <w:tc>
          <w:tcPr>
            <w:tcW w:w="499" w:type="pct"/>
            <w:noWrap/>
            <w:vAlign w:val="center"/>
          </w:tcPr>
          <w:p w14:paraId="50143B0C" w14:textId="1DBAAE38"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246</w:t>
            </w:r>
          </w:p>
        </w:tc>
        <w:tc>
          <w:tcPr>
            <w:tcW w:w="506" w:type="pct"/>
            <w:noWrap/>
            <w:vAlign w:val="center"/>
          </w:tcPr>
          <w:p w14:paraId="332A19B2" w14:textId="18F3FFD5"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88</w:t>
            </w:r>
          </w:p>
        </w:tc>
      </w:tr>
      <w:tr w:rsidR="00974AAF" w:rsidRPr="005A6171" w14:paraId="0C901787" w14:textId="77777777" w:rsidTr="00D52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2271D9A7" w14:textId="020A3D25" w:rsidR="00974AAF" w:rsidRDefault="00974AAF" w:rsidP="00047176">
            <w:pPr>
              <w:spacing w:after="0" w:line="240" w:lineRule="auto"/>
              <w:contextualSpacing/>
              <w:rPr>
                <w:b w:val="0"/>
                <w:color w:val="000000"/>
                <w:sz w:val="18"/>
                <w:lang w:eastAsia="en-GB"/>
              </w:rPr>
            </w:pPr>
            <w:r>
              <w:rPr>
                <w:b w:val="0"/>
                <w:color w:val="000000"/>
                <w:sz w:val="18"/>
                <w:lang w:eastAsia="en-GB"/>
              </w:rPr>
              <w:t>Pome fruits</w:t>
            </w:r>
          </w:p>
        </w:tc>
        <w:tc>
          <w:tcPr>
            <w:tcW w:w="473" w:type="pct"/>
            <w:shd w:val="clear" w:color="auto" w:fill="auto"/>
            <w:noWrap/>
            <w:vAlign w:val="center"/>
          </w:tcPr>
          <w:p w14:paraId="04B7A2DB" w14:textId="77777777" w:rsidR="00974AAF" w:rsidRPr="0009699D"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rPr>
            </w:pPr>
          </w:p>
        </w:tc>
        <w:tc>
          <w:tcPr>
            <w:tcW w:w="487" w:type="pct"/>
            <w:shd w:val="clear" w:color="auto" w:fill="auto"/>
            <w:noWrap/>
            <w:vAlign w:val="center"/>
          </w:tcPr>
          <w:p w14:paraId="13EF4E1B" w14:textId="20B371AC" w:rsidR="00974AAF" w:rsidRPr="00313782"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rPr>
            </w:pPr>
            <w:r w:rsidRPr="00313782">
              <w:rPr>
                <w:b/>
                <w:sz w:val="18"/>
              </w:rPr>
              <w:t>253</w:t>
            </w:r>
          </w:p>
        </w:tc>
        <w:tc>
          <w:tcPr>
            <w:tcW w:w="470" w:type="pct"/>
            <w:shd w:val="clear" w:color="auto" w:fill="BFBFBF" w:themeFill="background1" w:themeFillShade="BF"/>
            <w:noWrap/>
            <w:vAlign w:val="center"/>
          </w:tcPr>
          <w:p w14:paraId="5E940B2B" w14:textId="1F1C9D84" w:rsidR="00974AAF"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rPr>
            </w:pPr>
            <w:r>
              <w:rPr>
                <w:b/>
                <w:sz w:val="18"/>
              </w:rPr>
              <w:t>127</w:t>
            </w:r>
          </w:p>
        </w:tc>
        <w:tc>
          <w:tcPr>
            <w:tcW w:w="473" w:type="pct"/>
            <w:shd w:val="clear" w:color="auto" w:fill="auto"/>
            <w:vAlign w:val="center"/>
          </w:tcPr>
          <w:p w14:paraId="707D54A6" w14:textId="77777777" w:rsidR="00974AAF"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rPr>
            </w:pPr>
          </w:p>
        </w:tc>
        <w:tc>
          <w:tcPr>
            <w:tcW w:w="487" w:type="pct"/>
            <w:shd w:val="clear" w:color="auto" w:fill="BFBFBF" w:themeFill="background1" w:themeFillShade="BF"/>
            <w:vAlign w:val="center"/>
          </w:tcPr>
          <w:p w14:paraId="132550F4" w14:textId="5DD860F3" w:rsidR="00974AAF"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rPr>
            </w:pPr>
            <w:r>
              <w:rPr>
                <w:b/>
                <w:sz w:val="18"/>
              </w:rPr>
              <w:t>127</w:t>
            </w:r>
          </w:p>
        </w:tc>
        <w:tc>
          <w:tcPr>
            <w:tcW w:w="470" w:type="pct"/>
            <w:shd w:val="clear" w:color="auto" w:fill="BFBFBF" w:themeFill="background1" w:themeFillShade="BF"/>
            <w:vAlign w:val="center"/>
          </w:tcPr>
          <w:p w14:paraId="199F62A8" w14:textId="510C2012" w:rsidR="00974AAF"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rPr>
            </w:pPr>
            <w:r>
              <w:rPr>
                <w:b/>
                <w:sz w:val="18"/>
              </w:rPr>
              <w:t>63</w:t>
            </w:r>
          </w:p>
        </w:tc>
        <w:tc>
          <w:tcPr>
            <w:tcW w:w="499" w:type="pct"/>
            <w:noWrap/>
            <w:vAlign w:val="center"/>
          </w:tcPr>
          <w:p w14:paraId="12987B7C" w14:textId="5937428E" w:rsidR="00974AAF" w:rsidRPr="00DF5267"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361</w:t>
            </w:r>
          </w:p>
        </w:tc>
        <w:tc>
          <w:tcPr>
            <w:tcW w:w="506" w:type="pct"/>
            <w:noWrap/>
            <w:vAlign w:val="center"/>
          </w:tcPr>
          <w:p w14:paraId="7EC5FD37" w14:textId="380130A1" w:rsidR="00974AAF" w:rsidRPr="00DF5267" w:rsidRDefault="00974AAF"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171</w:t>
            </w:r>
          </w:p>
        </w:tc>
      </w:tr>
      <w:tr w:rsidR="00047176" w:rsidRPr="005A6171" w14:paraId="7CF8644B" w14:textId="77777777" w:rsidTr="00D5249B">
        <w:trPr>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6539F430" w14:textId="25425316" w:rsidR="00047176" w:rsidRPr="00D13E2D" w:rsidRDefault="00047176" w:rsidP="00047176">
            <w:pPr>
              <w:spacing w:after="0" w:line="240" w:lineRule="auto"/>
              <w:contextualSpacing/>
              <w:rPr>
                <w:b w:val="0"/>
                <w:color w:val="000000"/>
                <w:sz w:val="18"/>
                <w:lang w:eastAsia="en-GB"/>
              </w:rPr>
            </w:pPr>
            <w:r>
              <w:rPr>
                <w:b w:val="0"/>
                <w:color w:val="000000"/>
                <w:sz w:val="18"/>
                <w:lang w:eastAsia="en-GB"/>
              </w:rPr>
              <w:t>Meat mammalian (all)</w:t>
            </w:r>
          </w:p>
        </w:tc>
        <w:tc>
          <w:tcPr>
            <w:tcW w:w="473" w:type="pct"/>
            <w:shd w:val="clear" w:color="auto" w:fill="BFBFBF" w:themeFill="background1" w:themeFillShade="BF"/>
            <w:noWrap/>
            <w:vAlign w:val="center"/>
          </w:tcPr>
          <w:p w14:paraId="7B59BD49" w14:textId="476DB5EB" w:rsidR="00047176" w:rsidRPr="0028462F" w:rsidRDefault="00047176"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sz w:val="18"/>
              </w:rPr>
            </w:pPr>
            <w:r>
              <w:rPr>
                <w:b/>
                <w:sz w:val="18"/>
              </w:rPr>
              <w:t>41</w:t>
            </w:r>
          </w:p>
        </w:tc>
        <w:tc>
          <w:tcPr>
            <w:tcW w:w="487" w:type="pct"/>
            <w:shd w:val="clear" w:color="auto" w:fill="BFBFBF" w:themeFill="background1" w:themeFillShade="BF"/>
            <w:noWrap/>
            <w:vAlign w:val="center"/>
          </w:tcPr>
          <w:p w14:paraId="3CBF9048" w14:textId="56E8C2B3" w:rsidR="00047176" w:rsidRPr="0028462F" w:rsidRDefault="00047176"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sz w:val="18"/>
              </w:rPr>
            </w:pPr>
            <w:r>
              <w:rPr>
                <w:b/>
                <w:sz w:val="18"/>
              </w:rPr>
              <w:t>41</w:t>
            </w:r>
          </w:p>
        </w:tc>
        <w:tc>
          <w:tcPr>
            <w:tcW w:w="470" w:type="pct"/>
            <w:shd w:val="clear" w:color="auto" w:fill="BFBFBF" w:themeFill="background1" w:themeFillShade="BF"/>
            <w:noWrap/>
            <w:vAlign w:val="center"/>
          </w:tcPr>
          <w:p w14:paraId="1C0EF040" w14:textId="3A822E0F" w:rsidR="00047176" w:rsidRPr="0028462F" w:rsidRDefault="00047176"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sz w:val="18"/>
              </w:rPr>
            </w:pPr>
            <w:r>
              <w:rPr>
                <w:b/>
                <w:sz w:val="18"/>
              </w:rPr>
              <w:t>41</w:t>
            </w:r>
          </w:p>
        </w:tc>
        <w:tc>
          <w:tcPr>
            <w:tcW w:w="473" w:type="pct"/>
            <w:shd w:val="clear" w:color="auto" w:fill="BFBFBF" w:themeFill="background1" w:themeFillShade="BF"/>
            <w:vAlign w:val="center"/>
          </w:tcPr>
          <w:p w14:paraId="042395C7" w14:textId="1FB935F4" w:rsidR="00047176" w:rsidRPr="0028462F" w:rsidRDefault="008148B3"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sz w:val="18"/>
              </w:rPr>
            </w:pPr>
            <w:r>
              <w:rPr>
                <w:b/>
                <w:sz w:val="18"/>
              </w:rPr>
              <w:t>31</w:t>
            </w:r>
          </w:p>
        </w:tc>
        <w:tc>
          <w:tcPr>
            <w:tcW w:w="487" w:type="pct"/>
            <w:shd w:val="clear" w:color="auto" w:fill="BFBFBF" w:themeFill="background1" w:themeFillShade="BF"/>
            <w:vAlign w:val="center"/>
          </w:tcPr>
          <w:p w14:paraId="6435B48E" w14:textId="1F57A4F7" w:rsidR="00047176" w:rsidRPr="0028462F" w:rsidRDefault="008148B3"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sz w:val="18"/>
              </w:rPr>
            </w:pPr>
            <w:r>
              <w:rPr>
                <w:b/>
                <w:sz w:val="18"/>
              </w:rPr>
              <w:t>31</w:t>
            </w:r>
          </w:p>
        </w:tc>
        <w:tc>
          <w:tcPr>
            <w:tcW w:w="470" w:type="pct"/>
            <w:shd w:val="clear" w:color="auto" w:fill="BFBFBF" w:themeFill="background1" w:themeFillShade="BF"/>
            <w:vAlign w:val="center"/>
          </w:tcPr>
          <w:p w14:paraId="7B5C8D70" w14:textId="00604A9C" w:rsidR="00047176" w:rsidRPr="0028462F" w:rsidRDefault="008148B3"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sz w:val="18"/>
              </w:rPr>
            </w:pPr>
            <w:r>
              <w:rPr>
                <w:b/>
                <w:sz w:val="18"/>
              </w:rPr>
              <w:t>31</w:t>
            </w:r>
          </w:p>
        </w:tc>
        <w:tc>
          <w:tcPr>
            <w:tcW w:w="499" w:type="pct"/>
            <w:noWrap/>
            <w:vAlign w:val="center"/>
          </w:tcPr>
          <w:p w14:paraId="28AB0A6F" w14:textId="6F12005D" w:rsidR="00047176" w:rsidRPr="00D13E2D" w:rsidRDefault="00047176"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F5267">
              <w:rPr>
                <w:rFonts w:cs="Arial"/>
                <w:color w:val="000000"/>
                <w:sz w:val="18"/>
                <w:szCs w:val="18"/>
              </w:rPr>
              <w:t>108</w:t>
            </w:r>
          </w:p>
        </w:tc>
        <w:tc>
          <w:tcPr>
            <w:tcW w:w="506" w:type="pct"/>
            <w:noWrap/>
            <w:vAlign w:val="center"/>
          </w:tcPr>
          <w:p w14:paraId="44BC0AD5" w14:textId="47C9D6CD" w:rsidR="00047176" w:rsidRPr="00D13E2D" w:rsidRDefault="00047176"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F5267">
              <w:rPr>
                <w:rFonts w:cs="Arial"/>
                <w:color w:val="000000"/>
                <w:sz w:val="18"/>
                <w:szCs w:val="18"/>
              </w:rPr>
              <w:t>47</w:t>
            </w:r>
          </w:p>
        </w:tc>
      </w:tr>
      <w:tr w:rsidR="00442870" w:rsidRPr="005A6171" w14:paraId="4D65F0F2" w14:textId="77777777" w:rsidTr="00D52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22F60A70" w14:textId="77777777" w:rsidR="00442870" w:rsidRPr="00D13E2D" w:rsidRDefault="00442870" w:rsidP="003C3E3C">
            <w:pPr>
              <w:spacing w:after="0" w:line="240" w:lineRule="auto"/>
              <w:contextualSpacing/>
              <w:rPr>
                <w:b w:val="0"/>
                <w:color w:val="000000"/>
                <w:sz w:val="18"/>
                <w:lang w:eastAsia="en-GB"/>
              </w:rPr>
            </w:pPr>
            <w:r w:rsidRPr="00D13E2D">
              <w:rPr>
                <w:b w:val="0"/>
                <w:color w:val="000000"/>
                <w:sz w:val="18"/>
                <w:lang w:eastAsia="en-GB"/>
              </w:rPr>
              <w:t>Cattle meat</w:t>
            </w:r>
          </w:p>
        </w:tc>
        <w:tc>
          <w:tcPr>
            <w:tcW w:w="473" w:type="pct"/>
            <w:shd w:val="clear" w:color="auto" w:fill="BFBFBF" w:themeFill="background1" w:themeFillShade="BF"/>
            <w:noWrap/>
            <w:vAlign w:val="center"/>
          </w:tcPr>
          <w:p w14:paraId="53FB2F2C" w14:textId="48A93566" w:rsidR="00442870" w:rsidRPr="0028462F" w:rsidRDefault="00047176"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lang w:eastAsia="en-GB"/>
              </w:rPr>
            </w:pPr>
            <w:r>
              <w:rPr>
                <w:b/>
                <w:sz w:val="18"/>
              </w:rPr>
              <w:t>7</w:t>
            </w:r>
          </w:p>
        </w:tc>
        <w:tc>
          <w:tcPr>
            <w:tcW w:w="487" w:type="pct"/>
            <w:shd w:val="clear" w:color="auto" w:fill="BFBFBF" w:themeFill="background1" w:themeFillShade="BF"/>
            <w:noWrap/>
            <w:vAlign w:val="center"/>
          </w:tcPr>
          <w:p w14:paraId="664D8592" w14:textId="1E725F53" w:rsidR="00442870" w:rsidRPr="0028462F" w:rsidRDefault="00047176"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lang w:eastAsia="en-GB"/>
              </w:rPr>
            </w:pPr>
            <w:r>
              <w:rPr>
                <w:b/>
                <w:sz w:val="18"/>
              </w:rPr>
              <w:t>7</w:t>
            </w:r>
          </w:p>
        </w:tc>
        <w:tc>
          <w:tcPr>
            <w:tcW w:w="470" w:type="pct"/>
            <w:shd w:val="clear" w:color="auto" w:fill="BFBFBF" w:themeFill="background1" w:themeFillShade="BF"/>
            <w:noWrap/>
            <w:vAlign w:val="center"/>
          </w:tcPr>
          <w:p w14:paraId="470A2308" w14:textId="1503FAB5" w:rsidR="00442870" w:rsidRPr="0028462F" w:rsidRDefault="00047176"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lang w:eastAsia="en-GB"/>
              </w:rPr>
            </w:pPr>
            <w:r>
              <w:rPr>
                <w:b/>
                <w:sz w:val="18"/>
              </w:rPr>
              <w:t>7</w:t>
            </w:r>
          </w:p>
        </w:tc>
        <w:tc>
          <w:tcPr>
            <w:tcW w:w="473" w:type="pct"/>
            <w:shd w:val="clear" w:color="auto" w:fill="BFBFBF" w:themeFill="background1" w:themeFillShade="BF"/>
            <w:vAlign w:val="center"/>
          </w:tcPr>
          <w:p w14:paraId="6AEEC072" w14:textId="12767A15" w:rsidR="00442870" w:rsidRPr="0028462F" w:rsidRDefault="008148B3"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lang w:eastAsia="en-GB"/>
              </w:rPr>
            </w:pPr>
            <w:r>
              <w:rPr>
                <w:b/>
                <w:sz w:val="18"/>
              </w:rPr>
              <w:t>6</w:t>
            </w:r>
          </w:p>
        </w:tc>
        <w:tc>
          <w:tcPr>
            <w:tcW w:w="487" w:type="pct"/>
            <w:shd w:val="clear" w:color="auto" w:fill="BFBFBF" w:themeFill="background1" w:themeFillShade="BF"/>
            <w:vAlign w:val="center"/>
          </w:tcPr>
          <w:p w14:paraId="6459CDBF" w14:textId="67E69D66" w:rsidR="00442870" w:rsidRPr="0028462F" w:rsidRDefault="008148B3"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lang w:eastAsia="en-GB"/>
              </w:rPr>
            </w:pPr>
            <w:r>
              <w:rPr>
                <w:b/>
                <w:sz w:val="18"/>
              </w:rPr>
              <w:t>6</w:t>
            </w:r>
          </w:p>
        </w:tc>
        <w:tc>
          <w:tcPr>
            <w:tcW w:w="470" w:type="pct"/>
            <w:shd w:val="clear" w:color="auto" w:fill="BFBFBF" w:themeFill="background1" w:themeFillShade="BF"/>
            <w:vAlign w:val="center"/>
          </w:tcPr>
          <w:p w14:paraId="64370DA6" w14:textId="79C02E44" w:rsidR="00442870" w:rsidRPr="0028462F" w:rsidRDefault="008148B3"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sz w:val="18"/>
                <w:lang w:eastAsia="en-GB"/>
              </w:rPr>
            </w:pPr>
            <w:r>
              <w:rPr>
                <w:b/>
                <w:sz w:val="18"/>
              </w:rPr>
              <w:t>6</w:t>
            </w:r>
          </w:p>
        </w:tc>
        <w:tc>
          <w:tcPr>
            <w:tcW w:w="499" w:type="pct"/>
            <w:noWrap/>
            <w:vAlign w:val="center"/>
          </w:tcPr>
          <w:p w14:paraId="2F137D69" w14:textId="4B8D83F3"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8</w:t>
            </w:r>
            <w:r w:rsidR="008148B3">
              <w:rPr>
                <w:color w:val="000000"/>
                <w:sz w:val="18"/>
                <w:lang w:eastAsia="en-GB"/>
              </w:rPr>
              <w:t>5</w:t>
            </w:r>
          </w:p>
        </w:tc>
        <w:tc>
          <w:tcPr>
            <w:tcW w:w="506" w:type="pct"/>
            <w:noWrap/>
            <w:vAlign w:val="center"/>
          </w:tcPr>
          <w:p w14:paraId="19BEF266" w14:textId="549956FF"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33</w:t>
            </w:r>
          </w:p>
        </w:tc>
      </w:tr>
      <w:tr w:rsidR="00442870" w:rsidRPr="005A6171" w14:paraId="4F777456" w14:textId="77777777" w:rsidTr="00D5249B">
        <w:trPr>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395C3E12" w14:textId="77777777" w:rsidR="00442870" w:rsidRPr="00D13E2D" w:rsidRDefault="00442870" w:rsidP="003C3E3C">
            <w:pPr>
              <w:spacing w:after="0" w:line="240" w:lineRule="auto"/>
              <w:contextualSpacing/>
              <w:rPr>
                <w:b w:val="0"/>
                <w:color w:val="000000"/>
                <w:sz w:val="18"/>
                <w:lang w:eastAsia="en-GB"/>
              </w:rPr>
            </w:pPr>
            <w:r w:rsidRPr="00D13E2D">
              <w:rPr>
                <w:b w:val="0"/>
                <w:color w:val="000000"/>
                <w:sz w:val="18"/>
                <w:lang w:eastAsia="en-GB"/>
              </w:rPr>
              <w:t>Milk</w:t>
            </w:r>
          </w:p>
        </w:tc>
        <w:tc>
          <w:tcPr>
            <w:tcW w:w="473" w:type="pct"/>
            <w:shd w:val="clear" w:color="auto" w:fill="BFBFBF" w:themeFill="background1" w:themeFillShade="BF"/>
            <w:noWrap/>
            <w:vAlign w:val="center"/>
          </w:tcPr>
          <w:p w14:paraId="22C61C6C"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sidRPr="0028462F">
              <w:rPr>
                <w:b/>
                <w:color w:val="000000"/>
                <w:sz w:val="18"/>
              </w:rPr>
              <w:t>131</w:t>
            </w:r>
          </w:p>
        </w:tc>
        <w:tc>
          <w:tcPr>
            <w:tcW w:w="487" w:type="pct"/>
            <w:shd w:val="clear" w:color="auto" w:fill="BFBFBF" w:themeFill="background1" w:themeFillShade="BF"/>
            <w:noWrap/>
            <w:vAlign w:val="center"/>
          </w:tcPr>
          <w:p w14:paraId="253D1395"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sidRPr="0028462F">
              <w:rPr>
                <w:b/>
                <w:color w:val="000000"/>
                <w:sz w:val="18"/>
              </w:rPr>
              <w:t>131</w:t>
            </w:r>
          </w:p>
        </w:tc>
        <w:tc>
          <w:tcPr>
            <w:tcW w:w="470" w:type="pct"/>
            <w:shd w:val="clear" w:color="auto" w:fill="BFBFBF" w:themeFill="background1" w:themeFillShade="BF"/>
            <w:noWrap/>
            <w:vAlign w:val="center"/>
          </w:tcPr>
          <w:p w14:paraId="33250562"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sidRPr="0028462F">
              <w:rPr>
                <w:b/>
                <w:color w:val="000000"/>
                <w:sz w:val="18"/>
              </w:rPr>
              <w:t>131</w:t>
            </w:r>
          </w:p>
        </w:tc>
        <w:tc>
          <w:tcPr>
            <w:tcW w:w="473" w:type="pct"/>
            <w:shd w:val="clear" w:color="auto" w:fill="BFBFBF" w:themeFill="background1" w:themeFillShade="BF"/>
            <w:vAlign w:val="center"/>
          </w:tcPr>
          <w:p w14:paraId="2E4C5AAB"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28462F">
              <w:rPr>
                <w:b/>
                <w:color w:val="000000"/>
                <w:sz w:val="18"/>
              </w:rPr>
              <w:t>131</w:t>
            </w:r>
          </w:p>
        </w:tc>
        <w:tc>
          <w:tcPr>
            <w:tcW w:w="487" w:type="pct"/>
            <w:shd w:val="clear" w:color="auto" w:fill="BFBFBF" w:themeFill="background1" w:themeFillShade="BF"/>
            <w:vAlign w:val="center"/>
          </w:tcPr>
          <w:p w14:paraId="423F1256"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28462F">
              <w:rPr>
                <w:b/>
                <w:color w:val="000000"/>
                <w:sz w:val="18"/>
              </w:rPr>
              <w:t>121</w:t>
            </w:r>
          </w:p>
        </w:tc>
        <w:tc>
          <w:tcPr>
            <w:tcW w:w="470" w:type="pct"/>
            <w:shd w:val="clear" w:color="auto" w:fill="BFBFBF" w:themeFill="background1" w:themeFillShade="BF"/>
            <w:vAlign w:val="center"/>
          </w:tcPr>
          <w:p w14:paraId="08AF3A46"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lang w:eastAsia="en-GB"/>
              </w:rPr>
            </w:pPr>
            <w:r w:rsidRPr="0028462F">
              <w:rPr>
                <w:b/>
                <w:color w:val="000000"/>
                <w:sz w:val="18"/>
              </w:rPr>
              <w:t>112</w:t>
            </w:r>
          </w:p>
        </w:tc>
        <w:tc>
          <w:tcPr>
            <w:tcW w:w="499" w:type="pct"/>
            <w:noWrap/>
            <w:vAlign w:val="center"/>
          </w:tcPr>
          <w:p w14:paraId="455B386A" w14:textId="615E576D"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rPr>
              <w:t>1097</w:t>
            </w:r>
          </w:p>
        </w:tc>
        <w:tc>
          <w:tcPr>
            <w:tcW w:w="506" w:type="pct"/>
            <w:noWrap/>
            <w:vAlign w:val="center"/>
          </w:tcPr>
          <w:p w14:paraId="5790220F" w14:textId="44B55F9B"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rPr>
              <w:t>67</w:t>
            </w:r>
            <w:r w:rsidR="008148B3">
              <w:rPr>
                <w:color w:val="000000"/>
                <w:sz w:val="18"/>
              </w:rPr>
              <w:t>9</w:t>
            </w:r>
          </w:p>
        </w:tc>
      </w:tr>
      <w:tr w:rsidR="00442870" w:rsidRPr="005A6171" w14:paraId="55CFB046" w14:textId="77777777" w:rsidTr="00D52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34B6EDBF" w14:textId="77777777" w:rsidR="00442870" w:rsidRPr="00D13E2D" w:rsidRDefault="00442870" w:rsidP="003C3E3C">
            <w:pPr>
              <w:spacing w:after="0" w:line="240" w:lineRule="auto"/>
              <w:contextualSpacing/>
              <w:rPr>
                <w:b w:val="0"/>
                <w:color w:val="000000"/>
                <w:sz w:val="18"/>
                <w:lang w:eastAsia="en-GB"/>
              </w:rPr>
            </w:pPr>
            <w:r w:rsidRPr="00D13E2D">
              <w:rPr>
                <w:b w:val="0"/>
                <w:color w:val="000000"/>
                <w:sz w:val="18"/>
                <w:lang w:eastAsia="en-GB"/>
              </w:rPr>
              <w:t>Cattle milk</w:t>
            </w:r>
          </w:p>
        </w:tc>
        <w:tc>
          <w:tcPr>
            <w:tcW w:w="473" w:type="pct"/>
            <w:shd w:val="clear" w:color="auto" w:fill="BFBFBF" w:themeFill="background1" w:themeFillShade="BF"/>
            <w:noWrap/>
            <w:vAlign w:val="center"/>
          </w:tcPr>
          <w:p w14:paraId="68CB7E71" w14:textId="29B343BA"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28462F">
              <w:rPr>
                <w:b/>
                <w:color w:val="000000"/>
                <w:sz w:val="18"/>
              </w:rPr>
              <w:t>1</w:t>
            </w:r>
            <w:r w:rsidR="008148B3">
              <w:rPr>
                <w:b/>
                <w:color w:val="000000"/>
                <w:sz w:val="18"/>
              </w:rPr>
              <w:t>60</w:t>
            </w:r>
          </w:p>
        </w:tc>
        <w:tc>
          <w:tcPr>
            <w:tcW w:w="487" w:type="pct"/>
            <w:shd w:val="clear" w:color="auto" w:fill="BFBFBF" w:themeFill="background1" w:themeFillShade="BF"/>
            <w:noWrap/>
            <w:vAlign w:val="center"/>
          </w:tcPr>
          <w:p w14:paraId="61BEAEE2"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28462F">
              <w:rPr>
                <w:b/>
                <w:color w:val="000000"/>
                <w:sz w:val="18"/>
              </w:rPr>
              <w:t>160</w:t>
            </w:r>
          </w:p>
        </w:tc>
        <w:tc>
          <w:tcPr>
            <w:tcW w:w="470" w:type="pct"/>
            <w:shd w:val="clear" w:color="auto" w:fill="BFBFBF" w:themeFill="background1" w:themeFillShade="BF"/>
            <w:noWrap/>
            <w:vAlign w:val="center"/>
          </w:tcPr>
          <w:p w14:paraId="6B47FB47"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28462F">
              <w:rPr>
                <w:b/>
                <w:color w:val="000000"/>
                <w:sz w:val="18"/>
              </w:rPr>
              <w:t>160</w:t>
            </w:r>
          </w:p>
        </w:tc>
        <w:tc>
          <w:tcPr>
            <w:tcW w:w="473" w:type="pct"/>
            <w:shd w:val="clear" w:color="auto" w:fill="BFBFBF" w:themeFill="background1" w:themeFillShade="BF"/>
            <w:vAlign w:val="center"/>
          </w:tcPr>
          <w:p w14:paraId="437FB134"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lang w:eastAsia="en-GB"/>
              </w:rPr>
            </w:pPr>
            <w:r w:rsidRPr="0028462F">
              <w:rPr>
                <w:b/>
                <w:color w:val="000000"/>
                <w:sz w:val="18"/>
              </w:rPr>
              <w:t>160</w:t>
            </w:r>
          </w:p>
        </w:tc>
        <w:tc>
          <w:tcPr>
            <w:tcW w:w="487" w:type="pct"/>
            <w:shd w:val="clear" w:color="auto" w:fill="BFBFBF" w:themeFill="background1" w:themeFillShade="BF"/>
            <w:vAlign w:val="center"/>
          </w:tcPr>
          <w:p w14:paraId="14BDECA3"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lang w:eastAsia="en-GB"/>
              </w:rPr>
            </w:pPr>
            <w:r w:rsidRPr="0028462F">
              <w:rPr>
                <w:b/>
                <w:color w:val="000000"/>
                <w:sz w:val="18"/>
              </w:rPr>
              <w:t>145</w:t>
            </w:r>
          </w:p>
        </w:tc>
        <w:tc>
          <w:tcPr>
            <w:tcW w:w="470" w:type="pct"/>
            <w:shd w:val="clear" w:color="auto" w:fill="BFBFBF" w:themeFill="background1" w:themeFillShade="BF"/>
            <w:vAlign w:val="center"/>
          </w:tcPr>
          <w:p w14:paraId="552BED66"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lang w:eastAsia="en-GB"/>
              </w:rPr>
            </w:pPr>
            <w:r w:rsidRPr="0028462F">
              <w:rPr>
                <w:b/>
                <w:color w:val="000000"/>
                <w:sz w:val="18"/>
              </w:rPr>
              <w:t>132</w:t>
            </w:r>
          </w:p>
        </w:tc>
        <w:tc>
          <w:tcPr>
            <w:tcW w:w="499" w:type="pct"/>
            <w:noWrap/>
            <w:vAlign w:val="center"/>
          </w:tcPr>
          <w:p w14:paraId="113F4723" w14:textId="5D39FB6E"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1097</w:t>
            </w:r>
          </w:p>
        </w:tc>
        <w:tc>
          <w:tcPr>
            <w:tcW w:w="506" w:type="pct"/>
            <w:noWrap/>
            <w:vAlign w:val="center"/>
          </w:tcPr>
          <w:p w14:paraId="4398BE77" w14:textId="5C34DCE0"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678</w:t>
            </w:r>
          </w:p>
        </w:tc>
      </w:tr>
      <w:tr w:rsidR="005C3890" w:rsidRPr="005A6171" w14:paraId="1F48F440" w14:textId="77777777" w:rsidTr="00D5249B">
        <w:trPr>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777E6FDD" w14:textId="67E36874" w:rsidR="005C3890" w:rsidRPr="00D13E2D" w:rsidRDefault="005C3890" w:rsidP="003C3E3C">
            <w:pPr>
              <w:spacing w:after="0" w:line="240" w:lineRule="auto"/>
              <w:contextualSpacing/>
              <w:rPr>
                <w:b w:val="0"/>
                <w:color w:val="000000"/>
                <w:sz w:val="18"/>
                <w:lang w:eastAsia="en-GB"/>
              </w:rPr>
            </w:pPr>
            <w:r>
              <w:rPr>
                <w:b w:val="0"/>
                <w:color w:val="000000"/>
                <w:sz w:val="18"/>
                <w:lang w:eastAsia="en-GB"/>
              </w:rPr>
              <w:t>Poultry eggs</w:t>
            </w:r>
          </w:p>
        </w:tc>
        <w:tc>
          <w:tcPr>
            <w:tcW w:w="473" w:type="pct"/>
            <w:noWrap/>
            <w:vAlign w:val="center"/>
          </w:tcPr>
          <w:p w14:paraId="48966353" w14:textId="62171279" w:rsidR="005C3890" w:rsidRPr="00D13E2D"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rPr>
            </w:pPr>
            <w:r>
              <w:rPr>
                <w:color w:val="000000"/>
                <w:sz w:val="18"/>
              </w:rPr>
              <w:t>53</w:t>
            </w:r>
          </w:p>
        </w:tc>
        <w:tc>
          <w:tcPr>
            <w:tcW w:w="487" w:type="pct"/>
            <w:noWrap/>
            <w:vAlign w:val="center"/>
          </w:tcPr>
          <w:p w14:paraId="4C6D5286" w14:textId="2A2CA08C" w:rsidR="005C3890" w:rsidRPr="00D13E2D"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rPr>
            </w:pPr>
            <w:r>
              <w:rPr>
                <w:color w:val="000000"/>
                <w:sz w:val="18"/>
              </w:rPr>
              <w:t>53</w:t>
            </w:r>
          </w:p>
        </w:tc>
        <w:tc>
          <w:tcPr>
            <w:tcW w:w="470" w:type="pct"/>
            <w:noWrap/>
            <w:vAlign w:val="center"/>
          </w:tcPr>
          <w:p w14:paraId="1903C3B0" w14:textId="0D17E69E" w:rsidR="005C3890" w:rsidRPr="005C3890"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rPr>
            </w:pPr>
            <w:r w:rsidRPr="005C3890">
              <w:rPr>
                <w:color w:val="000000"/>
                <w:sz w:val="18"/>
              </w:rPr>
              <w:t>53</w:t>
            </w:r>
          </w:p>
        </w:tc>
        <w:tc>
          <w:tcPr>
            <w:tcW w:w="473" w:type="pct"/>
            <w:vAlign w:val="center"/>
          </w:tcPr>
          <w:p w14:paraId="4076E4B8" w14:textId="5D56CE8F" w:rsidR="005C3890" w:rsidRPr="00D13E2D"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rPr>
            </w:pPr>
            <w:r>
              <w:rPr>
                <w:color w:val="000000"/>
                <w:sz w:val="18"/>
              </w:rPr>
              <w:t>48</w:t>
            </w:r>
          </w:p>
        </w:tc>
        <w:tc>
          <w:tcPr>
            <w:tcW w:w="487" w:type="pct"/>
            <w:vAlign w:val="center"/>
          </w:tcPr>
          <w:p w14:paraId="2C314003" w14:textId="663F1DC9" w:rsidR="005C3890" w:rsidRPr="005C3890"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rPr>
            </w:pPr>
            <w:r w:rsidRPr="005C3890">
              <w:rPr>
                <w:color w:val="000000"/>
                <w:sz w:val="18"/>
              </w:rPr>
              <w:t>41</w:t>
            </w:r>
          </w:p>
        </w:tc>
        <w:tc>
          <w:tcPr>
            <w:tcW w:w="470" w:type="pct"/>
            <w:shd w:val="clear" w:color="auto" w:fill="auto"/>
            <w:vAlign w:val="center"/>
          </w:tcPr>
          <w:p w14:paraId="78716C68" w14:textId="1E66A00F" w:rsidR="005C3890" w:rsidRPr="0028462F"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Pr>
                <w:b/>
                <w:color w:val="000000"/>
                <w:sz w:val="18"/>
              </w:rPr>
              <w:t>35</w:t>
            </w:r>
          </w:p>
        </w:tc>
        <w:tc>
          <w:tcPr>
            <w:tcW w:w="499" w:type="pct"/>
            <w:noWrap/>
            <w:vAlign w:val="center"/>
          </w:tcPr>
          <w:p w14:paraId="3258D043" w14:textId="1A2B064E" w:rsidR="005C3890" w:rsidRPr="00D13E2D"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Pr>
                <w:color w:val="000000"/>
                <w:sz w:val="18"/>
                <w:lang w:eastAsia="en-GB"/>
              </w:rPr>
              <w:t>36</w:t>
            </w:r>
          </w:p>
        </w:tc>
        <w:tc>
          <w:tcPr>
            <w:tcW w:w="506" w:type="pct"/>
            <w:noWrap/>
            <w:vAlign w:val="center"/>
          </w:tcPr>
          <w:p w14:paraId="143A6532" w14:textId="7F9DA1D8" w:rsidR="005C3890" w:rsidRPr="00D13E2D" w:rsidRDefault="005C389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Pr>
                <w:color w:val="000000"/>
                <w:sz w:val="18"/>
                <w:lang w:eastAsia="en-GB"/>
              </w:rPr>
              <w:t>13</w:t>
            </w:r>
          </w:p>
        </w:tc>
      </w:tr>
      <w:tr w:rsidR="00442870" w:rsidRPr="005A6171" w14:paraId="124B44A8" w14:textId="77777777" w:rsidTr="00D52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130BB510" w14:textId="77777777" w:rsidR="00442870" w:rsidRPr="00D13E2D" w:rsidRDefault="00442870" w:rsidP="003C3E3C">
            <w:pPr>
              <w:spacing w:after="0" w:line="240" w:lineRule="auto"/>
              <w:contextualSpacing/>
              <w:rPr>
                <w:b w:val="0"/>
                <w:color w:val="000000"/>
                <w:sz w:val="18"/>
                <w:lang w:eastAsia="en-GB"/>
              </w:rPr>
            </w:pPr>
            <w:r w:rsidRPr="00D13E2D">
              <w:rPr>
                <w:b w:val="0"/>
                <w:color w:val="000000"/>
                <w:sz w:val="18"/>
                <w:lang w:eastAsia="en-GB"/>
              </w:rPr>
              <w:t>Other fruiting vegetables</w:t>
            </w:r>
          </w:p>
        </w:tc>
        <w:tc>
          <w:tcPr>
            <w:tcW w:w="473" w:type="pct"/>
            <w:noWrap/>
            <w:vAlign w:val="center"/>
          </w:tcPr>
          <w:p w14:paraId="432DDE1C"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487" w:type="pct"/>
            <w:noWrap/>
            <w:vAlign w:val="center"/>
          </w:tcPr>
          <w:p w14:paraId="51AEB3F5"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rPr>
            </w:pPr>
            <w:r w:rsidRPr="00D13E2D">
              <w:rPr>
                <w:color w:val="000000"/>
                <w:sz w:val="18"/>
              </w:rPr>
              <w:t>253</w:t>
            </w:r>
          </w:p>
        </w:tc>
        <w:tc>
          <w:tcPr>
            <w:tcW w:w="470" w:type="pct"/>
            <w:noWrap/>
            <w:vAlign w:val="center"/>
          </w:tcPr>
          <w:p w14:paraId="363AAB66"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28462F">
              <w:rPr>
                <w:b/>
                <w:color w:val="000000"/>
                <w:sz w:val="18"/>
              </w:rPr>
              <w:t>127</w:t>
            </w:r>
          </w:p>
        </w:tc>
        <w:tc>
          <w:tcPr>
            <w:tcW w:w="473" w:type="pct"/>
            <w:vAlign w:val="center"/>
          </w:tcPr>
          <w:p w14:paraId="03CE4964" w14:textId="77777777"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487" w:type="pct"/>
            <w:vAlign w:val="center"/>
          </w:tcPr>
          <w:p w14:paraId="1BE232EF"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28462F">
              <w:rPr>
                <w:b/>
                <w:color w:val="000000"/>
                <w:sz w:val="18"/>
              </w:rPr>
              <w:t>127</w:t>
            </w:r>
          </w:p>
        </w:tc>
        <w:tc>
          <w:tcPr>
            <w:tcW w:w="470" w:type="pct"/>
            <w:shd w:val="clear" w:color="auto" w:fill="BFBFBF" w:themeFill="background1" w:themeFillShade="BF"/>
            <w:vAlign w:val="center"/>
          </w:tcPr>
          <w:p w14:paraId="4FC8B7BE" w14:textId="77777777" w:rsidR="00442870" w:rsidRPr="0028462F"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
                <w:color w:val="000000"/>
                <w:sz w:val="18"/>
              </w:rPr>
            </w:pPr>
            <w:r w:rsidRPr="0028462F">
              <w:rPr>
                <w:b/>
                <w:color w:val="000000"/>
                <w:sz w:val="18"/>
              </w:rPr>
              <w:t>63</w:t>
            </w:r>
          </w:p>
        </w:tc>
        <w:tc>
          <w:tcPr>
            <w:tcW w:w="499" w:type="pct"/>
            <w:noWrap/>
            <w:vAlign w:val="center"/>
          </w:tcPr>
          <w:p w14:paraId="623DC159" w14:textId="535036F0"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15</w:t>
            </w:r>
            <w:r w:rsidR="008148B3">
              <w:rPr>
                <w:color w:val="000000"/>
                <w:sz w:val="18"/>
                <w:lang w:eastAsia="en-GB"/>
              </w:rPr>
              <w:t>1</w:t>
            </w:r>
          </w:p>
        </w:tc>
        <w:tc>
          <w:tcPr>
            <w:tcW w:w="506" w:type="pct"/>
            <w:noWrap/>
            <w:vAlign w:val="center"/>
          </w:tcPr>
          <w:p w14:paraId="762F5E8D" w14:textId="5A5C540F" w:rsidR="00442870" w:rsidRPr="00D13E2D" w:rsidRDefault="00442870" w:rsidP="00D5249B">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D13E2D">
              <w:rPr>
                <w:color w:val="000000"/>
                <w:sz w:val="18"/>
                <w:lang w:eastAsia="en-GB"/>
              </w:rPr>
              <w:t>73</w:t>
            </w:r>
          </w:p>
        </w:tc>
      </w:tr>
      <w:tr w:rsidR="00442870" w:rsidRPr="005A6171" w14:paraId="6E815677" w14:textId="77777777" w:rsidTr="00D5249B">
        <w:trPr>
          <w:trHeight w:val="340"/>
        </w:trPr>
        <w:tc>
          <w:tcPr>
            <w:cnfStyle w:val="001000000000" w:firstRow="0" w:lastRow="0" w:firstColumn="1" w:lastColumn="0" w:oddVBand="0" w:evenVBand="0" w:oddHBand="0" w:evenHBand="0" w:firstRowFirstColumn="0" w:firstRowLastColumn="0" w:lastRowFirstColumn="0" w:lastRowLastColumn="0"/>
            <w:tcW w:w="1135" w:type="pct"/>
            <w:noWrap/>
          </w:tcPr>
          <w:p w14:paraId="6C95970D" w14:textId="77777777" w:rsidR="00442870" w:rsidRPr="00D13E2D" w:rsidRDefault="00442870" w:rsidP="003C3E3C">
            <w:pPr>
              <w:spacing w:after="0" w:line="240" w:lineRule="auto"/>
              <w:contextualSpacing/>
              <w:rPr>
                <w:b w:val="0"/>
                <w:color w:val="000000"/>
                <w:sz w:val="18"/>
                <w:lang w:eastAsia="en-GB"/>
              </w:rPr>
            </w:pPr>
            <w:r w:rsidRPr="00D13E2D">
              <w:rPr>
                <w:b w:val="0"/>
                <w:color w:val="000000"/>
                <w:sz w:val="18"/>
                <w:lang w:eastAsia="en-GB"/>
              </w:rPr>
              <w:t>Root and tuber vegetables</w:t>
            </w:r>
          </w:p>
        </w:tc>
        <w:tc>
          <w:tcPr>
            <w:tcW w:w="473" w:type="pct"/>
            <w:noWrap/>
            <w:vAlign w:val="center"/>
          </w:tcPr>
          <w:p w14:paraId="41D0CC80" w14:textId="777777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487" w:type="pct"/>
            <w:noWrap/>
            <w:vAlign w:val="center"/>
          </w:tcPr>
          <w:p w14:paraId="0242313B" w14:textId="777777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rPr>
            </w:pPr>
            <w:r w:rsidRPr="00D13E2D">
              <w:rPr>
                <w:color w:val="000000"/>
                <w:sz w:val="18"/>
              </w:rPr>
              <w:t>253</w:t>
            </w:r>
          </w:p>
        </w:tc>
        <w:tc>
          <w:tcPr>
            <w:tcW w:w="470" w:type="pct"/>
            <w:noWrap/>
            <w:vAlign w:val="center"/>
          </w:tcPr>
          <w:p w14:paraId="40675909"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sidRPr="0028462F">
              <w:rPr>
                <w:b/>
                <w:color w:val="000000"/>
                <w:sz w:val="18"/>
              </w:rPr>
              <w:t>127</w:t>
            </w:r>
          </w:p>
        </w:tc>
        <w:tc>
          <w:tcPr>
            <w:tcW w:w="473" w:type="pct"/>
            <w:vAlign w:val="center"/>
          </w:tcPr>
          <w:p w14:paraId="57CF7561" w14:textId="77777777" w:rsidR="00442870" w:rsidRPr="000F313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p>
        </w:tc>
        <w:tc>
          <w:tcPr>
            <w:tcW w:w="487" w:type="pct"/>
            <w:shd w:val="clear" w:color="auto" w:fill="auto"/>
            <w:vAlign w:val="center"/>
          </w:tcPr>
          <w:p w14:paraId="4CD6E32D"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sidRPr="0028462F">
              <w:rPr>
                <w:b/>
                <w:color w:val="000000"/>
                <w:sz w:val="18"/>
              </w:rPr>
              <w:t>127</w:t>
            </w:r>
          </w:p>
        </w:tc>
        <w:tc>
          <w:tcPr>
            <w:tcW w:w="470" w:type="pct"/>
            <w:shd w:val="clear" w:color="auto" w:fill="BFBFBF" w:themeFill="background1" w:themeFillShade="BF"/>
            <w:vAlign w:val="center"/>
          </w:tcPr>
          <w:p w14:paraId="6AD6267D" w14:textId="77777777" w:rsidR="00442870" w:rsidRPr="0028462F"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color w:val="000000"/>
                <w:sz w:val="18"/>
              </w:rPr>
            </w:pPr>
            <w:r w:rsidRPr="0028462F">
              <w:rPr>
                <w:b/>
                <w:color w:val="000000"/>
                <w:sz w:val="18"/>
              </w:rPr>
              <w:t>63</w:t>
            </w:r>
          </w:p>
        </w:tc>
        <w:tc>
          <w:tcPr>
            <w:tcW w:w="499" w:type="pct"/>
            <w:noWrap/>
            <w:vAlign w:val="center"/>
          </w:tcPr>
          <w:p w14:paraId="348F6DE4" w14:textId="17E1BF61"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164</w:t>
            </w:r>
          </w:p>
        </w:tc>
        <w:tc>
          <w:tcPr>
            <w:tcW w:w="506" w:type="pct"/>
            <w:noWrap/>
            <w:vAlign w:val="center"/>
          </w:tcPr>
          <w:p w14:paraId="7D778DA1" w14:textId="1859B877" w:rsidR="00442870" w:rsidRPr="00D13E2D" w:rsidRDefault="00442870" w:rsidP="00D5249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D13E2D">
              <w:rPr>
                <w:color w:val="000000"/>
                <w:sz w:val="18"/>
                <w:lang w:eastAsia="en-GB"/>
              </w:rPr>
              <w:t>66</w:t>
            </w:r>
          </w:p>
        </w:tc>
      </w:tr>
    </w:tbl>
    <w:p w14:paraId="72DF1288" w14:textId="77777777" w:rsidR="00442870" w:rsidRDefault="00442870" w:rsidP="003C3E3C">
      <w:pPr>
        <w:pStyle w:val="TableFoot"/>
      </w:pPr>
      <w:r w:rsidRPr="005A6171">
        <w:t>*Consumption amounts not provided where median PFAS concentration was &lt;LOR and calculated as zero</w:t>
      </w:r>
    </w:p>
    <w:p w14:paraId="00224327" w14:textId="3D76DA41" w:rsidR="002358B6" w:rsidRDefault="002358B6" w:rsidP="003C3E3C">
      <w:pPr>
        <w:pStyle w:val="TableFoot"/>
      </w:pPr>
      <w:r>
        <w:t>^ For each food group it is assumed that background exposure from all other foods is zero</w:t>
      </w:r>
    </w:p>
    <w:p w14:paraId="35B61862" w14:textId="3F3818C0" w:rsidR="00442870" w:rsidRDefault="000F313F" w:rsidP="00AB224C">
      <w:r>
        <w:br w:type="page"/>
      </w:r>
    </w:p>
    <w:p w14:paraId="661A52F1" w14:textId="46BAD7BF" w:rsidR="00442870" w:rsidRDefault="00C96217" w:rsidP="00C96217">
      <w:pPr>
        <w:pStyle w:val="FSFigure"/>
      </w:pPr>
      <w:bookmarkStart w:id="146" w:name="_Ref474764979"/>
      <w:r>
        <w:lastRenderedPageBreak/>
        <w:t>Food groups</w:t>
      </w:r>
      <w:r w:rsidRPr="00C96217">
        <w:t xml:space="preserve"> where amount</w:t>
      </w:r>
      <w:r w:rsidR="003D7B79">
        <w:t>s</w:t>
      </w:r>
      <w:r w:rsidRPr="00C96217">
        <w:t xml:space="preserve"> </w:t>
      </w:r>
      <w:r w:rsidR="003D7B79">
        <w:t xml:space="preserve">that can be </w:t>
      </w:r>
      <w:r w:rsidRPr="00C96217">
        <w:t xml:space="preserve">consumed at median PFOS and or/ PFOS + </w:t>
      </w:r>
      <w:proofErr w:type="spellStart"/>
      <w:r w:rsidRPr="00C96217">
        <w:t>PFHxS</w:t>
      </w:r>
      <w:proofErr w:type="spellEnd"/>
      <w:r w:rsidRPr="00C96217">
        <w:t xml:space="preserve"> combined concentration to reach the TDI </w:t>
      </w:r>
      <w:r w:rsidR="007A4A05">
        <w:t>are less than</w:t>
      </w:r>
      <w:r w:rsidR="007A4A05" w:rsidRPr="00C96217">
        <w:t xml:space="preserve"> </w:t>
      </w:r>
      <w:r>
        <w:t xml:space="preserve">the </w:t>
      </w:r>
      <w:r w:rsidRPr="00C96217">
        <w:t>90</w:t>
      </w:r>
      <w:r w:rsidRPr="00C96217">
        <w:rPr>
          <w:vertAlign w:val="superscript"/>
        </w:rPr>
        <w:t>th</w:t>
      </w:r>
      <w:r>
        <w:t xml:space="preserve"> percentile </w:t>
      </w:r>
      <w:r w:rsidRPr="00C96217">
        <w:t>food consumption derived from the 2011-12 NNPAS</w:t>
      </w:r>
      <w:bookmarkEnd w:id="146"/>
    </w:p>
    <w:p w14:paraId="5924511C" w14:textId="05A00B6B" w:rsidR="00BF60DF" w:rsidRDefault="005C3890" w:rsidP="00AA3E80">
      <w:pPr>
        <w:pStyle w:val="FSFigure0"/>
        <w:numPr>
          <w:ilvl w:val="0"/>
          <w:numId w:val="0"/>
        </w:numPr>
        <w:ind w:left="720"/>
      </w:pPr>
      <w:r>
        <w:rPr>
          <w:noProof/>
          <w:lang w:val="en-US"/>
        </w:rPr>
        <w:drawing>
          <wp:inline distT="0" distB="0" distL="0" distR="0" wp14:anchorId="54BECF09" wp14:editId="0A406D01">
            <wp:extent cx="7816233" cy="5192818"/>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816233" cy="5192818"/>
                    </a:xfrm>
                    <a:prstGeom prst="rect">
                      <a:avLst/>
                    </a:prstGeom>
                  </pic:spPr>
                </pic:pic>
              </a:graphicData>
            </a:graphic>
          </wp:inline>
        </w:drawing>
      </w:r>
    </w:p>
    <w:p w14:paraId="4B1F45B9" w14:textId="77777777" w:rsidR="00BF60DF" w:rsidRDefault="00BF60DF" w:rsidP="00AB224C">
      <w:pPr>
        <w:sectPr w:rsidR="00BF60DF" w:rsidSect="00442870">
          <w:pgSz w:w="16838" w:h="11906" w:orient="landscape"/>
          <w:pgMar w:top="1418" w:right="1418" w:bottom="1418" w:left="1418" w:header="709" w:footer="709" w:gutter="0"/>
          <w:cols w:space="708"/>
          <w:docGrid w:linePitch="360"/>
        </w:sectPr>
      </w:pPr>
    </w:p>
    <w:p w14:paraId="59AB8C2D" w14:textId="59F859B8" w:rsidR="003440FF" w:rsidRPr="00C12B2D" w:rsidRDefault="00FF2FE7" w:rsidP="00A75BE9">
      <w:pPr>
        <w:pStyle w:val="Heading3"/>
      </w:pPr>
      <w:bookmarkStart w:id="147" w:name="_Toc474153272"/>
      <w:bookmarkStart w:id="148" w:name="_Toc474158952"/>
      <w:bookmarkStart w:id="149" w:name="_Toc474847908"/>
      <w:bookmarkStart w:id="150" w:name="_Toc475360617"/>
      <w:r>
        <w:lastRenderedPageBreak/>
        <w:t>Prop</w:t>
      </w:r>
      <w:r w:rsidR="00D22E60">
        <w:t>os</w:t>
      </w:r>
      <w:r>
        <w:t>ed trigger points</w:t>
      </w:r>
      <w:r w:rsidR="003440FF" w:rsidRPr="00C12B2D">
        <w:t xml:space="preserve"> for</w:t>
      </w:r>
      <w:r w:rsidR="005A0BAC">
        <w:t xml:space="preserve"> investigation</w:t>
      </w:r>
      <w:r w:rsidR="003440FF" w:rsidRPr="00C12B2D">
        <w:t xml:space="preserve"> individual foods or food groups</w:t>
      </w:r>
      <w:bookmarkEnd w:id="147"/>
      <w:bookmarkEnd w:id="148"/>
      <w:bookmarkEnd w:id="149"/>
      <w:bookmarkEnd w:id="150"/>
    </w:p>
    <w:p w14:paraId="35C1D90D" w14:textId="697BE435" w:rsidR="005F1AA1" w:rsidRDefault="005811F5" w:rsidP="005F1AA1">
      <w:pPr>
        <w:rPr>
          <w:lang w:eastAsia="en-AU"/>
        </w:rPr>
      </w:pPr>
      <w:r>
        <w:rPr>
          <w:lang w:eastAsia="en-AU"/>
        </w:rPr>
        <w:t xml:space="preserve">The proposed </w:t>
      </w:r>
      <w:r w:rsidR="00FF2FE7">
        <w:t>trigger points for investigation</w:t>
      </w:r>
      <w:r w:rsidR="001164E0">
        <w:t xml:space="preserve"> </w:t>
      </w:r>
      <w:r w:rsidR="00B832C2">
        <w:rPr>
          <w:lang w:eastAsia="en-AU"/>
        </w:rPr>
        <w:t xml:space="preserve">are summarised in </w:t>
      </w:r>
      <w:r w:rsidRPr="008110E9">
        <w:rPr>
          <w:rStyle w:val="CrossReferenceChar"/>
        </w:rPr>
        <w:fldChar w:fldCharType="begin"/>
      </w:r>
      <w:r w:rsidRPr="008110E9">
        <w:rPr>
          <w:rStyle w:val="CrossReferenceChar"/>
        </w:rPr>
        <w:instrText xml:space="preserve"> REF _Ref473894951 \r \h </w:instrText>
      </w:r>
      <w:r w:rsidRPr="008110E9">
        <w:rPr>
          <w:rStyle w:val="CrossReferenceChar"/>
        </w:rPr>
      </w:r>
      <w:r w:rsidRPr="008110E9">
        <w:rPr>
          <w:rStyle w:val="CrossReferenceChar"/>
        </w:rPr>
        <w:fldChar w:fldCharType="separate"/>
      </w:r>
      <w:r w:rsidR="00D5249B">
        <w:rPr>
          <w:rStyle w:val="CrossReferenceChar"/>
        </w:rPr>
        <w:t>Table 8</w:t>
      </w:r>
      <w:r w:rsidRPr="008110E9">
        <w:rPr>
          <w:rStyle w:val="CrossReferenceChar"/>
        </w:rPr>
        <w:fldChar w:fldCharType="end"/>
      </w:r>
      <w:r w:rsidR="00961BBF">
        <w:rPr>
          <w:lang w:eastAsia="en-AU"/>
        </w:rPr>
        <w:t xml:space="preserve">. </w:t>
      </w:r>
      <w:r w:rsidR="00A93BCD" w:rsidRPr="00A93BCD">
        <w:rPr>
          <w:lang w:eastAsia="en-AU"/>
        </w:rPr>
        <w:t xml:space="preserve">Maximum concentration levels form the basis of </w:t>
      </w:r>
      <w:r w:rsidR="00567D39">
        <w:rPr>
          <w:lang w:eastAsia="en-AU"/>
        </w:rPr>
        <w:t>the trigger points</w:t>
      </w:r>
      <w:r w:rsidR="00A93BCD" w:rsidRPr="00A93BCD">
        <w:rPr>
          <w:lang w:eastAsia="en-AU"/>
        </w:rPr>
        <w:t xml:space="preserve"> </w:t>
      </w:r>
      <w:r w:rsidR="00567D39">
        <w:rPr>
          <w:lang w:eastAsia="en-AU"/>
        </w:rPr>
        <w:t>and</w:t>
      </w:r>
      <w:r w:rsidR="00A93BCD" w:rsidRPr="00A93BCD">
        <w:rPr>
          <w:lang w:eastAsia="en-AU"/>
        </w:rPr>
        <w:t xml:space="preserve"> are selected to be protective of all population groups in a range of consumption scenarios.</w:t>
      </w:r>
      <w:r w:rsidR="00A93BCD">
        <w:rPr>
          <w:lang w:eastAsia="en-AU"/>
        </w:rPr>
        <w:t xml:space="preserve"> </w:t>
      </w:r>
      <w:r w:rsidR="00567D39">
        <w:t xml:space="preserve">For a chemical of interest, </w:t>
      </w:r>
      <w:r w:rsidR="00F6181C">
        <w:t xml:space="preserve">there will be lower </w:t>
      </w:r>
      <w:r w:rsidR="005234B0">
        <w:t>trigger</w:t>
      </w:r>
      <w:r w:rsidR="00F6181C">
        <w:t xml:space="preserve"> points</w:t>
      </w:r>
      <w:r w:rsidR="00567D39">
        <w:t xml:space="preserve"> </w:t>
      </w:r>
      <w:r w:rsidR="00F6181C">
        <w:t xml:space="preserve">with </w:t>
      </w:r>
      <w:r w:rsidR="00567D39">
        <w:t xml:space="preserve">higher </w:t>
      </w:r>
      <w:r w:rsidR="00350FA5">
        <w:t xml:space="preserve">usual </w:t>
      </w:r>
      <w:r w:rsidR="00567D39">
        <w:t>consumption amount</w:t>
      </w:r>
      <w:r w:rsidR="00F6181C">
        <w:t>s</w:t>
      </w:r>
      <w:r w:rsidR="00567D39">
        <w:t xml:space="preserve"> of food </w:t>
      </w:r>
      <w:r w:rsidR="00F6181C">
        <w:t xml:space="preserve">as </w:t>
      </w:r>
      <w:r w:rsidR="00567D39">
        <w:t xml:space="preserve">derived from the national nutrition survey. </w:t>
      </w:r>
      <w:r w:rsidR="00961BBF">
        <w:rPr>
          <w:lang w:eastAsia="en-AU"/>
        </w:rPr>
        <w:t>The</w:t>
      </w:r>
      <w:r w:rsidR="00961BBF" w:rsidRPr="00961BBF">
        <w:rPr>
          <w:lang w:eastAsia="en-AU"/>
        </w:rPr>
        <w:t xml:space="preserve"> </w:t>
      </w:r>
      <w:r w:rsidR="00EE6194">
        <w:rPr>
          <w:lang w:eastAsia="en-AU"/>
        </w:rPr>
        <w:t>m</w:t>
      </w:r>
      <w:r w:rsidR="00EE6194" w:rsidRPr="00961BBF">
        <w:rPr>
          <w:lang w:eastAsia="en-AU"/>
        </w:rPr>
        <w:t xml:space="preserve">aximum </w:t>
      </w:r>
      <w:r w:rsidR="00961BBF" w:rsidRPr="00961BBF">
        <w:rPr>
          <w:lang w:eastAsia="en-AU"/>
        </w:rPr>
        <w:t>concentrations</w:t>
      </w:r>
      <w:r w:rsidR="00961BBF">
        <w:rPr>
          <w:lang w:eastAsia="en-AU"/>
        </w:rPr>
        <w:t xml:space="preserve"> for all commodities and </w:t>
      </w:r>
      <w:r w:rsidR="00EE6194">
        <w:rPr>
          <w:lang w:eastAsia="en-AU"/>
        </w:rPr>
        <w:t>contaminants</w:t>
      </w:r>
      <w:r w:rsidR="00961BBF">
        <w:rPr>
          <w:lang w:eastAsia="en-AU"/>
        </w:rPr>
        <w:t xml:space="preserve"> are set out in </w:t>
      </w:r>
      <w:r w:rsidR="00961BBF" w:rsidRPr="008110E9">
        <w:rPr>
          <w:rStyle w:val="CrossReferenceChar"/>
        </w:rPr>
        <w:fldChar w:fldCharType="begin"/>
      </w:r>
      <w:r w:rsidR="00961BBF" w:rsidRPr="008110E9">
        <w:rPr>
          <w:rStyle w:val="CrossReferenceChar"/>
        </w:rPr>
        <w:instrText xml:space="preserve"> REF _Ref473895885 \r \h </w:instrText>
      </w:r>
      <w:r w:rsidR="00961BBF" w:rsidRPr="008110E9">
        <w:rPr>
          <w:rStyle w:val="CrossReferenceChar"/>
        </w:rPr>
      </w:r>
      <w:r w:rsidR="00961BBF" w:rsidRPr="008110E9">
        <w:rPr>
          <w:rStyle w:val="CrossReferenceChar"/>
        </w:rPr>
        <w:fldChar w:fldCharType="separate"/>
      </w:r>
      <w:r w:rsidR="00D5249B">
        <w:rPr>
          <w:rStyle w:val="CrossReferenceChar"/>
        </w:rPr>
        <w:t>Table 20</w:t>
      </w:r>
      <w:r w:rsidR="00961BBF" w:rsidRPr="008110E9">
        <w:rPr>
          <w:rStyle w:val="CrossReferenceChar"/>
        </w:rPr>
        <w:fldChar w:fldCharType="end"/>
      </w:r>
      <w:r w:rsidR="00F45616">
        <w:rPr>
          <w:lang w:eastAsia="en-AU"/>
        </w:rPr>
        <w:t>;</w:t>
      </w:r>
      <w:r w:rsidR="00961BBF">
        <w:rPr>
          <w:lang w:eastAsia="en-AU"/>
        </w:rPr>
        <w:t xml:space="preserve"> the data used to derive the </w:t>
      </w:r>
      <w:r w:rsidR="00046B9A">
        <w:rPr>
          <w:lang w:eastAsia="en-AU"/>
        </w:rPr>
        <w:t xml:space="preserve">trigger points </w:t>
      </w:r>
      <w:r w:rsidR="00961BBF">
        <w:rPr>
          <w:lang w:eastAsia="en-AU"/>
        </w:rPr>
        <w:t xml:space="preserve">are in </w:t>
      </w:r>
      <w:r w:rsidR="000E1641">
        <w:rPr>
          <w:lang w:eastAsia="en-AU"/>
        </w:rPr>
        <w:t>bold</w:t>
      </w:r>
      <w:r w:rsidR="00961BBF">
        <w:rPr>
          <w:lang w:eastAsia="en-AU"/>
        </w:rPr>
        <w:t>.</w:t>
      </w:r>
      <w:r w:rsidR="00046B9A">
        <w:rPr>
          <w:lang w:eastAsia="en-AU"/>
        </w:rPr>
        <w:t xml:space="preserve"> Trigger points for investigation have not </w:t>
      </w:r>
      <w:r w:rsidR="00307CD0">
        <w:rPr>
          <w:lang w:eastAsia="en-AU"/>
        </w:rPr>
        <w:t>been</w:t>
      </w:r>
      <w:r w:rsidR="00046B9A">
        <w:rPr>
          <w:lang w:eastAsia="en-AU"/>
        </w:rPr>
        <w:t xml:space="preserve"> </w:t>
      </w:r>
      <w:r w:rsidR="00307CD0" w:rsidRPr="00313945">
        <w:rPr>
          <w:lang w:eastAsia="en-AU"/>
        </w:rPr>
        <w:t>derived</w:t>
      </w:r>
      <w:r w:rsidR="00046B9A" w:rsidRPr="00313945">
        <w:rPr>
          <w:lang w:eastAsia="en-AU"/>
        </w:rPr>
        <w:t xml:space="preserve"> for drinking water in this report.</w:t>
      </w:r>
    </w:p>
    <w:p w14:paraId="703C6F32" w14:textId="2E999003" w:rsidR="00E34EC4" w:rsidRPr="006C78B3" w:rsidRDefault="00E34EC4" w:rsidP="006C78B3">
      <w:pPr>
        <w:pStyle w:val="Heading4"/>
      </w:pPr>
      <w:r w:rsidRPr="006C78B3">
        <w:t>PFOS and PFOS</w:t>
      </w:r>
      <w:r w:rsidR="004E6731">
        <w:t xml:space="preserve"> </w:t>
      </w:r>
      <w:r w:rsidRPr="006C78B3">
        <w:t>+</w:t>
      </w:r>
      <w:r w:rsidR="004E6731">
        <w:t xml:space="preserve"> </w:t>
      </w:r>
      <w:proofErr w:type="spellStart"/>
      <w:r w:rsidR="005811F5" w:rsidRPr="006C78B3">
        <w:t>PFHxS</w:t>
      </w:r>
      <w:proofErr w:type="spellEnd"/>
      <w:r w:rsidR="004E6731">
        <w:t xml:space="preserve"> combined</w:t>
      </w:r>
    </w:p>
    <w:p w14:paraId="1FECDB4C" w14:textId="5EA0E43A" w:rsidR="005811F5" w:rsidRPr="005811F5" w:rsidRDefault="004A2D84" w:rsidP="005811F5">
      <w:pPr>
        <w:rPr>
          <w:lang w:eastAsia="en-AU"/>
        </w:rPr>
      </w:pPr>
      <w:r>
        <w:rPr>
          <w:lang w:eastAsia="en-AU"/>
        </w:rPr>
        <w:t>Proposed</w:t>
      </w:r>
      <w:r w:rsidR="00B730EF">
        <w:rPr>
          <w:lang w:eastAsia="en-AU"/>
        </w:rPr>
        <w:t xml:space="preserve"> </w:t>
      </w:r>
      <w:r w:rsidR="00FF2FE7">
        <w:t>trigger points for investigation</w:t>
      </w:r>
      <w:r w:rsidR="001164E0">
        <w:t xml:space="preserve"> </w:t>
      </w:r>
      <w:r w:rsidR="00F365FE">
        <w:rPr>
          <w:lang w:eastAsia="en-AU"/>
        </w:rPr>
        <w:t xml:space="preserve">are lower for </w:t>
      </w:r>
      <w:r w:rsidR="00C66D88">
        <w:rPr>
          <w:lang w:eastAsia="en-AU"/>
        </w:rPr>
        <w:t>milk (0.4</w:t>
      </w:r>
      <w:r w:rsidR="00C66D88" w:rsidRPr="00C66D88">
        <w:rPr>
          <w:lang w:eastAsia="en-AU"/>
        </w:rPr>
        <w:t xml:space="preserve"> </w:t>
      </w:r>
      <w:r w:rsidR="00C66D88" w:rsidRPr="00F365FE">
        <w:rPr>
          <w:lang w:eastAsia="en-AU"/>
        </w:rPr>
        <w:t>µg/kg</w:t>
      </w:r>
      <w:r w:rsidR="00C66D88">
        <w:rPr>
          <w:lang w:eastAsia="en-AU"/>
        </w:rPr>
        <w:t xml:space="preserve">), </w:t>
      </w:r>
      <w:r w:rsidR="00F365FE">
        <w:rPr>
          <w:lang w:eastAsia="en-AU"/>
        </w:rPr>
        <w:t xml:space="preserve">fruit and vegetables (0.6 and 1.1 </w:t>
      </w:r>
      <w:r w:rsidR="00F365FE" w:rsidRPr="00F365FE">
        <w:rPr>
          <w:lang w:eastAsia="en-AU"/>
        </w:rPr>
        <w:t>µg/kg</w:t>
      </w:r>
      <w:r w:rsidR="00F365FE">
        <w:rPr>
          <w:lang w:eastAsia="en-AU"/>
        </w:rPr>
        <w:t xml:space="preserve"> res</w:t>
      </w:r>
      <w:r w:rsidR="00B42527">
        <w:rPr>
          <w:lang w:eastAsia="en-AU"/>
        </w:rPr>
        <w:t>pectively) than for finfish (5.2</w:t>
      </w:r>
      <w:r w:rsidR="00F365FE">
        <w:rPr>
          <w:lang w:eastAsia="en-AU"/>
        </w:rPr>
        <w:t xml:space="preserve"> </w:t>
      </w:r>
      <w:r w:rsidR="00F365FE" w:rsidRPr="00F365FE">
        <w:rPr>
          <w:lang w:eastAsia="en-AU"/>
        </w:rPr>
        <w:t>µg/kg</w:t>
      </w:r>
      <w:r w:rsidR="00F365FE">
        <w:rPr>
          <w:lang w:eastAsia="en-AU"/>
        </w:rPr>
        <w:t>)</w:t>
      </w:r>
      <w:r w:rsidR="0080752C">
        <w:rPr>
          <w:lang w:eastAsia="en-AU"/>
        </w:rPr>
        <w:t xml:space="preserve">, </w:t>
      </w:r>
      <w:r w:rsidR="00F365FE">
        <w:rPr>
          <w:lang w:eastAsia="en-AU"/>
        </w:rPr>
        <w:t xml:space="preserve">mammalian meat (3.5 </w:t>
      </w:r>
      <w:r w:rsidR="00F365FE" w:rsidRPr="00F365FE">
        <w:rPr>
          <w:lang w:eastAsia="en-AU"/>
        </w:rPr>
        <w:t>µg/kg</w:t>
      </w:r>
      <w:r w:rsidR="0080752C">
        <w:rPr>
          <w:lang w:eastAsia="en-AU"/>
        </w:rPr>
        <w:t xml:space="preserve">) and eggs (11 </w:t>
      </w:r>
      <w:r w:rsidR="0080752C">
        <w:rPr>
          <w:rFonts w:cs="Arial"/>
          <w:lang w:eastAsia="en-AU"/>
        </w:rPr>
        <w:t>µ</w:t>
      </w:r>
      <w:r w:rsidR="0080752C">
        <w:rPr>
          <w:lang w:eastAsia="en-AU"/>
        </w:rPr>
        <w:t xml:space="preserve">g/kg). </w:t>
      </w:r>
      <w:r w:rsidR="00B730EF">
        <w:rPr>
          <w:lang w:eastAsia="en-AU"/>
        </w:rPr>
        <w:t xml:space="preserve">Proposed </w:t>
      </w:r>
      <w:r w:rsidR="008C53C2">
        <w:t xml:space="preserve">trigger points for investigation </w:t>
      </w:r>
      <w:r w:rsidR="0080752C">
        <w:rPr>
          <w:lang w:eastAsia="en-AU"/>
        </w:rPr>
        <w:t>for other seafood,</w:t>
      </w:r>
      <w:r w:rsidR="00827C5D">
        <w:rPr>
          <w:lang w:eastAsia="en-AU"/>
        </w:rPr>
        <w:t xml:space="preserve"> fish liver, </w:t>
      </w:r>
      <w:r w:rsidR="0080752C">
        <w:rPr>
          <w:lang w:eastAsia="en-AU"/>
        </w:rPr>
        <w:t xml:space="preserve">honey and </w:t>
      </w:r>
      <w:r w:rsidR="00827C5D">
        <w:rPr>
          <w:lang w:eastAsia="en-AU"/>
        </w:rPr>
        <w:t xml:space="preserve">mammalian </w:t>
      </w:r>
      <w:r w:rsidR="0080752C">
        <w:rPr>
          <w:lang w:eastAsia="en-AU"/>
        </w:rPr>
        <w:t>offal are substantially higher than those proposed for other commodities.</w:t>
      </w:r>
    </w:p>
    <w:p w14:paraId="20412436" w14:textId="5681B2AB" w:rsidR="001E6380" w:rsidRPr="005811F5" w:rsidRDefault="001E6380" w:rsidP="001E6380">
      <w:pPr>
        <w:rPr>
          <w:lang w:eastAsia="en-AU"/>
        </w:rPr>
      </w:pPr>
      <w:r>
        <w:rPr>
          <w:lang w:eastAsia="en-AU"/>
        </w:rPr>
        <w:t>In reviewing the results of the 24</w:t>
      </w:r>
      <w:r w:rsidRPr="001E6380">
        <w:rPr>
          <w:vertAlign w:val="superscript"/>
          <w:lang w:eastAsia="en-AU"/>
        </w:rPr>
        <w:t>th</w:t>
      </w:r>
      <w:r>
        <w:rPr>
          <w:lang w:eastAsia="en-AU"/>
        </w:rPr>
        <w:t xml:space="preserve"> ATDS against the proposed </w:t>
      </w:r>
      <w:r w:rsidR="008C53C2">
        <w:t>trigger points for investigation</w:t>
      </w:r>
      <w:r>
        <w:rPr>
          <w:lang w:eastAsia="en-AU"/>
        </w:rPr>
        <w:t xml:space="preserve">, there were two detected values: </w:t>
      </w:r>
      <w:r w:rsidR="00FF2FE7">
        <w:rPr>
          <w:lang w:eastAsia="en-AU"/>
        </w:rPr>
        <w:t>t</w:t>
      </w:r>
      <w:r w:rsidR="00CE4F1C">
        <w:rPr>
          <w:lang w:eastAsia="en-AU"/>
        </w:rPr>
        <w:t xml:space="preserve">he first </w:t>
      </w:r>
      <w:r>
        <w:rPr>
          <w:lang w:eastAsia="en-AU"/>
        </w:rPr>
        <w:t xml:space="preserve">one </w:t>
      </w:r>
      <w:r w:rsidR="00CE4F1C">
        <w:rPr>
          <w:lang w:eastAsia="en-AU"/>
        </w:rPr>
        <w:t xml:space="preserve">was </w:t>
      </w:r>
      <w:r>
        <w:rPr>
          <w:lang w:eastAsia="en-AU"/>
        </w:rPr>
        <w:t xml:space="preserve">for PFOS </w:t>
      </w:r>
      <w:r w:rsidR="00CE4F1C">
        <w:rPr>
          <w:lang w:eastAsia="en-AU"/>
        </w:rPr>
        <w:t xml:space="preserve">detected in </w:t>
      </w:r>
      <w:r>
        <w:rPr>
          <w:lang w:eastAsia="en-AU"/>
        </w:rPr>
        <w:t xml:space="preserve">fish fillets </w:t>
      </w:r>
      <w:r w:rsidR="00CE4F1C">
        <w:rPr>
          <w:lang w:eastAsia="en-AU"/>
        </w:rPr>
        <w:t xml:space="preserve">at </w:t>
      </w:r>
      <w:r>
        <w:rPr>
          <w:lang w:eastAsia="en-AU"/>
        </w:rPr>
        <w:t xml:space="preserve">1.0 </w:t>
      </w:r>
      <w:r>
        <w:rPr>
          <w:rFonts w:cs="Arial"/>
          <w:lang w:eastAsia="en-AU"/>
        </w:rPr>
        <w:t>µ</w:t>
      </w:r>
      <w:r>
        <w:rPr>
          <w:lang w:eastAsia="en-AU"/>
        </w:rPr>
        <w:t>g/kg</w:t>
      </w:r>
      <w:r w:rsidR="001A6AEC">
        <w:rPr>
          <w:lang w:eastAsia="en-AU"/>
        </w:rPr>
        <w:t>,</w:t>
      </w:r>
      <w:r>
        <w:rPr>
          <w:lang w:eastAsia="en-AU"/>
        </w:rPr>
        <w:t xml:space="preserve"> which </w:t>
      </w:r>
      <w:r w:rsidR="00FF2FE7">
        <w:rPr>
          <w:lang w:eastAsia="en-AU"/>
        </w:rPr>
        <w:t>i</w:t>
      </w:r>
      <w:r>
        <w:rPr>
          <w:lang w:eastAsia="en-AU"/>
        </w:rPr>
        <w:t xml:space="preserve">s below the proposed </w:t>
      </w:r>
      <w:r w:rsidR="00FF2FE7">
        <w:t>trigger points for investigation</w:t>
      </w:r>
      <w:r w:rsidR="001164E0">
        <w:t xml:space="preserve"> </w:t>
      </w:r>
      <w:r w:rsidR="00B42527">
        <w:rPr>
          <w:lang w:eastAsia="en-AU"/>
        </w:rPr>
        <w:t>for finfish of 5.2</w:t>
      </w:r>
      <w:r>
        <w:rPr>
          <w:lang w:eastAsia="en-AU"/>
        </w:rPr>
        <w:t xml:space="preserve"> </w:t>
      </w:r>
      <w:r>
        <w:rPr>
          <w:rFonts w:cs="Arial"/>
          <w:lang w:eastAsia="en-AU"/>
        </w:rPr>
        <w:t>µ</w:t>
      </w:r>
      <w:r>
        <w:rPr>
          <w:lang w:eastAsia="en-AU"/>
        </w:rPr>
        <w:t>g/kg</w:t>
      </w:r>
      <w:r w:rsidR="00CE4F1C">
        <w:rPr>
          <w:lang w:eastAsia="en-AU"/>
        </w:rPr>
        <w:t>. The second was</w:t>
      </w:r>
      <w:r>
        <w:rPr>
          <w:lang w:eastAsia="en-AU"/>
        </w:rPr>
        <w:t xml:space="preserve"> </w:t>
      </w:r>
      <w:r w:rsidR="00CE4F1C">
        <w:rPr>
          <w:lang w:eastAsia="en-AU"/>
        </w:rPr>
        <w:t>in</w:t>
      </w:r>
      <w:r>
        <w:rPr>
          <w:lang w:eastAsia="en-AU"/>
        </w:rPr>
        <w:t xml:space="preserve"> beef sausages </w:t>
      </w:r>
      <w:r w:rsidR="00CE4F1C">
        <w:rPr>
          <w:lang w:eastAsia="en-AU"/>
        </w:rPr>
        <w:t xml:space="preserve">at a concentration of </w:t>
      </w:r>
      <w:r>
        <w:rPr>
          <w:lang w:eastAsia="en-AU"/>
        </w:rPr>
        <w:t xml:space="preserve">0.2 </w:t>
      </w:r>
      <w:r>
        <w:rPr>
          <w:rFonts w:cs="Arial"/>
          <w:lang w:eastAsia="en-AU"/>
        </w:rPr>
        <w:t>µ</w:t>
      </w:r>
      <w:r>
        <w:rPr>
          <w:lang w:eastAsia="en-AU"/>
        </w:rPr>
        <w:t>g/kg</w:t>
      </w:r>
      <w:r w:rsidR="001A6AEC">
        <w:rPr>
          <w:lang w:eastAsia="en-AU"/>
        </w:rPr>
        <w:t>,</w:t>
      </w:r>
      <w:r>
        <w:rPr>
          <w:lang w:eastAsia="en-AU"/>
        </w:rPr>
        <w:t xml:space="preserve"> which </w:t>
      </w:r>
      <w:r w:rsidR="00FF2FE7">
        <w:rPr>
          <w:lang w:eastAsia="en-AU"/>
        </w:rPr>
        <w:t>i</w:t>
      </w:r>
      <w:r>
        <w:rPr>
          <w:lang w:eastAsia="en-AU"/>
        </w:rPr>
        <w:t xml:space="preserve">s below the proposed </w:t>
      </w:r>
      <w:r w:rsidR="00FF2FE7">
        <w:t>trigger points for investigation</w:t>
      </w:r>
      <w:r w:rsidR="001164E0">
        <w:t xml:space="preserve"> </w:t>
      </w:r>
      <w:r>
        <w:rPr>
          <w:lang w:eastAsia="en-AU"/>
        </w:rPr>
        <w:t xml:space="preserve">for mammalian meat of 3.5 </w:t>
      </w:r>
      <w:r>
        <w:rPr>
          <w:rFonts w:cs="Arial"/>
          <w:lang w:eastAsia="en-AU"/>
        </w:rPr>
        <w:t>µ</w:t>
      </w:r>
      <w:r>
        <w:rPr>
          <w:lang w:eastAsia="en-AU"/>
        </w:rPr>
        <w:t xml:space="preserve">g/kg. </w:t>
      </w:r>
      <w:proofErr w:type="spellStart"/>
      <w:r w:rsidR="00B5241E">
        <w:rPr>
          <w:lang w:eastAsia="en-AU"/>
        </w:rPr>
        <w:t>PFHxS</w:t>
      </w:r>
      <w:proofErr w:type="spellEnd"/>
      <w:r w:rsidR="00B5241E">
        <w:rPr>
          <w:lang w:eastAsia="en-AU"/>
        </w:rPr>
        <w:t xml:space="preserve"> was not </w:t>
      </w:r>
      <w:r w:rsidR="00CE4F1C">
        <w:rPr>
          <w:lang w:eastAsia="en-AU"/>
        </w:rPr>
        <w:t>analysed</w:t>
      </w:r>
      <w:r w:rsidR="00B5241E">
        <w:rPr>
          <w:lang w:eastAsia="en-AU"/>
        </w:rPr>
        <w:t xml:space="preserve"> in the 24</w:t>
      </w:r>
      <w:r w:rsidR="00B5241E" w:rsidRPr="00B5241E">
        <w:rPr>
          <w:vertAlign w:val="superscript"/>
          <w:lang w:eastAsia="en-AU"/>
        </w:rPr>
        <w:t>th</w:t>
      </w:r>
      <w:r w:rsidR="00B5241E">
        <w:rPr>
          <w:lang w:eastAsia="en-AU"/>
        </w:rPr>
        <w:t xml:space="preserve"> ATDS.</w:t>
      </w:r>
    </w:p>
    <w:p w14:paraId="5A318CD9" w14:textId="7E16E4B6" w:rsidR="00E34EC4" w:rsidRPr="00593340" w:rsidRDefault="001E6380" w:rsidP="001E6380">
      <w:pPr>
        <w:pStyle w:val="Heading4"/>
        <w:numPr>
          <w:ilvl w:val="3"/>
          <w:numId w:val="18"/>
        </w:numPr>
      </w:pPr>
      <w:r w:rsidRPr="00593340">
        <w:t xml:space="preserve"> </w:t>
      </w:r>
      <w:r w:rsidR="00E34EC4" w:rsidRPr="00593340">
        <w:t>PFOA</w:t>
      </w:r>
      <w:r w:rsidR="00F365FE" w:rsidRPr="00593340">
        <w:t xml:space="preserve"> </w:t>
      </w:r>
    </w:p>
    <w:p w14:paraId="464C39A0" w14:textId="342472BD" w:rsidR="00AB370D" w:rsidRDefault="0080752C" w:rsidP="005F1AA1">
      <w:pPr>
        <w:rPr>
          <w:lang w:eastAsia="en-AU"/>
        </w:rPr>
      </w:pPr>
      <w:r>
        <w:rPr>
          <w:lang w:eastAsia="en-AU"/>
        </w:rPr>
        <w:t xml:space="preserve">In most </w:t>
      </w:r>
      <w:r w:rsidR="00CA6B22">
        <w:rPr>
          <w:lang w:eastAsia="en-AU"/>
        </w:rPr>
        <w:t>commodities,</w:t>
      </w:r>
      <w:r>
        <w:rPr>
          <w:lang w:eastAsia="en-AU"/>
        </w:rPr>
        <w:t xml:space="preserve"> </w:t>
      </w:r>
      <w:r w:rsidR="00B730EF">
        <w:rPr>
          <w:lang w:eastAsia="en-AU"/>
        </w:rPr>
        <w:t xml:space="preserve">proposed </w:t>
      </w:r>
      <w:r>
        <w:rPr>
          <w:lang w:eastAsia="en-AU"/>
        </w:rPr>
        <w:t xml:space="preserve">PFOA </w:t>
      </w:r>
      <w:r w:rsidR="00F9633E">
        <w:t>trigger points for investigation</w:t>
      </w:r>
      <w:r w:rsidR="001164E0">
        <w:t xml:space="preserve"> </w:t>
      </w:r>
      <w:r>
        <w:rPr>
          <w:lang w:eastAsia="en-AU"/>
        </w:rPr>
        <w:t xml:space="preserve">are </w:t>
      </w:r>
      <w:r w:rsidR="00F148E7">
        <w:rPr>
          <w:lang w:eastAsia="en-AU"/>
        </w:rPr>
        <w:t xml:space="preserve">an </w:t>
      </w:r>
      <w:r>
        <w:rPr>
          <w:lang w:eastAsia="en-AU"/>
        </w:rPr>
        <w:t xml:space="preserve">order of magnitude higher than those for PFOS. Like PFOS, levels are lowest in </w:t>
      </w:r>
      <w:r w:rsidR="0057441C">
        <w:rPr>
          <w:lang w:eastAsia="en-AU"/>
        </w:rPr>
        <w:t>milk</w:t>
      </w:r>
      <w:r>
        <w:rPr>
          <w:lang w:eastAsia="en-AU"/>
        </w:rPr>
        <w:t>, fruit and vegetables</w:t>
      </w:r>
      <w:r w:rsidR="00961BBF">
        <w:rPr>
          <w:lang w:eastAsia="en-AU"/>
        </w:rPr>
        <w:t>, finfish and meat.</w:t>
      </w:r>
    </w:p>
    <w:p w14:paraId="18678364" w14:textId="3CA28ADA" w:rsidR="00AB370D" w:rsidRDefault="00AB370D" w:rsidP="00984802">
      <w:pPr>
        <w:pStyle w:val="FSTableColumnRowheading"/>
        <w:rPr>
          <w:lang w:eastAsia="en-AU"/>
        </w:rPr>
      </w:pPr>
      <w:bookmarkStart w:id="151" w:name="_Ref473894951"/>
      <w:bookmarkStart w:id="152" w:name="_Toc474153718"/>
      <w:bookmarkStart w:id="153" w:name="_Toc474158910"/>
      <w:bookmarkStart w:id="154" w:name="_Toc474847870"/>
      <w:bookmarkStart w:id="155" w:name="_Toc474852110"/>
      <w:r>
        <w:rPr>
          <w:lang w:eastAsia="en-AU"/>
        </w:rPr>
        <w:t>Pr</w:t>
      </w:r>
      <w:r w:rsidR="00DD40AB">
        <w:rPr>
          <w:lang w:eastAsia="en-AU"/>
        </w:rPr>
        <w:t>oposed</w:t>
      </w:r>
      <w:r>
        <w:rPr>
          <w:lang w:eastAsia="en-AU"/>
        </w:rPr>
        <w:t xml:space="preserve"> </w:t>
      </w:r>
      <w:r w:rsidR="00F9633E">
        <w:t>trigger points for investigation</w:t>
      </w:r>
      <w:bookmarkEnd w:id="151"/>
      <w:bookmarkEnd w:id="152"/>
      <w:bookmarkEnd w:id="153"/>
      <w:bookmarkEnd w:id="154"/>
      <w:bookmarkEnd w:id="155"/>
    </w:p>
    <w:tbl>
      <w:tblPr>
        <w:tblStyle w:val="LightList-Accent11"/>
        <w:tblW w:w="0" w:type="auto"/>
        <w:tblLook w:val="04A0" w:firstRow="1" w:lastRow="0" w:firstColumn="1" w:lastColumn="0" w:noHBand="0" w:noVBand="1"/>
      </w:tblPr>
      <w:tblGrid>
        <w:gridCol w:w="1490"/>
        <w:gridCol w:w="1744"/>
        <w:gridCol w:w="1827"/>
        <w:gridCol w:w="914"/>
        <w:gridCol w:w="3311"/>
      </w:tblGrid>
      <w:tr w:rsidR="006D306E" w:rsidRPr="005811F5" w14:paraId="0B249B27" w14:textId="61EBF18C" w:rsidTr="003D6B71">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A39F0D2" w14:textId="35DF3C27" w:rsidR="006D306E" w:rsidRPr="00D13E2D" w:rsidRDefault="006D306E" w:rsidP="003D6B71">
            <w:pPr>
              <w:keepNext/>
              <w:spacing w:after="0" w:line="240" w:lineRule="auto"/>
              <w:contextualSpacing/>
              <w:jc w:val="center"/>
              <w:rPr>
                <w:sz w:val="18"/>
                <w:lang w:eastAsia="en-AU"/>
              </w:rPr>
            </w:pPr>
            <w:r w:rsidRPr="00D13E2D">
              <w:rPr>
                <w:sz w:val="18"/>
                <w:lang w:eastAsia="en-AU"/>
              </w:rPr>
              <w:t>Food</w:t>
            </w:r>
          </w:p>
        </w:tc>
        <w:tc>
          <w:tcPr>
            <w:tcW w:w="0" w:type="auto"/>
            <w:vMerge w:val="restart"/>
            <w:vAlign w:val="center"/>
          </w:tcPr>
          <w:p w14:paraId="14E17BD3" w14:textId="01C8EDD5"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b w:val="0"/>
                <w:sz w:val="18"/>
                <w:lang w:eastAsia="en-AU"/>
              </w:rPr>
            </w:pPr>
            <w:r w:rsidRPr="00D13E2D">
              <w:rPr>
                <w:sz w:val="18"/>
                <w:lang w:eastAsia="en-AU"/>
              </w:rPr>
              <w:t>Food classification</w:t>
            </w:r>
          </w:p>
        </w:tc>
        <w:tc>
          <w:tcPr>
            <w:tcW w:w="0" w:type="auto"/>
            <w:gridSpan w:val="2"/>
            <w:vAlign w:val="center"/>
          </w:tcPr>
          <w:p w14:paraId="5C083EC8" w14:textId="09DFADB0"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lang w:eastAsia="en-AU"/>
              </w:rPr>
            </w:pPr>
            <w:r w:rsidRPr="00D13E2D">
              <w:rPr>
                <w:sz w:val="18"/>
                <w:lang w:eastAsia="en-AU"/>
              </w:rPr>
              <w:t xml:space="preserve">Proposed </w:t>
            </w:r>
            <w:r w:rsidR="00F9633E" w:rsidRPr="00F9633E">
              <w:rPr>
                <w:sz w:val="18"/>
                <w:szCs w:val="18"/>
              </w:rPr>
              <w:t>trigger points for investigation</w:t>
            </w:r>
            <w:r w:rsidR="00F9633E" w:rsidRPr="00F9633E" w:rsidDel="00F9633E">
              <w:rPr>
                <w:sz w:val="18"/>
                <w:szCs w:val="18"/>
                <w:lang w:eastAsia="en-AU"/>
              </w:rPr>
              <w:t xml:space="preserve"> </w:t>
            </w:r>
            <w:r w:rsidRPr="00D13E2D">
              <w:rPr>
                <w:sz w:val="18"/>
                <w:lang w:eastAsia="en-AU"/>
              </w:rPr>
              <w:t>(µg/kg)</w:t>
            </w:r>
          </w:p>
        </w:tc>
        <w:tc>
          <w:tcPr>
            <w:tcW w:w="0" w:type="auto"/>
            <w:vMerge w:val="restart"/>
            <w:vAlign w:val="center"/>
          </w:tcPr>
          <w:p w14:paraId="6ED2A22C" w14:textId="7D630D75"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lang w:eastAsia="en-AU"/>
              </w:rPr>
            </w:pPr>
            <w:r w:rsidRPr="00D13E2D">
              <w:rPr>
                <w:sz w:val="18"/>
                <w:lang w:eastAsia="en-AU"/>
              </w:rPr>
              <w:t>Derivation</w:t>
            </w:r>
          </w:p>
        </w:tc>
      </w:tr>
      <w:tr w:rsidR="006D306E" w:rsidRPr="005811F5" w14:paraId="43AE12A6" w14:textId="77777777" w:rsidTr="003D6B71">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92B81AD" w14:textId="4928CCC9" w:rsidR="006D306E" w:rsidRPr="00D13E2D" w:rsidRDefault="006D306E" w:rsidP="003D6B71">
            <w:pPr>
              <w:keepNext/>
              <w:spacing w:after="0" w:line="240" w:lineRule="auto"/>
              <w:contextualSpacing/>
              <w:jc w:val="center"/>
              <w:rPr>
                <w:sz w:val="18"/>
                <w:lang w:eastAsia="en-AU"/>
              </w:rPr>
            </w:pPr>
          </w:p>
        </w:tc>
        <w:tc>
          <w:tcPr>
            <w:tcW w:w="0" w:type="auto"/>
            <w:vMerge/>
            <w:vAlign w:val="center"/>
          </w:tcPr>
          <w:p w14:paraId="051AA38A" w14:textId="1803D19C"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lang w:eastAsia="en-AU"/>
              </w:rPr>
            </w:pPr>
          </w:p>
        </w:tc>
        <w:tc>
          <w:tcPr>
            <w:tcW w:w="0" w:type="auto"/>
            <w:vAlign w:val="center"/>
          </w:tcPr>
          <w:p w14:paraId="50BDEFF3" w14:textId="77777777"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lang w:eastAsia="en-AU"/>
              </w:rPr>
            </w:pPr>
            <w:r w:rsidRPr="00D13E2D">
              <w:rPr>
                <w:sz w:val="18"/>
                <w:lang w:eastAsia="en-AU"/>
              </w:rPr>
              <w:t>PFOS, PFOS+</w:t>
            </w:r>
          </w:p>
          <w:p w14:paraId="6A00A8DE" w14:textId="3CD77D72"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lang w:eastAsia="en-AU"/>
              </w:rPr>
            </w:pPr>
            <w:proofErr w:type="spellStart"/>
            <w:r w:rsidRPr="00D13E2D">
              <w:rPr>
                <w:sz w:val="18"/>
                <w:lang w:eastAsia="en-AU"/>
              </w:rPr>
              <w:t>PFHxS</w:t>
            </w:r>
            <w:proofErr w:type="spellEnd"/>
            <w:r w:rsidR="00160865">
              <w:rPr>
                <w:sz w:val="18"/>
                <w:lang w:eastAsia="en-AU"/>
              </w:rPr>
              <w:t xml:space="preserve"> combined</w:t>
            </w:r>
          </w:p>
        </w:tc>
        <w:tc>
          <w:tcPr>
            <w:tcW w:w="0" w:type="auto"/>
            <w:vAlign w:val="center"/>
          </w:tcPr>
          <w:p w14:paraId="365B2E48" w14:textId="255E6A85"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lang w:eastAsia="en-AU"/>
              </w:rPr>
            </w:pPr>
            <w:r w:rsidRPr="00D13E2D">
              <w:rPr>
                <w:sz w:val="18"/>
                <w:lang w:eastAsia="en-AU"/>
              </w:rPr>
              <w:t>PFOA</w:t>
            </w:r>
          </w:p>
        </w:tc>
        <w:tc>
          <w:tcPr>
            <w:tcW w:w="0" w:type="auto"/>
            <w:vMerge/>
            <w:vAlign w:val="center"/>
          </w:tcPr>
          <w:p w14:paraId="630B4DA1" w14:textId="77777777" w:rsidR="006D306E" w:rsidRPr="00D13E2D" w:rsidRDefault="006D306E" w:rsidP="003D6B71">
            <w:pPr>
              <w:keepNext/>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lang w:eastAsia="en-AU"/>
              </w:rPr>
            </w:pPr>
          </w:p>
        </w:tc>
      </w:tr>
      <w:tr w:rsidR="00945AE3" w:rsidRPr="005811F5" w14:paraId="24B2C997" w14:textId="61BCF0DA" w:rsidTr="007E557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0B4094CE" w14:textId="0F4834DE" w:rsidR="00945AE3" w:rsidRPr="00D13E2D" w:rsidRDefault="005811F5" w:rsidP="005C14B1">
            <w:pPr>
              <w:keepNext/>
              <w:spacing w:after="0" w:line="240" w:lineRule="auto"/>
              <w:contextualSpacing/>
              <w:rPr>
                <w:sz w:val="18"/>
                <w:lang w:eastAsia="en-AU"/>
              </w:rPr>
            </w:pPr>
            <w:r w:rsidRPr="00D13E2D">
              <w:rPr>
                <w:sz w:val="18"/>
                <w:lang w:eastAsia="en-AU"/>
              </w:rPr>
              <w:t xml:space="preserve">Fish and </w:t>
            </w:r>
            <w:r w:rsidR="00945AE3" w:rsidRPr="00D13E2D">
              <w:rPr>
                <w:sz w:val="18"/>
                <w:lang w:eastAsia="en-AU"/>
              </w:rPr>
              <w:t>Seafood</w:t>
            </w:r>
          </w:p>
        </w:tc>
        <w:tc>
          <w:tcPr>
            <w:tcW w:w="0" w:type="auto"/>
            <w:vAlign w:val="center"/>
          </w:tcPr>
          <w:p w14:paraId="1660CC26" w14:textId="637108EC" w:rsidR="00945AE3" w:rsidRPr="00D13E2D"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Crustaceans</w:t>
            </w:r>
            <w:r w:rsidR="005A0BAC">
              <w:rPr>
                <w:sz w:val="18"/>
                <w:lang w:eastAsia="en-AU"/>
              </w:rPr>
              <w:t xml:space="preserve"> and Molluscs</w:t>
            </w:r>
            <w:r w:rsidR="00B730EF" w:rsidRPr="00D13E2D">
              <w:rPr>
                <w:sz w:val="18"/>
                <w:vertAlign w:val="superscript"/>
                <w:lang w:eastAsia="en-AU"/>
              </w:rPr>
              <w:t>#</w:t>
            </w:r>
          </w:p>
        </w:tc>
        <w:tc>
          <w:tcPr>
            <w:tcW w:w="0" w:type="auto"/>
            <w:vAlign w:val="center"/>
          </w:tcPr>
          <w:p w14:paraId="4190F793" w14:textId="21775FAC" w:rsidR="00945AE3" w:rsidRPr="00D13E2D" w:rsidRDefault="00945AE3"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65</w:t>
            </w:r>
          </w:p>
        </w:tc>
        <w:tc>
          <w:tcPr>
            <w:tcW w:w="0" w:type="auto"/>
            <w:vAlign w:val="center"/>
          </w:tcPr>
          <w:p w14:paraId="7ED189CC" w14:textId="52EF3406" w:rsidR="00945AE3" w:rsidRPr="00D13E2D" w:rsidRDefault="00945AE3"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520</w:t>
            </w:r>
          </w:p>
        </w:tc>
        <w:tc>
          <w:tcPr>
            <w:tcW w:w="0" w:type="auto"/>
            <w:vAlign w:val="center"/>
          </w:tcPr>
          <w:p w14:paraId="749E4CE3" w14:textId="15AF3D5B" w:rsidR="00945AE3" w:rsidRPr="006D306E"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D306E">
              <w:rPr>
                <w:rFonts w:cs="Arial"/>
                <w:sz w:val="18"/>
                <w:szCs w:val="18"/>
                <w:lang w:eastAsia="en-AU"/>
              </w:rPr>
              <w:t>Children 2-6 years, median consumption</w:t>
            </w:r>
          </w:p>
        </w:tc>
      </w:tr>
      <w:tr w:rsidR="00945AE3" w:rsidRPr="005811F5" w14:paraId="182ADB5F" w14:textId="0A2CC7F3" w:rsidTr="007E557B">
        <w:trPr>
          <w:trHeight w:val="14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4A949ED" w14:textId="77777777" w:rsidR="00945AE3" w:rsidRPr="00D13E2D" w:rsidRDefault="00945AE3" w:rsidP="005C14B1">
            <w:pPr>
              <w:keepNext/>
              <w:spacing w:after="0" w:line="240" w:lineRule="auto"/>
              <w:contextualSpacing/>
              <w:rPr>
                <w:sz w:val="18"/>
                <w:lang w:eastAsia="en-AU"/>
              </w:rPr>
            </w:pPr>
          </w:p>
        </w:tc>
        <w:tc>
          <w:tcPr>
            <w:tcW w:w="0" w:type="auto"/>
            <w:vAlign w:val="center"/>
          </w:tcPr>
          <w:p w14:paraId="79EC688A" w14:textId="042EDB8C" w:rsidR="00945AE3" w:rsidRPr="00D13E2D"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Finfish (all)</w:t>
            </w:r>
          </w:p>
        </w:tc>
        <w:tc>
          <w:tcPr>
            <w:tcW w:w="0" w:type="auto"/>
            <w:vAlign w:val="center"/>
          </w:tcPr>
          <w:p w14:paraId="70B62CC7" w14:textId="78FA8E63" w:rsidR="00945AE3" w:rsidRPr="00D13E2D" w:rsidRDefault="00B42527"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Pr>
                <w:sz w:val="18"/>
                <w:lang w:eastAsia="en-AU"/>
              </w:rPr>
              <w:t>5.2</w:t>
            </w:r>
          </w:p>
        </w:tc>
        <w:tc>
          <w:tcPr>
            <w:tcW w:w="0" w:type="auto"/>
            <w:vAlign w:val="center"/>
          </w:tcPr>
          <w:p w14:paraId="7BA737FC" w14:textId="1FEDF443" w:rsidR="00945AE3" w:rsidRPr="00D13E2D" w:rsidRDefault="00B42527"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Pr>
                <w:sz w:val="18"/>
                <w:lang w:eastAsia="en-AU"/>
              </w:rPr>
              <w:t>41</w:t>
            </w:r>
          </w:p>
        </w:tc>
        <w:tc>
          <w:tcPr>
            <w:tcW w:w="0" w:type="auto"/>
            <w:vAlign w:val="center"/>
          </w:tcPr>
          <w:p w14:paraId="5187AF0D" w14:textId="49AC8CED" w:rsidR="00945AE3" w:rsidRPr="006D306E"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D306E">
              <w:rPr>
                <w:rFonts w:cs="Arial"/>
                <w:sz w:val="18"/>
                <w:szCs w:val="18"/>
                <w:lang w:eastAsia="en-AU"/>
              </w:rPr>
              <w:t>Children 2-6 years, P90 consumption</w:t>
            </w:r>
          </w:p>
        </w:tc>
      </w:tr>
      <w:tr w:rsidR="00945AE3" w:rsidRPr="005811F5" w14:paraId="0FC31B0E" w14:textId="32C151D7" w:rsidTr="007E557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57A51E6" w14:textId="77777777" w:rsidR="00945AE3" w:rsidRPr="00D13E2D" w:rsidRDefault="00945AE3" w:rsidP="005C14B1">
            <w:pPr>
              <w:keepNext/>
              <w:spacing w:after="0" w:line="240" w:lineRule="auto"/>
              <w:contextualSpacing/>
              <w:rPr>
                <w:sz w:val="18"/>
                <w:lang w:eastAsia="en-AU"/>
              </w:rPr>
            </w:pPr>
          </w:p>
        </w:tc>
        <w:tc>
          <w:tcPr>
            <w:tcW w:w="0" w:type="auto"/>
            <w:vAlign w:val="center"/>
          </w:tcPr>
          <w:p w14:paraId="6650E2F0" w14:textId="4E339854" w:rsidR="00945AE3" w:rsidRPr="00D13E2D"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Fish liver</w:t>
            </w:r>
            <w:r w:rsidR="00B730EF" w:rsidRPr="00D13E2D">
              <w:rPr>
                <w:sz w:val="18"/>
                <w:vertAlign w:val="superscript"/>
                <w:lang w:eastAsia="en-AU"/>
              </w:rPr>
              <w:t>#</w:t>
            </w:r>
          </w:p>
        </w:tc>
        <w:tc>
          <w:tcPr>
            <w:tcW w:w="0" w:type="auto"/>
            <w:vAlign w:val="center"/>
          </w:tcPr>
          <w:p w14:paraId="637EBA6F" w14:textId="7BEECF50" w:rsidR="00945AE3" w:rsidRPr="00D13E2D" w:rsidRDefault="006D306E"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highlight w:val="yellow"/>
                <w:lang w:eastAsia="en-AU"/>
              </w:rPr>
            </w:pPr>
            <w:r w:rsidRPr="00D13E2D">
              <w:rPr>
                <w:sz w:val="18"/>
                <w:lang w:eastAsia="en-AU"/>
              </w:rPr>
              <w:t>280</w:t>
            </w:r>
          </w:p>
        </w:tc>
        <w:tc>
          <w:tcPr>
            <w:tcW w:w="0" w:type="auto"/>
            <w:vAlign w:val="center"/>
          </w:tcPr>
          <w:p w14:paraId="65D44C0A" w14:textId="7136BAAD" w:rsidR="00945AE3" w:rsidRPr="00D13E2D" w:rsidRDefault="006D306E"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highlight w:val="yellow"/>
                <w:lang w:eastAsia="en-AU"/>
              </w:rPr>
            </w:pPr>
            <w:r w:rsidRPr="00D13E2D">
              <w:rPr>
                <w:sz w:val="18"/>
                <w:lang w:eastAsia="en-AU"/>
              </w:rPr>
              <w:t>2240</w:t>
            </w:r>
          </w:p>
        </w:tc>
        <w:tc>
          <w:tcPr>
            <w:tcW w:w="0" w:type="auto"/>
            <w:vAlign w:val="center"/>
          </w:tcPr>
          <w:p w14:paraId="49F9A17C" w14:textId="0E68CCBF" w:rsidR="00945AE3" w:rsidRPr="006D306E"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D306E">
              <w:rPr>
                <w:rFonts w:cs="Arial"/>
                <w:sz w:val="18"/>
                <w:szCs w:val="18"/>
                <w:lang w:eastAsia="en-AU"/>
              </w:rPr>
              <w:t xml:space="preserve">Population 2+ years, </w:t>
            </w:r>
            <w:r w:rsidR="006D306E" w:rsidRPr="006D306E">
              <w:rPr>
                <w:rFonts w:cs="Arial"/>
                <w:sz w:val="18"/>
                <w:szCs w:val="18"/>
                <w:lang w:eastAsia="en-AU"/>
              </w:rPr>
              <w:t xml:space="preserve">median consumption assumed to </w:t>
            </w:r>
            <w:r w:rsidR="006D306E">
              <w:rPr>
                <w:rFonts w:cs="Arial"/>
                <w:sz w:val="18"/>
                <w:szCs w:val="18"/>
                <w:lang w:eastAsia="en-AU"/>
              </w:rPr>
              <w:t>be 5 g (weight of one liver)*</w:t>
            </w:r>
          </w:p>
        </w:tc>
      </w:tr>
      <w:tr w:rsidR="00945AE3" w:rsidRPr="005811F5" w14:paraId="3EB78930" w14:textId="03F3BA2F" w:rsidTr="007E557B">
        <w:trPr>
          <w:trHeight w:val="144"/>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0F483DE" w14:textId="67B7F2CF" w:rsidR="00945AE3" w:rsidRPr="00D13E2D" w:rsidRDefault="00945AE3" w:rsidP="005C14B1">
            <w:pPr>
              <w:keepNext/>
              <w:spacing w:after="0" w:line="240" w:lineRule="auto"/>
              <w:contextualSpacing/>
              <w:rPr>
                <w:sz w:val="18"/>
                <w:lang w:eastAsia="en-AU"/>
              </w:rPr>
            </w:pPr>
            <w:r w:rsidRPr="00D13E2D">
              <w:rPr>
                <w:sz w:val="18"/>
                <w:lang w:eastAsia="en-AU"/>
              </w:rPr>
              <w:t xml:space="preserve">Animal </w:t>
            </w:r>
            <w:r w:rsidR="00F365FE" w:rsidRPr="00D13E2D">
              <w:rPr>
                <w:sz w:val="18"/>
                <w:lang w:eastAsia="en-AU"/>
              </w:rPr>
              <w:t>Products</w:t>
            </w:r>
          </w:p>
        </w:tc>
        <w:tc>
          <w:tcPr>
            <w:tcW w:w="0" w:type="auto"/>
            <w:vAlign w:val="center"/>
          </w:tcPr>
          <w:p w14:paraId="75C0E6E6" w14:textId="412559D8" w:rsidR="00945AE3" w:rsidRPr="00D13E2D"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Meat mammalian</w:t>
            </w:r>
          </w:p>
        </w:tc>
        <w:tc>
          <w:tcPr>
            <w:tcW w:w="0" w:type="auto"/>
            <w:vAlign w:val="center"/>
          </w:tcPr>
          <w:p w14:paraId="5601F475" w14:textId="32B2E3FF" w:rsidR="00945AE3" w:rsidRPr="00D13E2D" w:rsidRDefault="00945AE3"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3.5</w:t>
            </w:r>
          </w:p>
        </w:tc>
        <w:tc>
          <w:tcPr>
            <w:tcW w:w="0" w:type="auto"/>
            <w:vAlign w:val="center"/>
          </w:tcPr>
          <w:p w14:paraId="4DC96092" w14:textId="688AC77F" w:rsidR="00945AE3" w:rsidRPr="00D13E2D" w:rsidRDefault="00945AE3"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28</w:t>
            </w:r>
          </w:p>
        </w:tc>
        <w:tc>
          <w:tcPr>
            <w:tcW w:w="0" w:type="auto"/>
            <w:vAlign w:val="center"/>
          </w:tcPr>
          <w:p w14:paraId="68EBC19D" w14:textId="4EB340CA" w:rsidR="00945AE3" w:rsidRPr="006D306E"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D306E">
              <w:rPr>
                <w:rFonts w:cs="Arial"/>
                <w:sz w:val="18"/>
                <w:szCs w:val="18"/>
                <w:lang w:eastAsia="en-AU"/>
              </w:rPr>
              <w:t>Children 2-6 years, P90 consumption</w:t>
            </w:r>
          </w:p>
        </w:tc>
      </w:tr>
      <w:tr w:rsidR="00945AE3" w:rsidRPr="005811F5" w14:paraId="7B06688F" w14:textId="6D2CF4C4" w:rsidTr="007E557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30C74B4" w14:textId="77777777" w:rsidR="00945AE3" w:rsidRPr="00D13E2D" w:rsidRDefault="00945AE3" w:rsidP="005C14B1">
            <w:pPr>
              <w:keepNext/>
              <w:spacing w:after="0" w:line="240" w:lineRule="auto"/>
              <w:contextualSpacing/>
              <w:rPr>
                <w:sz w:val="18"/>
                <w:lang w:eastAsia="en-AU"/>
              </w:rPr>
            </w:pPr>
          </w:p>
        </w:tc>
        <w:tc>
          <w:tcPr>
            <w:tcW w:w="0" w:type="auto"/>
            <w:vAlign w:val="center"/>
          </w:tcPr>
          <w:p w14:paraId="2216B9F3" w14:textId="05E73C99" w:rsidR="00945AE3" w:rsidRPr="00D13E2D"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Milk</w:t>
            </w:r>
          </w:p>
        </w:tc>
        <w:tc>
          <w:tcPr>
            <w:tcW w:w="0" w:type="auto"/>
            <w:vAlign w:val="center"/>
          </w:tcPr>
          <w:p w14:paraId="7F810B6D" w14:textId="71876F2C" w:rsidR="00945AE3" w:rsidRPr="00D13E2D" w:rsidRDefault="00945AE3"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0.4 or LOD if higher</w:t>
            </w:r>
          </w:p>
        </w:tc>
        <w:tc>
          <w:tcPr>
            <w:tcW w:w="0" w:type="auto"/>
            <w:vAlign w:val="center"/>
          </w:tcPr>
          <w:p w14:paraId="79FA1FDF" w14:textId="354AE95A" w:rsidR="00945AE3" w:rsidRPr="00D13E2D" w:rsidRDefault="00945AE3"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2.8</w:t>
            </w:r>
          </w:p>
        </w:tc>
        <w:tc>
          <w:tcPr>
            <w:tcW w:w="0" w:type="auto"/>
            <w:vAlign w:val="center"/>
          </w:tcPr>
          <w:p w14:paraId="274C6DD3" w14:textId="10D9435E" w:rsidR="00945AE3" w:rsidRPr="006D306E"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D306E">
              <w:rPr>
                <w:rFonts w:cs="Arial"/>
                <w:sz w:val="18"/>
                <w:szCs w:val="18"/>
                <w:lang w:eastAsia="en-AU"/>
              </w:rPr>
              <w:t>Children 2-6 years, P90 consumption</w:t>
            </w:r>
          </w:p>
        </w:tc>
      </w:tr>
      <w:tr w:rsidR="00945AE3" w:rsidRPr="005811F5" w14:paraId="0C7D33DF" w14:textId="345BC795" w:rsidTr="007E557B">
        <w:trPr>
          <w:trHeight w:val="14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2D03094" w14:textId="77777777" w:rsidR="00945AE3" w:rsidRPr="00D13E2D" w:rsidRDefault="00945AE3" w:rsidP="005C14B1">
            <w:pPr>
              <w:keepNext/>
              <w:spacing w:after="0" w:line="240" w:lineRule="auto"/>
              <w:contextualSpacing/>
              <w:rPr>
                <w:sz w:val="18"/>
                <w:lang w:eastAsia="en-AU"/>
              </w:rPr>
            </w:pPr>
          </w:p>
        </w:tc>
        <w:tc>
          <w:tcPr>
            <w:tcW w:w="0" w:type="auto"/>
            <w:vAlign w:val="center"/>
          </w:tcPr>
          <w:p w14:paraId="56A42D66" w14:textId="31577453" w:rsidR="00945AE3" w:rsidRPr="00D13E2D"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Honey</w:t>
            </w:r>
          </w:p>
        </w:tc>
        <w:tc>
          <w:tcPr>
            <w:tcW w:w="0" w:type="auto"/>
            <w:vAlign w:val="center"/>
          </w:tcPr>
          <w:p w14:paraId="40C624C3" w14:textId="0ECB1D0F" w:rsidR="00945AE3" w:rsidRPr="00D13E2D" w:rsidRDefault="00945AE3"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33</w:t>
            </w:r>
          </w:p>
        </w:tc>
        <w:tc>
          <w:tcPr>
            <w:tcW w:w="0" w:type="auto"/>
            <w:vAlign w:val="center"/>
          </w:tcPr>
          <w:p w14:paraId="7A60E7A1" w14:textId="25F70C0B" w:rsidR="00945AE3" w:rsidRPr="00D13E2D" w:rsidRDefault="00945AE3"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264</w:t>
            </w:r>
          </w:p>
        </w:tc>
        <w:tc>
          <w:tcPr>
            <w:tcW w:w="0" w:type="auto"/>
            <w:vAlign w:val="center"/>
          </w:tcPr>
          <w:p w14:paraId="3E22A2A3" w14:textId="6471BCB2" w:rsidR="00945AE3" w:rsidRPr="006D306E"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D306E">
              <w:rPr>
                <w:rFonts w:cs="Arial"/>
                <w:sz w:val="18"/>
                <w:szCs w:val="18"/>
                <w:lang w:eastAsia="en-AU"/>
              </w:rPr>
              <w:t>Children 2-6 years, P90 consumption</w:t>
            </w:r>
          </w:p>
        </w:tc>
      </w:tr>
      <w:tr w:rsidR="00945AE3" w:rsidRPr="005811F5" w14:paraId="0CE24C1C" w14:textId="6A3ECB96" w:rsidTr="007E557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2DBE164" w14:textId="77777777" w:rsidR="00945AE3" w:rsidRPr="00D13E2D" w:rsidRDefault="00945AE3" w:rsidP="005C14B1">
            <w:pPr>
              <w:keepNext/>
              <w:spacing w:after="0" w:line="240" w:lineRule="auto"/>
              <w:contextualSpacing/>
              <w:rPr>
                <w:sz w:val="18"/>
                <w:lang w:eastAsia="en-AU"/>
              </w:rPr>
            </w:pPr>
          </w:p>
        </w:tc>
        <w:tc>
          <w:tcPr>
            <w:tcW w:w="0" w:type="auto"/>
            <w:vAlign w:val="center"/>
          </w:tcPr>
          <w:p w14:paraId="6BC304CF" w14:textId="6138FB61" w:rsidR="00945AE3" w:rsidRPr="00D13E2D"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Offal mammalian</w:t>
            </w:r>
            <w:r w:rsidR="00B730EF" w:rsidRPr="00D13E2D">
              <w:rPr>
                <w:sz w:val="18"/>
                <w:vertAlign w:val="superscript"/>
                <w:lang w:eastAsia="en-AU"/>
              </w:rPr>
              <w:t>#</w:t>
            </w:r>
          </w:p>
        </w:tc>
        <w:tc>
          <w:tcPr>
            <w:tcW w:w="0" w:type="auto"/>
            <w:vAlign w:val="center"/>
          </w:tcPr>
          <w:p w14:paraId="27A1FFE2" w14:textId="71A6B1E9" w:rsidR="00945AE3" w:rsidRPr="00D13E2D" w:rsidRDefault="00945AE3"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96</w:t>
            </w:r>
          </w:p>
        </w:tc>
        <w:tc>
          <w:tcPr>
            <w:tcW w:w="0" w:type="auto"/>
            <w:vAlign w:val="center"/>
          </w:tcPr>
          <w:p w14:paraId="09C13CD2" w14:textId="1CA58FFF" w:rsidR="00945AE3" w:rsidRPr="00D13E2D" w:rsidRDefault="005811F5"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765</w:t>
            </w:r>
          </w:p>
        </w:tc>
        <w:tc>
          <w:tcPr>
            <w:tcW w:w="0" w:type="auto"/>
            <w:vAlign w:val="center"/>
          </w:tcPr>
          <w:p w14:paraId="3B8BB9CF" w14:textId="6788E4DF" w:rsidR="00945AE3" w:rsidRPr="006D306E"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D306E">
              <w:rPr>
                <w:rFonts w:cs="Arial"/>
                <w:sz w:val="18"/>
                <w:szCs w:val="18"/>
                <w:lang w:eastAsia="en-AU"/>
              </w:rPr>
              <w:t>Population 2+ years, median consumption</w:t>
            </w:r>
          </w:p>
        </w:tc>
      </w:tr>
      <w:tr w:rsidR="00945AE3" w:rsidRPr="005811F5" w14:paraId="68BEAE38" w14:textId="342E012B" w:rsidTr="007E557B">
        <w:trPr>
          <w:trHeight w:val="14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B4C404E" w14:textId="77777777" w:rsidR="00945AE3" w:rsidRPr="00D13E2D" w:rsidRDefault="00945AE3" w:rsidP="005C14B1">
            <w:pPr>
              <w:keepNext/>
              <w:spacing w:after="0" w:line="240" w:lineRule="auto"/>
              <w:contextualSpacing/>
              <w:rPr>
                <w:sz w:val="18"/>
                <w:lang w:eastAsia="en-AU"/>
              </w:rPr>
            </w:pPr>
          </w:p>
        </w:tc>
        <w:tc>
          <w:tcPr>
            <w:tcW w:w="0" w:type="auto"/>
            <w:vAlign w:val="center"/>
          </w:tcPr>
          <w:p w14:paraId="076962A5" w14:textId="19304177" w:rsidR="00945AE3" w:rsidRPr="00D13E2D"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Poultry eggs</w:t>
            </w:r>
          </w:p>
        </w:tc>
        <w:tc>
          <w:tcPr>
            <w:tcW w:w="0" w:type="auto"/>
            <w:vAlign w:val="center"/>
          </w:tcPr>
          <w:p w14:paraId="7A109204" w14:textId="6F43F547" w:rsidR="00945AE3" w:rsidRPr="00D13E2D" w:rsidRDefault="00945AE3"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11</w:t>
            </w:r>
          </w:p>
        </w:tc>
        <w:tc>
          <w:tcPr>
            <w:tcW w:w="0" w:type="auto"/>
            <w:vAlign w:val="center"/>
          </w:tcPr>
          <w:p w14:paraId="2DCD1FCB" w14:textId="018EF6BA" w:rsidR="00945AE3" w:rsidRPr="00D13E2D" w:rsidRDefault="00945AE3"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85</w:t>
            </w:r>
          </w:p>
        </w:tc>
        <w:tc>
          <w:tcPr>
            <w:tcW w:w="0" w:type="auto"/>
            <w:vAlign w:val="center"/>
          </w:tcPr>
          <w:p w14:paraId="34919CB3" w14:textId="45216930" w:rsidR="00945AE3" w:rsidRPr="006D306E" w:rsidRDefault="00945AE3"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D306E">
              <w:rPr>
                <w:rFonts w:cs="Arial"/>
                <w:sz w:val="18"/>
                <w:szCs w:val="18"/>
                <w:lang w:eastAsia="en-AU"/>
              </w:rPr>
              <w:t>Children 2-6 years, P90 consumption</w:t>
            </w:r>
          </w:p>
        </w:tc>
      </w:tr>
      <w:tr w:rsidR="00945AE3" w:rsidRPr="005811F5" w14:paraId="6D980580" w14:textId="77777777" w:rsidTr="007E557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E99A323" w14:textId="76A780C7" w:rsidR="00945AE3" w:rsidRPr="00D13E2D" w:rsidRDefault="00945AE3" w:rsidP="005C14B1">
            <w:pPr>
              <w:keepNext/>
              <w:spacing w:after="0" w:line="240" w:lineRule="auto"/>
              <w:contextualSpacing/>
              <w:rPr>
                <w:sz w:val="18"/>
                <w:lang w:eastAsia="en-AU"/>
              </w:rPr>
            </w:pPr>
            <w:r w:rsidRPr="00D13E2D">
              <w:rPr>
                <w:sz w:val="18"/>
                <w:lang w:eastAsia="en-AU"/>
              </w:rPr>
              <w:t>Fruit</w:t>
            </w:r>
            <w:r w:rsidR="005811F5" w:rsidRPr="00D13E2D">
              <w:rPr>
                <w:sz w:val="18"/>
                <w:lang w:eastAsia="en-AU"/>
              </w:rPr>
              <w:t>s</w:t>
            </w:r>
            <w:r w:rsidRPr="00D13E2D">
              <w:rPr>
                <w:sz w:val="18"/>
                <w:lang w:eastAsia="en-AU"/>
              </w:rPr>
              <w:t xml:space="preserve"> and vegetables</w:t>
            </w:r>
            <w:r w:rsidR="005811F5" w:rsidRPr="00D13E2D">
              <w:rPr>
                <w:sz w:val="18"/>
                <w:lang w:eastAsia="en-AU"/>
              </w:rPr>
              <w:t xml:space="preserve"> </w:t>
            </w:r>
          </w:p>
        </w:tc>
        <w:tc>
          <w:tcPr>
            <w:tcW w:w="0" w:type="auto"/>
            <w:vAlign w:val="center"/>
          </w:tcPr>
          <w:p w14:paraId="17145E0E" w14:textId="18757E16" w:rsidR="00945AE3" w:rsidRPr="00D13E2D"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rPr>
              <w:t>Fruit (all)</w:t>
            </w:r>
          </w:p>
        </w:tc>
        <w:tc>
          <w:tcPr>
            <w:tcW w:w="0" w:type="auto"/>
            <w:vAlign w:val="center"/>
          </w:tcPr>
          <w:p w14:paraId="03690333" w14:textId="6E72CE75" w:rsidR="00945AE3" w:rsidRPr="00D13E2D" w:rsidRDefault="00945AE3"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rPr>
              <w:t>0.6 or LOD if higher</w:t>
            </w:r>
          </w:p>
        </w:tc>
        <w:tc>
          <w:tcPr>
            <w:tcW w:w="0" w:type="auto"/>
            <w:vAlign w:val="center"/>
          </w:tcPr>
          <w:p w14:paraId="6EAC7345" w14:textId="4BCF5583" w:rsidR="00945AE3" w:rsidRPr="00D13E2D" w:rsidRDefault="00945AE3" w:rsidP="005C14B1">
            <w:pPr>
              <w:keepNext/>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lang w:eastAsia="en-AU"/>
              </w:rPr>
            </w:pPr>
            <w:r w:rsidRPr="00D13E2D">
              <w:rPr>
                <w:sz w:val="18"/>
                <w:lang w:eastAsia="en-AU"/>
              </w:rPr>
              <w:t>5.1</w:t>
            </w:r>
          </w:p>
        </w:tc>
        <w:tc>
          <w:tcPr>
            <w:tcW w:w="0" w:type="auto"/>
            <w:vAlign w:val="center"/>
          </w:tcPr>
          <w:p w14:paraId="68CF23A9" w14:textId="1FFC55FF" w:rsidR="00945AE3" w:rsidRPr="006D306E" w:rsidRDefault="00945AE3" w:rsidP="005C14B1">
            <w:pPr>
              <w:keepNext/>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D306E">
              <w:rPr>
                <w:rFonts w:cs="Arial"/>
                <w:sz w:val="18"/>
                <w:szCs w:val="18"/>
              </w:rPr>
              <w:t>Children 2-6 years, P90 consumption</w:t>
            </w:r>
          </w:p>
        </w:tc>
      </w:tr>
      <w:tr w:rsidR="005811F5" w:rsidRPr="005811F5" w14:paraId="48A807FE" w14:textId="77777777" w:rsidTr="007E557B">
        <w:trPr>
          <w:trHeight w:val="144"/>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BBDA372" w14:textId="77777777" w:rsidR="005811F5" w:rsidRPr="00D13E2D" w:rsidRDefault="005811F5" w:rsidP="005C14B1">
            <w:pPr>
              <w:keepNext/>
              <w:spacing w:after="0" w:line="240" w:lineRule="auto"/>
              <w:contextualSpacing/>
              <w:rPr>
                <w:sz w:val="18"/>
                <w:lang w:eastAsia="en-AU"/>
              </w:rPr>
            </w:pPr>
          </w:p>
        </w:tc>
        <w:tc>
          <w:tcPr>
            <w:tcW w:w="0" w:type="auto"/>
            <w:vAlign w:val="center"/>
          </w:tcPr>
          <w:p w14:paraId="0533F8C7" w14:textId="05B8FD2F" w:rsidR="005811F5" w:rsidRPr="00D13E2D" w:rsidRDefault="005811F5"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sz w:val="18"/>
              </w:rPr>
            </w:pPr>
            <w:r w:rsidRPr="00D13E2D">
              <w:rPr>
                <w:sz w:val="18"/>
                <w:lang w:eastAsia="en-AU"/>
              </w:rPr>
              <w:t>Vegetables (all)</w:t>
            </w:r>
          </w:p>
        </w:tc>
        <w:tc>
          <w:tcPr>
            <w:tcW w:w="0" w:type="auto"/>
            <w:vAlign w:val="center"/>
          </w:tcPr>
          <w:p w14:paraId="35DBA2C8" w14:textId="73F4E279" w:rsidR="005811F5" w:rsidRPr="00D13E2D" w:rsidRDefault="005811F5"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rPr>
            </w:pPr>
            <w:r w:rsidRPr="00D13E2D">
              <w:rPr>
                <w:sz w:val="18"/>
                <w:lang w:eastAsia="en-AU"/>
              </w:rPr>
              <w:t>1.1 or LOD if higher</w:t>
            </w:r>
          </w:p>
        </w:tc>
        <w:tc>
          <w:tcPr>
            <w:tcW w:w="0" w:type="auto"/>
            <w:vAlign w:val="center"/>
          </w:tcPr>
          <w:p w14:paraId="46009B97" w14:textId="11D0D083" w:rsidR="005811F5" w:rsidRPr="00D13E2D" w:rsidRDefault="005811F5" w:rsidP="005C14B1">
            <w:pPr>
              <w:keepNext/>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D13E2D">
              <w:rPr>
                <w:sz w:val="18"/>
                <w:lang w:eastAsia="en-AU"/>
              </w:rPr>
              <w:t>8.8</w:t>
            </w:r>
          </w:p>
        </w:tc>
        <w:tc>
          <w:tcPr>
            <w:tcW w:w="0" w:type="auto"/>
            <w:vAlign w:val="center"/>
          </w:tcPr>
          <w:p w14:paraId="205DC700" w14:textId="565548C2" w:rsidR="005811F5" w:rsidRPr="006D306E" w:rsidRDefault="005811F5" w:rsidP="005C14B1">
            <w:pPr>
              <w:keepNext/>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sidRPr="006D306E">
              <w:rPr>
                <w:rFonts w:cs="Arial"/>
                <w:sz w:val="18"/>
                <w:szCs w:val="18"/>
                <w:lang w:eastAsia="en-AU"/>
              </w:rPr>
              <w:t>Children 2-6 years, P90 consumption</w:t>
            </w:r>
          </w:p>
        </w:tc>
      </w:tr>
    </w:tbl>
    <w:p w14:paraId="51FC5D85" w14:textId="77777777" w:rsidR="00DB24C8" w:rsidRDefault="00B730EF" w:rsidP="003C3E3C">
      <w:pPr>
        <w:pStyle w:val="TableFoot"/>
      </w:pPr>
      <w:r w:rsidRPr="00C25E2C">
        <w:t>#</w:t>
      </w:r>
      <w:r w:rsidR="006D306E" w:rsidRPr="00C25E2C">
        <w:t>occasionally</w:t>
      </w:r>
      <w:r w:rsidRPr="00C25E2C">
        <w:t xml:space="preserve"> consumed food</w:t>
      </w:r>
      <w:r w:rsidR="006D306E" w:rsidRPr="00C25E2C">
        <w:t>,</w:t>
      </w:r>
      <w:r w:rsidR="00DB24C8">
        <w:t xml:space="preserve"> trigger points for investigation for crustaceans applied to molluscs due to small number of consumers of molluscs.</w:t>
      </w:r>
    </w:p>
    <w:p w14:paraId="13105B58" w14:textId="6A0B9413" w:rsidR="00B832C2" w:rsidRPr="00C25E2C" w:rsidRDefault="000537FB" w:rsidP="003C3E3C">
      <w:pPr>
        <w:pStyle w:val="TableFoot"/>
        <w:rPr>
          <w:rStyle w:val="Hyperlink"/>
          <w:color w:val="auto"/>
          <w:u w:val="none"/>
        </w:rPr>
      </w:pPr>
      <w:r w:rsidRPr="00C25E2C">
        <w:t>*</w:t>
      </w:r>
      <w:r w:rsidR="00216725" w:rsidRPr="00C25E2C">
        <w:t xml:space="preserve"> </w:t>
      </w:r>
      <w:r w:rsidR="006D306E" w:rsidRPr="00C25E2C">
        <w:t>no food consumption data available, s</w:t>
      </w:r>
      <w:r w:rsidRPr="00C25E2C">
        <w:t xml:space="preserve">ource: FSANZ report on Edith River, </w:t>
      </w:r>
      <w:r w:rsidR="00A43577" w:rsidRPr="00C25E2C">
        <w:t>N</w:t>
      </w:r>
      <w:r w:rsidRPr="00C25E2C">
        <w:t>orthern Territor</w:t>
      </w:r>
      <w:r w:rsidR="00A43577" w:rsidRPr="00C25E2C">
        <w:t>y</w:t>
      </w:r>
      <w:r w:rsidRPr="00C25E2C">
        <w:t xml:space="preserve"> 2013, </w:t>
      </w:r>
      <w:hyperlink r:id="rId19" w:history="1">
        <w:r w:rsidR="006D306E" w:rsidRPr="00C25E2C">
          <w:rPr>
            <w:rStyle w:val="Hyperlink"/>
            <w:color w:val="auto"/>
            <w:u w:val="none"/>
          </w:rPr>
          <w:t>https://dpir.nt.gov.au/__data/assets/pdf_file/0006/260187/TraceElementsNTFish.pdf</w:t>
        </w:r>
      </w:hyperlink>
    </w:p>
    <w:p w14:paraId="6EEC8504" w14:textId="77777777" w:rsidR="00D13E2D" w:rsidRDefault="00D13E2D">
      <w:pPr>
        <w:rPr>
          <w:rStyle w:val="Hyperlink"/>
          <w:sz w:val="18"/>
          <w:szCs w:val="18"/>
          <w:lang w:eastAsia="en-AU"/>
        </w:rPr>
      </w:pPr>
      <w:bookmarkStart w:id="156" w:name="_Toc474153273"/>
      <w:bookmarkStart w:id="157" w:name="_Toc474158953"/>
      <w:r>
        <w:rPr>
          <w:rStyle w:val="Hyperlink"/>
          <w:sz w:val="18"/>
          <w:szCs w:val="18"/>
          <w:lang w:eastAsia="en-AU"/>
        </w:rPr>
        <w:br w:type="page"/>
      </w:r>
    </w:p>
    <w:p w14:paraId="58E669E0" w14:textId="29FF755C" w:rsidR="00685988" w:rsidRDefault="0092155A" w:rsidP="00F45616">
      <w:pPr>
        <w:pStyle w:val="Heading1"/>
        <w:rPr>
          <w:lang w:eastAsia="en-AU"/>
        </w:rPr>
      </w:pPr>
      <w:bookmarkStart w:id="158" w:name="_Toc474847909"/>
      <w:bookmarkStart w:id="159" w:name="_Toc475360618"/>
      <w:r>
        <w:rPr>
          <w:lang w:eastAsia="en-AU"/>
        </w:rPr>
        <w:lastRenderedPageBreak/>
        <w:t>Conclusions</w:t>
      </w:r>
      <w:bookmarkEnd w:id="156"/>
      <w:bookmarkEnd w:id="157"/>
      <w:bookmarkEnd w:id="158"/>
      <w:bookmarkEnd w:id="159"/>
      <w:r w:rsidR="008048C8" w:rsidRPr="008048C8">
        <w:rPr>
          <w:lang w:eastAsia="en-AU"/>
        </w:rPr>
        <w:t xml:space="preserve"> </w:t>
      </w:r>
    </w:p>
    <w:p w14:paraId="3AE503C6" w14:textId="7766F2F4" w:rsidR="00685988" w:rsidRDefault="00685988" w:rsidP="00710BF4">
      <w:pPr>
        <w:pStyle w:val="ListParagraph"/>
        <w:numPr>
          <w:ilvl w:val="0"/>
          <w:numId w:val="10"/>
        </w:numPr>
        <w:rPr>
          <w:lang w:eastAsia="en-AU"/>
        </w:rPr>
      </w:pPr>
      <w:r>
        <w:rPr>
          <w:lang w:eastAsia="en-AU"/>
        </w:rPr>
        <w:t>There w</w:t>
      </w:r>
      <w:r w:rsidR="004E6731">
        <w:rPr>
          <w:lang w:eastAsia="en-AU"/>
        </w:rPr>
        <w:t>ere</w:t>
      </w:r>
      <w:r>
        <w:rPr>
          <w:lang w:eastAsia="en-AU"/>
        </w:rPr>
        <w:t xml:space="preserve"> very little data on the occurrence of </w:t>
      </w:r>
      <w:r w:rsidR="00EE6194" w:rsidRPr="00EE6194">
        <w:rPr>
          <w:lang w:eastAsia="en-AU"/>
        </w:rPr>
        <w:t xml:space="preserve">PFOS, PFOA and </w:t>
      </w:r>
      <w:proofErr w:type="spellStart"/>
      <w:r w:rsidR="00EE6194" w:rsidRPr="00EE6194">
        <w:rPr>
          <w:lang w:eastAsia="en-AU"/>
        </w:rPr>
        <w:t>PFHxS</w:t>
      </w:r>
      <w:proofErr w:type="spellEnd"/>
      <w:r>
        <w:rPr>
          <w:lang w:eastAsia="en-AU"/>
        </w:rPr>
        <w:t xml:space="preserve"> from the general food supply; therefore, it was not possible to </w:t>
      </w:r>
      <w:r w:rsidR="00204360">
        <w:rPr>
          <w:lang w:eastAsia="en-AU"/>
        </w:rPr>
        <w:t xml:space="preserve">estimate dietary </w:t>
      </w:r>
      <w:r>
        <w:rPr>
          <w:lang w:eastAsia="en-AU"/>
        </w:rPr>
        <w:t xml:space="preserve">exposure to </w:t>
      </w:r>
      <w:r w:rsidR="007059FE">
        <w:rPr>
          <w:lang w:eastAsia="en-AU"/>
        </w:rPr>
        <w:t>these chemicals</w:t>
      </w:r>
      <w:r>
        <w:rPr>
          <w:lang w:eastAsia="en-AU"/>
        </w:rPr>
        <w:t xml:space="preserve"> for the general Australian population. However, the limited data available from the </w:t>
      </w:r>
      <w:r w:rsidR="008D7CE5">
        <w:rPr>
          <w:lang w:eastAsia="en-AU"/>
        </w:rPr>
        <w:t>24</w:t>
      </w:r>
      <w:r w:rsidR="008D7CE5" w:rsidRPr="008D7CE5">
        <w:rPr>
          <w:vertAlign w:val="superscript"/>
          <w:lang w:eastAsia="en-AU"/>
        </w:rPr>
        <w:t>th</w:t>
      </w:r>
      <w:r w:rsidR="008D7CE5">
        <w:rPr>
          <w:lang w:eastAsia="en-AU"/>
        </w:rPr>
        <w:t xml:space="preserve"> </w:t>
      </w:r>
      <w:r>
        <w:rPr>
          <w:lang w:eastAsia="en-AU"/>
        </w:rPr>
        <w:t xml:space="preserve">ATDS and a review of the literature indicate that exposure to </w:t>
      </w:r>
      <w:r w:rsidR="00EE6194" w:rsidRPr="00EE6194">
        <w:rPr>
          <w:lang w:eastAsia="en-AU"/>
        </w:rPr>
        <w:t xml:space="preserve">PFOS, PFOA and </w:t>
      </w:r>
      <w:proofErr w:type="spellStart"/>
      <w:r w:rsidR="00EE6194" w:rsidRPr="00EE6194">
        <w:rPr>
          <w:lang w:eastAsia="en-AU"/>
        </w:rPr>
        <w:t>PFHxS</w:t>
      </w:r>
      <w:proofErr w:type="spellEnd"/>
      <w:r>
        <w:rPr>
          <w:lang w:eastAsia="en-AU"/>
        </w:rPr>
        <w:t xml:space="preserve"> from the general food supply is </w:t>
      </w:r>
      <w:r w:rsidR="00204360">
        <w:rPr>
          <w:lang w:eastAsia="en-AU"/>
        </w:rPr>
        <w:t xml:space="preserve">likely to be </w:t>
      </w:r>
      <w:r>
        <w:rPr>
          <w:lang w:eastAsia="en-AU"/>
        </w:rPr>
        <w:t>low.</w:t>
      </w:r>
    </w:p>
    <w:p w14:paraId="3B17E75D" w14:textId="469DC8EA" w:rsidR="00685988" w:rsidRDefault="00DC64F7" w:rsidP="00710BF4">
      <w:pPr>
        <w:pStyle w:val="ListParagraph"/>
        <w:numPr>
          <w:ilvl w:val="0"/>
          <w:numId w:val="10"/>
        </w:numPr>
        <w:rPr>
          <w:lang w:eastAsia="en-AU"/>
        </w:rPr>
      </w:pPr>
      <w:r>
        <w:rPr>
          <w:lang w:eastAsia="en-AU"/>
        </w:rPr>
        <w:t xml:space="preserve">Based on the limited occurrence data from foods from contaminated areas, </w:t>
      </w:r>
      <w:r w:rsidR="00C032D5">
        <w:rPr>
          <w:lang w:eastAsia="en-AU"/>
        </w:rPr>
        <w:t xml:space="preserve">mean and median concentrations were calculated. </w:t>
      </w:r>
      <w:r>
        <w:rPr>
          <w:lang w:eastAsia="en-AU"/>
        </w:rPr>
        <w:t xml:space="preserve">PFOS </w:t>
      </w:r>
      <w:r w:rsidR="00C032D5">
        <w:rPr>
          <w:lang w:eastAsia="en-AU"/>
        </w:rPr>
        <w:t xml:space="preserve">mean </w:t>
      </w:r>
      <w:r>
        <w:rPr>
          <w:lang w:eastAsia="en-AU"/>
        </w:rPr>
        <w:t xml:space="preserve">upper bound concentrations were reported to be highest for rabbit meat, finfish livers, mammalian offal and cattle meat. </w:t>
      </w:r>
      <w:r w:rsidR="00685988">
        <w:rPr>
          <w:lang w:eastAsia="en-AU"/>
        </w:rPr>
        <w:t xml:space="preserve">Similarly, median </w:t>
      </w:r>
      <w:r w:rsidR="00732609">
        <w:rPr>
          <w:lang w:eastAsia="en-AU"/>
        </w:rPr>
        <w:t xml:space="preserve">upper bound </w:t>
      </w:r>
      <w:r w:rsidR="00685988">
        <w:rPr>
          <w:lang w:eastAsia="en-AU"/>
        </w:rPr>
        <w:t>concentrations were highest for rabbit meat, finfish livers and cattle meat.</w:t>
      </w:r>
      <w:r w:rsidR="00BE5EBC">
        <w:rPr>
          <w:lang w:eastAsia="en-AU"/>
        </w:rPr>
        <w:t xml:space="preserve"> </w:t>
      </w:r>
    </w:p>
    <w:p w14:paraId="53F0F24D" w14:textId="2104A3FB" w:rsidR="00685988" w:rsidRDefault="00685988" w:rsidP="00710BF4">
      <w:pPr>
        <w:pStyle w:val="ListParagraph"/>
        <w:numPr>
          <w:ilvl w:val="0"/>
          <w:numId w:val="10"/>
        </w:numPr>
        <w:rPr>
          <w:lang w:eastAsia="en-AU"/>
        </w:rPr>
      </w:pPr>
      <w:r>
        <w:rPr>
          <w:lang w:eastAsia="en-AU"/>
        </w:rPr>
        <w:t xml:space="preserve">PFOA was reported at concentrations below reporting limits for most samples. Mean upper bound </w:t>
      </w:r>
      <w:r w:rsidR="006D710D">
        <w:rPr>
          <w:lang w:eastAsia="en-AU"/>
        </w:rPr>
        <w:t xml:space="preserve">concentrations </w:t>
      </w:r>
      <w:r>
        <w:rPr>
          <w:lang w:eastAsia="en-AU"/>
        </w:rPr>
        <w:t xml:space="preserve">for foods with detections were highest for molluscs and freshwater fish. </w:t>
      </w:r>
    </w:p>
    <w:p w14:paraId="50840120" w14:textId="795730F8" w:rsidR="00685988" w:rsidRDefault="000F313F" w:rsidP="00710BF4">
      <w:pPr>
        <w:pStyle w:val="ListParagraph"/>
        <w:numPr>
          <w:ilvl w:val="0"/>
          <w:numId w:val="10"/>
        </w:numPr>
        <w:rPr>
          <w:lang w:eastAsia="en-AU"/>
        </w:rPr>
      </w:pPr>
      <w:r>
        <w:rPr>
          <w:lang w:eastAsia="en-AU"/>
        </w:rPr>
        <w:t xml:space="preserve">There was less </w:t>
      </w:r>
      <w:proofErr w:type="spellStart"/>
      <w:r w:rsidR="00685988">
        <w:rPr>
          <w:lang w:eastAsia="en-AU"/>
        </w:rPr>
        <w:t>PFHxS</w:t>
      </w:r>
      <w:proofErr w:type="spellEnd"/>
      <w:r w:rsidR="00685988">
        <w:rPr>
          <w:lang w:eastAsia="en-AU"/>
        </w:rPr>
        <w:t xml:space="preserve"> </w:t>
      </w:r>
      <w:r w:rsidR="008D7CE5">
        <w:rPr>
          <w:lang w:eastAsia="en-AU"/>
        </w:rPr>
        <w:t xml:space="preserve">analytical </w:t>
      </w:r>
      <w:r>
        <w:rPr>
          <w:lang w:eastAsia="en-AU"/>
        </w:rPr>
        <w:t>data available</w:t>
      </w:r>
      <w:r w:rsidR="00685988">
        <w:rPr>
          <w:lang w:eastAsia="en-AU"/>
        </w:rPr>
        <w:t xml:space="preserve"> than </w:t>
      </w:r>
      <w:r w:rsidR="008D7CE5">
        <w:rPr>
          <w:lang w:eastAsia="en-AU"/>
        </w:rPr>
        <w:t>for</w:t>
      </w:r>
      <w:r w:rsidR="004B68B9">
        <w:rPr>
          <w:lang w:eastAsia="en-AU"/>
        </w:rPr>
        <w:t xml:space="preserve"> </w:t>
      </w:r>
      <w:r w:rsidR="008D7CE5">
        <w:rPr>
          <w:lang w:eastAsia="en-AU"/>
        </w:rPr>
        <w:t>PFOS and PFOA</w:t>
      </w:r>
      <w:r>
        <w:rPr>
          <w:lang w:eastAsia="en-AU"/>
        </w:rPr>
        <w:t>.</w:t>
      </w:r>
      <w:r w:rsidR="00685988">
        <w:rPr>
          <w:lang w:eastAsia="en-AU"/>
        </w:rPr>
        <w:t xml:space="preserve"> There were no detection</w:t>
      </w:r>
      <w:r w:rsidR="00204360">
        <w:rPr>
          <w:lang w:eastAsia="en-AU"/>
        </w:rPr>
        <w:t>s</w:t>
      </w:r>
      <w:r w:rsidR="00685988">
        <w:rPr>
          <w:lang w:eastAsia="en-AU"/>
        </w:rPr>
        <w:t xml:space="preserve"> for </w:t>
      </w:r>
      <w:proofErr w:type="spellStart"/>
      <w:r w:rsidR="00685988">
        <w:rPr>
          <w:lang w:eastAsia="en-AU"/>
        </w:rPr>
        <w:t>diadromous</w:t>
      </w:r>
      <w:proofErr w:type="spellEnd"/>
      <w:r w:rsidR="00685988">
        <w:rPr>
          <w:lang w:eastAsia="en-AU"/>
        </w:rPr>
        <w:t xml:space="preserve"> and marine fish, honey and offal and most fruit and vegetables. Mean upper bound concentrations were highest for cattle meat, eggs and crustaceans.</w:t>
      </w:r>
    </w:p>
    <w:p w14:paraId="66BA1901" w14:textId="4780C666" w:rsidR="00BE5EBC" w:rsidRDefault="00BE5EBC" w:rsidP="00710BF4">
      <w:pPr>
        <w:pStyle w:val="ListParagraph"/>
        <w:numPr>
          <w:ilvl w:val="0"/>
          <w:numId w:val="10"/>
        </w:numPr>
        <w:rPr>
          <w:lang w:eastAsia="en-AU"/>
        </w:rPr>
      </w:pPr>
      <w:r w:rsidRPr="0058250E">
        <w:rPr>
          <w:lang w:eastAsia="en-AU"/>
        </w:rPr>
        <w:t xml:space="preserve">It should be noted that concentrations of </w:t>
      </w:r>
      <w:r>
        <w:rPr>
          <w:lang w:eastAsia="en-AU"/>
        </w:rPr>
        <w:t>contaminants</w:t>
      </w:r>
      <w:r w:rsidRPr="0058250E">
        <w:rPr>
          <w:lang w:eastAsia="en-AU"/>
        </w:rPr>
        <w:t xml:space="preserve"> in mammalian meat were both measured directly and estimated from serum concentrations</w:t>
      </w:r>
      <w:r>
        <w:rPr>
          <w:lang w:eastAsia="en-AU"/>
        </w:rPr>
        <w:t xml:space="preserve"> using a conversion factor, creating uncertainty in the </w:t>
      </w:r>
      <w:r w:rsidR="00932005">
        <w:rPr>
          <w:lang w:eastAsia="en-AU"/>
        </w:rPr>
        <w:t>values of the</w:t>
      </w:r>
      <w:r w:rsidR="00075C0A">
        <w:rPr>
          <w:lang w:eastAsia="en-AU"/>
        </w:rPr>
        <w:t>se</w:t>
      </w:r>
      <w:r w:rsidR="00932005">
        <w:rPr>
          <w:lang w:eastAsia="en-AU"/>
        </w:rPr>
        <w:t xml:space="preserve"> </w:t>
      </w:r>
      <w:r>
        <w:rPr>
          <w:lang w:eastAsia="en-AU"/>
        </w:rPr>
        <w:t>occurrence data.</w:t>
      </w:r>
    </w:p>
    <w:p w14:paraId="02FDE24E" w14:textId="2817EB79" w:rsidR="00685988" w:rsidRDefault="000F313F" w:rsidP="00710BF4">
      <w:pPr>
        <w:pStyle w:val="ListParagraph"/>
        <w:numPr>
          <w:ilvl w:val="0"/>
          <w:numId w:val="10"/>
        </w:numPr>
        <w:rPr>
          <w:lang w:eastAsia="en-AU"/>
        </w:rPr>
      </w:pPr>
      <w:r>
        <w:rPr>
          <w:lang w:eastAsia="en-AU"/>
        </w:rPr>
        <w:t>Creating a dataset</w:t>
      </w:r>
      <w:r w:rsidR="002A427B" w:rsidRPr="002A427B">
        <w:rPr>
          <w:lang w:eastAsia="en-AU"/>
        </w:rPr>
        <w:t xml:space="preserve"> for the sum of PFOS </w:t>
      </w:r>
      <w:r w:rsidR="00BE5EBC">
        <w:rPr>
          <w:lang w:eastAsia="en-AU"/>
        </w:rPr>
        <w:t xml:space="preserve">+ </w:t>
      </w:r>
      <w:proofErr w:type="spellStart"/>
      <w:r w:rsidR="002A427B" w:rsidRPr="002A427B">
        <w:rPr>
          <w:lang w:eastAsia="en-AU"/>
        </w:rPr>
        <w:t>PFHxS</w:t>
      </w:r>
      <w:proofErr w:type="spellEnd"/>
      <w:r w:rsidR="002A427B" w:rsidRPr="002A427B">
        <w:rPr>
          <w:lang w:eastAsia="en-AU"/>
        </w:rPr>
        <w:t xml:space="preserve"> </w:t>
      </w:r>
      <w:r w:rsidR="00BE5EBC">
        <w:rPr>
          <w:lang w:eastAsia="en-AU"/>
        </w:rPr>
        <w:t xml:space="preserve">combined </w:t>
      </w:r>
      <w:r w:rsidR="00685988">
        <w:rPr>
          <w:lang w:eastAsia="en-AU"/>
        </w:rPr>
        <w:t>resulted in changed distributions of</w:t>
      </w:r>
      <w:r w:rsidR="002A427B">
        <w:rPr>
          <w:lang w:eastAsia="en-AU"/>
        </w:rPr>
        <w:t xml:space="preserve"> concentrations, in particular </w:t>
      </w:r>
      <w:r w:rsidR="00685988">
        <w:rPr>
          <w:lang w:eastAsia="en-AU"/>
        </w:rPr>
        <w:t>for c</w:t>
      </w:r>
      <w:r w:rsidR="002A427B">
        <w:rPr>
          <w:lang w:eastAsia="en-AU"/>
        </w:rPr>
        <w:t>rustaceans and fre</w:t>
      </w:r>
      <w:bookmarkStart w:id="160" w:name="_GoBack"/>
      <w:bookmarkEnd w:id="160"/>
      <w:r w:rsidR="002A427B">
        <w:rPr>
          <w:lang w:eastAsia="en-AU"/>
        </w:rPr>
        <w:t>shwater fish, marine fish and molluscs</w:t>
      </w:r>
      <w:r w:rsidR="00C52F02">
        <w:rPr>
          <w:lang w:eastAsia="en-AU"/>
        </w:rPr>
        <w:t xml:space="preserve"> as this </w:t>
      </w:r>
      <w:r w:rsidR="00732609">
        <w:rPr>
          <w:lang w:eastAsia="en-AU"/>
        </w:rPr>
        <w:t>information</w:t>
      </w:r>
      <w:r w:rsidR="00C52F02">
        <w:rPr>
          <w:lang w:eastAsia="en-AU"/>
        </w:rPr>
        <w:t xml:space="preserve"> was not </w:t>
      </w:r>
      <w:r w:rsidR="00732609">
        <w:rPr>
          <w:lang w:eastAsia="en-AU"/>
        </w:rPr>
        <w:t>available</w:t>
      </w:r>
      <w:r w:rsidR="00C52F02">
        <w:rPr>
          <w:lang w:eastAsia="en-AU"/>
        </w:rPr>
        <w:t xml:space="preserve"> for all samples where </w:t>
      </w:r>
      <w:r w:rsidR="00732609">
        <w:rPr>
          <w:lang w:eastAsia="en-AU"/>
        </w:rPr>
        <w:t>detections</w:t>
      </w:r>
      <w:r w:rsidR="00C52F02">
        <w:rPr>
          <w:lang w:eastAsia="en-AU"/>
        </w:rPr>
        <w:t xml:space="preserve"> of PFOS were reported</w:t>
      </w:r>
      <w:r w:rsidR="002A427B">
        <w:rPr>
          <w:lang w:eastAsia="en-AU"/>
        </w:rPr>
        <w:t xml:space="preserve">. </w:t>
      </w:r>
    </w:p>
    <w:p w14:paraId="5E14F8EF" w14:textId="5799AB75" w:rsidR="0018340C" w:rsidRDefault="0018340C" w:rsidP="00710BF4">
      <w:pPr>
        <w:pStyle w:val="ListParagraph"/>
        <w:numPr>
          <w:ilvl w:val="0"/>
          <w:numId w:val="10"/>
        </w:numPr>
        <w:rPr>
          <w:lang w:eastAsia="en-AU"/>
        </w:rPr>
      </w:pPr>
      <w:r>
        <w:rPr>
          <w:lang w:eastAsia="en-AU"/>
        </w:rPr>
        <w:t xml:space="preserve">As </w:t>
      </w:r>
      <w:r w:rsidRPr="0001223D">
        <w:rPr>
          <w:lang w:eastAsia="en-AU"/>
        </w:rPr>
        <w:t xml:space="preserve">occurrence data </w:t>
      </w:r>
      <w:r>
        <w:rPr>
          <w:lang w:eastAsia="en-AU"/>
        </w:rPr>
        <w:t>are</w:t>
      </w:r>
      <w:r w:rsidRPr="0001223D">
        <w:rPr>
          <w:lang w:eastAsia="en-AU"/>
        </w:rPr>
        <w:t xml:space="preserve"> a significant input into estimates</w:t>
      </w:r>
      <w:r>
        <w:rPr>
          <w:lang w:eastAsia="en-AU"/>
        </w:rPr>
        <w:t>,</w:t>
      </w:r>
      <w:r w:rsidRPr="0001223D">
        <w:rPr>
          <w:lang w:eastAsia="en-AU"/>
        </w:rPr>
        <w:t xml:space="preserve"> </w:t>
      </w:r>
      <w:r w:rsidR="00932005">
        <w:rPr>
          <w:lang w:eastAsia="en-AU"/>
        </w:rPr>
        <w:t xml:space="preserve">their quality </w:t>
      </w:r>
      <w:r w:rsidRPr="0001223D">
        <w:rPr>
          <w:lang w:eastAsia="en-AU"/>
        </w:rPr>
        <w:t>is a major source of uncertainty in this assessment.</w:t>
      </w:r>
      <w:r w:rsidRPr="0001223D">
        <w:t xml:space="preserve"> </w:t>
      </w:r>
      <w:r>
        <w:t>T</w:t>
      </w:r>
      <w:r w:rsidRPr="0001223D">
        <w:rPr>
          <w:lang w:eastAsia="en-AU"/>
        </w:rPr>
        <w:t xml:space="preserve">he overall uncertainty in the model estimations </w:t>
      </w:r>
      <w:r>
        <w:rPr>
          <w:lang w:eastAsia="en-AU"/>
        </w:rPr>
        <w:t xml:space="preserve">due to the quality of the occurrence data is </w:t>
      </w:r>
      <w:r w:rsidRPr="0001223D">
        <w:rPr>
          <w:lang w:eastAsia="en-AU"/>
        </w:rPr>
        <w:t xml:space="preserve">considered to </w:t>
      </w:r>
      <w:r>
        <w:rPr>
          <w:lang w:eastAsia="en-AU"/>
        </w:rPr>
        <w:t xml:space="preserve">be </w:t>
      </w:r>
      <w:r w:rsidRPr="0001223D">
        <w:rPr>
          <w:lang w:eastAsia="en-AU"/>
        </w:rPr>
        <w:t>high.</w:t>
      </w:r>
      <w:r>
        <w:rPr>
          <w:lang w:eastAsia="en-AU"/>
        </w:rPr>
        <w:t xml:space="preserve"> The use of the upper bound median levels in calculations to determine the amount of contaminated food that can be consumed at reported concentration levels is very conservative as a high proportion of results for PFOS, PFOA and </w:t>
      </w:r>
      <w:proofErr w:type="spellStart"/>
      <w:r>
        <w:rPr>
          <w:lang w:eastAsia="en-AU"/>
        </w:rPr>
        <w:t>PFHxS</w:t>
      </w:r>
      <w:proofErr w:type="spellEnd"/>
      <w:r>
        <w:rPr>
          <w:lang w:eastAsia="en-AU"/>
        </w:rPr>
        <w:t xml:space="preserve"> were non-detects.</w:t>
      </w:r>
    </w:p>
    <w:p w14:paraId="7604E407" w14:textId="41BEE897" w:rsidR="00F45616" w:rsidRDefault="002A427B" w:rsidP="00710BF4">
      <w:pPr>
        <w:pStyle w:val="ListParagraph"/>
        <w:numPr>
          <w:ilvl w:val="0"/>
          <w:numId w:val="10"/>
        </w:numPr>
        <w:rPr>
          <w:lang w:eastAsia="en-AU"/>
        </w:rPr>
      </w:pPr>
      <w:r w:rsidRPr="002A427B">
        <w:rPr>
          <w:lang w:eastAsia="en-AU"/>
        </w:rPr>
        <w:t xml:space="preserve">For </w:t>
      </w:r>
      <w:r w:rsidR="00732609">
        <w:rPr>
          <w:lang w:eastAsia="en-AU"/>
        </w:rPr>
        <w:t xml:space="preserve">PFOS and PFOS + </w:t>
      </w:r>
      <w:proofErr w:type="spellStart"/>
      <w:r w:rsidR="00732609">
        <w:rPr>
          <w:lang w:eastAsia="en-AU"/>
        </w:rPr>
        <w:t>PFHxS</w:t>
      </w:r>
      <w:proofErr w:type="spellEnd"/>
      <w:r w:rsidR="00732609">
        <w:rPr>
          <w:lang w:eastAsia="en-AU"/>
        </w:rPr>
        <w:t xml:space="preserve"> combined</w:t>
      </w:r>
      <w:r w:rsidRPr="002A427B">
        <w:rPr>
          <w:lang w:eastAsia="en-AU"/>
        </w:rPr>
        <w:t>, there was a range of food groups where the amount of food that could be cons</w:t>
      </w:r>
      <w:r>
        <w:rPr>
          <w:lang w:eastAsia="en-AU"/>
        </w:rPr>
        <w:t>umed before the TDI was reached</w:t>
      </w:r>
      <w:r w:rsidRPr="002A427B">
        <w:rPr>
          <w:lang w:eastAsia="en-AU"/>
        </w:rPr>
        <w:t xml:space="preserve"> was less than the </w:t>
      </w:r>
      <w:r w:rsidR="00C52F02">
        <w:rPr>
          <w:lang w:eastAsia="en-AU"/>
        </w:rPr>
        <w:t>high consumption (</w:t>
      </w:r>
      <w:r w:rsidRPr="002A427B">
        <w:rPr>
          <w:lang w:eastAsia="en-AU"/>
        </w:rPr>
        <w:t>90</w:t>
      </w:r>
      <w:r w:rsidRPr="002A427B">
        <w:rPr>
          <w:vertAlign w:val="superscript"/>
          <w:lang w:eastAsia="en-AU"/>
        </w:rPr>
        <w:t>th</w:t>
      </w:r>
      <w:r w:rsidRPr="002A427B">
        <w:rPr>
          <w:lang w:eastAsia="en-AU"/>
        </w:rPr>
        <w:t xml:space="preserve"> percentile</w:t>
      </w:r>
      <w:r w:rsidR="00C52F02">
        <w:rPr>
          <w:lang w:eastAsia="en-AU"/>
        </w:rPr>
        <w:t>)</w:t>
      </w:r>
      <w:r w:rsidRPr="002A427B">
        <w:rPr>
          <w:lang w:eastAsia="en-AU"/>
        </w:rPr>
        <w:t xml:space="preserve"> or me</w:t>
      </w:r>
      <w:r w:rsidR="00732609">
        <w:rPr>
          <w:lang w:eastAsia="en-AU"/>
        </w:rPr>
        <w:t>an</w:t>
      </w:r>
      <w:r w:rsidRPr="002A427B">
        <w:rPr>
          <w:lang w:eastAsia="en-AU"/>
        </w:rPr>
        <w:t xml:space="preserve"> food consumption </w:t>
      </w:r>
      <w:r w:rsidR="00C52F02" w:rsidRPr="002A427B">
        <w:rPr>
          <w:lang w:eastAsia="en-AU"/>
        </w:rPr>
        <w:t>amounts</w:t>
      </w:r>
      <w:r w:rsidRPr="002A427B">
        <w:rPr>
          <w:lang w:eastAsia="en-AU"/>
        </w:rPr>
        <w:t xml:space="preserve"> for the whole population amounts derived from the </w:t>
      </w:r>
      <w:r w:rsidR="00075C0A">
        <w:rPr>
          <w:lang w:eastAsia="en-AU"/>
        </w:rPr>
        <w:t xml:space="preserve">latest nutrition survey, the </w:t>
      </w:r>
      <w:r w:rsidRPr="002A427B">
        <w:rPr>
          <w:lang w:eastAsia="en-AU"/>
        </w:rPr>
        <w:t>2011-12 NNPAS.</w:t>
      </w:r>
    </w:p>
    <w:p w14:paraId="6F26258F" w14:textId="05CA75FE" w:rsidR="00F45616" w:rsidRDefault="002A427B" w:rsidP="0058250E">
      <w:pPr>
        <w:pStyle w:val="ListParagraph"/>
        <w:numPr>
          <w:ilvl w:val="0"/>
          <w:numId w:val="10"/>
        </w:numPr>
        <w:rPr>
          <w:lang w:eastAsia="en-AU"/>
        </w:rPr>
      </w:pPr>
      <w:r>
        <w:rPr>
          <w:lang w:eastAsia="en-AU"/>
        </w:rPr>
        <w:t xml:space="preserve">For PFOS exposure in the whole population, the amounts of cattle meat, rabbit meat, milk and offal </w:t>
      </w:r>
      <w:r w:rsidR="00732609">
        <w:rPr>
          <w:lang w:eastAsia="en-AU"/>
        </w:rPr>
        <w:t xml:space="preserve">that can be </w:t>
      </w:r>
      <w:r>
        <w:rPr>
          <w:lang w:eastAsia="en-AU"/>
        </w:rPr>
        <w:t xml:space="preserve">consumed before the TDI </w:t>
      </w:r>
      <w:r w:rsidR="00732609">
        <w:rPr>
          <w:lang w:eastAsia="en-AU"/>
        </w:rPr>
        <w:t>was</w:t>
      </w:r>
      <w:r>
        <w:rPr>
          <w:lang w:eastAsia="en-AU"/>
        </w:rPr>
        <w:t xml:space="preserve"> reached </w:t>
      </w:r>
      <w:r w:rsidR="00732609">
        <w:rPr>
          <w:lang w:eastAsia="en-AU"/>
        </w:rPr>
        <w:t>were</w:t>
      </w:r>
      <w:r>
        <w:rPr>
          <w:lang w:eastAsia="en-AU"/>
        </w:rPr>
        <w:t xml:space="preserve"> less than the mean consumption amounts of these foods</w:t>
      </w:r>
      <w:r w:rsidR="0058250E">
        <w:rPr>
          <w:lang w:eastAsia="en-AU"/>
        </w:rPr>
        <w:t>.</w:t>
      </w:r>
      <w:r w:rsidR="0058250E" w:rsidRPr="0058250E">
        <w:rPr>
          <w:lang w:eastAsia="en-AU"/>
        </w:rPr>
        <w:t xml:space="preserve"> </w:t>
      </w:r>
      <w:r>
        <w:rPr>
          <w:lang w:eastAsia="en-AU"/>
        </w:rPr>
        <w:t xml:space="preserve">For children aged 2-6 years </w:t>
      </w:r>
      <w:r w:rsidR="00732609">
        <w:rPr>
          <w:lang w:eastAsia="en-AU"/>
        </w:rPr>
        <w:t xml:space="preserve">this </w:t>
      </w:r>
      <w:r>
        <w:rPr>
          <w:lang w:eastAsia="en-AU"/>
        </w:rPr>
        <w:t>applie</w:t>
      </w:r>
      <w:r w:rsidR="00732609">
        <w:rPr>
          <w:lang w:eastAsia="en-AU"/>
        </w:rPr>
        <w:t>d</w:t>
      </w:r>
      <w:r>
        <w:rPr>
          <w:lang w:eastAsia="en-AU"/>
        </w:rPr>
        <w:t xml:space="preserve"> to cattle meat and milk and </w:t>
      </w:r>
      <w:r w:rsidR="00F45616">
        <w:rPr>
          <w:lang w:eastAsia="en-AU"/>
        </w:rPr>
        <w:t>i</w:t>
      </w:r>
      <w:r>
        <w:rPr>
          <w:lang w:eastAsia="en-AU"/>
        </w:rPr>
        <w:t xml:space="preserve">n addition, at the upper bound </w:t>
      </w:r>
      <w:r w:rsidR="00732609">
        <w:rPr>
          <w:lang w:eastAsia="en-AU"/>
        </w:rPr>
        <w:t>to</w:t>
      </w:r>
      <w:r>
        <w:rPr>
          <w:lang w:eastAsia="en-AU"/>
        </w:rPr>
        <w:t xml:space="preserve"> </w:t>
      </w:r>
      <w:r w:rsidR="00075C0A">
        <w:rPr>
          <w:lang w:eastAsia="en-AU"/>
        </w:rPr>
        <w:t xml:space="preserve">citrus and </w:t>
      </w:r>
      <w:r>
        <w:rPr>
          <w:lang w:eastAsia="en-AU"/>
        </w:rPr>
        <w:t>some vegetables</w:t>
      </w:r>
      <w:r w:rsidR="00732609">
        <w:rPr>
          <w:lang w:eastAsia="en-AU"/>
        </w:rPr>
        <w:t>.</w:t>
      </w:r>
      <w:r>
        <w:rPr>
          <w:lang w:eastAsia="en-AU"/>
        </w:rPr>
        <w:t xml:space="preserve"> </w:t>
      </w:r>
    </w:p>
    <w:p w14:paraId="3EA8505D" w14:textId="4F02C30D" w:rsidR="002A427B" w:rsidRDefault="002A427B" w:rsidP="00710BF4">
      <w:pPr>
        <w:pStyle w:val="ListParagraph"/>
        <w:numPr>
          <w:ilvl w:val="0"/>
          <w:numId w:val="10"/>
        </w:numPr>
        <w:rPr>
          <w:lang w:eastAsia="en-AU"/>
        </w:rPr>
      </w:pPr>
      <w:r>
        <w:rPr>
          <w:lang w:eastAsia="en-AU"/>
        </w:rPr>
        <w:t>For PFOS</w:t>
      </w:r>
      <w:r w:rsidR="00462EE0">
        <w:rPr>
          <w:lang w:eastAsia="en-AU"/>
        </w:rPr>
        <w:t xml:space="preserve"> </w:t>
      </w:r>
      <w:r>
        <w:rPr>
          <w:lang w:eastAsia="en-AU"/>
        </w:rPr>
        <w:t>+</w:t>
      </w:r>
      <w:r w:rsidR="00462EE0">
        <w:rPr>
          <w:lang w:eastAsia="en-AU"/>
        </w:rPr>
        <w:t xml:space="preserve"> </w:t>
      </w:r>
      <w:proofErr w:type="spellStart"/>
      <w:r>
        <w:rPr>
          <w:lang w:eastAsia="en-AU"/>
        </w:rPr>
        <w:t>PFHxS</w:t>
      </w:r>
      <w:proofErr w:type="spellEnd"/>
      <w:r w:rsidR="00F45616">
        <w:rPr>
          <w:lang w:eastAsia="en-AU"/>
        </w:rPr>
        <w:t xml:space="preserve"> combined</w:t>
      </w:r>
      <w:r>
        <w:rPr>
          <w:lang w:eastAsia="en-AU"/>
        </w:rPr>
        <w:t xml:space="preserve">, additional food groups </w:t>
      </w:r>
      <w:r w:rsidR="002816C1">
        <w:rPr>
          <w:lang w:eastAsia="en-AU"/>
        </w:rPr>
        <w:t xml:space="preserve">were </w:t>
      </w:r>
      <w:r>
        <w:rPr>
          <w:lang w:eastAsia="en-AU"/>
        </w:rPr>
        <w:t xml:space="preserve">identified as having amounts of food that could be consumed before the TDI was reached </w:t>
      </w:r>
      <w:r w:rsidR="00732609">
        <w:rPr>
          <w:lang w:eastAsia="en-AU"/>
        </w:rPr>
        <w:t>that were lower than the</w:t>
      </w:r>
      <w:r>
        <w:rPr>
          <w:lang w:eastAsia="en-AU"/>
        </w:rPr>
        <w:t xml:space="preserve"> 90</w:t>
      </w:r>
      <w:r w:rsidRPr="00F45616">
        <w:rPr>
          <w:vertAlign w:val="superscript"/>
          <w:lang w:eastAsia="en-AU"/>
        </w:rPr>
        <w:t>th</w:t>
      </w:r>
      <w:r>
        <w:rPr>
          <w:lang w:eastAsia="en-AU"/>
        </w:rPr>
        <w:t xml:space="preserve"> percentile </w:t>
      </w:r>
      <w:r w:rsidR="00F73092">
        <w:rPr>
          <w:lang w:eastAsia="en-AU"/>
        </w:rPr>
        <w:t>or</w:t>
      </w:r>
      <w:r>
        <w:rPr>
          <w:lang w:eastAsia="en-AU"/>
        </w:rPr>
        <w:t xml:space="preserve"> mean cons</w:t>
      </w:r>
      <w:r w:rsidR="00F45616">
        <w:rPr>
          <w:lang w:eastAsia="en-AU"/>
        </w:rPr>
        <w:t>umption amounts of those foods.</w:t>
      </w:r>
    </w:p>
    <w:p w14:paraId="34CD589D" w14:textId="2DD1A89F" w:rsidR="00995ABE" w:rsidRDefault="00F45616" w:rsidP="00732609">
      <w:pPr>
        <w:pStyle w:val="ListParagraph"/>
        <w:numPr>
          <w:ilvl w:val="0"/>
          <w:numId w:val="10"/>
        </w:numPr>
        <w:rPr>
          <w:lang w:eastAsia="en-AU"/>
        </w:rPr>
      </w:pPr>
      <w:r>
        <w:rPr>
          <w:lang w:eastAsia="en-AU"/>
        </w:rPr>
        <w:t>PFOA has a higher TDI</w:t>
      </w:r>
      <w:r w:rsidRPr="00F45616">
        <w:rPr>
          <w:lang w:eastAsia="en-AU"/>
        </w:rPr>
        <w:t xml:space="preserve"> than </w:t>
      </w:r>
      <w:r w:rsidR="008D7CE5">
        <w:rPr>
          <w:lang w:eastAsia="en-AU"/>
        </w:rPr>
        <w:t>PFOS</w:t>
      </w:r>
      <w:r w:rsidRPr="00F45616">
        <w:rPr>
          <w:lang w:eastAsia="en-AU"/>
        </w:rPr>
        <w:t xml:space="preserve">. Consequently, the amount of each 'contaminated site' food that could be consumed before the TDI was reached </w:t>
      </w:r>
      <w:r w:rsidR="007C4D74">
        <w:rPr>
          <w:lang w:eastAsia="en-AU"/>
        </w:rPr>
        <w:t>is much higher than the</w:t>
      </w:r>
      <w:r w:rsidRPr="00F45616">
        <w:rPr>
          <w:lang w:eastAsia="en-AU"/>
        </w:rPr>
        <w:t xml:space="preserve"> 9</w:t>
      </w:r>
      <w:r w:rsidR="00462EE0">
        <w:rPr>
          <w:lang w:eastAsia="en-AU"/>
        </w:rPr>
        <w:t>0</w:t>
      </w:r>
      <w:r w:rsidRPr="00995ABE">
        <w:rPr>
          <w:vertAlign w:val="superscript"/>
          <w:lang w:eastAsia="en-AU"/>
        </w:rPr>
        <w:t>t</w:t>
      </w:r>
      <w:r w:rsidRPr="00F45616">
        <w:rPr>
          <w:vertAlign w:val="superscript"/>
          <w:lang w:eastAsia="en-AU"/>
        </w:rPr>
        <w:t>h</w:t>
      </w:r>
      <w:r w:rsidRPr="00F45616">
        <w:rPr>
          <w:lang w:eastAsia="en-AU"/>
        </w:rPr>
        <w:t xml:space="preserve"> percentile </w:t>
      </w:r>
      <w:r w:rsidR="007C4D74">
        <w:rPr>
          <w:lang w:eastAsia="en-AU"/>
        </w:rPr>
        <w:t xml:space="preserve">usual </w:t>
      </w:r>
      <w:r w:rsidRPr="00F45616">
        <w:rPr>
          <w:lang w:eastAsia="en-AU"/>
        </w:rPr>
        <w:t xml:space="preserve">food consumption amounts for all food groups </w:t>
      </w:r>
      <w:r>
        <w:rPr>
          <w:lang w:eastAsia="en-AU"/>
        </w:rPr>
        <w:t>and populations.</w:t>
      </w:r>
    </w:p>
    <w:p w14:paraId="01D410D3" w14:textId="44CD4CA9" w:rsidR="002816C1" w:rsidRDefault="002816C1" w:rsidP="00732609">
      <w:pPr>
        <w:pStyle w:val="ListParagraph"/>
        <w:numPr>
          <w:ilvl w:val="0"/>
          <w:numId w:val="10"/>
        </w:numPr>
        <w:rPr>
          <w:lang w:eastAsia="en-AU"/>
        </w:rPr>
      </w:pPr>
      <w:r>
        <w:t>It is considered extremely unlikely that food consumption of a specific food group over a period would all be from food sourced locally near a contaminated site.</w:t>
      </w:r>
      <w:r w:rsidR="00732609">
        <w:t xml:space="preserve"> This is particularly </w:t>
      </w:r>
      <w:r w:rsidR="00732609">
        <w:lastRenderedPageBreak/>
        <w:t>true for milk and milk products where milk is not normally sourced from one animal but is collected from many animals and several sources, mixed and homogenised and then distributed through retail outlets.</w:t>
      </w:r>
    </w:p>
    <w:p w14:paraId="374434EA" w14:textId="1DCBAA5B" w:rsidR="00685988" w:rsidRDefault="00026CA0" w:rsidP="00710BF4">
      <w:pPr>
        <w:pStyle w:val="ListParagraph"/>
        <w:numPr>
          <w:ilvl w:val="0"/>
          <w:numId w:val="10"/>
        </w:numPr>
        <w:rPr>
          <w:lang w:eastAsia="en-AU"/>
        </w:rPr>
      </w:pPr>
      <w:r>
        <w:rPr>
          <w:lang w:eastAsia="en-AU"/>
        </w:rPr>
        <w:t>P</w:t>
      </w:r>
      <w:r w:rsidR="00BB3D1A">
        <w:rPr>
          <w:lang w:eastAsia="en-AU"/>
        </w:rPr>
        <w:t xml:space="preserve">roposed </w:t>
      </w:r>
      <w:r w:rsidR="009626AB">
        <w:rPr>
          <w:lang w:eastAsia="en-AU"/>
        </w:rPr>
        <w:t>trigger points for investigation</w:t>
      </w:r>
      <w:r w:rsidR="00F45616" w:rsidRPr="00F45616">
        <w:rPr>
          <w:lang w:eastAsia="en-AU"/>
        </w:rPr>
        <w:t xml:space="preserve"> </w:t>
      </w:r>
      <w:r>
        <w:rPr>
          <w:lang w:eastAsia="en-AU"/>
        </w:rPr>
        <w:t xml:space="preserve">for </w:t>
      </w:r>
      <w:r w:rsidRPr="00F45616">
        <w:rPr>
          <w:lang w:eastAsia="en-AU"/>
        </w:rPr>
        <w:t>PFOS</w:t>
      </w:r>
      <w:r>
        <w:rPr>
          <w:lang w:eastAsia="en-AU"/>
        </w:rPr>
        <w:t xml:space="preserve"> </w:t>
      </w:r>
      <w:r w:rsidRPr="00F45616">
        <w:rPr>
          <w:lang w:eastAsia="en-AU"/>
        </w:rPr>
        <w:t>+</w:t>
      </w:r>
      <w:r>
        <w:rPr>
          <w:lang w:eastAsia="en-AU"/>
        </w:rPr>
        <w:t xml:space="preserve"> </w:t>
      </w:r>
      <w:proofErr w:type="spellStart"/>
      <w:r w:rsidRPr="00F45616">
        <w:rPr>
          <w:lang w:eastAsia="en-AU"/>
        </w:rPr>
        <w:t>PFHxS</w:t>
      </w:r>
      <w:proofErr w:type="spellEnd"/>
      <w:r w:rsidRPr="00F45616">
        <w:rPr>
          <w:lang w:eastAsia="en-AU"/>
        </w:rPr>
        <w:t xml:space="preserve"> combined </w:t>
      </w:r>
      <w:r w:rsidR="00F45616" w:rsidRPr="00F45616">
        <w:rPr>
          <w:lang w:eastAsia="en-AU"/>
        </w:rPr>
        <w:t xml:space="preserve">are lowest for milk (0.4 µg/kg). </w:t>
      </w:r>
      <w:r w:rsidR="00BB3D1A">
        <w:rPr>
          <w:lang w:eastAsia="en-AU"/>
        </w:rPr>
        <w:t>Proposed t</w:t>
      </w:r>
      <w:r w:rsidR="009626AB">
        <w:rPr>
          <w:lang w:eastAsia="en-AU"/>
        </w:rPr>
        <w:t>rigger points for investigation</w:t>
      </w:r>
      <w:r w:rsidR="009626AB" w:rsidRPr="00F45616" w:rsidDel="009626AB">
        <w:rPr>
          <w:lang w:eastAsia="en-AU"/>
        </w:rPr>
        <w:t xml:space="preserve"> </w:t>
      </w:r>
      <w:r w:rsidR="00F45616" w:rsidRPr="00F45616">
        <w:rPr>
          <w:lang w:eastAsia="en-AU"/>
        </w:rPr>
        <w:t>are lower for fruit and vegetables (0.6 and 1.1</w:t>
      </w:r>
      <w:r w:rsidR="002816C1">
        <w:rPr>
          <w:lang w:eastAsia="en-AU"/>
        </w:rPr>
        <w:t> </w:t>
      </w:r>
      <w:r w:rsidR="00F45616" w:rsidRPr="00F45616">
        <w:rPr>
          <w:lang w:eastAsia="en-AU"/>
        </w:rPr>
        <w:t>µg/kg res</w:t>
      </w:r>
      <w:r w:rsidR="00B42527">
        <w:rPr>
          <w:lang w:eastAsia="en-AU"/>
        </w:rPr>
        <w:t>pectively) than for finfish (5.2</w:t>
      </w:r>
      <w:r w:rsidR="00F45616" w:rsidRPr="00F45616">
        <w:rPr>
          <w:lang w:eastAsia="en-AU"/>
        </w:rPr>
        <w:t xml:space="preserve"> µg/kg), mammalian meat (3.5 µg/kg) and eggs (11</w:t>
      </w:r>
      <w:r w:rsidR="008D7CE5">
        <w:rPr>
          <w:lang w:eastAsia="en-AU"/>
        </w:rPr>
        <w:t> </w:t>
      </w:r>
      <w:r w:rsidR="00F45616" w:rsidRPr="00F45616">
        <w:rPr>
          <w:lang w:eastAsia="en-AU"/>
        </w:rPr>
        <w:t xml:space="preserve">µg/kg). </w:t>
      </w:r>
      <w:r w:rsidR="009626AB">
        <w:rPr>
          <w:lang w:eastAsia="en-AU"/>
        </w:rPr>
        <w:t>Trigger points for investigation</w:t>
      </w:r>
      <w:r w:rsidR="00F45616" w:rsidRPr="00F45616">
        <w:rPr>
          <w:lang w:eastAsia="en-AU"/>
        </w:rPr>
        <w:t xml:space="preserve"> for other seafood, honey and offal are substantially higher than those proposed for other commodities.</w:t>
      </w:r>
    </w:p>
    <w:p w14:paraId="66ADF60A" w14:textId="3522941A" w:rsidR="00F45616" w:rsidRDefault="00F45616" w:rsidP="00710BF4">
      <w:pPr>
        <w:pStyle w:val="ListParagraph"/>
        <w:numPr>
          <w:ilvl w:val="0"/>
          <w:numId w:val="10"/>
        </w:numPr>
        <w:rPr>
          <w:lang w:eastAsia="en-AU"/>
        </w:rPr>
      </w:pPr>
      <w:r w:rsidRPr="00F45616">
        <w:rPr>
          <w:lang w:eastAsia="en-AU"/>
        </w:rPr>
        <w:t>In most commodities</w:t>
      </w:r>
      <w:r>
        <w:rPr>
          <w:lang w:eastAsia="en-AU"/>
        </w:rPr>
        <w:t>,</w:t>
      </w:r>
      <w:r w:rsidRPr="00F45616">
        <w:rPr>
          <w:lang w:eastAsia="en-AU"/>
        </w:rPr>
        <w:t xml:space="preserve"> </w:t>
      </w:r>
      <w:r w:rsidR="00BB3D1A">
        <w:rPr>
          <w:lang w:eastAsia="en-AU"/>
        </w:rPr>
        <w:t xml:space="preserve">proposed </w:t>
      </w:r>
      <w:r w:rsidR="009626AB">
        <w:rPr>
          <w:lang w:eastAsia="en-AU"/>
        </w:rPr>
        <w:t>trigger points for investigation</w:t>
      </w:r>
      <w:r w:rsidR="009626AB" w:rsidRPr="00F45616" w:rsidDel="009626AB">
        <w:rPr>
          <w:lang w:eastAsia="en-AU"/>
        </w:rPr>
        <w:t xml:space="preserve"> </w:t>
      </w:r>
      <w:r w:rsidR="00BB3D1A">
        <w:rPr>
          <w:lang w:eastAsia="en-AU"/>
        </w:rPr>
        <w:t xml:space="preserve">for </w:t>
      </w:r>
      <w:r w:rsidR="00BB3D1A" w:rsidRPr="00F45616">
        <w:rPr>
          <w:lang w:eastAsia="en-AU"/>
        </w:rPr>
        <w:t xml:space="preserve">PFOA </w:t>
      </w:r>
      <w:proofErr w:type="gramStart"/>
      <w:r w:rsidRPr="00F45616">
        <w:rPr>
          <w:lang w:eastAsia="en-AU"/>
        </w:rPr>
        <w:t xml:space="preserve">are </w:t>
      </w:r>
      <w:r w:rsidR="00462EE0">
        <w:rPr>
          <w:lang w:eastAsia="en-AU"/>
        </w:rPr>
        <w:t xml:space="preserve">an </w:t>
      </w:r>
      <w:r w:rsidRPr="00F45616">
        <w:rPr>
          <w:lang w:eastAsia="en-AU"/>
        </w:rPr>
        <w:t>order</w:t>
      </w:r>
      <w:proofErr w:type="gramEnd"/>
      <w:r w:rsidRPr="00F45616">
        <w:rPr>
          <w:lang w:eastAsia="en-AU"/>
        </w:rPr>
        <w:t xml:space="preserve"> of magnitude higher than those for PFOS. Like PFOS, levels are lowest in fruit and vegetables, finfish and meat.</w:t>
      </w:r>
    </w:p>
    <w:p w14:paraId="6F138A43" w14:textId="72E3315E" w:rsidR="00F45616" w:rsidRDefault="00F45616" w:rsidP="00F45616">
      <w:pPr>
        <w:rPr>
          <w:lang w:eastAsia="en-AU"/>
        </w:rPr>
      </w:pPr>
      <w:r>
        <w:rPr>
          <w:lang w:eastAsia="en-AU"/>
        </w:rPr>
        <w:br w:type="page"/>
      </w:r>
    </w:p>
    <w:p w14:paraId="5D91D087" w14:textId="235A3764" w:rsidR="0079263E" w:rsidRDefault="00561C10" w:rsidP="00DE4473">
      <w:pPr>
        <w:pStyle w:val="Heading1"/>
        <w:rPr>
          <w:lang w:eastAsia="en-AU"/>
        </w:rPr>
      </w:pPr>
      <w:bookmarkStart w:id="161" w:name="_Toc474153274"/>
      <w:bookmarkStart w:id="162" w:name="_Toc474158954"/>
      <w:bookmarkStart w:id="163" w:name="_Toc474847910"/>
      <w:bookmarkStart w:id="164" w:name="_Toc475360619"/>
      <w:r>
        <w:rPr>
          <w:lang w:eastAsia="en-AU"/>
        </w:rPr>
        <w:lastRenderedPageBreak/>
        <w:t>References</w:t>
      </w:r>
      <w:bookmarkEnd w:id="161"/>
      <w:bookmarkEnd w:id="162"/>
      <w:bookmarkEnd w:id="163"/>
      <w:bookmarkEnd w:id="164"/>
    </w:p>
    <w:p w14:paraId="483BA9AB" w14:textId="0B22C5A1" w:rsidR="00321C73" w:rsidRDefault="00321C73" w:rsidP="00B21E39">
      <w:pPr>
        <w:spacing w:before="100" w:beforeAutospacing="1" w:after="100" w:afterAutospacing="1"/>
      </w:pPr>
      <w:r>
        <w:rPr>
          <w:rStyle w:val="referenceChar"/>
        </w:rPr>
        <w:t>Agency for Toxic Substances and Disease Re</w:t>
      </w:r>
      <w:r w:rsidR="00025D10">
        <w:rPr>
          <w:rStyle w:val="referenceChar"/>
        </w:rPr>
        <w:t>g</w:t>
      </w:r>
      <w:r>
        <w:rPr>
          <w:rStyle w:val="referenceChar"/>
        </w:rPr>
        <w:t>istry (</w:t>
      </w:r>
      <w:r w:rsidR="00B21E39" w:rsidRPr="0079263E">
        <w:rPr>
          <w:rStyle w:val="referenceChar"/>
        </w:rPr>
        <w:t>ATSDR</w:t>
      </w:r>
      <w:r>
        <w:rPr>
          <w:rStyle w:val="referenceChar"/>
        </w:rPr>
        <w:t>)</w:t>
      </w:r>
      <w:r w:rsidR="00B21E39" w:rsidRPr="0079263E">
        <w:rPr>
          <w:rStyle w:val="referenceChar"/>
        </w:rPr>
        <w:t xml:space="preserve"> 2015</w:t>
      </w:r>
      <w:r>
        <w:rPr>
          <w:rStyle w:val="referenceChar"/>
        </w:rPr>
        <w:t>.</w:t>
      </w:r>
      <w:r w:rsidR="00B21E39" w:rsidRPr="00B21E39">
        <w:t xml:space="preserve"> Public Health Statement: </w:t>
      </w:r>
      <w:proofErr w:type="spellStart"/>
      <w:r w:rsidR="00B21E39" w:rsidRPr="00B21E39">
        <w:t>Perfluoroalkyls</w:t>
      </w:r>
      <w:proofErr w:type="spellEnd"/>
      <w:r>
        <w:t>, EPA,</w:t>
      </w:r>
      <w:r w:rsidR="00B21E39" w:rsidRPr="00B21E39">
        <w:t xml:space="preserve"> </w:t>
      </w:r>
      <w:hyperlink r:id="rId20" w:history="1">
        <w:r w:rsidRPr="00496573">
          <w:rPr>
            <w:rStyle w:val="Hyperlink"/>
          </w:rPr>
          <w:t>https://www.atsdr.cdc.gov/phs/phs.asp?id=1115&amp;tid=237</w:t>
        </w:r>
      </w:hyperlink>
      <w:r>
        <w:t xml:space="preserve"> (accessed Jan 2017).</w:t>
      </w:r>
    </w:p>
    <w:p w14:paraId="43E84E4F" w14:textId="77777777" w:rsidR="00846D5C" w:rsidRDefault="00846D5C" w:rsidP="00846D5C">
      <w:pPr>
        <w:rPr>
          <w:rFonts w:cs="Arial"/>
          <w:lang w:eastAsia="en-AU"/>
        </w:rPr>
      </w:pPr>
      <w:proofErr w:type="spellStart"/>
      <w:r>
        <w:rPr>
          <w:rFonts w:cs="Arial"/>
          <w:lang w:eastAsia="en-AU"/>
        </w:rPr>
        <w:t>Cornelis</w:t>
      </w:r>
      <w:proofErr w:type="spellEnd"/>
      <w:r>
        <w:rPr>
          <w:rFonts w:cs="Arial"/>
          <w:lang w:eastAsia="en-AU"/>
        </w:rPr>
        <w:t xml:space="preserve"> C, </w:t>
      </w:r>
      <w:proofErr w:type="spellStart"/>
      <w:r>
        <w:rPr>
          <w:rFonts w:cs="Arial"/>
          <w:lang w:eastAsia="en-AU"/>
        </w:rPr>
        <w:t>D’Hollander</w:t>
      </w:r>
      <w:proofErr w:type="spellEnd"/>
      <w:r>
        <w:rPr>
          <w:rFonts w:cs="Arial"/>
          <w:lang w:eastAsia="en-AU"/>
        </w:rPr>
        <w:t xml:space="preserve"> W, </w:t>
      </w:r>
      <w:proofErr w:type="spellStart"/>
      <w:r>
        <w:rPr>
          <w:rFonts w:cs="Arial"/>
          <w:lang w:eastAsia="en-AU"/>
        </w:rPr>
        <w:t>Roosens</w:t>
      </w:r>
      <w:proofErr w:type="spellEnd"/>
      <w:r>
        <w:rPr>
          <w:rFonts w:cs="Arial"/>
          <w:lang w:eastAsia="en-AU"/>
        </w:rPr>
        <w:t xml:space="preserve"> L, </w:t>
      </w:r>
      <w:proofErr w:type="spellStart"/>
      <w:r>
        <w:rPr>
          <w:rFonts w:cs="Arial"/>
          <w:lang w:eastAsia="en-AU"/>
        </w:rPr>
        <w:t>Covaci</w:t>
      </w:r>
      <w:proofErr w:type="spellEnd"/>
      <w:r>
        <w:rPr>
          <w:rFonts w:cs="Arial"/>
          <w:lang w:eastAsia="en-AU"/>
        </w:rPr>
        <w:t xml:space="preserve"> A, </w:t>
      </w:r>
      <w:proofErr w:type="spellStart"/>
      <w:r>
        <w:rPr>
          <w:rFonts w:cs="Arial"/>
          <w:lang w:eastAsia="en-AU"/>
        </w:rPr>
        <w:t>Smolders</w:t>
      </w:r>
      <w:proofErr w:type="spellEnd"/>
      <w:r>
        <w:rPr>
          <w:rFonts w:cs="Arial"/>
          <w:lang w:eastAsia="en-AU"/>
        </w:rPr>
        <w:t xml:space="preserve"> R</w:t>
      </w:r>
      <w:r w:rsidRPr="00313B3D">
        <w:rPr>
          <w:rFonts w:cs="Arial"/>
          <w:lang w:eastAsia="en-AU"/>
        </w:rPr>
        <w:t xml:space="preserve">, Van Den </w:t>
      </w:r>
      <w:proofErr w:type="spellStart"/>
      <w:r w:rsidRPr="00313B3D">
        <w:rPr>
          <w:rFonts w:cs="Arial"/>
          <w:lang w:eastAsia="en-AU"/>
        </w:rPr>
        <w:t>Heuvel</w:t>
      </w:r>
      <w:proofErr w:type="spellEnd"/>
      <w:r>
        <w:rPr>
          <w:rFonts w:cs="Arial"/>
          <w:lang w:eastAsia="en-AU"/>
        </w:rPr>
        <w:t xml:space="preserve"> R, </w:t>
      </w:r>
      <w:proofErr w:type="spellStart"/>
      <w:r>
        <w:rPr>
          <w:rFonts w:cs="Arial"/>
          <w:lang w:eastAsia="en-AU"/>
        </w:rPr>
        <w:t>Govarts</w:t>
      </w:r>
      <w:proofErr w:type="spellEnd"/>
      <w:r>
        <w:rPr>
          <w:rFonts w:cs="Arial"/>
          <w:lang w:eastAsia="en-AU"/>
        </w:rPr>
        <w:t xml:space="preserve"> E, Van </w:t>
      </w:r>
      <w:proofErr w:type="spellStart"/>
      <w:r>
        <w:rPr>
          <w:rFonts w:cs="Arial"/>
          <w:lang w:eastAsia="en-AU"/>
        </w:rPr>
        <w:t>Campenhout</w:t>
      </w:r>
      <w:proofErr w:type="spellEnd"/>
      <w:r>
        <w:rPr>
          <w:rFonts w:cs="Arial"/>
          <w:lang w:eastAsia="en-AU"/>
        </w:rPr>
        <w:t xml:space="preserve"> K, </w:t>
      </w:r>
      <w:proofErr w:type="spellStart"/>
      <w:r>
        <w:rPr>
          <w:rFonts w:cs="Arial"/>
          <w:lang w:eastAsia="en-AU"/>
        </w:rPr>
        <w:t>Reynders</w:t>
      </w:r>
      <w:proofErr w:type="spellEnd"/>
      <w:r>
        <w:rPr>
          <w:rFonts w:cs="Arial"/>
          <w:lang w:eastAsia="en-AU"/>
        </w:rPr>
        <w:t xml:space="preserve"> H, </w:t>
      </w:r>
      <w:proofErr w:type="spellStart"/>
      <w:r>
        <w:rPr>
          <w:rFonts w:cs="Arial"/>
          <w:lang w:eastAsia="en-AU"/>
        </w:rPr>
        <w:t>Bervoets</w:t>
      </w:r>
      <w:proofErr w:type="spellEnd"/>
      <w:r>
        <w:rPr>
          <w:rFonts w:cs="Arial"/>
          <w:lang w:eastAsia="en-AU"/>
        </w:rPr>
        <w:t xml:space="preserve"> L 2012. </w:t>
      </w:r>
      <w:r w:rsidRPr="00313B3D">
        <w:rPr>
          <w:rFonts w:cs="Arial"/>
          <w:lang w:eastAsia="en-AU"/>
        </w:rPr>
        <w:t xml:space="preserve">First assessment of population exposure to </w:t>
      </w:r>
      <w:proofErr w:type="spellStart"/>
      <w:r w:rsidRPr="00313B3D">
        <w:rPr>
          <w:rFonts w:cs="Arial"/>
          <w:lang w:eastAsia="en-AU"/>
        </w:rPr>
        <w:t>perfluorinated</w:t>
      </w:r>
      <w:proofErr w:type="spellEnd"/>
      <w:r w:rsidRPr="00313B3D">
        <w:rPr>
          <w:rFonts w:cs="Arial"/>
          <w:lang w:eastAsia="en-AU"/>
        </w:rPr>
        <w:t xml:space="preserve"> compounds in Flanders, Belgium</w:t>
      </w:r>
      <w:r>
        <w:rPr>
          <w:rFonts w:cs="Arial"/>
          <w:lang w:eastAsia="en-AU"/>
        </w:rPr>
        <w:t>,</w:t>
      </w:r>
      <w:r w:rsidRPr="00313B3D">
        <w:rPr>
          <w:rFonts w:cs="Arial"/>
          <w:lang w:eastAsia="en-AU"/>
        </w:rPr>
        <w:t xml:space="preserve"> </w:t>
      </w:r>
      <w:r w:rsidRPr="00D335C2">
        <w:rPr>
          <w:rFonts w:cs="Arial"/>
          <w:i/>
          <w:lang w:eastAsia="en-AU"/>
        </w:rPr>
        <w:t>Chemosphere</w:t>
      </w:r>
      <w:r w:rsidRPr="004F0EDF">
        <w:rPr>
          <w:rFonts w:cs="Arial"/>
          <w:i/>
          <w:lang w:eastAsia="en-AU"/>
        </w:rPr>
        <w:t>;</w:t>
      </w:r>
      <w:r>
        <w:rPr>
          <w:rFonts w:cs="Arial"/>
          <w:lang w:eastAsia="en-AU"/>
        </w:rPr>
        <w:t xml:space="preserve"> </w:t>
      </w:r>
      <w:r w:rsidRPr="00D335C2">
        <w:rPr>
          <w:rFonts w:cs="Arial"/>
          <w:b/>
          <w:lang w:eastAsia="en-AU"/>
        </w:rPr>
        <w:t>86</w:t>
      </w:r>
      <w:r w:rsidRPr="00313B3D">
        <w:rPr>
          <w:rFonts w:cs="Arial"/>
          <w:lang w:eastAsia="en-AU"/>
        </w:rPr>
        <w:t>: 308-314.</w:t>
      </w:r>
    </w:p>
    <w:p w14:paraId="7D11366E" w14:textId="75E018CE" w:rsidR="00161D99" w:rsidRDefault="00161D99" w:rsidP="00161D99">
      <w:pPr>
        <w:pStyle w:val="reference"/>
        <w:rPr>
          <w:lang w:val="en-AU"/>
        </w:rPr>
      </w:pPr>
      <w:proofErr w:type="gramStart"/>
      <w:r>
        <w:rPr>
          <w:lang w:val="en-AU"/>
        </w:rPr>
        <w:t>European Food Safety Authority (EFSA) 2006.</w:t>
      </w:r>
      <w:proofErr w:type="gramEnd"/>
      <w:r>
        <w:rPr>
          <w:lang w:val="en-AU"/>
        </w:rPr>
        <w:t xml:space="preserve"> Guidance of the Scientific Committee on a request from EFSA related to Uncertainties in Dietary Exposure Assessment, The EFSA Journal; 438:1-54.</w:t>
      </w:r>
    </w:p>
    <w:p w14:paraId="26B0B260" w14:textId="78DE7AC0" w:rsidR="00B21E39" w:rsidRDefault="00B21E39" w:rsidP="00B21E39">
      <w:pPr>
        <w:spacing w:before="100" w:beforeAutospacing="1" w:after="100" w:afterAutospacing="1"/>
        <w:rPr>
          <w:rFonts w:cs="WHNPAY+HelveticaNeue-Light"/>
          <w:color w:val="000000"/>
        </w:rPr>
      </w:pPr>
      <w:proofErr w:type="gramStart"/>
      <w:r w:rsidRPr="0079263E">
        <w:rPr>
          <w:rStyle w:val="referenceChar"/>
        </w:rPr>
        <w:t>European Food Safety Authority (EFSA) 2008</w:t>
      </w:r>
      <w:r w:rsidRPr="00B21E39">
        <w:rPr>
          <w:rFonts w:cs="WHNPAY+HelveticaNeue-Light"/>
          <w:color w:val="000000"/>
        </w:rPr>
        <w:t>.</w:t>
      </w:r>
      <w:proofErr w:type="gramEnd"/>
      <w:r w:rsidRPr="00B21E39">
        <w:rPr>
          <w:rFonts w:cs="WHNPAY+HelveticaNeue-Light"/>
          <w:color w:val="000000"/>
        </w:rPr>
        <w:t xml:space="preserve"> </w:t>
      </w:r>
      <w:proofErr w:type="spellStart"/>
      <w:r w:rsidR="008E7672">
        <w:rPr>
          <w:rFonts w:cs="WHNPAY+HelveticaNeue-Light"/>
          <w:color w:val="000000"/>
        </w:rPr>
        <w:t>P</w:t>
      </w:r>
      <w:r w:rsidRPr="00B21E39">
        <w:rPr>
          <w:rFonts w:cs="WHNPAY+HelveticaNeue-Light"/>
          <w:color w:val="000000"/>
        </w:rPr>
        <w:t>erfluorooctanoic</w:t>
      </w:r>
      <w:proofErr w:type="spellEnd"/>
      <w:r w:rsidRPr="00B21E39">
        <w:rPr>
          <w:rFonts w:cs="WHNPAY+HelveticaNeue-Light"/>
          <w:color w:val="000000"/>
        </w:rPr>
        <w:t xml:space="preserve"> acid (PFOA) and their salts</w:t>
      </w:r>
      <w:r w:rsidR="008E7672">
        <w:rPr>
          <w:rFonts w:cs="WHNPAY+HelveticaNeue-Light"/>
          <w:color w:val="000000"/>
        </w:rPr>
        <w:t>,</w:t>
      </w:r>
      <w:r w:rsidRPr="00B21E39">
        <w:rPr>
          <w:rFonts w:cs="WHNPAY+HelveticaNeue-Light"/>
          <w:color w:val="000000"/>
        </w:rPr>
        <w:t xml:space="preserve"> </w:t>
      </w:r>
      <w:r w:rsidR="008E7672" w:rsidRPr="00B21E39">
        <w:rPr>
          <w:rFonts w:cs="WHNPAY+HelveticaNeue-Light"/>
          <w:color w:val="000000"/>
        </w:rPr>
        <w:t xml:space="preserve">Opinion of the Scientific Panel on Contaminants in the Food Chain, </w:t>
      </w:r>
      <w:r w:rsidRPr="00B21E39">
        <w:rPr>
          <w:rFonts w:cs="WHNPAY+HelveticaNeue-Light"/>
          <w:color w:val="000000"/>
        </w:rPr>
        <w:t>The EFSA Journal</w:t>
      </w:r>
      <w:r w:rsidR="008E7672">
        <w:rPr>
          <w:rFonts w:cs="WHNPAY+HelveticaNeue-Light"/>
          <w:color w:val="000000"/>
        </w:rPr>
        <w:t>;</w:t>
      </w:r>
      <w:r w:rsidRPr="00B21E39">
        <w:rPr>
          <w:rFonts w:cs="WHNPAY+HelveticaNeue-Light"/>
          <w:color w:val="000000"/>
        </w:rPr>
        <w:t xml:space="preserve"> </w:t>
      </w:r>
      <w:r w:rsidR="008E7672" w:rsidRPr="00B21E39">
        <w:rPr>
          <w:rFonts w:cs="WHNPAY+HelveticaNeue-Light"/>
          <w:color w:val="000000"/>
        </w:rPr>
        <w:t>53:1–131</w:t>
      </w:r>
      <w:r w:rsidRPr="00B21E39">
        <w:rPr>
          <w:rFonts w:cs="WHNPAY+HelveticaNeue-Light"/>
          <w:color w:val="000000"/>
        </w:rPr>
        <w:t>.</w:t>
      </w:r>
    </w:p>
    <w:p w14:paraId="2A97E48C" w14:textId="7F73B6C6" w:rsidR="008E7672" w:rsidRDefault="008E7672" w:rsidP="008E7672">
      <w:pPr>
        <w:spacing w:before="100" w:beforeAutospacing="1" w:after="100" w:afterAutospacing="1"/>
        <w:rPr>
          <w:rFonts w:cs="WHNPAY+HelveticaNeue-Light"/>
          <w:color w:val="000000"/>
        </w:rPr>
      </w:pPr>
      <w:proofErr w:type="gramStart"/>
      <w:r w:rsidRPr="0079263E">
        <w:rPr>
          <w:rStyle w:val="referenceChar"/>
        </w:rPr>
        <w:t>European Food Safety Authority (EFSA) 20</w:t>
      </w:r>
      <w:r>
        <w:rPr>
          <w:rStyle w:val="referenceChar"/>
        </w:rPr>
        <w:t>12</w:t>
      </w:r>
      <w:r w:rsidRPr="00B21E39">
        <w:rPr>
          <w:rFonts w:cs="WHNPAY+HelveticaNeue-Light"/>
          <w:color w:val="000000"/>
        </w:rPr>
        <w:t>.</w:t>
      </w:r>
      <w:proofErr w:type="gramEnd"/>
      <w:r w:rsidRPr="00B21E39">
        <w:rPr>
          <w:rFonts w:cs="WHNPAY+HelveticaNeue-Light"/>
          <w:color w:val="000000"/>
        </w:rPr>
        <w:t xml:space="preserve"> Scientific </w:t>
      </w:r>
      <w:r>
        <w:rPr>
          <w:rFonts w:cs="WHNPAY+HelveticaNeue-Light"/>
          <w:color w:val="000000"/>
        </w:rPr>
        <w:t>Report of EFSA</w:t>
      </w:r>
      <w:r w:rsidRPr="00B21E39">
        <w:rPr>
          <w:rFonts w:cs="WHNPAY+HelveticaNeue-Light"/>
          <w:color w:val="000000"/>
        </w:rPr>
        <w:t xml:space="preserve"> </w:t>
      </w:r>
      <w:proofErr w:type="spellStart"/>
      <w:r>
        <w:rPr>
          <w:rFonts w:cs="WHNPAY+HelveticaNeue-Light"/>
          <w:color w:val="000000"/>
        </w:rPr>
        <w:t>P</w:t>
      </w:r>
      <w:r w:rsidRPr="00B21E39">
        <w:rPr>
          <w:rFonts w:cs="WHNPAY+HelveticaNeue-Light"/>
          <w:color w:val="000000"/>
        </w:rPr>
        <w:t>erfluoro</w:t>
      </w:r>
      <w:r>
        <w:rPr>
          <w:rFonts w:cs="WHNPAY+HelveticaNeue-Light"/>
          <w:color w:val="000000"/>
        </w:rPr>
        <w:t>alkylated</w:t>
      </w:r>
      <w:proofErr w:type="spellEnd"/>
      <w:r>
        <w:rPr>
          <w:rFonts w:cs="WHNPAY+HelveticaNeue-Light"/>
          <w:color w:val="000000"/>
        </w:rPr>
        <w:t xml:space="preserve"> substances in food: occurrence and dietary exposure,</w:t>
      </w:r>
      <w:r w:rsidRPr="00B21E39">
        <w:rPr>
          <w:rFonts w:cs="WHNPAY+HelveticaNeue-Light"/>
          <w:color w:val="000000"/>
        </w:rPr>
        <w:t xml:space="preserve"> The EFSA Journal</w:t>
      </w:r>
      <w:r>
        <w:rPr>
          <w:rFonts w:cs="WHNPAY+HelveticaNeue-Light"/>
          <w:color w:val="000000"/>
        </w:rPr>
        <w:t>;</w:t>
      </w:r>
      <w:r w:rsidRPr="00B21E39">
        <w:rPr>
          <w:rFonts w:cs="WHNPAY+HelveticaNeue-Light"/>
          <w:color w:val="000000"/>
        </w:rPr>
        <w:t xml:space="preserve"> </w:t>
      </w:r>
      <w:r>
        <w:rPr>
          <w:rFonts w:cs="WHNPAY+HelveticaNeue-Light"/>
          <w:color w:val="000000"/>
        </w:rPr>
        <w:t>10(6): 2743-2798</w:t>
      </w:r>
      <w:r w:rsidRPr="00B21E39">
        <w:rPr>
          <w:rFonts w:cs="WHNPAY+HelveticaNeue-Light"/>
          <w:color w:val="000000"/>
        </w:rPr>
        <w:t>.</w:t>
      </w:r>
    </w:p>
    <w:p w14:paraId="0D08CFB0" w14:textId="799BA40E" w:rsidR="003E52C1" w:rsidRPr="000C4C17" w:rsidRDefault="003E52C1" w:rsidP="003E52C1">
      <w:pPr>
        <w:spacing w:line="240" w:lineRule="auto"/>
      </w:pPr>
      <w:proofErr w:type="gramStart"/>
      <w:r w:rsidRPr="000C4C17">
        <w:t>FAO/WHO (2009) Principles and methods for the risk assessment of chemicals in food.</w:t>
      </w:r>
      <w:proofErr w:type="gramEnd"/>
      <w:r>
        <w:t xml:space="preserve"> </w:t>
      </w:r>
      <w:proofErr w:type="gramStart"/>
      <w:r w:rsidRPr="000C4C17">
        <w:t>Environmental Health Criteria 240.</w:t>
      </w:r>
      <w:proofErr w:type="gramEnd"/>
    </w:p>
    <w:p w14:paraId="53A6E860" w14:textId="47E7F391" w:rsidR="00B21E39" w:rsidRPr="00B21E39" w:rsidRDefault="00B21E39" w:rsidP="00B21E39">
      <w:pPr>
        <w:spacing w:before="100" w:beforeAutospacing="1" w:after="100" w:afterAutospacing="1"/>
      </w:pPr>
      <w:proofErr w:type="gramStart"/>
      <w:r w:rsidRPr="0079263E">
        <w:rPr>
          <w:rStyle w:val="referenceChar"/>
        </w:rPr>
        <w:t>Food Standards</w:t>
      </w:r>
      <w:r w:rsidR="00321C73">
        <w:rPr>
          <w:rStyle w:val="referenceChar"/>
        </w:rPr>
        <w:t xml:space="preserve"> Australia New Zealand (FSANZ) 2009.</w:t>
      </w:r>
      <w:proofErr w:type="gramEnd"/>
      <w:r w:rsidRPr="00B21E39">
        <w:t xml:space="preserve"> </w:t>
      </w:r>
      <w:proofErr w:type="gramStart"/>
      <w:r w:rsidRPr="00B21E39">
        <w:t>Principles and Practices of Dietary Exposure Assessment for Food Regulatory Purposes.</w:t>
      </w:r>
      <w:proofErr w:type="gramEnd"/>
      <w:r w:rsidRPr="00B21E39">
        <w:t xml:space="preserve"> </w:t>
      </w:r>
      <w:hyperlink r:id="rId21" w:history="1">
        <w:r w:rsidRPr="00B21E39">
          <w:rPr>
            <w:color w:val="0000FF" w:themeColor="hyperlink"/>
            <w:u w:val="single"/>
          </w:rPr>
          <w:t>http://www.foodstandards.gov.au/publications/Pages/Principles-and-Practices-of-Dietary.aspx</w:t>
        </w:r>
      </w:hyperlink>
      <w:r w:rsidRPr="00B21E39">
        <w:t xml:space="preserve"> </w:t>
      </w:r>
    </w:p>
    <w:p w14:paraId="452D9725" w14:textId="77777777" w:rsidR="00B21E39" w:rsidRPr="00B21E39" w:rsidRDefault="00B21E39" w:rsidP="00B21E39">
      <w:pPr>
        <w:spacing w:before="100" w:beforeAutospacing="1" w:after="100" w:afterAutospacing="1"/>
      </w:pPr>
      <w:proofErr w:type="gramStart"/>
      <w:r w:rsidRPr="0079263E">
        <w:rPr>
          <w:rStyle w:val="referenceChar"/>
        </w:rPr>
        <w:t>Food Standards Australia New Zealand (FSANZ) 2016</w:t>
      </w:r>
      <w:r w:rsidRPr="00B21E39">
        <w:t>.</w:t>
      </w:r>
      <w:proofErr w:type="gramEnd"/>
      <w:r w:rsidRPr="00B21E39">
        <w:t xml:space="preserve"> </w:t>
      </w:r>
      <w:proofErr w:type="gramStart"/>
      <w:r w:rsidRPr="00B21E39">
        <w:t>24</w:t>
      </w:r>
      <w:r w:rsidRPr="00B21E39">
        <w:rPr>
          <w:vertAlign w:val="superscript"/>
        </w:rPr>
        <w:t>th</w:t>
      </w:r>
      <w:r w:rsidRPr="00B21E39">
        <w:t xml:space="preserve"> Australian Total Diet Study Phase 2.</w:t>
      </w:r>
      <w:proofErr w:type="gramEnd"/>
      <w:r w:rsidRPr="00B21E39">
        <w:t xml:space="preserve"> </w:t>
      </w:r>
      <w:hyperlink r:id="rId22" w:history="1">
        <w:r w:rsidRPr="00B21E39">
          <w:rPr>
            <w:color w:val="0000FF" w:themeColor="hyperlink"/>
            <w:u w:val="single"/>
          </w:rPr>
          <w:t>http://www.foodstandards.gov.au/publications/Pages/24th-ATDS-Phase-2.aspx</w:t>
        </w:r>
      </w:hyperlink>
      <w:r w:rsidRPr="00B21E39">
        <w:t xml:space="preserve"> </w:t>
      </w:r>
    </w:p>
    <w:p w14:paraId="010C5258" w14:textId="77777777" w:rsidR="00B21E39" w:rsidRPr="00B21E39" w:rsidRDefault="00B21E39" w:rsidP="00B21E39">
      <w:pPr>
        <w:spacing w:before="100" w:beforeAutospacing="1" w:after="100" w:afterAutospacing="1"/>
      </w:pPr>
      <w:r w:rsidRPr="0079263E">
        <w:rPr>
          <w:rStyle w:val="referenceChar"/>
        </w:rPr>
        <w:t>Hansen S 1979</w:t>
      </w:r>
      <w:r w:rsidRPr="00B21E39">
        <w:t xml:space="preserve">. </w:t>
      </w:r>
      <w:proofErr w:type="gramStart"/>
      <w:r w:rsidRPr="00B21E39">
        <w:t xml:space="preserve">Conditions for the use of food additives based on a budget method for an acceptable daily intake, </w:t>
      </w:r>
      <w:r w:rsidRPr="00B21E39">
        <w:rPr>
          <w:i/>
        </w:rPr>
        <w:t>Journal of Food Protection</w:t>
      </w:r>
      <w:r w:rsidRPr="00B21E39">
        <w:t xml:space="preserve"> 42(5): 429-434.</w:t>
      </w:r>
      <w:proofErr w:type="gramEnd"/>
      <w:r w:rsidRPr="00B21E39">
        <w:t xml:space="preserve"> </w:t>
      </w:r>
    </w:p>
    <w:p w14:paraId="506A00F3" w14:textId="4F42C25B" w:rsidR="00B83085" w:rsidRDefault="00B83085" w:rsidP="00B83085">
      <w:pPr>
        <w:rPr>
          <w:lang w:eastAsia="en-AU"/>
        </w:rPr>
      </w:pPr>
      <w:r>
        <w:rPr>
          <w:lang w:eastAsia="en-AU"/>
        </w:rPr>
        <w:br w:type="page"/>
      </w:r>
    </w:p>
    <w:p w14:paraId="4BF5B0CF" w14:textId="77777777" w:rsidR="00B83085" w:rsidRDefault="00B83085" w:rsidP="00B83085">
      <w:pPr>
        <w:pStyle w:val="Heading1"/>
        <w:numPr>
          <w:ilvl w:val="0"/>
          <w:numId w:val="0"/>
        </w:numPr>
        <w:ind w:left="432" w:hanging="432"/>
      </w:pPr>
      <w:bookmarkStart w:id="165" w:name="_Toc474153243"/>
      <w:bookmarkStart w:id="166" w:name="_Toc474158923"/>
      <w:bookmarkStart w:id="167" w:name="_Toc474847883"/>
      <w:bookmarkStart w:id="168" w:name="_Toc475360620"/>
      <w:r>
        <w:lastRenderedPageBreak/>
        <w:t>List of Tables</w:t>
      </w:r>
      <w:bookmarkEnd w:id="165"/>
      <w:bookmarkEnd w:id="166"/>
      <w:bookmarkEnd w:id="167"/>
      <w:bookmarkEnd w:id="168"/>
    </w:p>
    <w:p w14:paraId="2B8CC85F" w14:textId="77777777" w:rsidR="00B83085" w:rsidRDefault="00B83085" w:rsidP="00B83085">
      <w:pPr>
        <w:pStyle w:val="TOC1"/>
        <w:rPr>
          <w:rFonts w:eastAsiaTheme="minorEastAsia"/>
          <w:noProof/>
          <w:lang w:eastAsia="en-GB"/>
        </w:rPr>
      </w:pPr>
      <w:r>
        <w:fldChar w:fldCharType="begin"/>
      </w:r>
      <w:r>
        <w:instrText xml:space="preserve"> TOC \p " " \h \z \t "FSTable Column/Row heading,1" </w:instrText>
      </w:r>
      <w:r>
        <w:fldChar w:fldCharType="separate"/>
      </w:r>
      <w:hyperlink w:anchor="_Toc474852103" w:history="1">
        <w:r w:rsidRPr="0089707D">
          <w:rPr>
            <w:rStyle w:val="Hyperlink"/>
            <w:noProof/>
          </w:rPr>
          <w:t>Table 1.</w:t>
        </w:r>
        <w:r>
          <w:rPr>
            <w:rFonts w:eastAsiaTheme="minorEastAsia"/>
            <w:noProof/>
            <w:lang w:eastAsia="en-GB"/>
          </w:rPr>
          <w:tab/>
        </w:r>
        <w:r w:rsidRPr="0089707D">
          <w:rPr>
            <w:rStyle w:val="Hyperlink"/>
            <w:noProof/>
          </w:rPr>
          <w:t>PFOS detections in the 24</w:t>
        </w:r>
        <w:r w:rsidRPr="0089707D">
          <w:rPr>
            <w:rStyle w:val="Hyperlink"/>
            <w:noProof/>
            <w:vertAlign w:val="superscript"/>
          </w:rPr>
          <w:t>th</w:t>
        </w:r>
        <w:r w:rsidRPr="0089707D">
          <w:rPr>
            <w:rStyle w:val="Hyperlink"/>
            <w:noProof/>
          </w:rPr>
          <w:t xml:space="preserve"> ATDS, Phase 2</w:t>
        </w:r>
        <w:r>
          <w:rPr>
            <w:noProof/>
            <w:webHidden/>
          </w:rPr>
          <w:t xml:space="preserve"> </w:t>
        </w:r>
        <w:r>
          <w:rPr>
            <w:noProof/>
            <w:webHidden/>
          </w:rPr>
          <w:fldChar w:fldCharType="begin"/>
        </w:r>
        <w:r>
          <w:rPr>
            <w:noProof/>
            <w:webHidden/>
          </w:rPr>
          <w:instrText xml:space="preserve"> PAGEREF _Toc474852103 \h </w:instrText>
        </w:r>
        <w:r>
          <w:rPr>
            <w:noProof/>
            <w:webHidden/>
          </w:rPr>
        </w:r>
        <w:r>
          <w:rPr>
            <w:noProof/>
            <w:webHidden/>
          </w:rPr>
          <w:fldChar w:fldCharType="separate"/>
        </w:r>
        <w:r w:rsidR="00DB24C8">
          <w:rPr>
            <w:noProof/>
            <w:webHidden/>
          </w:rPr>
          <w:t>8</w:t>
        </w:r>
        <w:r>
          <w:rPr>
            <w:noProof/>
            <w:webHidden/>
          </w:rPr>
          <w:fldChar w:fldCharType="end"/>
        </w:r>
      </w:hyperlink>
    </w:p>
    <w:p w14:paraId="52EFAFD0" w14:textId="77777777" w:rsidR="00B83085" w:rsidRDefault="00B42527" w:rsidP="00B83085">
      <w:pPr>
        <w:pStyle w:val="TOC1"/>
        <w:rPr>
          <w:rFonts w:eastAsiaTheme="minorEastAsia"/>
          <w:noProof/>
          <w:lang w:eastAsia="en-GB"/>
        </w:rPr>
      </w:pPr>
      <w:hyperlink w:anchor="_Toc474852104" w:history="1">
        <w:r w:rsidR="00B83085" w:rsidRPr="0089707D">
          <w:rPr>
            <w:rStyle w:val="Hyperlink"/>
            <w:noProof/>
          </w:rPr>
          <w:t>Table 2.</w:t>
        </w:r>
        <w:r w:rsidR="00B83085">
          <w:rPr>
            <w:rFonts w:eastAsiaTheme="minorEastAsia"/>
            <w:noProof/>
            <w:lang w:eastAsia="en-GB"/>
          </w:rPr>
          <w:tab/>
        </w:r>
        <w:r w:rsidR="00B83085" w:rsidRPr="0089707D">
          <w:rPr>
            <w:rStyle w:val="Hyperlink"/>
            <w:noProof/>
          </w:rPr>
          <w:t>PFOS detections in the NSW FA fish survey</w:t>
        </w:r>
        <w:r w:rsidR="00B83085">
          <w:rPr>
            <w:noProof/>
            <w:webHidden/>
          </w:rPr>
          <w:t xml:space="preserve"> </w:t>
        </w:r>
        <w:r w:rsidR="00B83085">
          <w:rPr>
            <w:noProof/>
            <w:webHidden/>
          </w:rPr>
          <w:fldChar w:fldCharType="begin"/>
        </w:r>
        <w:r w:rsidR="00B83085">
          <w:rPr>
            <w:noProof/>
            <w:webHidden/>
          </w:rPr>
          <w:instrText xml:space="preserve"> PAGEREF _Toc474852104 \h </w:instrText>
        </w:r>
        <w:r w:rsidR="00B83085">
          <w:rPr>
            <w:noProof/>
            <w:webHidden/>
          </w:rPr>
        </w:r>
        <w:r w:rsidR="00B83085">
          <w:rPr>
            <w:noProof/>
            <w:webHidden/>
          </w:rPr>
          <w:fldChar w:fldCharType="separate"/>
        </w:r>
        <w:r w:rsidR="00DB24C8">
          <w:rPr>
            <w:noProof/>
            <w:webHidden/>
          </w:rPr>
          <w:t>8</w:t>
        </w:r>
        <w:r w:rsidR="00B83085">
          <w:rPr>
            <w:noProof/>
            <w:webHidden/>
          </w:rPr>
          <w:fldChar w:fldCharType="end"/>
        </w:r>
      </w:hyperlink>
    </w:p>
    <w:p w14:paraId="5038AD75" w14:textId="77777777" w:rsidR="00B83085" w:rsidRDefault="00B42527" w:rsidP="00B83085">
      <w:pPr>
        <w:pStyle w:val="TOC1"/>
        <w:rPr>
          <w:rFonts w:eastAsiaTheme="minorEastAsia"/>
          <w:noProof/>
          <w:lang w:eastAsia="en-GB"/>
        </w:rPr>
      </w:pPr>
      <w:hyperlink w:anchor="_Toc474852105" w:history="1">
        <w:r w:rsidR="00B83085" w:rsidRPr="0089707D">
          <w:rPr>
            <w:rStyle w:val="Hyperlink"/>
            <w:noProof/>
          </w:rPr>
          <w:t>Table 3.</w:t>
        </w:r>
        <w:r w:rsidR="00B83085">
          <w:rPr>
            <w:rFonts w:eastAsiaTheme="minorEastAsia"/>
            <w:noProof/>
            <w:lang w:eastAsia="en-GB"/>
          </w:rPr>
          <w:tab/>
        </w:r>
        <w:r w:rsidR="00B83085" w:rsidRPr="0089707D">
          <w:rPr>
            <w:rStyle w:val="Hyperlink"/>
            <w:noProof/>
          </w:rPr>
          <w:t>Health Based Guidance Values used in dietary exposure assessment</w:t>
        </w:r>
        <w:r w:rsidR="00B83085">
          <w:rPr>
            <w:noProof/>
            <w:webHidden/>
          </w:rPr>
          <w:t xml:space="preserve"> </w:t>
        </w:r>
        <w:r w:rsidR="00B83085">
          <w:rPr>
            <w:noProof/>
            <w:webHidden/>
          </w:rPr>
          <w:fldChar w:fldCharType="begin"/>
        </w:r>
        <w:r w:rsidR="00B83085">
          <w:rPr>
            <w:noProof/>
            <w:webHidden/>
          </w:rPr>
          <w:instrText xml:space="preserve"> PAGEREF _Toc474852105 \h </w:instrText>
        </w:r>
        <w:r w:rsidR="00B83085">
          <w:rPr>
            <w:noProof/>
            <w:webHidden/>
          </w:rPr>
        </w:r>
        <w:r w:rsidR="00B83085">
          <w:rPr>
            <w:noProof/>
            <w:webHidden/>
          </w:rPr>
          <w:fldChar w:fldCharType="separate"/>
        </w:r>
        <w:r w:rsidR="00DB24C8">
          <w:rPr>
            <w:noProof/>
            <w:webHidden/>
          </w:rPr>
          <w:t>12</w:t>
        </w:r>
        <w:r w:rsidR="00B83085">
          <w:rPr>
            <w:noProof/>
            <w:webHidden/>
          </w:rPr>
          <w:fldChar w:fldCharType="end"/>
        </w:r>
      </w:hyperlink>
    </w:p>
    <w:p w14:paraId="296334C0" w14:textId="77777777" w:rsidR="00B83085" w:rsidRDefault="00B42527" w:rsidP="00B83085">
      <w:pPr>
        <w:pStyle w:val="TOC1"/>
        <w:rPr>
          <w:rFonts w:eastAsiaTheme="minorEastAsia"/>
          <w:noProof/>
          <w:lang w:eastAsia="en-GB"/>
        </w:rPr>
      </w:pPr>
      <w:hyperlink w:anchor="_Toc474852106" w:history="1">
        <w:r w:rsidR="00B83085" w:rsidRPr="0089707D">
          <w:rPr>
            <w:rStyle w:val="Hyperlink"/>
            <w:noProof/>
          </w:rPr>
          <w:t>Table 4.</w:t>
        </w:r>
        <w:r w:rsidR="00B83085">
          <w:rPr>
            <w:rFonts w:eastAsiaTheme="minorEastAsia"/>
            <w:noProof/>
            <w:lang w:eastAsia="en-GB"/>
          </w:rPr>
          <w:tab/>
        </w:r>
        <w:r w:rsidR="00B83085" w:rsidRPr="0089707D">
          <w:rPr>
            <w:rStyle w:val="Hyperlink"/>
            <w:noProof/>
          </w:rPr>
          <w:t>Concentrations of PFOS, PFOA and PFHxS used in calculations</w:t>
        </w:r>
        <w:r w:rsidR="00B83085">
          <w:rPr>
            <w:noProof/>
            <w:webHidden/>
          </w:rPr>
          <w:t xml:space="preserve"> </w:t>
        </w:r>
        <w:r w:rsidR="00B83085">
          <w:rPr>
            <w:noProof/>
            <w:webHidden/>
          </w:rPr>
          <w:fldChar w:fldCharType="begin"/>
        </w:r>
        <w:r w:rsidR="00B83085">
          <w:rPr>
            <w:noProof/>
            <w:webHidden/>
          </w:rPr>
          <w:instrText xml:space="preserve"> PAGEREF _Toc474852106 \h </w:instrText>
        </w:r>
        <w:r w:rsidR="00B83085">
          <w:rPr>
            <w:noProof/>
            <w:webHidden/>
          </w:rPr>
        </w:r>
        <w:r w:rsidR="00B83085">
          <w:rPr>
            <w:noProof/>
            <w:webHidden/>
          </w:rPr>
          <w:fldChar w:fldCharType="separate"/>
        </w:r>
        <w:r w:rsidR="00DB24C8">
          <w:rPr>
            <w:noProof/>
            <w:webHidden/>
          </w:rPr>
          <w:t>13</w:t>
        </w:r>
        <w:r w:rsidR="00B83085">
          <w:rPr>
            <w:noProof/>
            <w:webHidden/>
          </w:rPr>
          <w:fldChar w:fldCharType="end"/>
        </w:r>
      </w:hyperlink>
    </w:p>
    <w:p w14:paraId="5DEB7C05" w14:textId="77777777" w:rsidR="00B83085" w:rsidRDefault="00B42527" w:rsidP="00B83085">
      <w:pPr>
        <w:pStyle w:val="TOC1"/>
        <w:rPr>
          <w:rFonts w:eastAsiaTheme="minorEastAsia"/>
          <w:noProof/>
          <w:lang w:eastAsia="en-GB"/>
        </w:rPr>
      </w:pPr>
      <w:hyperlink w:anchor="_Toc474852107" w:history="1">
        <w:r w:rsidR="00B83085" w:rsidRPr="0089707D">
          <w:rPr>
            <w:rStyle w:val="Hyperlink"/>
            <w:noProof/>
            <w:lang w:eastAsia="en-AU"/>
          </w:rPr>
          <w:t>Table 5.</w:t>
        </w:r>
        <w:r w:rsidR="00B83085">
          <w:rPr>
            <w:rFonts w:eastAsiaTheme="minorEastAsia"/>
            <w:noProof/>
            <w:lang w:eastAsia="en-GB"/>
          </w:rPr>
          <w:tab/>
        </w:r>
        <w:r w:rsidR="00B83085" w:rsidRPr="0089707D">
          <w:rPr>
            <w:rStyle w:val="Hyperlink"/>
            <w:noProof/>
            <w:lang w:eastAsia="en-AU"/>
          </w:rPr>
          <w:t>Summary of qualitative evaluation of the impact of uncertainties in calculations</w:t>
        </w:r>
        <w:r w:rsidR="00B83085">
          <w:rPr>
            <w:noProof/>
            <w:webHidden/>
          </w:rPr>
          <w:t xml:space="preserve"> </w:t>
        </w:r>
        <w:r w:rsidR="00B83085">
          <w:rPr>
            <w:noProof/>
            <w:webHidden/>
          </w:rPr>
          <w:fldChar w:fldCharType="begin"/>
        </w:r>
        <w:r w:rsidR="00B83085">
          <w:rPr>
            <w:noProof/>
            <w:webHidden/>
          </w:rPr>
          <w:instrText xml:space="preserve"> PAGEREF _Toc474852107 \h </w:instrText>
        </w:r>
        <w:r w:rsidR="00B83085">
          <w:rPr>
            <w:noProof/>
            <w:webHidden/>
          </w:rPr>
        </w:r>
        <w:r w:rsidR="00B83085">
          <w:rPr>
            <w:noProof/>
            <w:webHidden/>
          </w:rPr>
          <w:fldChar w:fldCharType="separate"/>
        </w:r>
        <w:r w:rsidR="00DB24C8">
          <w:rPr>
            <w:noProof/>
            <w:webHidden/>
          </w:rPr>
          <w:t>16</w:t>
        </w:r>
        <w:r w:rsidR="00B83085">
          <w:rPr>
            <w:noProof/>
            <w:webHidden/>
          </w:rPr>
          <w:fldChar w:fldCharType="end"/>
        </w:r>
      </w:hyperlink>
    </w:p>
    <w:p w14:paraId="2E01B697" w14:textId="77777777" w:rsidR="00B83085" w:rsidRDefault="00B42527" w:rsidP="00B83085">
      <w:pPr>
        <w:pStyle w:val="TOC1"/>
        <w:rPr>
          <w:rFonts w:eastAsiaTheme="minorEastAsia"/>
          <w:noProof/>
          <w:lang w:eastAsia="en-GB"/>
        </w:rPr>
      </w:pPr>
      <w:hyperlink w:anchor="_Toc474852108" w:history="1">
        <w:r w:rsidR="00B83085" w:rsidRPr="0089707D">
          <w:rPr>
            <w:rStyle w:val="Hyperlink"/>
            <w:noProof/>
          </w:rPr>
          <w:t>Table 6.</w:t>
        </w:r>
        <w:r w:rsidR="00B83085">
          <w:rPr>
            <w:rFonts w:eastAsiaTheme="minorEastAsia"/>
            <w:noProof/>
            <w:lang w:eastAsia="en-GB"/>
          </w:rPr>
          <w:tab/>
        </w:r>
        <w:r w:rsidR="00B83085" w:rsidRPr="0089707D">
          <w:rPr>
            <w:rStyle w:val="Hyperlink"/>
            <w:noProof/>
          </w:rPr>
          <w:t>Food groups* where amount of food group consumed by the whole population (2 years and above) at median PFOS and/or PFOS+PFHxS combined concentration to reach the TDI are less than mean (shaded) or 90</w:t>
        </w:r>
        <w:r w:rsidR="00B83085" w:rsidRPr="0089707D">
          <w:rPr>
            <w:rStyle w:val="Hyperlink"/>
            <w:noProof/>
            <w:vertAlign w:val="superscript"/>
          </w:rPr>
          <w:t>th</w:t>
        </w:r>
        <w:r w:rsidR="00B83085" w:rsidRPr="0089707D">
          <w:rPr>
            <w:rStyle w:val="Hyperlink"/>
            <w:noProof/>
          </w:rPr>
          <w:t xml:space="preserve"> percentile food consumption (bold) derived from the 2011</w:t>
        </w:r>
        <w:r w:rsidR="00B83085" w:rsidRPr="0089707D">
          <w:rPr>
            <w:rStyle w:val="Hyperlink"/>
            <w:noProof/>
          </w:rPr>
          <w:noBreakHyphen/>
          <w:t>12 NNPAS</w:t>
        </w:r>
        <w:r w:rsidR="00B83085">
          <w:rPr>
            <w:noProof/>
            <w:webHidden/>
          </w:rPr>
          <w:t xml:space="preserve"> </w:t>
        </w:r>
        <w:r w:rsidR="00B83085">
          <w:rPr>
            <w:noProof/>
            <w:webHidden/>
          </w:rPr>
          <w:fldChar w:fldCharType="begin"/>
        </w:r>
        <w:r w:rsidR="00B83085">
          <w:rPr>
            <w:noProof/>
            <w:webHidden/>
          </w:rPr>
          <w:instrText xml:space="preserve"> PAGEREF _Toc474852108 \h </w:instrText>
        </w:r>
        <w:r w:rsidR="00B83085">
          <w:rPr>
            <w:noProof/>
            <w:webHidden/>
          </w:rPr>
        </w:r>
        <w:r w:rsidR="00B83085">
          <w:rPr>
            <w:noProof/>
            <w:webHidden/>
          </w:rPr>
          <w:fldChar w:fldCharType="separate"/>
        </w:r>
        <w:r w:rsidR="00DB24C8">
          <w:rPr>
            <w:noProof/>
            <w:webHidden/>
          </w:rPr>
          <w:t>19</w:t>
        </w:r>
        <w:r w:rsidR="00B83085">
          <w:rPr>
            <w:noProof/>
            <w:webHidden/>
          </w:rPr>
          <w:fldChar w:fldCharType="end"/>
        </w:r>
      </w:hyperlink>
    </w:p>
    <w:p w14:paraId="12C6927B" w14:textId="77777777" w:rsidR="00B83085" w:rsidRDefault="00B42527" w:rsidP="00B83085">
      <w:pPr>
        <w:pStyle w:val="TOC1"/>
        <w:rPr>
          <w:rFonts w:eastAsiaTheme="minorEastAsia"/>
          <w:noProof/>
          <w:lang w:eastAsia="en-GB"/>
        </w:rPr>
      </w:pPr>
      <w:hyperlink w:anchor="_Toc474852109" w:history="1">
        <w:r w:rsidR="00B83085" w:rsidRPr="0089707D">
          <w:rPr>
            <w:rStyle w:val="Hyperlink"/>
            <w:noProof/>
          </w:rPr>
          <w:t>Table 7.</w:t>
        </w:r>
        <w:r w:rsidR="00B83085">
          <w:rPr>
            <w:rFonts w:eastAsiaTheme="minorEastAsia"/>
            <w:noProof/>
            <w:lang w:eastAsia="en-GB"/>
          </w:rPr>
          <w:tab/>
        </w:r>
        <w:r w:rsidR="00B83085" w:rsidRPr="0089707D">
          <w:rPr>
            <w:rStyle w:val="Hyperlink"/>
            <w:noProof/>
          </w:rPr>
          <w:t>Food groups* where amount of food group consumed by children aged 2-6 years at median PFOS and or/ PFOS + PFHxS combined concentration to reach the TDI are less than mean (shaded) or 90</w:t>
        </w:r>
        <w:r w:rsidR="00B83085" w:rsidRPr="0089707D">
          <w:rPr>
            <w:rStyle w:val="Hyperlink"/>
            <w:noProof/>
            <w:vertAlign w:val="superscript"/>
          </w:rPr>
          <w:t>th</w:t>
        </w:r>
        <w:r w:rsidR="00B83085" w:rsidRPr="0089707D">
          <w:rPr>
            <w:rStyle w:val="Hyperlink"/>
            <w:noProof/>
          </w:rPr>
          <w:t xml:space="preserve"> percentile (bold) food consumption derived from the 2011-12 NNPAS</w:t>
        </w:r>
        <w:r w:rsidR="00B83085">
          <w:rPr>
            <w:noProof/>
            <w:webHidden/>
          </w:rPr>
          <w:t xml:space="preserve"> </w:t>
        </w:r>
        <w:r w:rsidR="00B83085">
          <w:rPr>
            <w:noProof/>
            <w:webHidden/>
          </w:rPr>
          <w:fldChar w:fldCharType="begin"/>
        </w:r>
        <w:r w:rsidR="00B83085">
          <w:rPr>
            <w:noProof/>
            <w:webHidden/>
          </w:rPr>
          <w:instrText xml:space="preserve"> PAGEREF _Toc474852109 \h </w:instrText>
        </w:r>
        <w:r w:rsidR="00B83085">
          <w:rPr>
            <w:noProof/>
            <w:webHidden/>
          </w:rPr>
        </w:r>
        <w:r w:rsidR="00B83085">
          <w:rPr>
            <w:noProof/>
            <w:webHidden/>
          </w:rPr>
          <w:fldChar w:fldCharType="separate"/>
        </w:r>
        <w:r w:rsidR="00DB24C8">
          <w:rPr>
            <w:noProof/>
            <w:webHidden/>
          </w:rPr>
          <w:t>20</w:t>
        </w:r>
        <w:r w:rsidR="00B83085">
          <w:rPr>
            <w:noProof/>
            <w:webHidden/>
          </w:rPr>
          <w:fldChar w:fldCharType="end"/>
        </w:r>
      </w:hyperlink>
    </w:p>
    <w:p w14:paraId="66EE2111" w14:textId="77777777" w:rsidR="00B83085" w:rsidRDefault="00B42527" w:rsidP="00B83085">
      <w:pPr>
        <w:pStyle w:val="TOC1"/>
        <w:rPr>
          <w:rFonts w:eastAsiaTheme="minorEastAsia"/>
          <w:noProof/>
          <w:lang w:eastAsia="en-GB"/>
        </w:rPr>
      </w:pPr>
      <w:hyperlink w:anchor="_Toc474852110" w:history="1">
        <w:r w:rsidR="00B83085" w:rsidRPr="0089707D">
          <w:rPr>
            <w:rStyle w:val="Hyperlink"/>
            <w:noProof/>
            <w:lang w:eastAsia="en-AU"/>
          </w:rPr>
          <w:t>Table 8.</w:t>
        </w:r>
        <w:r w:rsidR="00B83085">
          <w:rPr>
            <w:rFonts w:eastAsiaTheme="minorEastAsia"/>
            <w:noProof/>
            <w:lang w:eastAsia="en-GB"/>
          </w:rPr>
          <w:tab/>
        </w:r>
        <w:r w:rsidR="00B83085" w:rsidRPr="0089707D">
          <w:rPr>
            <w:rStyle w:val="Hyperlink"/>
            <w:noProof/>
            <w:lang w:eastAsia="en-AU"/>
          </w:rPr>
          <w:t xml:space="preserve">Proposed </w:t>
        </w:r>
        <w:r w:rsidR="00B83085" w:rsidRPr="0089707D">
          <w:rPr>
            <w:rStyle w:val="Hyperlink"/>
            <w:noProof/>
          </w:rPr>
          <w:t>trigger points for investigation</w:t>
        </w:r>
        <w:r w:rsidR="00B83085">
          <w:rPr>
            <w:noProof/>
            <w:webHidden/>
          </w:rPr>
          <w:t xml:space="preserve"> </w:t>
        </w:r>
        <w:r w:rsidR="00B83085">
          <w:rPr>
            <w:noProof/>
            <w:webHidden/>
          </w:rPr>
          <w:fldChar w:fldCharType="begin"/>
        </w:r>
        <w:r w:rsidR="00B83085">
          <w:rPr>
            <w:noProof/>
            <w:webHidden/>
          </w:rPr>
          <w:instrText xml:space="preserve"> PAGEREF _Toc474852110 \h </w:instrText>
        </w:r>
        <w:r w:rsidR="00B83085">
          <w:rPr>
            <w:noProof/>
            <w:webHidden/>
          </w:rPr>
        </w:r>
        <w:r w:rsidR="00B83085">
          <w:rPr>
            <w:noProof/>
            <w:webHidden/>
          </w:rPr>
          <w:fldChar w:fldCharType="separate"/>
        </w:r>
        <w:r w:rsidR="00DB24C8">
          <w:rPr>
            <w:noProof/>
            <w:webHidden/>
          </w:rPr>
          <w:t>22</w:t>
        </w:r>
        <w:r w:rsidR="00B83085">
          <w:rPr>
            <w:noProof/>
            <w:webHidden/>
          </w:rPr>
          <w:fldChar w:fldCharType="end"/>
        </w:r>
      </w:hyperlink>
    </w:p>
    <w:p w14:paraId="587785B5" w14:textId="77777777" w:rsidR="00B83085" w:rsidRDefault="00B42527" w:rsidP="00B83085">
      <w:pPr>
        <w:pStyle w:val="TOC1"/>
        <w:rPr>
          <w:rFonts w:eastAsiaTheme="minorEastAsia"/>
          <w:noProof/>
          <w:lang w:eastAsia="en-GB"/>
        </w:rPr>
      </w:pPr>
      <w:hyperlink w:anchor="_Toc474852111" w:history="1">
        <w:r w:rsidR="00B83085" w:rsidRPr="0089707D">
          <w:rPr>
            <w:rStyle w:val="Hyperlink"/>
            <w:noProof/>
            <w:lang w:eastAsia="en-AU"/>
          </w:rPr>
          <w:t>Table 9.</w:t>
        </w:r>
        <w:r w:rsidR="00B83085">
          <w:rPr>
            <w:rFonts w:eastAsiaTheme="minorEastAsia"/>
            <w:noProof/>
            <w:lang w:eastAsia="en-GB"/>
          </w:rPr>
          <w:tab/>
        </w:r>
        <w:r w:rsidR="00B83085" w:rsidRPr="0089707D">
          <w:rPr>
            <w:rStyle w:val="Hyperlink"/>
            <w:noProof/>
            <w:lang w:eastAsia="en-AU"/>
          </w:rPr>
          <w:t>Median lower, middle and upper bound PFOS, PFOA and PFHxS concentrations (</w:t>
        </w:r>
        <w:r w:rsidR="00B83085" w:rsidRPr="0089707D">
          <w:rPr>
            <w:rStyle w:val="Hyperlink"/>
            <w:rFonts w:cs="Arial"/>
            <w:noProof/>
            <w:lang w:eastAsia="en-AU"/>
          </w:rPr>
          <w:t>µ</w:t>
        </w:r>
        <w:r w:rsidR="00B83085" w:rsidRPr="0089707D">
          <w:rPr>
            <w:rStyle w:val="Hyperlink"/>
            <w:noProof/>
            <w:lang w:eastAsia="en-AU"/>
          </w:rPr>
          <w:t>g/kg) by food classification.</w:t>
        </w:r>
        <w:r w:rsidR="00B83085">
          <w:rPr>
            <w:noProof/>
            <w:webHidden/>
          </w:rPr>
          <w:t xml:space="preserve"> </w:t>
        </w:r>
        <w:r w:rsidR="00B83085">
          <w:rPr>
            <w:noProof/>
            <w:webHidden/>
          </w:rPr>
          <w:fldChar w:fldCharType="begin"/>
        </w:r>
        <w:r w:rsidR="00B83085">
          <w:rPr>
            <w:noProof/>
            <w:webHidden/>
          </w:rPr>
          <w:instrText xml:space="preserve"> PAGEREF _Toc474852111 \h </w:instrText>
        </w:r>
        <w:r w:rsidR="00B83085">
          <w:rPr>
            <w:noProof/>
            <w:webHidden/>
          </w:rPr>
        </w:r>
        <w:r w:rsidR="00B83085">
          <w:rPr>
            <w:noProof/>
            <w:webHidden/>
          </w:rPr>
          <w:fldChar w:fldCharType="separate"/>
        </w:r>
        <w:r w:rsidR="00DB24C8">
          <w:rPr>
            <w:noProof/>
            <w:webHidden/>
          </w:rPr>
          <w:t>27</w:t>
        </w:r>
        <w:r w:rsidR="00B83085">
          <w:rPr>
            <w:noProof/>
            <w:webHidden/>
          </w:rPr>
          <w:fldChar w:fldCharType="end"/>
        </w:r>
      </w:hyperlink>
    </w:p>
    <w:p w14:paraId="7C51463E" w14:textId="396E225F" w:rsidR="00B83085" w:rsidRDefault="00B42527" w:rsidP="00B83085">
      <w:pPr>
        <w:pStyle w:val="TOC1"/>
        <w:rPr>
          <w:rFonts w:eastAsiaTheme="minorEastAsia"/>
          <w:noProof/>
          <w:lang w:eastAsia="en-GB"/>
        </w:rPr>
      </w:pPr>
      <w:hyperlink w:anchor="_Toc474852112" w:history="1">
        <w:r w:rsidR="00B83085" w:rsidRPr="0089707D">
          <w:rPr>
            <w:rStyle w:val="Hyperlink"/>
            <w:noProof/>
            <w:lang w:eastAsia="en-AU"/>
          </w:rPr>
          <w:t>Table 10.</w:t>
        </w:r>
        <w:r w:rsidR="00B83085">
          <w:rPr>
            <w:rFonts w:eastAsiaTheme="minorEastAsia"/>
            <w:noProof/>
            <w:lang w:eastAsia="en-GB"/>
          </w:rPr>
          <w:tab/>
        </w:r>
        <w:r w:rsidR="00B83085" w:rsidRPr="0089707D">
          <w:rPr>
            <w:rStyle w:val="Hyperlink"/>
            <w:noProof/>
            <w:lang w:eastAsia="en-AU"/>
          </w:rPr>
          <w:t>Food consumption amounts</w:t>
        </w:r>
        <w:r w:rsidR="00DB24C8">
          <w:rPr>
            <w:rStyle w:val="Hyperlink"/>
            <w:noProof/>
            <w:lang w:eastAsia="en-AU"/>
          </w:rPr>
          <w:t xml:space="preserve"> (</w:t>
        </w:r>
        <w:r w:rsidR="00B83085" w:rsidRPr="0089707D">
          <w:rPr>
            <w:rStyle w:val="Hyperlink"/>
            <w:noProof/>
            <w:lang w:eastAsia="en-AU"/>
          </w:rPr>
          <w:t>grams</w:t>
        </w:r>
        <w:r w:rsidR="00DB24C8">
          <w:rPr>
            <w:rStyle w:val="Hyperlink"/>
            <w:noProof/>
            <w:lang w:eastAsia="en-AU"/>
          </w:rPr>
          <w:t>/day</w:t>
        </w:r>
        <w:r w:rsidR="00B83085" w:rsidRPr="0089707D">
          <w:rPr>
            <w:rStyle w:val="Hyperlink"/>
            <w:noProof/>
            <w:lang w:eastAsia="en-AU"/>
          </w:rPr>
          <w:t>) for food groups for Australians aged 2 years and above</w:t>
        </w:r>
        <w:r w:rsidR="00B83085">
          <w:rPr>
            <w:noProof/>
            <w:webHidden/>
          </w:rPr>
          <w:t xml:space="preserve"> </w:t>
        </w:r>
        <w:r w:rsidR="00B83085">
          <w:rPr>
            <w:noProof/>
            <w:webHidden/>
          </w:rPr>
          <w:fldChar w:fldCharType="begin"/>
        </w:r>
        <w:r w:rsidR="00B83085">
          <w:rPr>
            <w:noProof/>
            <w:webHidden/>
          </w:rPr>
          <w:instrText xml:space="preserve"> PAGEREF _Toc474852112 \h </w:instrText>
        </w:r>
        <w:r w:rsidR="00B83085">
          <w:rPr>
            <w:noProof/>
            <w:webHidden/>
          </w:rPr>
        </w:r>
        <w:r w:rsidR="00B83085">
          <w:rPr>
            <w:noProof/>
            <w:webHidden/>
          </w:rPr>
          <w:fldChar w:fldCharType="separate"/>
        </w:r>
        <w:r w:rsidR="00DB24C8">
          <w:rPr>
            <w:noProof/>
            <w:webHidden/>
          </w:rPr>
          <w:t>29</w:t>
        </w:r>
        <w:r w:rsidR="00B83085">
          <w:rPr>
            <w:noProof/>
            <w:webHidden/>
          </w:rPr>
          <w:fldChar w:fldCharType="end"/>
        </w:r>
      </w:hyperlink>
    </w:p>
    <w:p w14:paraId="5500C264" w14:textId="512958AC" w:rsidR="00B83085" w:rsidRDefault="00B42527" w:rsidP="00B83085">
      <w:pPr>
        <w:pStyle w:val="TOC1"/>
        <w:rPr>
          <w:rFonts w:eastAsiaTheme="minorEastAsia"/>
          <w:noProof/>
          <w:lang w:eastAsia="en-GB"/>
        </w:rPr>
      </w:pPr>
      <w:hyperlink w:anchor="_Toc474852113" w:history="1">
        <w:r w:rsidR="00B83085" w:rsidRPr="0089707D">
          <w:rPr>
            <w:rStyle w:val="Hyperlink"/>
            <w:noProof/>
          </w:rPr>
          <w:t>Table 11.</w:t>
        </w:r>
        <w:r w:rsidR="00B83085">
          <w:rPr>
            <w:rFonts w:eastAsiaTheme="minorEastAsia"/>
            <w:noProof/>
            <w:lang w:eastAsia="en-GB"/>
          </w:rPr>
          <w:tab/>
        </w:r>
        <w:r w:rsidR="00B83085" w:rsidRPr="0089707D">
          <w:rPr>
            <w:rStyle w:val="Hyperlink"/>
            <w:noProof/>
          </w:rPr>
          <w:t>Food consumption amounts (grams</w:t>
        </w:r>
        <w:r w:rsidR="00DB24C8">
          <w:rPr>
            <w:rStyle w:val="Hyperlink"/>
            <w:noProof/>
          </w:rPr>
          <w:t>/day</w:t>
        </w:r>
        <w:r w:rsidR="00B83085" w:rsidRPr="0089707D">
          <w:rPr>
            <w:rStyle w:val="Hyperlink"/>
            <w:noProof/>
          </w:rPr>
          <w:t>) for food groups for Australians aged 2-6 years</w:t>
        </w:r>
        <w:r w:rsidR="00B83085">
          <w:rPr>
            <w:noProof/>
            <w:webHidden/>
          </w:rPr>
          <w:t xml:space="preserve"> </w:t>
        </w:r>
        <w:r w:rsidR="00B83085">
          <w:rPr>
            <w:noProof/>
            <w:webHidden/>
          </w:rPr>
          <w:fldChar w:fldCharType="begin"/>
        </w:r>
        <w:r w:rsidR="00B83085">
          <w:rPr>
            <w:noProof/>
            <w:webHidden/>
          </w:rPr>
          <w:instrText xml:space="preserve"> PAGEREF _Toc474852113 \h </w:instrText>
        </w:r>
        <w:r w:rsidR="00B83085">
          <w:rPr>
            <w:noProof/>
            <w:webHidden/>
          </w:rPr>
        </w:r>
        <w:r w:rsidR="00B83085">
          <w:rPr>
            <w:noProof/>
            <w:webHidden/>
          </w:rPr>
          <w:fldChar w:fldCharType="separate"/>
        </w:r>
        <w:r w:rsidR="00DB24C8">
          <w:rPr>
            <w:noProof/>
            <w:webHidden/>
          </w:rPr>
          <w:t>30</w:t>
        </w:r>
        <w:r w:rsidR="00B83085">
          <w:rPr>
            <w:noProof/>
            <w:webHidden/>
          </w:rPr>
          <w:fldChar w:fldCharType="end"/>
        </w:r>
      </w:hyperlink>
    </w:p>
    <w:p w14:paraId="192E5890" w14:textId="77777777" w:rsidR="00B83085" w:rsidRDefault="00B42527" w:rsidP="00B83085">
      <w:pPr>
        <w:pStyle w:val="TOC1"/>
        <w:rPr>
          <w:rFonts w:eastAsiaTheme="minorEastAsia"/>
          <w:noProof/>
          <w:lang w:eastAsia="en-GB"/>
        </w:rPr>
      </w:pPr>
      <w:hyperlink w:anchor="_Toc474852114" w:history="1">
        <w:r w:rsidR="00B83085" w:rsidRPr="0089707D">
          <w:rPr>
            <w:rStyle w:val="Hyperlink"/>
            <w:noProof/>
          </w:rPr>
          <w:t>Table 12.</w:t>
        </w:r>
        <w:r w:rsidR="00B83085">
          <w:rPr>
            <w:rFonts w:eastAsiaTheme="minorEastAsia"/>
            <w:noProof/>
            <w:lang w:eastAsia="en-GB"/>
          </w:rPr>
          <w:tab/>
        </w:r>
        <w:r w:rsidR="00B83085" w:rsidRPr="0089707D">
          <w:rPr>
            <w:rStyle w:val="Hyperlink"/>
            <w:noProof/>
          </w:rPr>
          <w:t>Amount of food* (grams/day) at median PFHxS concentration to reach the TDI for the population aged 2 years and above</w:t>
        </w:r>
        <w:r w:rsidR="00B83085">
          <w:rPr>
            <w:noProof/>
            <w:webHidden/>
          </w:rPr>
          <w:t xml:space="preserve"> </w:t>
        </w:r>
        <w:r w:rsidR="00B83085">
          <w:rPr>
            <w:noProof/>
            <w:webHidden/>
          </w:rPr>
          <w:fldChar w:fldCharType="begin"/>
        </w:r>
        <w:r w:rsidR="00B83085">
          <w:rPr>
            <w:noProof/>
            <w:webHidden/>
          </w:rPr>
          <w:instrText xml:space="preserve"> PAGEREF _Toc474852114 \h </w:instrText>
        </w:r>
        <w:r w:rsidR="00B83085">
          <w:rPr>
            <w:noProof/>
            <w:webHidden/>
          </w:rPr>
        </w:r>
        <w:r w:rsidR="00B83085">
          <w:rPr>
            <w:noProof/>
            <w:webHidden/>
          </w:rPr>
          <w:fldChar w:fldCharType="separate"/>
        </w:r>
        <w:r w:rsidR="00DB24C8">
          <w:rPr>
            <w:noProof/>
            <w:webHidden/>
          </w:rPr>
          <w:t>31</w:t>
        </w:r>
        <w:r w:rsidR="00B83085">
          <w:rPr>
            <w:noProof/>
            <w:webHidden/>
          </w:rPr>
          <w:fldChar w:fldCharType="end"/>
        </w:r>
      </w:hyperlink>
    </w:p>
    <w:p w14:paraId="220844D0" w14:textId="77777777" w:rsidR="00B83085" w:rsidRDefault="00B42527" w:rsidP="00B83085">
      <w:pPr>
        <w:pStyle w:val="TOC1"/>
        <w:rPr>
          <w:rFonts w:eastAsiaTheme="minorEastAsia"/>
          <w:noProof/>
          <w:lang w:eastAsia="en-GB"/>
        </w:rPr>
      </w:pPr>
      <w:hyperlink w:anchor="_Toc474852115" w:history="1">
        <w:r w:rsidR="00B83085" w:rsidRPr="0089707D">
          <w:rPr>
            <w:rStyle w:val="Hyperlink"/>
            <w:noProof/>
          </w:rPr>
          <w:t>Table 13.</w:t>
        </w:r>
        <w:r w:rsidR="00B83085">
          <w:rPr>
            <w:rFonts w:eastAsiaTheme="minorEastAsia"/>
            <w:noProof/>
            <w:lang w:eastAsia="en-GB"/>
          </w:rPr>
          <w:tab/>
        </w:r>
        <w:r w:rsidR="00B83085" w:rsidRPr="0089707D">
          <w:rPr>
            <w:rStyle w:val="Hyperlink"/>
            <w:noProof/>
          </w:rPr>
          <w:t>Amount of food* (grams/day) at median PFHxS concentration to reach the TDI for the population aged 2-6 years</w:t>
        </w:r>
        <w:r w:rsidR="00B83085">
          <w:rPr>
            <w:noProof/>
            <w:webHidden/>
          </w:rPr>
          <w:t xml:space="preserve"> </w:t>
        </w:r>
        <w:r w:rsidR="00B83085">
          <w:rPr>
            <w:noProof/>
            <w:webHidden/>
          </w:rPr>
          <w:fldChar w:fldCharType="begin"/>
        </w:r>
        <w:r w:rsidR="00B83085">
          <w:rPr>
            <w:noProof/>
            <w:webHidden/>
          </w:rPr>
          <w:instrText xml:space="preserve"> PAGEREF _Toc474852115 \h </w:instrText>
        </w:r>
        <w:r w:rsidR="00B83085">
          <w:rPr>
            <w:noProof/>
            <w:webHidden/>
          </w:rPr>
        </w:r>
        <w:r w:rsidR="00B83085">
          <w:rPr>
            <w:noProof/>
            <w:webHidden/>
          </w:rPr>
          <w:fldChar w:fldCharType="separate"/>
        </w:r>
        <w:r w:rsidR="00DB24C8">
          <w:rPr>
            <w:noProof/>
            <w:webHidden/>
          </w:rPr>
          <w:t>33</w:t>
        </w:r>
        <w:r w:rsidR="00B83085">
          <w:rPr>
            <w:noProof/>
            <w:webHidden/>
          </w:rPr>
          <w:fldChar w:fldCharType="end"/>
        </w:r>
      </w:hyperlink>
    </w:p>
    <w:p w14:paraId="32449164" w14:textId="77777777" w:rsidR="00B83085" w:rsidRDefault="00B42527" w:rsidP="00B83085">
      <w:pPr>
        <w:pStyle w:val="TOC1"/>
        <w:rPr>
          <w:rFonts w:eastAsiaTheme="minorEastAsia"/>
          <w:noProof/>
          <w:lang w:eastAsia="en-GB"/>
        </w:rPr>
      </w:pPr>
      <w:hyperlink w:anchor="_Toc474852116" w:history="1">
        <w:r w:rsidR="00B83085" w:rsidRPr="0089707D">
          <w:rPr>
            <w:rStyle w:val="Hyperlink"/>
            <w:noProof/>
          </w:rPr>
          <w:t>Table 14.</w:t>
        </w:r>
        <w:r w:rsidR="00B83085">
          <w:rPr>
            <w:rFonts w:eastAsiaTheme="minorEastAsia"/>
            <w:noProof/>
            <w:lang w:eastAsia="en-GB"/>
          </w:rPr>
          <w:tab/>
        </w:r>
        <w:r w:rsidR="00B83085" w:rsidRPr="0089707D">
          <w:rPr>
            <w:rStyle w:val="Hyperlink"/>
            <w:noProof/>
          </w:rPr>
          <w:t>Amount of food* (grams/day) at median PFOS concentration to reach the TDI for the population aged 2 years and above</w:t>
        </w:r>
        <w:r w:rsidR="00B83085">
          <w:rPr>
            <w:noProof/>
            <w:webHidden/>
          </w:rPr>
          <w:t xml:space="preserve"> </w:t>
        </w:r>
        <w:r w:rsidR="00B83085">
          <w:rPr>
            <w:noProof/>
            <w:webHidden/>
          </w:rPr>
          <w:fldChar w:fldCharType="begin"/>
        </w:r>
        <w:r w:rsidR="00B83085">
          <w:rPr>
            <w:noProof/>
            <w:webHidden/>
          </w:rPr>
          <w:instrText xml:space="preserve"> PAGEREF _Toc474852116 \h </w:instrText>
        </w:r>
        <w:r w:rsidR="00B83085">
          <w:rPr>
            <w:noProof/>
            <w:webHidden/>
          </w:rPr>
        </w:r>
        <w:r w:rsidR="00B83085">
          <w:rPr>
            <w:noProof/>
            <w:webHidden/>
          </w:rPr>
          <w:fldChar w:fldCharType="separate"/>
        </w:r>
        <w:r w:rsidR="00DB24C8">
          <w:rPr>
            <w:noProof/>
            <w:webHidden/>
          </w:rPr>
          <w:t>34</w:t>
        </w:r>
        <w:r w:rsidR="00B83085">
          <w:rPr>
            <w:noProof/>
            <w:webHidden/>
          </w:rPr>
          <w:fldChar w:fldCharType="end"/>
        </w:r>
      </w:hyperlink>
    </w:p>
    <w:p w14:paraId="0B8A7B27" w14:textId="77777777" w:rsidR="00B83085" w:rsidRDefault="00B42527" w:rsidP="00B83085">
      <w:pPr>
        <w:pStyle w:val="TOC1"/>
        <w:rPr>
          <w:rFonts w:eastAsiaTheme="minorEastAsia"/>
          <w:noProof/>
          <w:lang w:eastAsia="en-GB"/>
        </w:rPr>
      </w:pPr>
      <w:hyperlink w:anchor="_Toc474852117" w:history="1">
        <w:r w:rsidR="00B83085" w:rsidRPr="0089707D">
          <w:rPr>
            <w:rStyle w:val="Hyperlink"/>
            <w:noProof/>
          </w:rPr>
          <w:t>Table 15.</w:t>
        </w:r>
        <w:r w:rsidR="00B83085">
          <w:rPr>
            <w:rFonts w:eastAsiaTheme="minorEastAsia"/>
            <w:noProof/>
            <w:lang w:eastAsia="en-GB"/>
          </w:rPr>
          <w:tab/>
        </w:r>
        <w:r w:rsidR="00B83085" w:rsidRPr="0089707D">
          <w:rPr>
            <w:rStyle w:val="Hyperlink"/>
            <w:noProof/>
          </w:rPr>
          <w:t>Amount of food* (grams/day) at median PFOS concentration to reach the TDI for the population aged 2-6 years</w:t>
        </w:r>
        <w:r w:rsidR="00B83085">
          <w:rPr>
            <w:noProof/>
            <w:webHidden/>
          </w:rPr>
          <w:t xml:space="preserve"> </w:t>
        </w:r>
        <w:r w:rsidR="00B83085">
          <w:rPr>
            <w:noProof/>
            <w:webHidden/>
          </w:rPr>
          <w:fldChar w:fldCharType="begin"/>
        </w:r>
        <w:r w:rsidR="00B83085">
          <w:rPr>
            <w:noProof/>
            <w:webHidden/>
          </w:rPr>
          <w:instrText xml:space="preserve"> PAGEREF _Toc474852117 \h </w:instrText>
        </w:r>
        <w:r w:rsidR="00B83085">
          <w:rPr>
            <w:noProof/>
            <w:webHidden/>
          </w:rPr>
        </w:r>
        <w:r w:rsidR="00B83085">
          <w:rPr>
            <w:noProof/>
            <w:webHidden/>
          </w:rPr>
          <w:fldChar w:fldCharType="separate"/>
        </w:r>
        <w:r w:rsidR="00DB24C8">
          <w:rPr>
            <w:noProof/>
            <w:webHidden/>
          </w:rPr>
          <w:t>35</w:t>
        </w:r>
        <w:r w:rsidR="00B83085">
          <w:rPr>
            <w:noProof/>
            <w:webHidden/>
          </w:rPr>
          <w:fldChar w:fldCharType="end"/>
        </w:r>
      </w:hyperlink>
    </w:p>
    <w:p w14:paraId="5AA34821" w14:textId="77777777" w:rsidR="00B83085" w:rsidRDefault="00B42527" w:rsidP="00B83085">
      <w:pPr>
        <w:pStyle w:val="TOC1"/>
        <w:rPr>
          <w:rFonts w:eastAsiaTheme="minorEastAsia"/>
          <w:noProof/>
          <w:lang w:eastAsia="en-GB"/>
        </w:rPr>
      </w:pPr>
      <w:hyperlink w:anchor="_Toc474852118" w:history="1">
        <w:r w:rsidR="00B83085" w:rsidRPr="0089707D">
          <w:rPr>
            <w:rStyle w:val="Hyperlink"/>
            <w:noProof/>
          </w:rPr>
          <w:t>Table 16.</w:t>
        </w:r>
        <w:r w:rsidR="00B83085">
          <w:rPr>
            <w:rFonts w:eastAsiaTheme="minorEastAsia"/>
            <w:noProof/>
            <w:lang w:eastAsia="en-GB"/>
          </w:rPr>
          <w:tab/>
        </w:r>
        <w:r w:rsidR="00B83085" w:rsidRPr="0089707D">
          <w:rPr>
            <w:rStyle w:val="Hyperlink"/>
            <w:noProof/>
          </w:rPr>
          <w:t>Amount of food* (grams/day) at median PFOA concentration to reach the TDI for the population aged 2 years and above</w:t>
        </w:r>
        <w:r w:rsidR="00B83085">
          <w:rPr>
            <w:noProof/>
            <w:webHidden/>
          </w:rPr>
          <w:t xml:space="preserve"> </w:t>
        </w:r>
        <w:r w:rsidR="00B83085">
          <w:rPr>
            <w:noProof/>
            <w:webHidden/>
          </w:rPr>
          <w:fldChar w:fldCharType="begin"/>
        </w:r>
        <w:r w:rsidR="00B83085">
          <w:rPr>
            <w:noProof/>
            <w:webHidden/>
          </w:rPr>
          <w:instrText xml:space="preserve"> PAGEREF _Toc474852118 \h </w:instrText>
        </w:r>
        <w:r w:rsidR="00B83085">
          <w:rPr>
            <w:noProof/>
            <w:webHidden/>
          </w:rPr>
        </w:r>
        <w:r w:rsidR="00B83085">
          <w:rPr>
            <w:noProof/>
            <w:webHidden/>
          </w:rPr>
          <w:fldChar w:fldCharType="separate"/>
        </w:r>
        <w:r w:rsidR="00DB24C8">
          <w:rPr>
            <w:noProof/>
            <w:webHidden/>
          </w:rPr>
          <w:t>36</w:t>
        </w:r>
        <w:r w:rsidR="00B83085">
          <w:rPr>
            <w:noProof/>
            <w:webHidden/>
          </w:rPr>
          <w:fldChar w:fldCharType="end"/>
        </w:r>
      </w:hyperlink>
    </w:p>
    <w:p w14:paraId="45130656" w14:textId="77777777" w:rsidR="00B83085" w:rsidRDefault="00B42527" w:rsidP="00B83085">
      <w:pPr>
        <w:pStyle w:val="TOC1"/>
        <w:rPr>
          <w:rFonts w:eastAsiaTheme="minorEastAsia"/>
          <w:noProof/>
          <w:lang w:eastAsia="en-GB"/>
        </w:rPr>
      </w:pPr>
      <w:hyperlink w:anchor="_Toc474852119" w:history="1">
        <w:r w:rsidR="00B83085" w:rsidRPr="0089707D">
          <w:rPr>
            <w:rStyle w:val="Hyperlink"/>
            <w:noProof/>
          </w:rPr>
          <w:t>Table 17.</w:t>
        </w:r>
        <w:r w:rsidR="00B83085">
          <w:rPr>
            <w:rFonts w:eastAsiaTheme="minorEastAsia"/>
            <w:noProof/>
            <w:lang w:eastAsia="en-GB"/>
          </w:rPr>
          <w:tab/>
        </w:r>
        <w:r w:rsidR="00B83085" w:rsidRPr="0089707D">
          <w:rPr>
            <w:rStyle w:val="Hyperlink"/>
            <w:noProof/>
          </w:rPr>
          <w:t>Amount of food* (grams/day) at median PFOA concentration to reach the TDI for the population aged 2-6 years</w:t>
        </w:r>
        <w:r w:rsidR="00B83085">
          <w:rPr>
            <w:noProof/>
            <w:webHidden/>
          </w:rPr>
          <w:t xml:space="preserve"> </w:t>
        </w:r>
        <w:r w:rsidR="00B83085">
          <w:rPr>
            <w:noProof/>
            <w:webHidden/>
          </w:rPr>
          <w:fldChar w:fldCharType="begin"/>
        </w:r>
        <w:r w:rsidR="00B83085">
          <w:rPr>
            <w:noProof/>
            <w:webHidden/>
          </w:rPr>
          <w:instrText xml:space="preserve"> PAGEREF _Toc474852119 \h </w:instrText>
        </w:r>
        <w:r w:rsidR="00B83085">
          <w:rPr>
            <w:noProof/>
            <w:webHidden/>
          </w:rPr>
        </w:r>
        <w:r w:rsidR="00B83085">
          <w:rPr>
            <w:noProof/>
            <w:webHidden/>
          </w:rPr>
          <w:fldChar w:fldCharType="separate"/>
        </w:r>
        <w:r w:rsidR="00DB24C8">
          <w:rPr>
            <w:noProof/>
            <w:webHidden/>
          </w:rPr>
          <w:t>37</w:t>
        </w:r>
        <w:r w:rsidR="00B83085">
          <w:rPr>
            <w:noProof/>
            <w:webHidden/>
          </w:rPr>
          <w:fldChar w:fldCharType="end"/>
        </w:r>
      </w:hyperlink>
    </w:p>
    <w:p w14:paraId="05E6DDBF" w14:textId="77777777" w:rsidR="00B83085" w:rsidRDefault="00B42527" w:rsidP="00B83085">
      <w:pPr>
        <w:pStyle w:val="TOC1"/>
        <w:rPr>
          <w:rFonts w:eastAsiaTheme="minorEastAsia"/>
          <w:noProof/>
          <w:lang w:eastAsia="en-GB"/>
        </w:rPr>
      </w:pPr>
      <w:hyperlink w:anchor="_Toc474852120" w:history="1">
        <w:r w:rsidR="00B83085" w:rsidRPr="0089707D">
          <w:rPr>
            <w:rStyle w:val="Hyperlink"/>
            <w:noProof/>
          </w:rPr>
          <w:t>Table 18.</w:t>
        </w:r>
        <w:r w:rsidR="00B83085">
          <w:rPr>
            <w:rFonts w:eastAsiaTheme="minorEastAsia"/>
            <w:noProof/>
            <w:lang w:eastAsia="en-GB"/>
          </w:rPr>
          <w:tab/>
        </w:r>
        <w:r w:rsidR="00B83085" w:rsidRPr="0089707D">
          <w:rPr>
            <w:rStyle w:val="Hyperlink"/>
            <w:noProof/>
          </w:rPr>
          <w:t>Amount of food* (grams/day) at median PFOS+PFHxS combined concentration to reach the TDI for the population aged 2 years and above</w:t>
        </w:r>
        <w:r w:rsidR="00B83085">
          <w:rPr>
            <w:noProof/>
            <w:webHidden/>
          </w:rPr>
          <w:t xml:space="preserve"> </w:t>
        </w:r>
        <w:r w:rsidR="00B83085">
          <w:rPr>
            <w:noProof/>
            <w:webHidden/>
          </w:rPr>
          <w:fldChar w:fldCharType="begin"/>
        </w:r>
        <w:r w:rsidR="00B83085">
          <w:rPr>
            <w:noProof/>
            <w:webHidden/>
          </w:rPr>
          <w:instrText xml:space="preserve"> PAGEREF _Toc474852120 \h </w:instrText>
        </w:r>
        <w:r w:rsidR="00B83085">
          <w:rPr>
            <w:noProof/>
            <w:webHidden/>
          </w:rPr>
        </w:r>
        <w:r w:rsidR="00B83085">
          <w:rPr>
            <w:noProof/>
            <w:webHidden/>
          </w:rPr>
          <w:fldChar w:fldCharType="separate"/>
        </w:r>
        <w:r w:rsidR="00DB24C8">
          <w:rPr>
            <w:noProof/>
            <w:webHidden/>
          </w:rPr>
          <w:t>38</w:t>
        </w:r>
        <w:r w:rsidR="00B83085">
          <w:rPr>
            <w:noProof/>
            <w:webHidden/>
          </w:rPr>
          <w:fldChar w:fldCharType="end"/>
        </w:r>
      </w:hyperlink>
    </w:p>
    <w:p w14:paraId="04D5AD53" w14:textId="77777777" w:rsidR="00B83085" w:rsidRDefault="00B42527" w:rsidP="00B83085">
      <w:pPr>
        <w:pStyle w:val="TOC1"/>
        <w:rPr>
          <w:rFonts w:eastAsiaTheme="minorEastAsia"/>
          <w:noProof/>
          <w:lang w:eastAsia="en-GB"/>
        </w:rPr>
      </w:pPr>
      <w:hyperlink w:anchor="_Toc474852121" w:history="1">
        <w:r w:rsidR="00B83085" w:rsidRPr="0089707D">
          <w:rPr>
            <w:rStyle w:val="Hyperlink"/>
            <w:noProof/>
          </w:rPr>
          <w:t>Table 19.</w:t>
        </w:r>
        <w:r w:rsidR="00B83085">
          <w:rPr>
            <w:rFonts w:eastAsiaTheme="minorEastAsia"/>
            <w:noProof/>
            <w:lang w:eastAsia="en-GB"/>
          </w:rPr>
          <w:tab/>
        </w:r>
        <w:r w:rsidR="00B83085" w:rsidRPr="0089707D">
          <w:rPr>
            <w:rStyle w:val="Hyperlink"/>
            <w:noProof/>
          </w:rPr>
          <w:t>Amount of food* (grams/day) at median PFOS+PFHxS combined concentration to reach the TDI for the population aged 2-6 years</w:t>
        </w:r>
        <w:r w:rsidR="00B83085">
          <w:rPr>
            <w:noProof/>
            <w:webHidden/>
          </w:rPr>
          <w:t xml:space="preserve"> </w:t>
        </w:r>
        <w:r w:rsidR="00B83085">
          <w:rPr>
            <w:noProof/>
            <w:webHidden/>
          </w:rPr>
          <w:fldChar w:fldCharType="begin"/>
        </w:r>
        <w:r w:rsidR="00B83085">
          <w:rPr>
            <w:noProof/>
            <w:webHidden/>
          </w:rPr>
          <w:instrText xml:space="preserve"> PAGEREF _Toc474852121 \h </w:instrText>
        </w:r>
        <w:r w:rsidR="00B83085">
          <w:rPr>
            <w:noProof/>
            <w:webHidden/>
          </w:rPr>
        </w:r>
        <w:r w:rsidR="00B83085">
          <w:rPr>
            <w:noProof/>
            <w:webHidden/>
          </w:rPr>
          <w:fldChar w:fldCharType="separate"/>
        </w:r>
        <w:r w:rsidR="00DB24C8">
          <w:rPr>
            <w:noProof/>
            <w:webHidden/>
          </w:rPr>
          <w:t>39</w:t>
        </w:r>
        <w:r w:rsidR="00B83085">
          <w:rPr>
            <w:noProof/>
            <w:webHidden/>
          </w:rPr>
          <w:fldChar w:fldCharType="end"/>
        </w:r>
      </w:hyperlink>
    </w:p>
    <w:p w14:paraId="146700D4" w14:textId="77777777" w:rsidR="00B83085" w:rsidRDefault="00B42527" w:rsidP="00B83085">
      <w:pPr>
        <w:pStyle w:val="TOC1"/>
        <w:rPr>
          <w:rFonts w:eastAsiaTheme="minorEastAsia"/>
          <w:noProof/>
          <w:lang w:eastAsia="en-GB"/>
        </w:rPr>
      </w:pPr>
      <w:hyperlink w:anchor="_Toc474852122" w:history="1">
        <w:r w:rsidR="00B83085" w:rsidRPr="0089707D">
          <w:rPr>
            <w:rStyle w:val="Hyperlink"/>
            <w:noProof/>
          </w:rPr>
          <w:t>Table 20.</w:t>
        </w:r>
        <w:r w:rsidR="00B83085">
          <w:rPr>
            <w:rFonts w:eastAsiaTheme="minorEastAsia"/>
            <w:noProof/>
            <w:lang w:eastAsia="en-GB"/>
          </w:rPr>
          <w:tab/>
        </w:r>
        <w:r w:rsidR="00B83085" w:rsidRPr="0089707D">
          <w:rPr>
            <w:rStyle w:val="Hyperlink"/>
            <w:noProof/>
          </w:rPr>
          <w:t>PFOS, PFOA and PFHxS concentration (µg/kg) at median or 90</w:t>
        </w:r>
        <w:r w:rsidR="00B83085" w:rsidRPr="0089707D">
          <w:rPr>
            <w:rStyle w:val="Hyperlink"/>
            <w:noProof/>
            <w:vertAlign w:val="superscript"/>
          </w:rPr>
          <w:t>th</w:t>
        </w:r>
        <w:r w:rsidR="00B83085" w:rsidRPr="0089707D">
          <w:rPr>
            <w:rStyle w:val="Hyperlink"/>
            <w:noProof/>
          </w:rPr>
          <w:t xml:space="preserve"> percentile consumption (consumers only) to reach TDI*. Trigger points are shaded and bolded.</w:t>
        </w:r>
        <w:r w:rsidR="00B83085">
          <w:rPr>
            <w:noProof/>
            <w:webHidden/>
          </w:rPr>
          <w:t xml:space="preserve"> </w:t>
        </w:r>
        <w:r w:rsidR="00B83085">
          <w:rPr>
            <w:noProof/>
            <w:webHidden/>
          </w:rPr>
          <w:fldChar w:fldCharType="begin"/>
        </w:r>
        <w:r w:rsidR="00B83085">
          <w:rPr>
            <w:noProof/>
            <w:webHidden/>
          </w:rPr>
          <w:instrText xml:space="preserve"> PAGEREF _Toc474852122 \h </w:instrText>
        </w:r>
        <w:r w:rsidR="00B83085">
          <w:rPr>
            <w:noProof/>
            <w:webHidden/>
          </w:rPr>
        </w:r>
        <w:r w:rsidR="00B83085">
          <w:rPr>
            <w:noProof/>
            <w:webHidden/>
          </w:rPr>
          <w:fldChar w:fldCharType="separate"/>
        </w:r>
        <w:r w:rsidR="00DB24C8">
          <w:rPr>
            <w:noProof/>
            <w:webHidden/>
          </w:rPr>
          <w:t>40</w:t>
        </w:r>
        <w:r w:rsidR="00B83085">
          <w:rPr>
            <w:noProof/>
            <w:webHidden/>
          </w:rPr>
          <w:fldChar w:fldCharType="end"/>
        </w:r>
      </w:hyperlink>
    </w:p>
    <w:p w14:paraId="38573F88" w14:textId="2F0B7EE7" w:rsidR="00B83085" w:rsidRDefault="00B83085" w:rsidP="00B83085">
      <w:pPr>
        <w:rPr>
          <w:lang w:eastAsia="en-AU"/>
        </w:rPr>
      </w:pPr>
      <w:r>
        <w:fldChar w:fldCharType="end"/>
      </w:r>
    </w:p>
    <w:p w14:paraId="6CE39FBB" w14:textId="77777777" w:rsidR="00B83085" w:rsidRPr="00B83085" w:rsidRDefault="00B83085" w:rsidP="00B83085">
      <w:pPr>
        <w:rPr>
          <w:lang w:eastAsia="en-AU"/>
        </w:rPr>
        <w:sectPr w:rsidR="00B83085" w:rsidRPr="00B83085" w:rsidSect="008E2339">
          <w:pgSz w:w="11906" w:h="16838"/>
          <w:pgMar w:top="1418" w:right="1418" w:bottom="1418" w:left="1418" w:header="709" w:footer="709" w:gutter="0"/>
          <w:cols w:space="708"/>
          <w:docGrid w:linePitch="360"/>
        </w:sectPr>
      </w:pPr>
    </w:p>
    <w:p w14:paraId="51164730" w14:textId="359CE7FD" w:rsidR="005F5B16" w:rsidRDefault="005F5B16" w:rsidP="00DA20F0">
      <w:pPr>
        <w:pStyle w:val="Heading1"/>
        <w:numPr>
          <w:ilvl w:val="0"/>
          <w:numId w:val="0"/>
        </w:numPr>
        <w:spacing w:before="0" w:after="0"/>
        <w:ind w:left="431" w:hanging="431"/>
        <w:rPr>
          <w:lang w:eastAsia="en-AU"/>
        </w:rPr>
      </w:pPr>
      <w:bookmarkStart w:id="169" w:name="_Ref473786769"/>
      <w:bookmarkStart w:id="170" w:name="_Toc474153275"/>
      <w:bookmarkStart w:id="171" w:name="_Toc474158955"/>
      <w:bookmarkStart w:id="172" w:name="_Toc474847911"/>
      <w:bookmarkStart w:id="173" w:name="_Toc475360621"/>
      <w:bookmarkStart w:id="174" w:name="_Ref473723779"/>
      <w:bookmarkStart w:id="175" w:name="_Ref464468402"/>
      <w:r>
        <w:lastRenderedPageBreak/>
        <w:t>Appendix 1</w:t>
      </w:r>
      <w:r w:rsidR="003F30FA">
        <w:t>:</w:t>
      </w:r>
      <w:r>
        <w:t xml:space="preserve"> </w:t>
      </w:r>
      <w:r w:rsidR="005977CE">
        <w:t>Summary of o</w:t>
      </w:r>
      <w:r>
        <w:t>ccurrence data used in dietary exposure calculations</w:t>
      </w:r>
      <w:bookmarkEnd w:id="169"/>
      <w:bookmarkEnd w:id="170"/>
      <w:bookmarkEnd w:id="171"/>
      <w:bookmarkEnd w:id="172"/>
      <w:bookmarkEnd w:id="173"/>
    </w:p>
    <w:p w14:paraId="160329F0" w14:textId="2F33D56F" w:rsidR="005F5B16" w:rsidRDefault="005F5B16" w:rsidP="00DA20F0">
      <w:pPr>
        <w:pStyle w:val="FSTableColumnRowheading"/>
        <w:spacing w:before="0" w:after="60"/>
        <w:rPr>
          <w:lang w:eastAsia="en-AU"/>
        </w:rPr>
      </w:pPr>
      <w:bookmarkStart w:id="176" w:name="_Toc474153719"/>
      <w:bookmarkStart w:id="177" w:name="_Toc474158911"/>
      <w:bookmarkStart w:id="178" w:name="_Toc474847871"/>
      <w:bookmarkStart w:id="179" w:name="_Toc474852111"/>
      <w:r>
        <w:rPr>
          <w:lang w:eastAsia="en-AU"/>
        </w:rPr>
        <w:t xml:space="preserve">Median lower, middle and upper bound </w:t>
      </w:r>
      <w:r w:rsidR="00EE6194" w:rsidRPr="00EE6194">
        <w:rPr>
          <w:lang w:eastAsia="en-AU"/>
        </w:rPr>
        <w:t xml:space="preserve">PFOS, PFOA and </w:t>
      </w:r>
      <w:proofErr w:type="spellStart"/>
      <w:r w:rsidR="00EE6194" w:rsidRPr="00EE6194">
        <w:rPr>
          <w:lang w:eastAsia="en-AU"/>
        </w:rPr>
        <w:t>PFHxS</w:t>
      </w:r>
      <w:proofErr w:type="spellEnd"/>
      <w:r>
        <w:rPr>
          <w:lang w:eastAsia="en-AU"/>
        </w:rPr>
        <w:t xml:space="preserve"> concentrations </w:t>
      </w:r>
      <w:r w:rsidR="0058250E">
        <w:rPr>
          <w:lang w:eastAsia="en-AU"/>
        </w:rPr>
        <w:t>(</w:t>
      </w:r>
      <w:r w:rsidR="0058250E">
        <w:rPr>
          <w:rFonts w:cs="Arial"/>
          <w:lang w:eastAsia="en-AU"/>
        </w:rPr>
        <w:t>µ</w:t>
      </w:r>
      <w:r w:rsidR="0058250E">
        <w:rPr>
          <w:lang w:eastAsia="en-AU"/>
        </w:rPr>
        <w:t xml:space="preserve">g/kg) </w:t>
      </w:r>
      <w:r>
        <w:rPr>
          <w:lang w:eastAsia="en-AU"/>
        </w:rPr>
        <w:t>by food classification</w:t>
      </w:r>
      <w:bookmarkEnd w:id="176"/>
      <w:bookmarkEnd w:id="177"/>
      <w:bookmarkEnd w:id="178"/>
      <w:bookmarkEnd w:id="179"/>
    </w:p>
    <w:tbl>
      <w:tblPr>
        <w:tblStyle w:val="LightList-Accent11"/>
        <w:tblW w:w="14218" w:type="dxa"/>
        <w:tblLayout w:type="fixed"/>
        <w:tblLook w:val="04A0" w:firstRow="1" w:lastRow="0" w:firstColumn="1" w:lastColumn="0" w:noHBand="0" w:noVBand="1"/>
      </w:tblPr>
      <w:tblGrid>
        <w:gridCol w:w="1658"/>
        <w:gridCol w:w="2691"/>
        <w:gridCol w:w="760"/>
        <w:gridCol w:w="760"/>
        <w:gridCol w:w="760"/>
        <w:gridCol w:w="850"/>
        <w:gridCol w:w="993"/>
        <w:gridCol w:w="992"/>
        <w:gridCol w:w="792"/>
        <w:gridCol w:w="792"/>
        <w:gridCol w:w="793"/>
        <w:gridCol w:w="33"/>
        <w:gridCol w:w="759"/>
        <w:gridCol w:w="792"/>
        <w:gridCol w:w="793"/>
      </w:tblGrid>
      <w:tr w:rsidR="005F5B16" w:rsidRPr="00EE623C" w14:paraId="60F5EB0F" w14:textId="77777777" w:rsidTr="003D6B7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58" w:type="dxa"/>
            <w:vMerge w:val="restart"/>
            <w:vAlign w:val="center"/>
          </w:tcPr>
          <w:p w14:paraId="126C8D58" w14:textId="77777777" w:rsidR="005F5B16" w:rsidRPr="00A21C5E" w:rsidRDefault="005F5B16" w:rsidP="00AB57BA">
            <w:pPr>
              <w:spacing w:after="0" w:line="240" w:lineRule="auto"/>
              <w:contextualSpacing/>
              <w:rPr>
                <w:rFonts w:eastAsia="Times New Roman" w:cs="Arial"/>
                <w:bCs w:val="0"/>
                <w:sz w:val="18"/>
                <w:szCs w:val="18"/>
                <w:lang w:eastAsia="en-GB"/>
              </w:rPr>
            </w:pPr>
            <w:r w:rsidRPr="00A21C5E">
              <w:rPr>
                <w:rFonts w:eastAsia="Times New Roman" w:cs="Arial"/>
                <w:sz w:val="18"/>
                <w:szCs w:val="18"/>
                <w:lang w:eastAsia="en-GB"/>
              </w:rPr>
              <w:t>Food Category</w:t>
            </w:r>
          </w:p>
        </w:tc>
        <w:tc>
          <w:tcPr>
            <w:tcW w:w="2691" w:type="dxa"/>
            <w:vMerge w:val="restart"/>
            <w:noWrap/>
            <w:vAlign w:val="center"/>
          </w:tcPr>
          <w:p w14:paraId="69772270" w14:textId="77777777" w:rsidR="005F5B16" w:rsidRPr="00A21C5E" w:rsidRDefault="005F5B16" w:rsidP="00AB57BA">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Food Classification</w:t>
            </w:r>
          </w:p>
        </w:tc>
        <w:tc>
          <w:tcPr>
            <w:tcW w:w="2280" w:type="dxa"/>
            <w:gridSpan w:val="3"/>
            <w:noWrap/>
            <w:vAlign w:val="center"/>
          </w:tcPr>
          <w:p w14:paraId="1A7108BE" w14:textId="77777777" w:rsidR="005F5B16" w:rsidRPr="005C3B61" w:rsidRDefault="005F5B16" w:rsidP="00AB57B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rPr>
            </w:pPr>
            <w:r w:rsidRPr="005C3B61">
              <w:rPr>
                <w:sz w:val="18"/>
              </w:rPr>
              <w:t>PFOS</w:t>
            </w:r>
          </w:p>
        </w:tc>
        <w:tc>
          <w:tcPr>
            <w:tcW w:w="2835" w:type="dxa"/>
            <w:gridSpan w:val="3"/>
            <w:vAlign w:val="center"/>
          </w:tcPr>
          <w:p w14:paraId="7D6923A2" w14:textId="77777777" w:rsidR="005F5B16" w:rsidRPr="005C3B61" w:rsidRDefault="005F5B16" w:rsidP="00AB57B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rPr>
            </w:pPr>
            <w:r w:rsidRPr="005C3B61">
              <w:rPr>
                <w:sz w:val="18"/>
              </w:rPr>
              <w:t>PFOA</w:t>
            </w:r>
          </w:p>
        </w:tc>
        <w:tc>
          <w:tcPr>
            <w:tcW w:w="2410" w:type="dxa"/>
            <w:gridSpan w:val="4"/>
            <w:vAlign w:val="center"/>
          </w:tcPr>
          <w:p w14:paraId="4588EA0C" w14:textId="77777777" w:rsidR="005F5B16" w:rsidRPr="005C3B61" w:rsidRDefault="005F5B16" w:rsidP="00AB57B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rPr>
            </w:pPr>
            <w:proofErr w:type="spellStart"/>
            <w:r w:rsidRPr="005C3B61">
              <w:rPr>
                <w:sz w:val="18"/>
              </w:rPr>
              <w:t>PFHxS</w:t>
            </w:r>
            <w:proofErr w:type="spellEnd"/>
          </w:p>
        </w:tc>
        <w:tc>
          <w:tcPr>
            <w:tcW w:w="2344" w:type="dxa"/>
            <w:gridSpan w:val="3"/>
            <w:vAlign w:val="center"/>
          </w:tcPr>
          <w:p w14:paraId="3087B34A" w14:textId="77777777" w:rsidR="005F5B16" w:rsidRPr="005C3B61" w:rsidRDefault="005F5B16" w:rsidP="00AB57B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rPr>
            </w:pPr>
            <w:proofErr w:type="spellStart"/>
            <w:r w:rsidRPr="005C3B61">
              <w:rPr>
                <w:sz w:val="18"/>
              </w:rPr>
              <w:t>PFOS+PFHxS</w:t>
            </w:r>
            <w:proofErr w:type="spellEnd"/>
          </w:p>
        </w:tc>
      </w:tr>
      <w:tr w:rsidR="005F5B16" w:rsidRPr="00EE623C" w14:paraId="13508CEA" w14:textId="77777777" w:rsidTr="003D6B7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58" w:type="dxa"/>
            <w:vMerge/>
            <w:vAlign w:val="center"/>
          </w:tcPr>
          <w:p w14:paraId="55477BBC" w14:textId="77777777" w:rsidR="005F5B16" w:rsidRPr="00EE623C" w:rsidRDefault="005F5B16" w:rsidP="009A3DDD">
            <w:pPr>
              <w:spacing w:after="0" w:line="240" w:lineRule="auto"/>
              <w:contextualSpacing/>
              <w:jc w:val="center"/>
              <w:rPr>
                <w:rFonts w:eastAsia="Times New Roman" w:cs="Arial"/>
                <w:color w:val="000000"/>
                <w:sz w:val="18"/>
                <w:szCs w:val="18"/>
                <w:lang w:eastAsia="en-GB"/>
              </w:rPr>
            </w:pPr>
          </w:p>
        </w:tc>
        <w:tc>
          <w:tcPr>
            <w:tcW w:w="2691" w:type="dxa"/>
            <w:vMerge/>
            <w:noWrap/>
            <w:vAlign w:val="center"/>
          </w:tcPr>
          <w:p w14:paraId="3262BA9B" w14:textId="77777777" w:rsidR="005F5B16" w:rsidRPr="00EE623C"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18"/>
                <w:szCs w:val="18"/>
                <w:lang w:eastAsia="en-GB"/>
              </w:rPr>
            </w:pPr>
          </w:p>
        </w:tc>
        <w:tc>
          <w:tcPr>
            <w:tcW w:w="760" w:type="dxa"/>
            <w:noWrap/>
            <w:vAlign w:val="center"/>
          </w:tcPr>
          <w:p w14:paraId="109DA7F3" w14:textId="77777777" w:rsidR="005F5B16" w:rsidRPr="004E637A"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4E637A">
              <w:rPr>
                <w:sz w:val="16"/>
              </w:rPr>
              <w:t>Lower Bound</w:t>
            </w:r>
          </w:p>
        </w:tc>
        <w:tc>
          <w:tcPr>
            <w:tcW w:w="760" w:type="dxa"/>
            <w:noWrap/>
            <w:vAlign w:val="center"/>
          </w:tcPr>
          <w:p w14:paraId="0B40CE60" w14:textId="77777777" w:rsidR="005F5B16" w:rsidRPr="004E637A"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4E637A">
              <w:rPr>
                <w:sz w:val="16"/>
              </w:rPr>
              <w:t>Middle Bound</w:t>
            </w:r>
          </w:p>
        </w:tc>
        <w:tc>
          <w:tcPr>
            <w:tcW w:w="760" w:type="dxa"/>
            <w:noWrap/>
            <w:vAlign w:val="center"/>
          </w:tcPr>
          <w:p w14:paraId="5039FC16" w14:textId="77777777" w:rsidR="005F5B16" w:rsidRPr="004E637A"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4E637A">
              <w:rPr>
                <w:sz w:val="16"/>
              </w:rPr>
              <w:t>Upper Bound</w:t>
            </w:r>
          </w:p>
        </w:tc>
        <w:tc>
          <w:tcPr>
            <w:tcW w:w="850" w:type="dxa"/>
            <w:vAlign w:val="center"/>
          </w:tcPr>
          <w:p w14:paraId="5B88AF35" w14:textId="77777777" w:rsidR="005F5B16" w:rsidRPr="004E637A"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4E637A">
              <w:rPr>
                <w:sz w:val="16"/>
              </w:rPr>
              <w:t>Lower Bound</w:t>
            </w:r>
          </w:p>
        </w:tc>
        <w:tc>
          <w:tcPr>
            <w:tcW w:w="993" w:type="dxa"/>
            <w:vAlign w:val="center"/>
          </w:tcPr>
          <w:p w14:paraId="25B66E94" w14:textId="77777777" w:rsidR="005F5B16" w:rsidRPr="004E637A"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4E637A">
              <w:rPr>
                <w:sz w:val="16"/>
              </w:rPr>
              <w:t>Middle Bound</w:t>
            </w:r>
          </w:p>
        </w:tc>
        <w:tc>
          <w:tcPr>
            <w:tcW w:w="992" w:type="dxa"/>
            <w:vAlign w:val="center"/>
          </w:tcPr>
          <w:p w14:paraId="62BCF3F0" w14:textId="77777777" w:rsidR="005F5B16" w:rsidRPr="004E637A"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4E637A">
              <w:rPr>
                <w:sz w:val="16"/>
              </w:rPr>
              <w:t>Upper Bound</w:t>
            </w:r>
          </w:p>
        </w:tc>
        <w:tc>
          <w:tcPr>
            <w:tcW w:w="792" w:type="dxa"/>
            <w:vAlign w:val="center"/>
          </w:tcPr>
          <w:p w14:paraId="05E725AB" w14:textId="77777777" w:rsidR="005F5B16" w:rsidRPr="003D6B71"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3D6B71">
              <w:rPr>
                <w:sz w:val="16"/>
              </w:rPr>
              <w:t>Lower Bound</w:t>
            </w:r>
          </w:p>
        </w:tc>
        <w:tc>
          <w:tcPr>
            <w:tcW w:w="792" w:type="dxa"/>
            <w:vAlign w:val="center"/>
          </w:tcPr>
          <w:p w14:paraId="0F9CBEAE" w14:textId="77777777" w:rsidR="005F5B16" w:rsidRPr="003D6B71"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3D6B71">
              <w:rPr>
                <w:sz w:val="16"/>
              </w:rPr>
              <w:t>Middle Bound</w:t>
            </w:r>
          </w:p>
        </w:tc>
        <w:tc>
          <w:tcPr>
            <w:tcW w:w="793" w:type="dxa"/>
            <w:vAlign w:val="center"/>
          </w:tcPr>
          <w:p w14:paraId="0B4BDD79" w14:textId="77777777" w:rsidR="005F5B16" w:rsidRPr="003D6B71"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3D6B71">
              <w:rPr>
                <w:sz w:val="16"/>
              </w:rPr>
              <w:t>Upper Bound</w:t>
            </w:r>
          </w:p>
        </w:tc>
        <w:tc>
          <w:tcPr>
            <w:tcW w:w="792" w:type="dxa"/>
            <w:gridSpan w:val="2"/>
            <w:vAlign w:val="center"/>
          </w:tcPr>
          <w:p w14:paraId="787C30A3" w14:textId="77777777" w:rsidR="005F5B16" w:rsidRPr="003D6B71"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3D6B71">
              <w:rPr>
                <w:sz w:val="16"/>
              </w:rPr>
              <w:t>Lower Bound</w:t>
            </w:r>
          </w:p>
        </w:tc>
        <w:tc>
          <w:tcPr>
            <w:tcW w:w="792" w:type="dxa"/>
            <w:vAlign w:val="center"/>
          </w:tcPr>
          <w:p w14:paraId="4F62DA92" w14:textId="77777777" w:rsidR="005F5B16" w:rsidRPr="003D6B71"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3D6B71">
              <w:rPr>
                <w:sz w:val="16"/>
              </w:rPr>
              <w:t>Middle Bound</w:t>
            </w:r>
          </w:p>
        </w:tc>
        <w:tc>
          <w:tcPr>
            <w:tcW w:w="793" w:type="dxa"/>
            <w:vAlign w:val="center"/>
          </w:tcPr>
          <w:p w14:paraId="1E67E889" w14:textId="77777777" w:rsidR="005F5B16" w:rsidRPr="003D6B71" w:rsidRDefault="005F5B16" w:rsidP="009A3DDD">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rPr>
            </w:pPr>
            <w:r w:rsidRPr="003D6B71">
              <w:rPr>
                <w:sz w:val="16"/>
              </w:rPr>
              <w:t>Upper Bound</w:t>
            </w:r>
          </w:p>
        </w:tc>
      </w:tr>
      <w:tr w:rsidR="005F5B16" w:rsidRPr="00EE623C" w14:paraId="69810E5B"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val="restart"/>
          </w:tcPr>
          <w:p w14:paraId="143AA8E1" w14:textId="77777777" w:rsidR="005F5B16" w:rsidRPr="00EE623C" w:rsidRDefault="005F5B16" w:rsidP="009A3DDD">
            <w:pPr>
              <w:spacing w:after="0" w:line="240" w:lineRule="auto"/>
              <w:contextualSpacing/>
              <w:rPr>
                <w:rFonts w:eastAsia="Times New Roman" w:cs="Arial"/>
                <w:color w:val="000000"/>
                <w:sz w:val="18"/>
                <w:szCs w:val="18"/>
                <w:lang w:eastAsia="en-GB"/>
              </w:rPr>
            </w:pPr>
            <w:r w:rsidRPr="00EE623C">
              <w:rPr>
                <w:rFonts w:eastAsia="Times New Roman" w:cs="Arial"/>
                <w:color w:val="000000"/>
                <w:sz w:val="18"/>
                <w:szCs w:val="18"/>
                <w:lang w:eastAsia="en-GB"/>
              </w:rPr>
              <w:t>Fish and Seafood</w:t>
            </w:r>
          </w:p>
        </w:tc>
        <w:tc>
          <w:tcPr>
            <w:tcW w:w="2691" w:type="dxa"/>
            <w:noWrap/>
            <w:hideMark/>
          </w:tcPr>
          <w:p w14:paraId="296D783C" w14:textId="77777777" w:rsidR="005F5B16" w:rsidRPr="00EE623C" w:rsidRDefault="005F5B16"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F42495">
              <w:rPr>
                <w:rFonts w:eastAsia="Times New Roman" w:cs="Arial"/>
                <w:bCs/>
                <w:i/>
                <w:color w:val="000000"/>
                <w:sz w:val="18"/>
                <w:szCs w:val="18"/>
                <w:lang w:eastAsia="en-GB"/>
              </w:rPr>
              <w:t>Crustaceans of all specie</w:t>
            </w:r>
            <w:r w:rsidRPr="00EE623C">
              <w:rPr>
                <w:rFonts w:eastAsia="Times New Roman" w:cs="Arial"/>
                <w:bCs/>
                <w:color w:val="000000"/>
                <w:sz w:val="18"/>
                <w:szCs w:val="18"/>
                <w:lang w:eastAsia="en-GB"/>
              </w:rPr>
              <w:t>s</w:t>
            </w:r>
          </w:p>
        </w:tc>
        <w:tc>
          <w:tcPr>
            <w:tcW w:w="760" w:type="dxa"/>
            <w:noWrap/>
            <w:vAlign w:val="center"/>
          </w:tcPr>
          <w:p w14:paraId="67AA6DFC"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2.6</w:t>
            </w:r>
          </w:p>
        </w:tc>
        <w:tc>
          <w:tcPr>
            <w:tcW w:w="760" w:type="dxa"/>
            <w:noWrap/>
            <w:vAlign w:val="center"/>
          </w:tcPr>
          <w:p w14:paraId="104A54BC"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2.6</w:t>
            </w:r>
          </w:p>
        </w:tc>
        <w:tc>
          <w:tcPr>
            <w:tcW w:w="760" w:type="dxa"/>
            <w:noWrap/>
            <w:vAlign w:val="center"/>
          </w:tcPr>
          <w:p w14:paraId="0EA17143"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2.6</w:t>
            </w:r>
          </w:p>
        </w:tc>
        <w:tc>
          <w:tcPr>
            <w:tcW w:w="850" w:type="dxa"/>
            <w:vAlign w:val="center"/>
          </w:tcPr>
          <w:p w14:paraId="6282DD52"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517185A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0.15</w:t>
            </w:r>
          </w:p>
        </w:tc>
        <w:tc>
          <w:tcPr>
            <w:tcW w:w="992" w:type="dxa"/>
            <w:vAlign w:val="center"/>
          </w:tcPr>
          <w:p w14:paraId="0B2142F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0.3</w:t>
            </w:r>
          </w:p>
        </w:tc>
        <w:tc>
          <w:tcPr>
            <w:tcW w:w="792" w:type="dxa"/>
            <w:vAlign w:val="center"/>
          </w:tcPr>
          <w:p w14:paraId="1612DBC5"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1.95</w:t>
            </w:r>
          </w:p>
        </w:tc>
        <w:tc>
          <w:tcPr>
            <w:tcW w:w="792" w:type="dxa"/>
            <w:vAlign w:val="center"/>
          </w:tcPr>
          <w:p w14:paraId="6C85C67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1.95</w:t>
            </w:r>
          </w:p>
        </w:tc>
        <w:tc>
          <w:tcPr>
            <w:tcW w:w="793" w:type="dxa"/>
            <w:vAlign w:val="center"/>
          </w:tcPr>
          <w:p w14:paraId="631BC262"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1.95</w:t>
            </w:r>
          </w:p>
        </w:tc>
        <w:tc>
          <w:tcPr>
            <w:tcW w:w="792" w:type="dxa"/>
            <w:gridSpan w:val="2"/>
            <w:vAlign w:val="center"/>
          </w:tcPr>
          <w:p w14:paraId="3AFD0CE2"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16.1</w:t>
            </w:r>
          </w:p>
        </w:tc>
        <w:tc>
          <w:tcPr>
            <w:tcW w:w="792" w:type="dxa"/>
            <w:vAlign w:val="center"/>
          </w:tcPr>
          <w:p w14:paraId="18E4076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16.1</w:t>
            </w:r>
          </w:p>
        </w:tc>
        <w:tc>
          <w:tcPr>
            <w:tcW w:w="793" w:type="dxa"/>
            <w:vAlign w:val="center"/>
          </w:tcPr>
          <w:p w14:paraId="7EFDCBD1"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16.1</w:t>
            </w:r>
          </w:p>
        </w:tc>
      </w:tr>
      <w:tr w:rsidR="005F5B16" w:rsidRPr="00EE623C" w14:paraId="79A181A0"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17109573" w14:textId="77777777" w:rsidR="005F5B16" w:rsidRPr="00EE623C" w:rsidRDefault="005F5B16" w:rsidP="009A3DDD">
            <w:pPr>
              <w:spacing w:after="0" w:line="240" w:lineRule="auto"/>
              <w:contextualSpacing/>
              <w:rPr>
                <w:rFonts w:eastAsia="Calibri" w:cs="Arial"/>
                <w:color w:val="000000"/>
                <w:sz w:val="18"/>
                <w:szCs w:val="18"/>
              </w:rPr>
            </w:pPr>
          </w:p>
        </w:tc>
        <w:tc>
          <w:tcPr>
            <w:tcW w:w="2691" w:type="dxa"/>
            <w:noWrap/>
            <w:hideMark/>
          </w:tcPr>
          <w:p w14:paraId="72420ED4" w14:textId="71469314" w:rsidR="005F5B16" w:rsidRPr="00EE623C" w:rsidRDefault="005F5B16"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EE623C">
              <w:rPr>
                <w:rFonts w:eastAsia="Calibri" w:cs="Arial"/>
                <w:bCs/>
                <w:i/>
                <w:color w:val="000000"/>
                <w:sz w:val="18"/>
                <w:szCs w:val="18"/>
              </w:rPr>
              <w:t>Finfish</w:t>
            </w:r>
            <w:r w:rsidR="00F42495">
              <w:rPr>
                <w:rFonts w:eastAsia="Calibri" w:cs="Arial"/>
                <w:bCs/>
                <w:i/>
                <w:color w:val="000000"/>
                <w:sz w:val="18"/>
                <w:szCs w:val="18"/>
              </w:rPr>
              <w:t xml:space="preserve"> (all)</w:t>
            </w:r>
          </w:p>
        </w:tc>
        <w:tc>
          <w:tcPr>
            <w:tcW w:w="760" w:type="dxa"/>
            <w:noWrap/>
            <w:vAlign w:val="center"/>
          </w:tcPr>
          <w:p w14:paraId="6B3FC1BD"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2.3</w:t>
            </w:r>
          </w:p>
        </w:tc>
        <w:tc>
          <w:tcPr>
            <w:tcW w:w="760" w:type="dxa"/>
            <w:noWrap/>
            <w:vAlign w:val="center"/>
          </w:tcPr>
          <w:p w14:paraId="07F87111"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2.3</w:t>
            </w:r>
          </w:p>
        </w:tc>
        <w:tc>
          <w:tcPr>
            <w:tcW w:w="760" w:type="dxa"/>
            <w:noWrap/>
            <w:vAlign w:val="center"/>
          </w:tcPr>
          <w:p w14:paraId="611640F6"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2.3</w:t>
            </w:r>
          </w:p>
        </w:tc>
        <w:tc>
          <w:tcPr>
            <w:tcW w:w="850" w:type="dxa"/>
            <w:vAlign w:val="center"/>
          </w:tcPr>
          <w:p w14:paraId="2DC7088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479E800D"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0.15</w:t>
            </w:r>
          </w:p>
        </w:tc>
        <w:tc>
          <w:tcPr>
            <w:tcW w:w="992" w:type="dxa"/>
            <w:vAlign w:val="center"/>
          </w:tcPr>
          <w:p w14:paraId="26A3533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0.3</w:t>
            </w:r>
          </w:p>
        </w:tc>
        <w:tc>
          <w:tcPr>
            <w:tcW w:w="792" w:type="dxa"/>
            <w:vAlign w:val="center"/>
          </w:tcPr>
          <w:p w14:paraId="62BCD679"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017CCA36"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3" w:type="dxa"/>
            <w:vAlign w:val="center"/>
          </w:tcPr>
          <w:p w14:paraId="2B661C76"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2" w:type="dxa"/>
            <w:gridSpan w:val="2"/>
            <w:vAlign w:val="center"/>
          </w:tcPr>
          <w:p w14:paraId="075EA01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4.35</w:t>
            </w:r>
          </w:p>
        </w:tc>
        <w:tc>
          <w:tcPr>
            <w:tcW w:w="792" w:type="dxa"/>
            <w:vAlign w:val="center"/>
          </w:tcPr>
          <w:p w14:paraId="5430E47E"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4.6</w:t>
            </w:r>
          </w:p>
        </w:tc>
        <w:tc>
          <w:tcPr>
            <w:tcW w:w="793" w:type="dxa"/>
            <w:vAlign w:val="center"/>
          </w:tcPr>
          <w:p w14:paraId="72BA8C3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4.85</w:t>
            </w:r>
          </w:p>
        </w:tc>
      </w:tr>
      <w:tr w:rsidR="005F5B16" w:rsidRPr="00EE623C" w14:paraId="71DF8E41"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43F6D621"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6F818554"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proofErr w:type="spellStart"/>
            <w:r w:rsidRPr="00EE623C">
              <w:rPr>
                <w:rFonts w:eastAsia="Times New Roman" w:cs="Arial"/>
                <w:bCs/>
                <w:color w:val="000000"/>
                <w:sz w:val="18"/>
                <w:szCs w:val="18"/>
                <w:lang w:eastAsia="en-GB"/>
              </w:rPr>
              <w:t>Diadromous</w:t>
            </w:r>
            <w:proofErr w:type="spellEnd"/>
            <w:r w:rsidRPr="00EE623C">
              <w:rPr>
                <w:rFonts w:eastAsia="Times New Roman" w:cs="Arial"/>
                <w:bCs/>
                <w:color w:val="000000"/>
                <w:sz w:val="18"/>
                <w:szCs w:val="18"/>
                <w:lang w:eastAsia="en-GB"/>
              </w:rPr>
              <w:t xml:space="preserve"> fish</w:t>
            </w:r>
          </w:p>
        </w:tc>
        <w:tc>
          <w:tcPr>
            <w:tcW w:w="760" w:type="dxa"/>
            <w:vAlign w:val="center"/>
          </w:tcPr>
          <w:p w14:paraId="56E4E372"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5</w:t>
            </w:r>
          </w:p>
        </w:tc>
        <w:tc>
          <w:tcPr>
            <w:tcW w:w="760" w:type="dxa"/>
            <w:vAlign w:val="center"/>
          </w:tcPr>
          <w:p w14:paraId="25F676E4"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5</w:t>
            </w:r>
          </w:p>
        </w:tc>
        <w:tc>
          <w:tcPr>
            <w:tcW w:w="760" w:type="dxa"/>
            <w:vAlign w:val="center"/>
          </w:tcPr>
          <w:p w14:paraId="7B3BC092"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5</w:t>
            </w:r>
          </w:p>
        </w:tc>
        <w:tc>
          <w:tcPr>
            <w:tcW w:w="850" w:type="dxa"/>
            <w:vAlign w:val="center"/>
          </w:tcPr>
          <w:p w14:paraId="3E57A6A3"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43A08FF5"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0.15</w:t>
            </w:r>
          </w:p>
        </w:tc>
        <w:tc>
          <w:tcPr>
            <w:tcW w:w="992" w:type="dxa"/>
            <w:vAlign w:val="center"/>
          </w:tcPr>
          <w:p w14:paraId="01BF948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0.3</w:t>
            </w:r>
          </w:p>
        </w:tc>
        <w:tc>
          <w:tcPr>
            <w:tcW w:w="792" w:type="dxa"/>
            <w:vAlign w:val="center"/>
          </w:tcPr>
          <w:p w14:paraId="2DB2CA4D"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3F07C71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3" w:type="dxa"/>
            <w:vAlign w:val="center"/>
          </w:tcPr>
          <w:p w14:paraId="286D830A"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2" w:type="dxa"/>
            <w:gridSpan w:val="2"/>
            <w:vAlign w:val="center"/>
          </w:tcPr>
          <w:p w14:paraId="0C48EDA1"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5</w:t>
            </w:r>
          </w:p>
        </w:tc>
        <w:tc>
          <w:tcPr>
            <w:tcW w:w="792" w:type="dxa"/>
            <w:vAlign w:val="center"/>
          </w:tcPr>
          <w:p w14:paraId="64D0E88B"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5.5</w:t>
            </w:r>
          </w:p>
        </w:tc>
        <w:tc>
          <w:tcPr>
            <w:tcW w:w="793" w:type="dxa"/>
            <w:vAlign w:val="center"/>
          </w:tcPr>
          <w:p w14:paraId="3D75F90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6</w:t>
            </w:r>
          </w:p>
        </w:tc>
      </w:tr>
      <w:tr w:rsidR="005F5B16" w:rsidRPr="00EE623C" w14:paraId="68690D49"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28615877"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398B82A8" w14:textId="77777777" w:rsidR="005F5B16" w:rsidRPr="00EE623C" w:rsidRDefault="005F5B16"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Freshwater fish</w:t>
            </w:r>
          </w:p>
        </w:tc>
        <w:tc>
          <w:tcPr>
            <w:tcW w:w="760" w:type="dxa"/>
            <w:noWrap/>
            <w:vAlign w:val="center"/>
          </w:tcPr>
          <w:p w14:paraId="38202E10"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3.45</w:t>
            </w:r>
          </w:p>
        </w:tc>
        <w:tc>
          <w:tcPr>
            <w:tcW w:w="760" w:type="dxa"/>
            <w:noWrap/>
            <w:vAlign w:val="center"/>
          </w:tcPr>
          <w:p w14:paraId="4593FD25"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3.45</w:t>
            </w:r>
          </w:p>
        </w:tc>
        <w:tc>
          <w:tcPr>
            <w:tcW w:w="760" w:type="dxa"/>
            <w:noWrap/>
            <w:vAlign w:val="center"/>
          </w:tcPr>
          <w:p w14:paraId="59634C68"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3.45</w:t>
            </w:r>
          </w:p>
        </w:tc>
        <w:tc>
          <w:tcPr>
            <w:tcW w:w="850" w:type="dxa"/>
            <w:vAlign w:val="center"/>
          </w:tcPr>
          <w:p w14:paraId="5177150F"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606FD42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0.15</w:t>
            </w:r>
          </w:p>
        </w:tc>
        <w:tc>
          <w:tcPr>
            <w:tcW w:w="992" w:type="dxa"/>
            <w:vAlign w:val="center"/>
          </w:tcPr>
          <w:p w14:paraId="3D2A2DF0"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0.3</w:t>
            </w:r>
          </w:p>
        </w:tc>
        <w:tc>
          <w:tcPr>
            <w:tcW w:w="792" w:type="dxa"/>
            <w:vAlign w:val="center"/>
          </w:tcPr>
          <w:p w14:paraId="1631274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76BBC4FF"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3" w:type="dxa"/>
            <w:vAlign w:val="center"/>
          </w:tcPr>
          <w:p w14:paraId="1C81696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2" w:type="dxa"/>
            <w:gridSpan w:val="2"/>
            <w:vAlign w:val="center"/>
          </w:tcPr>
          <w:p w14:paraId="2BB5EE3C"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42.5</w:t>
            </w:r>
          </w:p>
        </w:tc>
        <w:tc>
          <w:tcPr>
            <w:tcW w:w="792" w:type="dxa"/>
            <w:vAlign w:val="center"/>
          </w:tcPr>
          <w:p w14:paraId="7D814EC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43</w:t>
            </w:r>
          </w:p>
        </w:tc>
        <w:tc>
          <w:tcPr>
            <w:tcW w:w="793" w:type="dxa"/>
            <w:vAlign w:val="center"/>
          </w:tcPr>
          <w:p w14:paraId="64B755F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43.5</w:t>
            </w:r>
          </w:p>
        </w:tc>
      </w:tr>
      <w:tr w:rsidR="005F5B16" w:rsidRPr="00EE623C" w14:paraId="32240167"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212FAAB3"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3CB44E33"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Marine fish of all species</w:t>
            </w:r>
          </w:p>
        </w:tc>
        <w:tc>
          <w:tcPr>
            <w:tcW w:w="760" w:type="dxa"/>
            <w:vAlign w:val="center"/>
          </w:tcPr>
          <w:p w14:paraId="6C28C4B4"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1.95</w:t>
            </w:r>
          </w:p>
        </w:tc>
        <w:tc>
          <w:tcPr>
            <w:tcW w:w="760" w:type="dxa"/>
            <w:vAlign w:val="center"/>
          </w:tcPr>
          <w:p w14:paraId="730F26D9"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1.95</w:t>
            </w:r>
          </w:p>
        </w:tc>
        <w:tc>
          <w:tcPr>
            <w:tcW w:w="760" w:type="dxa"/>
            <w:vAlign w:val="center"/>
          </w:tcPr>
          <w:p w14:paraId="27523D9B"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1.95</w:t>
            </w:r>
          </w:p>
        </w:tc>
        <w:tc>
          <w:tcPr>
            <w:tcW w:w="850" w:type="dxa"/>
            <w:vAlign w:val="center"/>
          </w:tcPr>
          <w:p w14:paraId="19123702"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0</w:t>
            </w:r>
          </w:p>
        </w:tc>
        <w:tc>
          <w:tcPr>
            <w:tcW w:w="993" w:type="dxa"/>
            <w:vAlign w:val="center"/>
          </w:tcPr>
          <w:p w14:paraId="6AD4F714"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0.15</w:t>
            </w:r>
          </w:p>
        </w:tc>
        <w:tc>
          <w:tcPr>
            <w:tcW w:w="992" w:type="dxa"/>
            <w:vAlign w:val="center"/>
          </w:tcPr>
          <w:p w14:paraId="0717B2A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0.3</w:t>
            </w:r>
          </w:p>
        </w:tc>
        <w:tc>
          <w:tcPr>
            <w:tcW w:w="792" w:type="dxa"/>
            <w:vAlign w:val="center"/>
          </w:tcPr>
          <w:p w14:paraId="332E6CCB"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1710685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0.25</w:t>
            </w:r>
          </w:p>
        </w:tc>
        <w:tc>
          <w:tcPr>
            <w:tcW w:w="793" w:type="dxa"/>
            <w:vAlign w:val="center"/>
          </w:tcPr>
          <w:p w14:paraId="6B7F74B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2" w:type="dxa"/>
            <w:gridSpan w:val="2"/>
            <w:vAlign w:val="center"/>
          </w:tcPr>
          <w:p w14:paraId="13AEA47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1.1</w:t>
            </w:r>
          </w:p>
        </w:tc>
        <w:tc>
          <w:tcPr>
            <w:tcW w:w="792" w:type="dxa"/>
            <w:vAlign w:val="center"/>
          </w:tcPr>
          <w:p w14:paraId="2DE95F33"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1.35</w:t>
            </w:r>
          </w:p>
        </w:tc>
        <w:tc>
          <w:tcPr>
            <w:tcW w:w="793" w:type="dxa"/>
            <w:vAlign w:val="center"/>
          </w:tcPr>
          <w:p w14:paraId="6CF5F0C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1.6</w:t>
            </w:r>
          </w:p>
        </w:tc>
      </w:tr>
      <w:tr w:rsidR="005F5B16" w:rsidRPr="00EE623C" w14:paraId="15B99080"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2A569BEB" w14:textId="77777777" w:rsidR="005F5B16" w:rsidRPr="00EE623C" w:rsidRDefault="005F5B16" w:rsidP="009A3DDD">
            <w:pPr>
              <w:spacing w:after="0" w:line="240" w:lineRule="auto"/>
              <w:contextualSpacing/>
              <w:rPr>
                <w:rFonts w:eastAsia="Times New Roman" w:cs="Arial"/>
                <w:color w:val="000000"/>
                <w:sz w:val="18"/>
                <w:szCs w:val="18"/>
                <w:lang w:eastAsia="en-GB"/>
              </w:rPr>
            </w:pPr>
          </w:p>
        </w:tc>
        <w:tc>
          <w:tcPr>
            <w:tcW w:w="2691" w:type="dxa"/>
            <w:noWrap/>
          </w:tcPr>
          <w:p w14:paraId="57A8557F" w14:textId="77777777" w:rsidR="005F5B16" w:rsidRPr="00F42495" w:rsidRDefault="005F5B16"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F42495">
              <w:rPr>
                <w:rFonts w:eastAsia="Times New Roman" w:cs="Arial"/>
                <w:bCs/>
                <w:i/>
                <w:color w:val="000000"/>
                <w:sz w:val="18"/>
                <w:szCs w:val="18"/>
                <w:lang w:eastAsia="en-GB"/>
              </w:rPr>
              <w:t>Finfish – Liver only</w:t>
            </w:r>
          </w:p>
        </w:tc>
        <w:tc>
          <w:tcPr>
            <w:tcW w:w="760" w:type="dxa"/>
            <w:noWrap/>
            <w:vAlign w:val="center"/>
          </w:tcPr>
          <w:p w14:paraId="6FE4BBC8"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r w:rsidRPr="00A54E7F">
              <w:rPr>
                <w:rFonts w:eastAsia="Calibri"/>
                <w:color w:val="000000"/>
                <w:sz w:val="16"/>
              </w:rPr>
              <w:t>39.5</w:t>
            </w:r>
          </w:p>
        </w:tc>
        <w:tc>
          <w:tcPr>
            <w:tcW w:w="760" w:type="dxa"/>
            <w:noWrap/>
            <w:vAlign w:val="center"/>
          </w:tcPr>
          <w:p w14:paraId="3504CEE9"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r w:rsidRPr="00A54E7F">
              <w:rPr>
                <w:rFonts w:eastAsia="Calibri"/>
                <w:color w:val="000000"/>
                <w:sz w:val="16"/>
              </w:rPr>
              <w:t>39.5</w:t>
            </w:r>
          </w:p>
        </w:tc>
        <w:tc>
          <w:tcPr>
            <w:tcW w:w="760" w:type="dxa"/>
            <w:noWrap/>
            <w:vAlign w:val="center"/>
          </w:tcPr>
          <w:p w14:paraId="14827FAA"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r w:rsidRPr="00A54E7F">
              <w:rPr>
                <w:rFonts w:eastAsia="Calibri"/>
                <w:color w:val="000000"/>
                <w:sz w:val="16"/>
              </w:rPr>
              <w:t>39.5</w:t>
            </w:r>
          </w:p>
        </w:tc>
        <w:tc>
          <w:tcPr>
            <w:tcW w:w="850" w:type="dxa"/>
            <w:vAlign w:val="center"/>
          </w:tcPr>
          <w:p w14:paraId="6D68470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54794F60"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0.2</w:t>
            </w:r>
          </w:p>
        </w:tc>
        <w:tc>
          <w:tcPr>
            <w:tcW w:w="992" w:type="dxa"/>
            <w:vAlign w:val="center"/>
          </w:tcPr>
          <w:p w14:paraId="4CE6F78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0.32</w:t>
            </w:r>
          </w:p>
        </w:tc>
        <w:tc>
          <w:tcPr>
            <w:tcW w:w="792" w:type="dxa"/>
            <w:vAlign w:val="center"/>
          </w:tcPr>
          <w:p w14:paraId="53B203B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2.55</w:t>
            </w:r>
          </w:p>
        </w:tc>
        <w:tc>
          <w:tcPr>
            <w:tcW w:w="792" w:type="dxa"/>
            <w:vAlign w:val="center"/>
          </w:tcPr>
          <w:p w14:paraId="6F44E32F"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2.55</w:t>
            </w:r>
          </w:p>
        </w:tc>
        <w:tc>
          <w:tcPr>
            <w:tcW w:w="793" w:type="dxa"/>
            <w:vAlign w:val="center"/>
          </w:tcPr>
          <w:p w14:paraId="40CC774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2.55</w:t>
            </w:r>
          </w:p>
        </w:tc>
        <w:tc>
          <w:tcPr>
            <w:tcW w:w="792" w:type="dxa"/>
            <w:gridSpan w:val="2"/>
            <w:vAlign w:val="center"/>
          </w:tcPr>
          <w:p w14:paraId="7F082279"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41.2</w:t>
            </w:r>
          </w:p>
        </w:tc>
        <w:tc>
          <w:tcPr>
            <w:tcW w:w="792" w:type="dxa"/>
            <w:vAlign w:val="center"/>
          </w:tcPr>
          <w:p w14:paraId="761F73B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41.2</w:t>
            </w:r>
          </w:p>
        </w:tc>
        <w:tc>
          <w:tcPr>
            <w:tcW w:w="793" w:type="dxa"/>
            <w:vAlign w:val="center"/>
          </w:tcPr>
          <w:p w14:paraId="2FA6312E"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41.2</w:t>
            </w:r>
          </w:p>
        </w:tc>
      </w:tr>
      <w:tr w:rsidR="005F5B16" w:rsidRPr="00EE623C" w14:paraId="15127673"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0AE9295D" w14:textId="77777777" w:rsidR="005F5B16" w:rsidRPr="00EE623C" w:rsidRDefault="005F5B16" w:rsidP="009A3DDD">
            <w:pPr>
              <w:spacing w:after="0" w:line="240" w:lineRule="auto"/>
              <w:contextualSpacing/>
              <w:rPr>
                <w:rFonts w:cs="Arial"/>
                <w:sz w:val="18"/>
                <w:szCs w:val="18"/>
              </w:rPr>
            </w:pPr>
          </w:p>
        </w:tc>
        <w:tc>
          <w:tcPr>
            <w:tcW w:w="2691" w:type="dxa"/>
            <w:noWrap/>
          </w:tcPr>
          <w:p w14:paraId="2DE4845E" w14:textId="77777777" w:rsidR="005F5B16" w:rsidRPr="00F42495" w:rsidRDefault="005F5B16"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sz w:val="18"/>
                <w:szCs w:val="18"/>
              </w:rPr>
            </w:pPr>
            <w:r w:rsidRPr="00F42495">
              <w:rPr>
                <w:rFonts w:cs="Arial"/>
                <w:i/>
                <w:sz w:val="18"/>
                <w:szCs w:val="18"/>
              </w:rPr>
              <w:t>Molluscs</w:t>
            </w:r>
          </w:p>
        </w:tc>
        <w:tc>
          <w:tcPr>
            <w:tcW w:w="760" w:type="dxa"/>
            <w:noWrap/>
            <w:vAlign w:val="center"/>
          </w:tcPr>
          <w:p w14:paraId="32B6CABD"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6"/>
              </w:rPr>
            </w:pPr>
            <w:r w:rsidRPr="00A54E7F">
              <w:rPr>
                <w:sz w:val="16"/>
              </w:rPr>
              <w:t>1.05</w:t>
            </w:r>
          </w:p>
        </w:tc>
        <w:tc>
          <w:tcPr>
            <w:tcW w:w="760" w:type="dxa"/>
            <w:noWrap/>
            <w:vAlign w:val="center"/>
          </w:tcPr>
          <w:p w14:paraId="298C7E2B"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6"/>
              </w:rPr>
            </w:pPr>
            <w:r w:rsidRPr="00A54E7F">
              <w:rPr>
                <w:sz w:val="16"/>
              </w:rPr>
              <w:t>1.05</w:t>
            </w:r>
          </w:p>
        </w:tc>
        <w:tc>
          <w:tcPr>
            <w:tcW w:w="760" w:type="dxa"/>
            <w:noWrap/>
            <w:vAlign w:val="center"/>
          </w:tcPr>
          <w:p w14:paraId="0DD0F25E"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6"/>
              </w:rPr>
            </w:pPr>
            <w:r w:rsidRPr="00A54E7F">
              <w:rPr>
                <w:sz w:val="16"/>
              </w:rPr>
              <w:t>1.05</w:t>
            </w:r>
          </w:p>
        </w:tc>
        <w:tc>
          <w:tcPr>
            <w:tcW w:w="850" w:type="dxa"/>
            <w:vAlign w:val="center"/>
          </w:tcPr>
          <w:p w14:paraId="23EEC33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19C3B7E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0.22</w:t>
            </w:r>
          </w:p>
        </w:tc>
        <w:tc>
          <w:tcPr>
            <w:tcW w:w="992" w:type="dxa"/>
            <w:vAlign w:val="center"/>
          </w:tcPr>
          <w:p w14:paraId="0472BEC3"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0.3</w:t>
            </w:r>
          </w:p>
        </w:tc>
        <w:tc>
          <w:tcPr>
            <w:tcW w:w="792" w:type="dxa"/>
            <w:vAlign w:val="center"/>
          </w:tcPr>
          <w:p w14:paraId="410CE7E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27295113"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0.25</w:t>
            </w:r>
          </w:p>
        </w:tc>
        <w:tc>
          <w:tcPr>
            <w:tcW w:w="793" w:type="dxa"/>
            <w:vAlign w:val="center"/>
          </w:tcPr>
          <w:p w14:paraId="77181CAB"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2" w:type="dxa"/>
            <w:gridSpan w:val="2"/>
            <w:vAlign w:val="center"/>
          </w:tcPr>
          <w:p w14:paraId="7310B2F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792" w:type="dxa"/>
            <w:vAlign w:val="center"/>
          </w:tcPr>
          <w:p w14:paraId="62AFC99C"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1.75</w:t>
            </w:r>
          </w:p>
        </w:tc>
        <w:tc>
          <w:tcPr>
            <w:tcW w:w="793" w:type="dxa"/>
            <w:vAlign w:val="center"/>
          </w:tcPr>
          <w:p w14:paraId="0CD651F2"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1.86</w:t>
            </w:r>
          </w:p>
        </w:tc>
      </w:tr>
      <w:tr w:rsidR="005F5B16" w:rsidRPr="00EE623C" w14:paraId="29CB7053"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val="restart"/>
          </w:tcPr>
          <w:p w14:paraId="0056E2D6" w14:textId="77777777" w:rsidR="005F5B16" w:rsidRPr="00EE623C" w:rsidRDefault="005F5B16" w:rsidP="009A3DDD">
            <w:pPr>
              <w:spacing w:after="0" w:line="240" w:lineRule="auto"/>
              <w:contextualSpacing/>
              <w:rPr>
                <w:rFonts w:eastAsia="Times New Roman" w:cs="Arial"/>
                <w:color w:val="000000"/>
                <w:sz w:val="18"/>
                <w:szCs w:val="18"/>
                <w:lang w:eastAsia="en-GB"/>
              </w:rPr>
            </w:pPr>
            <w:r w:rsidRPr="00EE623C">
              <w:rPr>
                <w:rFonts w:eastAsia="Times New Roman" w:cs="Arial"/>
                <w:color w:val="000000"/>
                <w:sz w:val="18"/>
                <w:szCs w:val="18"/>
                <w:lang w:eastAsia="en-GB"/>
              </w:rPr>
              <w:t>Animal products</w:t>
            </w:r>
          </w:p>
        </w:tc>
        <w:tc>
          <w:tcPr>
            <w:tcW w:w="2691" w:type="dxa"/>
            <w:noWrap/>
            <w:hideMark/>
          </w:tcPr>
          <w:p w14:paraId="2048E30B" w14:textId="5D83DB17" w:rsidR="005F5B16" w:rsidRPr="00EE623C" w:rsidRDefault="005F5B16"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EE623C">
              <w:rPr>
                <w:rFonts w:eastAsia="Times New Roman" w:cs="Arial"/>
                <w:bCs/>
                <w:i/>
                <w:color w:val="000000"/>
                <w:sz w:val="18"/>
                <w:szCs w:val="18"/>
                <w:lang w:eastAsia="en-GB"/>
              </w:rPr>
              <w:t>Meat mammalian</w:t>
            </w:r>
            <w:r w:rsidR="00F42495">
              <w:rPr>
                <w:rFonts w:eastAsia="Times New Roman" w:cs="Arial"/>
                <w:bCs/>
                <w:i/>
                <w:color w:val="000000"/>
                <w:sz w:val="18"/>
                <w:szCs w:val="18"/>
                <w:lang w:eastAsia="en-GB"/>
              </w:rPr>
              <w:t xml:space="preserve"> (all)</w:t>
            </w:r>
          </w:p>
        </w:tc>
        <w:tc>
          <w:tcPr>
            <w:tcW w:w="760" w:type="dxa"/>
            <w:noWrap/>
            <w:vAlign w:val="center"/>
          </w:tcPr>
          <w:p w14:paraId="273AD26C" w14:textId="67351879" w:rsidR="005F5B16" w:rsidRPr="00A54E7F" w:rsidRDefault="003D6B7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rFonts w:eastAsia="Calibri"/>
                <w:color w:val="000000"/>
                <w:sz w:val="16"/>
              </w:rPr>
              <w:t>9.17</w:t>
            </w:r>
          </w:p>
        </w:tc>
        <w:tc>
          <w:tcPr>
            <w:tcW w:w="760" w:type="dxa"/>
            <w:noWrap/>
            <w:vAlign w:val="center"/>
          </w:tcPr>
          <w:p w14:paraId="16A74EA8" w14:textId="3E0F256F" w:rsidR="005F5B16" w:rsidRPr="00A54E7F" w:rsidRDefault="003D6B7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rFonts w:eastAsia="Calibri"/>
                <w:color w:val="000000"/>
                <w:sz w:val="16"/>
              </w:rPr>
              <w:t>9.17</w:t>
            </w:r>
          </w:p>
        </w:tc>
        <w:tc>
          <w:tcPr>
            <w:tcW w:w="760" w:type="dxa"/>
            <w:noWrap/>
            <w:vAlign w:val="center"/>
          </w:tcPr>
          <w:p w14:paraId="2B813935" w14:textId="0A2566AC" w:rsidR="005F5B16" w:rsidRPr="00A54E7F" w:rsidRDefault="003D6B7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rFonts w:eastAsia="Calibri"/>
                <w:color w:val="000000"/>
                <w:sz w:val="16"/>
              </w:rPr>
              <w:t>9.17</w:t>
            </w:r>
          </w:p>
        </w:tc>
        <w:tc>
          <w:tcPr>
            <w:tcW w:w="850" w:type="dxa"/>
            <w:vAlign w:val="center"/>
          </w:tcPr>
          <w:p w14:paraId="177C663F"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1A6B3703" w14:textId="77AF4F1C" w:rsidR="005F5B16" w:rsidRPr="009A3DDD" w:rsidRDefault="00F43D4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color w:val="000000"/>
                <w:sz w:val="16"/>
              </w:rPr>
              <w:t>0.02</w:t>
            </w:r>
          </w:p>
        </w:tc>
        <w:tc>
          <w:tcPr>
            <w:tcW w:w="992" w:type="dxa"/>
            <w:vAlign w:val="center"/>
          </w:tcPr>
          <w:p w14:paraId="1E2A2371" w14:textId="0DB724AC" w:rsidR="005F5B16" w:rsidRPr="009A3DDD" w:rsidRDefault="00F43D4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rFonts w:eastAsia="Times New Roman"/>
                <w:color w:val="000000"/>
                <w:sz w:val="16"/>
                <w:lang w:eastAsia="en-GB"/>
              </w:rPr>
              <w:t>0.04</w:t>
            </w:r>
          </w:p>
        </w:tc>
        <w:tc>
          <w:tcPr>
            <w:tcW w:w="792" w:type="dxa"/>
            <w:vAlign w:val="center"/>
          </w:tcPr>
          <w:p w14:paraId="519E661D" w14:textId="28A36919" w:rsidR="005F5B16" w:rsidRPr="00A54E7F" w:rsidRDefault="00F43D4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color w:val="000000"/>
                <w:sz w:val="16"/>
              </w:rPr>
              <w:t>2.83</w:t>
            </w:r>
          </w:p>
        </w:tc>
        <w:tc>
          <w:tcPr>
            <w:tcW w:w="792" w:type="dxa"/>
            <w:vAlign w:val="center"/>
          </w:tcPr>
          <w:p w14:paraId="44C04BFD" w14:textId="09865A6E" w:rsidR="005F5B16" w:rsidRPr="00A54E7F" w:rsidRDefault="00F43D4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color w:val="000000"/>
                <w:sz w:val="16"/>
              </w:rPr>
              <w:t>2.83</w:t>
            </w:r>
          </w:p>
        </w:tc>
        <w:tc>
          <w:tcPr>
            <w:tcW w:w="793" w:type="dxa"/>
            <w:vAlign w:val="center"/>
          </w:tcPr>
          <w:p w14:paraId="20300081" w14:textId="6E6DB91A" w:rsidR="005F5B16" w:rsidRPr="00A54E7F" w:rsidRDefault="00F43D4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color w:val="000000"/>
                <w:sz w:val="16"/>
              </w:rPr>
              <w:t>2.83</w:t>
            </w:r>
          </w:p>
        </w:tc>
        <w:tc>
          <w:tcPr>
            <w:tcW w:w="792" w:type="dxa"/>
            <w:gridSpan w:val="2"/>
            <w:vAlign w:val="center"/>
          </w:tcPr>
          <w:p w14:paraId="6C90154D" w14:textId="1650D6DB" w:rsidR="005F5B16" w:rsidRPr="00A54E7F" w:rsidRDefault="00B94244"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color w:val="000000"/>
                <w:sz w:val="16"/>
              </w:rPr>
              <w:t>12.42</w:t>
            </w:r>
          </w:p>
        </w:tc>
        <w:tc>
          <w:tcPr>
            <w:tcW w:w="792" w:type="dxa"/>
            <w:vAlign w:val="center"/>
          </w:tcPr>
          <w:p w14:paraId="6E8E0CE7" w14:textId="0D1CFA41" w:rsidR="005F5B16" w:rsidRPr="00A54E7F" w:rsidRDefault="00B94244"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color w:val="000000"/>
                <w:sz w:val="16"/>
              </w:rPr>
              <w:t>12.42</w:t>
            </w:r>
          </w:p>
        </w:tc>
        <w:tc>
          <w:tcPr>
            <w:tcW w:w="793" w:type="dxa"/>
            <w:vAlign w:val="center"/>
          </w:tcPr>
          <w:p w14:paraId="5A91E357" w14:textId="5C167F60" w:rsidR="005F5B16" w:rsidRPr="00A54E7F" w:rsidRDefault="00B94244"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Pr>
                <w:color w:val="000000"/>
                <w:sz w:val="16"/>
              </w:rPr>
              <w:t>12.42</w:t>
            </w:r>
          </w:p>
        </w:tc>
      </w:tr>
      <w:tr w:rsidR="005F5B16" w:rsidRPr="00EE623C" w14:paraId="2E82CA5F"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7CA0F352"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45A38275"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Cattle meat</w:t>
            </w:r>
          </w:p>
        </w:tc>
        <w:tc>
          <w:tcPr>
            <w:tcW w:w="760" w:type="dxa"/>
            <w:vAlign w:val="center"/>
          </w:tcPr>
          <w:p w14:paraId="2CD08B1C" w14:textId="6F8DEFB9" w:rsidR="005F5B16" w:rsidRPr="00A54E7F" w:rsidRDefault="003D6B7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rFonts w:eastAsia="Calibri"/>
                <w:color w:val="000000"/>
                <w:sz w:val="16"/>
              </w:rPr>
              <w:t>54.17</w:t>
            </w:r>
          </w:p>
        </w:tc>
        <w:tc>
          <w:tcPr>
            <w:tcW w:w="760" w:type="dxa"/>
            <w:vAlign w:val="center"/>
          </w:tcPr>
          <w:p w14:paraId="57758B62" w14:textId="33328A03" w:rsidR="005F5B16" w:rsidRPr="00A54E7F" w:rsidRDefault="003D6B7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rFonts w:eastAsia="Calibri"/>
                <w:color w:val="000000"/>
                <w:sz w:val="16"/>
              </w:rPr>
              <w:t>54.17</w:t>
            </w:r>
          </w:p>
        </w:tc>
        <w:tc>
          <w:tcPr>
            <w:tcW w:w="760" w:type="dxa"/>
            <w:vAlign w:val="center"/>
          </w:tcPr>
          <w:p w14:paraId="5371231D" w14:textId="7F23650D" w:rsidR="005F5B16" w:rsidRPr="00A54E7F" w:rsidRDefault="003D6B7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rFonts w:eastAsia="Calibri"/>
                <w:color w:val="000000"/>
                <w:sz w:val="16"/>
              </w:rPr>
              <w:t>54.17</w:t>
            </w:r>
          </w:p>
        </w:tc>
        <w:tc>
          <w:tcPr>
            <w:tcW w:w="850" w:type="dxa"/>
            <w:vAlign w:val="center"/>
          </w:tcPr>
          <w:p w14:paraId="365CFAA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2809DBAD" w14:textId="42334C77" w:rsidR="005F5B16" w:rsidRPr="009A3DDD"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rFonts w:eastAsia="Times New Roman"/>
                <w:color w:val="000000"/>
                <w:sz w:val="16"/>
                <w:lang w:eastAsia="en-GB"/>
              </w:rPr>
              <w:t>0.03</w:t>
            </w:r>
          </w:p>
        </w:tc>
        <w:tc>
          <w:tcPr>
            <w:tcW w:w="992" w:type="dxa"/>
            <w:vAlign w:val="center"/>
          </w:tcPr>
          <w:p w14:paraId="1D3D35FF" w14:textId="06519289" w:rsidR="005F5B16" w:rsidRPr="009A3DDD"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0.04</w:t>
            </w:r>
          </w:p>
        </w:tc>
        <w:tc>
          <w:tcPr>
            <w:tcW w:w="792" w:type="dxa"/>
            <w:vAlign w:val="center"/>
          </w:tcPr>
          <w:p w14:paraId="504D2950" w14:textId="7009D5F1" w:rsidR="005F5B16" w:rsidRPr="00A54E7F"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9.08</w:t>
            </w:r>
          </w:p>
        </w:tc>
        <w:tc>
          <w:tcPr>
            <w:tcW w:w="792" w:type="dxa"/>
            <w:vAlign w:val="center"/>
          </w:tcPr>
          <w:p w14:paraId="3B36CC50" w14:textId="2CE8B2CF" w:rsidR="005F5B16" w:rsidRPr="00A54E7F"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9.08</w:t>
            </w:r>
          </w:p>
        </w:tc>
        <w:tc>
          <w:tcPr>
            <w:tcW w:w="793" w:type="dxa"/>
            <w:vAlign w:val="center"/>
          </w:tcPr>
          <w:p w14:paraId="4048E245" w14:textId="4AC9C456" w:rsidR="005F5B16" w:rsidRPr="00A54E7F"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9.08</w:t>
            </w:r>
          </w:p>
        </w:tc>
        <w:tc>
          <w:tcPr>
            <w:tcW w:w="792" w:type="dxa"/>
            <w:gridSpan w:val="2"/>
            <w:vAlign w:val="center"/>
          </w:tcPr>
          <w:p w14:paraId="471D364D" w14:textId="69EF896F" w:rsidR="005F5B16" w:rsidRPr="00A54E7F" w:rsidRDefault="00B94244"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63.67</w:t>
            </w:r>
          </w:p>
        </w:tc>
        <w:tc>
          <w:tcPr>
            <w:tcW w:w="792" w:type="dxa"/>
            <w:vAlign w:val="center"/>
          </w:tcPr>
          <w:p w14:paraId="46B8FB85" w14:textId="328D2633" w:rsidR="005F5B16" w:rsidRPr="00A54E7F" w:rsidRDefault="00B94244"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63.67</w:t>
            </w:r>
          </w:p>
        </w:tc>
        <w:tc>
          <w:tcPr>
            <w:tcW w:w="793" w:type="dxa"/>
            <w:vAlign w:val="center"/>
          </w:tcPr>
          <w:p w14:paraId="4195E519" w14:textId="379E266D" w:rsidR="005F5B16" w:rsidRPr="00A54E7F" w:rsidRDefault="00B94244"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63.67</w:t>
            </w:r>
          </w:p>
        </w:tc>
      </w:tr>
      <w:tr w:rsidR="005F5B16" w:rsidRPr="00EE623C" w14:paraId="5B33BCDE"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6A9A73A1"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4252CE84" w14:textId="77777777" w:rsidR="005F5B16" w:rsidRPr="00EE623C" w:rsidRDefault="005F5B16"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Rabbit meat</w:t>
            </w:r>
          </w:p>
        </w:tc>
        <w:tc>
          <w:tcPr>
            <w:tcW w:w="760" w:type="dxa"/>
            <w:vAlign w:val="center"/>
          </w:tcPr>
          <w:p w14:paraId="7DC96E6C"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66.5</w:t>
            </w:r>
          </w:p>
        </w:tc>
        <w:tc>
          <w:tcPr>
            <w:tcW w:w="760" w:type="dxa"/>
            <w:vAlign w:val="center"/>
          </w:tcPr>
          <w:p w14:paraId="339E2896"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66.5</w:t>
            </w:r>
          </w:p>
        </w:tc>
        <w:tc>
          <w:tcPr>
            <w:tcW w:w="760" w:type="dxa"/>
            <w:vAlign w:val="center"/>
          </w:tcPr>
          <w:p w14:paraId="5587C600"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66.5</w:t>
            </w:r>
          </w:p>
        </w:tc>
        <w:tc>
          <w:tcPr>
            <w:tcW w:w="850" w:type="dxa"/>
            <w:vAlign w:val="center"/>
          </w:tcPr>
          <w:p w14:paraId="54C3E117"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799F093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992" w:type="dxa"/>
            <w:vAlign w:val="center"/>
          </w:tcPr>
          <w:p w14:paraId="653094D5"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2</w:t>
            </w:r>
          </w:p>
        </w:tc>
        <w:tc>
          <w:tcPr>
            <w:tcW w:w="792" w:type="dxa"/>
            <w:vAlign w:val="center"/>
          </w:tcPr>
          <w:p w14:paraId="13CAAF2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4.43</w:t>
            </w:r>
          </w:p>
        </w:tc>
        <w:tc>
          <w:tcPr>
            <w:tcW w:w="792" w:type="dxa"/>
            <w:vAlign w:val="center"/>
          </w:tcPr>
          <w:p w14:paraId="61AD799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4.43</w:t>
            </w:r>
          </w:p>
        </w:tc>
        <w:tc>
          <w:tcPr>
            <w:tcW w:w="793" w:type="dxa"/>
            <w:vAlign w:val="center"/>
          </w:tcPr>
          <w:p w14:paraId="571DEE8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4.43</w:t>
            </w:r>
          </w:p>
        </w:tc>
        <w:tc>
          <w:tcPr>
            <w:tcW w:w="792" w:type="dxa"/>
            <w:gridSpan w:val="2"/>
            <w:vAlign w:val="center"/>
          </w:tcPr>
          <w:p w14:paraId="3254304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75.13</w:t>
            </w:r>
          </w:p>
        </w:tc>
        <w:tc>
          <w:tcPr>
            <w:tcW w:w="792" w:type="dxa"/>
            <w:vAlign w:val="center"/>
          </w:tcPr>
          <w:p w14:paraId="62CD8E20"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75.13</w:t>
            </w:r>
          </w:p>
        </w:tc>
        <w:tc>
          <w:tcPr>
            <w:tcW w:w="793" w:type="dxa"/>
            <w:vAlign w:val="center"/>
          </w:tcPr>
          <w:p w14:paraId="02D25C8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75.13</w:t>
            </w:r>
          </w:p>
        </w:tc>
      </w:tr>
      <w:tr w:rsidR="005F5B16" w:rsidRPr="00EE623C" w14:paraId="58E0EBEB"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6AE18217"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68489D58"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Sheep meat</w:t>
            </w:r>
          </w:p>
        </w:tc>
        <w:tc>
          <w:tcPr>
            <w:tcW w:w="760" w:type="dxa"/>
            <w:noWrap/>
            <w:vAlign w:val="center"/>
          </w:tcPr>
          <w:p w14:paraId="44C935E0" w14:textId="772DC8F2" w:rsidR="005F5B16" w:rsidRPr="00A54E7F" w:rsidRDefault="003D6B7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rFonts w:eastAsia="Calibri"/>
                <w:color w:val="000000"/>
                <w:sz w:val="16"/>
              </w:rPr>
              <w:t>4.92</w:t>
            </w:r>
          </w:p>
        </w:tc>
        <w:tc>
          <w:tcPr>
            <w:tcW w:w="760" w:type="dxa"/>
            <w:noWrap/>
            <w:vAlign w:val="center"/>
          </w:tcPr>
          <w:p w14:paraId="7624A458" w14:textId="74E56CF5" w:rsidR="005F5B16" w:rsidRPr="00A54E7F" w:rsidRDefault="003D6B7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rFonts w:eastAsia="Calibri"/>
                <w:color w:val="000000"/>
                <w:sz w:val="16"/>
              </w:rPr>
              <w:t>4.92</w:t>
            </w:r>
          </w:p>
        </w:tc>
        <w:tc>
          <w:tcPr>
            <w:tcW w:w="760" w:type="dxa"/>
            <w:noWrap/>
            <w:vAlign w:val="center"/>
          </w:tcPr>
          <w:p w14:paraId="76C1B93A" w14:textId="67BA2E9A" w:rsidR="005F5B16" w:rsidRPr="00A54E7F" w:rsidRDefault="003D6B7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rFonts w:eastAsia="Calibri"/>
                <w:color w:val="000000"/>
                <w:sz w:val="16"/>
              </w:rPr>
              <w:t>4.92</w:t>
            </w:r>
          </w:p>
        </w:tc>
        <w:tc>
          <w:tcPr>
            <w:tcW w:w="850" w:type="dxa"/>
            <w:vAlign w:val="center"/>
          </w:tcPr>
          <w:p w14:paraId="00EBF09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767A8B54"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0.02</w:t>
            </w:r>
          </w:p>
        </w:tc>
        <w:tc>
          <w:tcPr>
            <w:tcW w:w="992" w:type="dxa"/>
            <w:vAlign w:val="center"/>
          </w:tcPr>
          <w:p w14:paraId="563FFC9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0.04</w:t>
            </w:r>
          </w:p>
        </w:tc>
        <w:tc>
          <w:tcPr>
            <w:tcW w:w="792" w:type="dxa"/>
            <w:vAlign w:val="center"/>
          </w:tcPr>
          <w:p w14:paraId="6FCB1C60" w14:textId="4FFE9AEB" w:rsidR="005F5B16" w:rsidRPr="00A54E7F"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0.34</w:t>
            </w:r>
          </w:p>
        </w:tc>
        <w:tc>
          <w:tcPr>
            <w:tcW w:w="792" w:type="dxa"/>
            <w:vAlign w:val="center"/>
          </w:tcPr>
          <w:p w14:paraId="5E0C8D0D" w14:textId="29E19466" w:rsidR="005F5B16" w:rsidRPr="00A54E7F"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0.5</w:t>
            </w:r>
          </w:p>
        </w:tc>
        <w:tc>
          <w:tcPr>
            <w:tcW w:w="793" w:type="dxa"/>
            <w:vAlign w:val="center"/>
          </w:tcPr>
          <w:p w14:paraId="228C276E" w14:textId="2CD6AEB0" w:rsidR="005F5B16" w:rsidRPr="00A54E7F" w:rsidRDefault="00F43D4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1.0</w:t>
            </w:r>
          </w:p>
        </w:tc>
        <w:tc>
          <w:tcPr>
            <w:tcW w:w="792" w:type="dxa"/>
            <w:gridSpan w:val="2"/>
            <w:vAlign w:val="center"/>
          </w:tcPr>
          <w:p w14:paraId="75D17C87" w14:textId="186CC925" w:rsidR="005F5B16" w:rsidRPr="00A54E7F" w:rsidRDefault="00B94244"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5.8</w:t>
            </w:r>
          </w:p>
        </w:tc>
        <w:tc>
          <w:tcPr>
            <w:tcW w:w="792" w:type="dxa"/>
            <w:vAlign w:val="center"/>
          </w:tcPr>
          <w:p w14:paraId="00A33185" w14:textId="00A16082" w:rsidR="005F5B16" w:rsidRPr="00A54E7F" w:rsidRDefault="00B94244"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5.8</w:t>
            </w:r>
          </w:p>
        </w:tc>
        <w:tc>
          <w:tcPr>
            <w:tcW w:w="793" w:type="dxa"/>
            <w:vAlign w:val="center"/>
          </w:tcPr>
          <w:p w14:paraId="0FAF7324" w14:textId="796A6027" w:rsidR="005F5B16" w:rsidRPr="00A54E7F" w:rsidRDefault="00B94244"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Pr>
                <w:color w:val="000000"/>
                <w:sz w:val="16"/>
              </w:rPr>
              <w:t>5.8</w:t>
            </w:r>
          </w:p>
        </w:tc>
      </w:tr>
      <w:tr w:rsidR="005F5B16" w:rsidRPr="00EE623C" w14:paraId="2DEB3456"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47C7726C" w14:textId="77777777" w:rsidR="005F5B16" w:rsidRPr="00EE623C" w:rsidRDefault="005F5B16" w:rsidP="009A3DDD">
            <w:pPr>
              <w:spacing w:after="0" w:line="240" w:lineRule="auto"/>
              <w:contextualSpacing/>
              <w:rPr>
                <w:rFonts w:eastAsia="Times New Roman" w:cs="Arial"/>
                <w:color w:val="000000"/>
                <w:sz w:val="18"/>
                <w:szCs w:val="18"/>
                <w:lang w:eastAsia="en-GB"/>
              </w:rPr>
            </w:pPr>
          </w:p>
        </w:tc>
        <w:tc>
          <w:tcPr>
            <w:tcW w:w="2691" w:type="dxa"/>
            <w:noWrap/>
            <w:hideMark/>
          </w:tcPr>
          <w:p w14:paraId="497D6583" w14:textId="587E4908" w:rsidR="005F5B16" w:rsidRPr="00EE623C" w:rsidRDefault="005F5B16"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EE623C">
              <w:rPr>
                <w:rFonts w:eastAsia="Times New Roman" w:cs="Arial"/>
                <w:bCs/>
                <w:i/>
                <w:color w:val="000000"/>
                <w:sz w:val="18"/>
                <w:szCs w:val="18"/>
                <w:lang w:eastAsia="en-GB"/>
              </w:rPr>
              <w:t>Milk</w:t>
            </w:r>
            <w:r w:rsidR="00F42495">
              <w:rPr>
                <w:rFonts w:eastAsia="Times New Roman" w:cs="Arial"/>
                <w:bCs/>
                <w:i/>
                <w:color w:val="000000"/>
                <w:sz w:val="18"/>
                <w:szCs w:val="18"/>
                <w:lang w:eastAsia="en-GB"/>
              </w:rPr>
              <w:t xml:space="preserve"> (all)</w:t>
            </w:r>
          </w:p>
        </w:tc>
        <w:tc>
          <w:tcPr>
            <w:tcW w:w="760" w:type="dxa"/>
            <w:vAlign w:val="center"/>
          </w:tcPr>
          <w:p w14:paraId="6AAC28FB"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2.9</w:t>
            </w:r>
          </w:p>
        </w:tc>
        <w:tc>
          <w:tcPr>
            <w:tcW w:w="760" w:type="dxa"/>
            <w:vAlign w:val="center"/>
          </w:tcPr>
          <w:p w14:paraId="69AD0F94"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2.9</w:t>
            </w:r>
          </w:p>
        </w:tc>
        <w:tc>
          <w:tcPr>
            <w:tcW w:w="760" w:type="dxa"/>
            <w:vAlign w:val="center"/>
          </w:tcPr>
          <w:p w14:paraId="2F3B9E46"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2.9</w:t>
            </w:r>
          </w:p>
        </w:tc>
        <w:tc>
          <w:tcPr>
            <w:tcW w:w="850" w:type="dxa"/>
            <w:vAlign w:val="center"/>
          </w:tcPr>
          <w:p w14:paraId="1D33A06C"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609E2387"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0.26</w:t>
            </w:r>
          </w:p>
        </w:tc>
        <w:tc>
          <w:tcPr>
            <w:tcW w:w="992" w:type="dxa"/>
            <w:vAlign w:val="center"/>
          </w:tcPr>
          <w:p w14:paraId="2DC5D925"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0.52</w:t>
            </w:r>
          </w:p>
        </w:tc>
        <w:tc>
          <w:tcPr>
            <w:tcW w:w="792" w:type="dxa"/>
            <w:vAlign w:val="center"/>
          </w:tcPr>
          <w:p w14:paraId="1A2837E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13F4B1F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0.26</w:t>
            </w:r>
          </w:p>
        </w:tc>
        <w:tc>
          <w:tcPr>
            <w:tcW w:w="793" w:type="dxa"/>
            <w:vAlign w:val="center"/>
          </w:tcPr>
          <w:p w14:paraId="2D5C3AE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0.52</w:t>
            </w:r>
          </w:p>
        </w:tc>
        <w:tc>
          <w:tcPr>
            <w:tcW w:w="792" w:type="dxa"/>
            <w:gridSpan w:val="2"/>
            <w:vAlign w:val="center"/>
          </w:tcPr>
          <w:p w14:paraId="464C9885"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2.9</w:t>
            </w:r>
          </w:p>
        </w:tc>
        <w:tc>
          <w:tcPr>
            <w:tcW w:w="792" w:type="dxa"/>
            <w:vAlign w:val="center"/>
          </w:tcPr>
          <w:p w14:paraId="0383EFAD"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3.15</w:t>
            </w:r>
          </w:p>
        </w:tc>
        <w:tc>
          <w:tcPr>
            <w:tcW w:w="793" w:type="dxa"/>
            <w:vAlign w:val="center"/>
          </w:tcPr>
          <w:p w14:paraId="778E6CA7"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3.4</w:t>
            </w:r>
          </w:p>
        </w:tc>
      </w:tr>
      <w:tr w:rsidR="005F5B16" w:rsidRPr="00EE623C" w14:paraId="136D22BB"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33438FD9"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41F2520C"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Cattle milk</w:t>
            </w:r>
          </w:p>
        </w:tc>
        <w:tc>
          <w:tcPr>
            <w:tcW w:w="760" w:type="dxa"/>
            <w:vAlign w:val="center"/>
          </w:tcPr>
          <w:p w14:paraId="08426483"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2.37</w:t>
            </w:r>
          </w:p>
        </w:tc>
        <w:tc>
          <w:tcPr>
            <w:tcW w:w="760" w:type="dxa"/>
            <w:vAlign w:val="center"/>
          </w:tcPr>
          <w:p w14:paraId="7616BA5F"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2.37</w:t>
            </w:r>
          </w:p>
        </w:tc>
        <w:tc>
          <w:tcPr>
            <w:tcW w:w="760" w:type="dxa"/>
            <w:vAlign w:val="center"/>
          </w:tcPr>
          <w:p w14:paraId="60F8C4F9"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2.37</w:t>
            </w:r>
          </w:p>
        </w:tc>
        <w:tc>
          <w:tcPr>
            <w:tcW w:w="850" w:type="dxa"/>
            <w:vAlign w:val="center"/>
          </w:tcPr>
          <w:p w14:paraId="42A9650A"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77960FA4"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0.26</w:t>
            </w:r>
          </w:p>
        </w:tc>
        <w:tc>
          <w:tcPr>
            <w:tcW w:w="992" w:type="dxa"/>
            <w:vAlign w:val="center"/>
          </w:tcPr>
          <w:p w14:paraId="52E2ECB4"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0.52</w:t>
            </w:r>
          </w:p>
        </w:tc>
        <w:tc>
          <w:tcPr>
            <w:tcW w:w="792" w:type="dxa"/>
            <w:vAlign w:val="center"/>
          </w:tcPr>
          <w:p w14:paraId="669FA56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159975D4"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0.26</w:t>
            </w:r>
          </w:p>
        </w:tc>
        <w:tc>
          <w:tcPr>
            <w:tcW w:w="793" w:type="dxa"/>
            <w:vAlign w:val="center"/>
          </w:tcPr>
          <w:p w14:paraId="3B4A00D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0.52</w:t>
            </w:r>
          </w:p>
        </w:tc>
        <w:tc>
          <w:tcPr>
            <w:tcW w:w="792" w:type="dxa"/>
            <w:gridSpan w:val="2"/>
            <w:vAlign w:val="center"/>
          </w:tcPr>
          <w:p w14:paraId="210EDBC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2.369</w:t>
            </w:r>
          </w:p>
        </w:tc>
        <w:tc>
          <w:tcPr>
            <w:tcW w:w="792" w:type="dxa"/>
            <w:vAlign w:val="center"/>
          </w:tcPr>
          <w:p w14:paraId="52120016" w14:textId="6A0C858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2.62</w:t>
            </w:r>
            <w:r w:rsidR="004E637A" w:rsidRPr="00A54E7F">
              <w:rPr>
                <w:color w:val="000000"/>
                <w:sz w:val="16"/>
              </w:rPr>
              <w:t>7</w:t>
            </w:r>
          </w:p>
        </w:tc>
        <w:tc>
          <w:tcPr>
            <w:tcW w:w="793" w:type="dxa"/>
            <w:vAlign w:val="center"/>
          </w:tcPr>
          <w:p w14:paraId="179A3EE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2.884</w:t>
            </w:r>
          </w:p>
        </w:tc>
      </w:tr>
      <w:tr w:rsidR="005F5B16" w:rsidRPr="00EE623C" w14:paraId="5DACF93A"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5CDA137C"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352A54B0" w14:textId="77777777" w:rsidR="005F5B16" w:rsidRPr="00EE623C" w:rsidRDefault="005F5B16"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Sheep milk</w:t>
            </w:r>
          </w:p>
        </w:tc>
        <w:tc>
          <w:tcPr>
            <w:tcW w:w="760" w:type="dxa"/>
            <w:vAlign w:val="center"/>
          </w:tcPr>
          <w:p w14:paraId="33FFB935"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2.9</w:t>
            </w:r>
          </w:p>
        </w:tc>
        <w:tc>
          <w:tcPr>
            <w:tcW w:w="760" w:type="dxa"/>
            <w:vAlign w:val="center"/>
          </w:tcPr>
          <w:p w14:paraId="7470F4DA"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2.9</w:t>
            </w:r>
          </w:p>
        </w:tc>
        <w:tc>
          <w:tcPr>
            <w:tcW w:w="760" w:type="dxa"/>
            <w:vAlign w:val="center"/>
          </w:tcPr>
          <w:p w14:paraId="2C6E3DCA"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2.9</w:t>
            </w:r>
          </w:p>
        </w:tc>
        <w:tc>
          <w:tcPr>
            <w:tcW w:w="850" w:type="dxa"/>
            <w:vAlign w:val="center"/>
          </w:tcPr>
          <w:p w14:paraId="1C454C1F"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2985FDA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0.26</w:t>
            </w:r>
          </w:p>
        </w:tc>
        <w:tc>
          <w:tcPr>
            <w:tcW w:w="992" w:type="dxa"/>
            <w:vAlign w:val="center"/>
          </w:tcPr>
          <w:p w14:paraId="1460D8F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0.52</w:t>
            </w:r>
          </w:p>
        </w:tc>
        <w:tc>
          <w:tcPr>
            <w:tcW w:w="792" w:type="dxa"/>
            <w:vAlign w:val="center"/>
          </w:tcPr>
          <w:p w14:paraId="626F774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693EF36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0.26</w:t>
            </w:r>
          </w:p>
        </w:tc>
        <w:tc>
          <w:tcPr>
            <w:tcW w:w="793" w:type="dxa"/>
            <w:vAlign w:val="center"/>
          </w:tcPr>
          <w:p w14:paraId="2F0D44E9"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0.52</w:t>
            </w:r>
          </w:p>
        </w:tc>
        <w:tc>
          <w:tcPr>
            <w:tcW w:w="792" w:type="dxa"/>
            <w:gridSpan w:val="2"/>
            <w:vAlign w:val="center"/>
          </w:tcPr>
          <w:p w14:paraId="2B196DD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2.9</w:t>
            </w:r>
          </w:p>
        </w:tc>
        <w:tc>
          <w:tcPr>
            <w:tcW w:w="792" w:type="dxa"/>
            <w:vAlign w:val="center"/>
          </w:tcPr>
          <w:p w14:paraId="0997D116"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3.15</w:t>
            </w:r>
          </w:p>
        </w:tc>
        <w:tc>
          <w:tcPr>
            <w:tcW w:w="793" w:type="dxa"/>
            <w:vAlign w:val="center"/>
          </w:tcPr>
          <w:p w14:paraId="203CF5C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3.4</w:t>
            </w:r>
          </w:p>
        </w:tc>
      </w:tr>
      <w:tr w:rsidR="005F5B16" w:rsidRPr="00EE623C" w14:paraId="0C55BB21"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4FE21989" w14:textId="77777777" w:rsidR="005F5B16" w:rsidRPr="00EE623C" w:rsidRDefault="005F5B16" w:rsidP="009A3DDD">
            <w:pPr>
              <w:spacing w:after="0" w:line="240" w:lineRule="auto"/>
              <w:contextualSpacing/>
              <w:rPr>
                <w:rFonts w:eastAsia="Times New Roman" w:cs="Arial"/>
                <w:color w:val="000000"/>
                <w:sz w:val="18"/>
                <w:szCs w:val="18"/>
                <w:lang w:eastAsia="en-GB"/>
              </w:rPr>
            </w:pPr>
          </w:p>
        </w:tc>
        <w:tc>
          <w:tcPr>
            <w:tcW w:w="2691" w:type="dxa"/>
            <w:noWrap/>
            <w:hideMark/>
          </w:tcPr>
          <w:p w14:paraId="2FFA7317" w14:textId="7359AD1F" w:rsidR="005F5B16" w:rsidRPr="00F42495" w:rsidRDefault="00B031C9"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Cs/>
                <w:i/>
                <w:color w:val="000000"/>
                <w:sz w:val="18"/>
                <w:szCs w:val="18"/>
                <w:lang w:eastAsia="en-GB"/>
              </w:rPr>
            </w:pPr>
            <w:r w:rsidRPr="00F42495">
              <w:rPr>
                <w:rFonts w:eastAsia="Times New Roman"/>
                <w:bCs/>
                <w:i/>
                <w:color w:val="000000"/>
                <w:sz w:val="18"/>
                <w:szCs w:val="18"/>
                <w:lang w:eastAsia="en-GB"/>
              </w:rPr>
              <w:t>Honey</w:t>
            </w:r>
            <w:r w:rsidRPr="00717D2C">
              <w:rPr>
                <w:rFonts w:eastAsia="Times New Roman"/>
                <w:bCs/>
                <w:color w:val="000000"/>
                <w:sz w:val="18"/>
                <w:szCs w:val="18"/>
                <w:vertAlign w:val="superscript"/>
                <w:lang w:eastAsia="en-GB"/>
              </w:rPr>
              <w:t>1</w:t>
            </w:r>
          </w:p>
        </w:tc>
        <w:tc>
          <w:tcPr>
            <w:tcW w:w="760" w:type="dxa"/>
            <w:noWrap/>
            <w:vAlign w:val="center"/>
          </w:tcPr>
          <w:p w14:paraId="361DF66C" w14:textId="07C3BE06" w:rsidR="005F5B16" w:rsidRPr="00A54E7F" w:rsidRDefault="00B031C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0</w:t>
            </w:r>
          </w:p>
        </w:tc>
        <w:tc>
          <w:tcPr>
            <w:tcW w:w="760" w:type="dxa"/>
            <w:noWrap/>
            <w:vAlign w:val="center"/>
          </w:tcPr>
          <w:p w14:paraId="3683687F" w14:textId="3BB20580" w:rsidR="005F5B16" w:rsidRPr="00A54E7F" w:rsidRDefault="00B031C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1.5</w:t>
            </w:r>
          </w:p>
        </w:tc>
        <w:tc>
          <w:tcPr>
            <w:tcW w:w="760" w:type="dxa"/>
            <w:noWrap/>
            <w:vAlign w:val="center"/>
          </w:tcPr>
          <w:p w14:paraId="6A4CB31D" w14:textId="40D21842" w:rsidR="005F5B16" w:rsidRPr="00A54E7F" w:rsidRDefault="00B031C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3.00</w:t>
            </w:r>
          </w:p>
        </w:tc>
        <w:tc>
          <w:tcPr>
            <w:tcW w:w="850" w:type="dxa"/>
            <w:vAlign w:val="center"/>
          </w:tcPr>
          <w:p w14:paraId="1B805DB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26980AD3"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31E41639"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16354CD2" w14:textId="6AA98717" w:rsidR="005F5B16" w:rsidRPr="00A54E7F" w:rsidRDefault="00B031C9"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0</w:t>
            </w:r>
          </w:p>
        </w:tc>
        <w:tc>
          <w:tcPr>
            <w:tcW w:w="792" w:type="dxa"/>
            <w:vAlign w:val="center"/>
          </w:tcPr>
          <w:p w14:paraId="15D0CC0A" w14:textId="7FFEDD70" w:rsidR="005F5B16" w:rsidRPr="00A54E7F" w:rsidRDefault="00B031C9"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1.5</w:t>
            </w:r>
          </w:p>
        </w:tc>
        <w:tc>
          <w:tcPr>
            <w:tcW w:w="793" w:type="dxa"/>
            <w:vAlign w:val="center"/>
          </w:tcPr>
          <w:p w14:paraId="06305482" w14:textId="6D95F6BF" w:rsidR="005F5B16" w:rsidRPr="00A54E7F" w:rsidRDefault="00B031C9"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3</w:t>
            </w:r>
          </w:p>
        </w:tc>
        <w:tc>
          <w:tcPr>
            <w:tcW w:w="792" w:type="dxa"/>
            <w:gridSpan w:val="2"/>
            <w:vAlign w:val="center"/>
          </w:tcPr>
          <w:p w14:paraId="0726AD89" w14:textId="3194CBD4" w:rsidR="005F5B16" w:rsidRPr="00A54E7F" w:rsidRDefault="00B031C9"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0</w:t>
            </w:r>
          </w:p>
        </w:tc>
        <w:tc>
          <w:tcPr>
            <w:tcW w:w="792" w:type="dxa"/>
            <w:vAlign w:val="center"/>
          </w:tcPr>
          <w:p w14:paraId="71DC1DFC" w14:textId="52B81833" w:rsidR="005F5B16" w:rsidRPr="00A54E7F" w:rsidRDefault="00B031C9"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3</w:t>
            </w:r>
          </w:p>
        </w:tc>
        <w:tc>
          <w:tcPr>
            <w:tcW w:w="793" w:type="dxa"/>
            <w:vAlign w:val="center"/>
          </w:tcPr>
          <w:p w14:paraId="247735C0" w14:textId="3A755472" w:rsidR="005F5B16" w:rsidRPr="00A54E7F" w:rsidRDefault="00B031C9"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6</w:t>
            </w:r>
          </w:p>
        </w:tc>
      </w:tr>
      <w:tr w:rsidR="005F5B16" w:rsidRPr="00EE623C" w14:paraId="16626AF8"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4FF89331" w14:textId="77777777" w:rsidR="005F5B16" w:rsidRPr="00EE623C" w:rsidRDefault="005F5B16" w:rsidP="009A3DDD">
            <w:pPr>
              <w:spacing w:after="0" w:line="240" w:lineRule="auto"/>
              <w:contextualSpacing/>
              <w:rPr>
                <w:rFonts w:eastAsia="Times New Roman" w:cs="Arial"/>
                <w:color w:val="000000"/>
                <w:sz w:val="18"/>
                <w:szCs w:val="18"/>
                <w:lang w:eastAsia="en-GB"/>
              </w:rPr>
            </w:pPr>
          </w:p>
        </w:tc>
        <w:tc>
          <w:tcPr>
            <w:tcW w:w="2691" w:type="dxa"/>
            <w:noWrap/>
            <w:hideMark/>
          </w:tcPr>
          <w:p w14:paraId="0E338D1B" w14:textId="19E3C930" w:rsidR="005F5B16" w:rsidRPr="00F42495" w:rsidRDefault="005F5B16"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F42495">
              <w:rPr>
                <w:rFonts w:eastAsia="Times New Roman" w:cs="Arial"/>
                <w:bCs/>
                <w:i/>
                <w:color w:val="000000"/>
                <w:sz w:val="18"/>
                <w:szCs w:val="18"/>
                <w:lang w:eastAsia="en-GB"/>
              </w:rPr>
              <w:t xml:space="preserve">Offal </w:t>
            </w:r>
            <w:r w:rsidR="00717D2C" w:rsidRPr="00F42495">
              <w:rPr>
                <w:rFonts w:eastAsia="Times New Roman" w:cs="Arial"/>
                <w:bCs/>
                <w:i/>
                <w:color w:val="000000"/>
                <w:sz w:val="18"/>
                <w:szCs w:val="18"/>
                <w:lang w:eastAsia="en-GB"/>
              </w:rPr>
              <w:t>mammalian</w:t>
            </w:r>
          </w:p>
        </w:tc>
        <w:tc>
          <w:tcPr>
            <w:tcW w:w="760" w:type="dxa"/>
            <w:noWrap/>
            <w:vAlign w:val="center"/>
          </w:tcPr>
          <w:p w14:paraId="6AB8F12A" w14:textId="48E562E6" w:rsidR="005F5B16" w:rsidRPr="00A54E7F" w:rsidRDefault="00717D2C"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60.4</w:t>
            </w:r>
          </w:p>
        </w:tc>
        <w:tc>
          <w:tcPr>
            <w:tcW w:w="760" w:type="dxa"/>
            <w:noWrap/>
            <w:vAlign w:val="center"/>
          </w:tcPr>
          <w:p w14:paraId="5408C67A" w14:textId="32AFAB6B" w:rsidR="005F5B16" w:rsidRPr="00A54E7F" w:rsidRDefault="00717D2C"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60.4</w:t>
            </w:r>
          </w:p>
        </w:tc>
        <w:tc>
          <w:tcPr>
            <w:tcW w:w="760" w:type="dxa"/>
            <w:noWrap/>
            <w:vAlign w:val="center"/>
          </w:tcPr>
          <w:p w14:paraId="6FB31793" w14:textId="503076DC" w:rsidR="005F5B16" w:rsidRPr="00A54E7F" w:rsidRDefault="00717D2C"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60.4</w:t>
            </w:r>
          </w:p>
        </w:tc>
        <w:tc>
          <w:tcPr>
            <w:tcW w:w="850" w:type="dxa"/>
          </w:tcPr>
          <w:p w14:paraId="449C59C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tcPr>
          <w:p w14:paraId="3D2C755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0.75</w:t>
            </w:r>
          </w:p>
        </w:tc>
        <w:tc>
          <w:tcPr>
            <w:tcW w:w="992" w:type="dxa"/>
          </w:tcPr>
          <w:p w14:paraId="6D9D7858" w14:textId="03622440"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792" w:type="dxa"/>
            <w:vAlign w:val="center"/>
          </w:tcPr>
          <w:p w14:paraId="4D1EB297" w14:textId="0CD4DD0A" w:rsidR="005F5B16" w:rsidRPr="00A54E7F" w:rsidRDefault="00717D2C"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0</w:t>
            </w:r>
          </w:p>
        </w:tc>
        <w:tc>
          <w:tcPr>
            <w:tcW w:w="792" w:type="dxa"/>
            <w:vAlign w:val="center"/>
          </w:tcPr>
          <w:p w14:paraId="2DB636FA" w14:textId="28CB27B3" w:rsidR="005F5B16" w:rsidRPr="00A54E7F" w:rsidRDefault="00717D2C"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0.75</w:t>
            </w:r>
          </w:p>
        </w:tc>
        <w:tc>
          <w:tcPr>
            <w:tcW w:w="793" w:type="dxa"/>
            <w:vAlign w:val="center"/>
          </w:tcPr>
          <w:p w14:paraId="4267F2C8" w14:textId="5F7CC6A5" w:rsidR="005F5B16" w:rsidRPr="00A54E7F" w:rsidRDefault="00717D2C"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1.5</w:t>
            </w:r>
          </w:p>
        </w:tc>
        <w:tc>
          <w:tcPr>
            <w:tcW w:w="792" w:type="dxa"/>
            <w:gridSpan w:val="2"/>
            <w:vAlign w:val="center"/>
          </w:tcPr>
          <w:p w14:paraId="28D9B3F5" w14:textId="2A799FF8" w:rsidR="005F5B16" w:rsidRPr="00A54E7F" w:rsidRDefault="00717D2C"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color w:val="000000"/>
                <w:sz w:val="16"/>
              </w:rPr>
              <w:t>60.4</w:t>
            </w:r>
          </w:p>
        </w:tc>
        <w:tc>
          <w:tcPr>
            <w:tcW w:w="792" w:type="dxa"/>
            <w:vAlign w:val="center"/>
          </w:tcPr>
          <w:p w14:paraId="42D9748D" w14:textId="2B9AC86C" w:rsidR="005F5B16" w:rsidRPr="00A54E7F" w:rsidRDefault="00717D2C"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color w:val="000000"/>
                <w:sz w:val="16"/>
              </w:rPr>
              <w:t>61.15</w:t>
            </w:r>
          </w:p>
        </w:tc>
        <w:tc>
          <w:tcPr>
            <w:tcW w:w="793" w:type="dxa"/>
            <w:vAlign w:val="center"/>
          </w:tcPr>
          <w:p w14:paraId="2B59280E" w14:textId="28E1DAAF" w:rsidR="005F5B16" w:rsidRPr="00A54E7F" w:rsidRDefault="00717D2C"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highlight w:val="yellow"/>
                <w:lang w:eastAsia="en-GB"/>
              </w:rPr>
            </w:pPr>
            <w:r w:rsidRPr="00A54E7F">
              <w:rPr>
                <w:color w:val="000000"/>
                <w:sz w:val="16"/>
              </w:rPr>
              <w:t>61.9</w:t>
            </w:r>
          </w:p>
        </w:tc>
      </w:tr>
      <w:tr w:rsidR="005F5B16" w:rsidRPr="00EE623C" w14:paraId="6644B8FA"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58AE6351" w14:textId="77777777" w:rsidR="005F5B16" w:rsidRPr="00EE623C" w:rsidRDefault="005F5B16" w:rsidP="009A3DDD">
            <w:pPr>
              <w:spacing w:after="0" w:line="240" w:lineRule="auto"/>
              <w:contextualSpacing/>
              <w:rPr>
                <w:rFonts w:eastAsia="Times New Roman" w:cs="Arial"/>
                <w:color w:val="000000"/>
                <w:sz w:val="18"/>
                <w:szCs w:val="18"/>
                <w:lang w:eastAsia="en-GB"/>
              </w:rPr>
            </w:pPr>
          </w:p>
        </w:tc>
        <w:tc>
          <w:tcPr>
            <w:tcW w:w="2691" w:type="dxa"/>
            <w:noWrap/>
            <w:hideMark/>
          </w:tcPr>
          <w:p w14:paraId="3524EF3F" w14:textId="77777777" w:rsidR="005F5B16" w:rsidRPr="00F42495" w:rsidRDefault="005F5B16"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Cs/>
                <w:i/>
                <w:color w:val="000000"/>
                <w:sz w:val="18"/>
                <w:szCs w:val="18"/>
                <w:lang w:eastAsia="en-GB"/>
              </w:rPr>
            </w:pPr>
            <w:r w:rsidRPr="00F42495">
              <w:rPr>
                <w:rFonts w:eastAsia="Times New Roman" w:cs="Arial"/>
                <w:bCs/>
                <w:i/>
                <w:color w:val="000000"/>
                <w:sz w:val="18"/>
                <w:szCs w:val="18"/>
                <w:lang w:eastAsia="en-GB"/>
              </w:rPr>
              <w:t>Poultry eggs</w:t>
            </w:r>
          </w:p>
        </w:tc>
        <w:tc>
          <w:tcPr>
            <w:tcW w:w="760" w:type="dxa"/>
            <w:noWrap/>
            <w:vAlign w:val="center"/>
          </w:tcPr>
          <w:p w14:paraId="64FB0F0A"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7.15</w:t>
            </w:r>
          </w:p>
        </w:tc>
        <w:tc>
          <w:tcPr>
            <w:tcW w:w="760" w:type="dxa"/>
            <w:noWrap/>
            <w:vAlign w:val="center"/>
          </w:tcPr>
          <w:p w14:paraId="0E7CD398"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7.15</w:t>
            </w:r>
          </w:p>
        </w:tc>
        <w:tc>
          <w:tcPr>
            <w:tcW w:w="760" w:type="dxa"/>
            <w:noWrap/>
            <w:vAlign w:val="center"/>
          </w:tcPr>
          <w:p w14:paraId="65CE2357"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7.15</w:t>
            </w:r>
          </w:p>
        </w:tc>
        <w:tc>
          <w:tcPr>
            <w:tcW w:w="850" w:type="dxa"/>
            <w:vAlign w:val="center"/>
          </w:tcPr>
          <w:p w14:paraId="302EB87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0B68853B"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43CBD88A"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7E3EF122"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0.85</w:t>
            </w:r>
          </w:p>
        </w:tc>
        <w:tc>
          <w:tcPr>
            <w:tcW w:w="792" w:type="dxa"/>
            <w:vAlign w:val="center"/>
          </w:tcPr>
          <w:p w14:paraId="4FB59EBC"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2.5</w:t>
            </w:r>
          </w:p>
        </w:tc>
        <w:tc>
          <w:tcPr>
            <w:tcW w:w="793" w:type="dxa"/>
            <w:vAlign w:val="center"/>
          </w:tcPr>
          <w:p w14:paraId="0597760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5</w:t>
            </w:r>
          </w:p>
        </w:tc>
        <w:tc>
          <w:tcPr>
            <w:tcW w:w="792" w:type="dxa"/>
            <w:gridSpan w:val="2"/>
            <w:vAlign w:val="center"/>
          </w:tcPr>
          <w:p w14:paraId="1E97BB51"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8</w:t>
            </w:r>
          </w:p>
        </w:tc>
        <w:tc>
          <w:tcPr>
            <w:tcW w:w="792" w:type="dxa"/>
            <w:vAlign w:val="center"/>
          </w:tcPr>
          <w:p w14:paraId="3DF9E4EC"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9.25</w:t>
            </w:r>
          </w:p>
        </w:tc>
        <w:tc>
          <w:tcPr>
            <w:tcW w:w="793" w:type="dxa"/>
            <w:vAlign w:val="center"/>
          </w:tcPr>
          <w:p w14:paraId="36D00B0D"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10.8</w:t>
            </w:r>
          </w:p>
        </w:tc>
      </w:tr>
      <w:tr w:rsidR="005F5B16" w:rsidRPr="00EE623C" w14:paraId="2A8D1B2B"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val="restart"/>
          </w:tcPr>
          <w:p w14:paraId="7579450E" w14:textId="77777777" w:rsidR="005F5B16" w:rsidRPr="00EE623C" w:rsidRDefault="005F5B16" w:rsidP="009A3DDD">
            <w:pPr>
              <w:spacing w:after="0" w:line="240" w:lineRule="auto"/>
              <w:contextualSpacing/>
              <w:rPr>
                <w:rFonts w:eastAsia="Times New Roman" w:cs="Arial"/>
                <w:color w:val="000000"/>
                <w:sz w:val="18"/>
                <w:szCs w:val="18"/>
                <w:lang w:eastAsia="en-GB"/>
              </w:rPr>
            </w:pPr>
            <w:r w:rsidRPr="00EE623C">
              <w:rPr>
                <w:rFonts w:eastAsia="Times New Roman" w:cs="Arial"/>
                <w:color w:val="000000"/>
                <w:sz w:val="18"/>
                <w:szCs w:val="18"/>
                <w:lang w:eastAsia="en-GB"/>
              </w:rPr>
              <w:t>Fruit and vegetables</w:t>
            </w:r>
          </w:p>
        </w:tc>
        <w:tc>
          <w:tcPr>
            <w:tcW w:w="2691" w:type="dxa"/>
            <w:noWrap/>
          </w:tcPr>
          <w:p w14:paraId="485B1C0D" w14:textId="294F7682" w:rsidR="005F5B16" w:rsidRPr="00EE623C" w:rsidRDefault="005F5B16"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EE623C">
              <w:rPr>
                <w:rFonts w:eastAsia="Times New Roman" w:cs="Arial"/>
                <w:bCs/>
                <w:i/>
                <w:color w:val="000000"/>
                <w:sz w:val="18"/>
                <w:szCs w:val="18"/>
                <w:lang w:eastAsia="en-GB"/>
              </w:rPr>
              <w:t>Vegetables</w:t>
            </w:r>
            <w:r w:rsidR="00F42495">
              <w:rPr>
                <w:rFonts w:eastAsia="Times New Roman" w:cs="Arial"/>
                <w:bCs/>
                <w:i/>
                <w:color w:val="000000"/>
                <w:sz w:val="18"/>
                <w:szCs w:val="18"/>
                <w:lang w:eastAsia="en-GB"/>
              </w:rPr>
              <w:t xml:space="preserve"> (all)</w:t>
            </w:r>
          </w:p>
        </w:tc>
        <w:tc>
          <w:tcPr>
            <w:tcW w:w="760" w:type="dxa"/>
            <w:vAlign w:val="center"/>
          </w:tcPr>
          <w:p w14:paraId="6A500333"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p>
        </w:tc>
        <w:tc>
          <w:tcPr>
            <w:tcW w:w="760" w:type="dxa"/>
            <w:vAlign w:val="center"/>
          </w:tcPr>
          <w:p w14:paraId="1A97AB9F"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p>
        </w:tc>
        <w:tc>
          <w:tcPr>
            <w:tcW w:w="760" w:type="dxa"/>
            <w:vAlign w:val="center"/>
          </w:tcPr>
          <w:p w14:paraId="479FC269"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p>
        </w:tc>
        <w:tc>
          <w:tcPr>
            <w:tcW w:w="850" w:type="dxa"/>
            <w:vAlign w:val="center"/>
          </w:tcPr>
          <w:p w14:paraId="56F2133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993" w:type="dxa"/>
            <w:vAlign w:val="center"/>
          </w:tcPr>
          <w:p w14:paraId="1FD7A2A9"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992" w:type="dxa"/>
            <w:vAlign w:val="center"/>
          </w:tcPr>
          <w:p w14:paraId="2E87EF0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792" w:type="dxa"/>
            <w:vAlign w:val="center"/>
          </w:tcPr>
          <w:p w14:paraId="2FE9E43E"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92" w:type="dxa"/>
            <w:vAlign w:val="center"/>
          </w:tcPr>
          <w:p w14:paraId="3AE5EC4D"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93" w:type="dxa"/>
            <w:vAlign w:val="center"/>
          </w:tcPr>
          <w:p w14:paraId="21A70E4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92" w:type="dxa"/>
            <w:gridSpan w:val="2"/>
            <w:vAlign w:val="center"/>
          </w:tcPr>
          <w:p w14:paraId="20DB9E80"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792" w:type="dxa"/>
            <w:vAlign w:val="center"/>
          </w:tcPr>
          <w:p w14:paraId="245C4CC6"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793" w:type="dxa"/>
            <w:vAlign w:val="center"/>
          </w:tcPr>
          <w:p w14:paraId="03FA0B3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r>
      <w:tr w:rsidR="005F5B16" w:rsidRPr="00EE623C" w14:paraId="4F810845"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02580077"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05167F6B"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Cucurbits</w:t>
            </w:r>
          </w:p>
        </w:tc>
        <w:tc>
          <w:tcPr>
            <w:tcW w:w="760" w:type="dxa"/>
            <w:noWrap/>
            <w:vAlign w:val="center"/>
          </w:tcPr>
          <w:p w14:paraId="4B22E977"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60" w:type="dxa"/>
            <w:noWrap/>
            <w:vAlign w:val="center"/>
          </w:tcPr>
          <w:p w14:paraId="1563508C"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0.5</w:t>
            </w:r>
          </w:p>
        </w:tc>
        <w:tc>
          <w:tcPr>
            <w:tcW w:w="760" w:type="dxa"/>
            <w:noWrap/>
            <w:vAlign w:val="center"/>
          </w:tcPr>
          <w:p w14:paraId="1E15C049"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w:t>
            </w:r>
          </w:p>
        </w:tc>
        <w:tc>
          <w:tcPr>
            <w:tcW w:w="850" w:type="dxa"/>
            <w:vAlign w:val="center"/>
          </w:tcPr>
          <w:p w14:paraId="437E778D"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65BD3D8D"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992" w:type="dxa"/>
            <w:vAlign w:val="center"/>
          </w:tcPr>
          <w:p w14:paraId="27EF488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w:t>
            </w:r>
          </w:p>
        </w:tc>
        <w:tc>
          <w:tcPr>
            <w:tcW w:w="792" w:type="dxa"/>
            <w:vAlign w:val="center"/>
          </w:tcPr>
          <w:p w14:paraId="21BF2C81"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3E1B1E31"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3" w:type="dxa"/>
            <w:vAlign w:val="center"/>
          </w:tcPr>
          <w:p w14:paraId="316202A9"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2" w:type="dxa"/>
            <w:gridSpan w:val="2"/>
            <w:vAlign w:val="center"/>
          </w:tcPr>
          <w:p w14:paraId="180CE47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41A55F41"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3" w:type="dxa"/>
            <w:vAlign w:val="center"/>
          </w:tcPr>
          <w:p w14:paraId="0044190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w:t>
            </w:r>
          </w:p>
        </w:tc>
      </w:tr>
      <w:tr w:rsidR="005F5B16" w:rsidRPr="00EE623C" w14:paraId="5547C314"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24271A08"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0B1E7A67" w14:textId="37063EE4" w:rsidR="005F5B16" w:rsidRPr="00EE623C" w:rsidRDefault="00AB57BA"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Herbs</w:t>
            </w:r>
            <w:r w:rsidR="000D272A" w:rsidRPr="000D272A">
              <w:rPr>
                <w:rFonts w:eastAsia="Times New Roman" w:cs="Arial"/>
                <w:bCs/>
                <w:color w:val="000000"/>
                <w:sz w:val="18"/>
                <w:szCs w:val="18"/>
                <w:vertAlign w:val="superscript"/>
                <w:lang w:eastAsia="en-GB"/>
              </w:rPr>
              <w:t>1</w:t>
            </w:r>
          </w:p>
        </w:tc>
        <w:tc>
          <w:tcPr>
            <w:tcW w:w="760" w:type="dxa"/>
            <w:noWrap/>
            <w:vAlign w:val="center"/>
          </w:tcPr>
          <w:p w14:paraId="2B4A7E90" w14:textId="6BD425F8" w:rsidR="005F5B16" w:rsidRPr="00A54E7F" w:rsidRDefault="00AB57BA"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60" w:type="dxa"/>
            <w:noWrap/>
            <w:vAlign w:val="center"/>
          </w:tcPr>
          <w:p w14:paraId="63E6162E" w14:textId="52F69E34" w:rsidR="005F5B16" w:rsidRPr="00A54E7F" w:rsidRDefault="00AB57BA"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1.5</w:t>
            </w:r>
          </w:p>
        </w:tc>
        <w:tc>
          <w:tcPr>
            <w:tcW w:w="760" w:type="dxa"/>
            <w:noWrap/>
            <w:vAlign w:val="center"/>
          </w:tcPr>
          <w:p w14:paraId="0CEDC193" w14:textId="19EF5D9E" w:rsidR="005F5B16" w:rsidRPr="00A54E7F" w:rsidRDefault="00AB57BA"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w:t>
            </w:r>
          </w:p>
        </w:tc>
        <w:tc>
          <w:tcPr>
            <w:tcW w:w="850" w:type="dxa"/>
            <w:vAlign w:val="center"/>
          </w:tcPr>
          <w:p w14:paraId="1827D63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4B52674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33500FF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21805689" w14:textId="23165FC5" w:rsidR="005F5B16" w:rsidRPr="00A54E7F" w:rsidRDefault="00AB57BA"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92" w:type="dxa"/>
            <w:vAlign w:val="center"/>
          </w:tcPr>
          <w:p w14:paraId="53849245" w14:textId="318E6CA6" w:rsidR="005F5B16" w:rsidRPr="00A54E7F" w:rsidRDefault="00AB57BA"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1.5</w:t>
            </w:r>
          </w:p>
        </w:tc>
        <w:tc>
          <w:tcPr>
            <w:tcW w:w="793" w:type="dxa"/>
            <w:vAlign w:val="center"/>
          </w:tcPr>
          <w:p w14:paraId="1FEC4C5E" w14:textId="332E43E9" w:rsidR="005F5B16" w:rsidRPr="00A54E7F" w:rsidRDefault="00AB57BA"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w:t>
            </w:r>
          </w:p>
        </w:tc>
        <w:tc>
          <w:tcPr>
            <w:tcW w:w="792" w:type="dxa"/>
            <w:gridSpan w:val="2"/>
            <w:vAlign w:val="center"/>
          </w:tcPr>
          <w:p w14:paraId="473A69D2" w14:textId="6F3A891C" w:rsidR="005F5B16" w:rsidRPr="00A54E7F" w:rsidRDefault="00AB57BA"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26FA758E" w14:textId="40C9F0A8" w:rsidR="005F5B16" w:rsidRPr="00A54E7F" w:rsidRDefault="00AB57BA"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3" w:type="dxa"/>
            <w:vAlign w:val="center"/>
          </w:tcPr>
          <w:p w14:paraId="717CA160" w14:textId="73B75722" w:rsidR="005F5B16" w:rsidRPr="00A54E7F" w:rsidRDefault="00AB57BA"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6</w:t>
            </w:r>
          </w:p>
        </w:tc>
      </w:tr>
      <w:tr w:rsidR="005F5B16" w:rsidRPr="00EE623C" w14:paraId="3AA6E0D5"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3D13C2FD"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3A2C2CE4"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Leafy vegetables</w:t>
            </w:r>
          </w:p>
        </w:tc>
        <w:tc>
          <w:tcPr>
            <w:tcW w:w="760" w:type="dxa"/>
            <w:noWrap/>
            <w:vAlign w:val="center"/>
          </w:tcPr>
          <w:p w14:paraId="4BC2FD85"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60" w:type="dxa"/>
            <w:noWrap/>
            <w:vAlign w:val="center"/>
          </w:tcPr>
          <w:p w14:paraId="1284B73A"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0.5</w:t>
            </w:r>
          </w:p>
        </w:tc>
        <w:tc>
          <w:tcPr>
            <w:tcW w:w="760" w:type="dxa"/>
            <w:noWrap/>
            <w:vAlign w:val="center"/>
          </w:tcPr>
          <w:p w14:paraId="0875F2BB"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w:t>
            </w:r>
          </w:p>
        </w:tc>
        <w:tc>
          <w:tcPr>
            <w:tcW w:w="850" w:type="dxa"/>
            <w:vAlign w:val="center"/>
          </w:tcPr>
          <w:p w14:paraId="2FEDAE6D"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4C4951C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992" w:type="dxa"/>
            <w:vAlign w:val="center"/>
          </w:tcPr>
          <w:p w14:paraId="33D42D3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w:t>
            </w:r>
          </w:p>
        </w:tc>
        <w:tc>
          <w:tcPr>
            <w:tcW w:w="792" w:type="dxa"/>
            <w:vAlign w:val="center"/>
          </w:tcPr>
          <w:p w14:paraId="6DD88275"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2611A1AA"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3" w:type="dxa"/>
            <w:vAlign w:val="center"/>
          </w:tcPr>
          <w:p w14:paraId="0D73C47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2" w:type="dxa"/>
            <w:gridSpan w:val="2"/>
            <w:vAlign w:val="center"/>
          </w:tcPr>
          <w:p w14:paraId="2D44A435"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3D5C47B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3" w:type="dxa"/>
            <w:vAlign w:val="center"/>
          </w:tcPr>
          <w:p w14:paraId="183815BE"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w:t>
            </w:r>
          </w:p>
        </w:tc>
      </w:tr>
      <w:tr w:rsidR="005F5B16" w:rsidRPr="00EE623C" w14:paraId="7AA0F0D7"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2F0C17CF"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7DFA1E29" w14:textId="77777777" w:rsidR="005F5B16" w:rsidRPr="00EE623C" w:rsidRDefault="005F5B16"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Other fruiting vegetables</w:t>
            </w:r>
          </w:p>
        </w:tc>
        <w:tc>
          <w:tcPr>
            <w:tcW w:w="760" w:type="dxa"/>
            <w:noWrap/>
            <w:vAlign w:val="center"/>
          </w:tcPr>
          <w:p w14:paraId="7F641369"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60" w:type="dxa"/>
            <w:noWrap/>
            <w:vAlign w:val="center"/>
          </w:tcPr>
          <w:p w14:paraId="3D49A166"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1.5</w:t>
            </w:r>
          </w:p>
        </w:tc>
        <w:tc>
          <w:tcPr>
            <w:tcW w:w="760" w:type="dxa"/>
            <w:noWrap/>
            <w:vAlign w:val="center"/>
          </w:tcPr>
          <w:p w14:paraId="4CC1A271"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w:t>
            </w:r>
          </w:p>
        </w:tc>
        <w:tc>
          <w:tcPr>
            <w:tcW w:w="850" w:type="dxa"/>
            <w:vAlign w:val="center"/>
          </w:tcPr>
          <w:p w14:paraId="3B81A177"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771C38F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10C1E9F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7A39963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0E440AD5"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793" w:type="dxa"/>
            <w:vAlign w:val="center"/>
          </w:tcPr>
          <w:p w14:paraId="63603ADC"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gridSpan w:val="2"/>
            <w:vAlign w:val="center"/>
          </w:tcPr>
          <w:p w14:paraId="7DBEED9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20AD109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3" w:type="dxa"/>
            <w:vAlign w:val="center"/>
          </w:tcPr>
          <w:p w14:paraId="2A6187BC"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6</w:t>
            </w:r>
          </w:p>
        </w:tc>
      </w:tr>
      <w:tr w:rsidR="005F5B16" w:rsidRPr="00EE623C" w14:paraId="5B61B576"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0B445521"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5782918D"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Root and tuber vegetables</w:t>
            </w:r>
          </w:p>
        </w:tc>
        <w:tc>
          <w:tcPr>
            <w:tcW w:w="760" w:type="dxa"/>
            <w:noWrap/>
            <w:vAlign w:val="center"/>
          </w:tcPr>
          <w:p w14:paraId="4716C1C3"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60" w:type="dxa"/>
            <w:noWrap/>
            <w:vAlign w:val="center"/>
          </w:tcPr>
          <w:p w14:paraId="4F143320"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1.5</w:t>
            </w:r>
          </w:p>
        </w:tc>
        <w:tc>
          <w:tcPr>
            <w:tcW w:w="760" w:type="dxa"/>
            <w:noWrap/>
            <w:vAlign w:val="center"/>
          </w:tcPr>
          <w:p w14:paraId="54FA31EF"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w:t>
            </w:r>
          </w:p>
        </w:tc>
        <w:tc>
          <w:tcPr>
            <w:tcW w:w="850" w:type="dxa"/>
            <w:vAlign w:val="center"/>
          </w:tcPr>
          <w:p w14:paraId="1D5A797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32F28354"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1CA4F0BB"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7EB3E6C9"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56A9975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793" w:type="dxa"/>
            <w:vAlign w:val="center"/>
          </w:tcPr>
          <w:p w14:paraId="431FDB3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gridSpan w:val="2"/>
            <w:vAlign w:val="center"/>
          </w:tcPr>
          <w:p w14:paraId="3829BB6D"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3408146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3" w:type="dxa"/>
            <w:vAlign w:val="center"/>
          </w:tcPr>
          <w:p w14:paraId="350351B1"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6</w:t>
            </w:r>
          </w:p>
        </w:tc>
      </w:tr>
      <w:tr w:rsidR="005F5B16" w:rsidRPr="00EE623C" w14:paraId="4B9FC4E3"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4E7B589E"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6D037CB0" w14:textId="634130B7" w:rsidR="005F5B16" w:rsidRPr="00EE623C" w:rsidRDefault="00CC6DB2"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Spices</w:t>
            </w:r>
            <w:r w:rsidRPr="00CC6DB2">
              <w:rPr>
                <w:rFonts w:eastAsia="Times New Roman" w:cs="Arial"/>
                <w:bCs/>
                <w:color w:val="000000"/>
                <w:sz w:val="18"/>
                <w:szCs w:val="18"/>
                <w:vertAlign w:val="superscript"/>
                <w:lang w:eastAsia="en-GB"/>
              </w:rPr>
              <w:t>1</w:t>
            </w:r>
          </w:p>
        </w:tc>
        <w:tc>
          <w:tcPr>
            <w:tcW w:w="760" w:type="dxa"/>
            <w:vAlign w:val="center"/>
          </w:tcPr>
          <w:p w14:paraId="39D35D3B" w14:textId="3CB89964" w:rsidR="005F5B16" w:rsidRPr="00A54E7F" w:rsidRDefault="00CC6DB2"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60" w:type="dxa"/>
            <w:vAlign w:val="center"/>
          </w:tcPr>
          <w:p w14:paraId="7CAC6C7C" w14:textId="2F414BAE" w:rsidR="005F5B16" w:rsidRPr="00A54E7F" w:rsidRDefault="00CC6DB2"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1.5</w:t>
            </w:r>
          </w:p>
        </w:tc>
        <w:tc>
          <w:tcPr>
            <w:tcW w:w="760" w:type="dxa"/>
            <w:vAlign w:val="center"/>
          </w:tcPr>
          <w:p w14:paraId="7DCAB8E5" w14:textId="7F5AAA8D" w:rsidR="005F5B16" w:rsidRPr="00A54E7F" w:rsidRDefault="00CC6DB2"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w:t>
            </w:r>
          </w:p>
        </w:tc>
        <w:tc>
          <w:tcPr>
            <w:tcW w:w="850" w:type="dxa"/>
            <w:vAlign w:val="center"/>
          </w:tcPr>
          <w:p w14:paraId="65241FF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35EAA9BC"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067E5FD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392EE2EA"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56C40CDD"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793" w:type="dxa"/>
            <w:vAlign w:val="center"/>
          </w:tcPr>
          <w:p w14:paraId="3A2E5CA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gridSpan w:val="2"/>
            <w:vAlign w:val="center"/>
          </w:tcPr>
          <w:p w14:paraId="1FA5D28E" w14:textId="185D0D3C" w:rsidR="005F5B16" w:rsidRPr="00A54E7F" w:rsidRDefault="00CC6DB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378B6189" w14:textId="30A793F3" w:rsidR="005F5B16" w:rsidRPr="00A54E7F" w:rsidRDefault="00CC6DB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3" w:type="dxa"/>
            <w:vAlign w:val="center"/>
          </w:tcPr>
          <w:p w14:paraId="79299756" w14:textId="238EAD6A" w:rsidR="005F5B16" w:rsidRPr="00A54E7F" w:rsidRDefault="00CC6DB2"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6</w:t>
            </w:r>
          </w:p>
        </w:tc>
      </w:tr>
      <w:tr w:rsidR="005F5B16" w:rsidRPr="00EE623C" w14:paraId="44CD9F3C"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4B51220A"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0293B0DA" w14:textId="77777777"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Stalk and stem vegetables</w:t>
            </w:r>
          </w:p>
        </w:tc>
        <w:tc>
          <w:tcPr>
            <w:tcW w:w="760" w:type="dxa"/>
            <w:noWrap/>
            <w:vAlign w:val="center"/>
          </w:tcPr>
          <w:p w14:paraId="76F45F27"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3.85</w:t>
            </w:r>
          </w:p>
        </w:tc>
        <w:tc>
          <w:tcPr>
            <w:tcW w:w="760" w:type="dxa"/>
            <w:noWrap/>
            <w:vAlign w:val="center"/>
          </w:tcPr>
          <w:p w14:paraId="17F351B6"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3.85</w:t>
            </w:r>
          </w:p>
        </w:tc>
        <w:tc>
          <w:tcPr>
            <w:tcW w:w="760" w:type="dxa"/>
            <w:noWrap/>
            <w:vAlign w:val="center"/>
          </w:tcPr>
          <w:p w14:paraId="6C9264CB" w14:textId="77777777" w:rsidR="005F5B16" w:rsidRPr="00A54E7F" w:rsidRDefault="005F5B1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3.85</w:t>
            </w:r>
          </w:p>
        </w:tc>
        <w:tc>
          <w:tcPr>
            <w:tcW w:w="850" w:type="dxa"/>
            <w:vAlign w:val="center"/>
          </w:tcPr>
          <w:p w14:paraId="4731A9F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575364D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992" w:type="dxa"/>
            <w:vAlign w:val="center"/>
          </w:tcPr>
          <w:p w14:paraId="355077B4"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2</w:t>
            </w:r>
          </w:p>
        </w:tc>
        <w:tc>
          <w:tcPr>
            <w:tcW w:w="792" w:type="dxa"/>
            <w:vAlign w:val="center"/>
          </w:tcPr>
          <w:p w14:paraId="6B0D07E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1.25</w:t>
            </w:r>
          </w:p>
        </w:tc>
        <w:tc>
          <w:tcPr>
            <w:tcW w:w="792" w:type="dxa"/>
            <w:vAlign w:val="center"/>
          </w:tcPr>
          <w:p w14:paraId="6DF649F7"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1.25</w:t>
            </w:r>
          </w:p>
        </w:tc>
        <w:tc>
          <w:tcPr>
            <w:tcW w:w="793" w:type="dxa"/>
            <w:vAlign w:val="center"/>
          </w:tcPr>
          <w:p w14:paraId="1C808963"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1.25</w:t>
            </w:r>
          </w:p>
        </w:tc>
        <w:tc>
          <w:tcPr>
            <w:tcW w:w="792" w:type="dxa"/>
            <w:gridSpan w:val="2"/>
            <w:vAlign w:val="center"/>
          </w:tcPr>
          <w:p w14:paraId="0A2349CC"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4.75</w:t>
            </w:r>
          </w:p>
        </w:tc>
        <w:tc>
          <w:tcPr>
            <w:tcW w:w="792" w:type="dxa"/>
            <w:vAlign w:val="center"/>
          </w:tcPr>
          <w:p w14:paraId="06D2DEBF"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4.75</w:t>
            </w:r>
          </w:p>
        </w:tc>
        <w:tc>
          <w:tcPr>
            <w:tcW w:w="793" w:type="dxa"/>
            <w:vAlign w:val="center"/>
          </w:tcPr>
          <w:p w14:paraId="62B7EB60"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4.95</w:t>
            </w:r>
          </w:p>
        </w:tc>
      </w:tr>
      <w:tr w:rsidR="005F5B16" w:rsidRPr="00EE623C" w14:paraId="1A2FDC80"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1F62A714" w14:textId="77777777" w:rsidR="005F5B16" w:rsidRPr="00EE623C" w:rsidRDefault="005F5B16" w:rsidP="009A3DDD">
            <w:pPr>
              <w:spacing w:after="0" w:line="240" w:lineRule="auto"/>
              <w:contextualSpacing/>
              <w:rPr>
                <w:rFonts w:eastAsia="Times New Roman" w:cs="Arial"/>
                <w:color w:val="000000"/>
                <w:sz w:val="18"/>
                <w:szCs w:val="18"/>
                <w:lang w:eastAsia="en-GB"/>
              </w:rPr>
            </w:pPr>
          </w:p>
        </w:tc>
        <w:tc>
          <w:tcPr>
            <w:tcW w:w="2691" w:type="dxa"/>
            <w:noWrap/>
          </w:tcPr>
          <w:p w14:paraId="26B05B6C" w14:textId="4C5159B0" w:rsidR="005F5B16" w:rsidRPr="00EE623C" w:rsidRDefault="005F5B16"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EE623C">
              <w:rPr>
                <w:rFonts w:eastAsia="Times New Roman" w:cs="Arial"/>
                <w:bCs/>
                <w:i/>
                <w:color w:val="000000"/>
                <w:sz w:val="18"/>
                <w:szCs w:val="18"/>
                <w:lang w:eastAsia="en-GB"/>
              </w:rPr>
              <w:t>Fruit</w:t>
            </w:r>
            <w:r w:rsidR="00AA4789">
              <w:rPr>
                <w:rFonts w:eastAsia="Times New Roman" w:cs="Arial"/>
                <w:bCs/>
                <w:i/>
                <w:color w:val="000000"/>
                <w:sz w:val="18"/>
                <w:szCs w:val="18"/>
                <w:lang w:eastAsia="en-GB"/>
              </w:rPr>
              <w:t xml:space="preserve"> (all)</w:t>
            </w:r>
          </w:p>
        </w:tc>
        <w:tc>
          <w:tcPr>
            <w:tcW w:w="760" w:type="dxa"/>
            <w:noWrap/>
            <w:vAlign w:val="center"/>
          </w:tcPr>
          <w:p w14:paraId="56AFF7B4"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60" w:type="dxa"/>
            <w:noWrap/>
            <w:vAlign w:val="center"/>
          </w:tcPr>
          <w:p w14:paraId="37BE9A72"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60" w:type="dxa"/>
            <w:noWrap/>
            <w:vAlign w:val="center"/>
          </w:tcPr>
          <w:p w14:paraId="2637CA07"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850" w:type="dxa"/>
            <w:vAlign w:val="center"/>
          </w:tcPr>
          <w:p w14:paraId="454E3460"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993" w:type="dxa"/>
            <w:vAlign w:val="center"/>
          </w:tcPr>
          <w:p w14:paraId="643C2BCD"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992" w:type="dxa"/>
            <w:vAlign w:val="center"/>
          </w:tcPr>
          <w:p w14:paraId="73694B0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792" w:type="dxa"/>
            <w:vAlign w:val="center"/>
          </w:tcPr>
          <w:p w14:paraId="296F8F6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92" w:type="dxa"/>
            <w:vAlign w:val="center"/>
          </w:tcPr>
          <w:p w14:paraId="37DC354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93" w:type="dxa"/>
            <w:vAlign w:val="center"/>
          </w:tcPr>
          <w:p w14:paraId="15F40796"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p>
        </w:tc>
        <w:tc>
          <w:tcPr>
            <w:tcW w:w="792" w:type="dxa"/>
            <w:gridSpan w:val="2"/>
            <w:vAlign w:val="center"/>
          </w:tcPr>
          <w:p w14:paraId="4DD3BA77"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792" w:type="dxa"/>
            <w:vAlign w:val="center"/>
          </w:tcPr>
          <w:p w14:paraId="4EA5512E"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c>
          <w:tcPr>
            <w:tcW w:w="793" w:type="dxa"/>
            <w:vAlign w:val="center"/>
          </w:tcPr>
          <w:p w14:paraId="37282568"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p>
        </w:tc>
      </w:tr>
      <w:tr w:rsidR="005F5B16" w:rsidRPr="00EE623C" w14:paraId="731ED363"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392AEC8C"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3EC18CBA" w14:textId="4F89B9B9"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 xml:space="preserve">Berries and other small </w:t>
            </w:r>
            <w:r w:rsidR="00717D2C" w:rsidRPr="00EE623C">
              <w:rPr>
                <w:rFonts w:eastAsia="Times New Roman" w:cs="Arial"/>
                <w:bCs/>
                <w:color w:val="000000"/>
                <w:sz w:val="18"/>
                <w:szCs w:val="18"/>
                <w:lang w:eastAsia="en-GB"/>
              </w:rPr>
              <w:t>fruits</w:t>
            </w:r>
            <w:r w:rsidR="00717D2C" w:rsidRPr="00717D2C">
              <w:rPr>
                <w:rFonts w:eastAsia="Times New Roman" w:cs="Arial"/>
                <w:bCs/>
                <w:color w:val="000000"/>
                <w:sz w:val="18"/>
                <w:szCs w:val="18"/>
                <w:vertAlign w:val="superscript"/>
                <w:lang w:eastAsia="en-GB"/>
              </w:rPr>
              <w:t>1</w:t>
            </w:r>
          </w:p>
        </w:tc>
        <w:tc>
          <w:tcPr>
            <w:tcW w:w="760" w:type="dxa"/>
            <w:noWrap/>
            <w:vAlign w:val="center"/>
          </w:tcPr>
          <w:p w14:paraId="22409B8E" w14:textId="133883F6" w:rsidR="005F5B16" w:rsidRPr="00A54E7F" w:rsidRDefault="00717D2C"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0</w:t>
            </w:r>
          </w:p>
        </w:tc>
        <w:tc>
          <w:tcPr>
            <w:tcW w:w="760" w:type="dxa"/>
            <w:noWrap/>
            <w:vAlign w:val="center"/>
          </w:tcPr>
          <w:p w14:paraId="239C6437" w14:textId="68954DBF" w:rsidR="005F5B16" w:rsidRPr="00A54E7F" w:rsidRDefault="00717D2C"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1.5</w:t>
            </w:r>
          </w:p>
        </w:tc>
        <w:tc>
          <w:tcPr>
            <w:tcW w:w="760" w:type="dxa"/>
            <w:noWrap/>
            <w:vAlign w:val="center"/>
          </w:tcPr>
          <w:p w14:paraId="41BD4C5A" w14:textId="6CD299DC" w:rsidR="005F5B16" w:rsidRPr="00A54E7F" w:rsidRDefault="00717D2C"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Calibri"/>
                <w:color w:val="000000"/>
                <w:sz w:val="16"/>
              </w:rPr>
              <w:t>3</w:t>
            </w:r>
          </w:p>
        </w:tc>
        <w:tc>
          <w:tcPr>
            <w:tcW w:w="850" w:type="dxa"/>
            <w:vAlign w:val="center"/>
          </w:tcPr>
          <w:p w14:paraId="1626DF48"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6C5084AD"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67FED18A"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35B97C2A" w14:textId="7DB838F5"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0</w:t>
            </w:r>
          </w:p>
        </w:tc>
        <w:tc>
          <w:tcPr>
            <w:tcW w:w="792" w:type="dxa"/>
            <w:vAlign w:val="center"/>
          </w:tcPr>
          <w:p w14:paraId="27DD39B7" w14:textId="5E04E215"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1.50</w:t>
            </w:r>
          </w:p>
        </w:tc>
        <w:tc>
          <w:tcPr>
            <w:tcW w:w="793" w:type="dxa"/>
            <w:vAlign w:val="center"/>
          </w:tcPr>
          <w:p w14:paraId="6CFBEEE1" w14:textId="5E1298C0"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3.00</w:t>
            </w:r>
          </w:p>
        </w:tc>
        <w:tc>
          <w:tcPr>
            <w:tcW w:w="792" w:type="dxa"/>
            <w:gridSpan w:val="2"/>
            <w:vAlign w:val="center"/>
          </w:tcPr>
          <w:p w14:paraId="18081FEF" w14:textId="10C87FE6"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0</w:t>
            </w:r>
          </w:p>
        </w:tc>
        <w:tc>
          <w:tcPr>
            <w:tcW w:w="792" w:type="dxa"/>
            <w:vAlign w:val="center"/>
          </w:tcPr>
          <w:p w14:paraId="0ABDC069" w14:textId="709BD0BF"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3</w:t>
            </w:r>
          </w:p>
        </w:tc>
        <w:tc>
          <w:tcPr>
            <w:tcW w:w="793" w:type="dxa"/>
            <w:vAlign w:val="center"/>
          </w:tcPr>
          <w:p w14:paraId="2C8B328B" w14:textId="13E6D1C7"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6</w:t>
            </w:r>
          </w:p>
        </w:tc>
      </w:tr>
      <w:tr w:rsidR="005F5B16" w:rsidRPr="00EE623C" w14:paraId="301331EC"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00A07574"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tcPr>
          <w:p w14:paraId="26C6999E" w14:textId="77777777" w:rsidR="005F5B16" w:rsidRPr="00EE623C" w:rsidRDefault="005F5B16"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Citrus fruits</w:t>
            </w:r>
          </w:p>
        </w:tc>
        <w:tc>
          <w:tcPr>
            <w:tcW w:w="760" w:type="dxa"/>
            <w:noWrap/>
            <w:vAlign w:val="center"/>
          </w:tcPr>
          <w:p w14:paraId="2BFFF7E6"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r w:rsidRPr="00A54E7F">
              <w:rPr>
                <w:rFonts w:eastAsia="Calibri"/>
                <w:color w:val="000000"/>
                <w:sz w:val="16"/>
              </w:rPr>
              <w:t>0</w:t>
            </w:r>
          </w:p>
        </w:tc>
        <w:tc>
          <w:tcPr>
            <w:tcW w:w="760" w:type="dxa"/>
            <w:noWrap/>
            <w:vAlign w:val="center"/>
          </w:tcPr>
          <w:p w14:paraId="15D60C0F"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r w:rsidRPr="00A54E7F">
              <w:rPr>
                <w:rFonts w:eastAsia="Calibri"/>
                <w:color w:val="000000"/>
                <w:sz w:val="16"/>
              </w:rPr>
              <w:t>1.5</w:t>
            </w:r>
          </w:p>
        </w:tc>
        <w:tc>
          <w:tcPr>
            <w:tcW w:w="760" w:type="dxa"/>
            <w:noWrap/>
            <w:vAlign w:val="center"/>
          </w:tcPr>
          <w:p w14:paraId="4F9960F2"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rPr>
            </w:pPr>
            <w:r w:rsidRPr="00A54E7F">
              <w:rPr>
                <w:rFonts w:eastAsia="Calibri"/>
                <w:color w:val="000000"/>
                <w:sz w:val="16"/>
              </w:rPr>
              <w:t>3</w:t>
            </w:r>
          </w:p>
        </w:tc>
        <w:tc>
          <w:tcPr>
            <w:tcW w:w="850" w:type="dxa"/>
            <w:vAlign w:val="center"/>
          </w:tcPr>
          <w:p w14:paraId="4A28FCA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2171F8B3"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2C5EB6EE"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489CA260"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3C0E158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793" w:type="dxa"/>
            <w:vAlign w:val="center"/>
          </w:tcPr>
          <w:p w14:paraId="035C3E3A"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gridSpan w:val="2"/>
            <w:vAlign w:val="center"/>
          </w:tcPr>
          <w:p w14:paraId="04CBDF50"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1C42A1EF"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3" w:type="dxa"/>
            <w:vAlign w:val="center"/>
          </w:tcPr>
          <w:p w14:paraId="434B0532"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6</w:t>
            </w:r>
          </w:p>
        </w:tc>
      </w:tr>
      <w:tr w:rsidR="005F5B16" w:rsidRPr="00EE623C" w14:paraId="6262ACE6" w14:textId="77777777" w:rsidTr="00A54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6B6EEDA5"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tcPr>
          <w:p w14:paraId="199FB4A7" w14:textId="54B18BC1" w:rsidR="005F5B16" w:rsidRPr="00EE623C" w:rsidRDefault="005F5B16"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 xml:space="preserve">Pome </w:t>
            </w:r>
            <w:r w:rsidR="00717D2C" w:rsidRPr="00EE623C">
              <w:rPr>
                <w:rFonts w:eastAsia="Times New Roman" w:cs="Arial"/>
                <w:bCs/>
                <w:color w:val="000000"/>
                <w:sz w:val="18"/>
                <w:szCs w:val="18"/>
                <w:lang w:eastAsia="en-GB"/>
              </w:rPr>
              <w:t>fruits</w:t>
            </w:r>
            <w:r w:rsidR="00717D2C" w:rsidRPr="00717D2C">
              <w:rPr>
                <w:rFonts w:eastAsia="Times New Roman" w:cs="Arial"/>
                <w:bCs/>
                <w:color w:val="000000"/>
                <w:sz w:val="18"/>
                <w:szCs w:val="18"/>
                <w:vertAlign w:val="superscript"/>
                <w:lang w:eastAsia="en-GB"/>
              </w:rPr>
              <w:t>2</w:t>
            </w:r>
          </w:p>
        </w:tc>
        <w:tc>
          <w:tcPr>
            <w:tcW w:w="760" w:type="dxa"/>
            <w:noWrap/>
            <w:vAlign w:val="center"/>
          </w:tcPr>
          <w:p w14:paraId="1EE218C0" w14:textId="795296D0" w:rsidR="005F5B16" w:rsidRPr="00A54E7F" w:rsidRDefault="00717D2C"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rPr>
            </w:pPr>
            <w:r w:rsidRPr="00A54E7F">
              <w:rPr>
                <w:rFonts w:eastAsia="Calibri"/>
                <w:color w:val="000000"/>
                <w:sz w:val="16"/>
              </w:rPr>
              <w:t>0</w:t>
            </w:r>
          </w:p>
        </w:tc>
        <w:tc>
          <w:tcPr>
            <w:tcW w:w="760" w:type="dxa"/>
            <w:noWrap/>
            <w:vAlign w:val="center"/>
          </w:tcPr>
          <w:p w14:paraId="62DC4C6C" w14:textId="2E89663A" w:rsidR="005F5B16" w:rsidRPr="00A54E7F" w:rsidRDefault="00717D2C"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rPr>
            </w:pPr>
            <w:r w:rsidRPr="00A54E7F">
              <w:rPr>
                <w:rFonts w:eastAsia="Calibri"/>
                <w:color w:val="000000"/>
                <w:sz w:val="16"/>
              </w:rPr>
              <w:t>1.5</w:t>
            </w:r>
          </w:p>
        </w:tc>
        <w:tc>
          <w:tcPr>
            <w:tcW w:w="760" w:type="dxa"/>
            <w:noWrap/>
            <w:vAlign w:val="center"/>
          </w:tcPr>
          <w:p w14:paraId="386CC0CC" w14:textId="38A274D6" w:rsidR="005F5B16" w:rsidRPr="00A54E7F" w:rsidRDefault="00717D2C"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rPr>
            </w:pPr>
            <w:r w:rsidRPr="00A54E7F">
              <w:rPr>
                <w:rFonts w:eastAsia="Calibri"/>
                <w:color w:val="000000"/>
                <w:sz w:val="16"/>
              </w:rPr>
              <w:t>3</w:t>
            </w:r>
          </w:p>
        </w:tc>
        <w:tc>
          <w:tcPr>
            <w:tcW w:w="850" w:type="dxa"/>
            <w:vAlign w:val="center"/>
          </w:tcPr>
          <w:p w14:paraId="3F2D2BB9"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993" w:type="dxa"/>
            <w:vAlign w:val="center"/>
          </w:tcPr>
          <w:p w14:paraId="42F33B56"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1.5</w:t>
            </w:r>
          </w:p>
        </w:tc>
        <w:tc>
          <w:tcPr>
            <w:tcW w:w="992" w:type="dxa"/>
            <w:vAlign w:val="center"/>
          </w:tcPr>
          <w:p w14:paraId="08383800" w14:textId="77777777" w:rsidR="005F5B16" w:rsidRPr="00A54E7F" w:rsidRDefault="005F5B16"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lang w:eastAsia="en-GB"/>
              </w:rPr>
            </w:pPr>
            <w:r w:rsidRPr="00A54E7F">
              <w:rPr>
                <w:color w:val="000000"/>
                <w:sz w:val="16"/>
              </w:rPr>
              <w:t>3</w:t>
            </w:r>
          </w:p>
        </w:tc>
        <w:tc>
          <w:tcPr>
            <w:tcW w:w="792" w:type="dxa"/>
            <w:vAlign w:val="center"/>
          </w:tcPr>
          <w:p w14:paraId="6FC8FEBC" w14:textId="64DC3876"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0</w:t>
            </w:r>
          </w:p>
        </w:tc>
        <w:tc>
          <w:tcPr>
            <w:tcW w:w="792" w:type="dxa"/>
            <w:vAlign w:val="center"/>
          </w:tcPr>
          <w:p w14:paraId="0CE16EFB" w14:textId="0E5B72A6"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1.50</w:t>
            </w:r>
          </w:p>
        </w:tc>
        <w:tc>
          <w:tcPr>
            <w:tcW w:w="793" w:type="dxa"/>
            <w:vAlign w:val="center"/>
          </w:tcPr>
          <w:p w14:paraId="3F6B5040" w14:textId="65069764"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rFonts w:eastAsia="Times New Roman"/>
                <w:color w:val="000000"/>
                <w:sz w:val="16"/>
                <w:lang w:eastAsia="en-GB"/>
              </w:rPr>
              <w:t>3</w:t>
            </w:r>
          </w:p>
        </w:tc>
        <w:tc>
          <w:tcPr>
            <w:tcW w:w="792" w:type="dxa"/>
            <w:gridSpan w:val="2"/>
            <w:vAlign w:val="center"/>
          </w:tcPr>
          <w:p w14:paraId="12F28284" w14:textId="2CC732BC"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0</w:t>
            </w:r>
          </w:p>
        </w:tc>
        <w:tc>
          <w:tcPr>
            <w:tcW w:w="792" w:type="dxa"/>
            <w:vAlign w:val="center"/>
          </w:tcPr>
          <w:p w14:paraId="7C85BE91" w14:textId="1666FDCE"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3</w:t>
            </w:r>
          </w:p>
        </w:tc>
        <w:tc>
          <w:tcPr>
            <w:tcW w:w="793" w:type="dxa"/>
            <w:vAlign w:val="center"/>
          </w:tcPr>
          <w:p w14:paraId="31ECBEDB" w14:textId="3D753651" w:rsidR="005F5B16" w:rsidRPr="00A54E7F" w:rsidRDefault="00717D2C" w:rsidP="003C3E3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highlight w:val="yellow"/>
                <w:lang w:eastAsia="en-GB"/>
              </w:rPr>
            </w:pPr>
            <w:r w:rsidRPr="00A54E7F">
              <w:rPr>
                <w:color w:val="000000"/>
                <w:sz w:val="16"/>
              </w:rPr>
              <w:t>6</w:t>
            </w:r>
          </w:p>
        </w:tc>
      </w:tr>
      <w:tr w:rsidR="005F5B16" w:rsidRPr="00EE623C" w14:paraId="68C0ED02" w14:textId="77777777" w:rsidTr="00A54E7F">
        <w:trPr>
          <w:trHeight w:val="20"/>
        </w:trPr>
        <w:tc>
          <w:tcPr>
            <w:cnfStyle w:val="001000000000" w:firstRow="0" w:lastRow="0" w:firstColumn="1" w:lastColumn="0" w:oddVBand="0" w:evenVBand="0" w:oddHBand="0" w:evenHBand="0" w:firstRowFirstColumn="0" w:firstRowLastColumn="0" w:lastRowFirstColumn="0" w:lastRowLastColumn="0"/>
            <w:tcW w:w="1658" w:type="dxa"/>
            <w:vMerge/>
          </w:tcPr>
          <w:p w14:paraId="7E8FEF7C" w14:textId="77777777" w:rsidR="005F5B16" w:rsidRPr="00EE623C" w:rsidRDefault="005F5B16" w:rsidP="009A3DDD">
            <w:pPr>
              <w:spacing w:after="0" w:line="240" w:lineRule="auto"/>
              <w:contextualSpacing/>
              <w:jc w:val="right"/>
              <w:rPr>
                <w:rFonts w:eastAsia="Times New Roman" w:cs="Arial"/>
                <w:color w:val="000000"/>
                <w:sz w:val="18"/>
                <w:szCs w:val="18"/>
                <w:lang w:eastAsia="en-GB"/>
              </w:rPr>
            </w:pPr>
          </w:p>
        </w:tc>
        <w:tc>
          <w:tcPr>
            <w:tcW w:w="2691" w:type="dxa"/>
            <w:noWrap/>
            <w:hideMark/>
          </w:tcPr>
          <w:p w14:paraId="72E35284" w14:textId="77777777" w:rsidR="005F5B16" w:rsidRPr="00EE623C" w:rsidRDefault="005F5B16"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EE623C">
              <w:rPr>
                <w:rFonts w:eastAsia="Times New Roman" w:cs="Arial"/>
                <w:bCs/>
                <w:color w:val="000000"/>
                <w:sz w:val="18"/>
                <w:szCs w:val="18"/>
                <w:lang w:eastAsia="en-GB"/>
              </w:rPr>
              <w:t>Tropical fruit - edible peel</w:t>
            </w:r>
          </w:p>
        </w:tc>
        <w:tc>
          <w:tcPr>
            <w:tcW w:w="760" w:type="dxa"/>
            <w:noWrap/>
            <w:vAlign w:val="center"/>
          </w:tcPr>
          <w:p w14:paraId="15E19681"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w:t>
            </w:r>
          </w:p>
        </w:tc>
        <w:tc>
          <w:tcPr>
            <w:tcW w:w="760" w:type="dxa"/>
            <w:noWrap/>
            <w:vAlign w:val="center"/>
          </w:tcPr>
          <w:p w14:paraId="0A5792C8"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0.5</w:t>
            </w:r>
          </w:p>
        </w:tc>
        <w:tc>
          <w:tcPr>
            <w:tcW w:w="760" w:type="dxa"/>
            <w:noWrap/>
            <w:vAlign w:val="center"/>
          </w:tcPr>
          <w:p w14:paraId="5CA6B3CF" w14:textId="77777777" w:rsidR="005F5B16" w:rsidRPr="00A54E7F" w:rsidRDefault="005F5B1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rFonts w:eastAsia="Calibri"/>
                <w:color w:val="000000"/>
                <w:sz w:val="16"/>
              </w:rPr>
              <w:t>1</w:t>
            </w:r>
          </w:p>
        </w:tc>
        <w:tc>
          <w:tcPr>
            <w:tcW w:w="850" w:type="dxa"/>
            <w:vAlign w:val="center"/>
          </w:tcPr>
          <w:p w14:paraId="024CEC09"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r w:rsidRPr="00A54E7F">
              <w:rPr>
                <w:color w:val="000000"/>
                <w:sz w:val="16"/>
              </w:rPr>
              <w:t>0</w:t>
            </w:r>
          </w:p>
        </w:tc>
        <w:tc>
          <w:tcPr>
            <w:tcW w:w="993" w:type="dxa"/>
            <w:vAlign w:val="center"/>
          </w:tcPr>
          <w:p w14:paraId="5C07D4F5"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r w:rsidRPr="00A54E7F">
              <w:rPr>
                <w:color w:val="000000"/>
                <w:sz w:val="16"/>
              </w:rPr>
              <w:t>0.5</w:t>
            </w:r>
          </w:p>
        </w:tc>
        <w:tc>
          <w:tcPr>
            <w:tcW w:w="992" w:type="dxa"/>
            <w:vAlign w:val="center"/>
          </w:tcPr>
          <w:p w14:paraId="3381A3F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r w:rsidRPr="00A54E7F">
              <w:rPr>
                <w:color w:val="000000"/>
                <w:sz w:val="16"/>
              </w:rPr>
              <w:t>1</w:t>
            </w:r>
          </w:p>
        </w:tc>
        <w:tc>
          <w:tcPr>
            <w:tcW w:w="792" w:type="dxa"/>
            <w:vAlign w:val="center"/>
          </w:tcPr>
          <w:p w14:paraId="0F7CB106"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w:t>
            </w:r>
          </w:p>
        </w:tc>
        <w:tc>
          <w:tcPr>
            <w:tcW w:w="792" w:type="dxa"/>
            <w:vAlign w:val="center"/>
          </w:tcPr>
          <w:p w14:paraId="3D9FE8AE"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0.5</w:t>
            </w:r>
          </w:p>
        </w:tc>
        <w:tc>
          <w:tcPr>
            <w:tcW w:w="793" w:type="dxa"/>
            <w:vAlign w:val="center"/>
          </w:tcPr>
          <w:p w14:paraId="3AAE2936"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lang w:eastAsia="en-GB"/>
              </w:rPr>
            </w:pPr>
            <w:r w:rsidRPr="00A54E7F">
              <w:rPr>
                <w:color w:val="000000"/>
                <w:sz w:val="16"/>
              </w:rPr>
              <w:t>1</w:t>
            </w:r>
          </w:p>
        </w:tc>
        <w:tc>
          <w:tcPr>
            <w:tcW w:w="792" w:type="dxa"/>
            <w:gridSpan w:val="2"/>
            <w:vAlign w:val="center"/>
          </w:tcPr>
          <w:p w14:paraId="466FD9D4"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r w:rsidRPr="00A54E7F">
              <w:rPr>
                <w:color w:val="000000"/>
                <w:sz w:val="16"/>
              </w:rPr>
              <w:t>0</w:t>
            </w:r>
          </w:p>
        </w:tc>
        <w:tc>
          <w:tcPr>
            <w:tcW w:w="792" w:type="dxa"/>
            <w:vAlign w:val="center"/>
          </w:tcPr>
          <w:p w14:paraId="4C04725B"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r w:rsidRPr="00A54E7F">
              <w:rPr>
                <w:color w:val="000000"/>
                <w:sz w:val="16"/>
              </w:rPr>
              <w:t>1</w:t>
            </w:r>
          </w:p>
        </w:tc>
        <w:tc>
          <w:tcPr>
            <w:tcW w:w="793" w:type="dxa"/>
            <w:vAlign w:val="center"/>
          </w:tcPr>
          <w:p w14:paraId="61A3ECD1" w14:textId="77777777" w:rsidR="005F5B16" w:rsidRPr="00A54E7F" w:rsidRDefault="005F5B16" w:rsidP="003C3E3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6"/>
              </w:rPr>
            </w:pPr>
            <w:r w:rsidRPr="00A54E7F">
              <w:rPr>
                <w:color w:val="000000"/>
                <w:sz w:val="16"/>
              </w:rPr>
              <w:t>2</w:t>
            </w:r>
          </w:p>
        </w:tc>
      </w:tr>
    </w:tbl>
    <w:p w14:paraId="5240A0A0" w14:textId="28AF52FA" w:rsidR="005F5B16" w:rsidRDefault="00B031C9" w:rsidP="00B031C9">
      <w:pPr>
        <w:pStyle w:val="FSCFootnote"/>
        <w:rPr>
          <w:lang w:eastAsia="en-AU"/>
        </w:rPr>
      </w:pPr>
      <w:r w:rsidRPr="00B031C9">
        <w:rPr>
          <w:vertAlign w:val="superscript"/>
          <w:lang w:eastAsia="en-AU"/>
        </w:rPr>
        <w:t>1</w:t>
      </w:r>
      <w:r>
        <w:rPr>
          <w:lang w:eastAsia="en-AU"/>
        </w:rPr>
        <w:t xml:space="preserve"> single value only, no mean or median calculated, </w:t>
      </w:r>
      <w:r w:rsidR="00717D2C" w:rsidRPr="00717D2C">
        <w:rPr>
          <w:vertAlign w:val="superscript"/>
          <w:lang w:eastAsia="en-AU"/>
        </w:rPr>
        <w:t>2</w:t>
      </w:r>
      <w:r w:rsidR="00717D2C">
        <w:rPr>
          <w:lang w:eastAsia="en-AU"/>
        </w:rPr>
        <w:t>mean is used,</w:t>
      </w:r>
      <w:r w:rsidR="00FE6AF5" w:rsidRPr="00FE6AF5">
        <w:rPr>
          <w:lang w:eastAsia="en-AU"/>
        </w:rPr>
        <w:t xml:space="preserve"> insufficient samples to derive median value</w:t>
      </w:r>
      <w:r w:rsidR="001D354B">
        <w:rPr>
          <w:lang w:eastAsia="en-AU"/>
        </w:rPr>
        <w:t xml:space="preserve"> (n &lt;3)</w:t>
      </w:r>
    </w:p>
    <w:p w14:paraId="691709F8" w14:textId="77777777" w:rsidR="00FE6AF5" w:rsidRDefault="00FE6AF5" w:rsidP="005F5B16">
      <w:pPr>
        <w:rPr>
          <w:lang w:eastAsia="en-AU"/>
        </w:rPr>
      </w:pPr>
    </w:p>
    <w:p w14:paraId="5FF4942D" w14:textId="77777777" w:rsidR="00FE6AF5" w:rsidRDefault="00FE6AF5" w:rsidP="005F5B16">
      <w:pPr>
        <w:rPr>
          <w:lang w:eastAsia="en-AU"/>
        </w:rPr>
        <w:sectPr w:rsidR="00FE6AF5" w:rsidSect="00BA3990">
          <w:pgSz w:w="16838" w:h="11906" w:orient="landscape"/>
          <w:pgMar w:top="1418" w:right="1418" w:bottom="1418" w:left="1418" w:header="709" w:footer="709" w:gutter="0"/>
          <w:cols w:space="708"/>
          <w:docGrid w:linePitch="360"/>
        </w:sectPr>
      </w:pPr>
    </w:p>
    <w:p w14:paraId="2E296A0F" w14:textId="3CECF0F1" w:rsidR="002C7C52" w:rsidRPr="005F1AA1" w:rsidRDefault="005F5B16" w:rsidP="0087026E">
      <w:pPr>
        <w:pStyle w:val="Heading1"/>
        <w:numPr>
          <w:ilvl w:val="0"/>
          <w:numId w:val="0"/>
        </w:numPr>
        <w:ind w:left="432" w:hanging="432"/>
      </w:pPr>
      <w:bookmarkStart w:id="180" w:name="_Ref473786920"/>
      <w:bookmarkStart w:id="181" w:name="_Toc474153276"/>
      <w:bookmarkStart w:id="182" w:name="_Toc474158956"/>
      <w:bookmarkStart w:id="183" w:name="_Toc474847912"/>
      <w:bookmarkStart w:id="184" w:name="_Toc475360622"/>
      <w:r>
        <w:lastRenderedPageBreak/>
        <w:t>A</w:t>
      </w:r>
      <w:r w:rsidR="002C7C52" w:rsidRPr="005F1AA1">
        <w:t xml:space="preserve">ppendix </w:t>
      </w:r>
      <w:r>
        <w:t>2</w:t>
      </w:r>
      <w:r w:rsidR="002130E2">
        <w:t xml:space="preserve">: Food consumption from the 2011-12 </w:t>
      </w:r>
      <w:bookmarkEnd w:id="174"/>
      <w:bookmarkEnd w:id="180"/>
      <w:bookmarkEnd w:id="181"/>
      <w:bookmarkEnd w:id="182"/>
      <w:r w:rsidR="001D3A81">
        <w:t>NNPAS</w:t>
      </w:r>
      <w:bookmarkEnd w:id="183"/>
      <w:bookmarkEnd w:id="184"/>
    </w:p>
    <w:p w14:paraId="10BAD175" w14:textId="7730835E" w:rsidR="001C5F63" w:rsidRDefault="001C5F63" w:rsidP="00984802">
      <w:pPr>
        <w:pStyle w:val="FSTableColumnRowheading"/>
        <w:rPr>
          <w:lang w:eastAsia="en-AU"/>
        </w:rPr>
      </w:pPr>
      <w:bookmarkStart w:id="185" w:name="_Toc474153720"/>
      <w:bookmarkStart w:id="186" w:name="_Toc474158912"/>
      <w:bookmarkStart w:id="187" w:name="_Toc474847872"/>
      <w:bookmarkStart w:id="188" w:name="_Toc474852112"/>
      <w:r>
        <w:rPr>
          <w:lang w:eastAsia="en-AU"/>
        </w:rPr>
        <w:t>Food consumption amounts</w:t>
      </w:r>
      <w:r w:rsidR="00DB24C8">
        <w:rPr>
          <w:lang w:eastAsia="en-AU"/>
        </w:rPr>
        <w:t xml:space="preserve"> (</w:t>
      </w:r>
      <w:r w:rsidR="0058250E">
        <w:rPr>
          <w:lang w:eastAsia="en-AU"/>
        </w:rPr>
        <w:t>grams</w:t>
      </w:r>
      <w:r w:rsidR="00DB24C8">
        <w:rPr>
          <w:lang w:eastAsia="en-AU"/>
        </w:rPr>
        <w:t>/day</w:t>
      </w:r>
      <w:r w:rsidR="0058250E">
        <w:rPr>
          <w:lang w:eastAsia="en-AU"/>
        </w:rPr>
        <w:t xml:space="preserve">) </w:t>
      </w:r>
      <w:r>
        <w:rPr>
          <w:lang w:eastAsia="en-AU"/>
        </w:rPr>
        <w:t xml:space="preserve">for food </w:t>
      </w:r>
      <w:r w:rsidR="00FA0CD8">
        <w:rPr>
          <w:lang w:eastAsia="en-AU"/>
        </w:rPr>
        <w:t xml:space="preserve">groups </w:t>
      </w:r>
      <w:r>
        <w:rPr>
          <w:lang w:eastAsia="en-AU"/>
        </w:rPr>
        <w:t>for Australians aged 2 years and above</w:t>
      </w:r>
      <w:bookmarkEnd w:id="185"/>
      <w:bookmarkEnd w:id="186"/>
      <w:bookmarkEnd w:id="187"/>
      <w:bookmarkEnd w:id="188"/>
    </w:p>
    <w:tbl>
      <w:tblPr>
        <w:tblStyle w:val="LightList-Accent11"/>
        <w:tblW w:w="5000" w:type="pct"/>
        <w:tblLook w:val="04A0" w:firstRow="1" w:lastRow="0" w:firstColumn="1" w:lastColumn="0" w:noHBand="0" w:noVBand="1"/>
      </w:tblPr>
      <w:tblGrid>
        <w:gridCol w:w="1670"/>
        <w:gridCol w:w="2836"/>
        <w:gridCol w:w="1943"/>
        <w:gridCol w:w="1943"/>
        <w:gridCol w:w="1942"/>
        <w:gridCol w:w="1942"/>
        <w:gridCol w:w="1942"/>
      </w:tblGrid>
      <w:tr w:rsidR="0026587B" w:rsidRPr="0026587B" w14:paraId="2B06B069"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E147B4B" w14:textId="7E63D57D" w:rsidR="0026587B" w:rsidRPr="003C03A1" w:rsidRDefault="0026587B" w:rsidP="0092375E">
            <w:pPr>
              <w:contextualSpacing/>
              <w:rPr>
                <w:rFonts w:eastAsia="Times New Roman" w:cs="Arial"/>
                <w:color w:val="FFFFFF" w:themeColor="background1"/>
                <w:sz w:val="18"/>
                <w:szCs w:val="18"/>
                <w:lang w:eastAsia="en-GB"/>
              </w:rPr>
            </w:pPr>
            <w:r w:rsidRPr="003C03A1">
              <w:rPr>
                <w:rFonts w:eastAsia="Times New Roman" w:cs="Arial"/>
                <w:color w:val="FFFFFF" w:themeColor="background1"/>
                <w:sz w:val="18"/>
                <w:szCs w:val="18"/>
                <w:lang w:eastAsia="en-GB"/>
              </w:rPr>
              <w:t xml:space="preserve">Food </w:t>
            </w:r>
            <w:r w:rsidR="0092375E">
              <w:rPr>
                <w:rFonts w:eastAsia="Times New Roman" w:cs="Arial"/>
                <w:color w:val="FFFFFF" w:themeColor="background1"/>
                <w:sz w:val="18"/>
                <w:szCs w:val="18"/>
                <w:lang w:eastAsia="en-GB"/>
              </w:rPr>
              <w:t>Category</w:t>
            </w:r>
          </w:p>
        </w:tc>
        <w:tc>
          <w:tcPr>
            <w:tcW w:w="997" w:type="pct"/>
            <w:vAlign w:val="center"/>
            <w:hideMark/>
          </w:tcPr>
          <w:p w14:paraId="6F301F42" w14:textId="10FD3CDC" w:rsidR="0026587B" w:rsidRPr="0026587B" w:rsidRDefault="0026587B"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26587B">
              <w:rPr>
                <w:rFonts w:eastAsia="Times New Roman" w:cs="Arial"/>
                <w:color w:val="FFFFFF" w:themeColor="background1"/>
                <w:sz w:val="18"/>
                <w:szCs w:val="18"/>
                <w:lang w:eastAsia="en-GB"/>
              </w:rPr>
              <w:t>Food classification</w:t>
            </w:r>
          </w:p>
        </w:tc>
        <w:tc>
          <w:tcPr>
            <w:tcW w:w="683" w:type="pct"/>
            <w:vAlign w:val="center"/>
            <w:hideMark/>
          </w:tcPr>
          <w:p w14:paraId="242C260F" w14:textId="77777777" w:rsidR="0026587B" w:rsidRPr="0026587B" w:rsidRDefault="0026587B"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26587B">
              <w:rPr>
                <w:rFonts w:eastAsia="Times New Roman" w:cs="Arial"/>
                <w:color w:val="FFFFFF" w:themeColor="background1"/>
                <w:sz w:val="18"/>
                <w:szCs w:val="18"/>
                <w:lang w:eastAsia="en-GB"/>
              </w:rPr>
              <w:t xml:space="preserve">No. </w:t>
            </w:r>
            <w:proofErr w:type="gramStart"/>
            <w:r w:rsidRPr="0026587B">
              <w:rPr>
                <w:rFonts w:eastAsia="Times New Roman" w:cs="Arial"/>
                <w:color w:val="FFFFFF" w:themeColor="background1"/>
                <w:sz w:val="18"/>
                <w:szCs w:val="18"/>
                <w:lang w:eastAsia="en-GB"/>
              </w:rPr>
              <w:t>consumers</w:t>
            </w:r>
            <w:proofErr w:type="gramEnd"/>
          </w:p>
        </w:tc>
        <w:tc>
          <w:tcPr>
            <w:tcW w:w="683" w:type="pct"/>
            <w:vAlign w:val="center"/>
            <w:hideMark/>
          </w:tcPr>
          <w:p w14:paraId="4CBCC352" w14:textId="77777777" w:rsidR="0026587B" w:rsidRPr="0026587B" w:rsidRDefault="0026587B"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26587B">
              <w:rPr>
                <w:rFonts w:eastAsia="Times New Roman" w:cs="Arial"/>
                <w:color w:val="FFFFFF" w:themeColor="background1"/>
                <w:sz w:val="18"/>
                <w:szCs w:val="18"/>
                <w:lang w:eastAsia="en-GB"/>
              </w:rPr>
              <w:t xml:space="preserve">% </w:t>
            </w:r>
            <w:proofErr w:type="gramStart"/>
            <w:r w:rsidRPr="0026587B">
              <w:rPr>
                <w:rFonts w:eastAsia="Times New Roman" w:cs="Arial"/>
                <w:color w:val="FFFFFF" w:themeColor="background1"/>
                <w:sz w:val="18"/>
                <w:szCs w:val="18"/>
                <w:lang w:eastAsia="en-GB"/>
              </w:rPr>
              <w:t>consumers</w:t>
            </w:r>
            <w:proofErr w:type="gramEnd"/>
            <w:r w:rsidRPr="0026587B">
              <w:rPr>
                <w:rFonts w:eastAsia="Times New Roman" w:cs="Arial"/>
                <w:color w:val="FFFFFF" w:themeColor="background1"/>
                <w:sz w:val="18"/>
                <w:szCs w:val="18"/>
                <w:lang w:eastAsia="en-GB"/>
              </w:rPr>
              <w:t xml:space="preserve"> to respondents</w:t>
            </w:r>
          </w:p>
        </w:tc>
        <w:tc>
          <w:tcPr>
            <w:tcW w:w="683" w:type="pct"/>
            <w:vAlign w:val="center"/>
            <w:hideMark/>
          </w:tcPr>
          <w:p w14:paraId="009E11A3" w14:textId="77777777" w:rsidR="0026587B" w:rsidRPr="0026587B" w:rsidRDefault="0026587B"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26587B">
              <w:rPr>
                <w:rFonts w:eastAsia="Times New Roman" w:cs="Arial"/>
                <w:color w:val="FFFFFF" w:themeColor="background1"/>
                <w:sz w:val="18"/>
                <w:szCs w:val="18"/>
                <w:lang w:eastAsia="en-GB"/>
              </w:rPr>
              <w:t>Mean all respondents</w:t>
            </w:r>
          </w:p>
        </w:tc>
        <w:tc>
          <w:tcPr>
            <w:tcW w:w="683" w:type="pct"/>
            <w:vAlign w:val="center"/>
            <w:hideMark/>
          </w:tcPr>
          <w:p w14:paraId="4B173C75" w14:textId="77777777" w:rsidR="0026587B" w:rsidRPr="0026587B" w:rsidRDefault="0026587B"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26587B">
              <w:rPr>
                <w:rFonts w:eastAsia="Times New Roman" w:cs="Arial"/>
                <w:color w:val="FFFFFF" w:themeColor="background1"/>
                <w:sz w:val="18"/>
                <w:szCs w:val="18"/>
                <w:lang w:eastAsia="en-GB"/>
              </w:rPr>
              <w:t>P90 consumers only</w:t>
            </w:r>
          </w:p>
        </w:tc>
        <w:tc>
          <w:tcPr>
            <w:tcW w:w="683" w:type="pct"/>
            <w:vAlign w:val="center"/>
            <w:hideMark/>
          </w:tcPr>
          <w:p w14:paraId="55772EB8" w14:textId="77777777" w:rsidR="0026587B" w:rsidRPr="0026587B" w:rsidRDefault="0026587B"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26587B">
              <w:rPr>
                <w:rFonts w:eastAsia="Times New Roman" w:cs="Arial"/>
                <w:color w:val="FFFFFF" w:themeColor="background1"/>
                <w:sz w:val="18"/>
                <w:szCs w:val="18"/>
                <w:lang w:eastAsia="en-GB"/>
              </w:rPr>
              <w:t>Mean consumers only</w:t>
            </w:r>
          </w:p>
        </w:tc>
      </w:tr>
      <w:tr w:rsidR="00E23AA9" w:rsidRPr="00C4660B" w14:paraId="20CF1949"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val="restart"/>
          </w:tcPr>
          <w:p w14:paraId="337F9229" w14:textId="04F908AA" w:rsidR="00E23AA9" w:rsidRPr="003C03A1" w:rsidRDefault="00E23AA9" w:rsidP="009A3DDD">
            <w:pPr>
              <w:spacing w:after="0"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Fish and seafood</w:t>
            </w:r>
          </w:p>
        </w:tc>
        <w:tc>
          <w:tcPr>
            <w:tcW w:w="997" w:type="pct"/>
            <w:noWrap/>
            <w:hideMark/>
          </w:tcPr>
          <w:p w14:paraId="3AAA8276" w14:textId="066D8B24" w:rsidR="00E23AA9" w:rsidRPr="00F42495" w:rsidRDefault="00E23AA9"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F42495">
              <w:rPr>
                <w:rFonts w:eastAsia="Times New Roman" w:cs="Arial"/>
                <w:i/>
                <w:color w:val="000000"/>
                <w:sz w:val="18"/>
                <w:szCs w:val="18"/>
                <w:lang w:eastAsia="en-GB"/>
              </w:rPr>
              <w:t>Crustaceans of all species</w:t>
            </w:r>
          </w:p>
        </w:tc>
        <w:tc>
          <w:tcPr>
            <w:tcW w:w="683" w:type="pct"/>
            <w:noWrap/>
            <w:vAlign w:val="center"/>
            <w:hideMark/>
          </w:tcPr>
          <w:p w14:paraId="3A5BCC4C"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1096</w:t>
            </w:r>
          </w:p>
        </w:tc>
        <w:tc>
          <w:tcPr>
            <w:tcW w:w="683" w:type="pct"/>
            <w:noWrap/>
            <w:vAlign w:val="center"/>
            <w:hideMark/>
          </w:tcPr>
          <w:p w14:paraId="6EB95ADF"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14%</w:t>
            </w:r>
          </w:p>
        </w:tc>
        <w:tc>
          <w:tcPr>
            <w:tcW w:w="683" w:type="pct"/>
            <w:noWrap/>
            <w:vAlign w:val="bottom"/>
            <w:hideMark/>
          </w:tcPr>
          <w:p w14:paraId="57DFFFFE" w14:textId="3C83BEE1"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w:t>
            </w:r>
          </w:p>
        </w:tc>
        <w:tc>
          <w:tcPr>
            <w:tcW w:w="683" w:type="pct"/>
            <w:noWrap/>
            <w:vAlign w:val="bottom"/>
            <w:hideMark/>
          </w:tcPr>
          <w:p w14:paraId="476C8B2A" w14:textId="6237A4DC"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63</w:t>
            </w:r>
          </w:p>
        </w:tc>
        <w:tc>
          <w:tcPr>
            <w:tcW w:w="683" w:type="pct"/>
            <w:noWrap/>
            <w:vAlign w:val="bottom"/>
            <w:hideMark/>
          </w:tcPr>
          <w:p w14:paraId="2A23A692" w14:textId="3C683654"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21</w:t>
            </w:r>
          </w:p>
        </w:tc>
      </w:tr>
      <w:tr w:rsidR="00E23AA9" w:rsidRPr="00C4660B" w14:paraId="33BBDFC1"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2CFC9910" w14:textId="43CD03C1" w:rsidR="00E23AA9" w:rsidRPr="003C03A1" w:rsidRDefault="00E23AA9" w:rsidP="009A3DDD">
            <w:pPr>
              <w:spacing w:after="0" w:line="240" w:lineRule="auto"/>
              <w:contextualSpacing/>
              <w:jc w:val="right"/>
              <w:rPr>
                <w:rFonts w:cs="Arial"/>
                <w:color w:val="000000"/>
                <w:sz w:val="18"/>
                <w:szCs w:val="18"/>
              </w:rPr>
            </w:pPr>
          </w:p>
        </w:tc>
        <w:tc>
          <w:tcPr>
            <w:tcW w:w="997" w:type="pct"/>
            <w:noWrap/>
            <w:hideMark/>
          </w:tcPr>
          <w:p w14:paraId="4409DC10" w14:textId="248C7B70" w:rsidR="00E23AA9" w:rsidRPr="00F42495" w:rsidRDefault="00E23AA9"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F42495">
              <w:rPr>
                <w:rFonts w:cs="Arial"/>
                <w:i/>
                <w:color w:val="000000"/>
                <w:sz w:val="18"/>
                <w:szCs w:val="18"/>
              </w:rPr>
              <w:t>Finfish (all)</w:t>
            </w:r>
          </w:p>
        </w:tc>
        <w:tc>
          <w:tcPr>
            <w:tcW w:w="683" w:type="pct"/>
            <w:noWrap/>
            <w:vAlign w:val="center"/>
            <w:hideMark/>
          </w:tcPr>
          <w:p w14:paraId="494C23C9"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3679</w:t>
            </w:r>
          </w:p>
        </w:tc>
        <w:tc>
          <w:tcPr>
            <w:tcW w:w="683" w:type="pct"/>
            <w:noWrap/>
            <w:vAlign w:val="center"/>
            <w:hideMark/>
          </w:tcPr>
          <w:p w14:paraId="0905A4EC"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48%</w:t>
            </w:r>
          </w:p>
        </w:tc>
        <w:tc>
          <w:tcPr>
            <w:tcW w:w="683" w:type="pct"/>
            <w:noWrap/>
            <w:vAlign w:val="bottom"/>
            <w:hideMark/>
          </w:tcPr>
          <w:p w14:paraId="3894AF7A" w14:textId="6B33327D"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21</w:t>
            </w:r>
          </w:p>
        </w:tc>
        <w:tc>
          <w:tcPr>
            <w:tcW w:w="683" w:type="pct"/>
            <w:noWrap/>
            <w:vAlign w:val="bottom"/>
            <w:hideMark/>
          </w:tcPr>
          <w:p w14:paraId="3B1CA892" w14:textId="5AA36171"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123</w:t>
            </w:r>
          </w:p>
        </w:tc>
        <w:tc>
          <w:tcPr>
            <w:tcW w:w="683" w:type="pct"/>
            <w:noWrap/>
            <w:vAlign w:val="bottom"/>
            <w:hideMark/>
          </w:tcPr>
          <w:p w14:paraId="557BCD4B" w14:textId="0482AF51"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45</w:t>
            </w:r>
          </w:p>
        </w:tc>
      </w:tr>
      <w:tr w:rsidR="00E23AA9" w:rsidRPr="00C4660B" w14:paraId="20879F47"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01692329" w14:textId="16F503ED"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4983CF2C" w14:textId="1E9991FF"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26587B">
              <w:rPr>
                <w:rFonts w:eastAsia="Times New Roman" w:cs="Arial"/>
                <w:color w:val="000000"/>
                <w:sz w:val="18"/>
                <w:szCs w:val="18"/>
                <w:lang w:eastAsia="en-GB"/>
              </w:rPr>
              <w:t>Diadromous</w:t>
            </w:r>
            <w:proofErr w:type="spellEnd"/>
            <w:r w:rsidRPr="0026587B">
              <w:rPr>
                <w:rFonts w:eastAsia="Times New Roman" w:cs="Arial"/>
                <w:color w:val="000000"/>
                <w:sz w:val="18"/>
                <w:szCs w:val="18"/>
                <w:lang w:eastAsia="en-GB"/>
              </w:rPr>
              <w:t xml:space="preserve"> fish</w:t>
            </w:r>
          </w:p>
        </w:tc>
        <w:tc>
          <w:tcPr>
            <w:tcW w:w="683" w:type="pct"/>
            <w:noWrap/>
            <w:vAlign w:val="center"/>
            <w:hideMark/>
          </w:tcPr>
          <w:p w14:paraId="60AF9F94"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839</w:t>
            </w:r>
          </w:p>
        </w:tc>
        <w:tc>
          <w:tcPr>
            <w:tcW w:w="683" w:type="pct"/>
            <w:noWrap/>
            <w:vAlign w:val="center"/>
            <w:hideMark/>
          </w:tcPr>
          <w:p w14:paraId="4C89CD60"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11%</w:t>
            </w:r>
          </w:p>
        </w:tc>
        <w:tc>
          <w:tcPr>
            <w:tcW w:w="683" w:type="pct"/>
            <w:noWrap/>
            <w:vAlign w:val="bottom"/>
            <w:hideMark/>
          </w:tcPr>
          <w:p w14:paraId="5D98C932" w14:textId="705B8BD9"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w:t>
            </w:r>
          </w:p>
        </w:tc>
        <w:tc>
          <w:tcPr>
            <w:tcW w:w="683" w:type="pct"/>
            <w:noWrap/>
            <w:vAlign w:val="bottom"/>
            <w:hideMark/>
          </w:tcPr>
          <w:p w14:paraId="496B5D87" w14:textId="0CED3B74"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119</w:t>
            </w:r>
          </w:p>
        </w:tc>
        <w:tc>
          <w:tcPr>
            <w:tcW w:w="683" w:type="pct"/>
            <w:noWrap/>
            <w:vAlign w:val="bottom"/>
            <w:hideMark/>
          </w:tcPr>
          <w:p w14:paraId="36EFE021" w14:textId="36B37B9A"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50</w:t>
            </w:r>
          </w:p>
        </w:tc>
      </w:tr>
      <w:tr w:rsidR="00E23AA9" w:rsidRPr="00C4660B" w14:paraId="7E91DC1F"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3FC9C55F" w14:textId="128F8F01"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0DF62E6E" w14:textId="66C535F2"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Freshwater fish</w:t>
            </w:r>
          </w:p>
        </w:tc>
        <w:tc>
          <w:tcPr>
            <w:tcW w:w="683" w:type="pct"/>
            <w:noWrap/>
            <w:vAlign w:val="center"/>
            <w:hideMark/>
          </w:tcPr>
          <w:p w14:paraId="385FD7F3"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685</w:t>
            </w:r>
          </w:p>
        </w:tc>
        <w:tc>
          <w:tcPr>
            <w:tcW w:w="683" w:type="pct"/>
            <w:noWrap/>
            <w:vAlign w:val="center"/>
            <w:hideMark/>
          </w:tcPr>
          <w:p w14:paraId="4FEC62A3"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w:t>
            </w:r>
          </w:p>
        </w:tc>
        <w:tc>
          <w:tcPr>
            <w:tcW w:w="683" w:type="pct"/>
            <w:noWrap/>
            <w:vAlign w:val="bottom"/>
            <w:hideMark/>
          </w:tcPr>
          <w:p w14:paraId="3A90ED7E" w14:textId="3E30C650"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w:t>
            </w:r>
          </w:p>
        </w:tc>
        <w:tc>
          <w:tcPr>
            <w:tcW w:w="683" w:type="pct"/>
            <w:noWrap/>
            <w:vAlign w:val="bottom"/>
            <w:hideMark/>
          </w:tcPr>
          <w:p w14:paraId="64F3D24A" w14:textId="3E66B786"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143</w:t>
            </w:r>
          </w:p>
        </w:tc>
        <w:tc>
          <w:tcPr>
            <w:tcW w:w="683" w:type="pct"/>
            <w:noWrap/>
            <w:vAlign w:val="bottom"/>
            <w:hideMark/>
          </w:tcPr>
          <w:p w14:paraId="78D740B7" w14:textId="2E9D61FF"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56</w:t>
            </w:r>
          </w:p>
        </w:tc>
      </w:tr>
      <w:tr w:rsidR="00E23AA9" w:rsidRPr="00C4660B" w14:paraId="2EE25A5E"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4451ECA7" w14:textId="7D84C92E"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3CB68F11" w14:textId="796EE6E9"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Marine fish of all species</w:t>
            </w:r>
          </w:p>
        </w:tc>
        <w:tc>
          <w:tcPr>
            <w:tcW w:w="683" w:type="pct"/>
            <w:noWrap/>
            <w:vAlign w:val="center"/>
            <w:hideMark/>
          </w:tcPr>
          <w:p w14:paraId="429B581E"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5438</w:t>
            </w:r>
          </w:p>
        </w:tc>
        <w:tc>
          <w:tcPr>
            <w:tcW w:w="683" w:type="pct"/>
            <w:noWrap/>
            <w:vAlign w:val="center"/>
            <w:hideMark/>
          </w:tcPr>
          <w:p w14:paraId="5C9041AD"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70%</w:t>
            </w:r>
          </w:p>
        </w:tc>
        <w:tc>
          <w:tcPr>
            <w:tcW w:w="683" w:type="pct"/>
            <w:noWrap/>
            <w:vAlign w:val="bottom"/>
            <w:hideMark/>
          </w:tcPr>
          <w:p w14:paraId="25346E54" w14:textId="34169339"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15</w:t>
            </w:r>
          </w:p>
        </w:tc>
        <w:tc>
          <w:tcPr>
            <w:tcW w:w="683" w:type="pct"/>
            <w:noWrap/>
            <w:vAlign w:val="bottom"/>
            <w:hideMark/>
          </w:tcPr>
          <w:p w14:paraId="6779563E" w14:textId="36C9FDE0"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76</w:t>
            </w:r>
          </w:p>
        </w:tc>
        <w:tc>
          <w:tcPr>
            <w:tcW w:w="683" w:type="pct"/>
            <w:noWrap/>
            <w:vAlign w:val="bottom"/>
            <w:hideMark/>
          </w:tcPr>
          <w:p w14:paraId="34EE7E89" w14:textId="33B67337"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22</w:t>
            </w:r>
          </w:p>
        </w:tc>
      </w:tr>
      <w:tr w:rsidR="00E23AA9" w:rsidRPr="0026587B" w14:paraId="1E0CA146"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1DDABE9A" w14:textId="4CFB0133" w:rsidR="00E23AA9" w:rsidRPr="003C03A1" w:rsidRDefault="00E23AA9" w:rsidP="009A3DDD">
            <w:pPr>
              <w:spacing w:after="0" w:line="240" w:lineRule="auto"/>
              <w:contextualSpacing/>
              <w:jc w:val="right"/>
              <w:rPr>
                <w:sz w:val="18"/>
                <w:szCs w:val="18"/>
              </w:rPr>
            </w:pPr>
          </w:p>
        </w:tc>
        <w:tc>
          <w:tcPr>
            <w:tcW w:w="997" w:type="pct"/>
            <w:noWrap/>
          </w:tcPr>
          <w:p w14:paraId="536850E0" w14:textId="3FA4E372" w:rsidR="00E23AA9" w:rsidRPr="00AA4789" w:rsidRDefault="00E23AA9" w:rsidP="00AA478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A4789">
              <w:rPr>
                <w:i/>
                <w:sz w:val="18"/>
                <w:szCs w:val="18"/>
              </w:rPr>
              <w:t>Molluscs</w:t>
            </w:r>
          </w:p>
        </w:tc>
        <w:tc>
          <w:tcPr>
            <w:tcW w:w="683" w:type="pct"/>
            <w:noWrap/>
          </w:tcPr>
          <w:p w14:paraId="63F3955D" w14:textId="68CD31BA" w:rsidR="00E23AA9" w:rsidRPr="0026587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sz w:val="18"/>
                <w:szCs w:val="18"/>
              </w:rPr>
              <w:t>1063</w:t>
            </w:r>
          </w:p>
        </w:tc>
        <w:tc>
          <w:tcPr>
            <w:tcW w:w="683" w:type="pct"/>
            <w:noWrap/>
          </w:tcPr>
          <w:p w14:paraId="12B5F185" w14:textId="22F9A834" w:rsidR="00E23AA9" w:rsidRPr="0026587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sz w:val="18"/>
                <w:szCs w:val="18"/>
              </w:rPr>
              <w:t>14%</w:t>
            </w:r>
          </w:p>
        </w:tc>
        <w:tc>
          <w:tcPr>
            <w:tcW w:w="683" w:type="pct"/>
            <w:noWrap/>
            <w:vAlign w:val="bottom"/>
          </w:tcPr>
          <w:p w14:paraId="68FF41E6" w14:textId="59DD641A"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w:t>
            </w:r>
          </w:p>
        </w:tc>
        <w:tc>
          <w:tcPr>
            <w:tcW w:w="683" w:type="pct"/>
            <w:noWrap/>
            <w:vAlign w:val="bottom"/>
          </w:tcPr>
          <w:p w14:paraId="238FF271" w14:textId="46AA6E5A"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30</w:t>
            </w:r>
          </w:p>
        </w:tc>
        <w:tc>
          <w:tcPr>
            <w:tcW w:w="683" w:type="pct"/>
            <w:noWrap/>
            <w:vAlign w:val="bottom"/>
          </w:tcPr>
          <w:p w14:paraId="6454A361" w14:textId="343A6797"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9</w:t>
            </w:r>
          </w:p>
        </w:tc>
      </w:tr>
      <w:tr w:rsidR="00E23AA9" w:rsidRPr="00C4660B" w14:paraId="02777158"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val="restart"/>
          </w:tcPr>
          <w:p w14:paraId="6D51FE73" w14:textId="787ED190" w:rsidR="00E23AA9" w:rsidRPr="003C03A1" w:rsidRDefault="00E23AA9" w:rsidP="009A3DDD">
            <w:pPr>
              <w:spacing w:after="0" w:line="240" w:lineRule="auto"/>
              <w:contextualSpacing/>
              <w:rPr>
                <w:rFonts w:eastAsia="Times New Roman" w:cs="Arial"/>
                <w:color w:val="000000"/>
                <w:sz w:val="18"/>
                <w:szCs w:val="18"/>
                <w:lang w:eastAsia="en-GB"/>
              </w:rPr>
            </w:pPr>
            <w:r w:rsidRPr="003C03A1">
              <w:rPr>
                <w:rFonts w:eastAsia="Times New Roman" w:cs="Arial"/>
                <w:color w:val="000000"/>
                <w:sz w:val="18"/>
                <w:szCs w:val="18"/>
                <w:lang w:eastAsia="en-GB"/>
              </w:rPr>
              <w:t>Animal products</w:t>
            </w:r>
          </w:p>
        </w:tc>
        <w:tc>
          <w:tcPr>
            <w:tcW w:w="997" w:type="pct"/>
            <w:noWrap/>
            <w:hideMark/>
          </w:tcPr>
          <w:p w14:paraId="30E7A69E" w14:textId="0275C868" w:rsidR="00E23AA9" w:rsidRPr="00F42495" w:rsidRDefault="00E23AA9"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F42495">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683" w:type="pct"/>
            <w:noWrap/>
            <w:vAlign w:val="center"/>
            <w:hideMark/>
          </w:tcPr>
          <w:p w14:paraId="41EFC222"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7016</w:t>
            </w:r>
          </w:p>
        </w:tc>
        <w:tc>
          <w:tcPr>
            <w:tcW w:w="683" w:type="pct"/>
            <w:noWrap/>
            <w:vAlign w:val="center"/>
            <w:hideMark/>
          </w:tcPr>
          <w:p w14:paraId="25F757D0"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91%</w:t>
            </w:r>
          </w:p>
        </w:tc>
        <w:tc>
          <w:tcPr>
            <w:tcW w:w="683" w:type="pct"/>
            <w:noWrap/>
            <w:vAlign w:val="bottom"/>
            <w:hideMark/>
          </w:tcPr>
          <w:p w14:paraId="1CF088A7" w14:textId="0C790ED0"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96</w:t>
            </w:r>
          </w:p>
        </w:tc>
        <w:tc>
          <w:tcPr>
            <w:tcW w:w="683" w:type="pct"/>
            <w:noWrap/>
            <w:vAlign w:val="bottom"/>
            <w:hideMark/>
          </w:tcPr>
          <w:p w14:paraId="52B72A16" w14:textId="3B1B90DC"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221</w:t>
            </w:r>
          </w:p>
        </w:tc>
        <w:tc>
          <w:tcPr>
            <w:tcW w:w="683" w:type="pct"/>
            <w:noWrap/>
            <w:vAlign w:val="bottom"/>
            <w:hideMark/>
          </w:tcPr>
          <w:p w14:paraId="57D66967" w14:textId="4B9399C4"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106</w:t>
            </w:r>
          </w:p>
        </w:tc>
      </w:tr>
      <w:tr w:rsidR="00E23AA9" w:rsidRPr="00C4660B" w14:paraId="4B3BC335"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1D292C5D"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3B43FE3B" w14:textId="38811872"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Cattle meat</w:t>
            </w:r>
          </w:p>
        </w:tc>
        <w:tc>
          <w:tcPr>
            <w:tcW w:w="683" w:type="pct"/>
            <w:noWrap/>
            <w:vAlign w:val="center"/>
            <w:hideMark/>
          </w:tcPr>
          <w:p w14:paraId="3A7CFF4B"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6217</w:t>
            </w:r>
          </w:p>
        </w:tc>
        <w:tc>
          <w:tcPr>
            <w:tcW w:w="683" w:type="pct"/>
            <w:noWrap/>
            <w:vAlign w:val="center"/>
            <w:hideMark/>
          </w:tcPr>
          <w:p w14:paraId="685AB344"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80%</w:t>
            </w:r>
          </w:p>
        </w:tc>
        <w:tc>
          <w:tcPr>
            <w:tcW w:w="683" w:type="pct"/>
            <w:noWrap/>
            <w:vAlign w:val="bottom"/>
            <w:hideMark/>
          </w:tcPr>
          <w:p w14:paraId="7A9C1B6E" w14:textId="19E78D65"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57</w:t>
            </w:r>
          </w:p>
        </w:tc>
        <w:tc>
          <w:tcPr>
            <w:tcW w:w="683" w:type="pct"/>
            <w:noWrap/>
            <w:vAlign w:val="bottom"/>
            <w:hideMark/>
          </w:tcPr>
          <w:p w14:paraId="51D54219" w14:textId="786A5749"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163</w:t>
            </w:r>
          </w:p>
        </w:tc>
        <w:tc>
          <w:tcPr>
            <w:tcW w:w="683" w:type="pct"/>
            <w:noWrap/>
            <w:vAlign w:val="bottom"/>
            <w:hideMark/>
          </w:tcPr>
          <w:p w14:paraId="7D558B93" w14:textId="6DBAF620"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71</w:t>
            </w:r>
          </w:p>
        </w:tc>
      </w:tr>
      <w:tr w:rsidR="00E23AA9" w:rsidRPr="00C4660B" w14:paraId="27D44543"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26662E4A"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16B6D1B2" w14:textId="64F031FF"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Rabbit meat</w:t>
            </w:r>
          </w:p>
        </w:tc>
        <w:tc>
          <w:tcPr>
            <w:tcW w:w="683" w:type="pct"/>
            <w:noWrap/>
            <w:vAlign w:val="center"/>
            <w:hideMark/>
          </w:tcPr>
          <w:p w14:paraId="7E974FC2"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w:t>
            </w:r>
          </w:p>
        </w:tc>
        <w:tc>
          <w:tcPr>
            <w:tcW w:w="683" w:type="pct"/>
            <w:noWrap/>
            <w:vAlign w:val="center"/>
            <w:hideMark/>
          </w:tcPr>
          <w:p w14:paraId="0DDBCB3A"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0%</w:t>
            </w:r>
          </w:p>
        </w:tc>
        <w:tc>
          <w:tcPr>
            <w:tcW w:w="683" w:type="pct"/>
            <w:noWrap/>
            <w:vAlign w:val="bottom"/>
            <w:hideMark/>
          </w:tcPr>
          <w:p w14:paraId="44102C63" w14:textId="1250BC81"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0</w:t>
            </w:r>
          </w:p>
        </w:tc>
        <w:tc>
          <w:tcPr>
            <w:tcW w:w="683" w:type="pct"/>
            <w:noWrap/>
            <w:vAlign w:val="bottom"/>
            <w:hideMark/>
          </w:tcPr>
          <w:p w14:paraId="3B83B445" w14:textId="77BE03BE"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w:t>
            </w:r>
          </w:p>
        </w:tc>
        <w:tc>
          <w:tcPr>
            <w:tcW w:w="683" w:type="pct"/>
            <w:noWrap/>
            <w:vAlign w:val="bottom"/>
            <w:hideMark/>
          </w:tcPr>
          <w:p w14:paraId="46A7A0E5" w14:textId="16981F29"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364</w:t>
            </w:r>
          </w:p>
        </w:tc>
      </w:tr>
      <w:tr w:rsidR="00E23AA9" w:rsidRPr="00C4660B" w14:paraId="11B9EBF9"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2F888385"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4EBCACA8" w14:textId="777D2241"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Sheep meat</w:t>
            </w:r>
          </w:p>
        </w:tc>
        <w:tc>
          <w:tcPr>
            <w:tcW w:w="683" w:type="pct"/>
            <w:noWrap/>
            <w:vAlign w:val="center"/>
            <w:hideMark/>
          </w:tcPr>
          <w:p w14:paraId="37389228"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4332</w:t>
            </w:r>
          </w:p>
        </w:tc>
        <w:tc>
          <w:tcPr>
            <w:tcW w:w="683" w:type="pct"/>
            <w:noWrap/>
            <w:vAlign w:val="center"/>
            <w:hideMark/>
          </w:tcPr>
          <w:p w14:paraId="104BDC4E"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56%</w:t>
            </w:r>
          </w:p>
        </w:tc>
        <w:tc>
          <w:tcPr>
            <w:tcW w:w="683" w:type="pct"/>
            <w:noWrap/>
            <w:vAlign w:val="bottom"/>
            <w:hideMark/>
          </w:tcPr>
          <w:p w14:paraId="494F52A9" w14:textId="77F115B4"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12</w:t>
            </w:r>
          </w:p>
        </w:tc>
        <w:tc>
          <w:tcPr>
            <w:tcW w:w="683" w:type="pct"/>
            <w:noWrap/>
            <w:vAlign w:val="bottom"/>
            <w:hideMark/>
          </w:tcPr>
          <w:p w14:paraId="0322EB53" w14:textId="2A97F1D7"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85</w:t>
            </w:r>
          </w:p>
        </w:tc>
        <w:tc>
          <w:tcPr>
            <w:tcW w:w="683" w:type="pct"/>
            <w:noWrap/>
            <w:vAlign w:val="bottom"/>
            <w:hideMark/>
          </w:tcPr>
          <w:p w14:paraId="6DAA7F07" w14:textId="2BEE7EA4"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22</w:t>
            </w:r>
          </w:p>
        </w:tc>
      </w:tr>
      <w:tr w:rsidR="00E23AA9" w:rsidRPr="00C4660B" w14:paraId="3B88743E"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4EEC167F" w14:textId="77777777" w:rsidR="00E23AA9" w:rsidRPr="003C03A1" w:rsidRDefault="00E23AA9" w:rsidP="009A3DDD">
            <w:pPr>
              <w:spacing w:after="0" w:line="240" w:lineRule="auto"/>
              <w:contextualSpacing/>
              <w:rPr>
                <w:rFonts w:eastAsia="Times New Roman" w:cs="Arial"/>
                <w:color w:val="000000"/>
                <w:sz w:val="18"/>
                <w:szCs w:val="18"/>
                <w:lang w:eastAsia="en-GB"/>
              </w:rPr>
            </w:pPr>
          </w:p>
        </w:tc>
        <w:tc>
          <w:tcPr>
            <w:tcW w:w="997" w:type="pct"/>
            <w:noWrap/>
          </w:tcPr>
          <w:p w14:paraId="79AE5A82" w14:textId="33047BCC" w:rsidR="00E23AA9" w:rsidRPr="00F42495" w:rsidRDefault="00E23AA9"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F42495">
              <w:rPr>
                <w:rFonts w:eastAsia="Times New Roman" w:cs="Arial"/>
                <w:i/>
                <w:color w:val="000000"/>
                <w:sz w:val="18"/>
                <w:szCs w:val="18"/>
                <w:lang w:eastAsia="en-GB"/>
              </w:rPr>
              <w:t>Milk</w:t>
            </w:r>
            <w:r>
              <w:rPr>
                <w:rFonts w:eastAsia="Times New Roman" w:cs="Arial"/>
                <w:i/>
                <w:color w:val="000000"/>
                <w:sz w:val="18"/>
                <w:szCs w:val="18"/>
                <w:lang w:eastAsia="en-GB"/>
              </w:rPr>
              <w:t xml:space="preserve"> (</w:t>
            </w:r>
            <w:proofErr w:type="gramStart"/>
            <w:r>
              <w:rPr>
                <w:rFonts w:eastAsia="Times New Roman" w:cs="Arial"/>
                <w:i/>
                <w:color w:val="000000"/>
                <w:sz w:val="18"/>
                <w:szCs w:val="18"/>
                <w:lang w:eastAsia="en-GB"/>
              </w:rPr>
              <w:t>all)</w:t>
            </w:r>
            <w:r w:rsidR="00771F11" w:rsidRPr="00771F11">
              <w:rPr>
                <w:rFonts w:eastAsia="Times New Roman" w:cs="Arial"/>
                <w:color w:val="000000"/>
                <w:sz w:val="18"/>
                <w:szCs w:val="18"/>
                <w:vertAlign w:val="superscript"/>
                <w:lang w:eastAsia="en-GB"/>
              </w:rPr>
              <w:t>1</w:t>
            </w:r>
            <w:proofErr w:type="gramEnd"/>
          </w:p>
        </w:tc>
        <w:tc>
          <w:tcPr>
            <w:tcW w:w="683" w:type="pct"/>
            <w:noWrap/>
            <w:vAlign w:val="center"/>
          </w:tcPr>
          <w:p w14:paraId="30D3396B"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cs="Arial"/>
                <w:color w:val="000000"/>
                <w:sz w:val="18"/>
                <w:szCs w:val="18"/>
              </w:rPr>
              <w:t>7718</w:t>
            </w:r>
          </w:p>
        </w:tc>
        <w:tc>
          <w:tcPr>
            <w:tcW w:w="683" w:type="pct"/>
            <w:noWrap/>
            <w:vAlign w:val="center"/>
          </w:tcPr>
          <w:p w14:paraId="324E9204"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cs="Arial"/>
                <w:color w:val="000000"/>
                <w:sz w:val="18"/>
                <w:szCs w:val="18"/>
              </w:rPr>
              <w:t>100%</w:t>
            </w:r>
          </w:p>
        </w:tc>
        <w:tc>
          <w:tcPr>
            <w:tcW w:w="683" w:type="pct"/>
            <w:noWrap/>
            <w:vAlign w:val="bottom"/>
          </w:tcPr>
          <w:p w14:paraId="0B447C9F" w14:textId="3BA30861"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692</w:t>
            </w:r>
          </w:p>
        </w:tc>
        <w:tc>
          <w:tcPr>
            <w:tcW w:w="683" w:type="pct"/>
            <w:noWrap/>
            <w:vAlign w:val="bottom"/>
          </w:tcPr>
          <w:p w14:paraId="5D6D9915" w14:textId="13EB8E28"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1295</w:t>
            </w:r>
          </w:p>
        </w:tc>
        <w:tc>
          <w:tcPr>
            <w:tcW w:w="683" w:type="pct"/>
            <w:noWrap/>
            <w:vAlign w:val="bottom"/>
          </w:tcPr>
          <w:p w14:paraId="509692BE" w14:textId="7A451175"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693</w:t>
            </w:r>
          </w:p>
        </w:tc>
      </w:tr>
      <w:tr w:rsidR="00E23AA9" w:rsidRPr="00C4660B" w14:paraId="260675C9"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782F2C4A"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7CE0339B" w14:textId="157D12C0"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Cattle milk</w:t>
            </w:r>
          </w:p>
        </w:tc>
        <w:tc>
          <w:tcPr>
            <w:tcW w:w="683" w:type="pct"/>
            <w:noWrap/>
            <w:vAlign w:val="center"/>
            <w:hideMark/>
          </w:tcPr>
          <w:p w14:paraId="4028AD48"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7718</w:t>
            </w:r>
          </w:p>
        </w:tc>
        <w:tc>
          <w:tcPr>
            <w:tcW w:w="683" w:type="pct"/>
            <w:noWrap/>
            <w:vAlign w:val="center"/>
            <w:hideMark/>
          </w:tcPr>
          <w:p w14:paraId="738C7340"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100%</w:t>
            </w:r>
          </w:p>
        </w:tc>
        <w:tc>
          <w:tcPr>
            <w:tcW w:w="683" w:type="pct"/>
            <w:noWrap/>
            <w:vAlign w:val="bottom"/>
            <w:hideMark/>
          </w:tcPr>
          <w:p w14:paraId="6E2E651E" w14:textId="2CC08E63"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691</w:t>
            </w:r>
          </w:p>
        </w:tc>
        <w:tc>
          <w:tcPr>
            <w:tcW w:w="683" w:type="pct"/>
            <w:noWrap/>
            <w:vAlign w:val="bottom"/>
            <w:hideMark/>
          </w:tcPr>
          <w:p w14:paraId="04EA2E4E" w14:textId="34FDE70C"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1295</w:t>
            </w:r>
          </w:p>
        </w:tc>
        <w:tc>
          <w:tcPr>
            <w:tcW w:w="683" w:type="pct"/>
            <w:noWrap/>
            <w:vAlign w:val="bottom"/>
            <w:hideMark/>
          </w:tcPr>
          <w:p w14:paraId="26FF2A4C" w14:textId="5C6B2526"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692</w:t>
            </w:r>
          </w:p>
        </w:tc>
      </w:tr>
      <w:tr w:rsidR="00E23AA9" w:rsidRPr="00C4660B" w14:paraId="4B66FBC2"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06D8D080"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60E16121" w14:textId="41E07EBE"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Sheep milk</w:t>
            </w:r>
          </w:p>
        </w:tc>
        <w:tc>
          <w:tcPr>
            <w:tcW w:w="683" w:type="pct"/>
            <w:noWrap/>
            <w:vAlign w:val="center"/>
            <w:hideMark/>
          </w:tcPr>
          <w:p w14:paraId="41582946"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1681</w:t>
            </w:r>
          </w:p>
        </w:tc>
        <w:tc>
          <w:tcPr>
            <w:tcW w:w="683" w:type="pct"/>
            <w:noWrap/>
            <w:vAlign w:val="center"/>
            <w:hideMark/>
          </w:tcPr>
          <w:p w14:paraId="6E3426B0"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22%</w:t>
            </w:r>
          </w:p>
        </w:tc>
        <w:tc>
          <w:tcPr>
            <w:tcW w:w="683" w:type="pct"/>
            <w:noWrap/>
            <w:vAlign w:val="bottom"/>
            <w:hideMark/>
          </w:tcPr>
          <w:p w14:paraId="61BD19FB" w14:textId="4C7F156C"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w:t>
            </w:r>
          </w:p>
        </w:tc>
        <w:tc>
          <w:tcPr>
            <w:tcW w:w="683" w:type="pct"/>
            <w:noWrap/>
            <w:vAlign w:val="bottom"/>
            <w:hideMark/>
          </w:tcPr>
          <w:p w14:paraId="2E9AAF8A" w14:textId="0135A2A1"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31</w:t>
            </w:r>
          </w:p>
        </w:tc>
        <w:tc>
          <w:tcPr>
            <w:tcW w:w="683" w:type="pct"/>
            <w:noWrap/>
            <w:vAlign w:val="bottom"/>
            <w:hideMark/>
          </w:tcPr>
          <w:p w14:paraId="7F4D168C" w14:textId="31A92AEC"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13</w:t>
            </w:r>
          </w:p>
        </w:tc>
      </w:tr>
      <w:tr w:rsidR="00E23AA9" w:rsidRPr="00C4660B" w14:paraId="5251C593"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1D3D25E9" w14:textId="77777777" w:rsidR="00E23AA9" w:rsidRPr="003C03A1" w:rsidRDefault="00E23AA9" w:rsidP="009A3DDD">
            <w:pPr>
              <w:spacing w:after="0" w:line="240" w:lineRule="auto"/>
              <w:contextualSpacing/>
              <w:rPr>
                <w:rFonts w:eastAsia="Times New Roman" w:cs="Arial"/>
                <w:color w:val="000000"/>
                <w:sz w:val="18"/>
                <w:szCs w:val="18"/>
                <w:lang w:eastAsia="en-GB"/>
              </w:rPr>
            </w:pPr>
          </w:p>
        </w:tc>
        <w:tc>
          <w:tcPr>
            <w:tcW w:w="997" w:type="pct"/>
            <w:noWrap/>
            <w:hideMark/>
          </w:tcPr>
          <w:p w14:paraId="51566626" w14:textId="1B374044" w:rsidR="00E23AA9" w:rsidRPr="00F42495" w:rsidRDefault="00E23AA9"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F42495">
              <w:rPr>
                <w:rFonts w:eastAsia="Times New Roman" w:cs="Arial"/>
                <w:i/>
                <w:color w:val="000000"/>
                <w:sz w:val="18"/>
                <w:szCs w:val="18"/>
                <w:lang w:eastAsia="en-GB"/>
              </w:rPr>
              <w:t>Honey</w:t>
            </w:r>
          </w:p>
        </w:tc>
        <w:tc>
          <w:tcPr>
            <w:tcW w:w="683" w:type="pct"/>
            <w:noWrap/>
            <w:vAlign w:val="center"/>
            <w:hideMark/>
          </w:tcPr>
          <w:p w14:paraId="7A999033"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3089</w:t>
            </w:r>
          </w:p>
        </w:tc>
        <w:tc>
          <w:tcPr>
            <w:tcW w:w="683" w:type="pct"/>
            <w:noWrap/>
            <w:vAlign w:val="center"/>
            <w:hideMark/>
          </w:tcPr>
          <w:p w14:paraId="703DF0E8"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40%</w:t>
            </w:r>
          </w:p>
        </w:tc>
        <w:tc>
          <w:tcPr>
            <w:tcW w:w="683" w:type="pct"/>
            <w:noWrap/>
            <w:vAlign w:val="bottom"/>
            <w:hideMark/>
          </w:tcPr>
          <w:p w14:paraId="134FE234" w14:textId="54484966"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w:t>
            </w:r>
          </w:p>
        </w:tc>
        <w:tc>
          <w:tcPr>
            <w:tcW w:w="683" w:type="pct"/>
            <w:noWrap/>
            <w:vAlign w:val="bottom"/>
            <w:hideMark/>
          </w:tcPr>
          <w:p w14:paraId="7AA5AA59" w14:textId="5921C853"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14</w:t>
            </w:r>
          </w:p>
        </w:tc>
        <w:tc>
          <w:tcPr>
            <w:tcW w:w="683" w:type="pct"/>
            <w:noWrap/>
            <w:vAlign w:val="bottom"/>
            <w:hideMark/>
          </w:tcPr>
          <w:p w14:paraId="408500C8" w14:textId="21858B21"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w:t>
            </w:r>
          </w:p>
        </w:tc>
      </w:tr>
      <w:tr w:rsidR="00E23AA9" w:rsidRPr="00C4660B" w14:paraId="66A7FD40"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119232B6" w14:textId="77777777" w:rsidR="00E23AA9" w:rsidRPr="003C03A1" w:rsidRDefault="00E23AA9" w:rsidP="009A3DDD">
            <w:pPr>
              <w:spacing w:after="0" w:line="240" w:lineRule="auto"/>
              <w:contextualSpacing/>
              <w:rPr>
                <w:rFonts w:eastAsia="Times New Roman" w:cs="Arial"/>
                <w:color w:val="000000"/>
                <w:sz w:val="18"/>
                <w:szCs w:val="18"/>
                <w:lang w:eastAsia="en-GB"/>
              </w:rPr>
            </w:pPr>
          </w:p>
        </w:tc>
        <w:tc>
          <w:tcPr>
            <w:tcW w:w="997" w:type="pct"/>
            <w:noWrap/>
            <w:hideMark/>
          </w:tcPr>
          <w:p w14:paraId="26156E7F" w14:textId="4D5A6FF3" w:rsidR="00E23AA9" w:rsidRPr="00F42495" w:rsidRDefault="00E23AA9"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F42495">
              <w:rPr>
                <w:rFonts w:eastAsia="Times New Roman" w:cs="Arial"/>
                <w:i/>
                <w:color w:val="000000"/>
                <w:sz w:val="18"/>
                <w:szCs w:val="18"/>
                <w:lang w:eastAsia="en-GB"/>
              </w:rPr>
              <w:t>Offal mammalian</w:t>
            </w:r>
          </w:p>
        </w:tc>
        <w:tc>
          <w:tcPr>
            <w:tcW w:w="683" w:type="pct"/>
            <w:noWrap/>
            <w:vAlign w:val="center"/>
            <w:hideMark/>
          </w:tcPr>
          <w:p w14:paraId="1F3CCCAA"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52</w:t>
            </w:r>
          </w:p>
        </w:tc>
        <w:tc>
          <w:tcPr>
            <w:tcW w:w="683" w:type="pct"/>
            <w:noWrap/>
            <w:vAlign w:val="center"/>
            <w:hideMark/>
          </w:tcPr>
          <w:p w14:paraId="7A845704"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w:t>
            </w:r>
          </w:p>
        </w:tc>
        <w:tc>
          <w:tcPr>
            <w:tcW w:w="683" w:type="pct"/>
            <w:noWrap/>
            <w:vAlign w:val="bottom"/>
            <w:hideMark/>
          </w:tcPr>
          <w:p w14:paraId="420B3CAC" w14:textId="21C69D20"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0</w:t>
            </w:r>
          </w:p>
        </w:tc>
        <w:tc>
          <w:tcPr>
            <w:tcW w:w="683" w:type="pct"/>
            <w:noWrap/>
            <w:vAlign w:val="bottom"/>
            <w:hideMark/>
          </w:tcPr>
          <w:p w14:paraId="442374DE" w14:textId="59C67823"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84</w:t>
            </w:r>
          </w:p>
        </w:tc>
        <w:tc>
          <w:tcPr>
            <w:tcW w:w="683" w:type="pct"/>
            <w:noWrap/>
            <w:vAlign w:val="bottom"/>
            <w:hideMark/>
          </w:tcPr>
          <w:p w14:paraId="1F472F15" w14:textId="2017D531"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32</w:t>
            </w:r>
          </w:p>
        </w:tc>
      </w:tr>
      <w:tr w:rsidR="00E23AA9" w:rsidRPr="00C4660B" w14:paraId="43EBC527"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1D7FB90A" w14:textId="296C88A6" w:rsidR="00E23AA9" w:rsidRPr="003C03A1" w:rsidRDefault="00E23AA9" w:rsidP="009A3DDD">
            <w:pPr>
              <w:spacing w:after="0" w:line="240" w:lineRule="auto"/>
              <w:contextualSpacing/>
              <w:rPr>
                <w:rFonts w:eastAsia="Times New Roman" w:cs="Arial"/>
                <w:color w:val="000000"/>
                <w:sz w:val="18"/>
                <w:szCs w:val="18"/>
                <w:lang w:eastAsia="en-GB"/>
              </w:rPr>
            </w:pPr>
          </w:p>
        </w:tc>
        <w:tc>
          <w:tcPr>
            <w:tcW w:w="997" w:type="pct"/>
            <w:noWrap/>
            <w:hideMark/>
          </w:tcPr>
          <w:p w14:paraId="55AB7DE7" w14:textId="469A14AC" w:rsidR="00E23AA9" w:rsidRPr="00F42495" w:rsidRDefault="00E23AA9"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F42495">
              <w:rPr>
                <w:rFonts w:eastAsia="Times New Roman" w:cs="Arial"/>
                <w:i/>
                <w:color w:val="000000"/>
                <w:sz w:val="18"/>
                <w:szCs w:val="18"/>
                <w:lang w:eastAsia="en-GB"/>
              </w:rPr>
              <w:t>Poultry eggs</w:t>
            </w:r>
          </w:p>
        </w:tc>
        <w:tc>
          <w:tcPr>
            <w:tcW w:w="683" w:type="pct"/>
            <w:noWrap/>
            <w:vAlign w:val="center"/>
            <w:hideMark/>
          </w:tcPr>
          <w:p w14:paraId="2F09F836"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6520</w:t>
            </w:r>
          </w:p>
        </w:tc>
        <w:tc>
          <w:tcPr>
            <w:tcW w:w="683" w:type="pct"/>
            <w:noWrap/>
            <w:vAlign w:val="center"/>
            <w:hideMark/>
          </w:tcPr>
          <w:p w14:paraId="2C83FBAC"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84%</w:t>
            </w:r>
          </w:p>
        </w:tc>
        <w:tc>
          <w:tcPr>
            <w:tcW w:w="683" w:type="pct"/>
            <w:noWrap/>
            <w:vAlign w:val="bottom"/>
            <w:hideMark/>
          </w:tcPr>
          <w:p w14:paraId="5E5AB6F8" w14:textId="56F17325"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19</w:t>
            </w:r>
          </w:p>
        </w:tc>
        <w:tc>
          <w:tcPr>
            <w:tcW w:w="683" w:type="pct"/>
            <w:noWrap/>
            <w:vAlign w:val="bottom"/>
            <w:hideMark/>
          </w:tcPr>
          <w:p w14:paraId="592A3EDB" w14:textId="2C970C8D"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59</w:t>
            </w:r>
          </w:p>
        </w:tc>
        <w:tc>
          <w:tcPr>
            <w:tcW w:w="683" w:type="pct"/>
            <w:noWrap/>
            <w:vAlign w:val="bottom"/>
            <w:hideMark/>
          </w:tcPr>
          <w:p w14:paraId="44BA2D94" w14:textId="17EBA809"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23</w:t>
            </w:r>
          </w:p>
        </w:tc>
      </w:tr>
      <w:tr w:rsidR="00E23AA9" w:rsidRPr="00C4660B" w14:paraId="7D96DBA0"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val="restart"/>
          </w:tcPr>
          <w:p w14:paraId="1D1A65CA" w14:textId="4AFE46B7" w:rsidR="00E23AA9" w:rsidRPr="003C03A1" w:rsidRDefault="00E23AA9" w:rsidP="009A3DDD">
            <w:pPr>
              <w:spacing w:after="0" w:line="240" w:lineRule="auto"/>
              <w:contextualSpacing/>
              <w:rPr>
                <w:rFonts w:cs="Arial"/>
                <w:color w:val="000000"/>
                <w:sz w:val="18"/>
                <w:szCs w:val="18"/>
              </w:rPr>
            </w:pPr>
            <w:r w:rsidRPr="003C03A1">
              <w:rPr>
                <w:rFonts w:eastAsia="Times New Roman" w:cs="Arial"/>
                <w:color w:val="000000"/>
                <w:sz w:val="18"/>
                <w:szCs w:val="18"/>
                <w:lang w:eastAsia="en-GB"/>
              </w:rPr>
              <w:t>Fruit and vegetables</w:t>
            </w:r>
          </w:p>
        </w:tc>
        <w:tc>
          <w:tcPr>
            <w:tcW w:w="997" w:type="pct"/>
            <w:noWrap/>
            <w:hideMark/>
          </w:tcPr>
          <w:p w14:paraId="46F74435" w14:textId="0E8EF359" w:rsidR="00E23AA9" w:rsidRPr="00F42495" w:rsidRDefault="00E23AA9"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F42495">
              <w:rPr>
                <w:rFonts w:cs="Arial"/>
                <w:i/>
                <w:color w:val="000000"/>
                <w:sz w:val="18"/>
                <w:szCs w:val="18"/>
              </w:rPr>
              <w:t>Vegetables (all)</w:t>
            </w:r>
          </w:p>
        </w:tc>
        <w:tc>
          <w:tcPr>
            <w:tcW w:w="683" w:type="pct"/>
            <w:noWrap/>
            <w:vAlign w:val="center"/>
            <w:hideMark/>
          </w:tcPr>
          <w:p w14:paraId="17007355"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7734</w:t>
            </w:r>
          </w:p>
        </w:tc>
        <w:tc>
          <w:tcPr>
            <w:tcW w:w="683" w:type="pct"/>
            <w:noWrap/>
            <w:vAlign w:val="center"/>
            <w:hideMark/>
          </w:tcPr>
          <w:p w14:paraId="075541B3"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100%</w:t>
            </w:r>
          </w:p>
        </w:tc>
        <w:tc>
          <w:tcPr>
            <w:tcW w:w="683" w:type="pct"/>
            <w:noWrap/>
            <w:vAlign w:val="bottom"/>
            <w:hideMark/>
          </w:tcPr>
          <w:p w14:paraId="6CC61DE2" w14:textId="00EAB90D"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314</w:t>
            </w:r>
          </w:p>
        </w:tc>
        <w:tc>
          <w:tcPr>
            <w:tcW w:w="683" w:type="pct"/>
            <w:noWrap/>
            <w:vAlign w:val="bottom"/>
            <w:hideMark/>
          </w:tcPr>
          <w:p w14:paraId="0775473D" w14:textId="78F8F6B1"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570</w:t>
            </w:r>
          </w:p>
        </w:tc>
        <w:tc>
          <w:tcPr>
            <w:tcW w:w="683" w:type="pct"/>
            <w:noWrap/>
            <w:vAlign w:val="bottom"/>
            <w:hideMark/>
          </w:tcPr>
          <w:p w14:paraId="393AA46F" w14:textId="6CBDDE19"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314</w:t>
            </w:r>
          </w:p>
        </w:tc>
      </w:tr>
      <w:tr w:rsidR="00E23AA9" w:rsidRPr="00C4660B" w14:paraId="4369395D"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229F2004"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1F747FAA" w14:textId="64FD8400"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Cucurbits</w:t>
            </w:r>
          </w:p>
        </w:tc>
        <w:tc>
          <w:tcPr>
            <w:tcW w:w="683" w:type="pct"/>
            <w:noWrap/>
            <w:vAlign w:val="center"/>
            <w:hideMark/>
          </w:tcPr>
          <w:p w14:paraId="53525DDF"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5866</w:t>
            </w:r>
          </w:p>
        </w:tc>
        <w:tc>
          <w:tcPr>
            <w:tcW w:w="683" w:type="pct"/>
            <w:noWrap/>
            <w:vAlign w:val="center"/>
            <w:hideMark/>
          </w:tcPr>
          <w:p w14:paraId="19E807EF"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76%</w:t>
            </w:r>
          </w:p>
        </w:tc>
        <w:tc>
          <w:tcPr>
            <w:tcW w:w="683" w:type="pct"/>
            <w:noWrap/>
            <w:vAlign w:val="bottom"/>
            <w:hideMark/>
          </w:tcPr>
          <w:p w14:paraId="75852015" w14:textId="2857E945"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27</w:t>
            </w:r>
          </w:p>
        </w:tc>
        <w:tc>
          <w:tcPr>
            <w:tcW w:w="683" w:type="pct"/>
            <w:noWrap/>
            <w:vAlign w:val="bottom"/>
            <w:hideMark/>
          </w:tcPr>
          <w:p w14:paraId="0F2CB1AE" w14:textId="29D8B637"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96</w:t>
            </w:r>
          </w:p>
        </w:tc>
        <w:tc>
          <w:tcPr>
            <w:tcW w:w="683" w:type="pct"/>
            <w:noWrap/>
            <w:vAlign w:val="bottom"/>
            <w:hideMark/>
          </w:tcPr>
          <w:p w14:paraId="40A910D7" w14:textId="26AA0E90"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35</w:t>
            </w:r>
          </w:p>
        </w:tc>
      </w:tr>
      <w:tr w:rsidR="00E23AA9" w:rsidRPr="00C4660B" w14:paraId="338420B0"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3E589600"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36CA8080" w14:textId="5817DDEF"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Herbs</w:t>
            </w:r>
          </w:p>
        </w:tc>
        <w:tc>
          <w:tcPr>
            <w:tcW w:w="683" w:type="pct"/>
            <w:noWrap/>
            <w:vAlign w:val="center"/>
            <w:hideMark/>
          </w:tcPr>
          <w:p w14:paraId="11B06E91"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5791</w:t>
            </w:r>
          </w:p>
        </w:tc>
        <w:tc>
          <w:tcPr>
            <w:tcW w:w="683" w:type="pct"/>
            <w:noWrap/>
            <w:vAlign w:val="center"/>
            <w:hideMark/>
          </w:tcPr>
          <w:p w14:paraId="388E6FC4"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75%</w:t>
            </w:r>
          </w:p>
        </w:tc>
        <w:tc>
          <w:tcPr>
            <w:tcW w:w="683" w:type="pct"/>
            <w:noWrap/>
            <w:vAlign w:val="bottom"/>
            <w:hideMark/>
          </w:tcPr>
          <w:p w14:paraId="4B6289CB" w14:textId="4982D39B"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w:t>
            </w:r>
          </w:p>
        </w:tc>
        <w:tc>
          <w:tcPr>
            <w:tcW w:w="683" w:type="pct"/>
            <w:noWrap/>
            <w:vAlign w:val="bottom"/>
            <w:hideMark/>
          </w:tcPr>
          <w:p w14:paraId="1E4D178D" w14:textId="33FEA1E9"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4</w:t>
            </w:r>
          </w:p>
        </w:tc>
        <w:tc>
          <w:tcPr>
            <w:tcW w:w="683" w:type="pct"/>
            <w:noWrap/>
            <w:vAlign w:val="bottom"/>
            <w:hideMark/>
          </w:tcPr>
          <w:p w14:paraId="0E8D37CB" w14:textId="17D817DB"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w:t>
            </w:r>
          </w:p>
        </w:tc>
      </w:tr>
      <w:tr w:rsidR="00E23AA9" w:rsidRPr="00C4660B" w14:paraId="37BB89EA"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279ED82A"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6EE6CB9D" w14:textId="7CF32B7B"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Leafy vegetables</w:t>
            </w:r>
          </w:p>
        </w:tc>
        <w:tc>
          <w:tcPr>
            <w:tcW w:w="683" w:type="pct"/>
            <w:noWrap/>
            <w:vAlign w:val="center"/>
            <w:hideMark/>
          </w:tcPr>
          <w:p w14:paraId="271E3169"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6005</w:t>
            </w:r>
          </w:p>
        </w:tc>
        <w:tc>
          <w:tcPr>
            <w:tcW w:w="683" w:type="pct"/>
            <w:noWrap/>
            <w:vAlign w:val="center"/>
            <w:hideMark/>
          </w:tcPr>
          <w:p w14:paraId="4C5A47DC"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78%</w:t>
            </w:r>
          </w:p>
        </w:tc>
        <w:tc>
          <w:tcPr>
            <w:tcW w:w="683" w:type="pct"/>
            <w:noWrap/>
            <w:vAlign w:val="bottom"/>
            <w:hideMark/>
          </w:tcPr>
          <w:p w14:paraId="3E839E09" w14:textId="0EC3BA0A"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17</w:t>
            </w:r>
          </w:p>
        </w:tc>
        <w:tc>
          <w:tcPr>
            <w:tcW w:w="683" w:type="pct"/>
            <w:noWrap/>
            <w:vAlign w:val="bottom"/>
            <w:hideMark/>
          </w:tcPr>
          <w:p w14:paraId="5A529450" w14:textId="7D3EF30C"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48</w:t>
            </w:r>
          </w:p>
        </w:tc>
        <w:tc>
          <w:tcPr>
            <w:tcW w:w="683" w:type="pct"/>
            <w:noWrap/>
            <w:vAlign w:val="bottom"/>
            <w:hideMark/>
          </w:tcPr>
          <w:p w14:paraId="2D10A11F" w14:textId="049255D3"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22</w:t>
            </w:r>
          </w:p>
        </w:tc>
      </w:tr>
      <w:tr w:rsidR="00E23AA9" w:rsidRPr="00C4660B" w14:paraId="47EEA903"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2E31F30B"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30A6B219" w14:textId="0787ECC1"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Other fruiting vegetables</w:t>
            </w:r>
          </w:p>
        </w:tc>
        <w:tc>
          <w:tcPr>
            <w:tcW w:w="683" w:type="pct"/>
            <w:noWrap/>
            <w:vAlign w:val="center"/>
            <w:hideMark/>
          </w:tcPr>
          <w:p w14:paraId="060B25A1"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7724</w:t>
            </w:r>
          </w:p>
        </w:tc>
        <w:tc>
          <w:tcPr>
            <w:tcW w:w="683" w:type="pct"/>
            <w:noWrap/>
            <w:vAlign w:val="center"/>
            <w:hideMark/>
          </w:tcPr>
          <w:p w14:paraId="74AF3BF8"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100%</w:t>
            </w:r>
          </w:p>
        </w:tc>
        <w:tc>
          <w:tcPr>
            <w:tcW w:w="683" w:type="pct"/>
            <w:noWrap/>
            <w:vAlign w:val="bottom"/>
            <w:hideMark/>
          </w:tcPr>
          <w:p w14:paraId="019C98ED" w14:textId="66FBC9AA"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104</w:t>
            </w:r>
          </w:p>
        </w:tc>
        <w:tc>
          <w:tcPr>
            <w:tcW w:w="683" w:type="pct"/>
            <w:noWrap/>
            <w:vAlign w:val="bottom"/>
            <w:hideMark/>
          </w:tcPr>
          <w:p w14:paraId="6FA36AED" w14:textId="405EB8E2"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205</w:t>
            </w:r>
          </w:p>
        </w:tc>
        <w:tc>
          <w:tcPr>
            <w:tcW w:w="683" w:type="pct"/>
            <w:noWrap/>
            <w:vAlign w:val="bottom"/>
            <w:hideMark/>
          </w:tcPr>
          <w:p w14:paraId="6B49F417" w14:textId="20235BDD"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104</w:t>
            </w:r>
          </w:p>
        </w:tc>
      </w:tr>
      <w:tr w:rsidR="00E23AA9" w:rsidRPr="00C4660B" w14:paraId="45338C85"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7C73F980"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29D6B30E" w14:textId="253FEAE7"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Root and tuber vegetables</w:t>
            </w:r>
          </w:p>
        </w:tc>
        <w:tc>
          <w:tcPr>
            <w:tcW w:w="683" w:type="pct"/>
            <w:noWrap/>
            <w:vAlign w:val="center"/>
            <w:hideMark/>
          </w:tcPr>
          <w:p w14:paraId="2C9FE732"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7479</w:t>
            </w:r>
          </w:p>
        </w:tc>
        <w:tc>
          <w:tcPr>
            <w:tcW w:w="683" w:type="pct"/>
            <w:noWrap/>
            <w:vAlign w:val="center"/>
            <w:hideMark/>
          </w:tcPr>
          <w:p w14:paraId="0D752B1B"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97%</w:t>
            </w:r>
          </w:p>
        </w:tc>
        <w:tc>
          <w:tcPr>
            <w:tcW w:w="683" w:type="pct"/>
            <w:noWrap/>
            <w:vAlign w:val="bottom"/>
            <w:hideMark/>
          </w:tcPr>
          <w:p w14:paraId="6303584A" w14:textId="60188480"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119</w:t>
            </w:r>
          </w:p>
        </w:tc>
        <w:tc>
          <w:tcPr>
            <w:tcW w:w="683" w:type="pct"/>
            <w:noWrap/>
            <w:vAlign w:val="bottom"/>
            <w:hideMark/>
          </w:tcPr>
          <w:p w14:paraId="125EF28A" w14:textId="2CEB46CF"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273</w:t>
            </w:r>
          </w:p>
        </w:tc>
        <w:tc>
          <w:tcPr>
            <w:tcW w:w="683" w:type="pct"/>
            <w:noWrap/>
            <w:vAlign w:val="bottom"/>
            <w:hideMark/>
          </w:tcPr>
          <w:p w14:paraId="5F8B61F0" w14:textId="32273599"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123</w:t>
            </w:r>
          </w:p>
        </w:tc>
      </w:tr>
      <w:tr w:rsidR="00E23AA9" w:rsidRPr="00C4660B" w14:paraId="14D2AC98"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062C648B"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65A2A2A8" w14:textId="4341109D"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Spices</w:t>
            </w:r>
          </w:p>
        </w:tc>
        <w:tc>
          <w:tcPr>
            <w:tcW w:w="683" w:type="pct"/>
            <w:noWrap/>
            <w:vAlign w:val="center"/>
            <w:hideMark/>
          </w:tcPr>
          <w:p w14:paraId="2B46E6CB"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7261</w:t>
            </w:r>
          </w:p>
        </w:tc>
        <w:tc>
          <w:tcPr>
            <w:tcW w:w="683" w:type="pct"/>
            <w:noWrap/>
            <w:vAlign w:val="center"/>
            <w:hideMark/>
          </w:tcPr>
          <w:p w14:paraId="5A10B277"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94%</w:t>
            </w:r>
          </w:p>
        </w:tc>
        <w:tc>
          <w:tcPr>
            <w:tcW w:w="683" w:type="pct"/>
            <w:noWrap/>
            <w:vAlign w:val="bottom"/>
            <w:hideMark/>
          </w:tcPr>
          <w:p w14:paraId="4D9B6C53" w14:textId="41FEEBFD"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w:t>
            </w:r>
          </w:p>
        </w:tc>
        <w:tc>
          <w:tcPr>
            <w:tcW w:w="683" w:type="pct"/>
            <w:noWrap/>
            <w:vAlign w:val="bottom"/>
            <w:hideMark/>
          </w:tcPr>
          <w:p w14:paraId="5E9797F9" w14:textId="29FCBE4C"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w:t>
            </w:r>
          </w:p>
        </w:tc>
        <w:tc>
          <w:tcPr>
            <w:tcW w:w="683" w:type="pct"/>
            <w:noWrap/>
            <w:vAlign w:val="bottom"/>
            <w:hideMark/>
          </w:tcPr>
          <w:p w14:paraId="78AE13E7" w14:textId="03753A0F"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w:t>
            </w:r>
          </w:p>
        </w:tc>
      </w:tr>
      <w:tr w:rsidR="00E23AA9" w:rsidRPr="00C4660B" w14:paraId="089EF547"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353BEE94"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7133F352" w14:textId="52B4F704"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Stalk and stem vegetables</w:t>
            </w:r>
          </w:p>
        </w:tc>
        <w:tc>
          <w:tcPr>
            <w:tcW w:w="683" w:type="pct"/>
            <w:noWrap/>
            <w:vAlign w:val="center"/>
            <w:hideMark/>
          </w:tcPr>
          <w:p w14:paraId="710A8227"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4641</w:t>
            </w:r>
          </w:p>
        </w:tc>
        <w:tc>
          <w:tcPr>
            <w:tcW w:w="683" w:type="pct"/>
            <w:noWrap/>
            <w:vAlign w:val="center"/>
            <w:hideMark/>
          </w:tcPr>
          <w:p w14:paraId="3B300BA1"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60%</w:t>
            </w:r>
          </w:p>
        </w:tc>
        <w:tc>
          <w:tcPr>
            <w:tcW w:w="683" w:type="pct"/>
            <w:noWrap/>
            <w:vAlign w:val="bottom"/>
            <w:hideMark/>
          </w:tcPr>
          <w:p w14:paraId="3D3AE3E6" w14:textId="610C3C15"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4</w:t>
            </w:r>
          </w:p>
        </w:tc>
        <w:tc>
          <w:tcPr>
            <w:tcW w:w="683" w:type="pct"/>
            <w:noWrap/>
            <w:vAlign w:val="bottom"/>
            <w:hideMark/>
          </w:tcPr>
          <w:p w14:paraId="1745C22D" w14:textId="58EE9B48"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15</w:t>
            </w:r>
          </w:p>
        </w:tc>
        <w:tc>
          <w:tcPr>
            <w:tcW w:w="683" w:type="pct"/>
            <w:noWrap/>
            <w:vAlign w:val="bottom"/>
            <w:hideMark/>
          </w:tcPr>
          <w:p w14:paraId="6A370718" w14:textId="2A351D62"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7</w:t>
            </w:r>
          </w:p>
        </w:tc>
      </w:tr>
      <w:tr w:rsidR="00E23AA9" w:rsidRPr="00C4660B" w14:paraId="160013E9"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7E1BB5D1" w14:textId="77777777" w:rsidR="00E23AA9" w:rsidRPr="003C03A1" w:rsidRDefault="00E23AA9" w:rsidP="009A3DDD">
            <w:pPr>
              <w:spacing w:after="0" w:line="240" w:lineRule="auto"/>
              <w:contextualSpacing/>
              <w:rPr>
                <w:rFonts w:cs="Arial"/>
                <w:color w:val="000000"/>
                <w:sz w:val="18"/>
                <w:szCs w:val="18"/>
              </w:rPr>
            </w:pPr>
          </w:p>
        </w:tc>
        <w:tc>
          <w:tcPr>
            <w:tcW w:w="997" w:type="pct"/>
            <w:noWrap/>
            <w:hideMark/>
          </w:tcPr>
          <w:p w14:paraId="5D0B6452" w14:textId="64E7C31D" w:rsidR="00E23AA9" w:rsidRPr="00115423" w:rsidRDefault="00E23AA9"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115423">
              <w:rPr>
                <w:rFonts w:cs="Arial"/>
                <w:i/>
                <w:color w:val="000000"/>
                <w:sz w:val="18"/>
                <w:szCs w:val="18"/>
              </w:rPr>
              <w:t>Fruit (all)</w:t>
            </w:r>
          </w:p>
        </w:tc>
        <w:tc>
          <w:tcPr>
            <w:tcW w:w="683" w:type="pct"/>
            <w:noWrap/>
            <w:vAlign w:val="center"/>
            <w:hideMark/>
          </w:tcPr>
          <w:p w14:paraId="191477B5"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7522</w:t>
            </w:r>
          </w:p>
        </w:tc>
        <w:tc>
          <w:tcPr>
            <w:tcW w:w="683" w:type="pct"/>
            <w:noWrap/>
            <w:vAlign w:val="center"/>
            <w:hideMark/>
          </w:tcPr>
          <w:p w14:paraId="41410D08"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97%</w:t>
            </w:r>
          </w:p>
        </w:tc>
        <w:tc>
          <w:tcPr>
            <w:tcW w:w="683" w:type="pct"/>
            <w:noWrap/>
            <w:vAlign w:val="bottom"/>
            <w:hideMark/>
          </w:tcPr>
          <w:p w14:paraId="779DC12C" w14:textId="50367AAD"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371</w:t>
            </w:r>
          </w:p>
        </w:tc>
        <w:tc>
          <w:tcPr>
            <w:tcW w:w="683" w:type="pct"/>
            <w:noWrap/>
            <w:vAlign w:val="bottom"/>
            <w:hideMark/>
          </w:tcPr>
          <w:p w14:paraId="7A08A9F2" w14:textId="18D58EE0"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861</w:t>
            </w:r>
          </w:p>
        </w:tc>
        <w:tc>
          <w:tcPr>
            <w:tcW w:w="683" w:type="pct"/>
            <w:noWrap/>
            <w:vAlign w:val="bottom"/>
            <w:hideMark/>
          </w:tcPr>
          <w:p w14:paraId="396C9795" w14:textId="08028CFF"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381</w:t>
            </w:r>
          </w:p>
        </w:tc>
      </w:tr>
      <w:tr w:rsidR="00E23AA9" w:rsidRPr="00C4660B" w14:paraId="2DA61086"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41B902A1"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1C0890E3" w14:textId="77620FBC"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Berries and other small fruits</w:t>
            </w:r>
          </w:p>
        </w:tc>
        <w:tc>
          <w:tcPr>
            <w:tcW w:w="683" w:type="pct"/>
            <w:noWrap/>
            <w:vAlign w:val="center"/>
            <w:hideMark/>
          </w:tcPr>
          <w:p w14:paraId="0FAB13A2"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5023</w:t>
            </w:r>
          </w:p>
        </w:tc>
        <w:tc>
          <w:tcPr>
            <w:tcW w:w="683" w:type="pct"/>
            <w:noWrap/>
            <w:vAlign w:val="center"/>
            <w:hideMark/>
          </w:tcPr>
          <w:p w14:paraId="311CE60D"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65%</w:t>
            </w:r>
          </w:p>
        </w:tc>
        <w:tc>
          <w:tcPr>
            <w:tcW w:w="683" w:type="pct"/>
            <w:noWrap/>
            <w:vAlign w:val="bottom"/>
            <w:hideMark/>
          </w:tcPr>
          <w:p w14:paraId="3CB23D0A" w14:textId="74A69084"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108</w:t>
            </w:r>
          </w:p>
        </w:tc>
        <w:tc>
          <w:tcPr>
            <w:tcW w:w="683" w:type="pct"/>
            <w:noWrap/>
            <w:vAlign w:val="bottom"/>
            <w:hideMark/>
          </w:tcPr>
          <w:p w14:paraId="1CDC8AF1" w14:textId="77C70A23"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526</w:t>
            </w:r>
          </w:p>
        </w:tc>
        <w:tc>
          <w:tcPr>
            <w:tcW w:w="683" w:type="pct"/>
            <w:noWrap/>
            <w:vAlign w:val="bottom"/>
            <w:hideMark/>
          </w:tcPr>
          <w:p w14:paraId="53CAFF04" w14:textId="699E424A"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166</w:t>
            </w:r>
          </w:p>
        </w:tc>
      </w:tr>
      <w:tr w:rsidR="00E23AA9" w:rsidRPr="00C4660B" w14:paraId="6E3A237A"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482527FD"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56D4B6E0" w14:textId="7F07CF07"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Citrus fruits</w:t>
            </w:r>
          </w:p>
        </w:tc>
        <w:tc>
          <w:tcPr>
            <w:tcW w:w="683" w:type="pct"/>
            <w:noWrap/>
            <w:vAlign w:val="center"/>
            <w:hideMark/>
          </w:tcPr>
          <w:p w14:paraId="3978932E"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5981</w:t>
            </w:r>
          </w:p>
        </w:tc>
        <w:tc>
          <w:tcPr>
            <w:tcW w:w="683" w:type="pct"/>
            <w:noWrap/>
            <w:vAlign w:val="center"/>
            <w:hideMark/>
          </w:tcPr>
          <w:p w14:paraId="61B32373"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77%</w:t>
            </w:r>
          </w:p>
        </w:tc>
        <w:tc>
          <w:tcPr>
            <w:tcW w:w="683" w:type="pct"/>
            <w:noWrap/>
            <w:vAlign w:val="bottom"/>
            <w:hideMark/>
          </w:tcPr>
          <w:p w14:paraId="3063E784" w14:textId="539CFE73"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100</w:t>
            </w:r>
          </w:p>
        </w:tc>
        <w:tc>
          <w:tcPr>
            <w:tcW w:w="683" w:type="pct"/>
            <w:noWrap/>
            <w:vAlign w:val="bottom"/>
            <w:hideMark/>
          </w:tcPr>
          <w:p w14:paraId="03B58CA5" w14:textId="16B0CB85"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354</w:t>
            </w:r>
          </w:p>
        </w:tc>
        <w:tc>
          <w:tcPr>
            <w:tcW w:w="683" w:type="pct"/>
            <w:noWrap/>
            <w:vAlign w:val="bottom"/>
            <w:hideMark/>
          </w:tcPr>
          <w:p w14:paraId="66E159AD" w14:textId="5C568A63"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129</w:t>
            </w:r>
          </w:p>
        </w:tc>
      </w:tr>
      <w:tr w:rsidR="00E23AA9" w:rsidRPr="00C4660B" w14:paraId="599E02D9" w14:textId="77777777" w:rsidTr="00E23AA9">
        <w:trPr>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52E7C1AA"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476FF329" w14:textId="0BC69533" w:rsidR="00E23AA9" w:rsidRPr="0026587B" w:rsidRDefault="00E23AA9"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Pome fruits</w:t>
            </w:r>
          </w:p>
        </w:tc>
        <w:tc>
          <w:tcPr>
            <w:tcW w:w="683" w:type="pct"/>
            <w:noWrap/>
            <w:vAlign w:val="center"/>
            <w:hideMark/>
          </w:tcPr>
          <w:p w14:paraId="2CD03EB1"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5166</w:t>
            </w:r>
          </w:p>
        </w:tc>
        <w:tc>
          <w:tcPr>
            <w:tcW w:w="683" w:type="pct"/>
            <w:noWrap/>
            <w:vAlign w:val="center"/>
            <w:hideMark/>
          </w:tcPr>
          <w:p w14:paraId="4C01DB20" w14:textId="77777777" w:rsidR="00E23AA9" w:rsidRPr="00C4660B"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67%</w:t>
            </w:r>
          </w:p>
        </w:tc>
        <w:tc>
          <w:tcPr>
            <w:tcW w:w="683" w:type="pct"/>
            <w:noWrap/>
            <w:vAlign w:val="bottom"/>
            <w:hideMark/>
          </w:tcPr>
          <w:p w14:paraId="7E4037C2" w14:textId="7C022DAE"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98</w:t>
            </w:r>
          </w:p>
        </w:tc>
        <w:tc>
          <w:tcPr>
            <w:tcW w:w="683" w:type="pct"/>
            <w:noWrap/>
            <w:vAlign w:val="bottom"/>
            <w:hideMark/>
          </w:tcPr>
          <w:p w14:paraId="00A80537" w14:textId="1DE14C26"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321</w:t>
            </w:r>
          </w:p>
        </w:tc>
        <w:tc>
          <w:tcPr>
            <w:tcW w:w="683" w:type="pct"/>
            <w:noWrap/>
            <w:vAlign w:val="bottom"/>
            <w:hideMark/>
          </w:tcPr>
          <w:p w14:paraId="48DCCC7F" w14:textId="3B56CB6B" w:rsidR="00E23AA9" w:rsidRPr="00E23AA9" w:rsidRDefault="00E23AA9"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147</w:t>
            </w:r>
          </w:p>
        </w:tc>
      </w:tr>
      <w:tr w:rsidR="00E23AA9" w:rsidRPr="00C4660B" w14:paraId="1AA7E88D" w14:textId="77777777" w:rsidTr="00E23A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7" w:type="pct"/>
            <w:vMerge/>
          </w:tcPr>
          <w:p w14:paraId="0C0120B1" w14:textId="77777777" w:rsidR="00E23AA9" w:rsidRPr="003C03A1" w:rsidRDefault="00E23AA9" w:rsidP="009A3DDD">
            <w:pPr>
              <w:spacing w:after="0" w:line="240" w:lineRule="auto"/>
              <w:contextualSpacing/>
              <w:jc w:val="right"/>
              <w:rPr>
                <w:rFonts w:eastAsia="Times New Roman" w:cs="Arial"/>
                <w:color w:val="000000"/>
                <w:sz w:val="18"/>
                <w:szCs w:val="18"/>
                <w:lang w:eastAsia="en-GB"/>
              </w:rPr>
            </w:pPr>
          </w:p>
        </w:tc>
        <w:tc>
          <w:tcPr>
            <w:tcW w:w="997" w:type="pct"/>
            <w:noWrap/>
            <w:hideMark/>
          </w:tcPr>
          <w:p w14:paraId="1DE0148D" w14:textId="13E46080" w:rsidR="00E23AA9" w:rsidRPr="0026587B" w:rsidRDefault="00E23AA9"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26587B">
              <w:rPr>
                <w:rFonts w:eastAsia="Times New Roman" w:cs="Arial"/>
                <w:color w:val="000000"/>
                <w:sz w:val="18"/>
                <w:szCs w:val="18"/>
                <w:lang w:eastAsia="en-GB"/>
              </w:rPr>
              <w:t>Tropical fruit - edible peel</w:t>
            </w:r>
          </w:p>
        </w:tc>
        <w:tc>
          <w:tcPr>
            <w:tcW w:w="683" w:type="pct"/>
            <w:noWrap/>
            <w:vAlign w:val="center"/>
            <w:hideMark/>
          </w:tcPr>
          <w:p w14:paraId="38813745"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3374</w:t>
            </w:r>
          </w:p>
        </w:tc>
        <w:tc>
          <w:tcPr>
            <w:tcW w:w="683" w:type="pct"/>
            <w:noWrap/>
            <w:vAlign w:val="center"/>
            <w:hideMark/>
          </w:tcPr>
          <w:p w14:paraId="503227EF" w14:textId="77777777" w:rsidR="00E23AA9" w:rsidRPr="00C4660B"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44%</w:t>
            </w:r>
          </w:p>
        </w:tc>
        <w:tc>
          <w:tcPr>
            <w:tcW w:w="683" w:type="pct"/>
            <w:noWrap/>
            <w:vAlign w:val="bottom"/>
            <w:hideMark/>
          </w:tcPr>
          <w:p w14:paraId="2F32DBCF" w14:textId="4F23664B"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2</w:t>
            </w:r>
          </w:p>
        </w:tc>
        <w:tc>
          <w:tcPr>
            <w:tcW w:w="683" w:type="pct"/>
            <w:noWrap/>
            <w:vAlign w:val="bottom"/>
            <w:hideMark/>
          </w:tcPr>
          <w:p w14:paraId="4D2761D3" w14:textId="2B1E14D2"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10</w:t>
            </w:r>
          </w:p>
        </w:tc>
        <w:tc>
          <w:tcPr>
            <w:tcW w:w="683" w:type="pct"/>
            <w:noWrap/>
            <w:vAlign w:val="bottom"/>
            <w:hideMark/>
          </w:tcPr>
          <w:p w14:paraId="7AE0BC62" w14:textId="4EAB1228" w:rsidR="00E23AA9" w:rsidRPr="00E23AA9" w:rsidRDefault="00E23AA9"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E23AA9">
              <w:rPr>
                <w:rFonts w:cs="Arial"/>
                <w:color w:val="000000"/>
                <w:sz w:val="18"/>
                <w:szCs w:val="18"/>
              </w:rPr>
              <w:t>5</w:t>
            </w:r>
          </w:p>
        </w:tc>
      </w:tr>
    </w:tbl>
    <w:p w14:paraId="0211789F" w14:textId="2A9BAF57" w:rsidR="00771F11" w:rsidRPr="00771F11" w:rsidRDefault="00771F11" w:rsidP="00771F11">
      <w:pPr>
        <w:pStyle w:val="FSCFootnote"/>
        <w:rPr>
          <w:vertAlign w:val="superscript"/>
          <w:lang w:eastAsia="en-AU"/>
        </w:rPr>
      </w:pPr>
      <w:r w:rsidRPr="00771F11">
        <w:rPr>
          <w:vertAlign w:val="superscript"/>
          <w:lang w:eastAsia="en-AU"/>
        </w:rPr>
        <w:t>1</w:t>
      </w:r>
      <w:r>
        <w:rPr>
          <w:lang w:eastAsia="en-AU"/>
        </w:rPr>
        <w:t xml:space="preserve">Slight difference between consumer and respondent consumption amounts may occur </w:t>
      </w:r>
      <w:r w:rsidR="007E557B">
        <w:rPr>
          <w:lang w:eastAsia="en-AU"/>
        </w:rPr>
        <w:t>because</w:t>
      </w:r>
      <w:r>
        <w:rPr>
          <w:lang w:eastAsia="en-AU"/>
        </w:rPr>
        <w:t xml:space="preserve"> of rounding </w:t>
      </w:r>
    </w:p>
    <w:p w14:paraId="1B3F7F17" w14:textId="77CC2FC3" w:rsidR="001C5F63" w:rsidRDefault="001C5F63">
      <w:pPr>
        <w:rPr>
          <w:lang w:eastAsia="en-AU"/>
        </w:rPr>
      </w:pPr>
      <w:r>
        <w:rPr>
          <w:lang w:eastAsia="en-AU"/>
        </w:rPr>
        <w:br w:type="page"/>
      </w:r>
    </w:p>
    <w:p w14:paraId="46BBF6B2" w14:textId="1B2C96A6" w:rsidR="001C5F63" w:rsidRPr="00497529" w:rsidRDefault="001C5F63" w:rsidP="00497529">
      <w:pPr>
        <w:pStyle w:val="FSTableColumnRowheading"/>
      </w:pPr>
      <w:bookmarkStart w:id="189" w:name="_Toc474153721"/>
      <w:bookmarkStart w:id="190" w:name="_Toc474158913"/>
      <w:bookmarkStart w:id="191" w:name="_Toc474847873"/>
      <w:bookmarkStart w:id="192" w:name="_Toc474852113"/>
      <w:r w:rsidRPr="00497529">
        <w:lastRenderedPageBreak/>
        <w:t>Food consumption amounts</w:t>
      </w:r>
      <w:r w:rsidR="0058250E">
        <w:t xml:space="preserve"> (grams</w:t>
      </w:r>
      <w:r w:rsidR="00DB24C8">
        <w:t>/day</w:t>
      </w:r>
      <w:r w:rsidR="0058250E">
        <w:t>)</w:t>
      </w:r>
      <w:r w:rsidRPr="00497529">
        <w:t xml:space="preserve"> for food </w:t>
      </w:r>
      <w:r w:rsidR="002130E2" w:rsidRPr="00497529">
        <w:t xml:space="preserve">groups </w:t>
      </w:r>
      <w:r w:rsidRPr="00497529">
        <w:t>for Australians aged 2-6 years</w:t>
      </w:r>
      <w:bookmarkEnd w:id="189"/>
      <w:bookmarkEnd w:id="190"/>
      <w:bookmarkEnd w:id="191"/>
      <w:bookmarkEnd w:id="192"/>
    </w:p>
    <w:tbl>
      <w:tblPr>
        <w:tblStyle w:val="LightList-Accent11"/>
        <w:tblW w:w="5148" w:type="pct"/>
        <w:tblLayout w:type="fixed"/>
        <w:tblLook w:val="04A0" w:firstRow="1" w:lastRow="0" w:firstColumn="1" w:lastColumn="0" w:noHBand="0" w:noVBand="1"/>
      </w:tblPr>
      <w:tblGrid>
        <w:gridCol w:w="1951"/>
        <w:gridCol w:w="2566"/>
        <w:gridCol w:w="2024"/>
        <w:gridCol w:w="2023"/>
        <w:gridCol w:w="2026"/>
        <w:gridCol w:w="2023"/>
        <w:gridCol w:w="2026"/>
      </w:tblGrid>
      <w:tr w:rsidR="00CA6B22" w:rsidRPr="00DD40AB" w14:paraId="66F8B63E" w14:textId="77777777" w:rsidTr="0092375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Align w:val="center"/>
          </w:tcPr>
          <w:p w14:paraId="155DC255" w14:textId="28324AFB" w:rsidR="00CA6B22" w:rsidRPr="00DD40AB" w:rsidRDefault="00CA6B22" w:rsidP="0092375E">
            <w:pPr>
              <w:contextualSpacing/>
              <w:rPr>
                <w:rFonts w:eastAsia="Times New Roman" w:cs="Arial"/>
                <w:color w:val="FFFFFF" w:themeColor="background1"/>
                <w:sz w:val="18"/>
                <w:szCs w:val="18"/>
                <w:lang w:eastAsia="en-GB"/>
              </w:rPr>
            </w:pPr>
            <w:r w:rsidRPr="003C03A1">
              <w:rPr>
                <w:rFonts w:eastAsia="Times New Roman" w:cs="Arial"/>
                <w:color w:val="FFFFFF" w:themeColor="background1"/>
                <w:sz w:val="18"/>
                <w:szCs w:val="18"/>
                <w:lang w:eastAsia="en-GB"/>
              </w:rPr>
              <w:t xml:space="preserve">Food </w:t>
            </w:r>
            <w:r w:rsidR="0092375E">
              <w:rPr>
                <w:rFonts w:eastAsia="Times New Roman" w:cs="Arial"/>
                <w:color w:val="FFFFFF" w:themeColor="background1"/>
                <w:sz w:val="18"/>
                <w:szCs w:val="18"/>
                <w:lang w:eastAsia="en-GB"/>
              </w:rPr>
              <w:t>category</w:t>
            </w:r>
          </w:p>
        </w:tc>
        <w:tc>
          <w:tcPr>
            <w:tcW w:w="876" w:type="pct"/>
            <w:noWrap/>
            <w:vAlign w:val="center"/>
            <w:hideMark/>
          </w:tcPr>
          <w:p w14:paraId="0E8E6967" w14:textId="0ADE833F" w:rsidR="00CA6B22" w:rsidRPr="0092375E" w:rsidRDefault="00CA6B22"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92375E">
              <w:rPr>
                <w:rFonts w:eastAsia="Times New Roman" w:cs="Arial"/>
                <w:color w:val="FFFFFF" w:themeColor="background1"/>
                <w:sz w:val="18"/>
                <w:szCs w:val="18"/>
                <w:lang w:eastAsia="en-GB"/>
              </w:rPr>
              <w:t>Food classification</w:t>
            </w:r>
          </w:p>
        </w:tc>
        <w:tc>
          <w:tcPr>
            <w:tcW w:w="691" w:type="pct"/>
            <w:noWrap/>
            <w:vAlign w:val="center"/>
            <w:hideMark/>
          </w:tcPr>
          <w:p w14:paraId="086E3E28" w14:textId="77777777" w:rsidR="00CA6B22" w:rsidRPr="00DD40AB" w:rsidRDefault="00CA6B22"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DD40AB">
              <w:rPr>
                <w:rFonts w:eastAsia="Times New Roman" w:cs="Arial"/>
                <w:color w:val="FFFFFF" w:themeColor="background1"/>
                <w:sz w:val="18"/>
                <w:szCs w:val="18"/>
                <w:lang w:eastAsia="en-GB"/>
              </w:rPr>
              <w:t xml:space="preserve">No. </w:t>
            </w:r>
            <w:proofErr w:type="gramStart"/>
            <w:r w:rsidRPr="00DD40AB">
              <w:rPr>
                <w:rFonts w:eastAsia="Times New Roman" w:cs="Arial"/>
                <w:color w:val="FFFFFF" w:themeColor="background1"/>
                <w:sz w:val="18"/>
                <w:szCs w:val="18"/>
                <w:lang w:eastAsia="en-GB"/>
              </w:rPr>
              <w:t>consumers</w:t>
            </w:r>
            <w:proofErr w:type="gramEnd"/>
          </w:p>
        </w:tc>
        <w:tc>
          <w:tcPr>
            <w:tcW w:w="691" w:type="pct"/>
            <w:noWrap/>
            <w:vAlign w:val="center"/>
            <w:hideMark/>
          </w:tcPr>
          <w:p w14:paraId="08533EAE" w14:textId="77777777" w:rsidR="00CA6B22" w:rsidRPr="00DD40AB" w:rsidRDefault="00CA6B22"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DD40AB">
              <w:rPr>
                <w:rFonts w:eastAsia="Times New Roman" w:cs="Arial"/>
                <w:color w:val="FFFFFF" w:themeColor="background1"/>
                <w:sz w:val="18"/>
                <w:szCs w:val="18"/>
                <w:lang w:eastAsia="en-GB"/>
              </w:rPr>
              <w:t xml:space="preserve">% </w:t>
            </w:r>
            <w:proofErr w:type="gramStart"/>
            <w:r w:rsidRPr="00DD40AB">
              <w:rPr>
                <w:rFonts w:eastAsia="Times New Roman" w:cs="Arial"/>
                <w:color w:val="FFFFFF" w:themeColor="background1"/>
                <w:sz w:val="18"/>
                <w:szCs w:val="18"/>
                <w:lang w:eastAsia="en-GB"/>
              </w:rPr>
              <w:t>consumers</w:t>
            </w:r>
            <w:proofErr w:type="gramEnd"/>
            <w:r w:rsidRPr="00DD40AB">
              <w:rPr>
                <w:rFonts w:eastAsia="Times New Roman" w:cs="Arial"/>
                <w:color w:val="FFFFFF" w:themeColor="background1"/>
                <w:sz w:val="18"/>
                <w:szCs w:val="18"/>
                <w:lang w:eastAsia="en-GB"/>
              </w:rPr>
              <w:t xml:space="preserve"> to respondents</w:t>
            </w:r>
          </w:p>
        </w:tc>
        <w:tc>
          <w:tcPr>
            <w:tcW w:w="692" w:type="pct"/>
            <w:noWrap/>
            <w:vAlign w:val="center"/>
            <w:hideMark/>
          </w:tcPr>
          <w:p w14:paraId="7C984AE3" w14:textId="77777777" w:rsidR="00CA6B22" w:rsidRPr="00DD40AB" w:rsidRDefault="00CA6B22"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DD40AB">
              <w:rPr>
                <w:rFonts w:eastAsia="Times New Roman" w:cs="Arial"/>
                <w:color w:val="FFFFFF" w:themeColor="background1"/>
                <w:sz w:val="18"/>
                <w:szCs w:val="18"/>
                <w:lang w:eastAsia="en-GB"/>
              </w:rPr>
              <w:t>Mean all respondents</w:t>
            </w:r>
          </w:p>
        </w:tc>
        <w:tc>
          <w:tcPr>
            <w:tcW w:w="691" w:type="pct"/>
            <w:noWrap/>
            <w:vAlign w:val="center"/>
            <w:hideMark/>
          </w:tcPr>
          <w:p w14:paraId="797DD0B6" w14:textId="77777777" w:rsidR="00CA6B22" w:rsidRPr="00DD40AB" w:rsidRDefault="00CA6B22"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DD40AB">
              <w:rPr>
                <w:rFonts w:eastAsia="Times New Roman" w:cs="Arial"/>
                <w:color w:val="FFFFFF" w:themeColor="background1"/>
                <w:sz w:val="18"/>
                <w:szCs w:val="18"/>
                <w:lang w:eastAsia="en-GB"/>
              </w:rPr>
              <w:t>P90 consumers only</w:t>
            </w:r>
          </w:p>
        </w:tc>
        <w:tc>
          <w:tcPr>
            <w:tcW w:w="692" w:type="pct"/>
            <w:noWrap/>
            <w:vAlign w:val="center"/>
            <w:hideMark/>
          </w:tcPr>
          <w:p w14:paraId="6ABCC5AF" w14:textId="77777777" w:rsidR="00CA6B22" w:rsidRPr="00DD40AB" w:rsidRDefault="00CA6B22"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DD40AB">
              <w:rPr>
                <w:rFonts w:eastAsia="Times New Roman" w:cs="Arial"/>
                <w:color w:val="FFFFFF" w:themeColor="background1"/>
                <w:sz w:val="18"/>
                <w:szCs w:val="18"/>
                <w:lang w:eastAsia="en-GB"/>
              </w:rPr>
              <w:t>Mean consumers only</w:t>
            </w:r>
          </w:p>
        </w:tc>
      </w:tr>
      <w:tr w:rsidR="00771F11" w:rsidRPr="00C4660B" w14:paraId="5D0569D4"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val="restart"/>
          </w:tcPr>
          <w:p w14:paraId="02CAEE05" w14:textId="6CD98DDC" w:rsidR="00771F11" w:rsidRPr="00C4660B" w:rsidRDefault="00771F11" w:rsidP="009A3DDD">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Fish and seafood</w:t>
            </w:r>
          </w:p>
        </w:tc>
        <w:tc>
          <w:tcPr>
            <w:tcW w:w="876" w:type="pct"/>
            <w:noWrap/>
            <w:hideMark/>
          </w:tcPr>
          <w:p w14:paraId="21D4B000" w14:textId="77C2AF45" w:rsidR="00771F11" w:rsidRPr="00115423" w:rsidRDefault="00771F11"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Crustaceans of all species</w:t>
            </w:r>
          </w:p>
        </w:tc>
        <w:tc>
          <w:tcPr>
            <w:tcW w:w="691" w:type="pct"/>
            <w:noWrap/>
            <w:vAlign w:val="center"/>
            <w:hideMark/>
          </w:tcPr>
          <w:p w14:paraId="7770BDFF"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21</w:t>
            </w:r>
          </w:p>
        </w:tc>
        <w:tc>
          <w:tcPr>
            <w:tcW w:w="691" w:type="pct"/>
            <w:noWrap/>
            <w:vAlign w:val="center"/>
            <w:hideMark/>
          </w:tcPr>
          <w:p w14:paraId="3B35E336"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w:t>
            </w:r>
          </w:p>
        </w:tc>
        <w:tc>
          <w:tcPr>
            <w:tcW w:w="692" w:type="pct"/>
            <w:noWrap/>
            <w:vAlign w:val="bottom"/>
            <w:hideMark/>
          </w:tcPr>
          <w:p w14:paraId="1D5A66F6" w14:textId="2E2F35A1"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&lt;1</w:t>
            </w:r>
          </w:p>
        </w:tc>
        <w:tc>
          <w:tcPr>
            <w:tcW w:w="691" w:type="pct"/>
            <w:noWrap/>
            <w:vAlign w:val="bottom"/>
            <w:hideMark/>
          </w:tcPr>
          <w:p w14:paraId="302CA4C3" w14:textId="1B1E0AFA"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21</w:t>
            </w:r>
          </w:p>
        </w:tc>
        <w:tc>
          <w:tcPr>
            <w:tcW w:w="692" w:type="pct"/>
            <w:noWrap/>
            <w:vAlign w:val="bottom"/>
            <w:hideMark/>
          </w:tcPr>
          <w:p w14:paraId="3BB9ABED" w14:textId="5EF51537"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8</w:t>
            </w:r>
          </w:p>
        </w:tc>
      </w:tr>
      <w:tr w:rsidR="00771F11" w:rsidRPr="00C4660B" w14:paraId="24CA0B6E"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41882CFB" w14:textId="77777777" w:rsidR="00771F11" w:rsidRPr="00C4660B" w:rsidRDefault="00771F11" w:rsidP="009A3DDD">
            <w:pPr>
              <w:spacing w:after="0" w:line="240" w:lineRule="auto"/>
              <w:contextualSpacing/>
              <w:rPr>
                <w:rFonts w:eastAsia="Times New Roman" w:cs="Arial"/>
                <w:b w:val="0"/>
                <w:color w:val="000000"/>
                <w:sz w:val="18"/>
                <w:szCs w:val="18"/>
                <w:lang w:eastAsia="en-GB"/>
              </w:rPr>
            </w:pPr>
          </w:p>
        </w:tc>
        <w:tc>
          <w:tcPr>
            <w:tcW w:w="876" w:type="pct"/>
            <w:noWrap/>
            <w:hideMark/>
          </w:tcPr>
          <w:p w14:paraId="3071B0FE" w14:textId="62BC55B9" w:rsidR="00771F11" w:rsidRPr="00115423" w:rsidRDefault="00771F11"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Finfish</w:t>
            </w:r>
            <w:r>
              <w:rPr>
                <w:rFonts w:eastAsia="Times New Roman" w:cs="Arial"/>
                <w:i/>
                <w:color w:val="000000"/>
                <w:sz w:val="18"/>
                <w:szCs w:val="18"/>
                <w:lang w:eastAsia="en-GB"/>
              </w:rPr>
              <w:t xml:space="preserve"> (all)</w:t>
            </w:r>
          </w:p>
        </w:tc>
        <w:tc>
          <w:tcPr>
            <w:tcW w:w="691" w:type="pct"/>
            <w:noWrap/>
            <w:vAlign w:val="center"/>
            <w:hideMark/>
          </w:tcPr>
          <w:p w14:paraId="149FC4D6"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173</w:t>
            </w:r>
          </w:p>
        </w:tc>
        <w:tc>
          <w:tcPr>
            <w:tcW w:w="691" w:type="pct"/>
            <w:noWrap/>
            <w:vAlign w:val="center"/>
            <w:hideMark/>
          </w:tcPr>
          <w:p w14:paraId="504F00EF"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36%</w:t>
            </w:r>
          </w:p>
        </w:tc>
        <w:tc>
          <w:tcPr>
            <w:tcW w:w="692" w:type="pct"/>
            <w:noWrap/>
            <w:vAlign w:val="bottom"/>
            <w:hideMark/>
          </w:tcPr>
          <w:p w14:paraId="01E3BDB3" w14:textId="48BB6258" w:rsidR="00771F11" w:rsidRPr="00771F11" w:rsidRDefault="00B4252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9</w:t>
            </w:r>
          </w:p>
        </w:tc>
        <w:tc>
          <w:tcPr>
            <w:tcW w:w="691" w:type="pct"/>
            <w:noWrap/>
            <w:vAlign w:val="bottom"/>
            <w:hideMark/>
          </w:tcPr>
          <w:p w14:paraId="18F12C95" w14:textId="67C58BF8" w:rsidR="00771F11" w:rsidRPr="00771F11" w:rsidRDefault="00B4252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73</w:t>
            </w:r>
          </w:p>
        </w:tc>
        <w:tc>
          <w:tcPr>
            <w:tcW w:w="692" w:type="pct"/>
            <w:noWrap/>
            <w:vAlign w:val="bottom"/>
            <w:hideMark/>
          </w:tcPr>
          <w:p w14:paraId="77481E94" w14:textId="42CFA015" w:rsidR="00771F11" w:rsidRPr="00771F11" w:rsidRDefault="00B4252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w:t>
            </w:r>
          </w:p>
        </w:tc>
      </w:tr>
      <w:tr w:rsidR="00771F11" w:rsidRPr="00C4660B" w14:paraId="53A08DE7"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06AA4B2A"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33B9D5D7" w14:textId="37D87917"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A6B22">
              <w:rPr>
                <w:rFonts w:eastAsia="Times New Roman" w:cs="Arial"/>
                <w:color w:val="000000"/>
                <w:sz w:val="18"/>
                <w:szCs w:val="18"/>
                <w:lang w:eastAsia="en-GB"/>
              </w:rPr>
              <w:t>Diadromous</w:t>
            </w:r>
            <w:proofErr w:type="spellEnd"/>
            <w:r w:rsidRPr="00CA6B22">
              <w:rPr>
                <w:rFonts w:eastAsia="Times New Roman" w:cs="Arial"/>
                <w:color w:val="000000"/>
                <w:sz w:val="18"/>
                <w:szCs w:val="18"/>
                <w:lang w:eastAsia="en-GB"/>
              </w:rPr>
              <w:t xml:space="preserve"> fish</w:t>
            </w:r>
          </w:p>
        </w:tc>
        <w:tc>
          <w:tcPr>
            <w:tcW w:w="691" w:type="pct"/>
            <w:noWrap/>
            <w:vAlign w:val="center"/>
            <w:hideMark/>
          </w:tcPr>
          <w:p w14:paraId="7B4D5B30"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17</w:t>
            </w:r>
          </w:p>
        </w:tc>
        <w:tc>
          <w:tcPr>
            <w:tcW w:w="691" w:type="pct"/>
            <w:noWrap/>
            <w:vAlign w:val="center"/>
            <w:hideMark/>
          </w:tcPr>
          <w:p w14:paraId="61B04895"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w:t>
            </w:r>
          </w:p>
        </w:tc>
        <w:tc>
          <w:tcPr>
            <w:tcW w:w="692" w:type="pct"/>
            <w:noWrap/>
            <w:vAlign w:val="bottom"/>
            <w:hideMark/>
          </w:tcPr>
          <w:p w14:paraId="42DD579E" w14:textId="7584CBDA"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w:t>
            </w:r>
          </w:p>
        </w:tc>
        <w:tc>
          <w:tcPr>
            <w:tcW w:w="691" w:type="pct"/>
            <w:noWrap/>
            <w:vAlign w:val="bottom"/>
            <w:hideMark/>
          </w:tcPr>
          <w:p w14:paraId="407719EC" w14:textId="0688192F"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60</w:t>
            </w:r>
          </w:p>
        </w:tc>
        <w:tc>
          <w:tcPr>
            <w:tcW w:w="692" w:type="pct"/>
            <w:noWrap/>
            <w:vAlign w:val="bottom"/>
            <w:hideMark/>
          </w:tcPr>
          <w:p w14:paraId="342A3E30" w14:textId="22C14629"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34</w:t>
            </w:r>
          </w:p>
        </w:tc>
      </w:tr>
      <w:tr w:rsidR="00771F11" w:rsidRPr="00C4660B" w14:paraId="16FBEBE5"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725E8A98"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5170C849" w14:textId="454B3C8B"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Freshwater fish</w:t>
            </w:r>
          </w:p>
        </w:tc>
        <w:tc>
          <w:tcPr>
            <w:tcW w:w="691" w:type="pct"/>
            <w:noWrap/>
            <w:vAlign w:val="center"/>
            <w:hideMark/>
          </w:tcPr>
          <w:p w14:paraId="6EC06B8A"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33</w:t>
            </w:r>
          </w:p>
        </w:tc>
        <w:tc>
          <w:tcPr>
            <w:tcW w:w="691" w:type="pct"/>
            <w:noWrap/>
            <w:vAlign w:val="center"/>
            <w:hideMark/>
          </w:tcPr>
          <w:p w14:paraId="66EA70DC"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w:t>
            </w:r>
          </w:p>
        </w:tc>
        <w:tc>
          <w:tcPr>
            <w:tcW w:w="692" w:type="pct"/>
            <w:noWrap/>
            <w:vAlign w:val="bottom"/>
            <w:hideMark/>
          </w:tcPr>
          <w:p w14:paraId="4AF89F22" w14:textId="751A9205"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c>
          <w:tcPr>
            <w:tcW w:w="691" w:type="pct"/>
            <w:noWrap/>
            <w:vAlign w:val="bottom"/>
            <w:hideMark/>
          </w:tcPr>
          <w:p w14:paraId="3EFDB4D1" w14:textId="7704F5A1"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72</w:t>
            </w:r>
          </w:p>
        </w:tc>
        <w:tc>
          <w:tcPr>
            <w:tcW w:w="692" w:type="pct"/>
            <w:noWrap/>
            <w:vAlign w:val="bottom"/>
            <w:hideMark/>
          </w:tcPr>
          <w:p w14:paraId="260E8B1F" w14:textId="60857C58"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28</w:t>
            </w:r>
          </w:p>
        </w:tc>
      </w:tr>
      <w:tr w:rsidR="00771F11" w:rsidRPr="00C4660B" w14:paraId="4F44B57B"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150BC1E0"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07B562C5" w14:textId="0A2DAB28"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Marine fish of all species</w:t>
            </w:r>
          </w:p>
        </w:tc>
        <w:tc>
          <w:tcPr>
            <w:tcW w:w="691" w:type="pct"/>
            <w:noWrap/>
            <w:vAlign w:val="center"/>
            <w:hideMark/>
          </w:tcPr>
          <w:p w14:paraId="549ADEE1"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321</w:t>
            </w:r>
          </w:p>
        </w:tc>
        <w:tc>
          <w:tcPr>
            <w:tcW w:w="691" w:type="pct"/>
            <w:noWrap/>
            <w:vAlign w:val="center"/>
            <w:hideMark/>
          </w:tcPr>
          <w:p w14:paraId="54654A3C"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67%</w:t>
            </w:r>
          </w:p>
        </w:tc>
        <w:tc>
          <w:tcPr>
            <w:tcW w:w="692" w:type="pct"/>
            <w:noWrap/>
            <w:vAlign w:val="bottom"/>
            <w:hideMark/>
          </w:tcPr>
          <w:p w14:paraId="4CDDBA3C" w14:textId="2AF55080"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w:t>
            </w:r>
          </w:p>
        </w:tc>
        <w:tc>
          <w:tcPr>
            <w:tcW w:w="691" w:type="pct"/>
            <w:noWrap/>
            <w:vAlign w:val="bottom"/>
            <w:hideMark/>
          </w:tcPr>
          <w:p w14:paraId="713E72D9" w14:textId="3CD51C12"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40</w:t>
            </w:r>
          </w:p>
        </w:tc>
        <w:tc>
          <w:tcPr>
            <w:tcW w:w="692" w:type="pct"/>
            <w:noWrap/>
            <w:vAlign w:val="bottom"/>
            <w:hideMark/>
          </w:tcPr>
          <w:p w14:paraId="03C8F3FC" w14:textId="3D375F83"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w:t>
            </w:r>
          </w:p>
        </w:tc>
      </w:tr>
      <w:tr w:rsidR="00771F11" w:rsidRPr="00C4660B" w14:paraId="0A3D9B87"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266AAEAB" w14:textId="7EAD8A30" w:rsidR="00771F11" w:rsidRDefault="00771F11" w:rsidP="009A3DDD">
            <w:pPr>
              <w:spacing w:after="0" w:line="240" w:lineRule="auto"/>
              <w:contextualSpacing/>
              <w:rPr>
                <w:rFonts w:eastAsia="Times New Roman" w:cs="Arial"/>
                <w:b w:val="0"/>
                <w:color w:val="000000"/>
                <w:sz w:val="18"/>
                <w:szCs w:val="18"/>
                <w:lang w:eastAsia="en-GB"/>
              </w:rPr>
            </w:pPr>
          </w:p>
        </w:tc>
        <w:tc>
          <w:tcPr>
            <w:tcW w:w="876" w:type="pct"/>
            <w:noWrap/>
            <w:hideMark/>
          </w:tcPr>
          <w:p w14:paraId="6A363F8D" w14:textId="2D6889D7" w:rsidR="00771F11" w:rsidRPr="00115423" w:rsidRDefault="00771F11"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Molluscs</w:t>
            </w:r>
          </w:p>
        </w:tc>
        <w:tc>
          <w:tcPr>
            <w:tcW w:w="691" w:type="pct"/>
            <w:noWrap/>
            <w:vAlign w:val="center"/>
            <w:hideMark/>
          </w:tcPr>
          <w:p w14:paraId="3E30F7D6"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32</w:t>
            </w:r>
          </w:p>
        </w:tc>
        <w:tc>
          <w:tcPr>
            <w:tcW w:w="691" w:type="pct"/>
            <w:noWrap/>
            <w:vAlign w:val="center"/>
            <w:hideMark/>
          </w:tcPr>
          <w:p w14:paraId="77A0B0FE"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w:t>
            </w:r>
          </w:p>
        </w:tc>
        <w:tc>
          <w:tcPr>
            <w:tcW w:w="692" w:type="pct"/>
            <w:noWrap/>
            <w:vAlign w:val="bottom"/>
            <w:hideMark/>
          </w:tcPr>
          <w:p w14:paraId="6AB301D2" w14:textId="1A109BEA"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&lt;1</w:t>
            </w:r>
          </w:p>
        </w:tc>
        <w:tc>
          <w:tcPr>
            <w:tcW w:w="691" w:type="pct"/>
            <w:noWrap/>
            <w:vAlign w:val="bottom"/>
            <w:hideMark/>
          </w:tcPr>
          <w:p w14:paraId="7059D7BD" w14:textId="704116C5"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w:t>
            </w:r>
          </w:p>
        </w:tc>
        <w:tc>
          <w:tcPr>
            <w:tcW w:w="692" w:type="pct"/>
            <w:noWrap/>
            <w:vAlign w:val="bottom"/>
            <w:hideMark/>
          </w:tcPr>
          <w:p w14:paraId="41B65091" w14:textId="60DE8EE7"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r>
      <w:tr w:rsidR="00771F11" w:rsidRPr="00C4660B" w14:paraId="1A9CCD6F"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val="restart"/>
          </w:tcPr>
          <w:p w14:paraId="199DD66E" w14:textId="71242B21" w:rsidR="00771F11" w:rsidRPr="00C4660B" w:rsidRDefault="00771F11" w:rsidP="009A3DDD">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Animal products</w:t>
            </w:r>
          </w:p>
        </w:tc>
        <w:tc>
          <w:tcPr>
            <w:tcW w:w="876" w:type="pct"/>
            <w:noWrap/>
            <w:hideMark/>
          </w:tcPr>
          <w:p w14:paraId="70DE3B22" w14:textId="76F9A863" w:rsidR="00771F11" w:rsidRPr="00115423" w:rsidRDefault="00771F11"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691" w:type="pct"/>
            <w:noWrap/>
            <w:vAlign w:val="center"/>
            <w:hideMark/>
          </w:tcPr>
          <w:p w14:paraId="188F7BDE"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425</w:t>
            </w:r>
          </w:p>
        </w:tc>
        <w:tc>
          <w:tcPr>
            <w:tcW w:w="691" w:type="pct"/>
            <w:noWrap/>
            <w:vAlign w:val="center"/>
            <w:hideMark/>
          </w:tcPr>
          <w:p w14:paraId="538FB882"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89%</w:t>
            </w:r>
          </w:p>
        </w:tc>
        <w:tc>
          <w:tcPr>
            <w:tcW w:w="692" w:type="pct"/>
            <w:noWrap/>
            <w:vAlign w:val="bottom"/>
            <w:hideMark/>
          </w:tcPr>
          <w:p w14:paraId="4BA62A4B" w14:textId="58072D3D"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42</w:t>
            </w:r>
          </w:p>
        </w:tc>
        <w:tc>
          <w:tcPr>
            <w:tcW w:w="691" w:type="pct"/>
            <w:noWrap/>
            <w:vAlign w:val="bottom"/>
            <w:hideMark/>
          </w:tcPr>
          <w:p w14:paraId="40B15BA2" w14:textId="370E9955"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108</w:t>
            </w:r>
          </w:p>
        </w:tc>
        <w:tc>
          <w:tcPr>
            <w:tcW w:w="692" w:type="pct"/>
            <w:noWrap/>
            <w:vAlign w:val="bottom"/>
            <w:hideMark/>
          </w:tcPr>
          <w:p w14:paraId="6F152E44" w14:textId="645A4F19"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47</w:t>
            </w:r>
          </w:p>
        </w:tc>
      </w:tr>
      <w:tr w:rsidR="00771F11" w:rsidRPr="00C4660B" w14:paraId="5DA01D03"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7A2422E0"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0C81D001" w14:textId="1E8F4A5A"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Cattle meat</w:t>
            </w:r>
          </w:p>
        </w:tc>
        <w:tc>
          <w:tcPr>
            <w:tcW w:w="691" w:type="pct"/>
            <w:noWrap/>
            <w:vAlign w:val="center"/>
            <w:hideMark/>
          </w:tcPr>
          <w:p w14:paraId="6B155E13"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382</w:t>
            </w:r>
          </w:p>
        </w:tc>
        <w:tc>
          <w:tcPr>
            <w:tcW w:w="691" w:type="pct"/>
            <w:noWrap/>
            <w:vAlign w:val="center"/>
            <w:hideMark/>
          </w:tcPr>
          <w:p w14:paraId="2DC6E315"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80%</w:t>
            </w:r>
          </w:p>
        </w:tc>
        <w:tc>
          <w:tcPr>
            <w:tcW w:w="692" w:type="pct"/>
            <w:noWrap/>
            <w:vAlign w:val="bottom"/>
            <w:hideMark/>
          </w:tcPr>
          <w:p w14:paraId="420270EC" w14:textId="501941DC"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27</w:t>
            </w:r>
          </w:p>
        </w:tc>
        <w:tc>
          <w:tcPr>
            <w:tcW w:w="691" w:type="pct"/>
            <w:noWrap/>
            <w:vAlign w:val="bottom"/>
            <w:hideMark/>
          </w:tcPr>
          <w:p w14:paraId="72B2F4D5" w14:textId="52ED5ABF"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85</w:t>
            </w:r>
          </w:p>
        </w:tc>
        <w:tc>
          <w:tcPr>
            <w:tcW w:w="692" w:type="pct"/>
            <w:noWrap/>
            <w:vAlign w:val="bottom"/>
            <w:hideMark/>
          </w:tcPr>
          <w:p w14:paraId="56678D2F" w14:textId="227C389E"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33</w:t>
            </w:r>
          </w:p>
        </w:tc>
      </w:tr>
      <w:tr w:rsidR="00771F11" w:rsidRPr="00C4660B" w14:paraId="41891AB9"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0AF8DDCD" w14:textId="77777777" w:rsidR="00771F11"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tcPr>
          <w:p w14:paraId="35217257" w14:textId="50D4B38C"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Rabbit meat</w:t>
            </w:r>
          </w:p>
        </w:tc>
        <w:tc>
          <w:tcPr>
            <w:tcW w:w="691" w:type="pct"/>
            <w:noWrap/>
            <w:vAlign w:val="center"/>
          </w:tcPr>
          <w:p w14:paraId="5F2C3145" w14:textId="53BE7F05"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NC</w:t>
            </w:r>
          </w:p>
        </w:tc>
        <w:tc>
          <w:tcPr>
            <w:tcW w:w="691" w:type="pct"/>
            <w:noWrap/>
            <w:vAlign w:val="center"/>
          </w:tcPr>
          <w:p w14:paraId="3D6B10B7" w14:textId="6C13A3D2"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3A239D">
              <w:rPr>
                <w:rFonts w:eastAsia="Times New Roman" w:cs="Arial"/>
                <w:color w:val="000000"/>
                <w:sz w:val="18"/>
                <w:szCs w:val="18"/>
                <w:lang w:eastAsia="en-GB"/>
              </w:rPr>
              <w:t>NC</w:t>
            </w:r>
          </w:p>
        </w:tc>
        <w:tc>
          <w:tcPr>
            <w:tcW w:w="692" w:type="pct"/>
            <w:noWrap/>
            <w:vAlign w:val="bottom"/>
          </w:tcPr>
          <w:p w14:paraId="4F6CFE7E" w14:textId="73480436"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NC</w:t>
            </w:r>
          </w:p>
        </w:tc>
        <w:tc>
          <w:tcPr>
            <w:tcW w:w="691" w:type="pct"/>
            <w:noWrap/>
            <w:vAlign w:val="bottom"/>
          </w:tcPr>
          <w:p w14:paraId="236C0297" w14:textId="3A88AE06"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NC</w:t>
            </w:r>
          </w:p>
        </w:tc>
        <w:tc>
          <w:tcPr>
            <w:tcW w:w="692" w:type="pct"/>
            <w:noWrap/>
            <w:vAlign w:val="bottom"/>
          </w:tcPr>
          <w:p w14:paraId="01AC1408" w14:textId="28B4D69A"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NC</w:t>
            </w:r>
          </w:p>
        </w:tc>
      </w:tr>
      <w:tr w:rsidR="00771F11" w:rsidRPr="00C4660B" w14:paraId="5B91BC99"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075C3F2C"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6285ED3B" w14:textId="4D8F23C6"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Sheep meat</w:t>
            </w:r>
          </w:p>
        </w:tc>
        <w:tc>
          <w:tcPr>
            <w:tcW w:w="691" w:type="pct"/>
            <w:noWrap/>
            <w:vAlign w:val="center"/>
            <w:hideMark/>
          </w:tcPr>
          <w:p w14:paraId="46EAD4EA"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284</w:t>
            </w:r>
          </w:p>
        </w:tc>
        <w:tc>
          <w:tcPr>
            <w:tcW w:w="691" w:type="pct"/>
            <w:noWrap/>
            <w:vAlign w:val="center"/>
            <w:hideMark/>
          </w:tcPr>
          <w:p w14:paraId="39F6DEBD"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59%</w:t>
            </w:r>
          </w:p>
        </w:tc>
        <w:tc>
          <w:tcPr>
            <w:tcW w:w="692" w:type="pct"/>
            <w:noWrap/>
            <w:vAlign w:val="bottom"/>
            <w:hideMark/>
          </w:tcPr>
          <w:p w14:paraId="4ECBC84F" w14:textId="6DC7B68B"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c>
          <w:tcPr>
            <w:tcW w:w="691" w:type="pct"/>
            <w:noWrap/>
            <w:vAlign w:val="bottom"/>
            <w:hideMark/>
          </w:tcPr>
          <w:p w14:paraId="7AD05BC2" w14:textId="674103C7"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36</w:t>
            </w:r>
          </w:p>
        </w:tc>
        <w:tc>
          <w:tcPr>
            <w:tcW w:w="692" w:type="pct"/>
            <w:noWrap/>
            <w:vAlign w:val="bottom"/>
            <w:hideMark/>
          </w:tcPr>
          <w:p w14:paraId="265D123F" w14:textId="2039C00C"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9</w:t>
            </w:r>
          </w:p>
        </w:tc>
      </w:tr>
      <w:tr w:rsidR="00771F11" w:rsidRPr="00C4660B" w14:paraId="20669E98"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0652FA36" w14:textId="77777777" w:rsidR="00771F11" w:rsidRPr="00C4660B" w:rsidRDefault="00771F11" w:rsidP="009A3DDD">
            <w:pPr>
              <w:spacing w:after="0" w:line="240" w:lineRule="auto"/>
              <w:contextualSpacing/>
              <w:rPr>
                <w:rFonts w:eastAsia="Times New Roman" w:cs="Arial"/>
                <w:b w:val="0"/>
                <w:color w:val="000000"/>
                <w:sz w:val="18"/>
                <w:szCs w:val="18"/>
                <w:lang w:eastAsia="en-GB"/>
              </w:rPr>
            </w:pPr>
          </w:p>
        </w:tc>
        <w:tc>
          <w:tcPr>
            <w:tcW w:w="876" w:type="pct"/>
            <w:noWrap/>
          </w:tcPr>
          <w:p w14:paraId="0E6D1C36" w14:textId="5F287D85" w:rsidR="00771F11" w:rsidRPr="00115423" w:rsidRDefault="00771F11"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Pr>
                <w:rFonts w:eastAsia="Times New Roman" w:cs="Arial"/>
                <w:i/>
                <w:color w:val="000000"/>
                <w:sz w:val="18"/>
                <w:szCs w:val="18"/>
                <w:lang w:eastAsia="en-GB"/>
              </w:rPr>
              <w:t>Milk (all)</w:t>
            </w:r>
          </w:p>
        </w:tc>
        <w:tc>
          <w:tcPr>
            <w:tcW w:w="691" w:type="pct"/>
            <w:noWrap/>
            <w:vAlign w:val="center"/>
          </w:tcPr>
          <w:p w14:paraId="0AE00136"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cs="Arial"/>
                <w:color w:val="000000"/>
                <w:sz w:val="18"/>
                <w:szCs w:val="18"/>
              </w:rPr>
              <w:t>479</w:t>
            </w:r>
          </w:p>
        </w:tc>
        <w:tc>
          <w:tcPr>
            <w:tcW w:w="691" w:type="pct"/>
            <w:noWrap/>
            <w:vAlign w:val="center"/>
          </w:tcPr>
          <w:p w14:paraId="4E9B33EE"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cs="Arial"/>
                <w:color w:val="000000"/>
                <w:sz w:val="18"/>
                <w:szCs w:val="18"/>
              </w:rPr>
              <w:t>100%</w:t>
            </w:r>
          </w:p>
        </w:tc>
        <w:tc>
          <w:tcPr>
            <w:tcW w:w="692" w:type="pct"/>
            <w:noWrap/>
            <w:vAlign w:val="bottom"/>
          </w:tcPr>
          <w:p w14:paraId="33241DF5" w14:textId="49CF7EF8"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679</w:t>
            </w:r>
          </w:p>
        </w:tc>
        <w:tc>
          <w:tcPr>
            <w:tcW w:w="691" w:type="pct"/>
            <w:noWrap/>
            <w:vAlign w:val="bottom"/>
          </w:tcPr>
          <w:p w14:paraId="0B9E1A72" w14:textId="100838A0"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1097</w:t>
            </w:r>
          </w:p>
        </w:tc>
        <w:tc>
          <w:tcPr>
            <w:tcW w:w="692" w:type="pct"/>
            <w:noWrap/>
            <w:vAlign w:val="bottom"/>
          </w:tcPr>
          <w:p w14:paraId="4B69441B" w14:textId="5C96EC96"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679</w:t>
            </w:r>
          </w:p>
        </w:tc>
      </w:tr>
      <w:tr w:rsidR="00771F11" w:rsidRPr="00C4660B" w14:paraId="6ECF9705"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31D330C2"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1BDEFE72" w14:textId="43586979"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Cattle milk</w:t>
            </w:r>
          </w:p>
        </w:tc>
        <w:tc>
          <w:tcPr>
            <w:tcW w:w="691" w:type="pct"/>
            <w:noWrap/>
            <w:vAlign w:val="center"/>
            <w:hideMark/>
          </w:tcPr>
          <w:p w14:paraId="54D40AFE"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479</w:t>
            </w:r>
          </w:p>
        </w:tc>
        <w:tc>
          <w:tcPr>
            <w:tcW w:w="691" w:type="pct"/>
            <w:noWrap/>
            <w:vAlign w:val="center"/>
            <w:hideMark/>
          </w:tcPr>
          <w:p w14:paraId="65B69939"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100%</w:t>
            </w:r>
          </w:p>
        </w:tc>
        <w:tc>
          <w:tcPr>
            <w:tcW w:w="692" w:type="pct"/>
            <w:noWrap/>
            <w:vAlign w:val="bottom"/>
            <w:hideMark/>
          </w:tcPr>
          <w:p w14:paraId="29210F94" w14:textId="68927981"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678</w:t>
            </w:r>
          </w:p>
        </w:tc>
        <w:tc>
          <w:tcPr>
            <w:tcW w:w="691" w:type="pct"/>
            <w:noWrap/>
            <w:vAlign w:val="bottom"/>
            <w:hideMark/>
          </w:tcPr>
          <w:p w14:paraId="745F5B82" w14:textId="469A2D2B"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1097</w:t>
            </w:r>
          </w:p>
        </w:tc>
        <w:tc>
          <w:tcPr>
            <w:tcW w:w="692" w:type="pct"/>
            <w:noWrap/>
            <w:vAlign w:val="bottom"/>
            <w:hideMark/>
          </w:tcPr>
          <w:p w14:paraId="094673A8" w14:textId="23D6B10D"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678</w:t>
            </w:r>
          </w:p>
        </w:tc>
      </w:tr>
      <w:tr w:rsidR="00771F11" w:rsidRPr="00C4660B" w14:paraId="17316DFD"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63375AD7"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2CE1945A" w14:textId="178EFAC7"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Sheep milk</w:t>
            </w:r>
          </w:p>
        </w:tc>
        <w:tc>
          <w:tcPr>
            <w:tcW w:w="691" w:type="pct"/>
            <w:noWrap/>
            <w:vAlign w:val="center"/>
            <w:hideMark/>
          </w:tcPr>
          <w:p w14:paraId="65050BFF"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88</w:t>
            </w:r>
          </w:p>
        </w:tc>
        <w:tc>
          <w:tcPr>
            <w:tcW w:w="691" w:type="pct"/>
            <w:noWrap/>
            <w:vAlign w:val="center"/>
            <w:hideMark/>
          </w:tcPr>
          <w:p w14:paraId="0DAA2489"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18%</w:t>
            </w:r>
          </w:p>
        </w:tc>
        <w:tc>
          <w:tcPr>
            <w:tcW w:w="692" w:type="pct"/>
            <w:noWrap/>
            <w:vAlign w:val="bottom"/>
            <w:hideMark/>
          </w:tcPr>
          <w:p w14:paraId="534848A7" w14:textId="4FCA1761"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w:t>
            </w:r>
          </w:p>
        </w:tc>
        <w:tc>
          <w:tcPr>
            <w:tcW w:w="691" w:type="pct"/>
            <w:noWrap/>
            <w:vAlign w:val="bottom"/>
            <w:hideMark/>
          </w:tcPr>
          <w:p w14:paraId="171800F1" w14:textId="0741CC98"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w:t>
            </w:r>
          </w:p>
        </w:tc>
        <w:tc>
          <w:tcPr>
            <w:tcW w:w="692" w:type="pct"/>
            <w:noWrap/>
            <w:vAlign w:val="bottom"/>
            <w:hideMark/>
          </w:tcPr>
          <w:p w14:paraId="0EE8E1F7" w14:textId="37B0A237"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r>
      <w:tr w:rsidR="00771F11" w:rsidRPr="00C4660B" w14:paraId="71189EE2"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47B5B7A9" w14:textId="77777777" w:rsidR="00771F11" w:rsidRPr="00C4660B" w:rsidRDefault="00771F11" w:rsidP="009A3DDD">
            <w:pPr>
              <w:spacing w:after="0" w:line="240" w:lineRule="auto"/>
              <w:contextualSpacing/>
              <w:rPr>
                <w:rFonts w:eastAsia="Times New Roman" w:cs="Arial"/>
                <w:b w:val="0"/>
                <w:color w:val="000000"/>
                <w:sz w:val="18"/>
                <w:szCs w:val="18"/>
                <w:lang w:eastAsia="en-GB"/>
              </w:rPr>
            </w:pPr>
          </w:p>
        </w:tc>
        <w:tc>
          <w:tcPr>
            <w:tcW w:w="876" w:type="pct"/>
            <w:noWrap/>
            <w:hideMark/>
          </w:tcPr>
          <w:p w14:paraId="447F1AD3" w14:textId="1D6BB2C3" w:rsidR="00771F11" w:rsidRPr="00115423" w:rsidRDefault="00771F11"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Miscellaneous animal foods</w:t>
            </w:r>
          </w:p>
        </w:tc>
        <w:tc>
          <w:tcPr>
            <w:tcW w:w="691" w:type="pct"/>
            <w:noWrap/>
            <w:vAlign w:val="center"/>
            <w:hideMark/>
          </w:tcPr>
          <w:p w14:paraId="5B34F7FA"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220</w:t>
            </w:r>
          </w:p>
        </w:tc>
        <w:tc>
          <w:tcPr>
            <w:tcW w:w="691" w:type="pct"/>
            <w:noWrap/>
            <w:vAlign w:val="center"/>
            <w:hideMark/>
          </w:tcPr>
          <w:p w14:paraId="1A1A1E2B"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46%</w:t>
            </w:r>
          </w:p>
        </w:tc>
        <w:tc>
          <w:tcPr>
            <w:tcW w:w="692" w:type="pct"/>
            <w:noWrap/>
            <w:vAlign w:val="bottom"/>
            <w:hideMark/>
          </w:tcPr>
          <w:p w14:paraId="7704241F" w14:textId="0E729D0B"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c>
          <w:tcPr>
            <w:tcW w:w="691" w:type="pct"/>
            <w:noWrap/>
            <w:vAlign w:val="bottom"/>
            <w:hideMark/>
          </w:tcPr>
          <w:p w14:paraId="74EAA48E" w14:textId="2899F754"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12</w:t>
            </w:r>
          </w:p>
        </w:tc>
        <w:tc>
          <w:tcPr>
            <w:tcW w:w="692" w:type="pct"/>
            <w:noWrap/>
            <w:vAlign w:val="bottom"/>
            <w:hideMark/>
          </w:tcPr>
          <w:p w14:paraId="68B7DFFB" w14:textId="0F7830C2"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r>
      <w:tr w:rsidR="00771F11" w:rsidRPr="00C4660B" w14:paraId="5246F39A"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4B44FD08" w14:textId="77777777" w:rsidR="00771F11" w:rsidRPr="00C4660B" w:rsidRDefault="00771F11" w:rsidP="009A3DDD">
            <w:pPr>
              <w:spacing w:after="0" w:line="240" w:lineRule="auto"/>
              <w:contextualSpacing/>
              <w:rPr>
                <w:rFonts w:eastAsia="Times New Roman" w:cs="Arial"/>
                <w:b w:val="0"/>
                <w:color w:val="000000"/>
                <w:sz w:val="18"/>
                <w:szCs w:val="18"/>
                <w:lang w:eastAsia="en-GB"/>
              </w:rPr>
            </w:pPr>
          </w:p>
        </w:tc>
        <w:tc>
          <w:tcPr>
            <w:tcW w:w="876" w:type="pct"/>
            <w:noWrap/>
            <w:hideMark/>
          </w:tcPr>
          <w:p w14:paraId="68244F2E" w14:textId="0692DD6B" w:rsidR="00771F11" w:rsidRPr="00115423" w:rsidRDefault="00771F11"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Offal mammalian</w:t>
            </w:r>
          </w:p>
        </w:tc>
        <w:tc>
          <w:tcPr>
            <w:tcW w:w="691" w:type="pct"/>
            <w:noWrap/>
            <w:vAlign w:val="center"/>
            <w:hideMark/>
          </w:tcPr>
          <w:p w14:paraId="53FE9657"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w:t>
            </w:r>
          </w:p>
        </w:tc>
        <w:tc>
          <w:tcPr>
            <w:tcW w:w="691" w:type="pct"/>
            <w:noWrap/>
            <w:vAlign w:val="center"/>
            <w:hideMark/>
          </w:tcPr>
          <w:p w14:paraId="68DA6065"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0%</w:t>
            </w:r>
          </w:p>
        </w:tc>
        <w:tc>
          <w:tcPr>
            <w:tcW w:w="692" w:type="pct"/>
            <w:noWrap/>
            <w:vAlign w:val="bottom"/>
            <w:hideMark/>
          </w:tcPr>
          <w:p w14:paraId="1CB0E5E6" w14:textId="6063610A"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w:t>
            </w:r>
          </w:p>
        </w:tc>
        <w:tc>
          <w:tcPr>
            <w:tcW w:w="691" w:type="pct"/>
            <w:noWrap/>
            <w:vAlign w:val="bottom"/>
            <w:hideMark/>
          </w:tcPr>
          <w:p w14:paraId="49706EE9" w14:textId="7F2EEF18"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w:t>
            </w:r>
          </w:p>
        </w:tc>
        <w:tc>
          <w:tcPr>
            <w:tcW w:w="692" w:type="pct"/>
            <w:noWrap/>
            <w:vAlign w:val="bottom"/>
            <w:hideMark/>
          </w:tcPr>
          <w:p w14:paraId="795BCFFC" w14:textId="3BD75A1A"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w:t>
            </w:r>
          </w:p>
        </w:tc>
      </w:tr>
      <w:tr w:rsidR="00771F11" w:rsidRPr="00C4660B" w14:paraId="1DF3679B"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28B71967" w14:textId="77777777" w:rsidR="00771F11" w:rsidRPr="00C4660B" w:rsidRDefault="00771F11" w:rsidP="009A3DDD">
            <w:pPr>
              <w:spacing w:after="0" w:line="240" w:lineRule="auto"/>
              <w:contextualSpacing/>
              <w:rPr>
                <w:rFonts w:eastAsia="Times New Roman" w:cs="Arial"/>
                <w:b w:val="0"/>
                <w:color w:val="000000"/>
                <w:sz w:val="18"/>
                <w:szCs w:val="18"/>
                <w:lang w:eastAsia="en-GB"/>
              </w:rPr>
            </w:pPr>
          </w:p>
        </w:tc>
        <w:tc>
          <w:tcPr>
            <w:tcW w:w="876" w:type="pct"/>
            <w:noWrap/>
            <w:hideMark/>
          </w:tcPr>
          <w:p w14:paraId="00FD1EE4" w14:textId="60F817D4" w:rsidR="00771F11" w:rsidRPr="00115423" w:rsidRDefault="00771F11"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Poultry eggs</w:t>
            </w:r>
          </w:p>
        </w:tc>
        <w:tc>
          <w:tcPr>
            <w:tcW w:w="691" w:type="pct"/>
            <w:noWrap/>
            <w:vAlign w:val="center"/>
            <w:hideMark/>
          </w:tcPr>
          <w:p w14:paraId="0996B41F"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385</w:t>
            </w:r>
          </w:p>
        </w:tc>
        <w:tc>
          <w:tcPr>
            <w:tcW w:w="691" w:type="pct"/>
            <w:noWrap/>
            <w:vAlign w:val="center"/>
            <w:hideMark/>
          </w:tcPr>
          <w:p w14:paraId="7588D1F1"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80%</w:t>
            </w:r>
          </w:p>
        </w:tc>
        <w:tc>
          <w:tcPr>
            <w:tcW w:w="692" w:type="pct"/>
            <w:noWrap/>
            <w:vAlign w:val="bottom"/>
            <w:hideMark/>
          </w:tcPr>
          <w:p w14:paraId="1CEAF73D" w14:textId="0CC3E70C"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11</w:t>
            </w:r>
          </w:p>
        </w:tc>
        <w:tc>
          <w:tcPr>
            <w:tcW w:w="691" w:type="pct"/>
            <w:noWrap/>
            <w:vAlign w:val="bottom"/>
            <w:hideMark/>
          </w:tcPr>
          <w:p w14:paraId="7D1B916F" w14:textId="17EB36CE"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36</w:t>
            </w:r>
          </w:p>
        </w:tc>
        <w:tc>
          <w:tcPr>
            <w:tcW w:w="692" w:type="pct"/>
            <w:noWrap/>
            <w:vAlign w:val="bottom"/>
            <w:hideMark/>
          </w:tcPr>
          <w:p w14:paraId="25A74AF5" w14:textId="2946E8B2"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13</w:t>
            </w:r>
          </w:p>
        </w:tc>
      </w:tr>
      <w:tr w:rsidR="00771F11" w:rsidRPr="00C4660B" w14:paraId="38E168F5"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val="restart"/>
          </w:tcPr>
          <w:p w14:paraId="139F95EA" w14:textId="139774B9" w:rsidR="00771F11" w:rsidRPr="00C4660B" w:rsidRDefault="00771F11" w:rsidP="009A3DDD">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Fruit and vegetables</w:t>
            </w:r>
          </w:p>
        </w:tc>
        <w:tc>
          <w:tcPr>
            <w:tcW w:w="876" w:type="pct"/>
            <w:noWrap/>
            <w:hideMark/>
          </w:tcPr>
          <w:p w14:paraId="4F113081" w14:textId="34F41A3E" w:rsidR="00771F11" w:rsidRPr="00115423" w:rsidRDefault="00771F11"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Vegetables (all)</w:t>
            </w:r>
          </w:p>
        </w:tc>
        <w:tc>
          <w:tcPr>
            <w:tcW w:w="691" w:type="pct"/>
            <w:noWrap/>
            <w:vAlign w:val="center"/>
            <w:hideMark/>
          </w:tcPr>
          <w:p w14:paraId="617E9DA7"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479</w:t>
            </w:r>
          </w:p>
        </w:tc>
        <w:tc>
          <w:tcPr>
            <w:tcW w:w="691" w:type="pct"/>
            <w:noWrap/>
            <w:vAlign w:val="center"/>
            <w:hideMark/>
          </w:tcPr>
          <w:p w14:paraId="5172F2DF"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100%</w:t>
            </w:r>
          </w:p>
        </w:tc>
        <w:tc>
          <w:tcPr>
            <w:tcW w:w="692" w:type="pct"/>
            <w:noWrap/>
            <w:vAlign w:val="bottom"/>
            <w:hideMark/>
          </w:tcPr>
          <w:p w14:paraId="41DC41BC" w14:textId="2C128D8D"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188</w:t>
            </w:r>
          </w:p>
        </w:tc>
        <w:tc>
          <w:tcPr>
            <w:tcW w:w="691" w:type="pct"/>
            <w:noWrap/>
            <w:vAlign w:val="bottom"/>
            <w:hideMark/>
          </w:tcPr>
          <w:p w14:paraId="39D29247" w14:textId="7F9B4F45"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346</w:t>
            </w:r>
          </w:p>
        </w:tc>
        <w:tc>
          <w:tcPr>
            <w:tcW w:w="692" w:type="pct"/>
            <w:noWrap/>
            <w:vAlign w:val="bottom"/>
            <w:hideMark/>
          </w:tcPr>
          <w:p w14:paraId="5E42847C" w14:textId="316FD0E4"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188</w:t>
            </w:r>
          </w:p>
        </w:tc>
      </w:tr>
      <w:tr w:rsidR="00771F11" w:rsidRPr="00C4660B" w14:paraId="6670588C"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657B4F5A"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1DDA6D8B" w14:textId="1CA0F247"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Cucurbits</w:t>
            </w:r>
          </w:p>
        </w:tc>
        <w:tc>
          <w:tcPr>
            <w:tcW w:w="691" w:type="pct"/>
            <w:noWrap/>
            <w:vAlign w:val="center"/>
            <w:hideMark/>
          </w:tcPr>
          <w:p w14:paraId="5FA924DE"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329</w:t>
            </w:r>
          </w:p>
        </w:tc>
        <w:tc>
          <w:tcPr>
            <w:tcW w:w="691" w:type="pct"/>
            <w:noWrap/>
            <w:vAlign w:val="center"/>
            <w:hideMark/>
          </w:tcPr>
          <w:p w14:paraId="76F83B67"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69%</w:t>
            </w:r>
          </w:p>
        </w:tc>
        <w:tc>
          <w:tcPr>
            <w:tcW w:w="692" w:type="pct"/>
            <w:noWrap/>
            <w:vAlign w:val="bottom"/>
            <w:hideMark/>
          </w:tcPr>
          <w:p w14:paraId="2C0BC7B2" w14:textId="0152EB23"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24</w:t>
            </w:r>
          </w:p>
        </w:tc>
        <w:tc>
          <w:tcPr>
            <w:tcW w:w="691" w:type="pct"/>
            <w:noWrap/>
            <w:vAlign w:val="bottom"/>
            <w:hideMark/>
          </w:tcPr>
          <w:p w14:paraId="5AF8B315" w14:textId="2F78097C"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115</w:t>
            </w:r>
          </w:p>
        </w:tc>
        <w:tc>
          <w:tcPr>
            <w:tcW w:w="692" w:type="pct"/>
            <w:noWrap/>
            <w:vAlign w:val="bottom"/>
            <w:hideMark/>
          </w:tcPr>
          <w:p w14:paraId="11FB080B" w14:textId="3B44D7F7"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35</w:t>
            </w:r>
          </w:p>
        </w:tc>
      </w:tr>
      <w:tr w:rsidR="00771F11" w:rsidRPr="00C4660B" w14:paraId="74DE21D0"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32758467"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6A861A44" w14:textId="107D5012"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Herbs</w:t>
            </w:r>
          </w:p>
        </w:tc>
        <w:tc>
          <w:tcPr>
            <w:tcW w:w="691" w:type="pct"/>
            <w:noWrap/>
            <w:vAlign w:val="center"/>
            <w:hideMark/>
          </w:tcPr>
          <w:p w14:paraId="35AA8F93"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297</w:t>
            </w:r>
          </w:p>
        </w:tc>
        <w:tc>
          <w:tcPr>
            <w:tcW w:w="691" w:type="pct"/>
            <w:noWrap/>
            <w:vAlign w:val="center"/>
            <w:hideMark/>
          </w:tcPr>
          <w:p w14:paraId="6B52D151"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62%</w:t>
            </w:r>
          </w:p>
        </w:tc>
        <w:tc>
          <w:tcPr>
            <w:tcW w:w="692" w:type="pct"/>
            <w:noWrap/>
            <w:vAlign w:val="bottom"/>
            <w:hideMark/>
          </w:tcPr>
          <w:p w14:paraId="6335053D" w14:textId="260F9F25"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w:t>
            </w:r>
          </w:p>
        </w:tc>
        <w:tc>
          <w:tcPr>
            <w:tcW w:w="691" w:type="pct"/>
            <w:noWrap/>
            <w:vAlign w:val="bottom"/>
            <w:hideMark/>
          </w:tcPr>
          <w:p w14:paraId="0416D5E6" w14:textId="3731A66A"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c>
          <w:tcPr>
            <w:tcW w:w="692" w:type="pct"/>
            <w:noWrap/>
            <w:vAlign w:val="bottom"/>
            <w:hideMark/>
          </w:tcPr>
          <w:p w14:paraId="7B1878C5" w14:textId="10C500F4"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w:t>
            </w:r>
          </w:p>
        </w:tc>
      </w:tr>
      <w:tr w:rsidR="00771F11" w:rsidRPr="00C4660B" w14:paraId="5856C704"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2FD6CAD0"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7F01E8CB" w14:textId="0533D09D"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Leafy vegetables</w:t>
            </w:r>
          </w:p>
        </w:tc>
        <w:tc>
          <w:tcPr>
            <w:tcW w:w="691" w:type="pct"/>
            <w:noWrap/>
            <w:vAlign w:val="center"/>
            <w:hideMark/>
          </w:tcPr>
          <w:p w14:paraId="074CB035"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264</w:t>
            </w:r>
          </w:p>
        </w:tc>
        <w:tc>
          <w:tcPr>
            <w:tcW w:w="691" w:type="pct"/>
            <w:noWrap/>
            <w:vAlign w:val="center"/>
            <w:hideMark/>
          </w:tcPr>
          <w:p w14:paraId="2410897E"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55%</w:t>
            </w:r>
          </w:p>
        </w:tc>
        <w:tc>
          <w:tcPr>
            <w:tcW w:w="692" w:type="pct"/>
            <w:noWrap/>
            <w:vAlign w:val="bottom"/>
            <w:hideMark/>
          </w:tcPr>
          <w:p w14:paraId="29776F02" w14:textId="6A6DE588"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c>
          <w:tcPr>
            <w:tcW w:w="691" w:type="pct"/>
            <w:noWrap/>
            <w:vAlign w:val="bottom"/>
            <w:hideMark/>
          </w:tcPr>
          <w:p w14:paraId="65EA5719" w14:textId="737530D9"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26</w:t>
            </w:r>
          </w:p>
        </w:tc>
        <w:tc>
          <w:tcPr>
            <w:tcW w:w="692" w:type="pct"/>
            <w:noWrap/>
            <w:vAlign w:val="bottom"/>
            <w:hideMark/>
          </w:tcPr>
          <w:p w14:paraId="6A1C3CD6" w14:textId="357DC666"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9</w:t>
            </w:r>
          </w:p>
        </w:tc>
      </w:tr>
      <w:tr w:rsidR="00771F11" w:rsidRPr="00C4660B" w14:paraId="69D15DC9"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062FEB82"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141DC62A" w14:textId="664BD4CF"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Other fruiting vegetables</w:t>
            </w:r>
          </w:p>
        </w:tc>
        <w:tc>
          <w:tcPr>
            <w:tcW w:w="691" w:type="pct"/>
            <w:noWrap/>
            <w:vAlign w:val="center"/>
            <w:hideMark/>
          </w:tcPr>
          <w:p w14:paraId="5547E756"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478</w:t>
            </w:r>
          </w:p>
        </w:tc>
        <w:tc>
          <w:tcPr>
            <w:tcW w:w="691" w:type="pct"/>
            <w:noWrap/>
            <w:vAlign w:val="center"/>
            <w:hideMark/>
          </w:tcPr>
          <w:p w14:paraId="4282C348"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100%</w:t>
            </w:r>
          </w:p>
        </w:tc>
        <w:tc>
          <w:tcPr>
            <w:tcW w:w="692" w:type="pct"/>
            <w:noWrap/>
            <w:vAlign w:val="bottom"/>
            <w:hideMark/>
          </w:tcPr>
          <w:p w14:paraId="2D8A705B" w14:textId="36E06D2C"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73</w:t>
            </w:r>
          </w:p>
        </w:tc>
        <w:tc>
          <w:tcPr>
            <w:tcW w:w="691" w:type="pct"/>
            <w:noWrap/>
            <w:vAlign w:val="bottom"/>
            <w:hideMark/>
          </w:tcPr>
          <w:p w14:paraId="33052CAD" w14:textId="6F3240FE"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151</w:t>
            </w:r>
          </w:p>
        </w:tc>
        <w:tc>
          <w:tcPr>
            <w:tcW w:w="692" w:type="pct"/>
            <w:noWrap/>
            <w:vAlign w:val="bottom"/>
            <w:hideMark/>
          </w:tcPr>
          <w:p w14:paraId="688FA59D" w14:textId="366A44F8"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73</w:t>
            </w:r>
          </w:p>
        </w:tc>
      </w:tr>
      <w:tr w:rsidR="00771F11" w:rsidRPr="00C4660B" w14:paraId="0F1C6B8F"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3504C08F"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2007DB7C" w14:textId="6C69E1B5"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Root and tuber vegetables</w:t>
            </w:r>
          </w:p>
        </w:tc>
        <w:tc>
          <w:tcPr>
            <w:tcW w:w="691" w:type="pct"/>
            <w:noWrap/>
            <w:vAlign w:val="center"/>
            <w:hideMark/>
          </w:tcPr>
          <w:p w14:paraId="687BFA5D"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460</w:t>
            </w:r>
          </w:p>
        </w:tc>
        <w:tc>
          <w:tcPr>
            <w:tcW w:w="691" w:type="pct"/>
            <w:noWrap/>
            <w:vAlign w:val="center"/>
            <w:hideMark/>
          </w:tcPr>
          <w:p w14:paraId="7740A536"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96%</w:t>
            </w:r>
          </w:p>
        </w:tc>
        <w:tc>
          <w:tcPr>
            <w:tcW w:w="692" w:type="pct"/>
            <w:noWrap/>
            <w:vAlign w:val="bottom"/>
            <w:hideMark/>
          </w:tcPr>
          <w:p w14:paraId="060F0A3F" w14:textId="4FA83D91"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64</w:t>
            </w:r>
          </w:p>
        </w:tc>
        <w:tc>
          <w:tcPr>
            <w:tcW w:w="691" w:type="pct"/>
            <w:noWrap/>
            <w:vAlign w:val="bottom"/>
            <w:hideMark/>
          </w:tcPr>
          <w:p w14:paraId="0A08CF82" w14:textId="5F66D8FB"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164</w:t>
            </w:r>
          </w:p>
        </w:tc>
        <w:tc>
          <w:tcPr>
            <w:tcW w:w="692" w:type="pct"/>
            <w:noWrap/>
            <w:vAlign w:val="bottom"/>
            <w:hideMark/>
          </w:tcPr>
          <w:p w14:paraId="0F0D5FAF" w14:textId="798EF077"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66</w:t>
            </w:r>
          </w:p>
        </w:tc>
      </w:tr>
      <w:tr w:rsidR="00771F11" w:rsidRPr="00C4660B" w14:paraId="61ACDA16"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1F346CF2"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5056FC27" w14:textId="63D93789"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Stalk and stem vegetables</w:t>
            </w:r>
          </w:p>
        </w:tc>
        <w:tc>
          <w:tcPr>
            <w:tcW w:w="691" w:type="pct"/>
            <w:noWrap/>
            <w:vAlign w:val="center"/>
            <w:hideMark/>
          </w:tcPr>
          <w:p w14:paraId="34144EA4"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207</w:t>
            </w:r>
          </w:p>
        </w:tc>
        <w:tc>
          <w:tcPr>
            <w:tcW w:w="691" w:type="pct"/>
            <w:noWrap/>
            <w:vAlign w:val="center"/>
            <w:hideMark/>
          </w:tcPr>
          <w:p w14:paraId="0A19C7B1"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43%</w:t>
            </w:r>
          </w:p>
        </w:tc>
        <w:tc>
          <w:tcPr>
            <w:tcW w:w="692" w:type="pct"/>
            <w:noWrap/>
            <w:vAlign w:val="bottom"/>
            <w:hideMark/>
          </w:tcPr>
          <w:p w14:paraId="1A0E8A2D" w14:textId="11C68029"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c>
          <w:tcPr>
            <w:tcW w:w="691" w:type="pct"/>
            <w:noWrap/>
            <w:vAlign w:val="bottom"/>
            <w:hideMark/>
          </w:tcPr>
          <w:p w14:paraId="3AD78EA7" w14:textId="3EE2403C"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w:t>
            </w:r>
          </w:p>
        </w:tc>
        <w:tc>
          <w:tcPr>
            <w:tcW w:w="692" w:type="pct"/>
            <w:noWrap/>
            <w:vAlign w:val="bottom"/>
            <w:hideMark/>
          </w:tcPr>
          <w:p w14:paraId="7A88803F" w14:textId="592796C8"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w:t>
            </w:r>
          </w:p>
        </w:tc>
      </w:tr>
      <w:tr w:rsidR="00771F11" w:rsidRPr="00C4660B" w14:paraId="589D905A"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51CE147F" w14:textId="77777777" w:rsidR="00771F11" w:rsidRPr="00C4660B"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5DA1E683" w14:textId="4E1D36D9"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Spices</w:t>
            </w:r>
          </w:p>
        </w:tc>
        <w:tc>
          <w:tcPr>
            <w:tcW w:w="691" w:type="pct"/>
            <w:noWrap/>
            <w:vAlign w:val="center"/>
            <w:hideMark/>
          </w:tcPr>
          <w:p w14:paraId="27150755"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437</w:t>
            </w:r>
          </w:p>
        </w:tc>
        <w:tc>
          <w:tcPr>
            <w:tcW w:w="691" w:type="pct"/>
            <w:noWrap/>
            <w:vAlign w:val="center"/>
            <w:hideMark/>
          </w:tcPr>
          <w:p w14:paraId="6CC71640"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91%</w:t>
            </w:r>
          </w:p>
        </w:tc>
        <w:tc>
          <w:tcPr>
            <w:tcW w:w="692" w:type="pct"/>
            <w:noWrap/>
            <w:vAlign w:val="bottom"/>
            <w:hideMark/>
          </w:tcPr>
          <w:p w14:paraId="2CAD954E" w14:textId="7B088EA6"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w:t>
            </w:r>
          </w:p>
        </w:tc>
        <w:tc>
          <w:tcPr>
            <w:tcW w:w="691" w:type="pct"/>
            <w:noWrap/>
            <w:vAlign w:val="bottom"/>
            <w:hideMark/>
          </w:tcPr>
          <w:p w14:paraId="1A459526" w14:textId="7068D0BC"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c>
          <w:tcPr>
            <w:tcW w:w="692" w:type="pct"/>
            <w:noWrap/>
            <w:vAlign w:val="bottom"/>
            <w:hideMark/>
          </w:tcPr>
          <w:p w14:paraId="7A77950A" w14:textId="66CF0AD2"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w:t>
            </w:r>
          </w:p>
        </w:tc>
      </w:tr>
      <w:tr w:rsidR="00771F11" w:rsidRPr="00C4660B" w14:paraId="4A48E67B"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11745277" w14:textId="7242EFBB" w:rsidR="00771F11" w:rsidRDefault="00771F11" w:rsidP="009A3DDD">
            <w:pPr>
              <w:spacing w:after="0" w:line="240" w:lineRule="auto"/>
              <w:contextualSpacing/>
              <w:rPr>
                <w:rFonts w:eastAsia="Times New Roman" w:cs="Arial"/>
                <w:b w:val="0"/>
                <w:color w:val="000000"/>
                <w:sz w:val="18"/>
                <w:szCs w:val="18"/>
                <w:lang w:eastAsia="en-GB"/>
              </w:rPr>
            </w:pPr>
          </w:p>
        </w:tc>
        <w:tc>
          <w:tcPr>
            <w:tcW w:w="876" w:type="pct"/>
            <w:noWrap/>
            <w:hideMark/>
          </w:tcPr>
          <w:p w14:paraId="72AAAA43" w14:textId="0D1D057F" w:rsidR="00771F11" w:rsidRPr="00115423" w:rsidRDefault="00771F11"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115423">
              <w:rPr>
                <w:rFonts w:eastAsia="Times New Roman" w:cs="Arial"/>
                <w:i/>
                <w:color w:val="000000"/>
                <w:sz w:val="18"/>
                <w:szCs w:val="18"/>
                <w:lang w:eastAsia="en-GB"/>
              </w:rPr>
              <w:t>Fruit (all)</w:t>
            </w:r>
          </w:p>
        </w:tc>
        <w:tc>
          <w:tcPr>
            <w:tcW w:w="691" w:type="pct"/>
            <w:noWrap/>
            <w:vAlign w:val="center"/>
            <w:hideMark/>
          </w:tcPr>
          <w:p w14:paraId="1852B4A5"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476</w:t>
            </w:r>
          </w:p>
        </w:tc>
        <w:tc>
          <w:tcPr>
            <w:tcW w:w="691" w:type="pct"/>
            <w:noWrap/>
            <w:vAlign w:val="center"/>
            <w:hideMark/>
          </w:tcPr>
          <w:p w14:paraId="37E8CB6C"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99%</w:t>
            </w:r>
          </w:p>
        </w:tc>
        <w:tc>
          <w:tcPr>
            <w:tcW w:w="692" w:type="pct"/>
            <w:noWrap/>
            <w:vAlign w:val="bottom"/>
            <w:hideMark/>
          </w:tcPr>
          <w:p w14:paraId="78D0D1E3" w14:textId="19DAB86F"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312</w:t>
            </w:r>
          </w:p>
        </w:tc>
        <w:tc>
          <w:tcPr>
            <w:tcW w:w="691" w:type="pct"/>
            <w:noWrap/>
            <w:vAlign w:val="bottom"/>
            <w:hideMark/>
          </w:tcPr>
          <w:p w14:paraId="7E10E1A1" w14:textId="5F87F1AF"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592</w:t>
            </w:r>
          </w:p>
        </w:tc>
        <w:tc>
          <w:tcPr>
            <w:tcW w:w="692" w:type="pct"/>
            <w:noWrap/>
            <w:vAlign w:val="bottom"/>
            <w:hideMark/>
          </w:tcPr>
          <w:p w14:paraId="68ACDA8B" w14:textId="759873D8"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314</w:t>
            </w:r>
          </w:p>
        </w:tc>
      </w:tr>
      <w:tr w:rsidR="00771F11" w:rsidRPr="00C4660B" w14:paraId="6B2A8227"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1CF9404F" w14:textId="5F19B3F1" w:rsidR="00771F11"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69BECA4F" w14:textId="05BBB50A"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Berries and other small fruits</w:t>
            </w:r>
          </w:p>
        </w:tc>
        <w:tc>
          <w:tcPr>
            <w:tcW w:w="691" w:type="pct"/>
            <w:noWrap/>
            <w:vAlign w:val="center"/>
            <w:hideMark/>
          </w:tcPr>
          <w:p w14:paraId="5764196E"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375</w:t>
            </w:r>
          </w:p>
        </w:tc>
        <w:tc>
          <w:tcPr>
            <w:tcW w:w="691" w:type="pct"/>
            <w:noWrap/>
            <w:vAlign w:val="center"/>
            <w:hideMark/>
          </w:tcPr>
          <w:p w14:paraId="36307DE8"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78%</w:t>
            </w:r>
          </w:p>
        </w:tc>
        <w:tc>
          <w:tcPr>
            <w:tcW w:w="692" w:type="pct"/>
            <w:noWrap/>
            <w:vAlign w:val="bottom"/>
            <w:hideMark/>
          </w:tcPr>
          <w:p w14:paraId="7D5B0B2A" w14:textId="65F2806F"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30</w:t>
            </w:r>
          </w:p>
        </w:tc>
        <w:tc>
          <w:tcPr>
            <w:tcW w:w="691" w:type="pct"/>
            <w:noWrap/>
            <w:vAlign w:val="bottom"/>
            <w:hideMark/>
          </w:tcPr>
          <w:p w14:paraId="28C83AF4" w14:textId="6E13EF82"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108</w:t>
            </w:r>
          </w:p>
        </w:tc>
        <w:tc>
          <w:tcPr>
            <w:tcW w:w="692" w:type="pct"/>
            <w:noWrap/>
            <w:vAlign w:val="bottom"/>
            <w:hideMark/>
          </w:tcPr>
          <w:p w14:paraId="248A5D50" w14:textId="3A351286"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38</w:t>
            </w:r>
          </w:p>
        </w:tc>
      </w:tr>
      <w:tr w:rsidR="00771F11" w:rsidRPr="00C4660B" w14:paraId="1F5EACDE"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2263C0A3" w14:textId="398905DD" w:rsidR="00771F11"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58D005EE" w14:textId="4061DF2E"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Citrus fruits</w:t>
            </w:r>
          </w:p>
        </w:tc>
        <w:tc>
          <w:tcPr>
            <w:tcW w:w="691" w:type="pct"/>
            <w:noWrap/>
            <w:vAlign w:val="center"/>
            <w:hideMark/>
          </w:tcPr>
          <w:p w14:paraId="3F806DBA"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367</w:t>
            </w:r>
          </w:p>
        </w:tc>
        <w:tc>
          <w:tcPr>
            <w:tcW w:w="691" w:type="pct"/>
            <w:noWrap/>
            <w:vAlign w:val="center"/>
            <w:hideMark/>
          </w:tcPr>
          <w:p w14:paraId="3CFE527C"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77%</w:t>
            </w:r>
          </w:p>
        </w:tc>
        <w:tc>
          <w:tcPr>
            <w:tcW w:w="692" w:type="pct"/>
            <w:noWrap/>
            <w:vAlign w:val="bottom"/>
            <w:hideMark/>
          </w:tcPr>
          <w:p w14:paraId="03AF37B1" w14:textId="29B3B43D"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68</w:t>
            </w:r>
          </w:p>
        </w:tc>
        <w:tc>
          <w:tcPr>
            <w:tcW w:w="691" w:type="pct"/>
            <w:noWrap/>
            <w:vAlign w:val="bottom"/>
            <w:hideMark/>
          </w:tcPr>
          <w:p w14:paraId="73F83034" w14:textId="6AFF9413"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246</w:t>
            </w:r>
          </w:p>
        </w:tc>
        <w:tc>
          <w:tcPr>
            <w:tcW w:w="692" w:type="pct"/>
            <w:noWrap/>
            <w:vAlign w:val="bottom"/>
            <w:hideMark/>
          </w:tcPr>
          <w:p w14:paraId="135E2FDB" w14:textId="68CFA85D"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88</w:t>
            </w:r>
          </w:p>
        </w:tc>
      </w:tr>
      <w:tr w:rsidR="00771F11" w:rsidRPr="00C4660B" w14:paraId="162335C5" w14:textId="77777777" w:rsidTr="00D9776D">
        <w:trPr>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0ABEC92E" w14:textId="4BF96870" w:rsidR="00771F11"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0E1A7EFE" w14:textId="0EF0A11F" w:rsidR="00771F11" w:rsidRPr="00CA6B22" w:rsidRDefault="00771F11"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Pome fruits</w:t>
            </w:r>
          </w:p>
        </w:tc>
        <w:tc>
          <w:tcPr>
            <w:tcW w:w="691" w:type="pct"/>
            <w:noWrap/>
            <w:vAlign w:val="center"/>
            <w:hideMark/>
          </w:tcPr>
          <w:p w14:paraId="29868E8C"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427</w:t>
            </w:r>
          </w:p>
        </w:tc>
        <w:tc>
          <w:tcPr>
            <w:tcW w:w="691" w:type="pct"/>
            <w:noWrap/>
            <w:vAlign w:val="center"/>
            <w:hideMark/>
          </w:tcPr>
          <w:p w14:paraId="2A175426" w14:textId="77777777" w:rsidR="00771F11" w:rsidRPr="00C4660B"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89%</w:t>
            </w:r>
          </w:p>
        </w:tc>
        <w:tc>
          <w:tcPr>
            <w:tcW w:w="692" w:type="pct"/>
            <w:noWrap/>
            <w:vAlign w:val="bottom"/>
            <w:hideMark/>
          </w:tcPr>
          <w:p w14:paraId="5C03EDA0" w14:textId="63A86C2D"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152</w:t>
            </w:r>
          </w:p>
        </w:tc>
        <w:tc>
          <w:tcPr>
            <w:tcW w:w="691" w:type="pct"/>
            <w:noWrap/>
            <w:vAlign w:val="bottom"/>
            <w:hideMark/>
          </w:tcPr>
          <w:p w14:paraId="1DBFF954" w14:textId="0A107526"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361</w:t>
            </w:r>
          </w:p>
        </w:tc>
        <w:tc>
          <w:tcPr>
            <w:tcW w:w="692" w:type="pct"/>
            <w:noWrap/>
            <w:vAlign w:val="bottom"/>
            <w:hideMark/>
          </w:tcPr>
          <w:p w14:paraId="68CCDC10" w14:textId="02A6FA21" w:rsidR="00771F11" w:rsidRPr="00771F11" w:rsidRDefault="00771F11"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171</w:t>
            </w:r>
          </w:p>
        </w:tc>
      </w:tr>
      <w:tr w:rsidR="00771F11" w:rsidRPr="00C4660B" w14:paraId="2D0F7BBA" w14:textId="77777777" w:rsidTr="00D9776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 w:type="pct"/>
            <w:vMerge/>
          </w:tcPr>
          <w:p w14:paraId="051ACCC9" w14:textId="451F43FA" w:rsidR="00771F11" w:rsidRDefault="00771F11" w:rsidP="009A3DDD">
            <w:pPr>
              <w:spacing w:after="0" w:line="240" w:lineRule="auto"/>
              <w:contextualSpacing/>
              <w:jc w:val="right"/>
              <w:rPr>
                <w:rFonts w:eastAsia="Times New Roman" w:cs="Arial"/>
                <w:b w:val="0"/>
                <w:color w:val="000000"/>
                <w:sz w:val="18"/>
                <w:szCs w:val="18"/>
                <w:lang w:eastAsia="en-GB"/>
              </w:rPr>
            </w:pPr>
          </w:p>
        </w:tc>
        <w:tc>
          <w:tcPr>
            <w:tcW w:w="876" w:type="pct"/>
            <w:noWrap/>
            <w:hideMark/>
          </w:tcPr>
          <w:p w14:paraId="5FD285E1" w14:textId="7DED2D52" w:rsidR="00771F11" w:rsidRPr="00CA6B22" w:rsidRDefault="00771F11"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A6B22">
              <w:rPr>
                <w:rFonts w:eastAsia="Times New Roman" w:cs="Arial"/>
                <w:color w:val="000000"/>
                <w:sz w:val="18"/>
                <w:szCs w:val="18"/>
                <w:lang w:eastAsia="en-GB"/>
              </w:rPr>
              <w:t>Tropical fruit - edible peel</w:t>
            </w:r>
          </w:p>
        </w:tc>
        <w:tc>
          <w:tcPr>
            <w:tcW w:w="691" w:type="pct"/>
            <w:noWrap/>
            <w:vAlign w:val="center"/>
            <w:hideMark/>
          </w:tcPr>
          <w:p w14:paraId="2A66F53C"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176</w:t>
            </w:r>
          </w:p>
        </w:tc>
        <w:tc>
          <w:tcPr>
            <w:tcW w:w="691" w:type="pct"/>
            <w:noWrap/>
            <w:vAlign w:val="center"/>
            <w:hideMark/>
          </w:tcPr>
          <w:p w14:paraId="4ADAD93C" w14:textId="77777777" w:rsidR="00771F11" w:rsidRPr="00C4660B"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4660B">
              <w:rPr>
                <w:rFonts w:eastAsia="Times New Roman" w:cs="Arial"/>
                <w:color w:val="000000"/>
                <w:sz w:val="18"/>
                <w:szCs w:val="18"/>
                <w:lang w:eastAsia="en-GB"/>
              </w:rPr>
              <w:t>37%</w:t>
            </w:r>
          </w:p>
        </w:tc>
        <w:tc>
          <w:tcPr>
            <w:tcW w:w="692" w:type="pct"/>
            <w:noWrap/>
            <w:vAlign w:val="bottom"/>
            <w:hideMark/>
          </w:tcPr>
          <w:p w14:paraId="48CCB5DA" w14:textId="6DF48175"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c>
          <w:tcPr>
            <w:tcW w:w="691" w:type="pct"/>
            <w:noWrap/>
            <w:vAlign w:val="bottom"/>
            <w:hideMark/>
          </w:tcPr>
          <w:p w14:paraId="70694AFA" w14:textId="137D8FC0"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w:t>
            </w:r>
          </w:p>
        </w:tc>
        <w:tc>
          <w:tcPr>
            <w:tcW w:w="692" w:type="pct"/>
            <w:noWrap/>
            <w:vAlign w:val="bottom"/>
            <w:hideMark/>
          </w:tcPr>
          <w:p w14:paraId="126E5069" w14:textId="52925B40" w:rsidR="00771F11" w:rsidRPr="00771F11" w:rsidRDefault="00771F11"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r>
    </w:tbl>
    <w:p w14:paraId="35EA160C" w14:textId="555F5152" w:rsidR="008A4D2C" w:rsidRDefault="008A4D2C" w:rsidP="009A3DDD">
      <w:pPr>
        <w:pStyle w:val="FSCFootnote"/>
        <w:rPr>
          <w:lang w:eastAsia="en-AU"/>
        </w:rPr>
      </w:pPr>
      <w:r w:rsidRPr="008A4D2C">
        <w:rPr>
          <w:lang w:eastAsia="en-AU"/>
        </w:rPr>
        <w:t>NC – not consumed</w:t>
      </w:r>
      <w:r w:rsidR="00392B97">
        <w:rPr>
          <w:lang w:eastAsia="en-AU"/>
        </w:rPr>
        <w:t xml:space="preserve">, </w:t>
      </w:r>
      <w:r w:rsidRPr="008A4D2C">
        <w:rPr>
          <w:lang w:eastAsia="en-AU"/>
        </w:rPr>
        <w:t>- insufficient consumers to derive consumption amounts.</w:t>
      </w:r>
    </w:p>
    <w:p w14:paraId="44BFABD4" w14:textId="77777777" w:rsidR="00984802" w:rsidRDefault="00984802">
      <w:pPr>
        <w:rPr>
          <w:rFonts w:eastAsia="Times New Roman"/>
          <w:sz w:val="16"/>
          <w:lang w:eastAsia="en-AU"/>
        </w:rPr>
      </w:pPr>
      <w:r>
        <w:rPr>
          <w:lang w:eastAsia="en-AU"/>
        </w:rPr>
        <w:br w:type="page"/>
      </w:r>
    </w:p>
    <w:p w14:paraId="09F27679" w14:textId="4C6DE21F" w:rsidR="0056120C" w:rsidRDefault="00544A77" w:rsidP="0087026E">
      <w:pPr>
        <w:pStyle w:val="Heading1"/>
        <w:numPr>
          <w:ilvl w:val="0"/>
          <w:numId w:val="0"/>
        </w:numPr>
        <w:ind w:left="432" w:hanging="432"/>
      </w:pPr>
      <w:bookmarkStart w:id="193" w:name="_Ref473883223"/>
      <w:bookmarkStart w:id="194" w:name="_Toc474153277"/>
      <w:bookmarkStart w:id="195" w:name="_Toc474158957"/>
      <w:bookmarkStart w:id="196" w:name="_Toc474847913"/>
      <w:bookmarkStart w:id="197" w:name="_Toc475360623"/>
      <w:r w:rsidRPr="00984802">
        <w:lastRenderedPageBreak/>
        <w:t xml:space="preserve">Appendix </w:t>
      </w:r>
      <w:r w:rsidR="005F5B16">
        <w:t>3</w:t>
      </w:r>
      <w:r w:rsidR="000F2C21" w:rsidRPr="00984802">
        <w:t>: Amount of food at median PF</w:t>
      </w:r>
      <w:r w:rsidR="00D9154C">
        <w:t>O</w:t>
      </w:r>
      <w:r w:rsidR="00F97571">
        <w:t>S,</w:t>
      </w:r>
      <w:r w:rsidR="00D9154C">
        <w:t xml:space="preserve"> PFOA, </w:t>
      </w:r>
      <w:proofErr w:type="spellStart"/>
      <w:r w:rsidR="00D9154C">
        <w:t>PFHxS</w:t>
      </w:r>
      <w:proofErr w:type="spellEnd"/>
      <w:r w:rsidR="00CC3830">
        <w:t xml:space="preserve"> levels</w:t>
      </w:r>
      <w:r w:rsidR="000F2C21" w:rsidRPr="00984802">
        <w:t xml:space="preserve"> </w:t>
      </w:r>
      <w:r w:rsidR="00B47625" w:rsidRPr="00984802">
        <w:t>to reach TDI</w:t>
      </w:r>
      <w:bookmarkEnd w:id="193"/>
      <w:bookmarkEnd w:id="194"/>
      <w:bookmarkEnd w:id="195"/>
      <w:bookmarkEnd w:id="196"/>
      <w:bookmarkEnd w:id="197"/>
    </w:p>
    <w:p w14:paraId="7FE64AA9" w14:textId="2B4596C6" w:rsidR="0056120C" w:rsidRDefault="0056120C" w:rsidP="00984802">
      <w:pPr>
        <w:pStyle w:val="FSTableColumnRowheading"/>
      </w:pPr>
      <w:bookmarkStart w:id="198" w:name="_Toc474153722"/>
      <w:bookmarkStart w:id="199" w:name="_Toc474158914"/>
      <w:bookmarkStart w:id="200" w:name="_Toc474847874"/>
      <w:bookmarkStart w:id="201" w:name="_Toc474852114"/>
      <w:r w:rsidRPr="00F125A2">
        <w:t>Amount of food</w:t>
      </w:r>
      <w:r>
        <w:t>*</w:t>
      </w:r>
      <w:r w:rsidRPr="00F125A2">
        <w:t xml:space="preserve"> (grams</w:t>
      </w:r>
      <w:r w:rsidR="00AC5A9F">
        <w:t>/day</w:t>
      </w:r>
      <w:r w:rsidRPr="00F125A2">
        <w:t xml:space="preserve">) at median </w:t>
      </w:r>
      <w:proofErr w:type="spellStart"/>
      <w:r>
        <w:t>PFHxS</w:t>
      </w:r>
      <w:proofErr w:type="spellEnd"/>
      <w:r w:rsidRPr="00F125A2">
        <w:t xml:space="preserve"> concentration to reach the TDI for the population aged 2 years and above</w:t>
      </w:r>
      <w:bookmarkEnd w:id="198"/>
      <w:bookmarkEnd w:id="199"/>
      <w:bookmarkEnd w:id="200"/>
      <w:bookmarkEnd w:id="201"/>
    </w:p>
    <w:tbl>
      <w:tblPr>
        <w:tblStyle w:val="LightList-Accent11"/>
        <w:tblW w:w="5000" w:type="pct"/>
        <w:tblLayout w:type="fixed"/>
        <w:tblLook w:val="04A0" w:firstRow="1" w:lastRow="0" w:firstColumn="1" w:lastColumn="0" w:noHBand="0" w:noVBand="1"/>
      </w:tblPr>
      <w:tblGrid>
        <w:gridCol w:w="2093"/>
        <w:gridCol w:w="2693"/>
        <w:gridCol w:w="1490"/>
        <w:gridCol w:w="1905"/>
        <w:gridCol w:w="1837"/>
        <w:gridCol w:w="2030"/>
        <w:gridCol w:w="2170"/>
      </w:tblGrid>
      <w:tr w:rsidR="00A10267" w:rsidRPr="00497529" w14:paraId="38468944"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val="restart"/>
            <w:vAlign w:val="center"/>
          </w:tcPr>
          <w:p w14:paraId="0DA0B127" w14:textId="4ED644D4" w:rsidR="00A10267" w:rsidRPr="00497529" w:rsidRDefault="00A10267" w:rsidP="0092375E">
            <w:pPr>
              <w:spacing w:after="0" w:line="240" w:lineRule="auto"/>
              <w:contextualSpacing/>
              <w:rPr>
                <w:rFonts w:eastAsia="Times New Roman" w:cs="Arial"/>
                <w:color w:val="FFFFFF" w:themeColor="background1"/>
                <w:sz w:val="18"/>
                <w:szCs w:val="18"/>
                <w:lang w:eastAsia="en-GB"/>
              </w:rPr>
            </w:pPr>
            <w:r w:rsidRPr="003C03A1">
              <w:rPr>
                <w:rFonts w:eastAsia="Times New Roman" w:cs="Arial"/>
                <w:color w:val="FFFFFF" w:themeColor="background1"/>
                <w:sz w:val="18"/>
                <w:szCs w:val="18"/>
                <w:lang w:eastAsia="en-GB"/>
              </w:rPr>
              <w:t xml:space="preserve">Food </w:t>
            </w:r>
            <w:r w:rsidR="0092375E">
              <w:rPr>
                <w:rFonts w:eastAsia="Times New Roman" w:cs="Arial"/>
                <w:color w:val="FFFFFF" w:themeColor="background1"/>
                <w:sz w:val="18"/>
                <w:szCs w:val="18"/>
                <w:lang w:eastAsia="en-GB"/>
              </w:rPr>
              <w:t>category</w:t>
            </w:r>
          </w:p>
        </w:tc>
        <w:tc>
          <w:tcPr>
            <w:tcW w:w="947" w:type="pct"/>
            <w:vMerge w:val="restart"/>
            <w:vAlign w:val="center"/>
          </w:tcPr>
          <w:p w14:paraId="7AFF6317" w14:textId="23264137" w:rsidR="00A10267" w:rsidRPr="00497529" w:rsidRDefault="00A10267" w:rsidP="0092375E">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497529">
              <w:rPr>
                <w:rFonts w:eastAsia="Times New Roman" w:cs="Arial"/>
                <w:color w:val="FFFFFF" w:themeColor="background1"/>
                <w:sz w:val="18"/>
                <w:szCs w:val="18"/>
                <w:lang w:eastAsia="en-GB"/>
              </w:rPr>
              <w:t>Food classification</w:t>
            </w:r>
          </w:p>
        </w:tc>
        <w:tc>
          <w:tcPr>
            <w:tcW w:w="1840" w:type="pct"/>
            <w:gridSpan w:val="3"/>
            <w:vAlign w:val="center"/>
          </w:tcPr>
          <w:p w14:paraId="32897313" w14:textId="77777777" w:rsidR="00A10267" w:rsidRPr="00497529" w:rsidRDefault="00A10267" w:rsidP="0092375E">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497529">
              <w:rPr>
                <w:rFonts w:eastAsia="Times New Roman" w:cs="Arial"/>
                <w:color w:val="FFFFFF" w:themeColor="background1"/>
                <w:sz w:val="18"/>
                <w:szCs w:val="18"/>
                <w:lang w:eastAsia="en-GB"/>
              </w:rPr>
              <w:t xml:space="preserve">Amount of food that can be consumed before reaching </w:t>
            </w:r>
            <w:proofErr w:type="spellStart"/>
            <w:r w:rsidRPr="00497529">
              <w:rPr>
                <w:rFonts w:eastAsia="Times New Roman" w:cs="Arial"/>
                <w:color w:val="FFFFFF" w:themeColor="background1"/>
                <w:sz w:val="18"/>
                <w:szCs w:val="18"/>
                <w:lang w:eastAsia="en-GB"/>
              </w:rPr>
              <w:t>PFHxS</w:t>
            </w:r>
            <w:proofErr w:type="spellEnd"/>
            <w:r w:rsidRPr="00497529">
              <w:rPr>
                <w:rFonts w:eastAsia="Times New Roman" w:cs="Arial"/>
                <w:color w:val="FFFFFF" w:themeColor="background1"/>
                <w:sz w:val="18"/>
                <w:szCs w:val="18"/>
                <w:lang w:eastAsia="en-GB"/>
              </w:rPr>
              <w:t xml:space="preserve"> TDI</w:t>
            </w:r>
          </w:p>
        </w:tc>
        <w:tc>
          <w:tcPr>
            <w:tcW w:w="1477" w:type="pct"/>
            <w:gridSpan w:val="2"/>
            <w:vAlign w:val="center"/>
          </w:tcPr>
          <w:p w14:paraId="5E107432" w14:textId="77777777" w:rsidR="00A10267" w:rsidRPr="00497529" w:rsidRDefault="00A10267" w:rsidP="0092375E">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497529">
              <w:rPr>
                <w:rFonts w:eastAsia="Times New Roman" w:cs="Arial"/>
                <w:color w:val="FFFFFF" w:themeColor="background1"/>
                <w:sz w:val="18"/>
                <w:szCs w:val="18"/>
                <w:lang w:eastAsia="en-GB"/>
              </w:rPr>
              <w:t>Food consumption derived from 2011-12 NNPAS</w:t>
            </w:r>
          </w:p>
        </w:tc>
      </w:tr>
      <w:tr w:rsidR="00A10267" w:rsidRPr="0056120C" w14:paraId="7EBCE2B3" w14:textId="77777777" w:rsidTr="008702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57BF3310" w14:textId="17942F21" w:rsidR="00A10267" w:rsidRPr="0056120C" w:rsidRDefault="00A10267" w:rsidP="0087026E">
            <w:pPr>
              <w:spacing w:after="0" w:line="240" w:lineRule="auto"/>
              <w:contextualSpacing/>
              <w:jc w:val="center"/>
              <w:rPr>
                <w:rFonts w:eastAsia="Times New Roman" w:cs="Arial"/>
                <w:color w:val="000000"/>
                <w:sz w:val="18"/>
                <w:szCs w:val="18"/>
                <w:lang w:eastAsia="en-GB"/>
              </w:rPr>
            </w:pPr>
          </w:p>
        </w:tc>
        <w:tc>
          <w:tcPr>
            <w:tcW w:w="947" w:type="pct"/>
            <w:vMerge/>
            <w:hideMark/>
          </w:tcPr>
          <w:p w14:paraId="560D68B4" w14:textId="670F79C4" w:rsidR="00A10267" w:rsidRPr="00A10267" w:rsidRDefault="00A10267"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524" w:type="pct"/>
          </w:tcPr>
          <w:p w14:paraId="5B769B14" w14:textId="77777777" w:rsidR="00A10267" w:rsidRPr="0056120C" w:rsidRDefault="00A10267"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Lower Bound</w:t>
            </w:r>
          </w:p>
        </w:tc>
        <w:tc>
          <w:tcPr>
            <w:tcW w:w="670" w:type="pct"/>
          </w:tcPr>
          <w:p w14:paraId="7028385D" w14:textId="77777777" w:rsidR="00A10267" w:rsidRPr="0056120C" w:rsidRDefault="00A10267"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Middle Bound</w:t>
            </w:r>
          </w:p>
        </w:tc>
        <w:tc>
          <w:tcPr>
            <w:tcW w:w="646" w:type="pct"/>
          </w:tcPr>
          <w:p w14:paraId="5207296A" w14:textId="77777777" w:rsidR="00A10267" w:rsidRPr="0056120C" w:rsidRDefault="00A10267"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Upper Bound</w:t>
            </w:r>
          </w:p>
        </w:tc>
        <w:tc>
          <w:tcPr>
            <w:tcW w:w="714" w:type="pct"/>
            <w:hideMark/>
          </w:tcPr>
          <w:p w14:paraId="77CCBB6B" w14:textId="77777777" w:rsidR="00A10267" w:rsidRPr="0056120C" w:rsidRDefault="00A10267"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P90 consumers only</w:t>
            </w:r>
          </w:p>
        </w:tc>
        <w:tc>
          <w:tcPr>
            <w:tcW w:w="763" w:type="pct"/>
            <w:hideMark/>
          </w:tcPr>
          <w:p w14:paraId="043EF801" w14:textId="77777777" w:rsidR="00A10267" w:rsidRPr="0056120C" w:rsidRDefault="00A10267"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Mean consumers only</w:t>
            </w:r>
          </w:p>
        </w:tc>
      </w:tr>
      <w:tr w:rsidR="00771F11" w:rsidRPr="00152AF1" w14:paraId="2E32EA9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val="restart"/>
          </w:tcPr>
          <w:p w14:paraId="39E7B067" w14:textId="2AE0B2FF" w:rsidR="00771F11" w:rsidRPr="00152AF1" w:rsidRDefault="00771F11" w:rsidP="0087026E">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Fish and seafood</w:t>
            </w:r>
          </w:p>
        </w:tc>
        <w:tc>
          <w:tcPr>
            <w:tcW w:w="947" w:type="pct"/>
            <w:noWrap/>
            <w:hideMark/>
          </w:tcPr>
          <w:p w14:paraId="2F51F0E7" w14:textId="3CEBB767" w:rsidR="00771F11" w:rsidRPr="00BE0355" w:rsidRDefault="00771F11" w:rsidP="008702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Crustaceans of all species</w:t>
            </w:r>
          </w:p>
        </w:tc>
        <w:tc>
          <w:tcPr>
            <w:tcW w:w="524" w:type="pct"/>
            <w:noWrap/>
            <w:vAlign w:val="center"/>
          </w:tcPr>
          <w:p w14:paraId="75939BC4"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718</w:t>
            </w:r>
          </w:p>
        </w:tc>
        <w:tc>
          <w:tcPr>
            <w:tcW w:w="670" w:type="pct"/>
            <w:noWrap/>
            <w:vAlign w:val="center"/>
          </w:tcPr>
          <w:p w14:paraId="3ACBA3D7"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718</w:t>
            </w:r>
          </w:p>
        </w:tc>
        <w:tc>
          <w:tcPr>
            <w:tcW w:w="646" w:type="pct"/>
            <w:noWrap/>
            <w:vAlign w:val="center"/>
          </w:tcPr>
          <w:p w14:paraId="31594FB0"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718</w:t>
            </w:r>
          </w:p>
        </w:tc>
        <w:tc>
          <w:tcPr>
            <w:tcW w:w="714" w:type="pct"/>
            <w:noWrap/>
            <w:vAlign w:val="bottom"/>
            <w:hideMark/>
          </w:tcPr>
          <w:p w14:paraId="4A52F1F2" w14:textId="204784F4"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63</w:t>
            </w:r>
          </w:p>
        </w:tc>
        <w:tc>
          <w:tcPr>
            <w:tcW w:w="763" w:type="pct"/>
            <w:noWrap/>
            <w:vAlign w:val="bottom"/>
            <w:hideMark/>
          </w:tcPr>
          <w:p w14:paraId="6B18B70A" w14:textId="6E6174C8"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21</w:t>
            </w:r>
          </w:p>
        </w:tc>
      </w:tr>
      <w:tr w:rsidR="00771F11" w:rsidRPr="00152AF1" w14:paraId="703D36A5"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234325E0" w14:textId="77777777" w:rsidR="00771F11" w:rsidRPr="00152AF1" w:rsidRDefault="00771F11" w:rsidP="0087026E">
            <w:pPr>
              <w:spacing w:after="0" w:line="240" w:lineRule="auto"/>
              <w:contextualSpacing/>
              <w:rPr>
                <w:rFonts w:cs="Arial"/>
                <w:b w:val="0"/>
                <w:color w:val="000000"/>
                <w:sz w:val="18"/>
                <w:szCs w:val="18"/>
              </w:rPr>
            </w:pPr>
          </w:p>
        </w:tc>
        <w:tc>
          <w:tcPr>
            <w:tcW w:w="947" w:type="pct"/>
            <w:noWrap/>
            <w:hideMark/>
          </w:tcPr>
          <w:p w14:paraId="725DF17A" w14:textId="796E9B27" w:rsidR="00771F11" w:rsidRPr="00BE0355" w:rsidRDefault="00771F11" w:rsidP="008702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BE0355">
              <w:rPr>
                <w:rFonts w:cs="Arial"/>
                <w:i/>
                <w:color w:val="000000"/>
                <w:sz w:val="18"/>
                <w:szCs w:val="18"/>
              </w:rPr>
              <w:t>Finfish (all)</w:t>
            </w:r>
          </w:p>
        </w:tc>
        <w:tc>
          <w:tcPr>
            <w:tcW w:w="524" w:type="pct"/>
            <w:noWrap/>
            <w:vAlign w:val="center"/>
          </w:tcPr>
          <w:p w14:paraId="1905BAA0"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0BD555C8"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2800</w:t>
            </w:r>
          </w:p>
        </w:tc>
        <w:tc>
          <w:tcPr>
            <w:tcW w:w="646" w:type="pct"/>
            <w:noWrap/>
            <w:vAlign w:val="center"/>
          </w:tcPr>
          <w:p w14:paraId="1248A257"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1400</w:t>
            </w:r>
          </w:p>
        </w:tc>
        <w:tc>
          <w:tcPr>
            <w:tcW w:w="714" w:type="pct"/>
            <w:noWrap/>
            <w:vAlign w:val="bottom"/>
            <w:hideMark/>
          </w:tcPr>
          <w:p w14:paraId="07889E6E" w14:textId="01329329"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123</w:t>
            </w:r>
          </w:p>
        </w:tc>
        <w:tc>
          <w:tcPr>
            <w:tcW w:w="763" w:type="pct"/>
            <w:noWrap/>
            <w:vAlign w:val="bottom"/>
            <w:hideMark/>
          </w:tcPr>
          <w:p w14:paraId="1F3285A1" w14:textId="2F4EA78F"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45</w:t>
            </w:r>
          </w:p>
        </w:tc>
      </w:tr>
      <w:tr w:rsidR="00771F11" w:rsidRPr="00152AF1" w14:paraId="30F0AFE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711A2914" w14:textId="77777777"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77664AE1" w14:textId="10DC5E4B"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10267">
              <w:rPr>
                <w:rFonts w:eastAsia="Times New Roman" w:cs="Arial"/>
                <w:color w:val="000000"/>
                <w:sz w:val="18"/>
                <w:szCs w:val="18"/>
                <w:lang w:eastAsia="en-GB"/>
              </w:rPr>
              <w:t>Diadromous</w:t>
            </w:r>
            <w:proofErr w:type="spellEnd"/>
            <w:r w:rsidRPr="00A10267">
              <w:rPr>
                <w:rFonts w:eastAsia="Times New Roman" w:cs="Arial"/>
                <w:color w:val="000000"/>
                <w:sz w:val="18"/>
                <w:szCs w:val="18"/>
                <w:lang w:eastAsia="en-GB"/>
              </w:rPr>
              <w:t xml:space="preserve"> fish</w:t>
            </w:r>
          </w:p>
        </w:tc>
        <w:tc>
          <w:tcPr>
            <w:tcW w:w="524" w:type="pct"/>
            <w:noWrap/>
            <w:vAlign w:val="center"/>
          </w:tcPr>
          <w:p w14:paraId="2A538C01"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622EDC5A"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2800</w:t>
            </w:r>
          </w:p>
        </w:tc>
        <w:tc>
          <w:tcPr>
            <w:tcW w:w="646" w:type="pct"/>
            <w:noWrap/>
            <w:vAlign w:val="center"/>
          </w:tcPr>
          <w:p w14:paraId="3AC8484E"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1400</w:t>
            </w:r>
          </w:p>
        </w:tc>
        <w:tc>
          <w:tcPr>
            <w:tcW w:w="714" w:type="pct"/>
            <w:noWrap/>
            <w:vAlign w:val="bottom"/>
            <w:hideMark/>
          </w:tcPr>
          <w:p w14:paraId="308AA97C" w14:textId="5B78B986"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119</w:t>
            </w:r>
          </w:p>
        </w:tc>
        <w:tc>
          <w:tcPr>
            <w:tcW w:w="763" w:type="pct"/>
            <w:noWrap/>
            <w:vAlign w:val="bottom"/>
            <w:hideMark/>
          </w:tcPr>
          <w:p w14:paraId="5294C905" w14:textId="55CBD454"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50</w:t>
            </w:r>
          </w:p>
        </w:tc>
      </w:tr>
      <w:tr w:rsidR="00771F11" w:rsidRPr="00152AF1" w14:paraId="4AB86580"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4799D207" w14:textId="77777777"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1C9886F6" w14:textId="7BF6D6C2"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Freshwater fish</w:t>
            </w:r>
          </w:p>
        </w:tc>
        <w:tc>
          <w:tcPr>
            <w:tcW w:w="524" w:type="pct"/>
            <w:noWrap/>
            <w:vAlign w:val="center"/>
          </w:tcPr>
          <w:p w14:paraId="227E49A2"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61DBA384"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2800</w:t>
            </w:r>
          </w:p>
        </w:tc>
        <w:tc>
          <w:tcPr>
            <w:tcW w:w="646" w:type="pct"/>
            <w:noWrap/>
            <w:vAlign w:val="center"/>
          </w:tcPr>
          <w:p w14:paraId="421CECB9"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1400</w:t>
            </w:r>
          </w:p>
        </w:tc>
        <w:tc>
          <w:tcPr>
            <w:tcW w:w="714" w:type="pct"/>
            <w:noWrap/>
            <w:vAlign w:val="bottom"/>
            <w:hideMark/>
          </w:tcPr>
          <w:p w14:paraId="6AB25304" w14:textId="3FAACB8A"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143</w:t>
            </w:r>
          </w:p>
        </w:tc>
        <w:tc>
          <w:tcPr>
            <w:tcW w:w="763" w:type="pct"/>
            <w:noWrap/>
            <w:vAlign w:val="bottom"/>
            <w:hideMark/>
          </w:tcPr>
          <w:p w14:paraId="5627AA2D" w14:textId="7A908E0E"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56</w:t>
            </w:r>
          </w:p>
        </w:tc>
      </w:tr>
      <w:tr w:rsidR="00771F11" w:rsidRPr="00152AF1" w14:paraId="6D2362B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2488C27F" w14:textId="77777777"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1F1AC195" w14:textId="32132BEC"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Marine fish of all species</w:t>
            </w:r>
          </w:p>
        </w:tc>
        <w:tc>
          <w:tcPr>
            <w:tcW w:w="524" w:type="pct"/>
            <w:noWrap/>
            <w:vAlign w:val="center"/>
          </w:tcPr>
          <w:p w14:paraId="6081420D"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59CFCD27"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5600</w:t>
            </w:r>
          </w:p>
        </w:tc>
        <w:tc>
          <w:tcPr>
            <w:tcW w:w="646" w:type="pct"/>
            <w:noWrap/>
            <w:vAlign w:val="center"/>
          </w:tcPr>
          <w:p w14:paraId="13FE489B"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2800</w:t>
            </w:r>
          </w:p>
        </w:tc>
        <w:tc>
          <w:tcPr>
            <w:tcW w:w="714" w:type="pct"/>
            <w:noWrap/>
            <w:vAlign w:val="bottom"/>
            <w:hideMark/>
          </w:tcPr>
          <w:p w14:paraId="1D342A51" w14:textId="152C29C9"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76</w:t>
            </w:r>
          </w:p>
        </w:tc>
        <w:tc>
          <w:tcPr>
            <w:tcW w:w="763" w:type="pct"/>
            <w:noWrap/>
            <w:vAlign w:val="bottom"/>
            <w:hideMark/>
          </w:tcPr>
          <w:p w14:paraId="75482E41" w14:textId="27C81DEB"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22</w:t>
            </w:r>
          </w:p>
        </w:tc>
      </w:tr>
      <w:tr w:rsidR="00771F11" w:rsidRPr="00152AF1" w14:paraId="0BC16305"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2A530BF1" w14:textId="6F84D591"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tcPr>
          <w:p w14:paraId="4EFDD4D2" w14:textId="3C17B053" w:rsidR="00771F11" w:rsidRPr="00BE0355" w:rsidRDefault="00771F11" w:rsidP="008702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Molluscs</w:t>
            </w:r>
          </w:p>
        </w:tc>
        <w:tc>
          <w:tcPr>
            <w:tcW w:w="524" w:type="pct"/>
            <w:noWrap/>
            <w:vAlign w:val="center"/>
          </w:tcPr>
          <w:p w14:paraId="7ADA65EF"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27858660" w14:textId="73D421F0"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52AF1">
              <w:rPr>
                <w:rFonts w:cs="Arial"/>
                <w:color w:val="000000"/>
                <w:sz w:val="18"/>
                <w:szCs w:val="18"/>
              </w:rPr>
              <w:t>5600</w:t>
            </w:r>
          </w:p>
        </w:tc>
        <w:tc>
          <w:tcPr>
            <w:tcW w:w="646" w:type="pct"/>
            <w:noWrap/>
            <w:vAlign w:val="center"/>
          </w:tcPr>
          <w:p w14:paraId="4880D0CA" w14:textId="2C26E076"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52AF1">
              <w:rPr>
                <w:rFonts w:cs="Arial"/>
                <w:color w:val="000000"/>
                <w:sz w:val="18"/>
                <w:szCs w:val="18"/>
              </w:rPr>
              <w:t>2800</w:t>
            </w:r>
          </w:p>
        </w:tc>
        <w:tc>
          <w:tcPr>
            <w:tcW w:w="714" w:type="pct"/>
            <w:noWrap/>
            <w:vAlign w:val="bottom"/>
          </w:tcPr>
          <w:p w14:paraId="10D6ACE7" w14:textId="3A737CF9"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30</w:t>
            </w:r>
          </w:p>
        </w:tc>
        <w:tc>
          <w:tcPr>
            <w:tcW w:w="763" w:type="pct"/>
            <w:noWrap/>
            <w:vAlign w:val="bottom"/>
          </w:tcPr>
          <w:p w14:paraId="16B3D364" w14:textId="163C5C06"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9</w:t>
            </w:r>
          </w:p>
        </w:tc>
      </w:tr>
      <w:tr w:rsidR="00771F11" w:rsidRPr="00152AF1" w14:paraId="63AF99A5"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val="restart"/>
          </w:tcPr>
          <w:p w14:paraId="14FFD471" w14:textId="77777777" w:rsidR="00771F11" w:rsidRPr="00BE0355" w:rsidRDefault="00771F11" w:rsidP="0087026E">
            <w:pPr>
              <w:spacing w:after="0" w:line="240" w:lineRule="auto"/>
              <w:contextualSpacing/>
              <w:rPr>
                <w:rFonts w:eastAsia="Times New Roman" w:cs="Arial"/>
                <w:b w:val="0"/>
                <w:bCs w:val="0"/>
                <w:color w:val="000000"/>
                <w:sz w:val="18"/>
                <w:szCs w:val="18"/>
                <w:lang w:eastAsia="en-GB"/>
              </w:rPr>
            </w:pPr>
            <w:r w:rsidRPr="00BE0355">
              <w:rPr>
                <w:rFonts w:eastAsia="Times New Roman" w:cs="Arial"/>
                <w:bCs w:val="0"/>
                <w:color w:val="000000"/>
                <w:sz w:val="18"/>
                <w:szCs w:val="18"/>
                <w:lang w:eastAsia="en-GB"/>
              </w:rPr>
              <w:t>Animal products</w:t>
            </w:r>
          </w:p>
          <w:p w14:paraId="42002D0E" w14:textId="4DE9B715" w:rsidR="00771F11" w:rsidRPr="00BE0355" w:rsidRDefault="00771F11" w:rsidP="0087026E">
            <w:pPr>
              <w:spacing w:after="0" w:line="240" w:lineRule="auto"/>
              <w:contextualSpacing/>
              <w:rPr>
                <w:rFonts w:eastAsia="Times New Roman" w:cs="Arial"/>
                <w:color w:val="000000"/>
                <w:sz w:val="18"/>
                <w:szCs w:val="18"/>
                <w:lang w:eastAsia="en-GB"/>
              </w:rPr>
            </w:pPr>
          </w:p>
        </w:tc>
        <w:tc>
          <w:tcPr>
            <w:tcW w:w="947" w:type="pct"/>
            <w:noWrap/>
            <w:hideMark/>
          </w:tcPr>
          <w:p w14:paraId="5C5FF187" w14:textId="1FC7B8BE" w:rsidR="00771F11" w:rsidRPr="00BE0355" w:rsidRDefault="00771F11" w:rsidP="008702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Meat mammalian (all)</w:t>
            </w:r>
          </w:p>
        </w:tc>
        <w:tc>
          <w:tcPr>
            <w:tcW w:w="524" w:type="pct"/>
            <w:noWrap/>
            <w:vAlign w:val="center"/>
          </w:tcPr>
          <w:p w14:paraId="67C1A58D" w14:textId="4B81DCA6" w:rsidR="00771F11" w:rsidRPr="00152AF1" w:rsidRDefault="003E3A5F"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494</w:t>
            </w:r>
          </w:p>
        </w:tc>
        <w:tc>
          <w:tcPr>
            <w:tcW w:w="670" w:type="pct"/>
            <w:noWrap/>
            <w:vAlign w:val="center"/>
          </w:tcPr>
          <w:p w14:paraId="0AF90671" w14:textId="6093FBF2" w:rsidR="00771F11" w:rsidRPr="00152AF1" w:rsidRDefault="003E3A5F"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494</w:t>
            </w:r>
          </w:p>
        </w:tc>
        <w:tc>
          <w:tcPr>
            <w:tcW w:w="646" w:type="pct"/>
            <w:noWrap/>
            <w:vAlign w:val="center"/>
          </w:tcPr>
          <w:p w14:paraId="0E78C5F7" w14:textId="0B4ABF72" w:rsidR="00771F11" w:rsidRPr="00152AF1" w:rsidRDefault="003E3A5F"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494</w:t>
            </w:r>
          </w:p>
        </w:tc>
        <w:tc>
          <w:tcPr>
            <w:tcW w:w="714" w:type="pct"/>
            <w:noWrap/>
            <w:vAlign w:val="bottom"/>
            <w:hideMark/>
          </w:tcPr>
          <w:p w14:paraId="4A4F4EF3" w14:textId="1C1FDB16"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221</w:t>
            </w:r>
          </w:p>
        </w:tc>
        <w:tc>
          <w:tcPr>
            <w:tcW w:w="763" w:type="pct"/>
            <w:noWrap/>
            <w:vAlign w:val="bottom"/>
            <w:hideMark/>
          </w:tcPr>
          <w:p w14:paraId="5F949F49" w14:textId="5104060A"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106</w:t>
            </w:r>
          </w:p>
        </w:tc>
      </w:tr>
      <w:tr w:rsidR="00771F11" w:rsidRPr="00152AF1" w14:paraId="3400F158"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2E29A27E" w14:textId="4ED72755"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hideMark/>
          </w:tcPr>
          <w:p w14:paraId="62A63EE2" w14:textId="6E076E91"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Cattle meat</w:t>
            </w:r>
          </w:p>
        </w:tc>
        <w:tc>
          <w:tcPr>
            <w:tcW w:w="524" w:type="pct"/>
            <w:noWrap/>
            <w:vAlign w:val="center"/>
          </w:tcPr>
          <w:p w14:paraId="1EC74C2E" w14:textId="7E7073FE" w:rsidR="00771F11" w:rsidRPr="00152AF1" w:rsidRDefault="003E3A5F"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154</w:t>
            </w:r>
          </w:p>
        </w:tc>
        <w:tc>
          <w:tcPr>
            <w:tcW w:w="670" w:type="pct"/>
            <w:noWrap/>
            <w:vAlign w:val="center"/>
          </w:tcPr>
          <w:p w14:paraId="5EC23FA6" w14:textId="74F6EA08" w:rsidR="00771F11" w:rsidRPr="00152AF1" w:rsidRDefault="003E3A5F"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154</w:t>
            </w:r>
          </w:p>
        </w:tc>
        <w:tc>
          <w:tcPr>
            <w:tcW w:w="646" w:type="pct"/>
            <w:noWrap/>
            <w:vAlign w:val="center"/>
          </w:tcPr>
          <w:p w14:paraId="5D10B352" w14:textId="417F1D32" w:rsidR="00771F11" w:rsidRPr="00152AF1" w:rsidRDefault="003E3A5F"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154</w:t>
            </w:r>
          </w:p>
        </w:tc>
        <w:tc>
          <w:tcPr>
            <w:tcW w:w="714" w:type="pct"/>
            <w:noWrap/>
            <w:vAlign w:val="bottom"/>
            <w:hideMark/>
          </w:tcPr>
          <w:p w14:paraId="64BC3FD5" w14:textId="1D7891C6"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163</w:t>
            </w:r>
          </w:p>
        </w:tc>
        <w:tc>
          <w:tcPr>
            <w:tcW w:w="763" w:type="pct"/>
            <w:noWrap/>
            <w:vAlign w:val="bottom"/>
            <w:hideMark/>
          </w:tcPr>
          <w:p w14:paraId="24E9AF90" w14:textId="18AB0AF5"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71</w:t>
            </w:r>
          </w:p>
        </w:tc>
      </w:tr>
      <w:tr w:rsidR="00771F11" w:rsidRPr="00152AF1" w14:paraId="61F4C7D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45D306BF" w14:textId="5B5B5C77"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hideMark/>
          </w:tcPr>
          <w:p w14:paraId="23378221" w14:textId="19AABAF5"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Rabbit meat</w:t>
            </w:r>
          </w:p>
        </w:tc>
        <w:tc>
          <w:tcPr>
            <w:tcW w:w="524" w:type="pct"/>
            <w:noWrap/>
            <w:vAlign w:val="center"/>
          </w:tcPr>
          <w:p w14:paraId="2387F891"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316</w:t>
            </w:r>
          </w:p>
        </w:tc>
        <w:tc>
          <w:tcPr>
            <w:tcW w:w="670" w:type="pct"/>
            <w:noWrap/>
            <w:vAlign w:val="center"/>
          </w:tcPr>
          <w:p w14:paraId="32579E94"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316</w:t>
            </w:r>
          </w:p>
        </w:tc>
        <w:tc>
          <w:tcPr>
            <w:tcW w:w="646" w:type="pct"/>
            <w:noWrap/>
            <w:vAlign w:val="center"/>
          </w:tcPr>
          <w:p w14:paraId="666B6DAD"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316</w:t>
            </w:r>
          </w:p>
        </w:tc>
        <w:tc>
          <w:tcPr>
            <w:tcW w:w="714" w:type="pct"/>
            <w:noWrap/>
            <w:vAlign w:val="bottom"/>
            <w:hideMark/>
          </w:tcPr>
          <w:p w14:paraId="425B84DA" w14:textId="6DBD8DDE"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w:t>
            </w:r>
          </w:p>
        </w:tc>
        <w:tc>
          <w:tcPr>
            <w:tcW w:w="763" w:type="pct"/>
            <w:noWrap/>
            <w:vAlign w:val="bottom"/>
            <w:hideMark/>
          </w:tcPr>
          <w:p w14:paraId="4C047477" w14:textId="26C1A8CA"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364</w:t>
            </w:r>
          </w:p>
        </w:tc>
      </w:tr>
      <w:tr w:rsidR="00771F11" w:rsidRPr="00152AF1" w14:paraId="5FF8B97D"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661D2DAB" w14:textId="270762D9"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hideMark/>
          </w:tcPr>
          <w:p w14:paraId="06A2FE9D" w14:textId="29C42DC8"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meat</w:t>
            </w:r>
          </w:p>
        </w:tc>
        <w:tc>
          <w:tcPr>
            <w:tcW w:w="524" w:type="pct"/>
            <w:noWrap/>
            <w:vAlign w:val="center"/>
          </w:tcPr>
          <w:p w14:paraId="360E8468" w14:textId="2EF675FA" w:rsidR="00771F11" w:rsidRPr="00152AF1" w:rsidRDefault="003E3A5F"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4098</w:t>
            </w:r>
          </w:p>
        </w:tc>
        <w:tc>
          <w:tcPr>
            <w:tcW w:w="670" w:type="pct"/>
            <w:noWrap/>
            <w:vAlign w:val="center"/>
          </w:tcPr>
          <w:p w14:paraId="65FA6C89" w14:textId="643F9610" w:rsidR="00771F11" w:rsidRPr="00152AF1" w:rsidRDefault="003E3A5F"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2800</w:t>
            </w:r>
          </w:p>
        </w:tc>
        <w:tc>
          <w:tcPr>
            <w:tcW w:w="646" w:type="pct"/>
            <w:noWrap/>
            <w:vAlign w:val="center"/>
          </w:tcPr>
          <w:p w14:paraId="5322AD0B" w14:textId="3D97CB8A" w:rsidR="00771F11" w:rsidRPr="00152AF1" w:rsidRDefault="003E3A5F"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1400</w:t>
            </w:r>
          </w:p>
        </w:tc>
        <w:tc>
          <w:tcPr>
            <w:tcW w:w="714" w:type="pct"/>
            <w:noWrap/>
            <w:vAlign w:val="bottom"/>
            <w:hideMark/>
          </w:tcPr>
          <w:p w14:paraId="745560B3" w14:textId="1CBF864A"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85</w:t>
            </w:r>
          </w:p>
        </w:tc>
        <w:tc>
          <w:tcPr>
            <w:tcW w:w="763" w:type="pct"/>
            <w:noWrap/>
            <w:vAlign w:val="bottom"/>
            <w:hideMark/>
          </w:tcPr>
          <w:p w14:paraId="0A6BADD7" w14:textId="70DA871F"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22</w:t>
            </w:r>
          </w:p>
        </w:tc>
      </w:tr>
      <w:tr w:rsidR="00771F11" w:rsidRPr="00152AF1" w14:paraId="40725016"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123D5029" w14:textId="698885C4"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tcPr>
          <w:p w14:paraId="63F0ECF0" w14:textId="6D184E99" w:rsidR="00771F11" w:rsidRPr="00BE0355" w:rsidRDefault="00771F11" w:rsidP="008702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Milk (all)</w:t>
            </w:r>
          </w:p>
        </w:tc>
        <w:tc>
          <w:tcPr>
            <w:tcW w:w="524" w:type="pct"/>
            <w:noWrap/>
            <w:vAlign w:val="center"/>
          </w:tcPr>
          <w:p w14:paraId="2CBEAF0C"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2A4E1C81"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5437</w:t>
            </w:r>
          </w:p>
        </w:tc>
        <w:tc>
          <w:tcPr>
            <w:tcW w:w="646" w:type="pct"/>
            <w:noWrap/>
            <w:vAlign w:val="center"/>
          </w:tcPr>
          <w:p w14:paraId="11A83CBC"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2718</w:t>
            </w:r>
          </w:p>
        </w:tc>
        <w:tc>
          <w:tcPr>
            <w:tcW w:w="714" w:type="pct"/>
            <w:noWrap/>
            <w:vAlign w:val="bottom"/>
          </w:tcPr>
          <w:p w14:paraId="7E2EB0CA" w14:textId="3630FA6A"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1295</w:t>
            </w:r>
          </w:p>
        </w:tc>
        <w:tc>
          <w:tcPr>
            <w:tcW w:w="763" w:type="pct"/>
            <w:noWrap/>
            <w:vAlign w:val="bottom"/>
          </w:tcPr>
          <w:p w14:paraId="604133EF" w14:textId="71313841"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693</w:t>
            </w:r>
          </w:p>
        </w:tc>
      </w:tr>
      <w:tr w:rsidR="00771F11" w:rsidRPr="00152AF1" w14:paraId="577A7FA9"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0C6426CE" w14:textId="77CE9171"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hideMark/>
          </w:tcPr>
          <w:p w14:paraId="7C7723EC" w14:textId="5553D6CC"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Cattle milk</w:t>
            </w:r>
          </w:p>
        </w:tc>
        <w:tc>
          <w:tcPr>
            <w:tcW w:w="524" w:type="pct"/>
            <w:noWrap/>
            <w:vAlign w:val="center"/>
          </w:tcPr>
          <w:p w14:paraId="01A9FCF7"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715A3651"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5437</w:t>
            </w:r>
          </w:p>
        </w:tc>
        <w:tc>
          <w:tcPr>
            <w:tcW w:w="646" w:type="pct"/>
            <w:noWrap/>
            <w:vAlign w:val="center"/>
          </w:tcPr>
          <w:p w14:paraId="2CE2B02C"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2718</w:t>
            </w:r>
          </w:p>
        </w:tc>
        <w:tc>
          <w:tcPr>
            <w:tcW w:w="714" w:type="pct"/>
            <w:noWrap/>
            <w:vAlign w:val="bottom"/>
            <w:hideMark/>
          </w:tcPr>
          <w:p w14:paraId="0F8D58D6" w14:textId="4F4BF22D"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1295</w:t>
            </w:r>
          </w:p>
        </w:tc>
        <w:tc>
          <w:tcPr>
            <w:tcW w:w="763" w:type="pct"/>
            <w:noWrap/>
            <w:vAlign w:val="bottom"/>
            <w:hideMark/>
          </w:tcPr>
          <w:p w14:paraId="3C95BCD8" w14:textId="3D970B64"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692</w:t>
            </w:r>
          </w:p>
        </w:tc>
      </w:tr>
      <w:tr w:rsidR="00771F11" w:rsidRPr="00152AF1" w14:paraId="768587A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747ADD88" w14:textId="60A6965D"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hideMark/>
          </w:tcPr>
          <w:p w14:paraId="11806464" w14:textId="41ABBCE8"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milk</w:t>
            </w:r>
          </w:p>
        </w:tc>
        <w:tc>
          <w:tcPr>
            <w:tcW w:w="524" w:type="pct"/>
            <w:noWrap/>
            <w:vAlign w:val="center"/>
          </w:tcPr>
          <w:p w14:paraId="05981CAF"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37911C93"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5437</w:t>
            </w:r>
          </w:p>
        </w:tc>
        <w:tc>
          <w:tcPr>
            <w:tcW w:w="646" w:type="pct"/>
            <w:noWrap/>
            <w:vAlign w:val="center"/>
          </w:tcPr>
          <w:p w14:paraId="5501F351"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2718</w:t>
            </w:r>
          </w:p>
        </w:tc>
        <w:tc>
          <w:tcPr>
            <w:tcW w:w="714" w:type="pct"/>
            <w:noWrap/>
            <w:vAlign w:val="bottom"/>
            <w:hideMark/>
          </w:tcPr>
          <w:p w14:paraId="46E041F1" w14:textId="2B3A3251"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31</w:t>
            </w:r>
          </w:p>
        </w:tc>
        <w:tc>
          <w:tcPr>
            <w:tcW w:w="763" w:type="pct"/>
            <w:noWrap/>
            <w:vAlign w:val="bottom"/>
            <w:hideMark/>
          </w:tcPr>
          <w:p w14:paraId="244E9A63" w14:textId="5EA7899F"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13</w:t>
            </w:r>
          </w:p>
        </w:tc>
      </w:tr>
      <w:tr w:rsidR="00771F11" w:rsidRPr="00152AF1" w14:paraId="32C9B19F"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0EB29505" w14:textId="3F763BFD"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hideMark/>
          </w:tcPr>
          <w:p w14:paraId="7BB1FAA4" w14:textId="64F46424" w:rsidR="00771F11" w:rsidRPr="00BE0355" w:rsidRDefault="00771F11" w:rsidP="008702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Miscellaneous foods (honey)</w:t>
            </w:r>
          </w:p>
        </w:tc>
        <w:tc>
          <w:tcPr>
            <w:tcW w:w="524" w:type="pct"/>
            <w:noWrap/>
            <w:vAlign w:val="center"/>
          </w:tcPr>
          <w:p w14:paraId="75E951D9"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12F5DDCF"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7D4AF7EE"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40166C55" w14:textId="26DC15AE"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14</w:t>
            </w:r>
          </w:p>
        </w:tc>
        <w:tc>
          <w:tcPr>
            <w:tcW w:w="763" w:type="pct"/>
            <w:noWrap/>
            <w:vAlign w:val="bottom"/>
            <w:hideMark/>
          </w:tcPr>
          <w:p w14:paraId="3746D0EC" w14:textId="67E52372"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r>
      <w:tr w:rsidR="00771F11" w:rsidRPr="00152AF1" w14:paraId="23D49E3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0DB53BD6" w14:textId="1D20D973" w:rsidR="00771F11" w:rsidRPr="00152AF1" w:rsidRDefault="00771F11" w:rsidP="0087026E">
            <w:pPr>
              <w:spacing w:after="0" w:line="240" w:lineRule="auto"/>
              <w:contextualSpacing/>
              <w:rPr>
                <w:rFonts w:eastAsia="Times New Roman" w:cs="Arial"/>
                <w:b w:val="0"/>
                <w:color w:val="000000"/>
                <w:sz w:val="18"/>
                <w:szCs w:val="18"/>
                <w:lang w:eastAsia="en-GB"/>
              </w:rPr>
            </w:pPr>
          </w:p>
        </w:tc>
        <w:tc>
          <w:tcPr>
            <w:tcW w:w="947" w:type="pct"/>
            <w:noWrap/>
            <w:hideMark/>
          </w:tcPr>
          <w:p w14:paraId="6C1D4D1B" w14:textId="1A7B77F2" w:rsidR="00771F11" w:rsidRPr="00BE0355" w:rsidRDefault="00771F11" w:rsidP="008702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Offal mammalian</w:t>
            </w:r>
          </w:p>
        </w:tc>
        <w:tc>
          <w:tcPr>
            <w:tcW w:w="524" w:type="pct"/>
            <w:noWrap/>
            <w:vAlign w:val="center"/>
          </w:tcPr>
          <w:p w14:paraId="3B240829"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7059D067"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1867</w:t>
            </w:r>
          </w:p>
        </w:tc>
        <w:tc>
          <w:tcPr>
            <w:tcW w:w="646" w:type="pct"/>
            <w:noWrap/>
            <w:vAlign w:val="center"/>
          </w:tcPr>
          <w:p w14:paraId="409CF282"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714" w:type="pct"/>
            <w:noWrap/>
            <w:vAlign w:val="bottom"/>
            <w:hideMark/>
          </w:tcPr>
          <w:p w14:paraId="60103F10" w14:textId="441B3BA9"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84</w:t>
            </w:r>
          </w:p>
        </w:tc>
        <w:tc>
          <w:tcPr>
            <w:tcW w:w="763" w:type="pct"/>
            <w:noWrap/>
            <w:vAlign w:val="bottom"/>
            <w:hideMark/>
          </w:tcPr>
          <w:p w14:paraId="6A5040D8" w14:textId="3BE8B797"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32</w:t>
            </w:r>
          </w:p>
        </w:tc>
      </w:tr>
      <w:tr w:rsidR="00771F11" w:rsidRPr="00152AF1" w14:paraId="294FD7B0"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634B6BAF" w14:textId="12AD946E" w:rsidR="00771F11" w:rsidRPr="003C03A1" w:rsidRDefault="00771F11" w:rsidP="0087026E">
            <w:pPr>
              <w:spacing w:after="0" w:line="240" w:lineRule="auto"/>
              <w:contextualSpacing/>
              <w:rPr>
                <w:rFonts w:eastAsia="Times New Roman" w:cs="Arial"/>
                <w:color w:val="000000"/>
                <w:sz w:val="18"/>
                <w:szCs w:val="18"/>
                <w:lang w:eastAsia="en-GB"/>
              </w:rPr>
            </w:pPr>
          </w:p>
        </w:tc>
        <w:tc>
          <w:tcPr>
            <w:tcW w:w="947" w:type="pct"/>
            <w:noWrap/>
          </w:tcPr>
          <w:p w14:paraId="5F6EF3E9" w14:textId="0F5A2D26" w:rsidR="00771F11" w:rsidRPr="0087026E" w:rsidRDefault="00771F11" w:rsidP="0087026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87026E">
              <w:rPr>
                <w:i/>
                <w:sz w:val="18"/>
                <w:szCs w:val="18"/>
              </w:rPr>
              <w:t xml:space="preserve">Poultry eggs </w:t>
            </w:r>
          </w:p>
        </w:tc>
        <w:tc>
          <w:tcPr>
            <w:tcW w:w="524" w:type="pct"/>
            <w:noWrap/>
          </w:tcPr>
          <w:p w14:paraId="3E901B98" w14:textId="1182CE05" w:rsidR="00771F11" w:rsidRPr="0087026E"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7026E">
              <w:rPr>
                <w:sz w:val="18"/>
                <w:szCs w:val="18"/>
              </w:rPr>
              <w:t>1647</w:t>
            </w:r>
          </w:p>
        </w:tc>
        <w:tc>
          <w:tcPr>
            <w:tcW w:w="670" w:type="pct"/>
            <w:noWrap/>
          </w:tcPr>
          <w:p w14:paraId="397F69EA" w14:textId="622646AB" w:rsidR="00771F11" w:rsidRPr="0087026E"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7026E">
              <w:rPr>
                <w:sz w:val="18"/>
                <w:szCs w:val="18"/>
              </w:rPr>
              <w:t>560</w:t>
            </w:r>
          </w:p>
        </w:tc>
        <w:tc>
          <w:tcPr>
            <w:tcW w:w="646" w:type="pct"/>
            <w:noWrap/>
          </w:tcPr>
          <w:p w14:paraId="680F0BB9" w14:textId="7171F871" w:rsidR="00771F11" w:rsidRPr="0087026E"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7026E">
              <w:rPr>
                <w:sz w:val="18"/>
                <w:szCs w:val="18"/>
              </w:rPr>
              <w:t>280</w:t>
            </w:r>
          </w:p>
        </w:tc>
        <w:tc>
          <w:tcPr>
            <w:tcW w:w="714" w:type="pct"/>
            <w:noWrap/>
            <w:vAlign w:val="bottom"/>
          </w:tcPr>
          <w:p w14:paraId="2441B09E" w14:textId="1BA08EDC"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59</w:t>
            </w:r>
          </w:p>
        </w:tc>
        <w:tc>
          <w:tcPr>
            <w:tcW w:w="763" w:type="pct"/>
            <w:noWrap/>
            <w:vAlign w:val="bottom"/>
          </w:tcPr>
          <w:p w14:paraId="07217345" w14:textId="6D487FBE"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23</w:t>
            </w:r>
          </w:p>
        </w:tc>
      </w:tr>
      <w:tr w:rsidR="00771F11" w:rsidRPr="00152AF1" w14:paraId="06FA37F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val="restart"/>
          </w:tcPr>
          <w:p w14:paraId="5C0C9C1F" w14:textId="77777777" w:rsidR="00771F11" w:rsidRPr="00152AF1" w:rsidRDefault="00771F11" w:rsidP="0087026E">
            <w:pPr>
              <w:spacing w:after="0"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Fruit and vegetables</w:t>
            </w:r>
          </w:p>
          <w:p w14:paraId="5A358EB4" w14:textId="50F92441"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tcPr>
          <w:p w14:paraId="2EC6BEEF" w14:textId="06F1C5D0" w:rsidR="00771F11" w:rsidRPr="00BE0355" w:rsidRDefault="00771F11" w:rsidP="008702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cs="Arial"/>
                <w:i/>
                <w:color w:val="000000"/>
                <w:sz w:val="18"/>
                <w:szCs w:val="18"/>
              </w:rPr>
              <w:t>Vegetables (all)</w:t>
            </w:r>
          </w:p>
        </w:tc>
        <w:tc>
          <w:tcPr>
            <w:tcW w:w="524" w:type="pct"/>
            <w:noWrap/>
            <w:vAlign w:val="center"/>
          </w:tcPr>
          <w:p w14:paraId="1997A294" w14:textId="043E80E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6944D3BE" w14:textId="6CE3C434"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6" w:type="pct"/>
            <w:noWrap/>
            <w:vAlign w:val="center"/>
          </w:tcPr>
          <w:p w14:paraId="107C00E9" w14:textId="78EAF81F"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714" w:type="pct"/>
            <w:noWrap/>
            <w:vAlign w:val="bottom"/>
          </w:tcPr>
          <w:p w14:paraId="003B98CE" w14:textId="33C5C619"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570</w:t>
            </w:r>
          </w:p>
        </w:tc>
        <w:tc>
          <w:tcPr>
            <w:tcW w:w="763" w:type="pct"/>
            <w:noWrap/>
            <w:vAlign w:val="bottom"/>
          </w:tcPr>
          <w:p w14:paraId="0961C61F" w14:textId="47669E20"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314</w:t>
            </w:r>
          </w:p>
        </w:tc>
      </w:tr>
      <w:tr w:rsidR="00771F11" w:rsidRPr="00152AF1" w14:paraId="69BDF39E"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14D82F2F" w14:textId="7583CAEB" w:rsidR="00771F11" w:rsidRPr="00152AF1" w:rsidRDefault="00771F11" w:rsidP="0087026E">
            <w:pPr>
              <w:spacing w:after="0" w:line="240" w:lineRule="auto"/>
              <w:contextualSpacing/>
              <w:jc w:val="right"/>
              <w:rPr>
                <w:rFonts w:cs="Arial"/>
                <w:b w:val="0"/>
                <w:color w:val="000000"/>
                <w:sz w:val="18"/>
                <w:szCs w:val="18"/>
              </w:rPr>
            </w:pPr>
          </w:p>
        </w:tc>
        <w:tc>
          <w:tcPr>
            <w:tcW w:w="947" w:type="pct"/>
            <w:noWrap/>
            <w:hideMark/>
          </w:tcPr>
          <w:p w14:paraId="48425A30" w14:textId="619B5A76" w:rsidR="00771F11" w:rsidRPr="00BE0355"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A10267">
              <w:rPr>
                <w:rFonts w:eastAsia="Times New Roman" w:cs="Arial"/>
                <w:color w:val="000000"/>
                <w:sz w:val="18"/>
                <w:szCs w:val="18"/>
                <w:lang w:eastAsia="en-GB"/>
              </w:rPr>
              <w:t>Cucurbits</w:t>
            </w:r>
          </w:p>
        </w:tc>
        <w:tc>
          <w:tcPr>
            <w:tcW w:w="524" w:type="pct"/>
            <w:noWrap/>
            <w:vAlign w:val="center"/>
          </w:tcPr>
          <w:p w14:paraId="348AAEFF"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47682B20" w14:textId="1FEA5D53"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2800</w:t>
            </w:r>
          </w:p>
        </w:tc>
        <w:tc>
          <w:tcPr>
            <w:tcW w:w="646" w:type="pct"/>
            <w:noWrap/>
            <w:vAlign w:val="center"/>
          </w:tcPr>
          <w:p w14:paraId="024B5733" w14:textId="7D0B07AC"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1400</w:t>
            </w:r>
          </w:p>
        </w:tc>
        <w:tc>
          <w:tcPr>
            <w:tcW w:w="714" w:type="pct"/>
            <w:noWrap/>
            <w:vAlign w:val="bottom"/>
            <w:hideMark/>
          </w:tcPr>
          <w:p w14:paraId="1F5CFA93" w14:textId="4431FAE9"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96</w:t>
            </w:r>
          </w:p>
        </w:tc>
        <w:tc>
          <w:tcPr>
            <w:tcW w:w="763" w:type="pct"/>
            <w:noWrap/>
            <w:vAlign w:val="bottom"/>
            <w:hideMark/>
          </w:tcPr>
          <w:p w14:paraId="4D0591FA" w14:textId="088F0E2A"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35</w:t>
            </w:r>
          </w:p>
        </w:tc>
      </w:tr>
      <w:tr w:rsidR="00771F11" w:rsidRPr="00152AF1" w14:paraId="43189F93"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1FBC775B" w14:textId="53FEBB23"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3737DF66" w14:textId="14AFC319"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Herbs</w:t>
            </w:r>
          </w:p>
        </w:tc>
        <w:tc>
          <w:tcPr>
            <w:tcW w:w="524" w:type="pct"/>
            <w:noWrap/>
            <w:vAlign w:val="center"/>
          </w:tcPr>
          <w:p w14:paraId="75820E37"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19683CBC" w14:textId="62A21AB8"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4EEEA939" w14:textId="7E64E516"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34DEE100" w14:textId="09712D39"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w:t>
            </w:r>
          </w:p>
        </w:tc>
        <w:tc>
          <w:tcPr>
            <w:tcW w:w="763" w:type="pct"/>
            <w:noWrap/>
            <w:vAlign w:val="bottom"/>
            <w:hideMark/>
          </w:tcPr>
          <w:p w14:paraId="656A890D" w14:textId="26032181"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r>
      <w:tr w:rsidR="00771F11" w:rsidRPr="00152AF1" w14:paraId="1C52DED7"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00C3754A" w14:textId="555BB541"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22AE9ACD" w14:textId="4C2282FF"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Leafy vegetables</w:t>
            </w:r>
          </w:p>
        </w:tc>
        <w:tc>
          <w:tcPr>
            <w:tcW w:w="524" w:type="pct"/>
            <w:noWrap/>
            <w:vAlign w:val="center"/>
          </w:tcPr>
          <w:p w14:paraId="1F75807E"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79CF2954" w14:textId="4F23E73E"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2800</w:t>
            </w:r>
          </w:p>
        </w:tc>
        <w:tc>
          <w:tcPr>
            <w:tcW w:w="646" w:type="pct"/>
            <w:noWrap/>
            <w:vAlign w:val="center"/>
          </w:tcPr>
          <w:p w14:paraId="1B716744" w14:textId="3B24BE58"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1400</w:t>
            </w:r>
          </w:p>
        </w:tc>
        <w:tc>
          <w:tcPr>
            <w:tcW w:w="714" w:type="pct"/>
            <w:noWrap/>
            <w:vAlign w:val="bottom"/>
            <w:hideMark/>
          </w:tcPr>
          <w:p w14:paraId="689356D2" w14:textId="00AFCA66"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48</w:t>
            </w:r>
          </w:p>
        </w:tc>
        <w:tc>
          <w:tcPr>
            <w:tcW w:w="763" w:type="pct"/>
            <w:noWrap/>
            <w:vAlign w:val="bottom"/>
            <w:hideMark/>
          </w:tcPr>
          <w:p w14:paraId="77769C30" w14:textId="22F5636D"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22</w:t>
            </w:r>
          </w:p>
        </w:tc>
      </w:tr>
      <w:tr w:rsidR="00771F11" w:rsidRPr="00152AF1" w14:paraId="013466A8"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4C9A0DFE" w14:textId="018F5404"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323BAC42" w14:textId="7E6EA4E2"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Other fruiting vegetables</w:t>
            </w:r>
          </w:p>
        </w:tc>
        <w:tc>
          <w:tcPr>
            <w:tcW w:w="524" w:type="pct"/>
            <w:noWrap/>
            <w:vAlign w:val="center"/>
          </w:tcPr>
          <w:p w14:paraId="364C24C3"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222B1CF1" w14:textId="3E14A262"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6B0203B1" w14:textId="5FCF13EA"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47549BB4" w14:textId="42C6F01E"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205</w:t>
            </w:r>
          </w:p>
        </w:tc>
        <w:tc>
          <w:tcPr>
            <w:tcW w:w="763" w:type="pct"/>
            <w:noWrap/>
            <w:vAlign w:val="bottom"/>
            <w:hideMark/>
          </w:tcPr>
          <w:p w14:paraId="13E632B8" w14:textId="6366AF9F"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104</w:t>
            </w:r>
          </w:p>
        </w:tc>
      </w:tr>
      <w:tr w:rsidR="00771F11" w:rsidRPr="00152AF1" w14:paraId="10214683"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06235191" w14:textId="37DE5020"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5252FC25" w14:textId="3E6CF370"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Root and tuber vegetables</w:t>
            </w:r>
          </w:p>
        </w:tc>
        <w:tc>
          <w:tcPr>
            <w:tcW w:w="524" w:type="pct"/>
            <w:noWrap/>
            <w:vAlign w:val="center"/>
          </w:tcPr>
          <w:p w14:paraId="549FEB5D"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16151E83" w14:textId="1CD6DB3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43404542" w14:textId="3895C685"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13ADBB43" w14:textId="55C61C4E"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273</w:t>
            </w:r>
          </w:p>
        </w:tc>
        <w:tc>
          <w:tcPr>
            <w:tcW w:w="763" w:type="pct"/>
            <w:noWrap/>
            <w:vAlign w:val="bottom"/>
            <w:hideMark/>
          </w:tcPr>
          <w:p w14:paraId="0AF5BB5B" w14:textId="18275D36"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123</w:t>
            </w:r>
          </w:p>
        </w:tc>
      </w:tr>
      <w:tr w:rsidR="00771F11" w:rsidRPr="00152AF1" w14:paraId="766BF0A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7D0F7752" w14:textId="1A372232"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679AC8C2" w14:textId="20E17E51"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Spices</w:t>
            </w:r>
          </w:p>
        </w:tc>
        <w:tc>
          <w:tcPr>
            <w:tcW w:w="524" w:type="pct"/>
            <w:noWrap/>
            <w:vAlign w:val="center"/>
          </w:tcPr>
          <w:p w14:paraId="3814AB05"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0BF1B1EA" w14:textId="73FEEE10"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52432257" w14:textId="14AB0B90"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7489569E" w14:textId="7173ACD6"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c>
          <w:tcPr>
            <w:tcW w:w="763" w:type="pct"/>
            <w:noWrap/>
            <w:vAlign w:val="bottom"/>
            <w:hideMark/>
          </w:tcPr>
          <w:p w14:paraId="53CCE4A2" w14:textId="7729A293"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2</w:t>
            </w:r>
          </w:p>
        </w:tc>
      </w:tr>
      <w:tr w:rsidR="00771F11" w:rsidRPr="00152AF1" w14:paraId="3D7F651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246C0B12" w14:textId="301E5BDB"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25FBC2F5" w14:textId="097F4A3E"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Stalk and stem vegetables</w:t>
            </w:r>
          </w:p>
        </w:tc>
        <w:tc>
          <w:tcPr>
            <w:tcW w:w="524" w:type="pct"/>
            <w:noWrap/>
            <w:vAlign w:val="center"/>
          </w:tcPr>
          <w:p w14:paraId="467302C0" w14:textId="734FE8B0"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1120</w:t>
            </w:r>
          </w:p>
        </w:tc>
        <w:tc>
          <w:tcPr>
            <w:tcW w:w="670" w:type="pct"/>
            <w:noWrap/>
            <w:vAlign w:val="center"/>
          </w:tcPr>
          <w:p w14:paraId="453D601C" w14:textId="6FD36830"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1120</w:t>
            </w:r>
          </w:p>
        </w:tc>
        <w:tc>
          <w:tcPr>
            <w:tcW w:w="646" w:type="pct"/>
            <w:noWrap/>
            <w:vAlign w:val="center"/>
          </w:tcPr>
          <w:p w14:paraId="5E9CDC46" w14:textId="688BC580"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1120</w:t>
            </w:r>
          </w:p>
        </w:tc>
        <w:tc>
          <w:tcPr>
            <w:tcW w:w="714" w:type="pct"/>
            <w:noWrap/>
            <w:vAlign w:val="bottom"/>
            <w:hideMark/>
          </w:tcPr>
          <w:p w14:paraId="42BB5BEC" w14:textId="528E1BF0"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15</w:t>
            </w:r>
          </w:p>
        </w:tc>
        <w:tc>
          <w:tcPr>
            <w:tcW w:w="763" w:type="pct"/>
            <w:noWrap/>
            <w:vAlign w:val="bottom"/>
            <w:hideMark/>
          </w:tcPr>
          <w:p w14:paraId="28C23531" w14:textId="1A7A67EB"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7</w:t>
            </w:r>
          </w:p>
        </w:tc>
      </w:tr>
      <w:tr w:rsidR="00771F11" w:rsidRPr="00152AF1" w14:paraId="2F4587BE"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2BC672B5" w14:textId="37626F00"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5B5586A8" w14:textId="3D4D5F6C" w:rsidR="00771F11" w:rsidRPr="00A10267" w:rsidRDefault="00771F11" w:rsidP="0087026E">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E0355">
              <w:rPr>
                <w:rFonts w:cs="Arial"/>
                <w:i/>
                <w:color w:val="000000"/>
                <w:sz w:val="18"/>
                <w:szCs w:val="18"/>
              </w:rPr>
              <w:t>Fruit (all)</w:t>
            </w:r>
          </w:p>
        </w:tc>
        <w:tc>
          <w:tcPr>
            <w:tcW w:w="524" w:type="pct"/>
            <w:noWrap/>
            <w:vAlign w:val="center"/>
          </w:tcPr>
          <w:p w14:paraId="7B1BC56D" w14:textId="5C52760B"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7371E41A" w14:textId="62876C98"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6" w:type="pct"/>
            <w:noWrap/>
            <w:vAlign w:val="center"/>
          </w:tcPr>
          <w:p w14:paraId="73489CDF" w14:textId="005DF2F1"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714" w:type="pct"/>
            <w:noWrap/>
            <w:vAlign w:val="bottom"/>
            <w:hideMark/>
          </w:tcPr>
          <w:p w14:paraId="43B718B6" w14:textId="19B95488"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861</w:t>
            </w:r>
          </w:p>
        </w:tc>
        <w:tc>
          <w:tcPr>
            <w:tcW w:w="763" w:type="pct"/>
            <w:noWrap/>
            <w:vAlign w:val="bottom"/>
            <w:hideMark/>
          </w:tcPr>
          <w:p w14:paraId="623BE824" w14:textId="13ABA581"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381</w:t>
            </w:r>
          </w:p>
        </w:tc>
      </w:tr>
      <w:tr w:rsidR="00771F11" w:rsidRPr="00152AF1" w14:paraId="7475C98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6BD2E826" w14:textId="79CD77D5" w:rsidR="00771F11" w:rsidRPr="00152AF1" w:rsidRDefault="00771F11" w:rsidP="0087026E">
            <w:pPr>
              <w:spacing w:after="0" w:line="240" w:lineRule="auto"/>
              <w:contextualSpacing/>
              <w:jc w:val="right"/>
              <w:rPr>
                <w:rFonts w:cs="Arial"/>
                <w:b w:val="0"/>
                <w:color w:val="000000"/>
                <w:sz w:val="18"/>
                <w:szCs w:val="18"/>
              </w:rPr>
            </w:pPr>
          </w:p>
        </w:tc>
        <w:tc>
          <w:tcPr>
            <w:tcW w:w="947" w:type="pct"/>
            <w:noWrap/>
            <w:hideMark/>
          </w:tcPr>
          <w:p w14:paraId="0324B5AE" w14:textId="224C22BF" w:rsidR="00771F11" w:rsidRPr="00BE0355"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A10267">
              <w:rPr>
                <w:rFonts w:eastAsia="Times New Roman" w:cs="Arial"/>
                <w:color w:val="000000"/>
                <w:sz w:val="18"/>
                <w:szCs w:val="18"/>
                <w:lang w:eastAsia="en-GB"/>
              </w:rPr>
              <w:t>Berries and other small fruits</w:t>
            </w:r>
          </w:p>
        </w:tc>
        <w:tc>
          <w:tcPr>
            <w:tcW w:w="524" w:type="pct"/>
            <w:noWrap/>
            <w:vAlign w:val="center"/>
          </w:tcPr>
          <w:p w14:paraId="325A951A"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5816C576" w14:textId="5DDDB51A"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7CA2277D" w14:textId="1D799DBC"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73D1EEA0" w14:textId="7F84AD9D"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526</w:t>
            </w:r>
          </w:p>
        </w:tc>
        <w:tc>
          <w:tcPr>
            <w:tcW w:w="763" w:type="pct"/>
            <w:noWrap/>
            <w:vAlign w:val="bottom"/>
            <w:hideMark/>
          </w:tcPr>
          <w:p w14:paraId="57BC78DE" w14:textId="0A6F08B8"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166</w:t>
            </w:r>
          </w:p>
        </w:tc>
      </w:tr>
      <w:tr w:rsidR="00771F11" w:rsidRPr="00152AF1" w14:paraId="77F64B20"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157A00C0" w14:textId="717401C3"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65C0CA3B" w14:textId="09B3DC14"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Citrus fruits</w:t>
            </w:r>
          </w:p>
        </w:tc>
        <w:tc>
          <w:tcPr>
            <w:tcW w:w="524" w:type="pct"/>
            <w:noWrap/>
            <w:vAlign w:val="center"/>
          </w:tcPr>
          <w:p w14:paraId="301B2E40"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1DCA078C" w14:textId="52AFD0E1"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6A904579" w14:textId="5069D731"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3BC614F7" w14:textId="166D235E"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354</w:t>
            </w:r>
          </w:p>
        </w:tc>
        <w:tc>
          <w:tcPr>
            <w:tcW w:w="763" w:type="pct"/>
            <w:noWrap/>
            <w:vAlign w:val="bottom"/>
            <w:hideMark/>
          </w:tcPr>
          <w:p w14:paraId="391F11AF" w14:textId="3AD8594E"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129</w:t>
            </w:r>
          </w:p>
        </w:tc>
      </w:tr>
      <w:tr w:rsidR="00771F11" w:rsidRPr="00152AF1" w14:paraId="027550C7"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15F742D7" w14:textId="1898B78D"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3EAD01B0" w14:textId="0B632467" w:rsidR="00771F11" w:rsidRPr="00A10267" w:rsidRDefault="00771F11" w:rsidP="0087026E">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Pome fruits</w:t>
            </w:r>
          </w:p>
        </w:tc>
        <w:tc>
          <w:tcPr>
            <w:tcW w:w="524" w:type="pct"/>
            <w:noWrap/>
            <w:vAlign w:val="center"/>
          </w:tcPr>
          <w:p w14:paraId="0E26888B" w14:textId="77777777"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7750FA89" w14:textId="2279A2DD"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933</w:t>
            </w:r>
          </w:p>
        </w:tc>
        <w:tc>
          <w:tcPr>
            <w:tcW w:w="646" w:type="pct"/>
            <w:noWrap/>
            <w:vAlign w:val="center"/>
          </w:tcPr>
          <w:p w14:paraId="78A842E4" w14:textId="0450E51E" w:rsidR="00771F11" w:rsidRPr="00152AF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467</w:t>
            </w:r>
          </w:p>
        </w:tc>
        <w:tc>
          <w:tcPr>
            <w:tcW w:w="714" w:type="pct"/>
            <w:noWrap/>
            <w:vAlign w:val="bottom"/>
            <w:hideMark/>
          </w:tcPr>
          <w:p w14:paraId="6A1B1F09" w14:textId="69EA6B97"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321</w:t>
            </w:r>
          </w:p>
        </w:tc>
        <w:tc>
          <w:tcPr>
            <w:tcW w:w="763" w:type="pct"/>
            <w:noWrap/>
            <w:vAlign w:val="bottom"/>
            <w:hideMark/>
          </w:tcPr>
          <w:p w14:paraId="2D828000" w14:textId="4C7E38F4" w:rsidR="00771F11" w:rsidRPr="00771F11" w:rsidRDefault="00771F11" w:rsidP="0087026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147</w:t>
            </w:r>
          </w:p>
        </w:tc>
      </w:tr>
      <w:tr w:rsidR="00771F11" w:rsidRPr="00152AF1" w14:paraId="55B46C10"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736" w:type="pct"/>
            <w:vMerge/>
          </w:tcPr>
          <w:p w14:paraId="41650DC7" w14:textId="3C4C762A" w:rsidR="00771F11" w:rsidRPr="00152AF1" w:rsidRDefault="00771F11" w:rsidP="0087026E">
            <w:pPr>
              <w:spacing w:after="0" w:line="240" w:lineRule="auto"/>
              <w:contextualSpacing/>
              <w:jc w:val="right"/>
              <w:rPr>
                <w:rFonts w:eastAsia="Times New Roman" w:cs="Arial"/>
                <w:b w:val="0"/>
                <w:color w:val="000000"/>
                <w:sz w:val="18"/>
                <w:szCs w:val="18"/>
                <w:lang w:eastAsia="en-GB"/>
              </w:rPr>
            </w:pPr>
          </w:p>
        </w:tc>
        <w:tc>
          <w:tcPr>
            <w:tcW w:w="947" w:type="pct"/>
            <w:noWrap/>
            <w:hideMark/>
          </w:tcPr>
          <w:p w14:paraId="69A88E6C" w14:textId="5C77D2AD" w:rsidR="00771F11" w:rsidRPr="00A10267" w:rsidRDefault="00771F11" w:rsidP="0087026E">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Tropical fruit - edible peel</w:t>
            </w:r>
          </w:p>
        </w:tc>
        <w:tc>
          <w:tcPr>
            <w:tcW w:w="524" w:type="pct"/>
            <w:noWrap/>
            <w:vAlign w:val="center"/>
          </w:tcPr>
          <w:p w14:paraId="026CC4EB" w14:textId="77777777"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70" w:type="pct"/>
            <w:noWrap/>
            <w:vAlign w:val="center"/>
          </w:tcPr>
          <w:p w14:paraId="21CB2345" w14:textId="7B25FA6C"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2800</w:t>
            </w:r>
          </w:p>
        </w:tc>
        <w:tc>
          <w:tcPr>
            <w:tcW w:w="646" w:type="pct"/>
            <w:noWrap/>
            <w:vAlign w:val="center"/>
          </w:tcPr>
          <w:p w14:paraId="0914D4E1" w14:textId="06DEDC6D" w:rsidR="00771F11" w:rsidRPr="00152AF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152AF1">
              <w:rPr>
                <w:rFonts w:cs="Arial"/>
                <w:color w:val="000000"/>
                <w:sz w:val="18"/>
                <w:szCs w:val="18"/>
              </w:rPr>
              <w:t>1400</w:t>
            </w:r>
          </w:p>
        </w:tc>
        <w:tc>
          <w:tcPr>
            <w:tcW w:w="714" w:type="pct"/>
            <w:noWrap/>
            <w:vAlign w:val="bottom"/>
            <w:hideMark/>
          </w:tcPr>
          <w:p w14:paraId="7F3778CD" w14:textId="58ADF571"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10</w:t>
            </w:r>
          </w:p>
        </w:tc>
        <w:tc>
          <w:tcPr>
            <w:tcW w:w="763" w:type="pct"/>
            <w:noWrap/>
            <w:vAlign w:val="bottom"/>
            <w:hideMark/>
          </w:tcPr>
          <w:p w14:paraId="0E22521A" w14:textId="399D07B5" w:rsidR="00771F11" w:rsidRPr="00771F11" w:rsidRDefault="00771F11" w:rsidP="0087026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771F11">
              <w:rPr>
                <w:rFonts w:cs="Arial"/>
                <w:color w:val="000000"/>
                <w:sz w:val="18"/>
                <w:szCs w:val="18"/>
              </w:rPr>
              <w:t>5</w:t>
            </w:r>
          </w:p>
        </w:tc>
      </w:tr>
    </w:tbl>
    <w:p w14:paraId="0C985BF3" w14:textId="06E69D16" w:rsidR="0056120C" w:rsidRPr="008A4D2C" w:rsidRDefault="0056120C" w:rsidP="009A3DDD">
      <w:pPr>
        <w:pStyle w:val="FSCFootnote"/>
      </w:pPr>
      <w:r w:rsidRPr="008A4D2C">
        <w:t>*Consumption amounts not provided where median PFAS concentration was &lt;LOR and calculated as zero</w:t>
      </w:r>
      <w:r w:rsidR="0087026E">
        <w:t xml:space="preserve">; </w:t>
      </w:r>
      <w:r w:rsidR="00AC5A9F" w:rsidRPr="008A4D2C">
        <w:t>- insufficient consumers to derive P90 consumption</w:t>
      </w:r>
    </w:p>
    <w:p w14:paraId="4C0C2FAD" w14:textId="364C8DD1" w:rsidR="0056120C" w:rsidRDefault="009A3DDD" w:rsidP="0056120C">
      <w:r>
        <w:br w:type="page"/>
      </w:r>
    </w:p>
    <w:p w14:paraId="44EE7ACD" w14:textId="2EF352EF" w:rsidR="00F420C3" w:rsidRDefault="00F420C3" w:rsidP="00984802">
      <w:pPr>
        <w:pStyle w:val="FSTableColumnRowheading"/>
      </w:pPr>
      <w:bookmarkStart w:id="202" w:name="_Toc474153723"/>
      <w:bookmarkStart w:id="203" w:name="_Toc474158915"/>
      <w:bookmarkStart w:id="204" w:name="_Toc474847875"/>
      <w:bookmarkStart w:id="205" w:name="_Toc474852115"/>
      <w:r w:rsidRPr="00F125A2">
        <w:lastRenderedPageBreak/>
        <w:t>Amount of food</w:t>
      </w:r>
      <w:r>
        <w:t>*</w:t>
      </w:r>
      <w:r w:rsidRPr="00F125A2">
        <w:t xml:space="preserve"> (grams</w:t>
      </w:r>
      <w:r w:rsidR="00AC5A9F">
        <w:t>/day</w:t>
      </w:r>
      <w:r w:rsidRPr="00F125A2">
        <w:t xml:space="preserve">) at median </w:t>
      </w:r>
      <w:proofErr w:type="spellStart"/>
      <w:r>
        <w:t>PFHxS</w:t>
      </w:r>
      <w:proofErr w:type="spellEnd"/>
      <w:r w:rsidRPr="00F125A2">
        <w:t xml:space="preserve"> concentration to reach the TD</w:t>
      </w:r>
      <w:r>
        <w:t xml:space="preserve">I for the population aged 2-6 </w:t>
      </w:r>
      <w:r w:rsidRPr="00F125A2">
        <w:t>years</w:t>
      </w:r>
      <w:bookmarkEnd w:id="202"/>
      <w:bookmarkEnd w:id="203"/>
      <w:bookmarkEnd w:id="204"/>
      <w:bookmarkEnd w:id="205"/>
      <w:r w:rsidRPr="00F125A2">
        <w:t xml:space="preserve"> </w:t>
      </w:r>
    </w:p>
    <w:tbl>
      <w:tblPr>
        <w:tblStyle w:val="LightList-Accent11"/>
        <w:tblW w:w="0" w:type="auto"/>
        <w:tblLayout w:type="fixed"/>
        <w:tblLook w:val="04A0" w:firstRow="1" w:lastRow="0" w:firstColumn="1" w:lastColumn="0" w:noHBand="0" w:noVBand="1"/>
      </w:tblPr>
      <w:tblGrid>
        <w:gridCol w:w="2093"/>
        <w:gridCol w:w="2551"/>
        <w:gridCol w:w="1619"/>
        <w:gridCol w:w="1906"/>
        <w:gridCol w:w="1841"/>
        <w:gridCol w:w="2034"/>
        <w:gridCol w:w="2174"/>
      </w:tblGrid>
      <w:tr w:rsidR="0092375E" w:rsidRPr="00497529" w14:paraId="553B235B"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14:paraId="5BFB12DD" w14:textId="3C799040" w:rsidR="0092375E" w:rsidRPr="0092375E" w:rsidRDefault="0092375E" w:rsidP="0092375E">
            <w:pPr>
              <w:contextualSpacing/>
              <w:rPr>
                <w:rFonts w:eastAsia="Times New Roman" w:cs="Arial"/>
                <w:b w:val="0"/>
                <w:bCs w:val="0"/>
                <w:color w:val="FFFFFF" w:themeColor="background1"/>
                <w:sz w:val="18"/>
                <w:szCs w:val="18"/>
                <w:lang w:eastAsia="en-GB"/>
              </w:rPr>
            </w:pPr>
            <w:r w:rsidRPr="003C03A1">
              <w:rPr>
                <w:rFonts w:eastAsia="Times New Roman" w:cs="Arial"/>
                <w:color w:val="FFFFFF" w:themeColor="background1"/>
                <w:sz w:val="18"/>
                <w:szCs w:val="18"/>
                <w:lang w:eastAsia="en-GB"/>
              </w:rPr>
              <w:t xml:space="preserve">Food </w:t>
            </w:r>
            <w:r>
              <w:rPr>
                <w:rFonts w:eastAsia="Times New Roman" w:cs="Arial"/>
                <w:color w:val="FFFFFF" w:themeColor="background1"/>
                <w:sz w:val="18"/>
                <w:szCs w:val="18"/>
                <w:lang w:eastAsia="en-GB"/>
              </w:rPr>
              <w:t>category</w:t>
            </w:r>
          </w:p>
        </w:tc>
        <w:tc>
          <w:tcPr>
            <w:tcW w:w="2551" w:type="dxa"/>
            <w:vMerge w:val="restart"/>
            <w:vAlign w:val="center"/>
          </w:tcPr>
          <w:p w14:paraId="0BE9D94D" w14:textId="2314472B" w:rsidR="0092375E" w:rsidRPr="00A10267" w:rsidRDefault="0092375E"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A10267">
              <w:rPr>
                <w:rFonts w:eastAsia="Times New Roman" w:cs="Arial"/>
                <w:color w:val="FFFFFF" w:themeColor="background1"/>
                <w:sz w:val="18"/>
                <w:szCs w:val="18"/>
                <w:lang w:eastAsia="en-GB"/>
              </w:rPr>
              <w:t>Food classification</w:t>
            </w:r>
          </w:p>
        </w:tc>
        <w:tc>
          <w:tcPr>
            <w:tcW w:w="5366" w:type="dxa"/>
            <w:gridSpan w:val="3"/>
            <w:vAlign w:val="center"/>
          </w:tcPr>
          <w:p w14:paraId="254215BF" w14:textId="77777777" w:rsidR="0092375E" w:rsidRPr="00497529" w:rsidRDefault="0092375E"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497529">
              <w:rPr>
                <w:rFonts w:eastAsia="Times New Roman" w:cs="Arial"/>
                <w:color w:val="FFFFFF" w:themeColor="background1"/>
                <w:sz w:val="18"/>
                <w:szCs w:val="18"/>
                <w:lang w:eastAsia="en-GB"/>
              </w:rPr>
              <w:t xml:space="preserve">Amount of food that can be consumed before reaching </w:t>
            </w:r>
            <w:proofErr w:type="spellStart"/>
            <w:r w:rsidRPr="00497529">
              <w:rPr>
                <w:rFonts w:eastAsia="Times New Roman" w:cs="Arial"/>
                <w:color w:val="FFFFFF" w:themeColor="background1"/>
                <w:sz w:val="18"/>
                <w:szCs w:val="18"/>
                <w:lang w:eastAsia="en-GB"/>
              </w:rPr>
              <w:t>PFHxS</w:t>
            </w:r>
            <w:proofErr w:type="spellEnd"/>
            <w:r w:rsidRPr="00497529">
              <w:rPr>
                <w:rFonts w:eastAsia="Times New Roman" w:cs="Arial"/>
                <w:color w:val="FFFFFF" w:themeColor="background1"/>
                <w:sz w:val="18"/>
                <w:szCs w:val="18"/>
                <w:lang w:eastAsia="en-GB"/>
              </w:rPr>
              <w:t xml:space="preserve"> TDI</w:t>
            </w:r>
          </w:p>
        </w:tc>
        <w:tc>
          <w:tcPr>
            <w:tcW w:w="4208" w:type="dxa"/>
            <w:gridSpan w:val="2"/>
            <w:vAlign w:val="center"/>
          </w:tcPr>
          <w:p w14:paraId="734911C2" w14:textId="77777777" w:rsidR="0092375E" w:rsidRPr="00497529" w:rsidRDefault="0092375E"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497529">
              <w:rPr>
                <w:rFonts w:eastAsia="Times New Roman" w:cs="Arial"/>
                <w:color w:val="FFFFFF" w:themeColor="background1"/>
                <w:sz w:val="18"/>
                <w:szCs w:val="18"/>
                <w:lang w:eastAsia="en-GB"/>
              </w:rPr>
              <w:t>Food consumption derived from 2011-12 NNPAS</w:t>
            </w:r>
          </w:p>
        </w:tc>
      </w:tr>
      <w:tr w:rsidR="0092375E" w:rsidRPr="00F420C3" w14:paraId="7B6283E6" w14:textId="77777777" w:rsidTr="0092375E">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093" w:type="dxa"/>
            <w:vMerge/>
          </w:tcPr>
          <w:p w14:paraId="19F2BD53" w14:textId="1EAF8B40" w:rsidR="0092375E" w:rsidRPr="00A10267" w:rsidRDefault="0092375E" w:rsidP="009A3DDD">
            <w:pPr>
              <w:spacing w:after="0" w:line="240" w:lineRule="auto"/>
              <w:contextualSpacing/>
              <w:jc w:val="center"/>
              <w:rPr>
                <w:rFonts w:eastAsia="Times New Roman" w:cs="Arial"/>
                <w:color w:val="000000"/>
                <w:sz w:val="18"/>
                <w:szCs w:val="18"/>
                <w:lang w:eastAsia="en-GB"/>
              </w:rPr>
            </w:pPr>
          </w:p>
        </w:tc>
        <w:tc>
          <w:tcPr>
            <w:tcW w:w="2551" w:type="dxa"/>
            <w:vMerge/>
            <w:hideMark/>
          </w:tcPr>
          <w:p w14:paraId="58C838D7" w14:textId="3893D22C" w:rsidR="0092375E" w:rsidRPr="00A10267" w:rsidRDefault="0092375E"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619" w:type="dxa"/>
          </w:tcPr>
          <w:p w14:paraId="143987B2" w14:textId="77777777" w:rsidR="0092375E" w:rsidRPr="00F420C3" w:rsidRDefault="0092375E"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Lower Bound</w:t>
            </w:r>
          </w:p>
        </w:tc>
        <w:tc>
          <w:tcPr>
            <w:tcW w:w="1906" w:type="dxa"/>
          </w:tcPr>
          <w:p w14:paraId="7E17673D" w14:textId="77777777" w:rsidR="0092375E" w:rsidRPr="00F420C3" w:rsidRDefault="0092375E"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Middle Bound</w:t>
            </w:r>
          </w:p>
        </w:tc>
        <w:tc>
          <w:tcPr>
            <w:tcW w:w="1841" w:type="dxa"/>
          </w:tcPr>
          <w:p w14:paraId="62E09C79" w14:textId="77777777" w:rsidR="0092375E" w:rsidRPr="00F420C3" w:rsidRDefault="0092375E"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Upper Bound</w:t>
            </w:r>
          </w:p>
        </w:tc>
        <w:tc>
          <w:tcPr>
            <w:tcW w:w="2034" w:type="dxa"/>
            <w:hideMark/>
          </w:tcPr>
          <w:p w14:paraId="5DDFBDD3" w14:textId="77777777" w:rsidR="0092375E" w:rsidRPr="00F420C3" w:rsidRDefault="0092375E"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P90 consumers only</w:t>
            </w:r>
          </w:p>
        </w:tc>
        <w:tc>
          <w:tcPr>
            <w:tcW w:w="2174" w:type="dxa"/>
            <w:hideMark/>
          </w:tcPr>
          <w:p w14:paraId="6B8228C2" w14:textId="77777777" w:rsidR="0092375E" w:rsidRPr="00F420C3" w:rsidRDefault="0092375E"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Mean consumers only</w:t>
            </w:r>
          </w:p>
        </w:tc>
      </w:tr>
      <w:tr w:rsidR="00DF5267" w:rsidRPr="00F420C3" w14:paraId="2AE6A40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29825E57" w14:textId="5AB0A357" w:rsidR="00DF5267" w:rsidRPr="0092375E" w:rsidRDefault="00DF5267" w:rsidP="0092375E">
            <w:pPr>
              <w:spacing w:after="0" w:line="240" w:lineRule="auto"/>
              <w:contextualSpacing/>
              <w:rPr>
                <w:rFonts w:eastAsia="Times New Roman" w:cs="Arial"/>
                <w:b w:val="0"/>
                <w:bCs w:val="0"/>
                <w:i/>
                <w:color w:val="000000"/>
                <w:sz w:val="18"/>
                <w:szCs w:val="18"/>
                <w:lang w:eastAsia="en-GB"/>
              </w:rPr>
            </w:pPr>
            <w:r w:rsidRPr="003C03A1">
              <w:rPr>
                <w:rFonts w:eastAsia="Times New Roman" w:cs="Arial"/>
                <w:color w:val="000000"/>
                <w:sz w:val="18"/>
                <w:szCs w:val="18"/>
                <w:lang w:eastAsia="en-GB"/>
              </w:rPr>
              <w:t>Fish and seafood</w:t>
            </w:r>
          </w:p>
        </w:tc>
        <w:tc>
          <w:tcPr>
            <w:tcW w:w="2551" w:type="dxa"/>
            <w:noWrap/>
            <w:hideMark/>
          </w:tcPr>
          <w:p w14:paraId="0D6AFE47" w14:textId="6F8702C6" w:rsidR="00DF5267" w:rsidRPr="00BE0355"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Crustaceans of all species</w:t>
            </w:r>
          </w:p>
        </w:tc>
        <w:tc>
          <w:tcPr>
            <w:tcW w:w="1619" w:type="dxa"/>
            <w:noWrap/>
            <w:vAlign w:val="center"/>
          </w:tcPr>
          <w:p w14:paraId="5CA996AC" w14:textId="2B9624CB"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195</w:t>
            </w:r>
          </w:p>
        </w:tc>
        <w:tc>
          <w:tcPr>
            <w:tcW w:w="1906" w:type="dxa"/>
            <w:noWrap/>
            <w:vAlign w:val="center"/>
          </w:tcPr>
          <w:p w14:paraId="71063D1E" w14:textId="3A0E545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195</w:t>
            </w:r>
          </w:p>
        </w:tc>
        <w:tc>
          <w:tcPr>
            <w:tcW w:w="1841" w:type="dxa"/>
            <w:noWrap/>
            <w:vAlign w:val="center"/>
          </w:tcPr>
          <w:p w14:paraId="176392AD" w14:textId="52C66A3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195</w:t>
            </w:r>
          </w:p>
        </w:tc>
        <w:tc>
          <w:tcPr>
            <w:tcW w:w="2034" w:type="dxa"/>
            <w:noWrap/>
            <w:vAlign w:val="bottom"/>
          </w:tcPr>
          <w:p w14:paraId="61FEA42D" w14:textId="5A881F18"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21</w:t>
            </w:r>
          </w:p>
        </w:tc>
        <w:tc>
          <w:tcPr>
            <w:tcW w:w="2174" w:type="dxa"/>
            <w:noWrap/>
            <w:vAlign w:val="bottom"/>
          </w:tcPr>
          <w:p w14:paraId="00ED4E6F" w14:textId="1A6E2B36"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w:t>
            </w:r>
          </w:p>
        </w:tc>
      </w:tr>
      <w:tr w:rsidR="00DF5267" w:rsidRPr="00F420C3" w14:paraId="3105DA8C"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52163048" w14:textId="1E816418" w:rsidR="00DF5267" w:rsidRPr="00BE0355" w:rsidRDefault="00DF5267" w:rsidP="009A3DDD">
            <w:pPr>
              <w:spacing w:after="0" w:line="240" w:lineRule="auto"/>
              <w:contextualSpacing/>
              <w:rPr>
                <w:rFonts w:cs="Arial"/>
                <w:i/>
                <w:color w:val="000000"/>
                <w:sz w:val="18"/>
                <w:szCs w:val="18"/>
              </w:rPr>
            </w:pPr>
          </w:p>
        </w:tc>
        <w:tc>
          <w:tcPr>
            <w:tcW w:w="2551" w:type="dxa"/>
            <w:noWrap/>
            <w:hideMark/>
          </w:tcPr>
          <w:p w14:paraId="6D2EB698" w14:textId="62CF9F11" w:rsidR="00DF5267" w:rsidRPr="00BE0355"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BE0355">
              <w:rPr>
                <w:rFonts w:cs="Arial"/>
                <w:i/>
                <w:color w:val="000000"/>
                <w:sz w:val="18"/>
                <w:szCs w:val="18"/>
              </w:rPr>
              <w:t>Finfish (all)</w:t>
            </w:r>
          </w:p>
        </w:tc>
        <w:tc>
          <w:tcPr>
            <w:tcW w:w="1619" w:type="dxa"/>
            <w:noWrap/>
            <w:vAlign w:val="center"/>
          </w:tcPr>
          <w:p w14:paraId="341FD0B4"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439665A1" w14:textId="20E5AD4E"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760</w:t>
            </w:r>
          </w:p>
        </w:tc>
        <w:tc>
          <w:tcPr>
            <w:tcW w:w="1841" w:type="dxa"/>
            <w:noWrap/>
            <w:vAlign w:val="center"/>
          </w:tcPr>
          <w:p w14:paraId="7BC59BF7" w14:textId="26363D5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380</w:t>
            </w:r>
          </w:p>
        </w:tc>
        <w:tc>
          <w:tcPr>
            <w:tcW w:w="2034" w:type="dxa"/>
            <w:noWrap/>
            <w:vAlign w:val="bottom"/>
          </w:tcPr>
          <w:p w14:paraId="66FD41B2" w14:textId="1C84686E"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73</w:t>
            </w:r>
          </w:p>
        </w:tc>
        <w:tc>
          <w:tcPr>
            <w:tcW w:w="2174" w:type="dxa"/>
            <w:noWrap/>
            <w:vAlign w:val="bottom"/>
          </w:tcPr>
          <w:p w14:paraId="1CCE4A52" w14:textId="327060CC"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w:t>
            </w:r>
          </w:p>
        </w:tc>
      </w:tr>
      <w:tr w:rsidR="00DF5267" w:rsidRPr="00F420C3" w14:paraId="3FC23C08"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145E01C2" w14:textId="2BD59F23" w:rsidR="00DF5267" w:rsidRPr="00A10267" w:rsidRDefault="00DF5267" w:rsidP="009A3DDD">
            <w:pPr>
              <w:spacing w:after="0" w:line="240" w:lineRule="auto"/>
              <w:contextualSpacing/>
              <w:rPr>
                <w:rFonts w:eastAsia="Times New Roman" w:cs="Arial"/>
                <w:color w:val="000000"/>
                <w:sz w:val="18"/>
                <w:szCs w:val="18"/>
                <w:lang w:eastAsia="en-GB"/>
              </w:rPr>
            </w:pPr>
          </w:p>
        </w:tc>
        <w:tc>
          <w:tcPr>
            <w:tcW w:w="2551" w:type="dxa"/>
            <w:noWrap/>
            <w:hideMark/>
          </w:tcPr>
          <w:p w14:paraId="489DED86" w14:textId="7EDD8C58"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10267">
              <w:rPr>
                <w:rFonts w:eastAsia="Times New Roman" w:cs="Arial"/>
                <w:color w:val="000000"/>
                <w:sz w:val="18"/>
                <w:szCs w:val="18"/>
                <w:lang w:eastAsia="en-GB"/>
              </w:rPr>
              <w:t>Diadromous</w:t>
            </w:r>
            <w:proofErr w:type="spellEnd"/>
            <w:r w:rsidRPr="00A10267">
              <w:rPr>
                <w:rFonts w:eastAsia="Times New Roman" w:cs="Arial"/>
                <w:color w:val="000000"/>
                <w:sz w:val="18"/>
                <w:szCs w:val="18"/>
                <w:lang w:eastAsia="en-GB"/>
              </w:rPr>
              <w:t xml:space="preserve"> fish</w:t>
            </w:r>
          </w:p>
        </w:tc>
        <w:tc>
          <w:tcPr>
            <w:tcW w:w="1619" w:type="dxa"/>
            <w:noWrap/>
            <w:vAlign w:val="center"/>
          </w:tcPr>
          <w:p w14:paraId="6DADFE26"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46FBFB27" w14:textId="09DBE855"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760</w:t>
            </w:r>
          </w:p>
        </w:tc>
        <w:tc>
          <w:tcPr>
            <w:tcW w:w="1841" w:type="dxa"/>
            <w:noWrap/>
            <w:vAlign w:val="center"/>
          </w:tcPr>
          <w:p w14:paraId="4BDEF10B" w14:textId="546CC16C"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380</w:t>
            </w:r>
          </w:p>
        </w:tc>
        <w:tc>
          <w:tcPr>
            <w:tcW w:w="2034" w:type="dxa"/>
            <w:noWrap/>
            <w:vAlign w:val="bottom"/>
          </w:tcPr>
          <w:p w14:paraId="42D1FFB9" w14:textId="7D312C60"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60</w:t>
            </w:r>
          </w:p>
        </w:tc>
        <w:tc>
          <w:tcPr>
            <w:tcW w:w="2174" w:type="dxa"/>
            <w:noWrap/>
            <w:vAlign w:val="bottom"/>
          </w:tcPr>
          <w:p w14:paraId="0D4C360D" w14:textId="706AC3D8"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34</w:t>
            </w:r>
          </w:p>
        </w:tc>
      </w:tr>
      <w:tr w:rsidR="00DF5267" w:rsidRPr="00F420C3" w14:paraId="56C1C1D7"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3A2D0254" w14:textId="42E62308" w:rsidR="00DF5267" w:rsidRPr="00A10267" w:rsidRDefault="00DF5267" w:rsidP="009A3DDD">
            <w:pPr>
              <w:spacing w:after="0" w:line="240" w:lineRule="auto"/>
              <w:contextualSpacing/>
              <w:rPr>
                <w:rFonts w:eastAsia="Times New Roman" w:cs="Arial"/>
                <w:color w:val="000000"/>
                <w:sz w:val="18"/>
                <w:szCs w:val="18"/>
                <w:lang w:eastAsia="en-GB"/>
              </w:rPr>
            </w:pPr>
          </w:p>
        </w:tc>
        <w:tc>
          <w:tcPr>
            <w:tcW w:w="2551" w:type="dxa"/>
            <w:noWrap/>
            <w:hideMark/>
          </w:tcPr>
          <w:p w14:paraId="1985D84C" w14:textId="035A4C47"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Freshwater fish</w:t>
            </w:r>
          </w:p>
        </w:tc>
        <w:tc>
          <w:tcPr>
            <w:tcW w:w="1619" w:type="dxa"/>
            <w:noWrap/>
            <w:vAlign w:val="center"/>
          </w:tcPr>
          <w:p w14:paraId="3EC7A9D6"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0CCB4280" w14:textId="6B451D14"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760</w:t>
            </w:r>
          </w:p>
        </w:tc>
        <w:tc>
          <w:tcPr>
            <w:tcW w:w="1841" w:type="dxa"/>
            <w:noWrap/>
            <w:vAlign w:val="center"/>
          </w:tcPr>
          <w:p w14:paraId="6CC2CE1D" w14:textId="55798818"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380</w:t>
            </w:r>
          </w:p>
        </w:tc>
        <w:tc>
          <w:tcPr>
            <w:tcW w:w="2034" w:type="dxa"/>
            <w:noWrap/>
            <w:vAlign w:val="bottom"/>
          </w:tcPr>
          <w:p w14:paraId="086A0F6C" w14:textId="44C82E0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72</w:t>
            </w:r>
          </w:p>
        </w:tc>
        <w:tc>
          <w:tcPr>
            <w:tcW w:w="2174" w:type="dxa"/>
            <w:noWrap/>
            <w:vAlign w:val="bottom"/>
          </w:tcPr>
          <w:p w14:paraId="67DE5077" w14:textId="3E7C8507"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28</w:t>
            </w:r>
          </w:p>
        </w:tc>
      </w:tr>
      <w:tr w:rsidR="00DF5267" w:rsidRPr="00F420C3" w14:paraId="061245E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043E5574" w14:textId="6E61FE9B" w:rsidR="00DF5267" w:rsidRPr="00A10267" w:rsidRDefault="00DF5267" w:rsidP="009A3DDD">
            <w:pPr>
              <w:spacing w:after="0" w:line="240" w:lineRule="auto"/>
              <w:contextualSpacing/>
              <w:rPr>
                <w:rFonts w:eastAsia="Times New Roman" w:cs="Arial"/>
                <w:color w:val="000000"/>
                <w:sz w:val="18"/>
                <w:szCs w:val="18"/>
                <w:lang w:eastAsia="en-GB"/>
              </w:rPr>
            </w:pPr>
          </w:p>
        </w:tc>
        <w:tc>
          <w:tcPr>
            <w:tcW w:w="2551" w:type="dxa"/>
            <w:noWrap/>
            <w:hideMark/>
          </w:tcPr>
          <w:p w14:paraId="6236426D" w14:textId="2B736033"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Marine fish of all species</w:t>
            </w:r>
          </w:p>
        </w:tc>
        <w:tc>
          <w:tcPr>
            <w:tcW w:w="1619" w:type="dxa"/>
            <w:noWrap/>
            <w:vAlign w:val="center"/>
          </w:tcPr>
          <w:p w14:paraId="569F29F6"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33199E75" w14:textId="3266D5EA"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1520</w:t>
            </w:r>
          </w:p>
        </w:tc>
        <w:tc>
          <w:tcPr>
            <w:tcW w:w="1841" w:type="dxa"/>
            <w:noWrap/>
            <w:vAlign w:val="center"/>
          </w:tcPr>
          <w:p w14:paraId="78E0AB0B" w14:textId="2E2939A4"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760</w:t>
            </w:r>
          </w:p>
        </w:tc>
        <w:tc>
          <w:tcPr>
            <w:tcW w:w="2034" w:type="dxa"/>
            <w:noWrap/>
            <w:vAlign w:val="bottom"/>
          </w:tcPr>
          <w:p w14:paraId="5E0EBC35" w14:textId="3947108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40</w:t>
            </w:r>
          </w:p>
        </w:tc>
        <w:tc>
          <w:tcPr>
            <w:tcW w:w="2174" w:type="dxa"/>
            <w:noWrap/>
            <w:vAlign w:val="bottom"/>
          </w:tcPr>
          <w:p w14:paraId="765716CA" w14:textId="1D8162F8"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r>
      <w:tr w:rsidR="00DF5267" w:rsidRPr="00F420C3" w14:paraId="2C91943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65330E87" w14:textId="6761A23A" w:rsidR="00DF5267" w:rsidRPr="00BE0355" w:rsidRDefault="00DF5267" w:rsidP="009A3DDD">
            <w:pPr>
              <w:spacing w:after="0" w:line="240" w:lineRule="auto"/>
              <w:contextualSpacing/>
              <w:rPr>
                <w:rFonts w:eastAsia="Times New Roman" w:cs="Arial"/>
                <w:i/>
                <w:color w:val="000000"/>
                <w:sz w:val="18"/>
                <w:szCs w:val="18"/>
                <w:lang w:eastAsia="en-GB"/>
              </w:rPr>
            </w:pPr>
          </w:p>
        </w:tc>
        <w:tc>
          <w:tcPr>
            <w:tcW w:w="2551" w:type="dxa"/>
            <w:noWrap/>
          </w:tcPr>
          <w:p w14:paraId="6B635FA7" w14:textId="4C1F3B4E" w:rsidR="00DF5267" w:rsidRPr="00BE0355"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Molluscs</w:t>
            </w:r>
          </w:p>
        </w:tc>
        <w:tc>
          <w:tcPr>
            <w:tcW w:w="1619" w:type="dxa"/>
            <w:noWrap/>
            <w:vAlign w:val="center"/>
          </w:tcPr>
          <w:p w14:paraId="5E597C75"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2A0878D6" w14:textId="171B3713"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420C3">
              <w:rPr>
                <w:rFonts w:cs="Arial"/>
                <w:color w:val="000000"/>
                <w:sz w:val="18"/>
                <w:szCs w:val="18"/>
              </w:rPr>
              <w:t>1520</w:t>
            </w:r>
          </w:p>
        </w:tc>
        <w:tc>
          <w:tcPr>
            <w:tcW w:w="1841" w:type="dxa"/>
            <w:noWrap/>
            <w:vAlign w:val="center"/>
          </w:tcPr>
          <w:p w14:paraId="2210658A" w14:textId="0A1C98B1"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420C3">
              <w:rPr>
                <w:rFonts w:cs="Arial"/>
                <w:color w:val="000000"/>
                <w:sz w:val="18"/>
                <w:szCs w:val="18"/>
              </w:rPr>
              <w:t>760</w:t>
            </w:r>
          </w:p>
        </w:tc>
        <w:tc>
          <w:tcPr>
            <w:tcW w:w="2034" w:type="dxa"/>
            <w:noWrap/>
            <w:vAlign w:val="bottom"/>
          </w:tcPr>
          <w:p w14:paraId="6A1410A8" w14:textId="329BDB17"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w:t>
            </w:r>
          </w:p>
        </w:tc>
        <w:tc>
          <w:tcPr>
            <w:tcW w:w="2174" w:type="dxa"/>
            <w:noWrap/>
            <w:vAlign w:val="bottom"/>
          </w:tcPr>
          <w:p w14:paraId="1ECFFFB5" w14:textId="0A92BEA7"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r>
      <w:tr w:rsidR="00DF5267" w:rsidRPr="00F420C3" w14:paraId="4A646A3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6629BAD" w14:textId="0FAAF9FE" w:rsidR="00DF5267" w:rsidRPr="0092375E" w:rsidRDefault="00DF5267" w:rsidP="0092375E">
            <w:pPr>
              <w:spacing w:after="0" w:line="240" w:lineRule="auto"/>
              <w:contextualSpacing/>
              <w:rPr>
                <w:rFonts w:eastAsia="Times New Roman" w:cs="Arial"/>
                <w:b w:val="0"/>
                <w:bCs w:val="0"/>
                <w:i/>
                <w:color w:val="000000"/>
                <w:sz w:val="18"/>
                <w:szCs w:val="18"/>
                <w:lang w:eastAsia="en-GB"/>
              </w:rPr>
            </w:pPr>
            <w:r>
              <w:rPr>
                <w:rFonts w:eastAsia="Times New Roman" w:cs="Arial"/>
                <w:color w:val="000000"/>
                <w:sz w:val="18"/>
                <w:szCs w:val="18"/>
                <w:lang w:eastAsia="en-GB"/>
              </w:rPr>
              <w:t>Animal product</w:t>
            </w:r>
          </w:p>
        </w:tc>
        <w:tc>
          <w:tcPr>
            <w:tcW w:w="2551" w:type="dxa"/>
            <w:noWrap/>
            <w:hideMark/>
          </w:tcPr>
          <w:p w14:paraId="67164AA5" w14:textId="4AE38B44" w:rsidR="00DF5267" w:rsidRPr="00BE0355"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1619" w:type="dxa"/>
            <w:noWrap/>
            <w:vAlign w:val="center"/>
          </w:tcPr>
          <w:p w14:paraId="5D3A8690" w14:textId="4D9CDFFE" w:rsidR="00DF5267" w:rsidRPr="00F420C3" w:rsidRDefault="003E3A5F"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134</w:t>
            </w:r>
          </w:p>
        </w:tc>
        <w:tc>
          <w:tcPr>
            <w:tcW w:w="1906" w:type="dxa"/>
            <w:noWrap/>
            <w:vAlign w:val="center"/>
          </w:tcPr>
          <w:p w14:paraId="29492E5C" w14:textId="06C613A7" w:rsidR="00DF5267" w:rsidRPr="00F420C3" w:rsidRDefault="003E3A5F"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134</w:t>
            </w:r>
          </w:p>
        </w:tc>
        <w:tc>
          <w:tcPr>
            <w:tcW w:w="1841" w:type="dxa"/>
            <w:noWrap/>
            <w:vAlign w:val="center"/>
          </w:tcPr>
          <w:p w14:paraId="77845669" w14:textId="03C538F5" w:rsidR="00DF5267" w:rsidRPr="00F420C3"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134</w:t>
            </w:r>
          </w:p>
        </w:tc>
        <w:tc>
          <w:tcPr>
            <w:tcW w:w="2034" w:type="dxa"/>
            <w:noWrap/>
            <w:vAlign w:val="bottom"/>
          </w:tcPr>
          <w:p w14:paraId="2AF3F5ED" w14:textId="10460135"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108</w:t>
            </w:r>
          </w:p>
        </w:tc>
        <w:tc>
          <w:tcPr>
            <w:tcW w:w="2174" w:type="dxa"/>
            <w:noWrap/>
            <w:vAlign w:val="bottom"/>
          </w:tcPr>
          <w:p w14:paraId="6C2E61A2" w14:textId="27474F63"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47</w:t>
            </w:r>
          </w:p>
        </w:tc>
      </w:tr>
      <w:tr w:rsidR="00DF5267" w:rsidRPr="00F420C3" w14:paraId="677784D9"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4F091D7A" w14:textId="06D44D96" w:rsidR="00DF5267" w:rsidRPr="00A10267" w:rsidRDefault="00DF5267" w:rsidP="009A3DDD">
            <w:pPr>
              <w:spacing w:after="0" w:line="240" w:lineRule="auto"/>
              <w:contextualSpacing/>
              <w:rPr>
                <w:rFonts w:eastAsia="Times New Roman" w:cs="Arial"/>
                <w:color w:val="000000"/>
                <w:sz w:val="18"/>
                <w:szCs w:val="18"/>
                <w:lang w:eastAsia="en-GB"/>
              </w:rPr>
            </w:pPr>
          </w:p>
        </w:tc>
        <w:tc>
          <w:tcPr>
            <w:tcW w:w="2551" w:type="dxa"/>
            <w:noWrap/>
            <w:hideMark/>
          </w:tcPr>
          <w:p w14:paraId="2BB25893" w14:textId="41435462" w:rsidR="00DF5267" w:rsidRPr="00BE0355"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A10267">
              <w:rPr>
                <w:rFonts w:eastAsia="Times New Roman" w:cs="Arial"/>
                <w:color w:val="000000"/>
                <w:sz w:val="18"/>
                <w:szCs w:val="18"/>
                <w:lang w:eastAsia="en-GB"/>
              </w:rPr>
              <w:t>Cattle meat</w:t>
            </w:r>
          </w:p>
        </w:tc>
        <w:tc>
          <w:tcPr>
            <w:tcW w:w="1619" w:type="dxa"/>
            <w:noWrap/>
            <w:vAlign w:val="center"/>
          </w:tcPr>
          <w:p w14:paraId="73FCC4DC" w14:textId="766D91FC" w:rsidR="00DF5267" w:rsidRPr="00F420C3"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42</w:t>
            </w:r>
          </w:p>
        </w:tc>
        <w:tc>
          <w:tcPr>
            <w:tcW w:w="1906" w:type="dxa"/>
            <w:noWrap/>
            <w:vAlign w:val="center"/>
          </w:tcPr>
          <w:p w14:paraId="4319145F" w14:textId="6BFBB82D" w:rsidR="00DF5267" w:rsidRPr="00F420C3"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42</w:t>
            </w:r>
          </w:p>
        </w:tc>
        <w:tc>
          <w:tcPr>
            <w:tcW w:w="1841" w:type="dxa"/>
            <w:noWrap/>
            <w:vAlign w:val="center"/>
          </w:tcPr>
          <w:p w14:paraId="342F624B" w14:textId="436CBCD9" w:rsidR="00DF5267" w:rsidRPr="00F420C3"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42</w:t>
            </w:r>
          </w:p>
        </w:tc>
        <w:tc>
          <w:tcPr>
            <w:tcW w:w="2034" w:type="dxa"/>
            <w:noWrap/>
            <w:vAlign w:val="bottom"/>
          </w:tcPr>
          <w:p w14:paraId="18DAB2A9" w14:textId="79CCD550"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85</w:t>
            </w:r>
          </w:p>
        </w:tc>
        <w:tc>
          <w:tcPr>
            <w:tcW w:w="2174" w:type="dxa"/>
            <w:noWrap/>
            <w:vAlign w:val="bottom"/>
          </w:tcPr>
          <w:p w14:paraId="1904C7F3" w14:textId="6C324673"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33</w:t>
            </w:r>
          </w:p>
        </w:tc>
      </w:tr>
      <w:tr w:rsidR="00DF5267" w:rsidRPr="00F420C3" w14:paraId="6D85A266"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5434C7EA" w14:textId="7344DD47" w:rsidR="00DF5267" w:rsidRPr="00A10267" w:rsidRDefault="00DF5267" w:rsidP="009A3DDD">
            <w:pPr>
              <w:spacing w:after="0" w:line="240" w:lineRule="auto"/>
              <w:contextualSpacing/>
              <w:rPr>
                <w:rFonts w:eastAsia="Times New Roman" w:cs="Arial"/>
                <w:color w:val="000000"/>
                <w:sz w:val="18"/>
                <w:szCs w:val="18"/>
                <w:lang w:eastAsia="en-GB"/>
              </w:rPr>
            </w:pPr>
          </w:p>
        </w:tc>
        <w:tc>
          <w:tcPr>
            <w:tcW w:w="2551" w:type="dxa"/>
            <w:noWrap/>
            <w:hideMark/>
          </w:tcPr>
          <w:p w14:paraId="6F307549" w14:textId="15C8D234"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meat</w:t>
            </w:r>
          </w:p>
        </w:tc>
        <w:tc>
          <w:tcPr>
            <w:tcW w:w="1619" w:type="dxa"/>
            <w:noWrap/>
            <w:vAlign w:val="center"/>
          </w:tcPr>
          <w:p w14:paraId="31106669" w14:textId="601FE3FB" w:rsidR="00DF5267" w:rsidRPr="00F420C3"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1112</w:t>
            </w:r>
          </w:p>
        </w:tc>
        <w:tc>
          <w:tcPr>
            <w:tcW w:w="1906" w:type="dxa"/>
            <w:noWrap/>
            <w:vAlign w:val="center"/>
          </w:tcPr>
          <w:p w14:paraId="5D358B68" w14:textId="40486928" w:rsidR="00DF5267" w:rsidRPr="00F420C3"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760</w:t>
            </w:r>
          </w:p>
        </w:tc>
        <w:tc>
          <w:tcPr>
            <w:tcW w:w="1841" w:type="dxa"/>
            <w:noWrap/>
            <w:vAlign w:val="center"/>
          </w:tcPr>
          <w:p w14:paraId="6A31F6A3" w14:textId="48F9AC3C" w:rsidR="00DF5267" w:rsidRPr="00F420C3"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380</w:t>
            </w:r>
          </w:p>
        </w:tc>
        <w:tc>
          <w:tcPr>
            <w:tcW w:w="2034" w:type="dxa"/>
            <w:noWrap/>
            <w:vAlign w:val="bottom"/>
          </w:tcPr>
          <w:p w14:paraId="19CFAD99" w14:textId="3D9DEDC7"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w:t>
            </w:r>
          </w:p>
        </w:tc>
        <w:tc>
          <w:tcPr>
            <w:tcW w:w="2174" w:type="dxa"/>
            <w:noWrap/>
            <w:vAlign w:val="bottom"/>
          </w:tcPr>
          <w:p w14:paraId="4F438D04" w14:textId="1AB95F09"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w:t>
            </w:r>
          </w:p>
        </w:tc>
      </w:tr>
      <w:tr w:rsidR="00DF5267" w:rsidRPr="00F420C3" w14:paraId="5B7E185D"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7F04A939" w14:textId="49DB33A6" w:rsidR="00DF5267" w:rsidRPr="00BE0355" w:rsidRDefault="00DF5267" w:rsidP="009A3DDD">
            <w:pPr>
              <w:spacing w:after="0" w:line="240" w:lineRule="auto"/>
              <w:contextualSpacing/>
              <w:rPr>
                <w:rFonts w:eastAsia="Times New Roman" w:cs="Arial"/>
                <w:i/>
                <w:color w:val="000000"/>
                <w:sz w:val="18"/>
                <w:szCs w:val="18"/>
                <w:lang w:eastAsia="en-GB"/>
              </w:rPr>
            </w:pPr>
          </w:p>
        </w:tc>
        <w:tc>
          <w:tcPr>
            <w:tcW w:w="2551" w:type="dxa"/>
            <w:noWrap/>
            <w:hideMark/>
          </w:tcPr>
          <w:p w14:paraId="03A7EA48" w14:textId="316EB438" w:rsidR="00DF5267" w:rsidRPr="00A10267" w:rsidRDefault="00DF5267" w:rsidP="00CC3830">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E0355">
              <w:rPr>
                <w:rFonts w:eastAsia="Times New Roman" w:cs="Arial"/>
                <w:i/>
                <w:color w:val="000000"/>
                <w:sz w:val="18"/>
                <w:szCs w:val="18"/>
                <w:lang w:eastAsia="en-GB"/>
              </w:rPr>
              <w:t>Milk</w:t>
            </w:r>
            <w:r>
              <w:rPr>
                <w:rFonts w:eastAsia="Times New Roman" w:cs="Arial"/>
                <w:i/>
                <w:color w:val="000000"/>
                <w:sz w:val="18"/>
                <w:szCs w:val="18"/>
                <w:lang w:eastAsia="en-GB"/>
              </w:rPr>
              <w:t xml:space="preserve"> (all)</w:t>
            </w:r>
          </w:p>
        </w:tc>
        <w:tc>
          <w:tcPr>
            <w:tcW w:w="1619" w:type="dxa"/>
            <w:noWrap/>
            <w:vAlign w:val="center"/>
          </w:tcPr>
          <w:p w14:paraId="5BD38E8B" w14:textId="5259184D"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5E1041C9" w14:textId="6BFAC2FA"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1476</w:t>
            </w:r>
          </w:p>
        </w:tc>
        <w:tc>
          <w:tcPr>
            <w:tcW w:w="1841" w:type="dxa"/>
            <w:noWrap/>
            <w:vAlign w:val="center"/>
          </w:tcPr>
          <w:p w14:paraId="30B8AD50" w14:textId="1F8E3759"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738</w:t>
            </w:r>
          </w:p>
        </w:tc>
        <w:tc>
          <w:tcPr>
            <w:tcW w:w="2034" w:type="dxa"/>
            <w:noWrap/>
            <w:vAlign w:val="bottom"/>
          </w:tcPr>
          <w:p w14:paraId="37DDA21E" w14:textId="3E91CED9"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1097</w:t>
            </w:r>
          </w:p>
        </w:tc>
        <w:tc>
          <w:tcPr>
            <w:tcW w:w="2174" w:type="dxa"/>
            <w:noWrap/>
            <w:vAlign w:val="bottom"/>
          </w:tcPr>
          <w:p w14:paraId="4CA11A63" w14:textId="3048A396"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679</w:t>
            </w:r>
          </w:p>
        </w:tc>
      </w:tr>
      <w:tr w:rsidR="00DF5267" w:rsidRPr="00F420C3" w14:paraId="3B0068FE"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64CF94A0" w14:textId="3BFD68A0" w:rsidR="00DF5267" w:rsidRPr="00A10267" w:rsidRDefault="00DF5267" w:rsidP="009A3DDD">
            <w:pPr>
              <w:spacing w:after="0" w:line="240" w:lineRule="auto"/>
              <w:contextualSpacing/>
              <w:rPr>
                <w:rFonts w:eastAsia="Times New Roman" w:cs="Arial"/>
                <w:color w:val="000000"/>
                <w:sz w:val="18"/>
                <w:szCs w:val="18"/>
                <w:lang w:eastAsia="en-GB"/>
              </w:rPr>
            </w:pPr>
          </w:p>
        </w:tc>
        <w:tc>
          <w:tcPr>
            <w:tcW w:w="2551" w:type="dxa"/>
            <w:noWrap/>
          </w:tcPr>
          <w:p w14:paraId="0F797DCE" w14:textId="06BB91A8" w:rsidR="00DF5267" w:rsidRPr="00BE0355" w:rsidRDefault="00DF5267" w:rsidP="00CC3830">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10267">
              <w:rPr>
                <w:rFonts w:eastAsia="Times New Roman" w:cs="Arial"/>
                <w:color w:val="000000"/>
                <w:sz w:val="18"/>
                <w:szCs w:val="18"/>
                <w:lang w:eastAsia="en-GB"/>
              </w:rPr>
              <w:t>Cattle milk</w:t>
            </w:r>
          </w:p>
        </w:tc>
        <w:tc>
          <w:tcPr>
            <w:tcW w:w="1619" w:type="dxa"/>
            <w:noWrap/>
            <w:vAlign w:val="center"/>
          </w:tcPr>
          <w:p w14:paraId="42DC0F65"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0F475B14" w14:textId="1C6B3C7F"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1476</w:t>
            </w:r>
          </w:p>
        </w:tc>
        <w:tc>
          <w:tcPr>
            <w:tcW w:w="1841" w:type="dxa"/>
            <w:noWrap/>
            <w:vAlign w:val="center"/>
          </w:tcPr>
          <w:p w14:paraId="3F7DC962" w14:textId="6B52DF0D"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738</w:t>
            </w:r>
          </w:p>
        </w:tc>
        <w:tc>
          <w:tcPr>
            <w:tcW w:w="2034" w:type="dxa"/>
            <w:noWrap/>
            <w:vAlign w:val="bottom"/>
          </w:tcPr>
          <w:p w14:paraId="57A39A81" w14:textId="5959297C"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1097</w:t>
            </w:r>
          </w:p>
        </w:tc>
        <w:tc>
          <w:tcPr>
            <w:tcW w:w="2174" w:type="dxa"/>
            <w:noWrap/>
            <w:vAlign w:val="bottom"/>
          </w:tcPr>
          <w:p w14:paraId="3A6B21E7" w14:textId="324DB077"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678</w:t>
            </w:r>
          </w:p>
        </w:tc>
      </w:tr>
      <w:tr w:rsidR="00DF5267" w:rsidRPr="00F420C3" w14:paraId="3F649265"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06A60FE4" w14:textId="012529B7" w:rsidR="00DF5267" w:rsidRPr="00A10267" w:rsidRDefault="00DF5267" w:rsidP="009A3DDD">
            <w:pPr>
              <w:spacing w:after="0" w:line="240" w:lineRule="auto"/>
              <w:contextualSpacing/>
              <w:rPr>
                <w:rFonts w:eastAsia="Times New Roman" w:cs="Arial"/>
                <w:color w:val="000000"/>
                <w:sz w:val="18"/>
                <w:szCs w:val="18"/>
                <w:lang w:eastAsia="en-GB"/>
              </w:rPr>
            </w:pPr>
          </w:p>
        </w:tc>
        <w:tc>
          <w:tcPr>
            <w:tcW w:w="2551" w:type="dxa"/>
            <w:noWrap/>
            <w:hideMark/>
          </w:tcPr>
          <w:p w14:paraId="19C8BC75" w14:textId="68405266"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milk</w:t>
            </w:r>
          </w:p>
        </w:tc>
        <w:tc>
          <w:tcPr>
            <w:tcW w:w="1619" w:type="dxa"/>
            <w:noWrap/>
            <w:vAlign w:val="center"/>
          </w:tcPr>
          <w:p w14:paraId="44F2825C"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267FE38F" w14:textId="1671257B"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1476</w:t>
            </w:r>
          </w:p>
        </w:tc>
        <w:tc>
          <w:tcPr>
            <w:tcW w:w="1841" w:type="dxa"/>
            <w:noWrap/>
            <w:vAlign w:val="center"/>
          </w:tcPr>
          <w:p w14:paraId="13499A27" w14:textId="558CE9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738</w:t>
            </w:r>
          </w:p>
        </w:tc>
        <w:tc>
          <w:tcPr>
            <w:tcW w:w="2034" w:type="dxa"/>
            <w:noWrap/>
            <w:vAlign w:val="bottom"/>
          </w:tcPr>
          <w:p w14:paraId="09AB7C4C" w14:textId="2A04EAE8"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c>
          <w:tcPr>
            <w:tcW w:w="2174" w:type="dxa"/>
            <w:noWrap/>
            <w:vAlign w:val="bottom"/>
          </w:tcPr>
          <w:p w14:paraId="12CC36F2" w14:textId="3F58EEF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r w:rsidR="00DF5267" w:rsidRPr="00F420C3" w14:paraId="011DAF9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6EA3BA0C" w14:textId="7A62703A" w:rsidR="00DF5267" w:rsidRPr="00BE0355" w:rsidRDefault="00DF5267" w:rsidP="009A3DDD">
            <w:pPr>
              <w:spacing w:after="0" w:line="240" w:lineRule="auto"/>
              <w:contextualSpacing/>
              <w:rPr>
                <w:rFonts w:eastAsia="Times New Roman" w:cs="Arial"/>
                <w:i/>
                <w:color w:val="000000"/>
                <w:sz w:val="18"/>
                <w:szCs w:val="18"/>
                <w:lang w:eastAsia="en-GB"/>
              </w:rPr>
            </w:pPr>
          </w:p>
        </w:tc>
        <w:tc>
          <w:tcPr>
            <w:tcW w:w="2551" w:type="dxa"/>
            <w:noWrap/>
            <w:hideMark/>
          </w:tcPr>
          <w:p w14:paraId="1050F42D" w14:textId="197312C4"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E0355">
              <w:rPr>
                <w:rFonts w:eastAsia="Times New Roman" w:cs="Arial"/>
                <w:i/>
                <w:color w:val="000000"/>
                <w:sz w:val="18"/>
                <w:szCs w:val="18"/>
                <w:lang w:eastAsia="en-GB"/>
              </w:rPr>
              <w:t>Miscellaneous foods (honey)</w:t>
            </w:r>
          </w:p>
        </w:tc>
        <w:tc>
          <w:tcPr>
            <w:tcW w:w="1619" w:type="dxa"/>
            <w:noWrap/>
            <w:vAlign w:val="center"/>
          </w:tcPr>
          <w:p w14:paraId="0CB420C4"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7559BE71" w14:textId="4FA70BF5"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0EEBDA95" w14:textId="6A9E5A16"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092D3E67" w14:textId="7BE74E7D"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w:t>
            </w:r>
          </w:p>
        </w:tc>
        <w:tc>
          <w:tcPr>
            <w:tcW w:w="2174" w:type="dxa"/>
            <w:noWrap/>
            <w:vAlign w:val="bottom"/>
          </w:tcPr>
          <w:p w14:paraId="27BFB8B5" w14:textId="68F0592E"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r w:rsidR="00DF5267" w:rsidRPr="00F420C3" w14:paraId="409CD17F"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2AFB0367" w14:textId="3F282108" w:rsidR="00DF5267" w:rsidRPr="00BE0355" w:rsidRDefault="00DF5267" w:rsidP="009A3DDD">
            <w:pPr>
              <w:spacing w:after="0" w:line="240" w:lineRule="auto"/>
              <w:contextualSpacing/>
              <w:rPr>
                <w:rFonts w:eastAsia="Times New Roman" w:cs="Arial"/>
                <w:i/>
                <w:color w:val="000000"/>
                <w:sz w:val="18"/>
                <w:szCs w:val="18"/>
                <w:lang w:eastAsia="en-GB"/>
              </w:rPr>
            </w:pPr>
          </w:p>
        </w:tc>
        <w:tc>
          <w:tcPr>
            <w:tcW w:w="2551" w:type="dxa"/>
            <w:noWrap/>
            <w:hideMark/>
          </w:tcPr>
          <w:p w14:paraId="6AE5809A" w14:textId="2A0C0A7C" w:rsidR="00DF5267" w:rsidRPr="00BE0355"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Offal mammalian</w:t>
            </w:r>
          </w:p>
        </w:tc>
        <w:tc>
          <w:tcPr>
            <w:tcW w:w="1619" w:type="dxa"/>
            <w:noWrap/>
            <w:vAlign w:val="center"/>
          </w:tcPr>
          <w:p w14:paraId="01838ADD"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2E72E2FA" w14:textId="67A8BA6C"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507</w:t>
            </w:r>
          </w:p>
        </w:tc>
        <w:tc>
          <w:tcPr>
            <w:tcW w:w="1841" w:type="dxa"/>
            <w:noWrap/>
            <w:vAlign w:val="center"/>
          </w:tcPr>
          <w:p w14:paraId="087A6E7C" w14:textId="00CEE1C8"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2034" w:type="dxa"/>
            <w:noWrap/>
            <w:vAlign w:val="bottom"/>
          </w:tcPr>
          <w:p w14:paraId="5BED4BF9" w14:textId="1E908704"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w:t>
            </w:r>
          </w:p>
        </w:tc>
        <w:tc>
          <w:tcPr>
            <w:tcW w:w="2174" w:type="dxa"/>
            <w:noWrap/>
            <w:vAlign w:val="bottom"/>
          </w:tcPr>
          <w:p w14:paraId="39886523" w14:textId="563282F5"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w:t>
            </w:r>
          </w:p>
        </w:tc>
      </w:tr>
      <w:tr w:rsidR="00DF5267" w:rsidRPr="00F420C3" w14:paraId="753DA0CC"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67E3DE8C" w14:textId="78B0B663" w:rsidR="00DF5267" w:rsidRPr="00BE0355" w:rsidRDefault="00DF5267" w:rsidP="009A3DDD">
            <w:pPr>
              <w:spacing w:after="0" w:line="240" w:lineRule="auto"/>
              <w:contextualSpacing/>
              <w:rPr>
                <w:rFonts w:eastAsia="Times New Roman" w:cs="Arial"/>
                <w:i/>
                <w:color w:val="000000"/>
                <w:sz w:val="18"/>
                <w:szCs w:val="18"/>
                <w:lang w:eastAsia="en-GB"/>
              </w:rPr>
            </w:pPr>
          </w:p>
        </w:tc>
        <w:tc>
          <w:tcPr>
            <w:tcW w:w="2551" w:type="dxa"/>
            <w:noWrap/>
            <w:hideMark/>
          </w:tcPr>
          <w:p w14:paraId="358A7D4D" w14:textId="0FB6839D" w:rsidR="00DF5267" w:rsidRPr="00BE0355"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BE0355">
              <w:rPr>
                <w:rFonts w:eastAsia="Times New Roman" w:cs="Arial"/>
                <w:i/>
                <w:color w:val="000000"/>
                <w:sz w:val="18"/>
                <w:szCs w:val="18"/>
                <w:lang w:eastAsia="en-GB"/>
              </w:rPr>
              <w:t>Poultry eggs</w:t>
            </w:r>
          </w:p>
        </w:tc>
        <w:tc>
          <w:tcPr>
            <w:tcW w:w="1619" w:type="dxa"/>
            <w:noWrap/>
            <w:vAlign w:val="center"/>
          </w:tcPr>
          <w:p w14:paraId="1CF5B968" w14:textId="6990BF92" w:rsidR="00DF5267" w:rsidRPr="00F420C3"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447</w:t>
            </w:r>
          </w:p>
        </w:tc>
        <w:tc>
          <w:tcPr>
            <w:tcW w:w="1906" w:type="dxa"/>
            <w:noWrap/>
            <w:vAlign w:val="center"/>
          </w:tcPr>
          <w:p w14:paraId="19D69ABB" w14:textId="7112357A" w:rsidR="00DF5267" w:rsidRPr="00F420C3"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152</w:t>
            </w:r>
          </w:p>
        </w:tc>
        <w:tc>
          <w:tcPr>
            <w:tcW w:w="1841" w:type="dxa"/>
            <w:noWrap/>
            <w:vAlign w:val="center"/>
          </w:tcPr>
          <w:p w14:paraId="58FACA81" w14:textId="629A89AC" w:rsidR="00DF5267" w:rsidRPr="00F420C3"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w:t>
            </w:r>
          </w:p>
        </w:tc>
        <w:tc>
          <w:tcPr>
            <w:tcW w:w="2034" w:type="dxa"/>
            <w:noWrap/>
            <w:vAlign w:val="bottom"/>
          </w:tcPr>
          <w:p w14:paraId="28379726" w14:textId="4E83C2E1" w:rsidR="00DF5267" w:rsidRPr="00DF5267"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w:t>
            </w:r>
          </w:p>
        </w:tc>
        <w:tc>
          <w:tcPr>
            <w:tcW w:w="2174" w:type="dxa"/>
            <w:noWrap/>
            <w:vAlign w:val="bottom"/>
          </w:tcPr>
          <w:p w14:paraId="77AE4FF0" w14:textId="100CE9C0" w:rsidR="00DF5267" w:rsidRPr="00DF5267"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13</w:t>
            </w:r>
          </w:p>
        </w:tc>
      </w:tr>
      <w:tr w:rsidR="00DF5267" w:rsidRPr="00F420C3" w14:paraId="5DB20DBD"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55D071DA" w14:textId="097E0ABB" w:rsidR="00DF5267" w:rsidRPr="0092375E" w:rsidRDefault="00DF5267" w:rsidP="0092375E">
            <w:pPr>
              <w:spacing w:after="0" w:line="240" w:lineRule="auto"/>
              <w:contextualSpacing/>
              <w:rPr>
                <w:rFonts w:cs="Arial"/>
                <w:b w:val="0"/>
                <w:bCs w:val="0"/>
                <w:i/>
                <w:color w:val="000000"/>
                <w:sz w:val="18"/>
                <w:szCs w:val="18"/>
              </w:rPr>
            </w:pPr>
            <w:r w:rsidRPr="003C03A1">
              <w:rPr>
                <w:rFonts w:eastAsia="Times New Roman" w:cs="Arial"/>
                <w:color w:val="000000"/>
                <w:sz w:val="18"/>
                <w:szCs w:val="18"/>
                <w:lang w:eastAsia="en-GB"/>
              </w:rPr>
              <w:t>Fruit and vegetables</w:t>
            </w:r>
          </w:p>
        </w:tc>
        <w:tc>
          <w:tcPr>
            <w:tcW w:w="2551" w:type="dxa"/>
            <w:noWrap/>
          </w:tcPr>
          <w:p w14:paraId="546B8F98" w14:textId="6A262E70" w:rsidR="00DF5267"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BE0355">
              <w:rPr>
                <w:rFonts w:cs="Arial"/>
                <w:i/>
                <w:color w:val="000000"/>
                <w:sz w:val="18"/>
                <w:szCs w:val="18"/>
              </w:rPr>
              <w:t>Vegetables (all)</w:t>
            </w:r>
          </w:p>
        </w:tc>
        <w:tc>
          <w:tcPr>
            <w:tcW w:w="1619" w:type="dxa"/>
            <w:noWrap/>
            <w:vAlign w:val="center"/>
          </w:tcPr>
          <w:p w14:paraId="3D7095C8"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232EF226"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841" w:type="dxa"/>
            <w:noWrap/>
            <w:vAlign w:val="center"/>
          </w:tcPr>
          <w:p w14:paraId="5B0C6323"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2034" w:type="dxa"/>
            <w:noWrap/>
            <w:vAlign w:val="bottom"/>
          </w:tcPr>
          <w:p w14:paraId="05440C90" w14:textId="191F35F0"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346</w:t>
            </w:r>
          </w:p>
        </w:tc>
        <w:tc>
          <w:tcPr>
            <w:tcW w:w="2174" w:type="dxa"/>
            <w:noWrap/>
            <w:vAlign w:val="bottom"/>
          </w:tcPr>
          <w:p w14:paraId="1EA2916F" w14:textId="03612E0E"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188</w:t>
            </w:r>
          </w:p>
        </w:tc>
      </w:tr>
      <w:tr w:rsidR="00DF5267" w:rsidRPr="00F420C3" w14:paraId="40791B1F"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3FC740A2" w14:textId="7175B0BB"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220CD446" w14:textId="6E6F52C5" w:rsidR="00DF5267" w:rsidRPr="00BE0355" w:rsidRDefault="00DF5267" w:rsidP="00CC3830">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10267">
              <w:rPr>
                <w:rFonts w:eastAsia="Times New Roman" w:cs="Arial"/>
                <w:color w:val="000000"/>
                <w:sz w:val="18"/>
                <w:szCs w:val="18"/>
                <w:lang w:eastAsia="en-GB"/>
              </w:rPr>
              <w:t>Cucurbits</w:t>
            </w:r>
          </w:p>
        </w:tc>
        <w:tc>
          <w:tcPr>
            <w:tcW w:w="1619" w:type="dxa"/>
            <w:noWrap/>
            <w:vAlign w:val="center"/>
          </w:tcPr>
          <w:p w14:paraId="61383D72"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459A2B36" w14:textId="252DCE1F"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760</w:t>
            </w:r>
          </w:p>
        </w:tc>
        <w:tc>
          <w:tcPr>
            <w:tcW w:w="1841" w:type="dxa"/>
            <w:noWrap/>
            <w:vAlign w:val="center"/>
          </w:tcPr>
          <w:p w14:paraId="46788691" w14:textId="694930E8"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380</w:t>
            </w:r>
          </w:p>
        </w:tc>
        <w:tc>
          <w:tcPr>
            <w:tcW w:w="2034" w:type="dxa"/>
            <w:noWrap/>
            <w:vAlign w:val="bottom"/>
          </w:tcPr>
          <w:p w14:paraId="18CF3B40" w14:textId="5A07E03E"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115</w:t>
            </w:r>
          </w:p>
        </w:tc>
        <w:tc>
          <w:tcPr>
            <w:tcW w:w="2174" w:type="dxa"/>
            <w:noWrap/>
            <w:vAlign w:val="bottom"/>
          </w:tcPr>
          <w:p w14:paraId="6120C02B" w14:textId="5D37A80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35</w:t>
            </w:r>
          </w:p>
        </w:tc>
      </w:tr>
      <w:tr w:rsidR="00DF5267" w:rsidRPr="00F420C3" w14:paraId="58990115"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7EA71131" w14:textId="2B4324B3"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01124484" w14:textId="1AD1D362" w:rsidR="00DF5267" w:rsidRPr="00A10267" w:rsidRDefault="00DF5267" w:rsidP="00CC3830">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Herbs</w:t>
            </w:r>
          </w:p>
        </w:tc>
        <w:tc>
          <w:tcPr>
            <w:tcW w:w="1619" w:type="dxa"/>
            <w:noWrap/>
            <w:vAlign w:val="center"/>
          </w:tcPr>
          <w:p w14:paraId="34DB1DAC"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550E1F49" w14:textId="49BBA96D"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19D303A8" w14:textId="4F0DF289"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4F4014E1" w14:textId="013A0E82"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c>
          <w:tcPr>
            <w:tcW w:w="2174" w:type="dxa"/>
            <w:noWrap/>
            <w:vAlign w:val="bottom"/>
          </w:tcPr>
          <w:p w14:paraId="686DD533" w14:textId="0215F961"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w:t>
            </w:r>
          </w:p>
        </w:tc>
      </w:tr>
      <w:tr w:rsidR="00DF5267" w:rsidRPr="00F420C3" w14:paraId="6B5BC595"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4C37EAF9" w14:textId="7C932BFE"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00CB70A1" w14:textId="4720B120" w:rsidR="00DF5267" w:rsidRPr="00A10267" w:rsidRDefault="00DF5267" w:rsidP="00CC3830">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Leafy vegetables</w:t>
            </w:r>
          </w:p>
        </w:tc>
        <w:tc>
          <w:tcPr>
            <w:tcW w:w="1619" w:type="dxa"/>
            <w:noWrap/>
            <w:vAlign w:val="center"/>
          </w:tcPr>
          <w:p w14:paraId="17AC767B"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4E4A03AE" w14:textId="19121F18"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760</w:t>
            </w:r>
          </w:p>
        </w:tc>
        <w:tc>
          <w:tcPr>
            <w:tcW w:w="1841" w:type="dxa"/>
            <w:noWrap/>
            <w:vAlign w:val="center"/>
          </w:tcPr>
          <w:p w14:paraId="087C1BFE" w14:textId="0C84E16B"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380</w:t>
            </w:r>
          </w:p>
        </w:tc>
        <w:tc>
          <w:tcPr>
            <w:tcW w:w="2034" w:type="dxa"/>
            <w:noWrap/>
            <w:vAlign w:val="bottom"/>
          </w:tcPr>
          <w:p w14:paraId="1C4A9F1D" w14:textId="1F85383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26</w:t>
            </w:r>
          </w:p>
        </w:tc>
        <w:tc>
          <w:tcPr>
            <w:tcW w:w="2174" w:type="dxa"/>
            <w:noWrap/>
            <w:vAlign w:val="bottom"/>
          </w:tcPr>
          <w:p w14:paraId="75C6EC15" w14:textId="4E1ECEF3"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w:t>
            </w:r>
          </w:p>
        </w:tc>
      </w:tr>
      <w:tr w:rsidR="00DF5267" w:rsidRPr="00F420C3" w14:paraId="374173AB"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781B01F3" w14:textId="754C2A54"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3AB7CACF" w14:textId="2AF79BA6" w:rsidR="00DF5267" w:rsidRPr="00A10267" w:rsidRDefault="00DF5267" w:rsidP="00CC3830">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Other fruiting vegetables</w:t>
            </w:r>
          </w:p>
        </w:tc>
        <w:tc>
          <w:tcPr>
            <w:tcW w:w="1619" w:type="dxa"/>
            <w:noWrap/>
            <w:vAlign w:val="center"/>
          </w:tcPr>
          <w:p w14:paraId="37EC2D68"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7A96D02F" w14:textId="11910986"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06BDA060" w14:textId="6D079CF9"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33BE3BBF" w14:textId="13D8D11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151</w:t>
            </w:r>
          </w:p>
        </w:tc>
        <w:tc>
          <w:tcPr>
            <w:tcW w:w="2174" w:type="dxa"/>
            <w:noWrap/>
            <w:vAlign w:val="bottom"/>
          </w:tcPr>
          <w:p w14:paraId="2406E30F" w14:textId="115B7990"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73</w:t>
            </w:r>
          </w:p>
        </w:tc>
      </w:tr>
      <w:tr w:rsidR="00DF5267" w:rsidRPr="00F420C3" w14:paraId="1B73D0EE"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41E3E57B" w14:textId="19B9FF56"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64FF29F5" w14:textId="56BA3DDB" w:rsidR="00DF5267" w:rsidRPr="00A10267" w:rsidRDefault="00DF5267" w:rsidP="00CC3830">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Root and tuber vegetables</w:t>
            </w:r>
          </w:p>
        </w:tc>
        <w:tc>
          <w:tcPr>
            <w:tcW w:w="1619" w:type="dxa"/>
            <w:noWrap/>
            <w:vAlign w:val="center"/>
          </w:tcPr>
          <w:p w14:paraId="2BF976BE"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1C4D2F97" w14:textId="1E724BD3"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58278228" w14:textId="4FC08AA3"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7EB90B40" w14:textId="7EB45304"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164</w:t>
            </w:r>
          </w:p>
        </w:tc>
        <w:tc>
          <w:tcPr>
            <w:tcW w:w="2174" w:type="dxa"/>
            <w:noWrap/>
            <w:vAlign w:val="bottom"/>
          </w:tcPr>
          <w:p w14:paraId="1BF18479" w14:textId="7BC014C3"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66</w:t>
            </w:r>
          </w:p>
        </w:tc>
      </w:tr>
      <w:tr w:rsidR="00DF5267" w:rsidRPr="00F420C3" w14:paraId="263880D3"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4CC9901A" w14:textId="3176486F"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4522EC10" w14:textId="65997FD2" w:rsidR="00DF5267" w:rsidRPr="00A10267" w:rsidRDefault="00DF5267" w:rsidP="00CC3830">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Spices</w:t>
            </w:r>
          </w:p>
        </w:tc>
        <w:tc>
          <w:tcPr>
            <w:tcW w:w="1619" w:type="dxa"/>
            <w:noWrap/>
            <w:vAlign w:val="center"/>
          </w:tcPr>
          <w:p w14:paraId="67C70517"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591B370B" w14:textId="6D2F9DA2"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041B8C39" w14:textId="016F7D4B"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2FDF1769" w14:textId="1C5C21CE"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w:t>
            </w:r>
          </w:p>
        </w:tc>
        <w:tc>
          <w:tcPr>
            <w:tcW w:w="2174" w:type="dxa"/>
            <w:noWrap/>
            <w:vAlign w:val="bottom"/>
          </w:tcPr>
          <w:p w14:paraId="1C91F389" w14:textId="17CCDEEE"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w:t>
            </w:r>
          </w:p>
        </w:tc>
      </w:tr>
      <w:tr w:rsidR="00DF5267" w:rsidRPr="00F420C3" w14:paraId="111A780A"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7DBEF26B" w14:textId="69B640FF"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hideMark/>
          </w:tcPr>
          <w:p w14:paraId="60B2DF04" w14:textId="73221650"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Stalk and stem vegetables</w:t>
            </w:r>
          </w:p>
        </w:tc>
        <w:tc>
          <w:tcPr>
            <w:tcW w:w="1619" w:type="dxa"/>
            <w:noWrap/>
            <w:vAlign w:val="center"/>
          </w:tcPr>
          <w:p w14:paraId="4922776A" w14:textId="3676994C"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304</w:t>
            </w:r>
          </w:p>
        </w:tc>
        <w:tc>
          <w:tcPr>
            <w:tcW w:w="1906" w:type="dxa"/>
            <w:noWrap/>
            <w:vAlign w:val="center"/>
          </w:tcPr>
          <w:p w14:paraId="4A4C0AFA" w14:textId="021C3956"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304</w:t>
            </w:r>
          </w:p>
        </w:tc>
        <w:tc>
          <w:tcPr>
            <w:tcW w:w="1841" w:type="dxa"/>
            <w:noWrap/>
            <w:vAlign w:val="center"/>
          </w:tcPr>
          <w:p w14:paraId="624E011E" w14:textId="45B91AB9"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304</w:t>
            </w:r>
          </w:p>
        </w:tc>
        <w:tc>
          <w:tcPr>
            <w:tcW w:w="2034" w:type="dxa"/>
            <w:noWrap/>
            <w:vAlign w:val="bottom"/>
          </w:tcPr>
          <w:p w14:paraId="658DD61B" w14:textId="5D36F499" w:rsidR="00DF5267" w:rsidRPr="00DF5267" w:rsidRDefault="00B4252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w:t>
            </w:r>
          </w:p>
        </w:tc>
        <w:tc>
          <w:tcPr>
            <w:tcW w:w="2174" w:type="dxa"/>
            <w:noWrap/>
            <w:vAlign w:val="bottom"/>
          </w:tcPr>
          <w:p w14:paraId="0D5BAD77" w14:textId="3EBD986A" w:rsidR="00DF5267" w:rsidRPr="00DF5267" w:rsidRDefault="00B4252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w:t>
            </w:r>
          </w:p>
        </w:tc>
      </w:tr>
      <w:tr w:rsidR="00DF5267" w:rsidRPr="00F420C3" w14:paraId="1D005757"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6E4741C3" w14:textId="6E03832A" w:rsidR="00DF5267" w:rsidRPr="00BE0355" w:rsidRDefault="00DF5267" w:rsidP="00CC3830">
            <w:pPr>
              <w:spacing w:after="0" w:line="240" w:lineRule="auto"/>
              <w:contextualSpacing/>
              <w:jc w:val="right"/>
              <w:rPr>
                <w:rFonts w:cs="Arial"/>
                <w:i/>
                <w:color w:val="000000"/>
                <w:sz w:val="18"/>
                <w:szCs w:val="18"/>
              </w:rPr>
            </w:pPr>
          </w:p>
        </w:tc>
        <w:tc>
          <w:tcPr>
            <w:tcW w:w="2551" w:type="dxa"/>
            <w:noWrap/>
            <w:hideMark/>
          </w:tcPr>
          <w:p w14:paraId="3F7BC7E3" w14:textId="315D95C4" w:rsidR="00DF5267" w:rsidRPr="00A10267" w:rsidRDefault="00DF5267" w:rsidP="00CC3830">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E0355">
              <w:rPr>
                <w:rFonts w:cs="Arial"/>
                <w:i/>
                <w:color w:val="000000"/>
                <w:sz w:val="18"/>
                <w:szCs w:val="18"/>
              </w:rPr>
              <w:t>Fruit (all)</w:t>
            </w:r>
          </w:p>
        </w:tc>
        <w:tc>
          <w:tcPr>
            <w:tcW w:w="1619" w:type="dxa"/>
            <w:noWrap/>
            <w:vAlign w:val="center"/>
          </w:tcPr>
          <w:p w14:paraId="0AB02869" w14:textId="3BBB86B4"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230AE890" w14:textId="242B8D72"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841" w:type="dxa"/>
            <w:noWrap/>
            <w:vAlign w:val="center"/>
          </w:tcPr>
          <w:p w14:paraId="74889A6D" w14:textId="35DE110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2034" w:type="dxa"/>
            <w:noWrap/>
            <w:vAlign w:val="bottom"/>
          </w:tcPr>
          <w:p w14:paraId="379937B1" w14:textId="643E7CB3"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592</w:t>
            </w:r>
          </w:p>
        </w:tc>
        <w:tc>
          <w:tcPr>
            <w:tcW w:w="2174" w:type="dxa"/>
            <w:noWrap/>
            <w:vAlign w:val="bottom"/>
          </w:tcPr>
          <w:p w14:paraId="0BFA50F4" w14:textId="3B7DB77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314</w:t>
            </w:r>
          </w:p>
        </w:tc>
      </w:tr>
      <w:tr w:rsidR="00DF5267" w:rsidRPr="00F420C3" w14:paraId="292EED83"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491EAB20" w14:textId="59FC5E75"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7C7EF6F4" w14:textId="4A66141E" w:rsidR="00DF5267" w:rsidRPr="00BE0355" w:rsidRDefault="00DF5267" w:rsidP="00CC3830">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10267">
              <w:rPr>
                <w:rFonts w:eastAsia="Times New Roman" w:cs="Arial"/>
                <w:color w:val="000000"/>
                <w:sz w:val="18"/>
                <w:szCs w:val="18"/>
                <w:lang w:eastAsia="en-GB"/>
              </w:rPr>
              <w:t>Berries and other small fruits</w:t>
            </w:r>
          </w:p>
        </w:tc>
        <w:tc>
          <w:tcPr>
            <w:tcW w:w="1619" w:type="dxa"/>
            <w:noWrap/>
            <w:vAlign w:val="center"/>
          </w:tcPr>
          <w:p w14:paraId="2DD4E780"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5BC1F2E3" w14:textId="781A2393"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3A8FE30E" w14:textId="1DD3A7FB"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3D065BD7" w14:textId="31471DE9"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108</w:t>
            </w:r>
          </w:p>
        </w:tc>
        <w:tc>
          <w:tcPr>
            <w:tcW w:w="2174" w:type="dxa"/>
            <w:noWrap/>
            <w:vAlign w:val="bottom"/>
          </w:tcPr>
          <w:p w14:paraId="37FE1315" w14:textId="6526F2DB"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38</w:t>
            </w:r>
          </w:p>
        </w:tc>
      </w:tr>
      <w:tr w:rsidR="00DF5267" w:rsidRPr="00F420C3" w14:paraId="37A99C06"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4A23D6D8" w14:textId="0F46A750"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085A8F1D" w14:textId="333D1A39" w:rsidR="00DF5267" w:rsidRPr="00A10267" w:rsidRDefault="00DF5267" w:rsidP="00CC3830">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Citrus fruits</w:t>
            </w:r>
          </w:p>
        </w:tc>
        <w:tc>
          <w:tcPr>
            <w:tcW w:w="1619" w:type="dxa"/>
            <w:noWrap/>
            <w:vAlign w:val="center"/>
          </w:tcPr>
          <w:p w14:paraId="1530FAD1"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1312EF02" w14:textId="6F640D58"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5867D35A" w14:textId="5CCFAF4D"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2224034E" w14:textId="016C4104"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246</w:t>
            </w:r>
          </w:p>
        </w:tc>
        <w:tc>
          <w:tcPr>
            <w:tcW w:w="2174" w:type="dxa"/>
            <w:noWrap/>
            <w:vAlign w:val="bottom"/>
          </w:tcPr>
          <w:p w14:paraId="5A9F987B" w14:textId="728B12A6"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88</w:t>
            </w:r>
          </w:p>
        </w:tc>
      </w:tr>
      <w:tr w:rsidR="00DF5267" w:rsidRPr="00F420C3" w14:paraId="0695E83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64EC2878" w14:textId="3CF50858"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00D356E5" w14:textId="3B130D25" w:rsidR="00DF5267" w:rsidRPr="00A10267" w:rsidRDefault="00DF5267" w:rsidP="00CC3830">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Pome fruits</w:t>
            </w:r>
          </w:p>
        </w:tc>
        <w:tc>
          <w:tcPr>
            <w:tcW w:w="1619" w:type="dxa"/>
            <w:noWrap/>
            <w:vAlign w:val="center"/>
          </w:tcPr>
          <w:p w14:paraId="46B931F5"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49BE68A2" w14:textId="6D8AFDB4"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253</w:t>
            </w:r>
          </w:p>
        </w:tc>
        <w:tc>
          <w:tcPr>
            <w:tcW w:w="1841" w:type="dxa"/>
            <w:noWrap/>
            <w:vAlign w:val="center"/>
          </w:tcPr>
          <w:p w14:paraId="28C0F1FC" w14:textId="485800AD"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127</w:t>
            </w:r>
          </w:p>
        </w:tc>
        <w:tc>
          <w:tcPr>
            <w:tcW w:w="2034" w:type="dxa"/>
            <w:noWrap/>
            <w:vAlign w:val="bottom"/>
          </w:tcPr>
          <w:p w14:paraId="0D100FF1" w14:textId="1C581012"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361</w:t>
            </w:r>
          </w:p>
        </w:tc>
        <w:tc>
          <w:tcPr>
            <w:tcW w:w="2174" w:type="dxa"/>
            <w:noWrap/>
            <w:vAlign w:val="bottom"/>
          </w:tcPr>
          <w:p w14:paraId="3C40374A" w14:textId="722D760A"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171</w:t>
            </w:r>
          </w:p>
        </w:tc>
      </w:tr>
      <w:tr w:rsidR="00DF5267" w:rsidRPr="00F420C3" w14:paraId="4F2C954A"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3" w:type="dxa"/>
            <w:vMerge/>
          </w:tcPr>
          <w:p w14:paraId="37BA69AA" w14:textId="35E2D65C" w:rsidR="00DF5267" w:rsidRPr="00A10267" w:rsidRDefault="00DF5267" w:rsidP="00CC3830">
            <w:pPr>
              <w:spacing w:after="0" w:line="240" w:lineRule="auto"/>
              <w:contextualSpacing/>
              <w:jc w:val="right"/>
              <w:rPr>
                <w:rFonts w:eastAsia="Times New Roman" w:cs="Arial"/>
                <w:color w:val="000000"/>
                <w:sz w:val="18"/>
                <w:szCs w:val="18"/>
                <w:lang w:eastAsia="en-GB"/>
              </w:rPr>
            </w:pPr>
          </w:p>
        </w:tc>
        <w:tc>
          <w:tcPr>
            <w:tcW w:w="2551" w:type="dxa"/>
            <w:noWrap/>
            <w:vAlign w:val="center"/>
            <w:hideMark/>
          </w:tcPr>
          <w:p w14:paraId="3FF9CFF5" w14:textId="5C54AE95" w:rsidR="00DF5267" w:rsidRPr="00A10267" w:rsidRDefault="00DF5267" w:rsidP="00CC3830">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Tropical fruit - edible peel</w:t>
            </w:r>
          </w:p>
        </w:tc>
        <w:tc>
          <w:tcPr>
            <w:tcW w:w="1619" w:type="dxa"/>
            <w:noWrap/>
            <w:vAlign w:val="center"/>
          </w:tcPr>
          <w:p w14:paraId="6DABC544" w14:textId="1A67679C" w:rsidR="00DF5267" w:rsidRPr="00F420C3" w:rsidRDefault="00DF5267" w:rsidP="00CC3830">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1906" w:type="dxa"/>
            <w:noWrap/>
            <w:vAlign w:val="center"/>
          </w:tcPr>
          <w:p w14:paraId="71BBA4AE" w14:textId="0E7D5078" w:rsidR="00DF5267" w:rsidRPr="00F420C3" w:rsidRDefault="00DF5267" w:rsidP="00CC38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760</w:t>
            </w:r>
          </w:p>
        </w:tc>
        <w:tc>
          <w:tcPr>
            <w:tcW w:w="1841" w:type="dxa"/>
            <w:noWrap/>
            <w:vAlign w:val="center"/>
          </w:tcPr>
          <w:p w14:paraId="46A9A577" w14:textId="7884D5FF" w:rsidR="00DF5267" w:rsidRPr="00F420C3" w:rsidRDefault="00DF5267" w:rsidP="00CC38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F420C3">
              <w:rPr>
                <w:rFonts w:cs="Arial"/>
                <w:color w:val="000000"/>
                <w:sz w:val="18"/>
                <w:szCs w:val="18"/>
              </w:rPr>
              <w:t>380</w:t>
            </w:r>
          </w:p>
        </w:tc>
        <w:tc>
          <w:tcPr>
            <w:tcW w:w="2034" w:type="dxa"/>
            <w:noWrap/>
            <w:vAlign w:val="bottom"/>
          </w:tcPr>
          <w:p w14:paraId="753DA29D" w14:textId="539109B7" w:rsidR="00DF5267" w:rsidRPr="00DF5267" w:rsidRDefault="00DF5267" w:rsidP="00CC38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c>
          <w:tcPr>
            <w:tcW w:w="2174" w:type="dxa"/>
            <w:noWrap/>
            <w:vAlign w:val="bottom"/>
          </w:tcPr>
          <w:p w14:paraId="58945FD0" w14:textId="5D35DCD8" w:rsidR="00DF5267" w:rsidRPr="00DF5267" w:rsidRDefault="00DF5267" w:rsidP="00CC38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bl>
    <w:p w14:paraId="3C88CF3F" w14:textId="6D21D537" w:rsidR="00AC5A9F" w:rsidRPr="008A4D2C" w:rsidRDefault="00F420C3" w:rsidP="009A3DDD">
      <w:pPr>
        <w:pStyle w:val="FSCFootnote"/>
      </w:pPr>
      <w:r w:rsidRPr="008A4D2C">
        <w:t>*Consumption amounts not provided where median PFAS concentration was &lt;LOR and calculated as zero</w:t>
      </w:r>
      <w:r w:rsidR="00CC3830">
        <w:t xml:space="preserve">; </w:t>
      </w:r>
      <w:r w:rsidR="00AC5A9F" w:rsidRPr="008A4D2C">
        <w:t>- Not consumed</w:t>
      </w:r>
    </w:p>
    <w:p w14:paraId="26415399" w14:textId="7236070D" w:rsidR="001A2CD0" w:rsidRDefault="001A2CD0">
      <w:pPr>
        <w:rPr>
          <w:lang w:eastAsia="en-AU"/>
        </w:rPr>
      </w:pPr>
      <w:r>
        <w:rPr>
          <w:lang w:eastAsia="en-AU"/>
        </w:rPr>
        <w:br w:type="page"/>
      </w:r>
    </w:p>
    <w:p w14:paraId="5C50AD38" w14:textId="5EF92014" w:rsidR="00544A77" w:rsidRDefault="00544A77" w:rsidP="00984802">
      <w:pPr>
        <w:pStyle w:val="FSTableColumnRowheading"/>
      </w:pPr>
      <w:bookmarkStart w:id="206" w:name="_Ref473803724"/>
      <w:bookmarkStart w:id="207" w:name="_Ref473879918"/>
      <w:bookmarkStart w:id="208" w:name="_Toc474153724"/>
      <w:bookmarkStart w:id="209" w:name="_Toc474158916"/>
      <w:bookmarkStart w:id="210" w:name="_Toc474847876"/>
      <w:bookmarkStart w:id="211" w:name="_Toc474852116"/>
      <w:r w:rsidRPr="00F125A2">
        <w:lastRenderedPageBreak/>
        <w:t>Amount of food</w:t>
      </w:r>
      <w:r>
        <w:t>*</w:t>
      </w:r>
      <w:r w:rsidRPr="00F125A2">
        <w:t xml:space="preserve"> (grams</w:t>
      </w:r>
      <w:r w:rsidR="00AC5A9F">
        <w:t>/day</w:t>
      </w:r>
      <w:r w:rsidRPr="00F125A2">
        <w:t xml:space="preserve">) at median </w:t>
      </w:r>
      <w:r>
        <w:t>PFOS</w:t>
      </w:r>
      <w:r w:rsidRPr="00F125A2">
        <w:t xml:space="preserve"> concentration to reach the TDI for the population aged 2 years and above</w:t>
      </w:r>
      <w:bookmarkEnd w:id="206"/>
      <w:bookmarkEnd w:id="207"/>
      <w:bookmarkEnd w:id="208"/>
      <w:bookmarkEnd w:id="209"/>
      <w:bookmarkEnd w:id="210"/>
      <w:bookmarkEnd w:id="211"/>
    </w:p>
    <w:tbl>
      <w:tblPr>
        <w:tblStyle w:val="LightList-Accent1"/>
        <w:tblW w:w="0" w:type="auto"/>
        <w:tblLook w:val="04A0" w:firstRow="1" w:lastRow="0" w:firstColumn="1" w:lastColumn="0" w:noHBand="0" w:noVBand="1"/>
      </w:tblPr>
      <w:tblGrid>
        <w:gridCol w:w="1912"/>
        <w:gridCol w:w="2509"/>
        <w:gridCol w:w="1841"/>
        <w:gridCol w:w="1893"/>
        <w:gridCol w:w="1828"/>
        <w:gridCol w:w="2047"/>
        <w:gridCol w:w="2188"/>
      </w:tblGrid>
      <w:tr w:rsidR="00A10267" w:rsidRPr="00497529" w14:paraId="1F8C3B01"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85E86B3" w14:textId="26B25C1F" w:rsidR="00A10267" w:rsidRPr="00497529" w:rsidRDefault="00A10267" w:rsidP="0092375E">
            <w:pPr>
              <w:contextualSpacing/>
              <w:rPr>
                <w:rFonts w:eastAsia="Times New Roman" w:cs="Arial"/>
                <w:sz w:val="18"/>
                <w:szCs w:val="18"/>
                <w:lang w:eastAsia="en-GB"/>
              </w:rPr>
            </w:pPr>
            <w:r w:rsidRPr="003C03A1">
              <w:rPr>
                <w:rFonts w:eastAsia="Times New Roman" w:cs="Arial"/>
                <w:sz w:val="18"/>
                <w:szCs w:val="18"/>
                <w:lang w:eastAsia="en-GB"/>
              </w:rPr>
              <w:t xml:space="preserve">Food </w:t>
            </w:r>
            <w:r w:rsidR="0092375E">
              <w:rPr>
                <w:rFonts w:eastAsia="Times New Roman" w:cs="Arial"/>
                <w:sz w:val="18"/>
                <w:szCs w:val="18"/>
                <w:lang w:eastAsia="en-GB"/>
              </w:rPr>
              <w:t>category</w:t>
            </w:r>
          </w:p>
        </w:tc>
        <w:tc>
          <w:tcPr>
            <w:tcW w:w="0" w:type="auto"/>
            <w:vMerge w:val="restart"/>
            <w:vAlign w:val="center"/>
          </w:tcPr>
          <w:p w14:paraId="1E12244C" w14:textId="6EF49755" w:rsidR="00A10267" w:rsidRPr="00497529" w:rsidRDefault="00A1026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classification</w:t>
            </w:r>
          </w:p>
        </w:tc>
        <w:tc>
          <w:tcPr>
            <w:tcW w:w="0" w:type="auto"/>
            <w:gridSpan w:val="3"/>
            <w:vAlign w:val="center"/>
          </w:tcPr>
          <w:p w14:paraId="3907411D" w14:textId="2D595B9F" w:rsidR="00A10267" w:rsidRPr="00497529" w:rsidRDefault="00A1026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Amount of food that can be consumed before reaching PFOS TDI</w:t>
            </w:r>
          </w:p>
        </w:tc>
        <w:tc>
          <w:tcPr>
            <w:tcW w:w="0" w:type="auto"/>
            <w:gridSpan w:val="2"/>
            <w:vAlign w:val="center"/>
          </w:tcPr>
          <w:p w14:paraId="6659D6A4" w14:textId="77777777" w:rsidR="00A10267" w:rsidRPr="00497529" w:rsidRDefault="00A1026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consumption derived from 2011-12 NNPAS</w:t>
            </w:r>
          </w:p>
        </w:tc>
      </w:tr>
      <w:tr w:rsidR="00A10267" w:rsidRPr="00544A77" w14:paraId="7558AC14" w14:textId="77777777" w:rsidTr="00CC38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B680D70" w14:textId="0561D212" w:rsidR="00A10267" w:rsidRPr="00544A77" w:rsidRDefault="00A10267" w:rsidP="009A3DDD">
            <w:pPr>
              <w:spacing w:after="0" w:line="240" w:lineRule="auto"/>
              <w:contextualSpacing/>
              <w:jc w:val="center"/>
              <w:rPr>
                <w:rFonts w:eastAsia="Times New Roman" w:cs="Arial"/>
                <w:color w:val="000000"/>
                <w:sz w:val="18"/>
                <w:szCs w:val="18"/>
                <w:lang w:eastAsia="en-GB"/>
              </w:rPr>
            </w:pPr>
          </w:p>
        </w:tc>
        <w:tc>
          <w:tcPr>
            <w:tcW w:w="0" w:type="auto"/>
            <w:vMerge/>
            <w:vAlign w:val="center"/>
            <w:hideMark/>
          </w:tcPr>
          <w:p w14:paraId="61C05EA4" w14:textId="1D4356DD" w:rsidR="00A10267" w:rsidRPr="00544A77"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vAlign w:val="center"/>
          </w:tcPr>
          <w:p w14:paraId="2BFBAC25" w14:textId="77777777" w:rsidR="00A10267" w:rsidRPr="00544A77"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44A77">
              <w:rPr>
                <w:rFonts w:eastAsia="Times New Roman" w:cs="Arial"/>
                <w:b/>
                <w:color w:val="000000"/>
                <w:sz w:val="18"/>
                <w:szCs w:val="18"/>
                <w:lang w:eastAsia="en-GB"/>
              </w:rPr>
              <w:t>Lower Bound</w:t>
            </w:r>
          </w:p>
        </w:tc>
        <w:tc>
          <w:tcPr>
            <w:tcW w:w="0" w:type="auto"/>
            <w:vAlign w:val="center"/>
          </w:tcPr>
          <w:p w14:paraId="7107D6DD" w14:textId="77777777" w:rsidR="00A10267" w:rsidRPr="00544A77"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44A77">
              <w:rPr>
                <w:rFonts w:eastAsia="Times New Roman" w:cs="Arial"/>
                <w:b/>
                <w:color w:val="000000"/>
                <w:sz w:val="18"/>
                <w:szCs w:val="18"/>
                <w:lang w:eastAsia="en-GB"/>
              </w:rPr>
              <w:t>Middle Bound</w:t>
            </w:r>
          </w:p>
        </w:tc>
        <w:tc>
          <w:tcPr>
            <w:tcW w:w="0" w:type="auto"/>
            <w:vAlign w:val="center"/>
          </w:tcPr>
          <w:p w14:paraId="54CACACE" w14:textId="77777777" w:rsidR="00A10267" w:rsidRPr="00544A77"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44A77">
              <w:rPr>
                <w:rFonts w:eastAsia="Times New Roman" w:cs="Arial"/>
                <w:b/>
                <w:color w:val="000000"/>
                <w:sz w:val="18"/>
                <w:szCs w:val="18"/>
                <w:lang w:eastAsia="en-GB"/>
              </w:rPr>
              <w:t>Upper Bound</w:t>
            </w:r>
          </w:p>
        </w:tc>
        <w:tc>
          <w:tcPr>
            <w:tcW w:w="0" w:type="auto"/>
            <w:vAlign w:val="center"/>
            <w:hideMark/>
          </w:tcPr>
          <w:p w14:paraId="02D317AF" w14:textId="77777777" w:rsidR="00A10267" w:rsidRPr="00544A77"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44A77">
              <w:rPr>
                <w:rFonts w:eastAsia="Times New Roman" w:cs="Arial"/>
                <w:b/>
                <w:color w:val="000000"/>
                <w:sz w:val="18"/>
                <w:szCs w:val="18"/>
                <w:lang w:eastAsia="en-GB"/>
              </w:rPr>
              <w:t>P90 consumers only</w:t>
            </w:r>
          </w:p>
        </w:tc>
        <w:tc>
          <w:tcPr>
            <w:tcW w:w="0" w:type="auto"/>
            <w:vAlign w:val="center"/>
            <w:hideMark/>
          </w:tcPr>
          <w:p w14:paraId="774035B1" w14:textId="77777777" w:rsidR="00A10267" w:rsidRPr="00544A77"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44A77">
              <w:rPr>
                <w:rFonts w:eastAsia="Times New Roman" w:cs="Arial"/>
                <w:b/>
                <w:color w:val="000000"/>
                <w:sz w:val="18"/>
                <w:szCs w:val="18"/>
                <w:lang w:eastAsia="en-GB"/>
              </w:rPr>
              <w:t>Mean consumers only</w:t>
            </w:r>
          </w:p>
        </w:tc>
      </w:tr>
      <w:tr w:rsidR="00DF5267" w:rsidRPr="00544A77" w14:paraId="496F3C5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3068D75" w14:textId="2AB4112D" w:rsidR="00DF5267" w:rsidRPr="0092375E" w:rsidRDefault="00DF5267" w:rsidP="009A3DDD">
            <w:pPr>
              <w:spacing w:after="0"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Fish and seafood</w:t>
            </w:r>
          </w:p>
        </w:tc>
        <w:tc>
          <w:tcPr>
            <w:tcW w:w="0" w:type="auto"/>
            <w:noWrap/>
            <w:vAlign w:val="center"/>
            <w:hideMark/>
          </w:tcPr>
          <w:p w14:paraId="65CE77DF" w14:textId="07012C20" w:rsidR="00DF5267" w:rsidRPr="00C96991"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96991">
              <w:rPr>
                <w:rFonts w:eastAsia="Times New Roman" w:cs="Arial"/>
                <w:i/>
                <w:color w:val="000000"/>
                <w:sz w:val="18"/>
                <w:szCs w:val="18"/>
                <w:lang w:eastAsia="en-GB"/>
              </w:rPr>
              <w:t>Crustaceans of all species</w:t>
            </w:r>
          </w:p>
        </w:tc>
        <w:tc>
          <w:tcPr>
            <w:tcW w:w="0" w:type="auto"/>
            <w:noWrap/>
            <w:vAlign w:val="center"/>
          </w:tcPr>
          <w:p w14:paraId="3CD9828C" w14:textId="0662D83C"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538</w:t>
            </w:r>
          </w:p>
        </w:tc>
        <w:tc>
          <w:tcPr>
            <w:tcW w:w="0" w:type="auto"/>
            <w:noWrap/>
            <w:vAlign w:val="center"/>
          </w:tcPr>
          <w:p w14:paraId="7F721B35" w14:textId="190E1B90"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538</w:t>
            </w:r>
          </w:p>
        </w:tc>
        <w:tc>
          <w:tcPr>
            <w:tcW w:w="0" w:type="auto"/>
            <w:noWrap/>
            <w:vAlign w:val="center"/>
          </w:tcPr>
          <w:p w14:paraId="578AC51A" w14:textId="4D442BC5"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538</w:t>
            </w:r>
          </w:p>
        </w:tc>
        <w:tc>
          <w:tcPr>
            <w:tcW w:w="0" w:type="auto"/>
            <w:noWrap/>
            <w:vAlign w:val="bottom"/>
            <w:hideMark/>
          </w:tcPr>
          <w:p w14:paraId="01B8523D" w14:textId="2BE0E9A2"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63</w:t>
            </w:r>
          </w:p>
        </w:tc>
        <w:tc>
          <w:tcPr>
            <w:tcW w:w="0" w:type="auto"/>
            <w:noWrap/>
            <w:vAlign w:val="bottom"/>
            <w:hideMark/>
          </w:tcPr>
          <w:p w14:paraId="17378ED5" w14:textId="4D0C167F"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21</w:t>
            </w:r>
          </w:p>
        </w:tc>
      </w:tr>
      <w:tr w:rsidR="00DF5267" w:rsidRPr="00544A77" w14:paraId="1DE3F3F9"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C546254" w14:textId="45519E32" w:rsidR="00DF5267" w:rsidRPr="00544A77" w:rsidRDefault="00DF5267" w:rsidP="009A3DDD">
            <w:pPr>
              <w:spacing w:after="0" w:line="240" w:lineRule="auto"/>
              <w:contextualSpacing/>
              <w:rPr>
                <w:rFonts w:cs="Arial"/>
                <w:b w:val="0"/>
                <w:color w:val="000000"/>
                <w:sz w:val="18"/>
                <w:szCs w:val="18"/>
              </w:rPr>
            </w:pPr>
          </w:p>
        </w:tc>
        <w:tc>
          <w:tcPr>
            <w:tcW w:w="0" w:type="auto"/>
            <w:noWrap/>
            <w:vAlign w:val="center"/>
            <w:hideMark/>
          </w:tcPr>
          <w:p w14:paraId="4B6B114D" w14:textId="5BF0B4C9" w:rsidR="00DF5267" w:rsidRPr="00C96991"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C96991">
              <w:rPr>
                <w:rFonts w:cs="Arial"/>
                <w:i/>
                <w:color w:val="000000"/>
                <w:sz w:val="18"/>
                <w:szCs w:val="18"/>
              </w:rPr>
              <w:t>Finfish (all)</w:t>
            </w:r>
          </w:p>
        </w:tc>
        <w:tc>
          <w:tcPr>
            <w:tcW w:w="0" w:type="auto"/>
            <w:noWrap/>
            <w:vAlign w:val="center"/>
          </w:tcPr>
          <w:p w14:paraId="6583912F" w14:textId="4B4FF0D8"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609</w:t>
            </w:r>
          </w:p>
        </w:tc>
        <w:tc>
          <w:tcPr>
            <w:tcW w:w="0" w:type="auto"/>
            <w:noWrap/>
            <w:vAlign w:val="center"/>
          </w:tcPr>
          <w:p w14:paraId="0365AC97" w14:textId="54D764DC"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609</w:t>
            </w:r>
          </w:p>
        </w:tc>
        <w:tc>
          <w:tcPr>
            <w:tcW w:w="0" w:type="auto"/>
            <w:noWrap/>
            <w:vAlign w:val="center"/>
          </w:tcPr>
          <w:p w14:paraId="6E9AE1A3" w14:textId="66453651"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609</w:t>
            </w:r>
          </w:p>
        </w:tc>
        <w:tc>
          <w:tcPr>
            <w:tcW w:w="0" w:type="auto"/>
            <w:noWrap/>
            <w:vAlign w:val="bottom"/>
            <w:hideMark/>
          </w:tcPr>
          <w:p w14:paraId="46CF20AD" w14:textId="04C318B0"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123</w:t>
            </w:r>
          </w:p>
        </w:tc>
        <w:tc>
          <w:tcPr>
            <w:tcW w:w="0" w:type="auto"/>
            <w:noWrap/>
            <w:vAlign w:val="bottom"/>
            <w:hideMark/>
          </w:tcPr>
          <w:p w14:paraId="13256D6F" w14:textId="72B5F6CC"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45</w:t>
            </w:r>
          </w:p>
        </w:tc>
      </w:tr>
      <w:tr w:rsidR="00DF5267" w:rsidRPr="00544A77" w14:paraId="1E59F31F"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FEE0C3F" w14:textId="44312D0D" w:rsidR="00DF5267" w:rsidRPr="00544A77" w:rsidRDefault="00DF5267" w:rsidP="009A3DD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4D135738" w14:textId="3675CAB3"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10267">
              <w:rPr>
                <w:rFonts w:eastAsia="Times New Roman" w:cs="Arial"/>
                <w:color w:val="000000"/>
                <w:sz w:val="18"/>
                <w:szCs w:val="18"/>
                <w:lang w:eastAsia="en-GB"/>
              </w:rPr>
              <w:t>Diadromous</w:t>
            </w:r>
            <w:proofErr w:type="spellEnd"/>
            <w:r w:rsidRPr="00A10267">
              <w:rPr>
                <w:rFonts w:eastAsia="Times New Roman" w:cs="Arial"/>
                <w:color w:val="000000"/>
                <w:sz w:val="18"/>
                <w:szCs w:val="18"/>
                <w:lang w:eastAsia="en-GB"/>
              </w:rPr>
              <w:t xml:space="preserve"> fish</w:t>
            </w:r>
          </w:p>
        </w:tc>
        <w:tc>
          <w:tcPr>
            <w:tcW w:w="0" w:type="auto"/>
            <w:noWrap/>
            <w:vAlign w:val="center"/>
          </w:tcPr>
          <w:p w14:paraId="7A05EF49" w14:textId="0841BEEF"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280</w:t>
            </w:r>
          </w:p>
        </w:tc>
        <w:tc>
          <w:tcPr>
            <w:tcW w:w="0" w:type="auto"/>
            <w:noWrap/>
            <w:vAlign w:val="center"/>
          </w:tcPr>
          <w:p w14:paraId="50B9AB98" w14:textId="5D4693D0"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280</w:t>
            </w:r>
          </w:p>
        </w:tc>
        <w:tc>
          <w:tcPr>
            <w:tcW w:w="0" w:type="auto"/>
            <w:noWrap/>
            <w:vAlign w:val="center"/>
          </w:tcPr>
          <w:p w14:paraId="7DF8CB98" w14:textId="77A18D38"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280</w:t>
            </w:r>
          </w:p>
        </w:tc>
        <w:tc>
          <w:tcPr>
            <w:tcW w:w="0" w:type="auto"/>
            <w:noWrap/>
            <w:vAlign w:val="bottom"/>
            <w:hideMark/>
          </w:tcPr>
          <w:p w14:paraId="4CA77D34" w14:textId="630F3F1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119</w:t>
            </w:r>
          </w:p>
        </w:tc>
        <w:tc>
          <w:tcPr>
            <w:tcW w:w="0" w:type="auto"/>
            <w:noWrap/>
            <w:vAlign w:val="bottom"/>
            <w:hideMark/>
          </w:tcPr>
          <w:p w14:paraId="507B1ED0" w14:textId="447B36A6"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50</w:t>
            </w:r>
          </w:p>
        </w:tc>
      </w:tr>
      <w:tr w:rsidR="00DF5267" w:rsidRPr="00544A77" w14:paraId="7CC3D8EE"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0F08046" w14:textId="039129B6" w:rsidR="00DF5267" w:rsidRPr="00544A77" w:rsidRDefault="00DF5267" w:rsidP="009A3DD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7BD0B2C4" w14:textId="256CFB46"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Freshwater fish</w:t>
            </w:r>
          </w:p>
        </w:tc>
        <w:tc>
          <w:tcPr>
            <w:tcW w:w="0" w:type="auto"/>
            <w:noWrap/>
            <w:vAlign w:val="center"/>
          </w:tcPr>
          <w:p w14:paraId="1067067D" w14:textId="0BB38473"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406</w:t>
            </w:r>
          </w:p>
        </w:tc>
        <w:tc>
          <w:tcPr>
            <w:tcW w:w="0" w:type="auto"/>
            <w:noWrap/>
            <w:vAlign w:val="center"/>
          </w:tcPr>
          <w:p w14:paraId="5B70917F" w14:textId="00ECE0DC"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406</w:t>
            </w:r>
          </w:p>
        </w:tc>
        <w:tc>
          <w:tcPr>
            <w:tcW w:w="0" w:type="auto"/>
            <w:noWrap/>
            <w:vAlign w:val="center"/>
          </w:tcPr>
          <w:p w14:paraId="088A95CC" w14:textId="1A7B0A6D"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406</w:t>
            </w:r>
          </w:p>
        </w:tc>
        <w:tc>
          <w:tcPr>
            <w:tcW w:w="0" w:type="auto"/>
            <w:noWrap/>
            <w:vAlign w:val="bottom"/>
            <w:hideMark/>
          </w:tcPr>
          <w:p w14:paraId="47A172B9" w14:textId="15FE80A0"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143</w:t>
            </w:r>
          </w:p>
        </w:tc>
        <w:tc>
          <w:tcPr>
            <w:tcW w:w="0" w:type="auto"/>
            <w:noWrap/>
            <w:vAlign w:val="bottom"/>
            <w:hideMark/>
          </w:tcPr>
          <w:p w14:paraId="17BB0537" w14:textId="159EFA48"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56</w:t>
            </w:r>
          </w:p>
        </w:tc>
      </w:tr>
      <w:tr w:rsidR="00DF5267" w:rsidRPr="00544A77" w14:paraId="661C07DD"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B946282" w14:textId="71991E98" w:rsidR="00DF5267" w:rsidRPr="00544A77" w:rsidRDefault="00DF5267" w:rsidP="009A3DD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00662D62" w14:textId="02CBB2BB"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Marine fish of all species</w:t>
            </w:r>
          </w:p>
        </w:tc>
        <w:tc>
          <w:tcPr>
            <w:tcW w:w="0" w:type="auto"/>
            <w:noWrap/>
            <w:vAlign w:val="center"/>
          </w:tcPr>
          <w:p w14:paraId="6AE7B2EF" w14:textId="7D4BBB68"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718</w:t>
            </w:r>
          </w:p>
        </w:tc>
        <w:tc>
          <w:tcPr>
            <w:tcW w:w="0" w:type="auto"/>
            <w:noWrap/>
            <w:vAlign w:val="center"/>
          </w:tcPr>
          <w:p w14:paraId="55C86CB7" w14:textId="5D6178E2"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718</w:t>
            </w:r>
          </w:p>
        </w:tc>
        <w:tc>
          <w:tcPr>
            <w:tcW w:w="0" w:type="auto"/>
            <w:noWrap/>
            <w:vAlign w:val="center"/>
          </w:tcPr>
          <w:p w14:paraId="04FF944E" w14:textId="7F674E24"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718</w:t>
            </w:r>
          </w:p>
        </w:tc>
        <w:tc>
          <w:tcPr>
            <w:tcW w:w="0" w:type="auto"/>
            <w:noWrap/>
            <w:vAlign w:val="bottom"/>
            <w:hideMark/>
          </w:tcPr>
          <w:p w14:paraId="5BE9366C" w14:textId="4C7D7896"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76</w:t>
            </w:r>
          </w:p>
        </w:tc>
        <w:tc>
          <w:tcPr>
            <w:tcW w:w="0" w:type="auto"/>
            <w:noWrap/>
            <w:vAlign w:val="bottom"/>
            <w:hideMark/>
          </w:tcPr>
          <w:p w14:paraId="1CD9AF05" w14:textId="6C93B548"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w:t>
            </w:r>
          </w:p>
        </w:tc>
      </w:tr>
      <w:tr w:rsidR="00DF5267" w:rsidRPr="00544A77" w14:paraId="64649D02"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BEBB647" w14:textId="4399C441" w:rsidR="00DF5267" w:rsidRPr="003C03A1" w:rsidRDefault="00DF5267" w:rsidP="009A3DDD">
            <w:pPr>
              <w:spacing w:after="0" w:line="240" w:lineRule="auto"/>
              <w:contextualSpacing/>
              <w:rPr>
                <w:rFonts w:eastAsia="Times New Roman" w:cs="Arial"/>
                <w:color w:val="000000"/>
                <w:sz w:val="18"/>
                <w:szCs w:val="18"/>
                <w:lang w:eastAsia="en-GB"/>
              </w:rPr>
            </w:pPr>
          </w:p>
        </w:tc>
        <w:tc>
          <w:tcPr>
            <w:tcW w:w="0" w:type="auto"/>
            <w:noWrap/>
            <w:vAlign w:val="center"/>
          </w:tcPr>
          <w:p w14:paraId="2CBCB077" w14:textId="43DBC535" w:rsidR="00DF5267" w:rsidRPr="00C96991"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96991">
              <w:rPr>
                <w:rFonts w:eastAsia="Times New Roman" w:cs="Arial"/>
                <w:i/>
                <w:color w:val="000000"/>
                <w:sz w:val="18"/>
                <w:szCs w:val="18"/>
                <w:lang w:eastAsia="en-GB"/>
              </w:rPr>
              <w:t>Molluscs</w:t>
            </w:r>
          </w:p>
        </w:tc>
        <w:tc>
          <w:tcPr>
            <w:tcW w:w="0" w:type="auto"/>
            <w:noWrap/>
            <w:vAlign w:val="center"/>
          </w:tcPr>
          <w:p w14:paraId="5DCA8392" w14:textId="0BFB082B"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44A77">
              <w:rPr>
                <w:rFonts w:cs="Arial"/>
                <w:color w:val="000000"/>
                <w:sz w:val="18"/>
                <w:szCs w:val="18"/>
              </w:rPr>
              <w:t>1333</w:t>
            </w:r>
          </w:p>
        </w:tc>
        <w:tc>
          <w:tcPr>
            <w:tcW w:w="0" w:type="auto"/>
            <w:noWrap/>
            <w:vAlign w:val="center"/>
          </w:tcPr>
          <w:p w14:paraId="3D2656AD" w14:textId="387513B1"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44A77">
              <w:rPr>
                <w:rFonts w:cs="Arial"/>
                <w:color w:val="000000"/>
                <w:sz w:val="18"/>
                <w:szCs w:val="18"/>
              </w:rPr>
              <w:t>1333</w:t>
            </w:r>
          </w:p>
        </w:tc>
        <w:tc>
          <w:tcPr>
            <w:tcW w:w="0" w:type="auto"/>
            <w:noWrap/>
            <w:vAlign w:val="center"/>
          </w:tcPr>
          <w:p w14:paraId="02D7EE23" w14:textId="7E813E5F"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44A77">
              <w:rPr>
                <w:rFonts w:cs="Arial"/>
                <w:color w:val="000000"/>
                <w:sz w:val="18"/>
                <w:szCs w:val="18"/>
              </w:rPr>
              <w:t>1333</w:t>
            </w:r>
          </w:p>
        </w:tc>
        <w:tc>
          <w:tcPr>
            <w:tcW w:w="0" w:type="auto"/>
            <w:noWrap/>
            <w:vAlign w:val="bottom"/>
          </w:tcPr>
          <w:p w14:paraId="30D76C8A" w14:textId="51C8406E"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30</w:t>
            </w:r>
          </w:p>
        </w:tc>
        <w:tc>
          <w:tcPr>
            <w:tcW w:w="0" w:type="auto"/>
            <w:noWrap/>
            <w:vAlign w:val="bottom"/>
          </w:tcPr>
          <w:p w14:paraId="536BA9F9" w14:textId="1E615A56"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w:t>
            </w:r>
          </w:p>
        </w:tc>
      </w:tr>
      <w:tr w:rsidR="00DF5267" w:rsidRPr="00544A77" w14:paraId="147D0BA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0FF9A6E" w14:textId="41B95E3E" w:rsidR="00DF5267" w:rsidRPr="00544A77" w:rsidRDefault="00DF5267" w:rsidP="009A3DDD">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Animal products</w:t>
            </w:r>
          </w:p>
        </w:tc>
        <w:tc>
          <w:tcPr>
            <w:tcW w:w="0" w:type="auto"/>
            <w:noWrap/>
            <w:vAlign w:val="center"/>
          </w:tcPr>
          <w:p w14:paraId="60154AC2" w14:textId="39A0BB9D" w:rsidR="00DF5267" w:rsidRPr="00C96991"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96991">
              <w:rPr>
                <w:rFonts w:eastAsia="Times New Roman" w:cs="Arial"/>
                <w:i/>
                <w:color w:val="000000"/>
                <w:sz w:val="18"/>
                <w:szCs w:val="18"/>
                <w:lang w:eastAsia="en-GB"/>
              </w:rPr>
              <w:t>Meat mammalian (all)</w:t>
            </w:r>
          </w:p>
        </w:tc>
        <w:tc>
          <w:tcPr>
            <w:tcW w:w="0" w:type="auto"/>
            <w:noWrap/>
            <w:vAlign w:val="center"/>
          </w:tcPr>
          <w:p w14:paraId="2BE1DA3B" w14:textId="55FDE9A2" w:rsidR="00DF5267" w:rsidRPr="00544A77"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153</w:t>
            </w:r>
          </w:p>
        </w:tc>
        <w:tc>
          <w:tcPr>
            <w:tcW w:w="0" w:type="auto"/>
            <w:noWrap/>
            <w:vAlign w:val="center"/>
          </w:tcPr>
          <w:p w14:paraId="127DD68A" w14:textId="3E17E2B5" w:rsidR="00DF5267" w:rsidRPr="00544A77"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153</w:t>
            </w:r>
          </w:p>
        </w:tc>
        <w:tc>
          <w:tcPr>
            <w:tcW w:w="0" w:type="auto"/>
            <w:noWrap/>
            <w:vAlign w:val="center"/>
          </w:tcPr>
          <w:p w14:paraId="009C1C17" w14:textId="76ED3E78" w:rsidR="00DF5267" w:rsidRPr="00544A77"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153</w:t>
            </w:r>
          </w:p>
        </w:tc>
        <w:tc>
          <w:tcPr>
            <w:tcW w:w="0" w:type="auto"/>
            <w:noWrap/>
            <w:vAlign w:val="bottom"/>
          </w:tcPr>
          <w:p w14:paraId="7FEE5B6B" w14:textId="66F672E7"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221</w:t>
            </w:r>
          </w:p>
        </w:tc>
        <w:tc>
          <w:tcPr>
            <w:tcW w:w="0" w:type="auto"/>
            <w:noWrap/>
            <w:vAlign w:val="bottom"/>
          </w:tcPr>
          <w:p w14:paraId="7636197F" w14:textId="155929A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106</w:t>
            </w:r>
          </w:p>
        </w:tc>
      </w:tr>
      <w:tr w:rsidR="00DF5267" w:rsidRPr="00544A77" w14:paraId="32380078"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7FE5784" w14:textId="77777777" w:rsidR="00DF5267" w:rsidRPr="00544A77" w:rsidRDefault="00DF5267" w:rsidP="009A3DDD">
            <w:pPr>
              <w:spacing w:after="0" w:line="240" w:lineRule="auto"/>
              <w:contextualSpacing/>
              <w:rPr>
                <w:rFonts w:eastAsia="Times New Roman" w:cs="Arial"/>
                <w:b w:val="0"/>
                <w:color w:val="000000"/>
                <w:sz w:val="18"/>
                <w:szCs w:val="18"/>
                <w:lang w:eastAsia="en-GB"/>
              </w:rPr>
            </w:pPr>
          </w:p>
        </w:tc>
        <w:tc>
          <w:tcPr>
            <w:tcW w:w="0" w:type="auto"/>
            <w:noWrap/>
            <w:hideMark/>
          </w:tcPr>
          <w:p w14:paraId="15DC37FC" w14:textId="68A84D08" w:rsidR="00DF5267" w:rsidRPr="00C96991"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A10267">
              <w:rPr>
                <w:rFonts w:eastAsia="Times New Roman" w:cs="Arial"/>
                <w:color w:val="000000"/>
                <w:sz w:val="18"/>
                <w:szCs w:val="18"/>
                <w:lang w:eastAsia="en-GB"/>
              </w:rPr>
              <w:t>Cattle meat</w:t>
            </w:r>
          </w:p>
        </w:tc>
        <w:tc>
          <w:tcPr>
            <w:tcW w:w="0" w:type="auto"/>
            <w:noWrap/>
            <w:vAlign w:val="center"/>
          </w:tcPr>
          <w:p w14:paraId="3C5C6955" w14:textId="1BE3A13E" w:rsidR="00DF5267" w:rsidRPr="00544A77"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26</w:t>
            </w:r>
          </w:p>
        </w:tc>
        <w:tc>
          <w:tcPr>
            <w:tcW w:w="0" w:type="auto"/>
            <w:noWrap/>
            <w:vAlign w:val="center"/>
          </w:tcPr>
          <w:p w14:paraId="4041BF39" w14:textId="3D8026D8" w:rsidR="00DF5267" w:rsidRPr="00544A77"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26</w:t>
            </w:r>
          </w:p>
        </w:tc>
        <w:tc>
          <w:tcPr>
            <w:tcW w:w="0" w:type="auto"/>
            <w:noWrap/>
            <w:vAlign w:val="center"/>
          </w:tcPr>
          <w:p w14:paraId="3551B57D" w14:textId="0EAAD9C7" w:rsidR="00DF5267" w:rsidRPr="00544A77"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26</w:t>
            </w:r>
          </w:p>
        </w:tc>
        <w:tc>
          <w:tcPr>
            <w:tcW w:w="0" w:type="auto"/>
            <w:noWrap/>
            <w:vAlign w:val="bottom"/>
            <w:hideMark/>
          </w:tcPr>
          <w:p w14:paraId="1AAC56B4" w14:textId="1F388A3A"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163</w:t>
            </w:r>
          </w:p>
        </w:tc>
        <w:tc>
          <w:tcPr>
            <w:tcW w:w="0" w:type="auto"/>
            <w:noWrap/>
            <w:vAlign w:val="bottom"/>
            <w:hideMark/>
          </w:tcPr>
          <w:p w14:paraId="6086E625" w14:textId="5A720793"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71</w:t>
            </w:r>
          </w:p>
        </w:tc>
      </w:tr>
      <w:tr w:rsidR="00DF5267" w:rsidRPr="00544A77" w14:paraId="03613CC8"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8EE7104"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hideMark/>
          </w:tcPr>
          <w:p w14:paraId="2976CC12" w14:textId="0E33325B"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Rabbit meat</w:t>
            </w:r>
          </w:p>
        </w:tc>
        <w:tc>
          <w:tcPr>
            <w:tcW w:w="0" w:type="auto"/>
            <w:noWrap/>
            <w:vAlign w:val="center"/>
          </w:tcPr>
          <w:p w14:paraId="4D7F8529" w14:textId="1F5BB95F"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21</w:t>
            </w:r>
          </w:p>
        </w:tc>
        <w:tc>
          <w:tcPr>
            <w:tcW w:w="0" w:type="auto"/>
            <w:noWrap/>
            <w:vAlign w:val="center"/>
          </w:tcPr>
          <w:p w14:paraId="30245FB2" w14:textId="530E7890"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21</w:t>
            </w:r>
          </w:p>
        </w:tc>
        <w:tc>
          <w:tcPr>
            <w:tcW w:w="0" w:type="auto"/>
            <w:noWrap/>
            <w:vAlign w:val="center"/>
          </w:tcPr>
          <w:p w14:paraId="7E77F56B" w14:textId="7F1960A1"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21</w:t>
            </w:r>
          </w:p>
        </w:tc>
        <w:tc>
          <w:tcPr>
            <w:tcW w:w="0" w:type="auto"/>
            <w:noWrap/>
            <w:vAlign w:val="bottom"/>
            <w:hideMark/>
          </w:tcPr>
          <w:p w14:paraId="5B0F0E31" w14:textId="13ABAC3A"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w:t>
            </w:r>
          </w:p>
        </w:tc>
        <w:tc>
          <w:tcPr>
            <w:tcW w:w="0" w:type="auto"/>
            <w:noWrap/>
            <w:vAlign w:val="bottom"/>
            <w:hideMark/>
          </w:tcPr>
          <w:p w14:paraId="6BA06575" w14:textId="25314DC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364</w:t>
            </w:r>
          </w:p>
        </w:tc>
      </w:tr>
      <w:tr w:rsidR="00DF5267" w:rsidRPr="00544A77" w14:paraId="7EBB7619"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BA9B496"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hideMark/>
          </w:tcPr>
          <w:p w14:paraId="44658120" w14:textId="46148026"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meat</w:t>
            </w:r>
          </w:p>
        </w:tc>
        <w:tc>
          <w:tcPr>
            <w:tcW w:w="0" w:type="auto"/>
            <w:noWrap/>
            <w:vAlign w:val="center"/>
          </w:tcPr>
          <w:p w14:paraId="05177282" w14:textId="16312439" w:rsidR="00DF5267" w:rsidRPr="00544A77"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285</w:t>
            </w:r>
          </w:p>
        </w:tc>
        <w:tc>
          <w:tcPr>
            <w:tcW w:w="0" w:type="auto"/>
            <w:noWrap/>
            <w:vAlign w:val="center"/>
          </w:tcPr>
          <w:p w14:paraId="6F909C72" w14:textId="7849BA14" w:rsidR="00DF5267" w:rsidRPr="00544A77"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285</w:t>
            </w:r>
          </w:p>
        </w:tc>
        <w:tc>
          <w:tcPr>
            <w:tcW w:w="0" w:type="auto"/>
            <w:noWrap/>
            <w:vAlign w:val="center"/>
          </w:tcPr>
          <w:p w14:paraId="19CEBC99" w14:textId="53A63F0A" w:rsidR="00DF5267" w:rsidRPr="00544A77"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285</w:t>
            </w:r>
          </w:p>
        </w:tc>
        <w:tc>
          <w:tcPr>
            <w:tcW w:w="0" w:type="auto"/>
            <w:noWrap/>
            <w:vAlign w:val="bottom"/>
            <w:hideMark/>
          </w:tcPr>
          <w:p w14:paraId="2B2604BD" w14:textId="35D78E98"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85</w:t>
            </w:r>
          </w:p>
        </w:tc>
        <w:tc>
          <w:tcPr>
            <w:tcW w:w="0" w:type="auto"/>
            <w:noWrap/>
            <w:vAlign w:val="bottom"/>
            <w:hideMark/>
          </w:tcPr>
          <w:p w14:paraId="6C908140" w14:textId="1BBEDA59"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w:t>
            </w:r>
          </w:p>
        </w:tc>
      </w:tr>
      <w:tr w:rsidR="00DF5267" w:rsidRPr="00544A77" w14:paraId="23B53DA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9F30B03"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8AE950A" w14:textId="46052F7B" w:rsidR="00DF5267" w:rsidRPr="00A10267" w:rsidRDefault="00DF5267" w:rsidP="00CC3830">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96991">
              <w:rPr>
                <w:rFonts w:eastAsia="Times New Roman" w:cs="Arial"/>
                <w:i/>
                <w:color w:val="000000"/>
                <w:sz w:val="18"/>
                <w:szCs w:val="18"/>
                <w:lang w:eastAsia="en-GB"/>
              </w:rPr>
              <w:t>Milk (all)</w:t>
            </w:r>
          </w:p>
        </w:tc>
        <w:tc>
          <w:tcPr>
            <w:tcW w:w="0" w:type="auto"/>
            <w:noWrap/>
            <w:vAlign w:val="center"/>
          </w:tcPr>
          <w:p w14:paraId="5C98997E" w14:textId="7788C5A5"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483</w:t>
            </w:r>
          </w:p>
        </w:tc>
        <w:tc>
          <w:tcPr>
            <w:tcW w:w="0" w:type="auto"/>
            <w:noWrap/>
            <w:vAlign w:val="center"/>
          </w:tcPr>
          <w:p w14:paraId="65455029" w14:textId="5D793BBE"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483</w:t>
            </w:r>
          </w:p>
        </w:tc>
        <w:tc>
          <w:tcPr>
            <w:tcW w:w="0" w:type="auto"/>
            <w:noWrap/>
            <w:vAlign w:val="center"/>
          </w:tcPr>
          <w:p w14:paraId="2F21297C" w14:textId="074B93BE"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483</w:t>
            </w:r>
          </w:p>
        </w:tc>
        <w:tc>
          <w:tcPr>
            <w:tcW w:w="0" w:type="auto"/>
            <w:noWrap/>
            <w:vAlign w:val="bottom"/>
            <w:hideMark/>
          </w:tcPr>
          <w:p w14:paraId="264145CD" w14:textId="2B629097"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1295</w:t>
            </w:r>
          </w:p>
        </w:tc>
        <w:tc>
          <w:tcPr>
            <w:tcW w:w="0" w:type="auto"/>
            <w:noWrap/>
            <w:vAlign w:val="bottom"/>
            <w:hideMark/>
          </w:tcPr>
          <w:p w14:paraId="311F9574" w14:textId="7E4D322E"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693</w:t>
            </w:r>
          </w:p>
        </w:tc>
      </w:tr>
      <w:tr w:rsidR="00DF5267" w:rsidRPr="00544A77" w14:paraId="6A5710B5"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873BC4D" w14:textId="77777777" w:rsidR="00DF5267" w:rsidRPr="00544A77" w:rsidRDefault="00DF5267" w:rsidP="009A3DDD">
            <w:pPr>
              <w:spacing w:after="0" w:line="240" w:lineRule="auto"/>
              <w:contextualSpacing/>
              <w:rPr>
                <w:rFonts w:eastAsia="Times New Roman" w:cs="Arial"/>
                <w:b w:val="0"/>
                <w:color w:val="000000"/>
                <w:sz w:val="18"/>
                <w:szCs w:val="18"/>
                <w:lang w:eastAsia="en-GB"/>
              </w:rPr>
            </w:pPr>
          </w:p>
        </w:tc>
        <w:tc>
          <w:tcPr>
            <w:tcW w:w="0" w:type="auto"/>
            <w:noWrap/>
          </w:tcPr>
          <w:p w14:paraId="7B0B50E9" w14:textId="6EA94FBD" w:rsidR="00DF5267" w:rsidRPr="00C96991" w:rsidRDefault="00DF5267" w:rsidP="00CC3830">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A10267">
              <w:rPr>
                <w:rFonts w:eastAsia="Times New Roman" w:cs="Arial"/>
                <w:color w:val="000000"/>
                <w:sz w:val="18"/>
                <w:szCs w:val="18"/>
                <w:lang w:eastAsia="en-GB"/>
              </w:rPr>
              <w:t>Cattle milk</w:t>
            </w:r>
          </w:p>
        </w:tc>
        <w:tc>
          <w:tcPr>
            <w:tcW w:w="0" w:type="auto"/>
            <w:noWrap/>
            <w:vAlign w:val="center"/>
          </w:tcPr>
          <w:p w14:paraId="7C2BF6A6" w14:textId="4F7F0C1D" w:rsidR="00DF5267" w:rsidRPr="00544A77" w:rsidRDefault="00C03AA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591</w:t>
            </w:r>
          </w:p>
        </w:tc>
        <w:tc>
          <w:tcPr>
            <w:tcW w:w="0" w:type="auto"/>
            <w:noWrap/>
            <w:vAlign w:val="center"/>
          </w:tcPr>
          <w:p w14:paraId="3DA22FD2" w14:textId="5A0E16EB"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591</w:t>
            </w:r>
          </w:p>
        </w:tc>
        <w:tc>
          <w:tcPr>
            <w:tcW w:w="0" w:type="auto"/>
            <w:noWrap/>
            <w:vAlign w:val="center"/>
          </w:tcPr>
          <w:p w14:paraId="12116C53" w14:textId="2491EE74"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591</w:t>
            </w:r>
          </w:p>
        </w:tc>
        <w:tc>
          <w:tcPr>
            <w:tcW w:w="0" w:type="auto"/>
            <w:noWrap/>
            <w:vAlign w:val="bottom"/>
          </w:tcPr>
          <w:p w14:paraId="4175683F" w14:textId="5AB4052B"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1295</w:t>
            </w:r>
          </w:p>
        </w:tc>
        <w:tc>
          <w:tcPr>
            <w:tcW w:w="0" w:type="auto"/>
            <w:noWrap/>
            <w:vAlign w:val="bottom"/>
          </w:tcPr>
          <w:p w14:paraId="502D0649" w14:textId="2B148C78"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692</w:t>
            </w:r>
          </w:p>
        </w:tc>
      </w:tr>
      <w:tr w:rsidR="00DF5267" w:rsidRPr="00544A77" w14:paraId="1E9D78F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2986015"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hideMark/>
          </w:tcPr>
          <w:p w14:paraId="2928E911" w14:textId="362D3D7B"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milk</w:t>
            </w:r>
          </w:p>
        </w:tc>
        <w:tc>
          <w:tcPr>
            <w:tcW w:w="0" w:type="auto"/>
            <w:noWrap/>
            <w:vAlign w:val="center"/>
          </w:tcPr>
          <w:p w14:paraId="2181E793" w14:textId="0974991E"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483</w:t>
            </w:r>
          </w:p>
        </w:tc>
        <w:tc>
          <w:tcPr>
            <w:tcW w:w="0" w:type="auto"/>
            <w:noWrap/>
            <w:vAlign w:val="center"/>
          </w:tcPr>
          <w:p w14:paraId="0F9DC74D" w14:textId="2852B383"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483</w:t>
            </w:r>
          </w:p>
        </w:tc>
        <w:tc>
          <w:tcPr>
            <w:tcW w:w="0" w:type="auto"/>
            <w:noWrap/>
            <w:vAlign w:val="center"/>
          </w:tcPr>
          <w:p w14:paraId="32F380BB" w14:textId="0B391389"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483</w:t>
            </w:r>
          </w:p>
        </w:tc>
        <w:tc>
          <w:tcPr>
            <w:tcW w:w="0" w:type="auto"/>
            <w:noWrap/>
            <w:vAlign w:val="bottom"/>
            <w:hideMark/>
          </w:tcPr>
          <w:p w14:paraId="429E62C5" w14:textId="77ACAC30"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31</w:t>
            </w:r>
          </w:p>
        </w:tc>
        <w:tc>
          <w:tcPr>
            <w:tcW w:w="0" w:type="auto"/>
            <w:noWrap/>
            <w:vAlign w:val="bottom"/>
            <w:hideMark/>
          </w:tcPr>
          <w:p w14:paraId="513FFB6E" w14:textId="358CC71F"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13</w:t>
            </w:r>
          </w:p>
        </w:tc>
      </w:tr>
      <w:tr w:rsidR="00DF5267" w:rsidRPr="00544A77" w14:paraId="60AA9B5F"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24AEF9E"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1A365295" w14:textId="5319AD81"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96991">
              <w:rPr>
                <w:rFonts w:eastAsia="Times New Roman" w:cs="Arial"/>
                <w:i/>
                <w:color w:val="000000"/>
                <w:sz w:val="18"/>
                <w:szCs w:val="18"/>
                <w:lang w:eastAsia="en-GB"/>
              </w:rPr>
              <w:t>Miscellaneous foods (honey)</w:t>
            </w:r>
          </w:p>
        </w:tc>
        <w:tc>
          <w:tcPr>
            <w:tcW w:w="0" w:type="auto"/>
            <w:noWrap/>
            <w:vAlign w:val="center"/>
          </w:tcPr>
          <w:p w14:paraId="310AD01B" w14:textId="1B220635"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06DE7B92" w14:textId="69083763"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933</w:t>
            </w:r>
          </w:p>
        </w:tc>
        <w:tc>
          <w:tcPr>
            <w:tcW w:w="0" w:type="auto"/>
            <w:noWrap/>
            <w:vAlign w:val="center"/>
          </w:tcPr>
          <w:p w14:paraId="203748C3" w14:textId="24254847"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467</w:t>
            </w:r>
          </w:p>
        </w:tc>
        <w:tc>
          <w:tcPr>
            <w:tcW w:w="0" w:type="auto"/>
            <w:noWrap/>
            <w:vAlign w:val="bottom"/>
            <w:hideMark/>
          </w:tcPr>
          <w:p w14:paraId="03EF2793" w14:textId="79B3DBE7"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14</w:t>
            </w:r>
          </w:p>
        </w:tc>
        <w:tc>
          <w:tcPr>
            <w:tcW w:w="0" w:type="auto"/>
            <w:noWrap/>
            <w:vAlign w:val="bottom"/>
            <w:hideMark/>
          </w:tcPr>
          <w:p w14:paraId="08CDF7DD" w14:textId="48111782"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r w:rsidR="00DF5267" w:rsidRPr="00544A77" w14:paraId="361AEEB0"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C1977CA" w14:textId="77777777" w:rsidR="00DF5267" w:rsidRPr="00544A77" w:rsidRDefault="00DF5267" w:rsidP="009A3DD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0C176D4C" w14:textId="13A7CAF7" w:rsidR="00DF5267" w:rsidRPr="00C96991"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96991">
              <w:rPr>
                <w:rFonts w:eastAsia="Times New Roman" w:cs="Arial"/>
                <w:i/>
                <w:color w:val="000000"/>
                <w:sz w:val="18"/>
                <w:szCs w:val="18"/>
                <w:lang w:eastAsia="en-GB"/>
              </w:rPr>
              <w:t>Offal mammalian</w:t>
            </w:r>
          </w:p>
        </w:tc>
        <w:tc>
          <w:tcPr>
            <w:tcW w:w="0" w:type="auto"/>
            <w:noWrap/>
            <w:vAlign w:val="center"/>
          </w:tcPr>
          <w:p w14:paraId="79C8B1A8" w14:textId="2722116A"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23</w:t>
            </w:r>
          </w:p>
        </w:tc>
        <w:tc>
          <w:tcPr>
            <w:tcW w:w="0" w:type="auto"/>
            <w:noWrap/>
            <w:vAlign w:val="center"/>
          </w:tcPr>
          <w:p w14:paraId="23546AF3" w14:textId="472673DC"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23</w:t>
            </w:r>
          </w:p>
        </w:tc>
        <w:tc>
          <w:tcPr>
            <w:tcW w:w="0" w:type="auto"/>
            <w:noWrap/>
            <w:vAlign w:val="center"/>
          </w:tcPr>
          <w:p w14:paraId="7897BBEC" w14:textId="5317B797"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23</w:t>
            </w:r>
          </w:p>
        </w:tc>
        <w:tc>
          <w:tcPr>
            <w:tcW w:w="0" w:type="auto"/>
            <w:noWrap/>
            <w:vAlign w:val="bottom"/>
            <w:hideMark/>
          </w:tcPr>
          <w:p w14:paraId="70115028" w14:textId="211F9357"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84</w:t>
            </w:r>
          </w:p>
        </w:tc>
        <w:tc>
          <w:tcPr>
            <w:tcW w:w="0" w:type="auto"/>
            <w:noWrap/>
            <w:vAlign w:val="bottom"/>
            <w:hideMark/>
          </w:tcPr>
          <w:p w14:paraId="633CFF4C" w14:textId="43982D80"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32</w:t>
            </w:r>
          </w:p>
        </w:tc>
      </w:tr>
      <w:tr w:rsidR="00DF5267" w:rsidRPr="00544A77" w14:paraId="0B0AA543"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0EF9959" w14:textId="77777777" w:rsidR="00DF5267" w:rsidRPr="00544A77" w:rsidRDefault="00DF5267" w:rsidP="009A3DD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2C408256" w14:textId="3528C7F0" w:rsidR="00DF5267" w:rsidRPr="00C96991"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96991">
              <w:rPr>
                <w:rFonts w:eastAsia="Times New Roman" w:cs="Arial"/>
                <w:i/>
                <w:color w:val="000000"/>
                <w:sz w:val="18"/>
                <w:szCs w:val="18"/>
                <w:lang w:eastAsia="en-GB"/>
              </w:rPr>
              <w:t>Poultry eggs</w:t>
            </w:r>
          </w:p>
        </w:tc>
        <w:tc>
          <w:tcPr>
            <w:tcW w:w="0" w:type="auto"/>
            <w:noWrap/>
            <w:vAlign w:val="center"/>
          </w:tcPr>
          <w:p w14:paraId="41D4F73B" w14:textId="2D885FE4"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196</w:t>
            </w:r>
          </w:p>
        </w:tc>
        <w:tc>
          <w:tcPr>
            <w:tcW w:w="0" w:type="auto"/>
            <w:noWrap/>
            <w:vAlign w:val="center"/>
          </w:tcPr>
          <w:p w14:paraId="221D720B" w14:textId="4556194D"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196</w:t>
            </w:r>
          </w:p>
        </w:tc>
        <w:tc>
          <w:tcPr>
            <w:tcW w:w="0" w:type="auto"/>
            <w:noWrap/>
            <w:vAlign w:val="center"/>
          </w:tcPr>
          <w:p w14:paraId="5EACE124" w14:textId="3A49EF6A"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196</w:t>
            </w:r>
          </w:p>
        </w:tc>
        <w:tc>
          <w:tcPr>
            <w:tcW w:w="0" w:type="auto"/>
            <w:noWrap/>
            <w:vAlign w:val="bottom"/>
            <w:hideMark/>
          </w:tcPr>
          <w:p w14:paraId="2946176B" w14:textId="34900490"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59</w:t>
            </w:r>
          </w:p>
        </w:tc>
        <w:tc>
          <w:tcPr>
            <w:tcW w:w="0" w:type="auto"/>
            <w:noWrap/>
            <w:vAlign w:val="bottom"/>
            <w:hideMark/>
          </w:tcPr>
          <w:p w14:paraId="00FD2896" w14:textId="280C570A"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23</w:t>
            </w:r>
          </w:p>
        </w:tc>
      </w:tr>
      <w:tr w:rsidR="00DF5267" w:rsidRPr="00544A77" w14:paraId="08FBF6F0"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7D3F315" w14:textId="7F61481C" w:rsidR="00DF5267" w:rsidRPr="00544A77" w:rsidRDefault="00DF5267" w:rsidP="009A3DDD">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Fruit and vegetables</w:t>
            </w:r>
          </w:p>
        </w:tc>
        <w:tc>
          <w:tcPr>
            <w:tcW w:w="0" w:type="auto"/>
            <w:noWrap/>
            <w:vAlign w:val="center"/>
            <w:hideMark/>
          </w:tcPr>
          <w:p w14:paraId="3272B99C" w14:textId="74BCAC01" w:rsidR="00DF5267" w:rsidRPr="00C96991"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96991">
              <w:rPr>
                <w:rFonts w:cs="Arial"/>
                <w:i/>
                <w:color w:val="000000"/>
                <w:sz w:val="18"/>
                <w:szCs w:val="18"/>
              </w:rPr>
              <w:t>Vegetables (all)</w:t>
            </w:r>
          </w:p>
        </w:tc>
        <w:tc>
          <w:tcPr>
            <w:tcW w:w="0" w:type="auto"/>
            <w:noWrap/>
            <w:vAlign w:val="center"/>
          </w:tcPr>
          <w:p w14:paraId="76475279" w14:textId="051FA425"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2933E861" w14:textId="29E8C3A2"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4766890F" w14:textId="61A5ED6C"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hideMark/>
          </w:tcPr>
          <w:p w14:paraId="43A4EAA7" w14:textId="03BF227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570</w:t>
            </w:r>
          </w:p>
        </w:tc>
        <w:tc>
          <w:tcPr>
            <w:tcW w:w="0" w:type="auto"/>
            <w:noWrap/>
            <w:vAlign w:val="bottom"/>
            <w:hideMark/>
          </w:tcPr>
          <w:p w14:paraId="28CAD938" w14:textId="4381B6B8"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314</w:t>
            </w:r>
          </w:p>
        </w:tc>
      </w:tr>
      <w:tr w:rsidR="00DF5267" w:rsidRPr="00544A77" w14:paraId="74F39940"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381E9B7" w14:textId="77777777" w:rsidR="00DF5267" w:rsidRPr="00544A77" w:rsidRDefault="00DF5267" w:rsidP="009A3DDD">
            <w:pPr>
              <w:spacing w:after="0" w:line="240" w:lineRule="auto"/>
              <w:contextualSpacing/>
              <w:rPr>
                <w:rFonts w:cs="Arial"/>
                <w:b w:val="0"/>
                <w:color w:val="000000"/>
                <w:sz w:val="18"/>
                <w:szCs w:val="18"/>
              </w:rPr>
            </w:pPr>
          </w:p>
        </w:tc>
        <w:tc>
          <w:tcPr>
            <w:tcW w:w="0" w:type="auto"/>
            <w:noWrap/>
            <w:vAlign w:val="center"/>
            <w:hideMark/>
          </w:tcPr>
          <w:p w14:paraId="453D1480" w14:textId="6B223371" w:rsidR="00DF5267" w:rsidRPr="00C96991" w:rsidRDefault="00DF5267" w:rsidP="00CC3830">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A10267">
              <w:rPr>
                <w:rFonts w:eastAsia="Times New Roman" w:cs="Arial"/>
                <w:color w:val="000000"/>
                <w:sz w:val="18"/>
                <w:szCs w:val="18"/>
                <w:lang w:eastAsia="en-GB"/>
              </w:rPr>
              <w:t>Cucurbits</w:t>
            </w:r>
          </w:p>
        </w:tc>
        <w:tc>
          <w:tcPr>
            <w:tcW w:w="0" w:type="auto"/>
            <w:noWrap/>
            <w:vAlign w:val="center"/>
          </w:tcPr>
          <w:p w14:paraId="53485EFF" w14:textId="77777777"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1A713714" w14:textId="1A1C7355"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2800</w:t>
            </w:r>
          </w:p>
        </w:tc>
        <w:tc>
          <w:tcPr>
            <w:tcW w:w="0" w:type="auto"/>
            <w:noWrap/>
            <w:vAlign w:val="center"/>
          </w:tcPr>
          <w:p w14:paraId="045AB6F6" w14:textId="50815254"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1400</w:t>
            </w:r>
          </w:p>
        </w:tc>
        <w:tc>
          <w:tcPr>
            <w:tcW w:w="0" w:type="auto"/>
            <w:noWrap/>
            <w:vAlign w:val="bottom"/>
            <w:hideMark/>
          </w:tcPr>
          <w:p w14:paraId="2729B3CA" w14:textId="068FF333"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96</w:t>
            </w:r>
          </w:p>
        </w:tc>
        <w:tc>
          <w:tcPr>
            <w:tcW w:w="0" w:type="auto"/>
            <w:noWrap/>
            <w:vAlign w:val="bottom"/>
            <w:hideMark/>
          </w:tcPr>
          <w:p w14:paraId="05E31D9C" w14:textId="30863FB1"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35</w:t>
            </w:r>
          </w:p>
        </w:tc>
      </w:tr>
      <w:tr w:rsidR="00DF5267" w:rsidRPr="00544A77" w14:paraId="093BAB86"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8BD8F19"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04B1334" w14:textId="60E097BC"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Herbs</w:t>
            </w:r>
          </w:p>
        </w:tc>
        <w:tc>
          <w:tcPr>
            <w:tcW w:w="0" w:type="auto"/>
            <w:noWrap/>
            <w:vAlign w:val="center"/>
          </w:tcPr>
          <w:p w14:paraId="1B2C7B66" w14:textId="77777777"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1486B2CD" w14:textId="1C4983E0"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933</w:t>
            </w:r>
          </w:p>
        </w:tc>
        <w:tc>
          <w:tcPr>
            <w:tcW w:w="0" w:type="auto"/>
            <w:noWrap/>
            <w:vAlign w:val="center"/>
          </w:tcPr>
          <w:p w14:paraId="0E862589" w14:textId="146B8A60"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467</w:t>
            </w:r>
          </w:p>
        </w:tc>
        <w:tc>
          <w:tcPr>
            <w:tcW w:w="0" w:type="auto"/>
            <w:noWrap/>
            <w:vAlign w:val="bottom"/>
            <w:hideMark/>
          </w:tcPr>
          <w:p w14:paraId="4B5AC20D" w14:textId="06B5D753"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w:t>
            </w:r>
          </w:p>
        </w:tc>
        <w:tc>
          <w:tcPr>
            <w:tcW w:w="0" w:type="auto"/>
            <w:noWrap/>
            <w:vAlign w:val="bottom"/>
            <w:hideMark/>
          </w:tcPr>
          <w:p w14:paraId="73D338EC" w14:textId="1B9D7C4D"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r>
      <w:tr w:rsidR="00DF5267" w:rsidRPr="00544A77" w14:paraId="2F7845C9"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7082C35"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512FFBD6" w14:textId="02E6BFA7"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Leafy vegetables</w:t>
            </w:r>
          </w:p>
        </w:tc>
        <w:tc>
          <w:tcPr>
            <w:tcW w:w="0" w:type="auto"/>
            <w:noWrap/>
            <w:vAlign w:val="center"/>
          </w:tcPr>
          <w:p w14:paraId="38DD1783" w14:textId="77777777"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14DBBD1B" w14:textId="3701AA0E"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2800</w:t>
            </w:r>
          </w:p>
        </w:tc>
        <w:tc>
          <w:tcPr>
            <w:tcW w:w="0" w:type="auto"/>
            <w:noWrap/>
            <w:vAlign w:val="center"/>
          </w:tcPr>
          <w:p w14:paraId="4CF27758" w14:textId="6433299E"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1400</w:t>
            </w:r>
          </w:p>
        </w:tc>
        <w:tc>
          <w:tcPr>
            <w:tcW w:w="0" w:type="auto"/>
            <w:noWrap/>
            <w:vAlign w:val="bottom"/>
            <w:hideMark/>
          </w:tcPr>
          <w:p w14:paraId="0CD95033" w14:textId="059F3643"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48</w:t>
            </w:r>
          </w:p>
        </w:tc>
        <w:tc>
          <w:tcPr>
            <w:tcW w:w="0" w:type="auto"/>
            <w:noWrap/>
            <w:vAlign w:val="bottom"/>
            <w:hideMark/>
          </w:tcPr>
          <w:p w14:paraId="07E67738" w14:textId="0EE3CF0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w:t>
            </w:r>
          </w:p>
        </w:tc>
      </w:tr>
      <w:tr w:rsidR="00DF5267" w:rsidRPr="00544A77" w14:paraId="66B63E03"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AD73B6B"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419EA77" w14:textId="25BBA431"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Other fruiting vegetables</w:t>
            </w:r>
          </w:p>
        </w:tc>
        <w:tc>
          <w:tcPr>
            <w:tcW w:w="0" w:type="auto"/>
            <w:noWrap/>
            <w:vAlign w:val="center"/>
          </w:tcPr>
          <w:p w14:paraId="6144A4C8" w14:textId="77777777"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2172666C" w14:textId="7296B3DD"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933</w:t>
            </w:r>
          </w:p>
        </w:tc>
        <w:tc>
          <w:tcPr>
            <w:tcW w:w="0" w:type="auto"/>
            <w:noWrap/>
            <w:vAlign w:val="center"/>
          </w:tcPr>
          <w:p w14:paraId="3CD007F0" w14:textId="186F795F"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467</w:t>
            </w:r>
          </w:p>
        </w:tc>
        <w:tc>
          <w:tcPr>
            <w:tcW w:w="0" w:type="auto"/>
            <w:noWrap/>
            <w:vAlign w:val="bottom"/>
            <w:hideMark/>
          </w:tcPr>
          <w:p w14:paraId="13CD5FB3" w14:textId="714D6212"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205</w:t>
            </w:r>
          </w:p>
        </w:tc>
        <w:tc>
          <w:tcPr>
            <w:tcW w:w="0" w:type="auto"/>
            <w:noWrap/>
            <w:vAlign w:val="bottom"/>
            <w:hideMark/>
          </w:tcPr>
          <w:p w14:paraId="48DD23E1" w14:textId="7867F226"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104</w:t>
            </w:r>
          </w:p>
        </w:tc>
      </w:tr>
      <w:tr w:rsidR="00DF5267" w:rsidRPr="00544A77" w14:paraId="2DA78F6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6C2256E"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875D9AB" w14:textId="28844CE3"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Root and tuber vegetables</w:t>
            </w:r>
          </w:p>
        </w:tc>
        <w:tc>
          <w:tcPr>
            <w:tcW w:w="0" w:type="auto"/>
            <w:noWrap/>
            <w:vAlign w:val="center"/>
          </w:tcPr>
          <w:p w14:paraId="5C2C7A7E" w14:textId="77777777"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316419E7" w14:textId="1D6B5267"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6200C">
              <w:rPr>
                <w:rFonts w:cs="Arial"/>
                <w:color w:val="000000"/>
                <w:sz w:val="18"/>
                <w:szCs w:val="18"/>
              </w:rPr>
              <w:t>933</w:t>
            </w:r>
          </w:p>
        </w:tc>
        <w:tc>
          <w:tcPr>
            <w:tcW w:w="0" w:type="auto"/>
            <w:noWrap/>
            <w:vAlign w:val="center"/>
          </w:tcPr>
          <w:p w14:paraId="68427C7F" w14:textId="2599CF59"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6200C">
              <w:rPr>
                <w:rFonts w:cs="Arial"/>
                <w:color w:val="000000"/>
                <w:sz w:val="18"/>
                <w:szCs w:val="18"/>
              </w:rPr>
              <w:t>467</w:t>
            </w:r>
          </w:p>
        </w:tc>
        <w:tc>
          <w:tcPr>
            <w:tcW w:w="0" w:type="auto"/>
            <w:noWrap/>
            <w:vAlign w:val="bottom"/>
            <w:hideMark/>
          </w:tcPr>
          <w:p w14:paraId="59AEFC36" w14:textId="0A60035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273</w:t>
            </w:r>
          </w:p>
        </w:tc>
        <w:tc>
          <w:tcPr>
            <w:tcW w:w="0" w:type="auto"/>
            <w:noWrap/>
            <w:vAlign w:val="bottom"/>
            <w:hideMark/>
          </w:tcPr>
          <w:p w14:paraId="290E88EC" w14:textId="2AF46082"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123</w:t>
            </w:r>
          </w:p>
        </w:tc>
      </w:tr>
      <w:tr w:rsidR="00DF5267" w:rsidRPr="00544A77" w14:paraId="5234BA26"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C4A3B28"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1034B803" w14:textId="208B55F7"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Spices</w:t>
            </w:r>
          </w:p>
        </w:tc>
        <w:tc>
          <w:tcPr>
            <w:tcW w:w="0" w:type="auto"/>
            <w:noWrap/>
            <w:vAlign w:val="center"/>
          </w:tcPr>
          <w:p w14:paraId="518405E8" w14:textId="19C27117"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50E385AC" w14:textId="370CD18B"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6200C">
              <w:rPr>
                <w:rFonts w:cs="Arial"/>
                <w:color w:val="000000"/>
                <w:sz w:val="18"/>
                <w:szCs w:val="18"/>
              </w:rPr>
              <w:t>933</w:t>
            </w:r>
          </w:p>
        </w:tc>
        <w:tc>
          <w:tcPr>
            <w:tcW w:w="0" w:type="auto"/>
            <w:noWrap/>
            <w:vAlign w:val="center"/>
          </w:tcPr>
          <w:p w14:paraId="438C0302" w14:textId="124DDD86"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6200C">
              <w:rPr>
                <w:rFonts w:cs="Arial"/>
                <w:color w:val="000000"/>
                <w:sz w:val="18"/>
                <w:szCs w:val="18"/>
              </w:rPr>
              <w:t>467</w:t>
            </w:r>
          </w:p>
        </w:tc>
        <w:tc>
          <w:tcPr>
            <w:tcW w:w="0" w:type="auto"/>
            <w:noWrap/>
            <w:vAlign w:val="bottom"/>
            <w:hideMark/>
          </w:tcPr>
          <w:p w14:paraId="6D5C304D" w14:textId="036E69EB"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c>
          <w:tcPr>
            <w:tcW w:w="0" w:type="auto"/>
            <w:noWrap/>
            <w:vAlign w:val="bottom"/>
            <w:hideMark/>
          </w:tcPr>
          <w:p w14:paraId="04B5EC3E" w14:textId="23281949"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r>
      <w:tr w:rsidR="00DF5267" w:rsidRPr="00544A77" w14:paraId="620F332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9F4D7E5"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BD6236A" w14:textId="66A9FCF7"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Stalk and stem vegetables</w:t>
            </w:r>
          </w:p>
        </w:tc>
        <w:tc>
          <w:tcPr>
            <w:tcW w:w="0" w:type="auto"/>
            <w:noWrap/>
            <w:vAlign w:val="center"/>
          </w:tcPr>
          <w:p w14:paraId="71196AA7" w14:textId="225A85D2"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6200C">
              <w:rPr>
                <w:rFonts w:cs="Arial"/>
                <w:color w:val="000000"/>
                <w:sz w:val="18"/>
                <w:szCs w:val="18"/>
              </w:rPr>
              <w:t>364</w:t>
            </w:r>
          </w:p>
        </w:tc>
        <w:tc>
          <w:tcPr>
            <w:tcW w:w="0" w:type="auto"/>
            <w:noWrap/>
            <w:vAlign w:val="center"/>
          </w:tcPr>
          <w:p w14:paraId="771D7E01" w14:textId="12622B4A"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6200C">
              <w:rPr>
                <w:rFonts w:cs="Arial"/>
                <w:color w:val="000000"/>
                <w:sz w:val="18"/>
                <w:szCs w:val="18"/>
              </w:rPr>
              <w:t>364</w:t>
            </w:r>
          </w:p>
        </w:tc>
        <w:tc>
          <w:tcPr>
            <w:tcW w:w="0" w:type="auto"/>
            <w:noWrap/>
            <w:vAlign w:val="center"/>
          </w:tcPr>
          <w:p w14:paraId="4177D770" w14:textId="7ABB6700"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6200C">
              <w:rPr>
                <w:rFonts w:cs="Arial"/>
                <w:color w:val="000000"/>
                <w:sz w:val="18"/>
                <w:szCs w:val="18"/>
              </w:rPr>
              <w:t>364</w:t>
            </w:r>
          </w:p>
        </w:tc>
        <w:tc>
          <w:tcPr>
            <w:tcW w:w="0" w:type="auto"/>
            <w:noWrap/>
            <w:vAlign w:val="bottom"/>
            <w:hideMark/>
          </w:tcPr>
          <w:p w14:paraId="2D90ACE5" w14:textId="5175DA1A"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15</w:t>
            </w:r>
          </w:p>
        </w:tc>
        <w:tc>
          <w:tcPr>
            <w:tcW w:w="0" w:type="auto"/>
            <w:noWrap/>
            <w:vAlign w:val="bottom"/>
            <w:hideMark/>
          </w:tcPr>
          <w:p w14:paraId="2245926D" w14:textId="090A1A51"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w:t>
            </w:r>
          </w:p>
        </w:tc>
      </w:tr>
      <w:tr w:rsidR="00DF5267" w:rsidRPr="00544A77" w14:paraId="28B1DDB3"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69E29F0"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C29DA38" w14:textId="6407AAF2" w:rsidR="00DF5267" w:rsidRPr="00A10267" w:rsidRDefault="00DF5267" w:rsidP="00CC3830">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96991">
              <w:rPr>
                <w:rFonts w:cs="Arial"/>
                <w:i/>
                <w:color w:val="000000"/>
                <w:sz w:val="18"/>
                <w:szCs w:val="18"/>
              </w:rPr>
              <w:t>Fruit (all)</w:t>
            </w:r>
          </w:p>
        </w:tc>
        <w:tc>
          <w:tcPr>
            <w:tcW w:w="0" w:type="auto"/>
            <w:noWrap/>
            <w:vAlign w:val="center"/>
          </w:tcPr>
          <w:p w14:paraId="6CA596FE" w14:textId="15360405"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279E89D5" w14:textId="54450231"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081A7817" w14:textId="7671EB7D"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hideMark/>
          </w:tcPr>
          <w:p w14:paraId="7A7DB74F" w14:textId="18670897"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861</w:t>
            </w:r>
          </w:p>
        </w:tc>
        <w:tc>
          <w:tcPr>
            <w:tcW w:w="0" w:type="auto"/>
            <w:noWrap/>
            <w:vAlign w:val="bottom"/>
            <w:hideMark/>
          </w:tcPr>
          <w:p w14:paraId="43EE514D" w14:textId="6A3C77A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381</w:t>
            </w:r>
          </w:p>
        </w:tc>
      </w:tr>
      <w:tr w:rsidR="00DF5267" w:rsidRPr="00544A77" w14:paraId="6B2D83CB"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19D1D39" w14:textId="77777777" w:rsidR="00DF5267" w:rsidRPr="00544A77" w:rsidRDefault="00DF5267" w:rsidP="009A3DDD">
            <w:pPr>
              <w:spacing w:after="0" w:line="240" w:lineRule="auto"/>
              <w:contextualSpacing/>
              <w:rPr>
                <w:rFonts w:cs="Arial"/>
                <w:b w:val="0"/>
                <w:color w:val="000000"/>
                <w:sz w:val="18"/>
                <w:szCs w:val="18"/>
              </w:rPr>
            </w:pPr>
          </w:p>
        </w:tc>
        <w:tc>
          <w:tcPr>
            <w:tcW w:w="0" w:type="auto"/>
            <w:noWrap/>
            <w:vAlign w:val="center"/>
            <w:hideMark/>
          </w:tcPr>
          <w:p w14:paraId="12730454" w14:textId="7272CAF3" w:rsidR="00DF5267" w:rsidRPr="00C96991"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A10267">
              <w:rPr>
                <w:rFonts w:eastAsia="Times New Roman" w:cs="Arial"/>
                <w:color w:val="000000"/>
                <w:sz w:val="18"/>
                <w:szCs w:val="18"/>
                <w:lang w:eastAsia="en-GB"/>
              </w:rPr>
              <w:t>Berries and other small fruits</w:t>
            </w:r>
          </w:p>
        </w:tc>
        <w:tc>
          <w:tcPr>
            <w:tcW w:w="0" w:type="auto"/>
            <w:noWrap/>
            <w:vAlign w:val="center"/>
          </w:tcPr>
          <w:p w14:paraId="6179C57C" w14:textId="77777777"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1799FE04" w14:textId="38E0C403"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933</w:t>
            </w:r>
          </w:p>
        </w:tc>
        <w:tc>
          <w:tcPr>
            <w:tcW w:w="0" w:type="auto"/>
            <w:noWrap/>
            <w:vAlign w:val="center"/>
          </w:tcPr>
          <w:p w14:paraId="09B29C60" w14:textId="21CC8AF9"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467</w:t>
            </w:r>
          </w:p>
        </w:tc>
        <w:tc>
          <w:tcPr>
            <w:tcW w:w="0" w:type="auto"/>
            <w:noWrap/>
            <w:vAlign w:val="bottom"/>
            <w:hideMark/>
          </w:tcPr>
          <w:p w14:paraId="2425B5D7" w14:textId="50A16802"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526</w:t>
            </w:r>
          </w:p>
        </w:tc>
        <w:tc>
          <w:tcPr>
            <w:tcW w:w="0" w:type="auto"/>
            <w:noWrap/>
            <w:vAlign w:val="bottom"/>
            <w:hideMark/>
          </w:tcPr>
          <w:p w14:paraId="55BDBDF7" w14:textId="722FCC6F"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166</w:t>
            </w:r>
          </w:p>
        </w:tc>
      </w:tr>
      <w:tr w:rsidR="00DF5267" w:rsidRPr="00544A77" w14:paraId="4B558A2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42651E5"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C26057F" w14:textId="320F9430"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Citrus fruits</w:t>
            </w:r>
          </w:p>
        </w:tc>
        <w:tc>
          <w:tcPr>
            <w:tcW w:w="0" w:type="auto"/>
            <w:noWrap/>
            <w:vAlign w:val="center"/>
          </w:tcPr>
          <w:p w14:paraId="69ADB1A0" w14:textId="77777777"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478434D2" w14:textId="21CEF304"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933</w:t>
            </w:r>
          </w:p>
        </w:tc>
        <w:tc>
          <w:tcPr>
            <w:tcW w:w="0" w:type="auto"/>
            <w:noWrap/>
            <w:vAlign w:val="center"/>
          </w:tcPr>
          <w:p w14:paraId="35EB3322" w14:textId="0C16AD48" w:rsidR="00DF5267" w:rsidRPr="00544A7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467</w:t>
            </w:r>
          </w:p>
        </w:tc>
        <w:tc>
          <w:tcPr>
            <w:tcW w:w="0" w:type="auto"/>
            <w:noWrap/>
            <w:vAlign w:val="bottom"/>
            <w:hideMark/>
          </w:tcPr>
          <w:p w14:paraId="1B1566D6" w14:textId="7C70BCB0"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354</w:t>
            </w:r>
          </w:p>
        </w:tc>
        <w:tc>
          <w:tcPr>
            <w:tcW w:w="0" w:type="auto"/>
            <w:noWrap/>
            <w:vAlign w:val="bottom"/>
            <w:hideMark/>
          </w:tcPr>
          <w:p w14:paraId="1F16DE29" w14:textId="03CA546F"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129</w:t>
            </w:r>
          </w:p>
        </w:tc>
      </w:tr>
      <w:tr w:rsidR="00DF5267" w:rsidRPr="00544A77" w14:paraId="5912C8FF"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0723231"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2BA11FE2" w14:textId="2A4CE9EF"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Pome fruits</w:t>
            </w:r>
          </w:p>
        </w:tc>
        <w:tc>
          <w:tcPr>
            <w:tcW w:w="0" w:type="auto"/>
            <w:noWrap/>
            <w:vAlign w:val="center"/>
          </w:tcPr>
          <w:p w14:paraId="5F50D94C" w14:textId="77777777"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3BAD1B4A" w14:textId="0AA8DC3C"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933</w:t>
            </w:r>
          </w:p>
        </w:tc>
        <w:tc>
          <w:tcPr>
            <w:tcW w:w="0" w:type="auto"/>
            <w:noWrap/>
            <w:vAlign w:val="center"/>
          </w:tcPr>
          <w:p w14:paraId="7AFCC82F" w14:textId="582DED5E" w:rsidR="00DF5267" w:rsidRPr="00544A7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467</w:t>
            </w:r>
          </w:p>
        </w:tc>
        <w:tc>
          <w:tcPr>
            <w:tcW w:w="0" w:type="auto"/>
            <w:noWrap/>
            <w:vAlign w:val="bottom"/>
            <w:hideMark/>
          </w:tcPr>
          <w:p w14:paraId="4E98BF44" w14:textId="5787A5AB"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321</w:t>
            </w:r>
          </w:p>
        </w:tc>
        <w:tc>
          <w:tcPr>
            <w:tcW w:w="0" w:type="auto"/>
            <w:noWrap/>
            <w:vAlign w:val="bottom"/>
            <w:hideMark/>
          </w:tcPr>
          <w:p w14:paraId="54EE67D9" w14:textId="26735C8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147</w:t>
            </w:r>
          </w:p>
        </w:tc>
      </w:tr>
      <w:tr w:rsidR="00DF5267" w:rsidRPr="00544A77" w14:paraId="3329B835"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D8FAD52" w14:textId="77777777" w:rsidR="00DF5267" w:rsidRPr="00544A77" w:rsidRDefault="00DF5267" w:rsidP="009A3DD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0B5BE52" w14:textId="77CAC196" w:rsidR="00DF5267" w:rsidRPr="00A10267" w:rsidRDefault="00DF5267" w:rsidP="00CC3830">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Tropical fruit - edible peel</w:t>
            </w:r>
          </w:p>
        </w:tc>
        <w:tc>
          <w:tcPr>
            <w:tcW w:w="0" w:type="auto"/>
            <w:noWrap/>
            <w:vAlign w:val="center"/>
          </w:tcPr>
          <w:p w14:paraId="175327E8" w14:textId="7699D926" w:rsidR="00DF5267" w:rsidRPr="00544A77" w:rsidRDefault="00DF5267" w:rsidP="00CC3830">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center"/>
          </w:tcPr>
          <w:p w14:paraId="6C2EBA22" w14:textId="39FB19D4" w:rsidR="00DF5267" w:rsidRPr="00544A77"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2800</w:t>
            </w:r>
          </w:p>
        </w:tc>
        <w:tc>
          <w:tcPr>
            <w:tcW w:w="0" w:type="auto"/>
            <w:noWrap/>
            <w:vAlign w:val="center"/>
          </w:tcPr>
          <w:p w14:paraId="57A795CC" w14:textId="711AA8EA" w:rsidR="00DF5267" w:rsidRPr="00544A77"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544A77">
              <w:rPr>
                <w:rFonts w:cs="Arial"/>
                <w:color w:val="000000"/>
                <w:sz w:val="18"/>
                <w:szCs w:val="18"/>
              </w:rPr>
              <w:t>1400</w:t>
            </w:r>
          </w:p>
        </w:tc>
        <w:tc>
          <w:tcPr>
            <w:tcW w:w="0" w:type="auto"/>
            <w:noWrap/>
            <w:vAlign w:val="bottom"/>
            <w:hideMark/>
          </w:tcPr>
          <w:p w14:paraId="532A9F15" w14:textId="7E90A05B" w:rsidR="00DF5267" w:rsidRPr="00DF5267"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c>
          <w:tcPr>
            <w:tcW w:w="0" w:type="auto"/>
            <w:noWrap/>
            <w:vAlign w:val="bottom"/>
            <w:hideMark/>
          </w:tcPr>
          <w:p w14:paraId="2525B8A7" w14:textId="6C816012" w:rsidR="00DF5267" w:rsidRPr="00DF5267" w:rsidRDefault="00DF5267" w:rsidP="00CC38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bl>
    <w:p w14:paraId="7C2E8093" w14:textId="1FEFF9C5" w:rsidR="008A4D2C" w:rsidRPr="008A4D2C" w:rsidRDefault="008A4D2C" w:rsidP="009A3DDD">
      <w:pPr>
        <w:pStyle w:val="FSCFootnote"/>
      </w:pPr>
      <w:r w:rsidRPr="008A4D2C">
        <w:t>*Consumption amounts not provided where median PFAS concentration was &lt;LOR</w:t>
      </w:r>
      <w:r w:rsidR="00CC3830">
        <w:t xml:space="preserve"> and calculated as zero; </w:t>
      </w:r>
      <w:r w:rsidRPr="008A4D2C">
        <w:t>- insufficient consumers to derive P90 consumption</w:t>
      </w:r>
    </w:p>
    <w:p w14:paraId="4AA357A2" w14:textId="140C88E6" w:rsidR="001A2CD0" w:rsidRDefault="001A2CD0">
      <w:r>
        <w:br w:type="page"/>
      </w:r>
    </w:p>
    <w:p w14:paraId="4B92130E" w14:textId="1A491771" w:rsidR="00544A77" w:rsidRDefault="00544A77" w:rsidP="00984802">
      <w:pPr>
        <w:pStyle w:val="FSTableColumnRowheading"/>
      </w:pPr>
      <w:bookmarkStart w:id="212" w:name="_Ref473803747"/>
      <w:bookmarkStart w:id="213" w:name="_Toc474153725"/>
      <w:bookmarkStart w:id="214" w:name="_Toc474158917"/>
      <w:bookmarkStart w:id="215" w:name="_Toc474847877"/>
      <w:bookmarkStart w:id="216" w:name="_Toc474852117"/>
      <w:r w:rsidRPr="00F125A2">
        <w:lastRenderedPageBreak/>
        <w:t>Amount of food</w:t>
      </w:r>
      <w:r>
        <w:t>*</w:t>
      </w:r>
      <w:r w:rsidRPr="00F125A2">
        <w:t xml:space="preserve"> (grams</w:t>
      </w:r>
      <w:r w:rsidR="00AC5A9F">
        <w:t>/day</w:t>
      </w:r>
      <w:r w:rsidRPr="00F125A2">
        <w:t xml:space="preserve">) at median </w:t>
      </w:r>
      <w:r>
        <w:t>PFOS</w:t>
      </w:r>
      <w:r w:rsidRPr="00F125A2">
        <w:t xml:space="preserve"> concentration to reach the TD</w:t>
      </w:r>
      <w:r>
        <w:t xml:space="preserve">I for the population aged 2-6 </w:t>
      </w:r>
      <w:r w:rsidRPr="00F125A2">
        <w:t>years</w:t>
      </w:r>
      <w:bookmarkEnd w:id="212"/>
      <w:bookmarkEnd w:id="213"/>
      <w:bookmarkEnd w:id="214"/>
      <w:bookmarkEnd w:id="215"/>
      <w:bookmarkEnd w:id="216"/>
      <w:r w:rsidRPr="00F125A2">
        <w:t xml:space="preserve"> </w:t>
      </w:r>
    </w:p>
    <w:tbl>
      <w:tblPr>
        <w:tblStyle w:val="LightList-Accent1"/>
        <w:tblW w:w="5000" w:type="pct"/>
        <w:tblLook w:val="04A0" w:firstRow="1" w:lastRow="0" w:firstColumn="1" w:lastColumn="0" w:noHBand="0" w:noVBand="1"/>
      </w:tblPr>
      <w:tblGrid>
        <w:gridCol w:w="2322"/>
        <w:gridCol w:w="2509"/>
        <w:gridCol w:w="1769"/>
        <w:gridCol w:w="1820"/>
        <w:gridCol w:w="1757"/>
        <w:gridCol w:w="1951"/>
        <w:gridCol w:w="2090"/>
      </w:tblGrid>
      <w:tr w:rsidR="00A10267" w:rsidRPr="00A10267" w14:paraId="3A5F4CF4"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val="restart"/>
            <w:vAlign w:val="center"/>
          </w:tcPr>
          <w:p w14:paraId="78E9DF6B" w14:textId="01FF4C7D" w:rsidR="00A10267" w:rsidRPr="00A10267" w:rsidRDefault="00A10267" w:rsidP="0092375E">
            <w:pPr>
              <w:contextualSpacing/>
              <w:rPr>
                <w:rFonts w:eastAsia="Times New Roman" w:cs="Arial"/>
                <w:sz w:val="18"/>
                <w:szCs w:val="18"/>
                <w:lang w:eastAsia="en-GB"/>
              </w:rPr>
            </w:pPr>
            <w:r w:rsidRPr="00A10267">
              <w:rPr>
                <w:rFonts w:eastAsia="Times New Roman" w:cs="Arial"/>
                <w:sz w:val="18"/>
                <w:szCs w:val="18"/>
                <w:lang w:eastAsia="en-GB"/>
              </w:rPr>
              <w:t xml:space="preserve">Food </w:t>
            </w:r>
            <w:r w:rsidR="0092375E">
              <w:rPr>
                <w:rFonts w:eastAsia="Times New Roman" w:cs="Arial"/>
                <w:sz w:val="18"/>
                <w:szCs w:val="18"/>
                <w:lang w:eastAsia="en-GB"/>
              </w:rPr>
              <w:t>category</w:t>
            </w:r>
          </w:p>
        </w:tc>
        <w:tc>
          <w:tcPr>
            <w:tcW w:w="882" w:type="pct"/>
            <w:vMerge w:val="restart"/>
            <w:vAlign w:val="center"/>
          </w:tcPr>
          <w:p w14:paraId="3DF1E2B1" w14:textId="0668AE0D" w:rsidR="00A10267" w:rsidRPr="00A10267" w:rsidRDefault="00A1026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10267">
              <w:rPr>
                <w:rFonts w:eastAsia="Times New Roman" w:cs="Arial"/>
                <w:sz w:val="18"/>
                <w:szCs w:val="18"/>
                <w:lang w:eastAsia="en-GB"/>
              </w:rPr>
              <w:t>Food classification</w:t>
            </w:r>
          </w:p>
        </w:tc>
        <w:tc>
          <w:tcPr>
            <w:tcW w:w="1880" w:type="pct"/>
            <w:gridSpan w:val="3"/>
            <w:vAlign w:val="center"/>
          </w:tcPr>
          <w:p w14:paraId="03927BA4" w14:textId="1E722B02" w:rsidR="00A10267" w:rsidRPr="00A10267" w:rsidRDefault="00A1026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10267">
              <w:rPr>
                <w:rFonts w:eastAsia="Times New Roman" w:cs="Arial"/>
                <w:sz w:val="18"/>
                <w:szCs w:val="18"/>
                <w:lang w:eastAsia="en-GB"/>
              </w:rPr>
              <w:t>Amount of food that can be consumed before reaching PFOS TDI</w:t>
            </w:r>
          </w:p>
        </w:tc>
        <w:tc>
          <w:tcPr>
            <w:tcW w:w="1421" w:type="pct"/>
            <w:gridSpan w:val="2"/>
            <w:vAlign w:val="center"/>
          </w:tcPr>
          <w:p w14:paraId="259E062A" w14:textId="77777777" w:rsidR="00A10267" w:rsidRPr="00A10267" w:rsidRDefault="00A1026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10267">
              <w:rPr>
                <w:rFonts w:eastAsia="Times New Roman" w:cs="Arial"/>
                <w:sz w:val="18"/>
                <w:szCs w:val="18"/>
                <w:lang w:eastAsia="en-GB"/>
              </w:rPr>
              <w:t>Food consumption derived from 2011-12 NNPAS</w:t>
            </w:r>
          </w:p>
        </w:tc>
      </w:tr>
      <w:tr w:rsidR="00A10267" w:rsidRPr="00F420C3" w14:paraId="17822922" w14:textId="77777777" w:rsidTr="00574F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62043017" w14:textId="6818081E" w:rsidR="00A10267" w:rsidRPr="00F420C3" w:rsidRDefault="00A10267" w:rsidP="009A3DDD">
            <w:pPr>
              <w:spacing w:after="0" w:line="240" w:lineRule="auto"/>
              <w:contextualSpacing/>
              <w:jc w:val="center"/>
              <w:rPr>
                <w:rFonts w:eastAsia="Times New Roman" w:cs="Arial"/>
                <w:color w:val="000000"/>
                <w:sz w:val="18"/>
                <w:szCs w:val="18"/>
                <w:lang w:eastAsia="en-GB"/>
              </w:rPr>
            </w:pPr>
          </w:p>
        </w:tc>
        <w:tc>
          <w:tcPr>
            <w:tcW w:w="882" w:type="pct"/>
            <w:vMerge/>
            <w:vAlign w:val="center"/>
            <w:hideMark/>
          </w:tcPr>
          <w:p w14:paraId="7518025B" w14:textId="56A3B92F" w:rsidR="00A10267" w:rsidRPr="00F420C3"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22" w:type="pct"/>
            <w:vAlign w:val="center"/>
          </w:tcPr>
          <w:p w14:paraId="351F5578" w14:textId="77777777" w:rsidR="00A10267" w:rsidRPr="00F420C3"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Lower Bound</w:t>
            </w:r>
          </w:p>
        </w:tc>
        <w:tc>
          <w:tcPr>
            <w:tcW w:w="640" w:type="pct"/>
            <w:vAlign w:val="center"/>
          </w:tcPr>
          <w:p w14:paraId="0E1EB28A" w14:textId="77777777" w:rsidR="00A10267" w:rsidRPr="00F420C3"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Middle Bound</w:t>
            </w:r>
          </w:p>
        </w:tc>
        <w:tc>
          <w:tcPr>
            <w:tcW w:w="618" w:type="pct"/>
            <w:vAlign w:val="center"/>
          </w:tcPr>
          <w:p w14:paraId="4AB418B8" w14:textId="77777777" w:rsidR="00A10267" w:rsidRPr="00F420C3"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Upper Bound</w:t>
            </w:r>
          </w:p>
        </w:tc>
        <w:tc>
          <w:tcPr>
            <w:tcW w:w="686" w:type="pct"/>
            <w:vAlign w:val="center"/>
            <w:hideMark/>
          </w:tcPr>
          <w:p w14:paraId="7A253AB5" w14:textId="77777777" w:rsidR="00A10267" w:rsidRPr="00F420C3"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P90 consumers only</w:t>
            </w:r>
          </w:p>
        </w:tc>
        <w:tc>
          <w:tcPr>
            <w:tcW w:w="735" w:type="pct"/>
            <w:vAlign w:val="center"/>
            <w:hideMark/>
          </w:tcPr>
          <w:p w14:paraId="014A393A" w14:textId="77777777" w:rsidR="00A10267" w:rsidRPr="00F420C3" w:rsidRDefault="00A10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Mean consumers only</w:t>
            </w:r>
          </w:p>
        </w:tc>
      </w:tr>
      <w:tr w:rsidR="00DF5267" w:rsidRPr="00F420C3" w14:paraId="023BAC5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val="restart"/>
          </w:tcPr>
          <w:p w14:paraId="1853A1F6" w14:textId="22AB9790" w:rsidR="00DF5267" w:rsidRPr="00574FA3" w:rsidRDefault="00DF5267" w:rsidP="009A3DDD">
            <w:pPr>
              <w:spacing w:after="0"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Fish and seafood</w:t>
            </w:r>
          </w:p>
        </w:tc>
        <w:tc>
          <w:tcPr>
            <w:tcW w:w="882" w:type="pct"/>
            <w:noWrap/>
            <w:vAlign w:val="center"/>
            <w:hideMark/>
          </w:tcPr>
          <w:p w14:paraId="7770C6A1" w14:textId="189B4931" w:rsidR="00DF5267" w:rsidRPr="007B14CA"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Crustaceans of all species</w:t>
            </w:r>
          </w:p>
        </w:tc>
        <w:tc>
          <w:tcPr>
            <w:tcW w:w="622" w:type="pct"/>
            <w:noWrap/>
            <w:vAlign w:val="center"/>
          </w:tcPr>
          <w:p w14:paraId="3C810C8E" w14:textId="031A5F89"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146</w:t>
            </w:r>
          </w:p>
        </w:tc>
        <w:tc>
          <w:tcPr>
            <w:tcW w:w="640" w:type="pct"/>
            <w:noWrap/>
            <w:vAlign w:val="center"/>
          </w:tcPr>
          <w:p w14:paraId="3DCB819F" w14:textId="25CFC84A"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146</w:t>
            </w:r>
          </w:p>
        </w:tc>
        <w:tc>
          <w:tcPr>
            <w:tcW w:w="618" w:type="pct"/>
            <w:noWrap/>
            <w:vAlign w:val="center"/>
          </w:tcPr>
          <w:p w14:paraId="43388907" w14:textId="2F43773C"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146</w:t>
            </w:r>
          </w:p>
        </w:tc>
        <w:tc>
          <w:tcPr>
            <w:tcW w:w="686" w:type="pct"/>
            <w:noWrap/>
            <w:vAlign w:val="bottom"/>
          </w:tcPr>
          <w:p w14:paraId="6AEDAA55" w14:textId="0DAC9165"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21</w:t>
            </w:r>
          </w:p>
        </w:tc>
        <w:tc>
          <w:tcPr>
            <w:tcW w:w="735" w:type="pct"/>
            <w:noWrap/>
            <w:vAlign w:val="bottom"/>
          </w:tcPr>
          <w:p w14:paraId="3AAC6216" w14:textId="6AC93FE8"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w:t>
            </w:r>
          </w:p>
        </w:tc>
      </w:tr>
      <w:tr w:rsidR="00DF5267" w:rsidRPr="00F420C3" w14:paraId="3ACC9B6E"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0C4034C0" w14:textId="7FEFA0EE" w:rsidR="00DF5267" w:rsidRPr="00F420C3" w:rsidRDefault="00DF5267" w:rsidP="009A3DDD">
            <w:pPr>
              <w:spacing w:after="0" w:line="240" w:lineRule="auto"/>
              <w:contextualSpacing/>
              <w:rPr>
                <w:rFonts w:cs="Arial"/>
                <w:b w:val="0"/>
                <w:color w:val="000000"/>
                <w:sz w:val="18"/>
                <w:szCs w:val="18"/>
              </w:rPr>
            </w:pPr>
          </w:p>
        </w:tc>
        <w:tc>
          <w:tcPr>
            <w:tcW w:w="882" w:type="pct"/>
            <w:noWrap/>
            <w:vAlign w:val="center"/>
            <w:hideMark/>
          </w:tcPr>
          <w:p w14:paraId="464FC1AD" w14:textId="616574D7" w:rsidR="00DF5267" w:rsidRPr="007B14CA"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7B14CA">
              <w:rPr>
                <w:rFonts w:cs="Arial"/>
                <w:i/>
                <w:color w:val="000000"/>
                <w:sz w:val="18"/>
                <w:szCs w:val="18"/>
              </w:rPr>
              <w:t>Finfish (all)</w:t>
            </w:r>
          </w:p>
        </w:tc>
        <w:tc>
          <w:tcPr>
            <w:tcW w:w="622" w:type="pct"/>
            <w:noWrap/>
            <w:vAlign w:val="center"/>
          </w:tcPr>
          <w:p w14:paraId="7CC5E08A" w14:textId="4A41F3B1"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165</w:t>
            </w:r>
          </w:p>
        </w:tc>
        <w:tc>
          <w:tcPr>
            <w:tcW w:w="640" w:type="pct"/>
            <w:noWrap/>
            <w:vAlign w:val="center"/>
          </w:tcPr>
          <w:p w14:paraId="4E44050B" w14:textId="5F2E9E4C"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165</w:t>
            </w:r>
          </w:p>
        </w:tc>
        <w:tc>
          <w:tcPr>
            <w:tcW w:w="618" w:type="pct"/>
            <w:noWrap/>
            <w:vAlign w:val="center"/>
          </w:tcPr>
          <w:p w14:paraId="22825B07" w14:textId="1A7BB103"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165</w:t>
            </w:r>
          </w:p>
        </w:tc>
        <w:tc>
          <w:tcPr>
            <w:tcW w:w="686" w:type="pct"/>
            <w:noWrap/>
            <w:vAlign w:val="bottom"/>
          </w:tcPr>
          <w:p w14:paraId="7DEAE1D2" w14:textId="367690A8"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73</w:t>
            </w:r>
          </w:p>
        </w:tc>
        <w:tc>
          <w:tcPr>
            <w:tcW w:w="735" w:type="pct"/>
            <w:noWrap/>
            <w:vAlign w:val="bottom"/>
          </w:tcPr>
          <w:p w14:paraId="36E64407" w14:textId="62AE86C6"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w:t>
            </w:r>
          </w:p>
        </w:tc>
      </w:tr>
      <w:tr w:rsidR="00DF5267" w:rsidRPr="00F420C3" w14:paraId="4E388A5E"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73A7415D" w14:textId="2E2E8A2C" w:rsidR="00DF5267" w:rsidRPr="00F420C3" w:rsidRDefault="00DF5267" w:rsidP="009A3DDD">
            <w:pPr>
              <w:spacing w:after="0" w:line="240" w:lineRule="auto"/>
              <w:contextualSpacing/>
              <w:rPr>
                <w:rFonts w:eastAsia="Times New Roman" w:cs="Arial"/>
                <w:b w:val="0"/>
                <w:color w:val="000000"/>
                <w:sz w:val="18"/>
                <w:szCs w:val="18"/>
                <w:lang w:eastAsia="en-GB"/>
              </w:rPr>
            </w:pPr>
          </w:p>
        </w:tc>
        <w:tc>
          <w:tcPr>
            <w:tcW w:w="882" w:type="pct"/>
            <w:noWrap/>
            <w:vAlign w:val="center"/>
            <w:hideMark/>
          </w:tcPr>
          <w:p w14:paraId="5673B176" w14:textId="57445615"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10267">
              <w:rPr>
                <w:rFonts w:eastAsia="Times New Roman" w:cs="Arial"/>
                <w:color w:val="000000"/>
                <w:sz w:val="18"/>
                <w:szCs w:val="18"/>
                <w:lang w:eastAsia="en-GB"/>
              </w:rPr>
              <w:t>Diadromous</w:t>
            </w:r>
            <w:proofErr w:type="spellEnd"/>
            <w:r w:rsidRPr="00A10267">
              <w:rPr>
                <w:rFonts w:eastAsia="Times New Roman" w:cs="Arial"/>
                <w:color w:val="000000"/>
                <w:sz w:val="18"/>
                <w:szCs w:val="18"/>
                <w:lang w:eastAsia="en-GB"/>
              </w:rPr>
              <w:t xml:space="preserve"> fish</w:t>
            </w:r>
          </w:p>
        </w:tc>
        <w:tc>
          <w:tcPr>
            <w:tcW w:w="622" w:type="pct"/>
            <w:noWrap/>
            <w:vAlign w:val="center"/>
          </w:tcPr>
          <w:p w14:paraId="2F6BE84A" w14:textId="16428D0B"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76</w:t>
            </w:r>
          </w:p>
        </w:tc>
        <w:tc>
          <w:tcPr>
            <w:tcW w:w="640" w:type="pct"/>
            <w:noWrap/>
            <w:vAlign w:val="center"/>
          </w:tcPr>
          <w:p w14:paraId="59BB325A" w14:textId="1229A761"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76</w:t>
            </w:r>
          </w:p>
        </w:tc>
        <w:tc>
          <w:tcPr>
            <w:tcW w:w="618" w:type="pct"/>
            <w:noWrap/>
            <w:vAlign w:val="center"/>
          </w:tcPr>
          <w:p w14:paraId="7D878DDE" w14:textId="6306F98C"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76</w:t>
            </w:r>
          </w:p>
        </w:tc>
        <w:tc>
          <w:tcPr>
            <w:tcW w:w="686" w:type="pct"/>
            <w:noWrap/>
            <w:vAlign w:val="bottom"/>
          </w:tcPr>
          <w:p w14:paraId="545A826C" w14:textId="16CDD89E"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60</w:t>
            </w:r>
          </w:p>
        </w:tc>
        <w:tc>
          <w:tcPr>
            <w:tcW w:w="735" w:type="pct"/>
            <w:noWrap/>
            <w:vAlign w:val="bottom"/>
          </w:tcPr>
          <w:p w14:paraId="2F4A3DFB" w14:textId="68A179AE"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34</w:t>
            </w:r>
          </w:p>
        </w:tc>
      </w:tr>
      <w:tr w:rsidR="00DF5267" w:rsidRPr="00F420C3" w14:paraId="7A44F11E"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594764B9" w14:textId="12AA7ABD" w:rsidR="00DF5267" w:rsidRPr="00F420C3" w:rsidRDefault="00DF5267" w:rsidP="009A3DDD">
            <w:pPr>
              <w:spacing w:after="0" w:line="240" w:lineRule="auto"/>
              <w:contextualSpacing/>
              <w:rPr>
                <w:rFonts w:eastAsia="Times New Roman" w:cs="Arial"/>
                <w:b w:val="0"/>
                <w:color w:val="000000"/>
                <w:sz w:val="18"/>
                <w:szCs w:val="18"/>
                <w:lang w:eastAsia="en-GB"/>
              </w:rPr>
            </w:pPr>
          </w:p>
        </w:tc>
        <w:tc>
          <w:tcPr>
            <w:tcW w:w="882" w:type="pct"/>
            <w:noWrap/>
            <w:vAlign w:val="center"/>
            <w:hideMark/>
          </w:tcPr>
          <w:p w14:paraId="6A211D39" w14:textId="35DF7990"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Freshwater fish</w:t>
            </w:r>
          </w:p>
        </w:tc>
        <w:tc>
          <w:tcPr>
            <w:tcW w:w="622" w:type="pct"/>
            <w:noWrap/>
            <w:vAlign w:val="center"/>
          </w:tcPr>
          <w:p w14:paraId="136B1530" w14:textId="1DA04A60"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110</w:t>
            </w:r>
          </w:p>
        </w:tc>
        <w:tc>
          <w:tcPr>
            <w:tcW w:w="640" w:type="pct"/>
            <w:noWrap/>
            <w:vAlign w:val="center"/>
          </w:tcPr>
          <w:p w14:paraId="0E18811F" w14:textId="29520889"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110</w:t>
            </w:r>
          </w:p>
        </w:tc>
        <w:tc>
          <w:tcPr>
            <w:tcW w:w="618" w:type="pct"/>
            <w:noWrap/>
            <w:vAlign w:val="center"/>
          </w:tcPr>
          <w:p w14:paraId="5D1E3BF4" w14:textId="4B1E4A6F"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110</w:t>
            </w:r>
          </w:p>
        </w:tc>
        <w:tc>
          <w:tcPr>
            <w:tcW w:w="686" w:type="pct"/>
            <w:noWrap/>
            <w:vAlign w:val="bottom"/>
          </w:tcPr>
          <w:p w14:paraId="6BEEFA98" w14:textId="65104C49"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72</w:t>
            </w:r>
          </w:p>
        </w:tc>
        <w:tc>
          <w:tcPr>
            <w:tcW w:w="735" w:type="pct"/>
            <w:noWrap/>
            <w:vAlign w:val="bottom"/>
          </w:tcPr>
          <w:p w14:paraId="4A109C31" w14:textId="1617AA3F"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28</w:t>
            </w:r>
          </w:p>
        </w:tc>
      </w:tr>
      <w:tr w:rsidR="00DF5267" w:rsidRPr="00F420C3" w14:paraId="73E797F0"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68129D5C" w14:textId="081068E5" w:rsidR="00DF5267" w:rsidRPr="00F420C3" w:rsidRDefault="00DF5267" w:rsidP="009A3DDD">
            <w:pPr>
              <w:spacing w:after="0" w:line="240" w:lineRule="auto"/>
              <w:contextualSpacing/>
              <w:rPr>
                <w:rFonts w:eastAsia="Times New Roman" w:cs="Arial"/>
                <w:b w:val="0"/>
                <w:color w:val="000000"/>
                <w:sz w:val="18"/>
                <w:szCs w:val="18"/>
                <w:lang w:eastAsia="en-GB"/>
              </w:rPr>
            </w:pPr>
          </w:p>
        </w:tc>
        <w:tc>
          <w:tcPr>
            <w:tcW w:w="882" w:type="pct"/>
            <w:noWrap/>
            <w:vAlign w:val="center"/>
            <w:hideMark/>
          </w:tcPr>
          <w:p w14:paraId="41E30CA0" w14:textId="2C70379F"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Marine fish of all species</w:t>
            </w:r>
          </w:p>
        </w:tc>
        <w:tc>
          <w:tcPr>
            <w:tcW w:w="622" w:type="pct"/>
            <w:noWrap/>
            <w:vAlign w:val="center"/>
          </w:tcPr>
          <w:p w14:paraId="3E683236" w14:textId="641A55EB"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195</w:t>
            </w:r>
          </w:p>
        </w:tc>
        <w:tc>
          <w:tcPr>
            <w:tcW w:w="640" w:type="pct"/>
            <w:noWrap/>
            <w:vAlign w:val="center"/>
          </w:tcPr>
          <w:p w14:paraId="3E5B2486" w14:textId="615F112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195</w:t>
            </w:r>
          </w:p>
        </w:tc>
        <w:tc>
          <w:tcPr>
            <w:tcW w:w="618" w:type="pct"/>
            <w:noWrap/>
            <w:vAlign w:val="center"/>
          </w:tcPr>
          <w:p w14:paraId="4994F987" w14:textId="1721FDE1"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195</w:t>
            </w:r>
          </w:p>
        </w:tc>
        <w:tc>
          <w:tcPr>
            <w:tcW w:w="686" w:type="pct"/>
            <w:noWrap/>
            <w:vAlign w:val="bottom"/>
          </w:tcPr>
          <w:p w14:paraId="73358981" w14:textId="61525DF1"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40</w:t>
            </w:r>
          </w:p>
        </w:tc>
        <w:tc>
          <w:tcPr>
            <w:tcW w:w="735" w:type="pct"/>
            <w:noWrap/>
            <w:vAlign w:val="bottom"/>
          </w:tcPr>
          <w:p w14:paraId="67E9156B" w14:textId="5C004CB5"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r>
      <w:tr w:rsidR="00DF5267" w:rsidRPr="00F420C3" w14:paraId="7D66A35C"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3189B1AD" w14:textId="0F482D80" w:rsidR="00DF5267" w:rsidRPr="003C03A1" w:rsidRDefault="00DF5267" w:rsidP="009A3DDD">
            <w:pPr>
              <w:spacing w:after="0" w:line="240" w:lineRule="auto"/>
              <w:contextualSpacing/>
              <w:rPr>
                <w:rFonts w:eastAsia="Times New Roman" w:cs="Arial"/>
                <w:color w:val="000000"/>
                <w:sz w:val="18"/>
                <w:szCs w:val="18"/>
                <w:lang w:eastAsia="en-GB"/>
              </w:rPr>
            </w:pPr>
          </w:p>
        </w:tc>
        <w:tc>
          <w:tcPr>
            <w:tcW w:w="882" w:type="pct"/>
            <w:noWrap/>
            <w:vAlign w:val="center"/>
          </w:tcPr>
          <w:p w14:paraId="0A720B60" w14:textId="41532899" w:rsidR="00DF5267" w:rsidRPr="007B14CA"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Molluscs</w:t>
            </w:r>
          </w:p>
        </w:tc>
        <w:tc>
          <w:tcPr>
            <w:tcW w:w="622" w:type="pct"/>
            <w:noWrap/>
            <w:vAlign w:val="center"/>
          </w:tcPr>
          <w:p w14:paraId="542B06F7" w14:textId="4E504A35" w:rsidR="00DF5267" w:rsidRPr="004824F6"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824F6">
              <w:rPr>
                <w:rFonts w:cs="Arial"/>
                <w:color w:val="000000"/>
                <w:sz w:val="18"/>
                <w:szCs w:val="18"/>
              </w:rPr>
              <w:t>362</w:t>
            </w:r>
          </w:p>
        </w:tc>
        <w:tc>
          <w:tcPr>
            <w:tcW w:w="640" w:type="pct"/>
            <w:noWrap/>
            <w:vAlign w:val="center"/>
          </w:tcPr>
          <w:p w14:paraId="11B70833" w14:textId="793BAA78" w:rsidR="00DF5267" w:rsidRPr="004824F6"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824F6">
              <w:rPr>
                <w:rFonts w:cs="Arial"/>
                <w:color w:val="000000"/>
                <w:sz w:val="18"/>
                <w:szCs w:val="18"/>
              </w:rPr>
              <w:t>362</w:t>
            </w:r>
          </w:p>
        </w:tc>
        <w:tc>
          <w:tcPr>
            <w:tcW w:w="618" w:type="pct"/>
            <w:noWrap/>
            <w:vAlign w:val="center"/>
          </w:tcPr>
          <w:p w14:paraId="35C25788" w14:textId="0107A7EC" w:rsidR="00DF5267" w:rsidRPr="004824F6"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824F6">
              <w:rPr>
                <w:rFonts w:cs="Arial"/>
                <w:color w:val="000000"/>
                <w:sz w:val="18"/>
                <w:szCs w:val="18"/>
              </w:rPr>
              <w:t>362</w:t>
            </w:r>
          </w:p>
        </w:tc>
        <w:tc>
          <w:tcPr>
            <w:tcW w:w="686" w:type="pct"/>
            <w:noWrap/>
            <w:vAlign w:val="bottom"/>
          </w:tcPr>
          <w:p w14:paraId="7BA4CF6C" w14:textId="0F783F96"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w:t>
            </w:r>
          </w:p>
        </w:tc>
        <w:tc>
          <w:tcPr>
            <w:tcW w:w="735" w:type="pct"/>
            <w:noWrap/>
            <w:vAlign w:val="bottom"/>
          </w:tcPr>
          <w:p w14:paraId="7CB66C53" w14:textId="1AF01EA6"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r>
      <w:tr w:rsidR="00DF5267" w:rsidRPr="00F420C3" w14:paraId="24997AE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val="restart"/>
          </w:tcPr>
          <w:p w14:paraId="0767B915" w14:textId="64BAD211" w:rsidR="00DF5267" w:rsidRPr="00F420C3" w:rsidRDefault="00DF5267" w:rsidP="009A3DDD">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Animal products</w:t>
            </w:r>
          </w:p>
        </w:tc>
        <w:tc>
          <w:tcPr>
            <w:tcW w:w="882" w:type="pct"/>
            <w:noWrap/>
            <w:vAlign w:val="center"/>
          </w:tcPr>
          <w:p w14:paraId="7125AAAC" w14:textId="5E1E4B9B" w:rsidR="00DF5267" w:rsidRPr="007B14CA"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622" w:type="pct"/>
            <w:noWrap/>
            <w:vAlign w:val="center"/>
          </w:tcPr>
          <w:p w14:paraId="4D11708F" w14:textId="57DFC5E4" w:rsidR="00DF5267" w:rsidRPr="00F420C3" w:rsidRDefault="00AB6296"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41</w:t>
            </w:r>
          </w:p>
        </w:tc>
        <w:tc>
          <w:tcPr>
            <w:tcW w:w="640" w:type="pct"/>
            <w:noWrap/>
            <w:vAlign w:val="center"/>
          </w:tcPr>
          <w:p w14:paraId="31180354" w14:textId="5BD5A1B8" w:rsidR="00DF5267" w:rsidRPr="00F420C3" w:rsidRDefault="00AB6296"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41</w:t>
            </w:r>
          </w:p>
        </w:tc>
        <w:tc>
          <w:tcPr>
            <w:tcW w:w="618" w:type="pct"/>
            <w:noWrap/>
            <w:vAlign w:val="center"/>
          </w:tcPr>
          <w:p w14:paraId="01447E25" w14:textId="44C7F21F" w:rsidR="00DF5267" w:rsidRPr="00F420C3" w:rsidRDefault="00AB6296"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41</w:t>
            </w:r>
          </w:p>
        </w:tc>
        <w:tc>
          <w:tcPr>
            <w:tcW w:w="686" w:type="pct"/>
            <w:noWrap/>
            <w:vAlign w:val="bottom"/>
          </w:tcPr>
          <w:p w14:paraId="3BA7EFA3" w14:textId="5E2D92D7" w:rsidR="00DF5267" w:rsidRPr="00DF5267" w:rsidRDefault="00DF526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108</w:t>
            </w:r>
          </w:p>
        </w:tc>
        <w:tc>
          <w:tcPr>
            <w:tcW w:w="735" w:type="pct"/>
            <w:noWrap/>
            <w:vAlign w:val="bottom"/>
          </w:tcPr>
          <w:p w14:paraId="34A121C6" w14:textId="2FDBA242" w:rsidR="00DF5267" w:rsidRPr="00DF5267" w:rsidRDefault="00DF526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47</w:t>
            </w:r>
          </w:p>
        </w:tc>
      </w:tr>
      <w:tr w:rsidR="00DF5267" w:rsidRPr="00F420C3" w14:paraId="53E8D290"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01F01E51"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hideMark/>
          </w:tcPr>
          <w:p w14:paraId="16453FB7" w14:textId="094A4971"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Cattle meat</w:t>
            </w:r>
          </w:p>
        </w:tc>
        <w:tc>
          <w:tcPr>
            <w:tcW w:w="622" w:type="pct"/>
            <w:noWrap/>
            <w:vAlign w:val="center"/>
          </w:tcPr>
          <w:p w14:paraId="79A9FA69" w14:textId="5CAC285A" w:rsidR="00DF5267" w:rsidRPr="00F420C3"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w:t>
            </w:r>
          </w:p>
        </w:tc>
        <w:tc>
          <w:tcPr>
            <w:tcW w:w="640" w:type="pct"/>
            <w:noWrap/>
            <w:vAlign w:val="center"/>
          </w:tcPr>
          <w:p w14:paraId="08F8916C" w14:textId="5819C2B5" w:rsidR="00DF5267" w:rsidRPr="00F420C3"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w:t>
            </w:r>
          </w:p>
        </w:tc>
        <w:tc>
          <w:tcPr>
            <w:tcW w:w="618" w:type="pct"/>
            <w:noWrap/>
            <w:vAlign w:val="center"/>
          </w:tcPr>
          <w:p w14:paraId="42EF98B4" w14:textId="2DB51E80" w:rsidR="00DF5267" w:rsidRPr="00F420C3" w:rsidRDefault="00AB6296"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w:t>
            </w:r>
          </w:p>
        </w:tc>
        <w:tc>
          <w:tcPr>
            <w:tcW w:w="686" w:type="pct"/>
            <w:noWrap/>
            <w:vAlign w:val="bottom"/>
          </w:tcPr>
          <w:p w14:paraId="7CC1FB44" w14:textId="6AD97AF9"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85</w:t>
            </w:r>
          </w:p>
        </w:tc>
        <w:tc>
          <w:tcPr>
            <w:tcW w:w="735" w:type="pct"/>
            <w:noWrap/>
            <w:vAlign w:val="bottom"/>
          </w:tcPr>
          <w:p w14:paraId="38D163A7" w14:textId="6E03406F"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33</w:t>
            </w:r>
          </w:p>
        </w:tc>
      </w:tr>
      <w:tr w:rsidR="00DF5267" w:rsidRPr="00F420C3" w14:paraId="4F806425"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05D402F5"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hideMark/>
          </w:tcPr>
          <w:p w14:paraId="25E2B070" w14:textId="515A0739"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meat</w:t>
            </w:r>
          </w:p>
        </w:tc>
        <w:tc>
          <w:tcPr>
            <w:tcW w:w="622" w:type="pct"/>
            <w:noWrap/>
            <w:vAlign w:val="center"/>
          </w:tcPr>
          <w:p w14:paraId="04976F2A" w14:textId="7021C187" w:rsidR="00DF5267" w:rsidRPr="00F420C3"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77</w:t>
            </w:r>
          </w:p>
        </w:tc>
        <w:tc>
          <w:tcPr>
            <w:tcW w:w="640" w:type="pct"/>
            <w:noWrap/>
            <w:vAlign w:val="center"/>
          </w:tcPr>
          <w:p w14:paraId="409053C2" w14:textId="3582A8F4" w:rsidR="00DF5267" w:rsidRPr="00F420C3"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77</w:t>
            </w:r>
          </w:p>
        </w:tc>
        <w:tc>
          <w:tcPr>
            <w:tcW w:w="618" w:type="pct"/>
            <w:noWrap/>
            <w:vAlign w:val="center"/>
          </w:tcPr>
          <w:p w14:paraId="7BEA0779" w14:textId="18AB202C" w:rsidR="00DF5267" w:rsidRPr="00F420C3" w:rsidRDefault="00AB6296"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77</w:t>
            </w:r>
          </w:p>
        </w:tc>
        <w:tc>
          <w:tcPr>
            <w:tcW w:w="686" w:type="pct"/>
            <w:noWrap/>
            <w:vAlign w:val="bottom"/>
          </w:tcPr>
          <w:p w14:paraId="5C2DB088" w14:textId="5D65B8C3"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w:t>
            </w:r>
          </w:p>
        </w:tc>
        <w:tc>
          <w:tcPr>
            <w:tcW w:w="735" w:type="pct"/>
            <w:noWrap/>
            <w:vAlign w:val="bottom"/>
          </w:tcPr>
          <w:p w14:paraId="5FDA29BF" w14:textId="7109E1C3"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w:t>
            </w:r>
          </w:p>
        </w:tc>
      </w:tr>
      <w:tr w:rsidR="00DF5267" w:rsidRPr="00F420C3" w14:paraId="10AE7B4B"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33F61891" w14:textId="77777777" w:rsidR="00DF5267" w:rsidRPr="00F420C3" w:rsidRDefault="00DF5267" w:rsidP="009A3DDD">
            <w:pPr>
              <w:spacing w:after="0" w:line="240" w:lineRule="auto"/>
              <w:contextualSpacing/>
              <w:rPr>
                <w:rFonts w:eastAsia="Times New Roman" w:cs="Arial"/>
                <w:b w:val="0"/>
                <w:color w:val="000000"/>
                <w:sz w:val="18"/>
                <w:szCs w:val="18"/>
                <w:lang w:eastAsia="en-GB"/>
              </w:rPr>
            </w:pPr>
          </w:p>
        </w:tc>
        <w:tc>
          <w:tcPr>
            <w:tcW w:w="882" w:type="pct"/>
            <w:noWrap/>
            <w:vAlign w:val="center"/>
          </w:tcPr>
          <w:p w14:paraId="0B8EBE87" w14:textId="0B6A8EE4" w:rsidR="00DF5267" w:rsidRPr="007B14CA"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Milk (all)</w:t>
            </w:r>
          </w:p>
        </w:tc>
        <w:tc>
          <w:tcPr>
            <w:tcW w:w="622" w:type="pct"/>
            <w:noWrap/>
            <w:vAlign w:val="center"/>
          </w:tcPr>
          <w:p w14:paraId="7E3007C6" w14:textId="5A760238"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131</w:t>
            </w:r>
          </w:p>
        </w:tc>
        <w:tc>
          <w:tcPr>
            <w:tcW w:w="640" w:type="pct"/>
            <w:noWrap/>
            <w:vAlign w:val="center"/>
          </w:tcPr>
          <w:p w14:paraId="13A722C1" w14:textId="7C3FFA81"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131</w:t>
            </w:r>
          </w:p>
        </w:tc>
        <w:tc>
          <w:tcPr>
            <w:tcW w:w="618" w:type="pct"/>
            <w:noWrap/>
            <w:vAlign w:val="center"/>
          </w:tcPr>
          <w:p w14:paraId="0DED0847" w14:textId="3D7A10BD"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131</w:t>
            </w:r>
          </w:p>
        </w:tc>
        <w:tc>
          <w:tcPr>
            <w:tcW w:w="686" w:type="pct"/>
            <w:noWrap/>
            <w:vAlign w:val="bottom"/>
          </w:tcPr>
          <w:p w14:paraId="59634E2E" w14:textId="29A2AB32"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1097</w:t>
            </w:r>
          </w:p>
        </w:tc>
        <w:tc>
          <w:tcPr>
            <w:tcW w:w="735" w:type="pct"/>
            <w:noWrap/>
            <w:vAlign w:val="bottom"/>
          </w:tcPr>
          <w:p w14:paraId="51BB1200" w14:textId="505F023D"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679</w:t>
            </w:r>
          </w:p>
        </w:tc>
      </w:tr>
      <w:tr w:rsidR="00DF5267" w:rsidRPr="00F420C3" w14:paraId="29B823FA"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4C1B201D"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hideMark/>
          </w:tcPr>
          <w:p w14:paraId="10BCB84D" w14:textId="5E1AFAFA"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Cattle milk</w:t>
            </w:r>
          </w:p>
        </w:tc>
        <w:tc>
          <w:tcPr>
            <w:tcW w:w="622" w:type="pct"/>
            <w:noWrap/>
            <w:vAlign w:val="center"/>
          </w:tcPr>
          <w:p w14:paraId="32F72376" w14:textId="104D6F29"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w:t>
            </w:r>
            <w:r w:rsidR="008148B3">
              <w:rPr>
                <w:rFonts w:cs="Arial"/>
                <w:color w:val="000000"/>
                <w:sz w:val="18"/>
                <w:szCs w:val="18"/>
              </w:rPr>
              <w:t>60</w:t>
            </w:r>
          </w:p>
        </w:tc>
        <w:tc>
          <w:tcPr>
            <w:tcW w:w="640" w:type="pct"/>
            <w:noWrap/>
            <w:vAlign w:val="center"/>
          </w:tcPr>
          <w:p w14:paraId="4E183644" w14:textId="664F62AC"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160</w:t>
            </w:r>
          </w:p>
        </w:tc>
        <w:tc>
          <w:tcPr>
            <w:tcW w:w="618" w:type="pct"/>
            <w:noWrap/>
            <w:vAlign w:val="center"/>
          </w:tcPr>
          <w:p w14:paraId="11E6A4B9" w14:textId="0E89546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160</w:t>
            </w:r>
          </w:p>
        </w:tc>
        <w:tc>
          <w:tcPr>
            <w:tcW w:w="686" w:type="pct"/>
            <w:noWrap/>
            <w:vAlign w:val="bottom"/>
          </w:tcPr>
          <w:p w14:paraId="584A14C3" w14:textId="73F2FC9B"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1097</w:t>
            </w:r>
          </w:p>
        </w:tc>
        <w:tc>
          <w:tcPr>
            <w:tcW w:w="735" w:type="pct"/>
            <w:noWrap/>
            <w:vAlign w:val="bottom"/>
          </w:tcPr>
          <w:p w14:paraId="2D0B6897" w14:textId="4A857814"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678</w:t>
            </w:r>
          </w:p>
        </w:tc>
      </w:tr>
      <w:tr w:rsidR="00DF5267" w:rsidRPr="00F420C3" w14:paraId="4687A189"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4DB0FF20"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hideMark/>
          </w:tcPr>
          <w:p w14:paraId="1848ED5D" w14:textId="12F14A03"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Sheep milk</w:t>
            </w:r>
          </w:p>
        </w:tc>
        <w:tc>
          <w:tcPr>
            <w:tcW w:w="622" w:type="pct"/>
            <w:noWrap/>
            <w:vAlign w:val="center"/>
          </w:tcPr>
          <w:p w14:paraId="40C6BD76" w14:textId="4577A6D2"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131</w:t>
            </w:r>
          </w:p>
        </w:tc>
        <w:tc>
          <w:tcPr>
            <w:tcW w:w="640" w:type="pct"/>
            <w:noWrap/>
            <w:vAlign w:val="center"/>
          </w:tcPr>
          <w:p w14:paraId="235F25F2" w14:textId="1A4790FF"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131</w:t>
            </w:r>
          </w:p>
        </w:tc>
        <w:tc>
          <w:tcPr>
            <w:tcW w:w="618" w:type="pct"/>
            <w:noWrap/>
            <w:vAlign w:val="center"/>
          </w:tcPr>
          <w:p w14:paraId="143F72BC" w14:textId="46923DC9"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131</w:t>
            </w:r>
          </w:p>
        </w:tc>
        <w:tc>
          <w:tcPr>
            <w:tcW w:w="686" w:type="pct"/>
            <w:noWrap/>
            <w:vAlign w:val="bottom"/>
          </w:tcPr>
          <w:p w14:paraId="61214427" w14:textId="607FB28E"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c>
          <w:tcPr>
            <w:tcW w:w="735" w:type="pct"/>
            <w:noWrap/>
            <w:vAlign w:val="bottom"/>
          </w:tcPr>
          <w:p w14:paraId="54406C4D" w14:textId="60C25E82"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r w:rsidR="00DF5267" w:rsidRPr="00F420C3" w14:paraId="73CA02B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77C4A395" w14:textId="77777777" w:rsidR="00DF5267" w:rsidRPr="00F420C3" w:rsidRDefault="00DF5267" w:rsidP="009A3DDD">
            <w:pPr>
              <w:spacing w:after="0" w:line="240" w:lineRule="auto"/>
              <w:contextualSpacing/>
              <w:rPr>
                <w:rFonts w:eastAsia="Times New Roman" w:cs="Arial"/>
                <w:b w:val="0"/>
                <w:color w:val="000000"/>
                <w:sz w:val="18"/>
                <w:szCs w:val="18"/>
                <w:lang w:eastAsia="en-GB"/>
              </w:rPr>
            </w:pPr>
          </w:p>
        </w:tc>
        <w:tc>
          <w:tcPr>
            <w:tcW w:w="882" w:type="pct"/>
            <w:noWrap/>
            <w:vAlign w:val="center"/>
            <w:hideMark/>
          </w:tcPr>
          <w:p w14:paraId="5C4CDD42" w14:textId="654734E2" w:rsidR="00DF5267" w:rsidRPr="007B14CA"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Miscellaneous foods (honey)</w:t>
            </w:r>
          </w:p>
        </w:tc>
        <w:tc>
          <w:tcPr>
            <w:tcW w:w="622" w:type="pct"/>
            <w:noWrap/>
            <w:vAlign w:val="center"/>
          </w:tcPr>
          <w:p w14:paraId="0BD11AAD"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6FF90F53" w14:textId="735915DE"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40CDD0FF" w14:textId="3BA8DB49"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32D7AB6B" w14:textId="5F8D28E5"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w:t>
            </w:r>
          </w:p>
        </w:tc>
        <w:tc>
          <w:tcPr>
            <w:tcW w:w="735" w:type="pct"/>
            <w:noWrap/>
            <w:vAlign w:val="bottom"/>
          </w:tcPr>
          <w:p w14:paraId="16D7E71D" w14:textId="10A7034E"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r w:rsidR="00DF5267" w:rsidRPr="00F420C3" w14:paraId="687F60B2"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354B6517" w14:textId="77777777" w:rsidR="00DF5267" w:rsidRPr="00F420C3" w:rsidRDefault="00DF5267" w:rsidP="009A3DDD">
            <w:pPr>
              <w:spacing w:after="0" w:line="240" w:lineRule="auto"/>
              <w:contextualSpacing/>
              <w:rPr>
                <w:rFonts w:eastAsia="Times New Roman" w:cs="Arial"/>
                <w:b w:val="0"/>
                <w:color w:val="000000"/>
                <w:sz w:val="18"/>
                <w:szCs w:val="18"/>
                <w:lang w:eastAsia="en-GB"/>
              </w:rPr>
            </w:pPr>
          </w:p>
        </w:tc>
        <w:tc>
          <w:tcPr>
            <w:tcW w:w="882" w:type="pct"/>
            <w:noWrap/>
            <w:vAlign w:val="center"/>
            <w:hideMark/>
          </w:tcPr>
          <w:p w14:paraId="3E20ADC6" w14:textId="6AE383FD" w:rsidR="00DF5267" w:rsidRPr="007B14CA"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Offal mammalian</w:t>
            </w:r>
          </w:p>
        </w:tc>
        <w:tc>
          <w:tcPr>
            <w:tcW w:w="622" w:type="pct"/>
            <w:noWrap/>
            <w:vAlign w:val="center"/>
          </w:tcPr>
          <w:p w14:paraId="06B7534F" w14:textId="3B5C0CA6"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6</w:t>
            </w:r>
          </w:p>
        </w:tc>
        <w:tc>
          <w:tcPr>
            <w:tcW w:w="640" w:type="pct"/>
            <w:noWrap/>
            <w:vAlign w:val="center"/>
          </w:tcPr>
          <w:p w14:paraId="4203B106" w14:textId="555DFE04"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6</w:t>
            </w:r>
          </w:p>
        </w:tc>
        <w:tc>
          <w:tcPr>
            <w:tcW w:w="618" w:type="pct"/>
            <w:noWrap/>
            <w:vAlign w:val="center"/>
          </w:tcPr>
          <w:p w14:paraId="22AB1D48" w14:textId="11E6C4C2"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6</w:t>
            </w:r>
          </w:p>
        </w:tc>
        <w:tc>
          <w:tcPr>
            <w:tcW w:w="686" w:type="pct"/>
            <w:noWrap/>
            <w:vAlign w:val="bottom"/>
          </w:tcPr>
          <w:p w14:paraId="198F0E6D" w14:textId="2FB907BC"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w:t>
            </w:r>
          </w:p>
        </w:tc>
        <w:tc>
          <w:tcPr>
            <w:tcW w:w="735" w:type="pct"/>
            <w:noWrap/>
            <w:vAlign w:val="bottom"/>
          </w:tcPr>
          <w:p w14:paraId="20293913" w14:textId="59EA4D6C"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w:t>
            </w:r>
          </w:p>
        </w:tc>
      </w:tr>
      <w:tr w:rsidR="00DF5267" w:rsidRPr="00F420C3" w14:paraId="01498A7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425D0E92" w14:textId="77777777" w:rsidR="00DF5267" w:rsidRPr="00F420C3" w:rsidRDefault="00DF5267" w:rsidP="009A3DDD">
            <w:pPr>
              <w:spacing w:after="0" w:line="240" w:lineRule="auto"/>
              <w:contextualSpacing/>
              <w:rPr>
                <w:rFonts w:eastAsia="Times New Roman" w:cs="Arial"/>
                <w:b w:val="0"/>
                <w:color w:val="000000"/>
                <w:sz w:val="18"/>
                <w:szCs w:val="18"/>
                <w:lang w:eastAsia="en-GB"/>
              </w:rPr>
            </w:pPr>
          </w:p>
        </w:tc>
        <w:tc>
          <w:tcPr>
            <w:tcW w:w="882" w:type="pct"/>
            <w:noWrap/>
            <w:vAlign w:val="center"/>
            <w:hideMark/>
          </w:tcPr>
          <w:p w14:paraId="79AD81D9" w14:textId="4135A739" w:rsidR="00DF5267" w:rsidRPr="007B14CA" w:rsidRDefault="00DF5267" w:rsidP="009A3DD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Poultry eggs</w:t>
            </w:r>
          </w:p>
        </w:tc>
        <w:tc>
          <w:tcPr>
            <w:tcW w:w="622" w:type="pct"/>
            <w:noWrap/>
            <w:vAlign w:val="center"/>
          </w:tcPr>
          <w:p w14:paraId="105B6556" w14:textId="5D171021"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53</w:t>
            </w:r>
          </w:p>
        </w:tc>
        <w:tc>
          <w:tcPr>
            <w:tcW w:w="640" w:type="pct"/>
            <w:noWrap/>
            <w:vAlign w:val="center"/>
          </w:tcPr>
          <w:p w14:paraId="1D4B3F54" w14:textId="58D2B108"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53</w:t>
            </w:r>
          </w:p>
        </w:tc>
        <w:tc>
          <w:tcPr>
            <w:tcW w:w="618" w:type="pct"/>
            <w:noWrap/>
            <w:vAlign w:val="center"/>
          </w:tcPr>
          <w:p w14:paraId="6AC93DFF" w14:textId="25DE611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53</w:t>
            </w:r>
          </w:p>
        </w:tc>
        <w:tc>
          <w:tcPr>
            <w:tcW w:w="686" w:type="pct"/>
            <w:noWrap/>
            <w:vAlign w:val="bottom"/>
          </w:tcPr>
          <w:p w14:paraId="455C6097" w14:textId="4C879024"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w:t>
            </w:r>
          </w:p>
        </w:tc>
        <w:tc>
          <w:tcPr>
            <w:tcW w:w="735" w:type="pct"/>
            <w:noWrap/>
            <w:vAlign w:val="bottom"/>
          </w:tcPr>
          <w:p w14:paraId="03F24B90" w14:textId="41DB9E02"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13</w:t>
            </w:r>
          </w:p>
        </w:tc>
      </w:tr>
      <w:tr w:rsidR="00DF5267" w:rsidRPr="00F420C3" w14:paraId="4166021C"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val="restart"/>
          </w:tcPr>
          <w:p w14:paraId="40E46433" w14:textId="6E19C9B6" w:rsidR="00DF5267" w:rsidRPr="00F420C3" w:rsidRDefault="00DF5267" w:rsidP="009A3DDD">
            <w:pPr>
              <w:spacing w:after="0" w:line="240" w:lineRule="auto"/>
              <w:contextualSpacing/>
              <w:rPr>
                <w:rFonts w:cs="Arial"/>
                <w:b w:val="0"/>
                <w:color w:val="000000"/>
                <w:sz w:val="18"/>
                <w:szCs w:val="18"/>
              </w:rPr>
            </w:pPr>
            <w:r w:rsidRPr="003C03A1">
              <w:rPr>
                <w:rFonts w:eastAsia="Times New Roman" w:cs="Arial"/>
                <w:color w:val="000000"/>
                <w:sz w:val="18"/>
                <w:szCs w:val="18"/>
                <w:lang w:eastAsia="en-GB"/>
              </w:rPr>
              <w:t>Fruit and vegetables</w:t>
            </w:r>
          </w:p>
        </w:tc>
        <w:tc>
          <w:tcPr>
            <w:tcW w:w="882" w:type="pct"/>
            <w:noWrap/>
            <w:vAlign w:val="center"/>
            <w:hideMark/>
          </w:tcPr>
          <w:p w14:paraId="7D519EB7" w14:textId="0BA7D6B4" w:rsidR="00DF5267" w:rsidRPr="007B14CA"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7B14CA">
              <w:rPr>
                <w:rFonts w:cs="Arial"/>
                <w:i/>
                <w:color w:val="000000"/>
                <w:sz w:val="18"/>
                <w:szCs w:val="18"/>
              </w:rPr>
              <w:t>Vegetables (all)</w:t>
            </w:r>
          </w:p>
        </w:tc>
        <w:tc>
          <w:tcPr>
            <w:tcW w:w="622" w:type="pct"/>
            <w:noWrap/>
            <w:vAlign w:val="center"/>
          </w:tcPr>
          <w:p w14:paraId="3F42C81F"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00041306"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18" w:type="pct"/>
            <w:noWrap/>
            <w:vAlign w:val="center"/>
          </w:tcPr>
          <w:p w14:paraId="375A84C7"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86" w:type="pct"/>
            <w:noWrap/>
            <w:vAlign w:val="bottom"/>
          </w:tcPr>
          <w:p w14:paraId="26A49798" w14:textId="1E601FD1"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346</w:t>
            </w:r>
          </w:p>
        </w:tc>
        <w:tc>
          <w:tcPr>
            <w:tcW w:w="735" w:type="pct"/>
            <w:noWrap/>
            <w:vAlign w:val="bottom"/>
          </w:tcPr>
          <w:p w14:paraId="135866A2" w14:textId="739DEFD0"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188</w:t>
            </w:r>
          </w:p>
        </w:tc>
      </w:tr>
      <w:tr w:rsidR="00DF5267" w:rsidRPr="00F420C3" w14:paraId="360DDD2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4EA40019"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016BBAED" w14:textId="6592DFE3"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Cucurbits</w:t>
            </w:r>
          </w:p>
        </w:tc>
        <w:tc>
          <w:tcPr>
            <w:tcW w:w="622" w:type="pct"/>
            <w:noWrap/>
            <w:vAlign w:val="center"/>
          </w:tcPr>
          <w:p w14:paraId="1CEEC5E8"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0F2B046A" w14:textId="5F3F7962"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760</w:t>
            </w:r>
          </w:p>
        </w:tc>
        <w:tc>
          <w:tcPr>
            <w:tcW w:w="618" w:type="pct"/>
            <w:noWrap/>
            <w:vAlign w:val="center"/>
          </w:tcPr>
          <w:p w14:paraId="00551F28" w14:textId="21209020"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380</w:t>
            </w:r>
          </w:p>
        </w:tc>
        <w:tc>
          <w:tcPr>
            <w:tcW w:w="686" w:type="pct"/>
            <w:noWrap/>
            <w:vAlign w:val="bottom"/>
          </w:tcPr>
          <w:p w14:paraId="5C98E5AF" w14:textId="3798D325"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115</w:t>
            </w:r>
          </w:p>
        </w:tc>
        <w:tc>
          <w:tcPr>
            <w:tcW w:w="735" w:type="pct"/>
            <w:noWrap/>
            <w:vAlign w:val="bottom"/>
          </w:tcPr>
          <w:p w14:paraId="70B049D8" w14:textId="112A731E"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35</w:t>
            </w:r>
          </w:p>
        </w:tc>
      </w:tr>
      <w:tr w:rsidR="00DF5267" w:rsidRPr="00F420C3" w14:paraId="72024121"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08BF660A"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4CE9FA68" w14:textId="0E345577"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Herbs</w:t>
            </w:r>
          </w:p>
        </w:tc>
        <w:tc>
          <w:tcPr>
            <w:tcW w:w="622" w:type="pct"/>
            <w:noWrap/>
            <w:vAlign w:val="center"/>
          </w:tcPr>
          <w:p w14:paraId="47384E6F"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5625CC51" w14:textId="7945E833"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031C3105" w14:textId="09E9DECC"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6B914E60" w14:textId="1FC77E18"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c>
          <w:tcPr>
            <w:tcW w:w="735" w:type="pct"/>
            <w:noWrap/>
            <w:vAlign w:val="bottom"/>
          </w:tcPr>
          <w:p w14:paraId="4078B69B" w14:textId="1E145E9B"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w:t>
            </w:r>
          </w:p>
        </w:tc>
      </w:tr>
      <w:tr w:rsidR="00DF5267" w:rsidRPr="00F420C3" w14:paraId="1D1D870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0C783564"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5B89939C" w14:textId="07135A34"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Leafy vegetables</w:t>
            </w:r>
          </w:p>
        </w:tc>
        <w:tc>
          <w:tcPr>
            <w:tcW w:w="622" w:type="pct"/>
            <w:noWrap/>
            <w:vAlign w:val="center"/>
          </w:tcPr>
          <w:p w14:paraId="47F0B4D8"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78568EE4" w14:textId="6C14EBBC"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760</w:t>
            </w:r>
          </w:p>
        </w:tc>
        <w:tc>
          <w:tcPr>
            <w:tcW w:w="618" w:type="pct"/>
            <w:noWrap/>
            <w:vAlign w:val="center"/>
          </w:tcPr>
          <w:p w14:paraId="2BB4CB86" w14:textId="79A46AE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380</w:t>
            </w:r>
          </w:p>
        </w:tc>
        <w:tc>
          <w:tcPr>
            <w:tcW w:w="686" w:type="pct"/>
            <w:noWrap/>
            <w:vAlign w:val="bottom"/>
          </w:tcPr>
          <w:p w14:paraId="51F08F8C" w14:textId="1A532372"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26</w:t>
            </w:r>
          </w:p>
        </w:tc>
        <w:tc>
          <w:tcPr>
            <w:tcW w:w="735" w:type="pct"/>
            <w:noWrap/>
            <w:vAlign w:val="bottom"/>
          </w:tcPr>
          <w:p w14:paraId="14BFCCB9" w14:textId="0D323872"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w:t>
            </w:r>
          </w:p>
        </w:tc>
      </w:tr>
      <w:tr w:rsidR="00DF5267" w:rsidRPr="00F420C3" w14:paraId="45B1887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70C1FB29"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10D23618" w14:textId="1CC29B06"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Other fruiting vegetables</w:t>
            </w:r>
          </w:p>
        </w:tc>
        <w:tc>
          <w:tcPr>
            <w:tcW w:w="622" w:type="pct"/>
            <w:noWrap/>
            <w:vAlign w:val="center"/>
          </w:tcPr>
          <w:p w14:paraId="6B71F7AE"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0E37BA90" w14:textId="33A6176E"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0AFCCC74" w14:textId="05DDA604"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1F3C4314" w14:textId="1B9B8F49"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151</w:t>
            </w:r>
          </w:p>
        </w:tc>
        <w:tc>
          <w:tcPr>
            <w:tcW w:w="735" w:type="pct"/>
            <w:noWrap/>
            <w:vAlign w:val="bottom"/>
          </w:tcPr>
          <w:p w14:paraId="65E60DEF" w14:textId="2D46D413"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73</w:t>
            </w:r>
          </w:p>
        </w:tc>
      </w:tr>
      <w:tr w:rsidR="00DF5267" w:rsidRPr="00F420C3" w14:paraId="554F7998"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2FB50DE3"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46CCA2EE" w14:textId="58D648D6"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Root and tuber vegetables</w:t>
            </w:r>
          </w:p>
        </w:tc>
        <w:tc>
          <w:tcPr>
            <w:tcW w:w="622" w:type="pct"/>
            <w:noWrap/>
            <w:vAlign w:val="center"/>
          </w:tcPr>
          <w:p w14:paraId="339367AB"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38FCD17B" w14:textId="23368CC5"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55FD24AA" w14:textId="7EC32692"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6B746473" w14:textId="4680932C"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164</w:t>
            </w:r>
          </w:p>
        </w:tc>
        <w:tc>
          <w:tcPr>
            <w:tcW w:w="735" w:type="pct"/>
            <w:noWrap/>
            <w:vAlign w:val="bottom"/>
          </w:tcPr>
          <w:p w14:paraId="6B3E6FAF" w14:textId="46B3DCE3"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66</w:t>
            </w:r>
          </w:p>
        </w:tc>
      </w:tr>
      <w:tr w:rsidR="00DF5267" w:rsidRPr="00F420C3" w14:paraId="13CFF693"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2B6A4E4D"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64F8A125" w14:textId="612A3619"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Spices</w:t>
            </w:r>
          </w:p>
        </w:tc>
        <w:tc>
          <w:tcPr>
            <w:tcW w:w="622" w:type="pct"/>
            <w:noWrap/>
            <w:vAlign w:val="center"/>
          </w:tcPr>
          <w:p w14:paraId="314AFBFB"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24B1A979" w14:textId="1FABBA68"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4EBF3FE7" w14:textId="1A1AFBEE"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1A035C8F" w14:textId="18CE2D0A"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w:t>
            </w:r>
          </w:p>
        </w:tc>
        <w:tc>
          <w:tcPr>
            <w:tcW w:w="735" w:type="pct"/>
            <w:noWrap/>
            <w:vAlign w:val="bottom"/>
          </w:tcPr>
          <w:p w14:paraId="0E02930C" w14:textId="59E850F0" w:rsidR="00DF5267" w:rsidRPr="00DF5267" w:rsidRDefault="00B4252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w:t>
            </w:r>
          </w:p>
        </w:tc>
      </w:tr>
      <w:tr w:rsidR="00DF5267" w:rsidRPr="00F420C3" w14:paraId="661600D0"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55AA947F"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2C331642" w14:textId="03AE6D7A"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Stalk and stem vegetables</w:t>
            </w:r>
          </w:p>
        </w:tc>
        <w:tc>
          <w:tcPr>
            <w:tcW w:w="622" w:type="pct"/>
            <w:noWrap/>
            <w:vAlign w:val="center"/>
          </w:tcPr>
          <w:p w14:paraId="3EE9A5F0" w14:textId="183F8C44"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99</w:t>
            </w:r>
          </w:p>
        </w:tc>
        <w:tc>
          <w:tcPr>
            <w:tcW w:w="640" w:type="pct"/>
            <w:noWrap/>
            <w:vAlign w:val="center"/>
          </w:tcPr>
          <w:p w14:paraId="248FB85D" w14:textId="58F4C606"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99</w:t>
            </w:r>
          </w:p>
        </w:tc>
        <w:tc>
          <w:tcPr>
            <w:tcW w:w="618" w:type="pct"/>
            <w:noWrap/>
            <w:vAlign w:val="center"/>
          </w:tcPr>
          <w:p w14:paraId="38A088E6" w14:textId="415DAC4C"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99</w:t>
            </w:r>
          </w:p>
        </w:tc>
        <w:tc>
          <w:tcPr>
            <w:tcW w:w="686" w:type="pct"/>
            <w:noWrap/>
            <w:vAlign w:val="bottom"/>
          </w:tcPr>
          <w:p w14:paraId="01B0B37A" w14:textId="52EDD16A" w:rsidR="00DF5267" w:rsidRPr="00DF5267" w:rsidRDefault="00B4252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w:t>
            </w:r>
          </w:p>
        </w:tc>
        <w:tc>
          <w:tcPr>
            <w:tcW w:w="735" w:type="pct"/>
            <w:noWrap/>
            <w:vAlign w:val="bottom"/>
          </w:tcPr>
          <w:p w14:paraId="72E21394" w14:textId="092C0E58" w:rsidR="00DF5267" w:rsidRPr="00DF5267" w:rsidRDefault="00B4252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w:t>
            </w:r>
          </w:p>
        </w:tc>
      </w:tr>
      <w:tr w:rsidR="00DF5267" w:rsidRPr="00F420C3" w14:paraId="614D4271"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37727FC5" w14:textId="77777777" w:rsidR="00DF5267" w:rsidRPr="00F420C3" w:rsidRDefault="00DF5267" w:rsidP="009A3DDD">
            <w:pPr>
              <w:spacing w:after="0" w:line="240" w:lineRule="auto"/>
              <w:contextualSpacing/>
              <w:rPr>
                <w:rFonts w:cs="Arial"/>
                <w:b w:val="0"/>
                <w:color w:val="000000"/>
                <w:sz w:val="18"/>
                <w:szCs w:val="18"/>
              </w:rPr>
            </w:pPr>
          </w:p>
        </w:tc>
        <w:tc>
          <w:tcPr>
            <w:tcW w:w="882" w:type="pct"/>
            <w:noWrap/>
            <w:vAlign w:val="center"/>
            <w:hideMark/>
          </w:tcPr>
          <w:p w14:paraId="6C86F7E6" w14:textId="6DB442C5" w:rsidR="00DF5267" w:rsidRPr="007B14CA" w:rsidRDefault="00DF5267" w:rsidP="009A3DD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7B14CA">
              <w:rPr>
                <w:rFonts w:cs="Arial"/>
                <w:i/>
                <w:color w:val="000000"/>
                <w:sz w:val="18"/>
                <w:szCs w:val="18"/>
              </w:rPr>
              <w:t>Fruit (all)</w:t>
            </w:r>
          </w:p>
        </w:tc>
        <w:tc>
          <w:tcPr>
            <w:tcW w:w="622" w:type="pct"/>
            <w:noWrap/>
            <w:vAlign w:val="center"/>
          </w:tcPr>
          <w:p w14:paraId="10E12593"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286B24FD"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18" w:type="pct"/>
            <w:noWrap/>
            <w:vAlign w:val="center"/>
          </w:tcPr>
          <w:p w14:paraId="3176B44F"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86" w:type="pct"/>
            <w:noWrap/>
            <w:vAlign w:val="bottom"/>
          </w:tcPr>
          <w:p w14:paraId="31F00F98" w14:textId="798F0E65"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592</w:t>
            </w:r>
          </w:p>
        </w:tc>
        <w:tc>
          <w:tcPr>
            <w:tcW w:w="735" w:type="pct"/>
            <w:noWrap/>
            <w:vAlign w:val="bottom"/>
          </w:tcPr>
          <w:p w14:paraId="61930C57" w14:textId="23210F19"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314</w:t>
            </w:r>
          </w:p>
        </w:tc>
      </w:tr>
      <w:tr w:rsidR="00DF5267" w:rsidRPr="00F420C3" w14:paraId="67EE6C0C"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4CA331BB"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6BFAC4E9" w14:textId="58E10C56"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Berries and other small fruits</w:t>
            </w:r>
          </w:p>
        </w:tc>
        <w:tc>
          <w:tcPr>
            <w:tcW w:w="622" w:type="pct"/>
            <w:noWrap/>
            <w:vAlign w:val="center"/>
          </w:tcPr>
          <w:p w14:paraId="0E611303"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3D231103"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05507F67"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7C3447B0" w14:textId="1048D0EA"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108</w:t>
            </w:r>
          </w:p>
        </w:tc>
        <w:tc>
          <w:tcPr>
            <w:tcW w:w="735" w:type="pct"/>
            <w:noWrap/>
            <w:vAlign w:val="bottom"/>
          </w:tcPr>
          <w:p w14:paraId="7CAF30C2" w14:textId="4E300080"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38</w:t>
            </w:r>
          </w:p>
        </w:tc>
      </w:tr>
      <w:tr w:rsidR="00DF5267" w:rsidRPr="00F420C3" w14:paraId="1E6B590F"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7A68043D"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40B40604" w14:textId="265733B9"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Citrus fruits</w:t>
            </w:r>
          </w:p>
        </w:tc>
        <w:tc>
          <w:tcPr>
            <w:tcW w:w="622" w:type="pct"/>
            <w:noWrap/>
            <w:vAlign w:val="center"/>
          </w:tcPr>
          <w:p w14:paraId="55579261"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1B9785A8"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1EEF3F85"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5B64A1B7" w14:textId="0D7F820B"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246</w:t>
            </w:r>
          </w:p>
        </w:tc>
        <w:tc>
          <w:tcPr>
            <w:tcW w:w="735" w:type="pct"/>
            <w:noWrap/>
            <w:vAlign w:val="bottom"/>
          </w:tcPr>
          <w:p w14:paraId="3E9CBF80" w14:textId="4CD2E169"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88</w:t>
            </w:r>
          </w:p>
        </w:tc>
      </w:tr>
      <w:tr w:rsidR="00DF5267" w:rsidRPr="00F420C3" w14:paraId="0E6F036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3EBE0002"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174459D6" w14:textId="56B6D2B3" w:rsidR="00DF5267" w:rsidRPr="00A10267" w:rsidRDefault="00DF5267" w:rsidP="009A3DD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Pome fruits</w:t>
            </w:r>
          </w:p>
        </w:tc>
        <w:tc>
          <w:tcPr>
            <w:tcW w:w="622" w:type="pct"/>
            <w:noWrap/>
            <w:vAlign w:val="center"/>
          </w:tcPr>
          <w:p w14:paraId="343721DD"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421ADAD3"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253</w:t>
            </w:r>
          </w:p>
        </w:tc>
        <w:tc>
          <w:tcPr>
            <w:tcW w:w="618" w:type="pct"/>
            <w:noWrap/>
            <w:vAlign w:val="center"/>
          </w:tcPr>
          <w:p w14:paraId="1B49ABB1" w14:textId="77777777" w:rsidR="00DF5267" w:rsidRPr="00F420C3"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127</w:t>
            </w:r>
          </w:p>
        </w:tc>
        <w:tc>
          <w:tcPr>
            <w:tcW w:w="686" w:type="pct"/>
            <w:noWrap/>
            <w:vAlign w:val="bottom"/>
          </w:tcPr>
          <w:p w14:paraId="744C7360" w14:textId="13A19C60"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361</w:t>
            </w:r>
          </w:p>
        </w:tc>
        <w:tc>
          <w:tcPr>
            <w:tcW w:w="735" w:type="pct"/>
            <w:noWrap/>
            <w:vAlign w:val="bottom"/>
          </w:tcPr>
          <w:p w14:paraId="33F30E0E" w14:textId="1ADC9EFC" w:rsidR="00DF5267" w:rsidRPr="00DF5267" w:rsidRDefault="00DF5267" w:rsidP="009A3DD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171</w:t>
            </w:r>
          </w:p>
        </w:tc>
      </w:tr>
      <w:tr w:rsidR="00DF5267" w:rsidRPr="00F420C3" w14:paraId="05C50F8B"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7" w:type="pct"/>
            <w:vMerge/>
          </w:tcPr>
          <w:p w14:paraId="0B24CEF6" w14:textId="77777777" w:rsidR="00DF5267" w:rsidRPr="00F420C3" w:rsidRDefault="00DF5267" w:rsidP="009A3DDD">
            <w:pPr>
              <w:spacing w:after="0" w:line="240" w:lineRule="auto"/>
              <w:contextualSpacing/>
              <w:jc w:val="right"/>
              <w:rPr>
                <w:rFonts w:eastAsia="Times New Roman" w:cs="Arial"/>
                <w:b w:val="0"/>
                <w:color w:val="000000"/>
                <w:sz w:val="18"/>
                <w:szCs w:val="18"/>
                <w:lang w:eastAsia="en-GB"/>
              </w:rPr>
            </w:pPr>
          </w:p>
        </w:tc>
        <w:tc>
          <w:tcPr>
            <w:tcW w:w="882" w:type="pct"/>
            <w:noWrap/>
            <w:vAlign w:val="center"/>
            <w:hideMark/>
          </w:tcPr>
          <w:p w14:paraId="53E18757" w14:textId="6C18B6AC" w:rsidR="00DF5267" w:rsidRPr="00A10267" w:rsidRDefault="00DF5267" w:rsidP="009A3DD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10267">
              <w:rPr>
                <w:rFonts w:eastAsia="Times New Roman" w:cs="Arial"/>
                <w:color w:val="000000"/>
                <w:sz w:val="18"/>
                <w:szCs w:val="18"/>
                <w:lang w:eastAsia="en-GB"/>
              </w:rPr>
              <w:t>Tropical fruit - edible peel</w:t>
            </w:r>
          </w:p>
        </w:tc>
        <w:tc>
          <w:tcPr>
            <w:tcW w:w="622" w:type="pct"/>
            <w:noWrap/>
            <w:vAlign w:val="center"/>
          </w:tcPr>
          <w:p w14:paraId="0E11EC0D"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640" w:type="pct"/>
            <w:noWrap/>
            <w:vAlign w:val="center"/>
          </w:tcPr>
          <w:p w14:paraId="60996139"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760</w:t>
            </w:r>
          </w:p>
        </w:tc>
        <w:tc>
          <w:tcPr>
            <w:tcW w:w="618" w:type="pct"/>
            <w:noWrap/>
            <w:vAlign w:val="center"/>
          </w:tcPr>
          <w:p w14:paraId="7733B1E1" w14:textId="77777777" w:rsidR="00DF5267" w:rsidRPr="00F420C3"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4824F6">
              <w:rPr>
                <w:rFonts w:cs="Arial"/>
                <w:color w:val="000000"/>
                <w:sz w:val="18"/>
                <w:szCs w:val="18"/>
              </w:rPr>
              <w:t>380</w:t>
            </w:r>
          </w:p>
        </w:tc>
        <w:tc>
          <w:tcPr>
            <w:tcW w:w="686" w:type="pct"/>
            <w:noWrap/>
            <w:vAlign w:val="bottom"/>
          </w:tcPr>
          <w:p w14:paraId="153BED57" w14:textId="5771983E"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c>
          <w:tcPr>
            <w:tcW w:w="735" w:type="pct"/>
            <w:noWrap/>
            <w:vAlign w:val="bottom"/>
          </w:tcPr>
          <w:p w14:paraId="370CEBF6" w14:textId="2A619C63" w:rsidR="00DF5267" w:rsidRPr="00DF5267" w:rsidRDefault="00DF5267" w:rsidP="009A3DD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bl>
    <w:p w14:paraId="3B97469E" w14:textId="77777777" w:rsidR="00544A77" w:rsidRPr="00497529" w:rsidRDefault="00544A77" w:rsidP="009A3DDD">
      <w:pPr>
        <w:pStyle w:val="FSCFootnote"/>
      </w:pPr>
      <w:r w:rsidRPr="00497529">
        <w:t>*Consumption amounts not provided where median PFAS concentration was &lt;LOR and calculated as zero</w:t>
      </w:r>
    </w:p>
    <w:p w14:paraId="412C51F3" w14:textId="1A2FB81E" w:rsidR="001A2CD0" w:rsidRDefault="001A2CD0">
      <w:pPr>
        <w:rPr>
          <w:lang w:eastAsia="en-AU"/>
        </w:rPr>
      </w:pPr>
      <w:r>
        <w:rPr>
          <w:lang w:eastAsia="en-AU"/>
        </w:rPr>
        <w:br w:type="page"/>
      </w:r>
    </w:p>
    <w:p w14:paraId="62D5A745" w14:textId="56E9B64A" w:rsidR="00544A77" w:rsidRDefault="00544A77" w:rsidP="00984802">
      <w:pPr>
        <w:pStyle w:val="FSTableColumnRowheading"/>
      </w:pPr>
      <w:bookmarkStart w:id="217" w:name="_Ref473883537"/>
      <w:bookmarkStart w:id="218" w:name="_Toc474153726"/>
      <w:bookmarkStart w:id="219" w:name="_Toc474158918"/>
      <w:bookmarkStart w:id="220" w:name="_Toc474847878"/>
      <w:bookmarkStart w:id="221" w:name="_Toc474852118"/>
      <w:r w:rsidRPr="00F125A2">
        <w:lastRenderedPageBreak/>
        <w:t>Amount of food</w:t>
      </w:r>
      <w:r>
        <w:t>*</w:t>
      </w:r>
      <w:r w:rsidRPr="00F125A2">
        <w:t xml:space="preserve"> (grams</w:t>
      </w:r>
      <w:r w:rsidR="00AC5A9F">
        <w:t>/day</w:t>
      </w:r>
      <w:r w:rsidRPr="00F125A2">
        <w:t xml:space="preserve">) at median </w:t>
      </w:r>
      <w:r>
        <w:t>PFOA</w:t>
      </w:r>
      <w:r w:rsidRPr="00F125A2">
        <w:t xml:space="preserve"> concentration to reach the TDI for the population aged 2 years and above</w:t>
      </w:r>
      <w:bookmarkEnd w:id="217"/>
      <w:bookmarkEnd w:id="218"/>
      <w:bookmarkEnd w:id="219"/>
      <w:bookmarkEnd w:id="220"/>
      <w:bookmarkEnd w:id="221"/>
    </w:p>
    <w:tbl>
      <w:tblPr>
        <w:tblStyle w:val="LightList-Accent1"/>
        <w:tblW w:w="0" w:type="auto"/>
        <w:tblLook w:val="04A0" w:firstRow="1" w:lastRow="0" w:firstColumn="1" w:lastColumn="0" w:noHBand="0" w:noVBand="1"/>
      </w:tblPr>
      <w:tblGrid>
        <w:gridCol w:w="1910"/>
        <w:gridCol w:w="2509"/>
        <w:gridCol w:w="1841"/>
        <w:gridCol w:w="1898"/>
        <w:gridCol w:w="1832"/>
        <w:gridCol w:w="2044"/>
        <w:gridCol w:w="2184"/>
      </w:tblGrid>
      <w:tr w:rsidR="0092375E" w:rsidRPr="00497529" w14:paraId="513C40AE"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0ED50E50" w14:textId="64E4E1AD" w:rsidR="0092375E" w:rsidRPr="00497529" w:rsidRDefault="0092375E" w:rsidP="0092375E">
            <w:pPr>
              <w:contextualSpacing/>
              <w:rPr>
                <w:rFonts w:eastAsia="Times New Roman" w:cs="Arial"/>
                <w:sz w:val="18"/>
                <w:szCs w:val="18"/>
                <w:lang w:eastAsia="en-GB"/>
              </w:rPr>
            </w:pPr>
            <w:r w:rsidRPr="003C03A1">
              <w:rPr>
                <w:rFonts w:eastAsia="Times New Roman" w:cs="Arial"/>
                <w:sz w:val="18"/>
                <w:szCs w:val="18"/>
                <w:lang w:eastAsia="en-GB"/>
              </w:rPr>
              <w:t xml:space="preserve">Food </w:t>
            </w:r>
            <w:r>
              <w:rPr>
                <w:rFonts w:eastAsia="Times New Roman" w:cs="Arial"/>
                <w:sz w:val="18"/>
                <w:szCs w:val="18"/>
                <w:lang w:eastAsia="en-GB"/>
              </w:rPr>
              <w:t>category</w:t>
            </w:r>
          </w:p>
        </w:tc>
        <w:tc>
          <w:tcPr>
            <w:tcW w:w="0" w:type="auto"/>
            <w:vMerge w:val="restart"/>
            <w:vAlign w:val="center"/>
          </w:tcPr>
          <w:p w14:paraId="397EE559" w14:textId="3B719104" w:rsidR="0092375E" w:rsidRPr="00497529" w:rsidRDefault="0092375E"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classification</w:t>
            </w:r>
          </w:p>
        </w:tc>
        <w:tc>
          <w:tcPr>
            <w:tcW w:w="0" w:type="auto"/>
            <w:gridSpan w:val="3"/>
            <w:vAlign w:val="center"/>
          </w:tcPr>
          <w:p w14:paraId="543154A8" w14:textId="746CC062" w:rsidR="0092375E" w:rsidRPr="00497529" w:rsidRDefault="0092375E"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Amount of food that can be consumed before reaching PFOA TDI</w:t>
            </w:r>
          </w:p>
        </w:tc>
        <w:tc>
          <w:tcPr>
            <w:tcW w:w="0" w:type="auto"/>
            <w:gridSpan w:val="2"/>
            <w:vAlign w:val="center"/>
          </w:tcPr>
          <w:p w14:paraId="03899C42" w14:textId="77777777" w:rsidR="0092375E" w:rsidRPr="00497529" w:rsidRDefault="0092375E"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consumption derived from 2011-12 NNPAS</w:t>
            </w:r>
          </w:p>
        </w:tc>
      </w:tr>
      <w:tr w:rsidR="0092375E" w:rsidRPr="0056120C" w14:paraId="116E83C5" w14:textId="77777777" w:rsidTr="00AD5E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C67F05E" w14:textId="14FE70DD" w:rsidR="0092375E" w:rsidRPr="0056120C" w:rsidRDefault="0092375E" w:rsidP="00410657">
            <w:pPr>
              <w:spacing w:line="240" w:lineRule="auto"/>
              <w:contextualSpacing/>
              <w:jc w:val="center"/>
              <w:rPr>
                <w:rFonts w:eastAsia="Times New Roman" w:cs="Arial"/>
                <w:color w:val="000000"/>
                <w:sz w:val="18"/>
                <w:szCs w:val="18"/>
                <w:lang w:eastAsia="en-GB"/>
              </w:rPr>
            </w:pPr>
          </w:p>
        </w:tc>
        <w:tc>
          <w:tcPr>
            <w:tcW w:w="0" w:type="auto"/>
            <w:vMerge/>
            <w:vAlign w:val="center"/>
            <w:hideMark/>
          </w:tcPr>
          <w:p w14:paraId="0F8A2F9A" w14:textId="2BD74467" w:rsidR="0092375E" w:rsidRPr="00AD5E37" w:rsidRDefault="0092375E"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vAlign w:val="center"/>
          </w:tcPr>
          <w:p w14:paraId="4350D8FF" w14:textId="77777777" w:rsidR="0092375E" w:rsidRPr="0056120C" w:rsidRDefault="0092375E"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Lower Bound</w:t>
            </w:r>
          </w:p>
        </w:tc>
        <w:tc>
          <w:tcPr>
            <w:tcW w:w="0" w:type="auto"/>
            <w:vAlign w:val="center"/>
          </w:tcPr>
          <w:p w14:paraId="0FA1955E" w14:textId="77777777" w:rsidR="0092375E" w:rsidRPr="0056120C" w:rsidRDefault="0092375E"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Middle Bound</w:t>
            </w:r>
          </w:p>
        </w:tc>
        <w:tc>
          <w:tcPr>
            <w:tcW w:w="0" w:type="auto"/>
            <w:vAlign w:val="center"/>
          </w:tcPr>
          <w:p w14:paraId="44EBEBC0" w14:textId="77777777" w:rsidR="0092375E" w:rsidRPr="0056120C" w:rsidRDefault="0092375E"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Upper Bound</w:t>
            </w:r>
          </w:p>
        </w:tc>
        <w:tc>
          <w:tcPr>
            <w:tcW w:w="0" w:type="auto"/>
            <w:vAlign w:val="center"/>
            <w:hideMark/>
          </w:tcPr>
          <w:p w14:paraId="29BFEBDC" w14:textId="77777777" w:rsidR="0092375E" w:rsidRPr="0056120C" w:rsidRDefault="0092375E"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P90 consumers only</w:t>
            </w:r>
          </w:p>
        </w:tc>
        <w:tc>
          <w:tcPr>
            <w:tcW w:w="0" w:type="auto"/>
            <w:vAlign w:val="center"/>
            <w:hideMark/>
          </w:tcPr>
          <w:p w14:paraId="42C818DC" w14:textId="77777777" w:rsidR="0092375E" w:rsidRPr="0056120C" w:rsidRDefault="0092375E"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Mean consumers only</w:t>
            </w:r>
          </w:p>
        </w:tc>
      </w:tr>
      <w:tr w:rsidR="00DF5267" w:rsidRPr="00152AF1" w14:paraId="0C1E9D8F"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EB4382E" w14:textId="7FF5A352" w:rsidR="00DF5267" w:rsidRPr="00574FA3" w:rsidRDefault="00DF5267" w:rsidP="00410657">
            <w:pPr>
              <w:spacing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Fish and seafood</w:t>
            </w:r>
          </w:p>
        </w:tc>
        <w:tc>
          <w:tcPr>
            <w:tcW w:w="0" w:type="auto"/>
            <w:noWrap/>
            <w:vAlign w:val="center"/>
            <w:hideMark/>
          </w:tcPr>
          <w:p w14:paraId="57C1D9DB" w14:textId="3F6AC92A" w:rsidR="00DF5267" w:rsidRPr="007B14CA" w:rsidRDefault="00DF5267" w:rsidP="0041065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Crustaceans of all species</w:t>
            </w:r>
          </w:p>
        </w:tc>
        <w:tc>
          <w:tcPr>
            <w:tcW w:w="0" w:type="auto"/>
            <w:noWrap/>
            <w:vAlign w:val="center"/>
          </w:tcPr>
          <w:p w14:paraId="42CF96BA" w14:textId="156CCB92"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0D63430" w14:textId="7F8F74E0"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74,667</w:t>
            </w:r>
          </w:p>
        </w:tc>
        <w:tc>
          <w:tcPr>
            <w:tcW w:w="0" w:type="auto"/>
            <w:noWrap/>
            <w:vAlign w:val="bottom"/>
          </w:tcPr>
          <w:p w14:paraId="249CEE61" w14:textId="017D9912"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37,333</w:t>
            </w:r>
          </w:p>
        </w:tc>
        <w:tc>
          <w:tcPr>
            <w:tcW w:w="0" w:type="auto"/>
            <w:noWrap/>
            <w:vAlign w:val="bottom"/>
            <w:hideMark/>
          </w:tcPr>
          <w:p w14:paraId="3371CA05" w14:textId="4495430D"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63</w:t>
            </w:r>
          </w:p>
        </w:tc>
        <w:tc>
          <w:tcPr>
            <w:tcW w:w="0" w:type="auto"/>
            <w:noWrap/>
            <w:vAlign w:val="bottom"/>
            <w:hideMark/>
          </w:tcPr>
          <w:p w14:paraId="2F5FDFEF" w14:textId="28B870E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21</w:t>
            </w:r>
          </w:p>
        </w:tc>
      </w:tr>
      <w:tr w:rsidR="00DF5267" w:rsidRPr="00152AF1" w14:paraId="54E1A7E3"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418E57B" w14:textId="4AF3334D" w:rsidR="00DF5267" w:rsidRPr="00152AF1" w:rsidRDefault="00DF5267" w:rsidP="00410657">
            <w:pPr>
              <w:spacing w:line="240" w:lineRule="auto"/>
              <w:contextualSpacing/>
              <w:rPr>
                <w:rFonts w:cs="Arial"/>
                <w:b w:val="0"/>
                <w:color w:val="000000"/>
                <w:sz w:val="18"/>
                <w:szCs w:val="18"/>
              </w:rPr>
            </w:pPr>
          </w:p>
        </w:tc>
        <w:tc>
          <w:tcPr>
            <w:tcW w:w="0" w:type="auto"/>
            <w:noWrap/>
            <w:vAlign w:val="center"/>
            <w:hideMark/>
          </w:tcPr>
          <w:p w14:paraId="0D8F203D" w14:textId="5B3B7C35" w:rsidR="00DF5267" w:rsidRPr="007B14CA" w:rsidRDefault="00DF5267" w:rsidP="00410657">
            <w:pPr>
              <w:spacing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7B14CA">
              <w:rPr>
                <w:rFonts w:cs="Arial"/>
                <w:i/>
                <w:color w:val="000000"/>
                <w:sz w:val="18"/>
                <w:szCs w:val="18"/>
              </w:rPr>
              <w:t>Finfish (all)</w:t>
            </w:r>
          </w:p>
        </w:tc>
        <w:tc>
          <w:tcPr>
            <w:tcW w:w="0" w:type="auto"/>
            <w:noWrap/>
            <w:vAlign w:val="center"/>
          </w:tcPr>
          <w:p w14:paraId="46D47ADC"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07A1453" w14:textId="37E02E30"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74,667</w:t>
            </w:r>
          </w:p>
        </w:tc>
        <w:tc>
          <w:tcPr>
            <w:tcW w:w="0" w:type="auto"/>
            <w:noWrap/>
            <w:vAlign w:val="bottom"/>
          </w:tcPr>
          <w:p w14:paraId="466A9C27" w14:textId="1CA861BA"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37,333</w:t>
            </w:r>
          </w:p>
        </w:tc>
        <w:tc>
          <w:tcPr>
            <w:tcW w:w="0" w:type="auto"/>
            <w:noWrap/>
            <w:vAlign w:val="bottom"/>
            <w:hideMark/>
          </w:tcPr>
          <w:p w14:paraId="02F56282" w14:textId="31408210"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123</w:t>
            </w:r>
          </w:p>
        </w:tc>
        <w:tc>
          <w:tcPr>
            <w:tcW w:w="0" w:type="auto"/>
            <w:noWrap/>
            <w:vAlign w:val="bottom"/>
            <w:hideMark/>
          </w:tcPr>
          <w:p w14:paraId="1AD0BCA4" w14:textId="799647C6"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45</w:t>
            </w:r>
          </w:p>
        </w:tc>
      </w:tr>
      <w:tr w:rsidR="00DF5267" w:rsidRPr="00152AF1" w14:paraId="4EBAC798"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EC81824" w14:textId="6B08EDA8"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vAlign w:val="center"/>
            <w:hideMark/>
          </w:tcPr>
          <w:p w14:paraId="6FF284CE" w14:textId="04B85601"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D5E37">
              <w:rPr>
                <w:rFonts w:eastAsia="Times New Roman" w:cs="Arial"/>
                <w:color w:val="000000"/>
                <w:sz w:val="18"/>
                <w:szCs w:val="18"/>
                <w:lang w:eastAsia="en-GB"/>
              </w:rPr>
              <w:t>Diadromous</w:t>
            </w:r>
            <w:proofErr w:type="spellEnd"/>
            <w:r w:rsidRPr="00AD5E37">
              <w:rPr>
                <w:rFonts w:eastAsia="Times New Roman" w:cs="Arial"/>
                <w:color w:val="000000"/>
                <w:sz w:val="18"/>
                <w:szCs w:val="18"/>
                <w:lang w:eastAsia="en-GB"/>
              </w:rPr>
              <w:t xml:space="preserve"> fish</w:t>
            </w:r>
          </w:p>
        </w:tc>
        <w:tc>
          <w:tcPr>
            <w:tcW w:w="0" w:type="auto"/>
            <w:noWrap/>
            <w:vAlign w:val="center"/>
          </w:tcPr>
          <w:p w14:paraId="45DDCEC4"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9521FAD" w14:textId="329438BD"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74,667</w:t>
            </w:r>
          </w:p>
        </w:tc>
        <w:tc>
          <w:tcPr>
            <w:tcW w:w="0" w:type="auto"/>
            <w:noWrap/>
            <w:vAlign w:val="bottom"/>
          </w:tcPr>
          <w:p w14:paraId="0E960DF6" w14:textId="0015E288"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37,333</w:t>
            </w:r>
          </w:p>
        </w:tc>
        <w:tc>
          <w:tcPr>
            <w:tcW w:w="0" w:type="auto"/>
            <w:noWrap/>
            <w:vAlign w:val="bottom"/>
            <w:hideMark/>
          </w:tcPr>
          <w:p w14:paraId="2DA24F3D" w14:textId="35B4EB7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119</w:t>
            </w:r>
          </w:p>
        </w:tc>
        <w:tc>
          <w:tcPr>
            <w:tcW w:w="0" w:type="auto"/>
            <w:noWrap/>
            <w:vAlign w:val="bottom"/>
            <w:hideMark/>
          </w:tcPr>
          <w:p w14:paraId="46C6ABD4" w14:textId="1522158F"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50</w:t>
            </w:r>
          </w:p>
        </w:tc>
      </w:tr>
      <w:tr w:rsidR="00DF5267" w:rsidRPr="00152AF1" w14:paraId="183B4CF3"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C2AA3B3" w14:textId="63CE199D"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vAlign w:val="center"/>
            <w:hideMark/>
          </w:tcPr>
          <w:p w14:paraId="6E87FB6A" w14:textId="5A1BEB9C"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Freshwater fish</w:t>
            </w:r>
          </w:p>
        </w:tc>
        <w:tc>
          <w:tcPr>
            <w:tcW w:w="0" w:type="auto"/>
            <w:noWrap/>
            <w:vAlign w:val="center"/>
          </w:tcPr>
          <w:p w14:paraId="71C5129B"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067C350" w14:textId="745ED940"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74,667</w:t>
            </w:r>
          </w:p>
        </w:tc>
        <w:tc>
          <w:tcPr>
            <w:tcW w:w="0" w:type="auto"/>
            <w:noWrap/>
            <w:vAlign w:val="bottom"/>
          </w:tcPr>
          <w:p w14:paraId="17BCA969" w14:textId="148D9C61"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37,333</w:t>
            </w:r>
          </w:p>
        </w:tc>
        <w:tc>
          <w:tcPr>
            <w:tcW w:w="0" w:type="auto"/>
            <w:noWrap/>
            <w:vAlign w:val="bottom"/>
            <w:hideMark/>
          </w:tcPr>
          <w:p w14:paraId="3BBBD05A" w14:textId="13087DE1"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143</w:t>
            </w:r>
          </w:p>
        </w:tc>
        <w:tc>
          <w:tcPr>
            <w:tcW w:w="0" w:type="auto"/>
            <w:noWrap/>
            <w:vAlign w:val="bottom"/>
            <w:hideMark/>
          </w:tcPr>
          <w:p w14:paraId="2F34D0CE" w14:textId="586DCC26"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56</w:t>
            </w:r>
          </w:p>
        </w:tc>
      </w:tr>
      <w:tr w:rsidR="00DF5267" w:rsidRPr="00152AF1" w14:paraId="64380736"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A72C6BC" w14:textId="134D3E90"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vAlign w:val="center"/>
            <w:hideMark/>
          </w:tcPr>
          <w:p w14:paraId="3603BF26" w14:textId="5C8376D6"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Marine fish of all species</w:t>
            </w:r>
          </w:p>
        </w:tc>
        <w:tc>
          <w:tcPr>
            <w:tcW w:w="0" w:type="auto"/>
            <w:noWrap/>
            <w:vAlign w:val="center"/>
          </w:tcPr>
          <w:p w14:paraId="48C8E979"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EB1AA89" w14:textId="67B0846F"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74,667</w:t>
            </w:r>
          </w:p>
        </w:tc>
        <w:tc>
          <w:tcPr>
            <w:tcW w:w="0" w:type="auto"/>
            <w:noWrap/>
            <w:vAlign w:val="bottom"/>
          </w:tcPr>
          <w:p w14:paraId="60E832F8" w14:textId="0E02F880"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37,333</w:t>
            </w:r>
          </w:p>
        </w:tc>
        <w:tc>
          <w:tcPr>
            <w:tcW w:w="0" w:type="auto"/>
            <w:noWrap/>
            <w:vAlign w:val="bottom"/>
            <w:hideMark/>
          </w:tcPr>
          <w:p w14:paraId="46F82ED5" w14:textId="6AB0BC75"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76</w:t>
            </w:r>
          </w:p>
        </w:tc>
        <w:tc>
          <w:tcPr>
            <w:tcW w:w="0" w:type="auto"/>
            <w:noWrap/>
            <w:vAlign w:val="bottom"/>
            <w:hideMark/>
          </w:tcPr>
          <w:p w14:paraId="3A2979F2" w14:textId="7BFCEF1A"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w:t>
            </w:r>
          </w:p>
        </w:tc>
      </w:tr>
      <w:tr w:rsidR="00DF5267" w:rsidRPr="00152AF1" w14:paraId="171D654F"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840AD11" w14:textId="3E41868A" w:rsidR="00DF5267" w:rsidRPr="003C03A1" w:rsidRDefault="00DF5267" w:rsidP="00410657">
            <w:pPr>
              <w:spacing w:line="240" w:lineRule="auto"/>
              <w:contextualSpacing/>
              <w:rPr>
                <w:rFonts w:eastAsia="Times New Roman" w:cs="Arial"/>
                <w:color w:val="000000"/>
                <w:sz w:val="18"/>
                <w:szCs w:val="18"/>
                <w:lang w:eastAsia="en-GB"/>
              </w:rPr>
            </w:pPr>
          </w:p>
        </w:tc>
        <w:tc>
          <w:tcPr>
            <w:tcW w:w="0" w:type="auto"/>
            <w:noWrap/>
            <w:vAlign w:val="center"/>
          </w:tcPr>
          <w:p w14:paraId="643C5378" w14:textId="4C431948" w:rsidR="00DF5267" w:rsidRPr="007B14CA" w:rsidRDefault="00DF5267" w:rsidP="0041065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Molluscs</w:t>
            </w:r>
          </w:p>
        </w:tc>
        <w:tc>
          <w:tcPr>
            <w:tcW w:w="0" w:type="auto"/>
            <w:noWrap/>
            <w:vAlign w:val="center"/>
          </w:tcPr>
          <w:p w14:paraId="795B0AD1"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4BAE72B" w14:textId="58BC10C6"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F5267">
              <w:rPr>
                <w:rFonts w:cs="Arial"/>
                <w:color w:val="000000"/>
                <w:sz w:val="18"/>
                <w:szCs w:val="18"/>
              </w:rPr>
              <w:t>52,093</w:t>
            </w:r>
          </w:p>
        </w:tc>
        <w:tc>
          <w:tcPr>
            <w:tcW w:w="0" w:type="auto"/>
            <w:noWrap/>
            <w:vAlign w:val="bottom"/>
          </w:tcPr>
          <w:p w14:paraId="01431E0A" w14:textId="412BA630"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F5267">
              <w:rPr>
                <w:rFonts w:cs="Arial"/>
                <w:color w:val="000000"/>
                <w:sz w:val="18"/>
                <w:szCs w:val="18"/>
              </w:rPr>
              <w:t>37,333</w:t>
            </w:r>
          </w:p>
        </w:tc>
        <w:tc>
          <w:tcPr>
            <w:tcW w:w="0" w:type="auto"/>
            <w:noWrap/>
            <w:vAlign w:val="bottom"/>
          </w:tcPr>
          <w:p w14:paraId="06E408B4" w14:textId="2C390EEC"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30</w:t>
            </w:r>
          </w:p>
        </w:tc>
        <w:tc>
          <w:tcPr>
            <w:tcW w:w="0" w:type="auto"/>
            <w:noWrap/>
            <w:vAlign w:val="bottom"/>
          </w:tcPr>
          <w:p w14:paraId="752E952A" w14:textId="68D12D2D"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w:t>
            </w:r>
          </w:p>
        </w:tc>
      </w:tr>
      <w:tr w:rsidR="00DF5267" w:rsidRPr="00152AF1" w14:paraId="1CBF38F3"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E7C0DFD" w14:textId="05F00145" w:rsidR="00DF5267" w:rsidRPr="00574FA3" w:rsidRDefault="00DF5267" w:rsidP="00410657">
            <w:pPr>
              <w:spacing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Animal products</w:t>
            </w:r>
          </w:p>
        </w:tc>
        <w:tc>
          <w:tcPr>
            <w:tcW w:w="0" w:type="auto"/>
            <w:noWrap/>
            <w:vAlign w:val="center"/>
            <w:hideMark/>
          </w:tcPr>
          <w:p w14:paraId="6860F4BC" w14:textId="579D302B" w:rsidR="00DF5267" w:rsidRPr="007B14CA" w:rsidRDefault="00DF5267" w:rsidP="0041065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0" w:type="auto"/>
            <w:noWrap/>
            <w:vAlign w:val="center"/>
          </w:tcPr>
          <w:p w14:paraId="6A99C688" w14:textId="1036E60E"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8624160" w14:textId="05AE3CFB" w:rsidR="00DF5267" w:rsidRPr="00DF5267" w:rsidRDefault="00DF5267" w:rsidP="00AB629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537,600</w:t>
            </w:r>
          </w:p>
        </w:tc>
        <w:tc>
          <w:tcPr>
            <w:tcW w:w="0" w:type="auto"/>
            <w:noWrap/>
            <w:vAlign w:val="bottom"/>
          </w:tcPr>
          <w:p w14:paraId="5C72BDEA" w14:textId="3ED0EC1B" w:rsidR="00DF5267" w:rsidRPr="00DF5267" w:rsidRDefault="00DF5267" w:rsidP="00AB629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268,800</w:t>
            </w:r>
          </w:p>
        </w:tc>
        <w:tc>
          <w:tcPr>
            <w:tcW w:w="0" w:type="auto"/>
            <w:noWrap/>
            <w:vAlign w:val="bottom"/>
            <w:hideMark/>
          </w:tcPr>
          <w:p w14:paraId="38ECA322" w14:textId="1D41359C"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221</w:t>
            </w:r>
          </w:p>
        </w:tc>
        <w:tc>
          <w:tcPr>
            <w:tcW w:w="0" w:type="auto"/>
            <w:noWrap/>
            <w:vAlign w:val="bottom"/>
            <w:hideMark/>
          </w:tcPr>
          <w:p w14:paraId="693B231F" w14:textId="7A8A7830"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106</w:t>
            </w:r>
          </w:p>
        </w:tc>
      </w:tr>
      <w:tr w:rsidR="00DF5267" w:rsidRPr="00152AF1" w14:paraId="194625FD"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D6835BA" w14:textId="556B6A53"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hideMark/>
          </w:tcPr>
          <w:p w14:paraId="6EF89033" w14:textId="01C6A9AE"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meat</w:t>
            </w:r>
          </w:p>
        </w:tc>
        <w:tc>
          <w:tcPr>
            <w:tcW w:w="0" w:type="auto"/>
            <w:noWrap/>
            <w:vAlign w:val="center"/>
          </w:tcPr>
          <w:p w14:paraId="50C0F122" w14:textId="54AFC952"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4EF81E4" w14:textId="7579D8E4" w:rsidR="00DF5267" w:rsidRPr="00DF5267" w:rsidRDefault="00AB6296"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448000</w:t>
            </w:r>
          </w:p>
        </w:tc>
        <w:tc>
          <w:tcPr>
            <w:tcW w:w="0" w:type="auto"/>
            <w:noWrap/>
            <w:vAlign w:val="bottom"/>
          </w:tcPr>
          <w:p w14:paraId="4356C7D1" w14:textId="574FEDFC" w:rsidR="00DF5267" w:rsidRPr="00DF5267" w:rsidRDefault="00AB6296"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268800</w:t>
            </w:r>
          </w:p>
        </w:tc>
        <w:tc>
          <w:tcPr>
            <w:tcW w:w="0" w:type="auto"/>
            <w:noWrap/>
            <w:vAlign w:val="bottom"/>
            <w:hideMark/>
          </w:tcPr>
          <w:p w14:paraId="733C7B68" w14:textId="11A90F39"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163</w:t>
            </w:r>
          </w:p>
        </w:tc>
        <w:tc>
          <w:tcPr>
            <w:tcW w:w="0" w:type="auto"/>
            <w:noWrap/>
            <w:vAlign w:val="bottom"/>
            <w:hideMark/>
          </w:tcPr>
          <w:p w14:paraId="725746DB" w14:textId="76735964"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71</w:t>
            </w:r>
          </w:p>
        </w:tc>
      </w:tr>
      <w:tr w:rsidR="00DF5267" w:rsidRPr="00152AF1" w14:paraId="54E4F80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0958144" w14:textId="107570C6"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hideMark/>
          </w:tcPr>
          <w:p w14:paraId="332C1A13" w14:textId="6ACC0981"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Rabbit meat</w:t>
            </w:r>
          </w:p>
        </w:tc>
        <w:tc>
          <w:tcPr>
            <w:tcW w:w="0" w:type="auto"/>
            <w:noWrap/>
            <w:vAlign w:val="center"/>
          </w:tcPr>
          <w:p w14:paraId="3DF12976" w14:textId="43B1326B"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7D0768C" w14:textId="2BE580FC"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11,200</w:t>
            </w:r>
          </w:p>
        </w:tc>
        <w:tc>
          <w:tcPr>
            <w:tcW w:w="0" w:type="auto"/>
            <w:noWrap/>
            <w:vAlign w:val="bottom"/>
          </w:tcPr>
          <w:p w14:paraId="4360BB2A" w14:textId="64FFE1D6"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5,600</w:t>
            </w:r>
          </w:p>
        </w:tc>
        <w:tc>
          <w:tcPr>
            <w:tcW w:w="0" w:type="auto"/>
            <w:noWrap/>
            <w:vAlign w:val="bottom"/>
            <w:hideMark/>
          </w:tcPr>
          <w:p w14:paraId="70F92015" w14:textId="3BF07B91"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w:t>
            </w:r>
          </w:p>
        </w:tc>
        <w:tc>
          <w:tcPr>
            <w:tcW w:w="0" w:type="auto"/>
            <w:noWrap/>
            <w:vAlign w:val="bottom"/>
            <w:hideMark/>
          </w:tcPr>
          <w:p w14:paraId="2050C010" w14:textId="775F1B19"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364</w:t>
            </w:r>
          </w:p>
        </w:tc>
      </w:tr>
      <w:tr w:rsidR="00DF5267" w:rsidRPr="00152AF1" w14:paraId="2C7FA052"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C1D7670" w14:textId="7C178A10"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hideMark/>
          </w:tcPr>
          <w:p w14:paraId="6F0B4887" w14:textId="2DCDD2D1"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meat</w:t>
            </w:r>
          </w:p>
        </w:tc>
        <w:tc>
          <w:tcPr>
            <w:tcW w:w="0" w:type="auto"/>
            <w:noWrap/>
            <w:vAlign w:val="center"/>
          </w:tcPr>
          <w:p w14:paraId="1EEA6126" w14:textId="6925408D"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09DBD42" w14:textId="00594CC2"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537,600</w:t>
            </w:r>
          </w:p>
        </w:tc>
        <w:tc>
          <w:tcPr>
            <w:tcW w:w="0" w:type="auto"/>
            <w:noWrap/>
            <w:vAlign w:val="bottom"/>
          </w:tcPr>
          <w:p w14:paraId="5E724745" w14:textId="14393ACA"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268,800</w:t>
            </w:r>
          </w:p>
        </w:tc>
        <w:tc>
          <w:tcPr>
            <w:tcW w:w="0" w:type="auto"/>
            <w:noWrap/>
            <w:vAlign w:val="bottom"/>
            <w:hideMark/>
          </w:tcPr>
          <w:p w14:paraId="6125080B" w14:textId="44CFC3C3"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85</w:t>
            </w:r>
          </w:p>
        </w:tc>
        <w:tc>
          <w:tcPr>
            <w:tcW w:w="0" w:type="auto"/>
            <w:noWrap/>
            <w:vAlign w:val="bottom"/>
            <w:hideMark/>
          </w:tcPr>
          <w:p w14:paraId="64B27000" w14:textId="1EA2D05A"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w:t>
            </w:r>
          </w:p>
        </w:tc>
      </w:tr>
      <w:tr w:rsidR="00DF5267" w:rsidRPr="00152AF1" w14:paraId="2CCE79FA"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4EAE209" w14:textId="48469066"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vAlign w:val="center"/>
          </w:tcPr>
          <w:p w14:paraId="373627FB" w14:textId="41E540D1" w:rsidR="00DF5267" w:rsidRPr="007B14CA" w:rsidRDefault="00DF5267" w:rsidP="0041065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Milk (all)</w:t>
            </w:r>
          </w:p>
        </w:tc>
        <w:tc>
          <w:tcPr>
            <w:tcW w:w="0" w:type="auto"/>
            <w:noWrap/>
            <w:vAlign w:val="center"/>
          </w:tcPr>
          <w:p w14:paraId="33A898E2"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5FDE1A1" w14:textId="4A2D11DC"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43,495</w:t>
            </w:r>
          </w:p>
        </w:tc>
        <w:tc>
          <w:tcPr>
            <w:tcW w:w="0" w:type="auto"/>
            <w:noWrap/>
            <w:vAlign w:val="bottom"/>
          </w:tcPr>
          <w:p w14:paraId="57C5BAEC" w14:textId="7B0C01C4"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21,748</w:t>
            </w:r>
          </w:p>
        </w:tc>
        <w:tc>
          <w:tcPr>
            <w:tcW w:w="0" w:type="auto"/>
            <w:noWrap/>
            <w:vAlign w:val="bottom"/>
          </w:tcPr>
          <w:p w14:paraId="57A0DCFB" w14:textId="7A494499"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1,295</w:t>
            </w:r>
          </w:p>
        </w:tc>
        <w:tc>
          <w:tcPr>
            <w:tcW w:w="0" w:type="auto"/>
            <w:noWrap/>
            <w:vAlign w:val="bottom"/>
          </w:tcPr>
          <w:p w14:paraId="514A5C94" w14:textId="1F6338C2"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693</w:t>
            </w:r>
          </w:p>
        </w:tc>
      </w:tr>
      <w:tr w:rsidR="00DF5267" w:rsidRPr="00152AF1" w14:paraId="4940E896"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05748DF" w14:textId="30DE97C9"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hideMark/>
          </w:tcPr>
          <w:p w14:paraId="082A27FE" w14:textId="193F66CB"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milk</w:t>
            </w:r>
          </w:p>
        </w:tc>
        <w:tc>
          <w:tcPr>
            <w:tcW w:w="0" w:type="auto"/>
            <w:noWrap/>
            <w:vAlign w:val="center"/>
          </w:tcPr>
          <w:p w14:paraId="544CE947"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59E36DD" w14:textId="5E391901"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43,495</w:t>
            </w:r>
          </w:p>
        </w:tc>
        <w:tc>
          <w:tcPr>
            <w:tcW w:w="0" w:type="auto"/>
            <w:noWrap/>
            <w:vAlign w:val="bottom"/>
          </w:tcPr>
          <w:p w14:paraId="41AB8F9B" w14:textId="273F503E"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21,748</w:t>
            </w:r>
          </w:p>
        </w:tc>
        <w:tc>
          <w:tcPr>
            <w:tcW w:w="0" w:type="auto"/>
            <w:noWrap/>
            <w:vAlign w:val="bottom"/>
            <w:hideMark/>
          </w:tcPr>
          <w:p w14:paraId="6DB1068C" w14:textId="79D38A7F"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1,295</w:t>
            </w:r>
          </w:p>
        </w:tc>
        <w:tc>
          <w:tcPr>
            <w:tcW w:w="0" w:type="auto"/>
            <w:noWrap/>
            <w:vAlign w:val="bottom"/>
            <w:hideMark/>
          </w:tcPr>
          <w:p w14:paraId="3B550F83" w14:textId="01EBB183"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692</w:t>
            </w:r>
          </w:p>
        </w:tc>
      </w:tr>
      <w:tr w:rsidR="00DF5267" w:rsidRPr="00152AF1" w14:paraId="5C10FE6D"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4289877" w14:textId="0DF1AB57"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hideMark/>
          </w:tcPr>
          <w:p w14:paraId="5A278DB8" w14:textId="1630408A"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milk</w:t>
            </w:r>
          </w:p>
        </w:tc>
        <w:tc>
          <w:tcPr>
            <w:tcW w:w="0" w:type="auto"/>
            <w:noWrap/>
            <w:vAlign w:val="center"/>
          </w:tcPr>
          <w:p w14:paraId="3A74B3C5"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A2163EF" w14:textId="566089C1"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43,495</w:t>
            </w:r>
          </w:p>
        </w:tc>
        <w:tc>
          <w:tcPr>
            <w:tcW w:w="0" w:type="auto"/>
            <w:noWrap/>
            <w:vAlign w:val="bottom"/>
          </w:tcPr>
          <w:p w14:paraId="5E0399B8" w14:textId="79DA4C54"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21,748</w:t>
            </w:r>
          </w:p>
        </w:tc>
        <w:tc>
          <w:tcPr>
            <w:tcW w:w="0" w:type="auto"/>
            <w:noWrap/>
            <w:vAlign w:val="bottom"/>
            <w:hideMark/>
          </w:tcPr>
          <w:p w14:paraId="4B2D1623" w14:textId="483425DE"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31</w:t>
            </w:r>
          </w:p>
        </w:tc>
        <w:tc>
          <w:tcPr>
            <w:tcW w:w="0" w:type="auto"/>
            <w:noWrap/>
            <w:vAlign w:val="bottom"/>
            <w:hideMark/>
          </w:tcPr>
          <w:p w14:paraId="1BB724F1" w14:textId="217EFE9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13</w:t>
            </w:r>
          </w:p>
        </w:tc>
      </w:tr>
      <w:tr w:rsidR="00DF5267" w:rsidRPr="00152AF1" w14:paraId="26421CEA"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75F600B" w14:textId="6F26BB46"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vAlign w:val="center"/>
            <w:hideMark/>
          </w:tcPr>
          <w:p w14:paraId="12FD8360" w14:textId="2A700AE9" w:rsidR="00DF5267" w:rsidRPr="007B14CA" w:rsidRDefault="00DF5267" w:rsidP="0041065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Miscellaneous foods (honey)</w:t>
            </w:r>
          </w:p>
        </w:tc>
        <w:tc>
          <w:tcPr>
            <w:tcW w:w="0" w:type="auto"/>
            <w:noWrap/>
            <w:vAlign w:val="center"/>
          </w:tcPr>
          <w:p w14:paraId="22A5C34F"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C426179" w14:textId="4696D58F"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29A24C81" w14:textId="3F05487F"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525DB9C5" w14:textId="498078BE"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14</w:t>
            </w:r>
          </w:p>
        </w:tc>
        <w:tc>
          <w:tcPr>
            <w:tcW w:w="0" w:type="auto"/>
            <w:noWrap/>
            <w:vAlign w:val="bottom"/>
            <w:hideMark/>
          </w:tcPr>
          <w:p w14:paraId="70AC8A4A" w14:textId="33BE7BD8"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r w:rsidR="00DF5267" w:rsidRPr="00152AF1" w14:paraId="1C8083A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AEA8433" w14:textId="722CC587" w:rsidR="00DF5267" w:rsidRPr="00152AF1" w:rsidRDefault="00DF5267" w:rsidP="00410657">
            <w:pPr>
              <w:spacing w:line="240" w:lineRule="auto"/>
              <w:contextualSpacing/>
              <w:rPr>
                <w:rFonts w:eastAsia="Times New Roman" w:cs="Arial"/>
                <w:b w:val="0"/>
                <w:color w:val="000000"/>
                <w:sz w:val="18"/>
                <w:szCs w:val="18"/>
                <w:lang w:eastAsia="en-GB"/>
              </w:rPr>
            </w:pPr>
          </w:p>
        </w:tc>
        <w:tc>
          <w:tcPr>
            <w:tcW w:w="0" w:type="auto"/>
            <w:noWrap/>
            <w:vAlign w:val="center"/>
            <w:hideMark/>
          </w:tcPr>
          <w:p w14:paraId="631F6433" w14:textId="4FAC2A95" w:rsidR="00DF5267" w:rsidRPr="007B14CA" w:rsidRDefault="00DF5267" w:rsidP="0041065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Offal mammalian</w:t>
            </w:r>
          </w:p>
        </w:tc>
        <w:tc>
          <w:tcPr>
            <w:tcW w:w="0" w:type="auto"/>
            <w:noWrap/>
            <w:vAlign w:val="center"/>
          </w:tcPr>
          <w:p w14:paraId="4653D776"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97DA907" w14:textId="35030C9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14,933</w:t>
            </w:r>
          </w:p>
        </w:tc>
        <w:tc>
          <w:tcPr>
            <w:tcW w:w="0" w:type="auto"/>
            <w:noWrap/>
            <w:vAlign w:val="bottom"/>
          </w:tcPr>
          <w:p w14:paraId="04CA3F3F" w14:textId="0E08609B"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hideMark/>
          </w:tcPr>
          <w:p w14:paraId="5DE91539" w14:textId="22EA2663"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84</w:t>
            </w:r>
          </w:p>
        </w:tc>
        <w:tc>
          <w:tcPr>
            <w:tcW w:w="0" w:type="auto"/>
            <w:noWrap/>
            <w:vAlign w:val="bottom"/>
            <w:hideMark/>
          </w:tcPr>
          <w:p w14:paraId="51E01488" w14:textId="302BAFC1"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32</w:t>
            </w:r>
          </w:p>
        </w:tc>
      </w:tr>
      <w:tr w:rsidR="00DF5267" w:rsidRPr="00152AF1" w14:paraId="28630E52"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EA2B2A0" w14:textId="2655341A" w:rsidR="00DF5267" w:rsidRPr="003C03A1" w:rsidRDefault="00DF5267" w:rsidP="00410657">
            <w:pPr>
              <w:spacing w:line="240" w:lineRule="auto"/>
              <w:contextualSpacing/>
              <w:rPr>
                <w:rFonts w:eastAsia="Times New Roman" w:cs="Arial"/>
                <w:color w:val="000000"/>
                <w:sz w:val="18"/>
                <w:szCs w:val="18"/>
                <w:lang w:eastAsia="en-GB"/>
              </w:rPr>
            </w:pPr>
          </w:p>
        </w:tc>
        <w:tc>
          <w:tcPr>
            <w:tcW w:w="0" w:type="auto"/>
            <w:noWrap/>
            <w:vAlign w:val="center"/>
          </w:tcPr>
          <w:p w14:paraId="02AB85E9" w14:textId="7509E4DA" w:rsidR="00DF5267" w:rsidRPr="007B14CA" w:rsidRDefault="00DF5267" w:rsidP="0041065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7B14CA">
              <w:rPr>
                <w:rFonts w:eastAsia="Times New Roman" w:cs="Arial"/>
                <w:i/>
                <w:color w:val="000000"/>
                <w:sz w:val="18"/>
                <w:szCs w:val="18"/>
                <w:lang w:eastAsia="en-GB"/>
              </w:rPr>
              <w:t>Poultry eggs</w:t>
            </w:r>
          </w:p>
        </w:tc>
        <w:tc>
          <w:tcPr>
            <w:tcW w:w="0" w:type="auto"/>
            <w:noWrap/>
            <w:vAlign w:val="center"/>
          </w:tcPr>
          <w:p w14:paraId="093CF0B3"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1EAA739" w14:textId="4D07BDBF"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F5267">
              <w:rPr>
                <w:rFonts w:cs="Arial"/>
                <w:color w:val="000000"/>
                <w:sz w:val="18"/>
                <w:szCs w:val="18"/>
              </w:rPr>
              <w:t>7,467</w:t>
            </w:r>
          </w:p>
        </w:tc>
        <w:tc>
          <w:tcPr>
            <w:tcW w:w="0" w:type="auto"/>
            <w:noWrap/>
            <w:vAlign w:val="bottom"/>
          </w:tcPr>
          <w:p w14:paraId="221DF5EA" w14:textId="5825C0CE"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F5267">
              <w:rPr>
                <w:rFonts w:cs="Arial"/>
                <w:color w:val="000000"/>
                <w:sz w:val="18"/>
                <w:szCs w:val="18"/>
              </w:rPr>
              <w:t>3,733</w:t>
            </w:r>
          </w:p>
        </w:tc>
        <w:tc>
          <w:tcPr>
            <w:tcW w:w="0" w:type="auto"/>
            <w:noWrap/>
            <w:vAlign w:val="bottom"/>
          </w:tcPr>
          <w:p w14:paraId="726FCFC7" w14:textId="503FE288"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59</w:t>
            </w:r>
          </w:p>
        </w:tc>
        <w:tc>
          <w:tcPr>
            <w:tcW w:w="0" w:type="auto"/>
            <w:noWrap/>
            <w:vAlign w:val="bottom"/>
          </w:tcPr>
          <w:p w14:paraId="4682F0F7" w14:textId="2DCDB07E"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23</w:t>
            </w:r>
          </w:p>
        </w:tc>
      </w:tr>
      <w:tr w:rsidR="00DF5267" w:rsidRPr="00152AF1" w14:paraId="2BA0460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0A82CB0" w14:textId="6901D25C" w:rsidR="00DF5267" w:rsidRPr="00152AF1" w:rsidRDefault="00DF5267" w:rsidP="00410657">
            <w:pPr>
              <w:spacing w:line="240" w:lineRule="auto"/>
              <w:contextualSpacing/>
              <w:rPr>
                <w:rFonts w:cs="Arial"/>
                <w:b w:val="0"/>
                <w:color w:val="000000"/>
                <w:sz w:val="18"/>
                <w:szCs w:val="18"/>
              </w:rPr>
            </w:pPr>
            <w:r w:rsidRPr="003C03A1">
              <w:rPr>
                <w:rFonts w:eastAsia="Times New Roman" w:cs="Arial"/>
                <w:color w:val="000000"/>
                <w:sz w:val="18"/>
                <w:szCs w:val="18"/>
                <w:lang w:eastAsia="en-GB"/>
              </w:rPr>
              <w:t>Fruit and vegetables</w:t>
            </w:r>
          </w:p>
        </w:tc>
        <w:tc>
          <w:tcPr>
            <w:tcW w:w="0" w:type="auto"/>
            <w:noWrap/>
            <w:vAlign w:val="center"/>
            <w:hideMark/>
          </w:tcPr>
          <w:p w14:paraId="4187E91E" w14:textId="130CE48A" w:rsidR="00DF5267" w:rsidRPr="007B14CA" w:rsidRDefault="00DF5267" w:rsidP="00410657">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7B14CA">
              <w:rPr>
                <w:rFonts w:cs="Arial"/>
                <w:i/>
                <w:color w:val="000000"/>
                <w:sz w:val="18"/>
                <w:szCs w:val="18"/>
              </w:rPr>
              <w:t>Vegetables (all)</w:t>
            </w:r>
          </w:p>
        </w:tc>
        <w:tc>
          <w:tcPr>
            <w:tcW w:w="0" w:type="auto"/>
            <w:noWrap/>
            <w:vAlign w:val="center"/>
          </w:tcPr>
          <w:p w14:paraId="1606FE7D"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55DCC0A" w14:textId="7777777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A69722D" w14:textId="7777777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hideMark/>
          </w:tcPr>
          <w:p w14:paraId="5A4DFA51" w14:textId="4B4FC98E"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570</w:t>
            </w:r>
          </w:p>
        </w:tc>
        <w:tc>
          <w:tcPr>
            <w:tcW w:w="0" w:type="auto"/>
            <w:noWrap/>
            <w:vAlign w:val="bottom"/>
            <w:hideMark/>
          </w:tcPr>
          <w:p w14:paraId="7C88EAAF" w14:textId="065F01B0"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314</w:t>
            </w:r>
          </w:p>
        </w:tc>
      </w:tr>
      <w:tr w:rsidR="00DF5267" w:rsidRPr="00152AF1" w14:paraId="4E6B0832"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23F03E9" w14:textId="77777777" w:rsidR="00DF5267" w:rsidRPr="00152AF1"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3EABE13F" w14:textId="6A75BF76"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Cucurbits</w:t>
            </w:r>
          </w:p>
        </w:tc>
        <w:tc>
          <w:tcPr>
            <w:tcW w:w="0" w:type="auto"/>
            <w:noWrap/>
            <w:vAlign w:val="center"/>
          </w:tcPr>
          <w:p w14:paraId="62ED1224"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BDDCA44" w14:textId="2A301044"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11,200</w:t>
            </w:r>
          </w:p>
        </w:tc>
        <w:tc>
          <w:tcPr>
            <w:tcW w:w="0" w:type="auto"/>
            <w:noWrap/>
            <w:vAlign w:val="bottom"/>
          </w:tcPr>
          <w:p w14:paraId="46A56EB7" w14:textId="66587CE5"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5,600</w:t>
            </w:r>
          </w:p>
        </w:tc>
        <w:tc>
          <w:tcPr>
            <w:tcW w:w="0" w:type="auto"/>
            <w:noWrap/>
            <w:vAlign w:val="bottom"/>
            <w:hideMark/>
          </w:tcPr>
          <w:p w14:paraId="53953E6B" w14:textId="31721EBB"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96</w:t>
            </w:r>
          </w:p>
        </w:tc>
        <w:tc>
          <w:tcPr>
            <w:tcW w:w="0" w:type="auto"/>
            <w:noWrap/>
            <w:vAlign w:val="bottom"/>
            <w:hideMark/>
          </w:tcPr>
          <w:p w14:paraId="1F8863D8" w14:textId="7D282241"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35</w:t>
            </w:r>
          </w:p>
        </w:tc>
      </w:tr>
      <w:tr w:rsidR="00DF5267" w:rsidRPr="00152AF1" w14:paraId="237EAD66"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C984CA8" w14:textId="77777777" w:rsidR="00DF5267" w:rsidRPr="00152AF1"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7B263EE0" w14:textId="35056FA1"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Herbs</w:t>
            </w:r>
          </w:p>
        </w:tc>
        <w:tc>
          <w:tcPr>
            <w:tcW w:w="0" w:type="auto"/>
            <w:noWrap/>
            <w:vAlign w:val="center"/>
          </w:tcPr>
          <w:p w14:paraId="054719FB"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3BC5661" w14:textId="17EB40A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3B4A7073" w14:textId="495AB7F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31C8C1DF" w14:textId="7C011A9D"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w:t>
            </w:r>
          </w:p>
        </w:tc>
        <w:tc>
          <w:tcPr>
            <w:tcW w:w="0" w:type="auto"/>
            <w:noWrap/>
            <w:vAlign w:val="bottom"/>
            <w:hideMark/>
          </w:tcPr>
          <w:p w14:paraId="7DC25688" w14:textId="779C7D82"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r>
      <w:tr w:rsidR="00DF5267" w:rsidRPr="00152AF1" w14:paraId="0EED7336"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8A0A9F4" w14:textId="77777777" w:rsidR="00DF5267" w:rsidRPr="00152AF1"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4DCEDD9F" w14:textId="401D8C6B"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Leafy vegetables</w:t>
            </w:r>
          </w:p>
        </w:tc>
        <w:tc>
          <w:tcPr>
            <w:tcW w:w="0" w:type="auto"/>
            <w:noWrap/>
            <w:vAlign w:val="center"/>
          </w:tcPr>
          <w:p w14:paraId="1419061D"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F0C48D9" w14:textId="7CE306AC"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11,200</w:t>
            </w:r>
          </w:p>
        </w:tc>
        <w:tc>
          <w:tcPr>
            <w:tcW w:w="0" w:type="auto"/>
            <w:noWrap/>
            <w:vAlign w:val="bottom"/>
          </w:tcPr>
          <w:p w14:paraId="35537D28" w14:textId="5E5469D7"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5,600</w:t>
            </w:r>
          </w:p>
        </w:tc>
        <w:tc>
          <w:tcPr>
            <w:tcW w:w="0" w:type="auto"/>
            <w:noWrap/>
            <w:vAlign w:val="bottom"/>
            <w:hideMark/>
          </w:tcPr>
          <w:p w14:paraId="5EF53694" w14:textId="651B057D"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48</w:t>
            </w:r>
          </w:p>
        </w:tc>
        <w:tc>
          <w:tcPr>
            <w:tcW w:w="0" w:type="auto"/>
            <w:noWrap/>
            <w:vAlign w:val="bottom"/>
            <w:hideMark/>
          </w:tcPr>
          <w:p w14:paraId="003BBDD0" w14:textId="3730846E"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w:t>
            </w:r>
          </w:p>
        </w:tc>
      </w:tr>
      <w:tr w:rsidR="00DF5267" w:rsidRPr="00152AF1" w14:paraId="38A276C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E023213" w14:textId="77777777" w:rsidR="00DF5267" w:rsidRPr="00152AF1"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46699D42" w14:textId="7CBE5CFC"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Other fruiting vegetables</w:t>
            </w:r>
          </w:p>
        </w:tc>
        <w:tc>
          <w:tcPr>
            <w:tcW w:w="0" w:type="auto"/>
            <w:noWrap/>
            <w:vAlign w:val="center"/>
          </w:tcPr>
          <w:p w14:paraId="5CC2CF7D"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89ECAA6" w14:textId="6FD807D8"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3ED10CC9" w14:textId="3A86FDE0"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74E4439F" w14:textId="3F8DE8A9"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205</w:t>
            </w:r>
          </w:p>
        </w:tc>
        <w:tc>
          <w:tcPr>
            <w:tcW w:w="0" w:type="auto"/>
            <w:noWrap/>
            <w:vAlign w:val="bottom"/>
            <w:hideMark/>
          </w:tcPr>
          <w:p w14:paraId="74032B56" w14:textId="648379E8"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104</w:t>
            </w:r>
          </w:p>
        </w:tc>
      </w:tr>
      <w:tr w:rsidR="00DF5267" w:rsidRPr="00152AF1" w14:paraId="5E104EC7"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6CD9EE3" w14:textId="77777777" w:rsidR="00DF5267" w:rsidRPr="00152AF1"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4BB2B556" w14:textId="3303E0A3"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Root and tuber vegetables</w:t>
            </w:r>
          </w:p>
        </w:tc>
        <w:tc>
          <w:tcPr>
            <w:tcW w:w="0" w:type="auto"/>
            <w:noWrap/>
            <w:vAlign w:val="center"/>
          </w:tcPr>
          <w:p w14:paraId="21E37B50"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EFE6216" w14:textId="542686F8"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7005BE68" w14:textId="67E67961"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27668283" w14:textId="0A8DFFF2"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273</w:t>
            </w:r>
          </w:p>
        </w:tc>
        <w:tc>
          <w:tcPr>
            <w:tcW w:w="0" w:type="auto"/>
            <w:noWrap/>
            <w:vAlign w:val="bottom"/>
            <w:hideMark/>
          </w:tcPr>
          <w:p w14:paraId="22A99044" w14:textId="1FF0E445"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123</w:t>
            </w:r>
          </w:p>
        </w:tc>
      </w:tr>
      <w:tr w:rsidR="00DF5267" w:rsidRPr="00152AF1" w14:paraId="1D1B72E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2B49FE9" w14:textId="77777777" w:rsidR="00DF5267" w:rsidRPr="00152AF1"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32AB0C79" w14:textId="03C048C7"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Spices</w:t>
            </w:r>
          </w:p>
        </w:tc>
        <w:tc>
          <w:tcPr>
            <w:tcW w:w="0" w:type="auto"/>
            <w:noWrap/>
            <w:vAlign w:val="center"/>
          </w:tcPr>
          <w:p w14:paraId="670A522D"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1FF687C" w14:textId="698408DC"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0E581240" w14:textId="1638938B"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63C0D360" w14:textId="5708B959"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c>
          <w:tcPr>
            <w:tcW w:w="0" w:type="auto"/>
            <w:noWrap/>
            <w:vAlign w:val="bottom"/>
            <w:hideMark/>
          </w:tcPr>
          <w:p w14:paraId="7779F791" w14:textId="2691FEB9"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w:t>
            </w:r>
          </w:p>
        </w:tc>
      </w:tr>
      <w:tr w:rsidR="00DF5267" w:rsidRPr="00152AF1" w14:paraId="70B30317"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4174490" w14:textId="77777777" w:rsidR="00DF5267" w:rsidRPr="00152AF1"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41130FA9" w14:textId="1EAFA9F1"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Stalk and stem vegetables</w:t>
            </w:r>
          </w:p>
        </w:tc>
        <w:tc>
          <w:tcPr>
            <w:tcW w:w="0" w:type="auto"/>
            <w:noWrap/>
            <w:vAlign w:val="center"/>
          </w:tcPr>
          <w:p w14:paraId="134C8BC8" w14:textId="363FC40B"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A9B32C5" w14:textId="10884143"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11,200</w:t>
            </w:r>
          </w:p>
        </w:tc>
        <w:tc>
          <w:tcPr>
            <w:tcW w:w="0" w:type="auto"/>
            <w:noWrap/>
            <w:vAlign w:val="bottom"/>
          </w:tcPr>
          <w:p w14:paraId="2EF7BBD5" w14:textId="63556287"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5,600</w:t>
            </w:r>
          </w:p>
        </w:tc>
        <w:tc>
          <w:tcPr>
            <w:tcW w:w="0" w:type="auto"/>
            <w:noWrap/>
            <w:vAlign w:val="bottom"/>
            <w:hideMark/>
          </w:tcPr>
          <w:p w14:paraId="70EDB56A" w14:textId="08C1F569"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15</w:t>
            </w:r>
          </w:p>
        </w:tc>
        <w:tc>
          <w:tcPr>
            <w:tcW w:w="0" w:type="auto"/>
            <w:noWrap/>
            <w:vAlign w:val="bottom"/>
            <w:hideMark/>
          </w:tcPr>
          <w:p w14:paraId="6A5597F2" w14:textId="090961DA"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w:t>
            </w:r>
          </w:p>
        </w:tc>
      </w:tr>
      <w:tr w:rsidR="00DF5267" w:rsidRPr="00152AF1" w14:paraId="0FE5B18E"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0477101" w14:textId="01C8C569" w:rsidR="00DF5267" w:rsidRDefault="00DF5267" w:rsidP="00410657">
            <w:pPr>
              <w:spacing w:line="240" w:lineRule="auto"/>
              <w:contextualSpacing/>
              <w:rPr>
                <w:rFonts w:cs="Arial"/>
                <w:b w:val="0"/>
                <w:color w:val="000000"/>
                <w:sz w:val="18"/>
                <w:szCs w:val="18"/>
              </w:rPr>
            </w:pPr>
          </w:p>
        </w:tc>
        <w:tc>
          <w:tcPr>
            <w:tcW w:w="0" w:type="auto"/>
            <w:noWrap/>
            <w:vAlign w:val="center"/>
            <w:hideMark/>
          </w:tcPr>
          <w:p w14:paraId="274875C2" w14:textId="2D52F52B" w:rsidR="00DF5267" w:rsidRPr="007B14CA" w:rsidRDefault="00DF5267" w:rsidP="00410657">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7B14CA">
              <w:rPr>
                <w:rFonts w:cs="Arial"/>
                <w:i/>
                <w:color w:val="000000"/>
                <w:sz w:val="18"/>
                <w:szCs w:val="18"/>
              </w:rPr>
              <w:t>Fruit (all)</w:t>
            </w:r>
          </w:p>
        </w:tc>
        <w:tc>
          <w:tcPr>
            <w:tcW w:w="0" w:type="auto"/>
            <w:noWrap/>
            <w:vAlign w:val="center"/>
          </w:tcPr>
          <w:p w14:paraId="21DA533E"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FB83B1A" w14:textId="7777777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9C03C85" w14:textId="77777777"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hideMark/>
          </w:tcPr>
          <w:p w14:paraId="0EDE9F9F" w14:textId="1C4A933E"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861</w:t>
            </w:r>
          </w:p>
        </w:tc>
        <w:tc>
          <w:tcPr>
            <w:tcW w:w="0" w:type="auto"/>
            <w:noWrap/>
            <w:vAlign w:val="bottom"/>
            <w:hideMark/>
          </w:tcPr>
          <w:p w14:paraId="0D9E606B" w14:textId="2A61E530"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381</w:t>
            </w:r>
          </w:p>
        </w:tc>
      </w:tr>
      <w:tr w:rsidR="00DF5267" w:rsidRPr="00152AF1" w14:paraId="6AD9A0F1"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292F9DA" w14:textId="55BF0F31" w:rsidR="00DF5267"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79D94F67" w14:textId="0E5D5357"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Berries and other small fruits</w:t>
            </w:r>
          </w:p>
        </w:tc>
        <w:tc>
          <w:tcPr>
            <w:tcW w:w="0" w:type="auto"/>
            <w:noWrap/>
            <w:vAlign w:val="center"/>
          </w:tcPr>
          <w:p w14:paraId="20C812D0"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6867AB9" w14:textId="5009A2D5"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601ED7C8" w14:textId="700C0CAC"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1A4905ED" w14:textId="080478F4"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526</w:t>
            </w:r>
          </w:p>
        </w:tc>
        <w:tc>
          <w:tcPr>
            <w:tcW w:w="0" w:type="auto"/>
            <w:noWrap/>
            <w:vAlign w:val="bottom"/>
            <w:hideMark/>
          </w:tcPr>
          <w:p w14:paraId="7E7508A5" w14:textId="6AD32BF5"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166</w:t>
            </w:r>
          </w:p>
        </w:tc>
      </w:tr>
      <w:tr w:rsidR="00DF5267" w:rsidRPr="00152AF1" w14:paraId="58D419B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C7D6264" w14:textId="28ECF976" w:rsidR="00DF5267"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3A003942" w14:textId="71922333"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Citrus fruits</w:t>
            </w:r>
          </w:p>
        </w:tc>
        <w:tc>
          <w:tcPr>
            <w:tcW w:w="0" w:type="auto"/>
            <w:noWrap/>
            <w:vAlign w:val="center"/>
          </w:tcPr>
          <w:p w14:paraId="35A16E9F"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D1D94D8" w14:textId="3789B00F"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42E3D618" w14:textId="3CC8AAEA"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39993654" w14:textId="49C61C04"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354</w:t>
            </w:r>
          </w:p>
        </w:tc>
        <w:tc>
          <w:tcPr>
            <w:tcW w:w="0" w:type="auto"/>
            <w:noWrap/>
            <w:vAlign w:val="bottom"/>
            <w:hideMark/>
          </w:tcPr>
          <w:p w14:paraId="45C605AA" w14:textId="03FC72A0"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129</w:t>
            </w:r>
          </w:p>
        </w:tc>
      </w:tr>
      <w:tr w:rsidR="00DF5267" w:rsidRPr="00152AF1" w14:paraId="644452FA"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3D3AFCB" w14:textId="517ECD0C" w:rsidR="00DF5267"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5BEC0601" w14:textId="1623AC35" w:rsidR="00DF5267" w:rsidRPr="00AD5E37" w:rsidRDefault="00DF5267" w:rsidP="0041065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Pome fruits</w:t>
            </w:r>
          </w:p>
        </w:tc>
        <w:tc>
          <w:tcPr>
            <w:tcW w:w="0" w:type="auto"/>
            <w:noWrap/>
            <w:vAlign w:val="center"/>
          </w:tcPr>
          <w:p w14:paraId="08AF43DC" w14:textId="77777777" w:rsidR="00DF5267" w:rsidRPr="00152AF1"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6CB0D30" w14:textId="7878C122"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7,467</w:t>
            </w:r>
          </w:p>
        </w:tc>
        <w:tc>
          <w:tcPr>
            <w:tcW w:w="0" w:type="auto"/>
            <w:noWrap/>
            <w:vAlign w:val="bottom"/>
          </w:tcPr>
          <w:p w14:paraId="76C5C21A" w14:textId="5938C0DF"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3,733</w:t>
            </w:r>
          </w:p>
        </w:tc>
        <w:tc>
          <w:tcPr>
            <w:tcW w:w="0" w:type="auto"/>
            <w:noWrap/>
            <w:vAlign w:val="bottom"/>
            <w:hideMark/>
          </w:tcPr>
          <w:p w14:paraId="1BB44D38" w14:textId="0D6E44D8"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321</w:t>
            </w:r>
          </w:p>
        </w:tc>
        <w:tc>
          <w:tcPr>
            <w:tcW w:w="0" w:type="auto"/>
            <w:noWrap/>
            <w:vAlign w:val="bottom"/>
            <w:hideMark/>
          </w:tcPr>
          <w:p w14:paraId="6F0314DD" w14:textId="5ADDA696" w:rsidR="00DF5267" w:rsidRPr="00DF5267" w:rsidRDefault="00DF5267" w:rsidP="0041065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147</w:t>
            </w:r>
          </w:p>
        </w:tc>
      </w:tr>
      <w:tr w:rsidR="00DF5267" w:rsidRPr="00152AF1" w14:paraId="3FC40194"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30B4703" w14:textId="669D8133" w:rsidR="00DF5267" w:rsidRDefault="00DF5267" w:rsidP="00410657">
            <w:pPr>
              <w:spacing w:line="240" w:lineRule="auto"/>
              <w:contextualSpacing/>
              <w:jc w:val="right"/>
              <w:rPr>
                <w:rFonts w:eastAsia="Times New Roman" w:cs="Arial"/>
                <w:b w:val="0"/>
                <w:color w:val="000000"/>
                <w:sz w:val="18"/>
                <w:szCs w:val="18"/>
                <w:lang w:eastAsia="en-GB"/>
              </w:rPr>
            </w:pPr>
          </w:p>
        </w:tc>
        <w:tc>
          <w:tcPr>
            <w:tcW w:w="0" w:type="auto"/>
            <w:noWrap/>
            <w:vAlign w:val="center"/>
            <w:hideMark/>
          </w:tcPr>
          <w:p w14:paraId="2C3021DB" w14:textId="0C724091" w:rsidR="00DF5267" w:rsidRPr="00AD5E37" w:rsidRDefault="00DF5267" w:rsidP="0041065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Tropical fruit - edible peel</w:t>
            </w:r>
          </w:p>
        </w:tc>
        <w:tc>
          <w:tcPr>
            <w:tcW w:w="0" w:type="auto"/>
            <w:noWrap/>
            <w:vAlign w:val="center"/>
          </w:tcPr>
          <w:p w14:paraId="4D8F8AA7" w14:textId="77777777" w:rsidR="00DF5267" w:rsidRPr="00152AF1"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6C6F612" w14:textId="0AEB2955"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22,400</w:t>
            </w:r>
          </w:p>
        </w:tc>
        <w:tc>
          <w:tcPr>
            <w:tcW w:w="0" w:type="auto"/>
            <w:noWrap/>
            <w:vAlign w:val="bottom"/>
          </w:tcPr>
          <w:p w14:paraId="69DADC5D" w14:textId="7EC3EE0A"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11,200</w:t>
            </w:r>
          </w:p>
        </w:tc>
        <w:tc>
          <w:tcPr>
            <w:tcW w:w="0" w:type="auto"/>
            <w:noWrap/>
            <w:vAlign w:val="bottom"/>
            <w:hideMark/>
          </w:tcPr>
          <w:p w14:paraId="0C44D519" w14:textId="57E51855"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10</w:t>
            </w:r>
          </w:p>
        </w:tc>
        <w:tc>
          <w:tcPr>
            <w:tcW w:w="0" w:type="auto"/>
            <w:noWrap/>
            <w:vAlign w:val="bottom"/>
            <w:hideMark/>
          </w:tcPr>
          <w:p w14:paraId="47AFD67B" w14:textId="4DBA15BB" w:rsidR="00DF5267" w:rsidRPr="00DF5267" w:rsidRDefault="00DF5267" w:rsidP="0041065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F5267">
              <w:rPr>
                <w:rFonts w:cs="Arial"/>
                <w:color w:val="000000"/>
                <w:sz w:val="18"/>
                <w:szCs w:val="18"/>
              </w:rPr>
              <w:t>5</w:t>
            </w:r>
          </w:p>
        </w:tc>
      </w:tr>
    </w:tbl>
    <w:p w14:paraId="2580FC5E" w14:textId="62B3A4F8" w:rsidR="008A4D2C" w:rsidRPr="008A4D2C" w:rsidRDefault="008A4D2C" w:rsidP="00E40CED">
      <w:pPr>
        <w:pStyle w:val="FSCFooter"/>
      </w:pPr>
      <w:r w:rsidRPr="008A4D2C">
        <w:t>*Consumption amounts not provided where median PFAS concentration was &lt;LOR and calculated as zero</w:t>
      </w:r>
      <w:r w:rsidR="00E40CED">
        <w:t xml:space="preserve">; </w:t>
      </w:r>
      <w:r w:rsidRPr="008A4D2C">
        <w:t>- insufficient consumers to derive P90 consumption</w:t>
      </w:r>
    </w:p>
    <w:p w14:paraId="4DE56007" w14:textId="6C887185" w:rsidR="001A2CD0" w:rsidRDefault="001A2CD0">
      <w:pPr>
        <w:rPr>
          <w:lang w:eastAsia="en-AU"/>
        </w:rPr>
      </w:pPr>
      <w:r>
        <w:rPr>
          <w:lang w:eastAsia="en-AU"/>
        </w:rPr>
        <w:br w:type="page"/>
      </w:r>
    </w:p>
    <w:p w14:paraId="5AECA2A0" w14:textId="611B0951" w:rsidR="00544A77" w:rsidRPr="00984802" w:rsidRDefault="00544A77" w:rsidP="00984802">
      <w:pPr>
        <w:pStyle w:val="FSTableColumnRowheading"/>
      </w:pPr>
      <w:bookmarkStart w:id="222" w:name="_Ref473883546"/>
      <w:bookmarkStart w:id="223" w:name="_Toc474153727"/>
      <w:bookmarkStart w:id="224" w:name="_Toc474158919"/>
      <w:bookmarkStart w:id="225" w:name="_Toc474847879"/>
      <w:bookmarkStart w:id="226" w:name="_Toc474852119"/>
      <w:r w:rsidRPr="00984802">
        <w:lastRenderedPageBreak/>
        <w:t>Amount of food* (grams</w:t>
      </w:r>
      <w:r w:rsidR="00AC5A9F" w:rsidRPr="00984802">
        <w:t>/day</w:t>
      </w:r>
      <w:r w:rsidRPr="00984802">
        <w:t>) at median PFOA concentration to reach the TDI for the population aged 2-6 years</w:t>
      </w:r>
      <w:bookmarkEnd w:id="222"/>
      <w:bookmarkEnd w:id="223"/>
      <w:bookmarkEnd w:id="224"/>
      <w:bookmarkEnd w:id="225"/>
      <w:bookmarkEnd w:id="226"/>
      <w:r w:rsidRPr="00984802">
        <w:t xml:space="preserve"> </w:t>
      </w:r>
    </w:p>
    <w:tbl>
      <w:tblPr>
        <w:tblStyle w:val="LightList-Accent1"/>
        <w:tblW w:w="0" w:type="auto"/>
        <w:tblLook w:val="04A0" w:firstRow="1" w:lastRow="0" w:firstColumn="1" w:lastColumn="0" w:noHBand="0" w:noVBand="1"/>
      </w:tblPr>
      <w:tblGrid>
        <w:gridCol w:w="1910"/>
        <w:gridCol w:w="2509"/>
        <w:gridCol w:w="1842"/>
        <w:gridCol w:w="1899"/>
        <w:gridCol w:w="1828"/>
        <w:gridCol w:w="2045"/>
        <w:gridCol w:w="2185"/>
      </w:tblGrid>
      <w:tr w:rsidR="00AD5E37" w:rsidRPr="00497529" w14:paraId="73722E82"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B478EA0" w14:textId="16420F86" w:rsidR="00AD5E37" w:rsidRPr="00497529" w:rsidRDefault="00AD5E37" w:rsidP="0092375E">
            <w:pPr>
              <w:contextualSpacing/>
              <w:rPr>
                <w:rFonts w:eastAsia="Times New Roman" w:cs="Arial"/>
                <w:sz w:val="18"/>
                <w:szCs w:val="18"/>
                <w:lang w:eastAsia="en-GB"/>
              </w:rPr>
            </w:pPr>
            <w:r w:rsidRPr="003C03A1">
              <w:rPr>
                <w:rFonts w:eastAsia="Times New Roman" w:cs="Arial"/>
                <w:sz w:val="18"/>
                <w:szCs w:val="18"/>
                <w:lang w:eastAsia="en-GB"/>
              </w:rPr>
              <w:t xml:space="preserve">Food </w:t>
            </w:r>
            <w:r w:rsidR="0092375E">
              <w:rPr>
                <w:rFonts w:eastAsia="Times New Roman" w:cs="Arial"/>
                <w:sz w:val="18"/>
                <w:szCs w:val="18"/>
                <w:lang w:eastAsia="en-GB"/>
              </w:rPr>
              <w:t>category</w:t>
            </w:r>
          </w:p>
        </w:tc>
        <w:tc>
          <w:tcPr>
            <w:tcW w:w="0" w:type="auto"/>
            <w:vMerge w:val="restart"/>
            <w:vAlign w:val="center"/>
          </w:tcPr>
          <w:p w14:paraId="4327B5C2" w14:textId="1D3C3EF2"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classification</w:t>
            </w:r>
          </w:p>
        </w:tc>
        <w:tc>
          <w:tcPr>
            <w:tcW w:w="0" w:type="auto"/>
            <w:gridSpan w:val="3"/>
            <w:vAlign w:val="center"/>
          </w:tcPr>
          <w:p w14:paraId="6574A0F3" w14:textId="5F7F17EF"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Amount of food that can be consumed before reaching PFOA TDI</w:t>
            </w:r>
          </w:p>
        </w:tc>
        <w:tc>
          <w:tcPr>
            <w:tcW w:w="0" w:type="auto"/>
            <w:gridSpan w:val="2"/>
            <w:vAlign w:val="center"/>
          </w:tcPr>
          <w:p w14:paraId="464F8370" w14:textId="77777777"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consumption derived from 2011-12 NNPAS</w:t>
            </w:r>
          </w:p>
        </w:tc>
      </w:tr>
      <w:tr w:rsidR="00AD5E37" w:rsidRPr="00F420C3" w14:paraId="29965D10" w14:textId="77777777" w:rsidTr="00AD5E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C294813" w14:textId="6BAF5C3E" w:rsidR="00AD5E37" w:rsidRPr="00F420C3" w:rsidRDefault="00AD5E37" w:rsidP="00E40CED">
            <w:pPr>
              <w:spacing w:after="0" w:line="240" w:lineRule="auto"/>
              <w:contextualSpacing/>
              <w:jc w:val="center"/>
              <w:rPr>
                <w:rFonts w:eastAsia="Times New Roman" w:cs="Arial"/>
                <w:color w:val="000000"/>
                <w:sz w:val="18"/>
                <w:szCs w:val="18"/>
                <w:lang w:eastAsia="en-GB"/>
              </w:rPr>
            </w:pPr>
          </w:p>
        </w:tc>
        <w:tc>
          <w:tcPr>
            <w:tcW w:w="0" w:type="auto"/>
            <w:vMerge/>
            <w:vAlign w:val="center"/>
            <w:hideMark/>
          </w:tcPr>
          <w:p w14:paraId="7E6F34B9" w14:textId="0884DD45" w:rsidR="00AD5E37" w:rsidRPr="00AD5E37" w:rsidRDefault="00AD5E3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p>
        </w:tc>
        <w:tc>
          <w:tcPr>
            <w:tcW w:w="0" w:type="auto"/>
            <w:vAlign w:val="center"/>
          </w:tcPr>
          <w:p w14:paraId="0B469505" w14:textId="77777777" w:rsidR="00AD5E37" w:rsidRPr="00F420C3" w:rsidRDefault="00AD5E3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Lower Bound</w:t>
            </w:r>
          </w:p>
        </w:tc>
        <w:tc>
          <w:tcPr>
            <w:tcW w:w="0" w:type="auto"/>
            <w:vAlign w:val="center"/>
          </w:tcPr>
          <w:p w14:paraId="2DCFA561" w14:textId="77777777" w:rsidR="00AD5E37" w:rsidRPr="00F420C3" w:rsidRDefault="00AD5E3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Middle Bound</w:t>
            </w:r>
          </w:p>
        </w:tc>
        <w:tc>
          <w:tcPr>
            <w:tcW w:w="0" w:type="auto"/>
            <w:vAlign w:val="center"/>
          </w:tcPr>
          <w:p w14:paraId="1208356F" w14:textId="77777777" w:rsidR="00AD5E37" w:rsidRPr="00F420C3" w:rsidRDefault="00AD5E3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Upper Bound</w:t>
            </w:r>
          </w:p>
        </w:tc>
        <w:tc>
          <w:tcPr>
            <w:tcW w:w="0" w:type="auto"/>
            <w:vAlign w:val="center"/>
            <w:hideMark/>
          </w:tcPr>
          <w:p w14:paraId="5FF6A9D5" w14:textId="77777777" w:rsidR="00AD5E37" w:rsidRPr="00F420C3" w:rsidRDefault="00AD5E3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P90 consumers only</w:t>
            </w:r>
          </w:p>
        </w:tc>
        <w:tc>
          <w:tcPr>
            <w:tcW w:w="0" w:type="auto"/>
            <w:vAlign w:val="center"/>
            <w:hideMark/>
          </w:tcPr>
          <w:p w14:paraId="14DE274C" w14:textId="77777777" w:rsidR="00AD5E37" w:rsidRPr="00F420C3" w:rsidRDefault="00AD5E3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Mean consumers only</w:t>
            </w:r>
          </w:p>
        </w:tc>
      </w:tr>
      <w:tr w:rsidR="00D9776D" w:rsidRPr="00F420C3" w14:paraId="40B38F8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9378FFB" w14:textId="77777777" w:rsidR="00D9776D" w:rsidRPr="00F420C3" w:rsidRDefault="00D9776D" w:rsidP="00E40CED">
            <w:pPr>
              <w:spacing w:after="0"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Fish and seafood</w:t>
            </w:r>
          </w:p>
          <w:p w14:paraId="45B4229D" w14:textId="6F1EA756"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087CE91C" w14:textId="2338662A" w:rsidR="00D9776D" w:rsidRPr="00A44E86" w:rsidRDefault="00D9776D" w:rsidP="00E40C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44E86">
              <w:rPr>
                <w:rFonts w:eastAsia="Times New Roman" w:cs="Arial"/>
                <w:i/>
                <w:color w:val="000000"/>
                <w:sz w:val="18"/>
                <w:szCs w:val="18"/>
                <w:lang w:eastAsia="en-GB"/>
              </w:rPr>
              <w:t>Crustaceans of all species</w:t>
            </w:r>
          </w:p>
        </w:tc>
        <w:tc>
          <w:tcPr>
            <w:tcW w:w="0" w:type="auto"/>
            <w:noWrap/>
            <w:vAlign w:val="center"/>
          </w:tcPr>
          <w:p w14:paraId="3B0796C9" w14:textId="482A9068"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D307F07" w14:textId="0A90BC5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20,267</w:t>
            </w:r>
          </w:p>
        </w:tc>
        <w:tc>
          <w:tcPr>
            <w:tcW w:w="0" w:type="auto"/>
            <w:noWrap/>
            <w:vAlign w:val="bottom"/>
          </w:tcPr>
          <w:p w14:paraId="3885F97F" w14:textId="4E2CDFA3"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10,133</w:t>
            </w:r>
          </w:p>
        </w:tc>
        <w:tc>
          <w:tcPr>
            <w:tcW w:w="0" w:type="auto"/>
            <w:noWrap/>
            <w:vAlign w:val="bottom"/>
          </w:tcPr>
          <w:p w14:paraId="06C161B2" w14:textId="652F73AB"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21</w:t>
            </w:r>
          </w:p>
        </w:tc>
        <w:tc>
          <w:tcPr>
            <w:tcW w:w="0" w:type="auto"/>
            <w:noWrap/>
            <w:vAlign w:val="bottom"/>
          </w:tcPr>
          <w:p w14:paraId="43CD9400" w14:textId="76246535"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8</w:t>
            </w:r>
          </w:p>
        </w:tc>
      </w:tr>
      <w:tr w:rsidR="00D9776D" w:rsidRPr="00F420C3" w14:paraId="737BC4EE"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E67FFEE" w14:textId="5B3668A9" w:rsidR="00D9776D" w:rsidRPr="00F420C3" w:rsidRDefault="00D9776D" w:rsidP="00E40CED">
            <w:pPr>
              <w:spacing w:after="0" w:line="240" w:lineRule="auto"/>
              <w:contextualSpacing/>
              <w:rPr>
                <w:rFonts w:cs="Arial"/>
                <w:b w:val="0"/>
                <w:color w:val="000000"/>
                <w:sz w:val="18"/>
                <w:szCs w:val="18"/>
              </w:rPr>
            </w:pPr>
          </w:p>
        </w:tc>
        <w:tc>
          <w:tcPr>
            <w:tcW w:w="0" w:type="auto"/>
            <w:noWrap/>
            <w:vAlign w:val="center"/>
            <w:hideMark/>
          </w:tcPr>
          <w:p w14:paraId="43960B7B" w14:textId="6EA3D67A" w:rsidR="00D9776D" w:rsidRPr="00A44E86" w:rsidRDefault="00D9776D" w:rsidP="00E40C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A44E86">
              <w:rPr>
                <w:rFonts w:cs="Arial"/>
                <w:i/>
                <w:color w:val="000000"/>
                <w:sz w:val="18"/>
                <w:szCs w:val="18"/>
              </w:rPr>
              <w:t>Finfish (all)</w:t>
            </w:r>
          </w:p>
        </w:tc>
        <w:tc>
          <w:tcPr>
            <w:tcW w:w="0" w:type="auto"/>
            <w:noWrap/>
            <w:vAlign w:val="center"/>
          </w:tcPr>
          <w:p w14:paraId="6E433490"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3447213" w14:textId="08A17FE5"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20,267</w:t>
            </w:r>
          </w:p>
        </w:tc>
        <w:tc>
          <w:tcPr>
            <w:tcW w:w="0" w:type="auto"/>
            <w:noWrap/>
            <w:vAlign w:val="bottom"/>
          </w:tcPr>
          <w:p w14:paraId="13D8FCD3" w14:textId="3776E766"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10,133</w:t>
            </w:r>
          </w:p>
        </w:tc>
        <w:tc>
          <w:tcPr>
            <w:tcW w:w="0" w:type="auto"/>
            <w:noWrap/>
            <w:vAlign w:val="bottom"/>
          </w:tcPr>
          <w:p w14:paraId="0667EDCB" w14:textId="781FFCF6" w:rsidR="00D9776D" w:rsidRPr="00D9776D" w:rsidRDefault="00B4252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73</w:t>
            </w:r>
          </w:p>
        </w:tc>
        <w:tc>
          <w:tcPr>
            <w:tcW w:w="0" w:type="auto"/>
            <w:noWrap/>
            <w:vAlign w:val="bottom"/>
          </w:tcPr>
          <w:p w14:paraId="5C1A2EA1" w14:textId="009C1F16" w:rsidR="00D9776D" w:rsidRPr="00D9776D" w:rsidRDefault="00B4252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w:t>
            </w:r>
          </w:p>
        </w:tc>
      </w:tr>
      <w:tr w:rsidR="00D9776D" w:rsidRPr="00F420C3" w14:paraId="10A9BCA2"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DA3D3D4" w14:textId="1E41B187"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6E3ED49F" w14:textId="27CAE444"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D5E37">
              <w:rPr>
                <w:rFonts w:eastAsia="Times New Roman" w:cs="Arial"/>
                <w:color w:val="000000"/>
                <w:sz w:val="18"/>
                <w:szCs w:val="18"/>
                <w:lang w:eastAsia="en-GB"/>
              </w:rPr>
              <w:t>Diadromous</w:t>
            </w:r>
            <w:proofErr w:type="spellEnd"/>
            <w:r w:rsidRPr="00AD5E37">
              <w:rPr>
                <w:rFonts w:eastAsia="Times New Roman" w:cs="Arial"/>
                <w:color w:val="000000"/>
                <w:sz w:val="18"/>
                <w:szCs w:val="18"/>
                <w:lang w:eastAsia="en-GB"/>
              </w:rPr>
              <w:t xml:space="preserve"> fish</w:t>
            </w:r>
          </w:p>
        </w:tc>
        <w:tc>
          <w:tcPr>
            <w:tcW w:w="0" w:type="auto"/>
            <w:noWrap/>
            <w:vAlign w:val="center"/>
          </w:tcPr>
          <w:p w14:paraId="7B6FC2D5"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99254F3" w14:textId="1C6FCFD1"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20,267</w:t>
            </w:r>
          </w:p>
        </w:tc>
        <w:tc>
          <w:tcPr>
            <w:tcW w:w="0" w:type="auto"/>
            <w:noWrap/>
            <w:vAlign w:val="bottom"/>
          </w:tcPr>
          <w:p w14:paraId="4DD1B396" w14:textId="551B2614"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10,133</w:t>
            </w:r>
          </w:p>
        </w:tc>
        <w:tc>
          <w:tcPr>
            <w:tcW w:w="0" w:type="auto"/>
            <w:noWrap/>
            <w:vAlign w:val="bottom"/>
          </w:tcPr>
          <w:p w14:paraId="00E35C02" w14:textId="0289DB6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60</w:t>
            </w:r>
          </w:p>
        </w:tc>
        <w:tc>
          <w:tcPr>
            <w:tcW w:w="0" w:type="auto"/>
            <w:noWrap/>
            <w:vAlign w:val="bottom"/>
          </w:tcPr>
          <w:p w14:paraId="2D4D7C63" w14:textId="68EA3B9B"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34</w:t>
            </w:r>
          </w:p>
        </w:tc>
      </w:tr>
      <w:tr w:rsidR="00D9776D" w:rsidRPr="00F420C3" w14:paraId="07BF38DB"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CAEA8E0" w14:textId="28454A98"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5AB64996" w14:textId="592D5F52"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Freshwater fish</w:t>
            </w:r>
          </w:p>
        </w:tc>
        <w:tc>
          <w:tcPr>
            <w:tcW w:w="0" w:type="auto"/>
            <w:noWrap/>
            <w:vAlign w:val="center"/>
          </w:tcPr>
          <w:p w14:paraId="1E31E090"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A80C71B" w14:textId="2A235ADA"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20,267</w:t>
            </w:r>
          </w:p>
        </w:tc>
        <w:tc>
          <w:tcPr>
            <w:tcW w:w="0" w:type="auto"/>
            <w:noWrap/>
            <w:vAlign w:val="bottom"/>
          </w:tcPr>
          <w:p w14:paraId="39634BFF" w14:textId="0C929F1B"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10,133</w:t>
            </w:r>
          </w:p>
        </w:tc>
        <w:tc>
          <w:tcPr>
            <w:tcW w:w="0" w:type="auto"/>
            <w:noWrap/>
            <w:vAlign w:val="bottom"/>
          </w:tcPr>
          <w:p w14:paraId="316752C6" w14:textId="2EBADD28"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72</w:t>
            </w:r>
          </w:p>
        </w:tc>
        <w:tc>
          <w:tcPr>
            <w:tcW w:w="0" w:type="auto"/>
            <w:noWrap/>
            <w:vAlign w:val="bottom"/>
          </w:tcPr>
          <w:p w14:paraId="63DF474D" w14:textId="4154FFB1"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28</w:t>
            </w:r>
          </w:p>
        </w:tc>
      </w:tr>
      <w:tr w:rsidR="00D9776D" w:rsidRPr="00F420C3" w14:paraId="7E45B83C"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36E5C35" w14:textId="2346EEAF"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4DF4E1E7" w14:textId="3D68AAD4"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Marine fish of all species</w:t>
            </w:r>
          </w:p>
        </w:tc>
        <w:tc>
          <w:tcPr>
            <w:tcW w:w="0" w:type="auto"/>
            <w:noWrap/>
            <w:vAlign w:val="center"/>
          </w:tcPr>
          <w:p w14:paraId="468B4B89"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8DDA0D5" w14:textId="1B54E823"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20,267</w:t>
            </w:r>
          </w:p>
        </w:tc>
        <w:tc>
          <w:tcPr>
            <w:tcW w:w="0" w:type="auto"/>
            <w:noWrap/>
            <w:vAlign w:val="bottom"/>
          </w:tcPr>
          <w:p w14:paraId="196FF1F5" w14:textId="56E781F0"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10,133</w:t>
            </w:r>
          </w:p>
        </w:tc>
        <w:tc>
          <w:tcPr>
            <w:tcW w:w="0" w:type="auto"/>
            <w:noWrap/>
            <w:vAlign w:val="bottom"/>
          </w:tcPr>
          <w:p w14:paraId="76A21107" w14:textId="21E1FC6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40</w:t>
            </w:r>
          </w:p>
        </w:tc>
        <w:tc>
          <w:tcPr>
            <w:tcW w:w="0" w:type="auto"/>
            <w:noWrap/>
            <w:vAlign w:val="bottom"/>
          </w:tcPr>
          <w:p w14:paraId="42742F41" w14:textId="34F4BF0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w:t>
            </w:r>
          </w:p>
        </w:tc>
      </w:tr>
      <w:tr w:rsidR="00D9776D" w:rsidRPr="00F420C3" w14:paraId="1D3E4BEC"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2EF06F4" w14:textId="401877AC" w:rsidR="00D9776D" w:rsidRPr="003C03A1" w:rsidRDefault="00D9776D" w:rsidP="00E40CED">
            <w:pPr>
              <w:spacing w:after="0" w:line="240" w:lineRule="auto"/>
              <w:contextualSpacing/>
              <w:rPr>
                <w:rFonts w:eastAsia="Times New Roman" w:cs="Arial"/>
                <w:color w:val="000000"/>
                <w:sz w:val="18"/>
                <w:szCs w:val="18"/>
                <w:lang w:eastAsia="en-GB"/>
              </w:rPr>
            </w:pPr>
          </w:p>
        </w:tc>
        <w:tc>
          <w:tcPr>
            <w:tcW w:w="0" w:type="auto"/>
            <w:noWrap/>
            <w:vAlign w:val="center"/>
          </w:tcPr>
          <w:p w14:paraId="46EA7C3B" w14:textId="331CC9BA" w:rsidR="00D9776D" w:rsidRPr="00A44E86" w:rsidRDefault="00D9776D" w:rsidP="00E40C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A44E86">
              <w:rPr>
                <w:rFonts w:eastAsia="Times New Roman" w:cs="Arial"/>
                <w:i/>
                <w:color w:val="000000"/>
                <w:sz w:val="18"/>
                <w:szCs w:val="18"/>
                <w:lang w:eastAsia="en-GB"/>
              </w:rPr>
              <w:t>Molluscs</w:t>
            </w:r>
          </w:p>
        </w:tc>
        <w:tc>
          <w:tcPr>
            <w:tcW w:w="0" w:type="auto"/>
            <w:noWrap/>
            <w:vAlign w:val="center"/>
          </w:tcPr>
          <w:p w14:paraId="2CACC91D"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BAC23AA" w14:textId="60BC4C45"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9776D">
              <w:rPr>
                <w:rFonts w:cs="Arial"/>
                <w:color w:val="000000"/>
                <w:sz w:val="18"/>
                <w:szCs w:val="18"/>
              </w:rPr>
              <w:t>14,140</w:t>
            </w:r>
          </w:p>
        </w:tc>
        <w:tc>
          <w:tcPr>
            <w:tcW w:w="0" w:type="auto"/>
            <w:noWrap/>
            <w:vAlign w:val="bottom"/>
          </w:tcPr>
          <w:p w14:paraId="15E13190" w14:textId="10A6E6D6"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9776D">
              <w:rPr>
                <w:rFonts w:cs="Arial"/>
                <w:color w:val="000000"/>
                <w:sz w:val="18"/>
                <w:szCs w:val="18"/>
              </w:rPr>
              <w:t>10,133</w:t>
            </w:r>
          </w:p>
        </w:tc>
        <w:tc>
          <w:tcPr>
            <w:tcW w:w="0" w:type="auto"/>
            <w:noWrap/>
            <w:vAlign w:val="bottom"/>
          </w:tcPr>
          <w:p w14:paraId="7B371E13" w14:textId="02FF6D93"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4</w:t>
            </w:r>
          </w:p>
        </w:tc>
        <w:tc>
          <w:tcPr>
            <w:tcW w:w="0" w:type="auto"/>
            <w:noWrap/>
            <w:vAlign w:val="bottom"/>
          </w:tcPr>
          <w:p w14:paraId="0C89CB06" w14:textId="5DEC81BE"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w:t>
            </w:r>
          </w:p>
        </w:tc>
      </w:tr>
      <w:tr w:rsidR="00D9776D" w:rsidRPr="00F420C3" w14:paraId="3A6B800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B381199" w14:textId="200A6176" w:rsidR="00D9776D" w:rsidRPr="00F420C3" w:rsidRDefault="00D9776D" w:rsidP="00E40CED">
            <w:pPr>
              <w:spacing w:after="0" w:line="240" w:lineRule="auto"/>
              <w:contextualSpacing/>
              <w:rPr>
                <w:rFonts w:eastAsia="Times New Roman" w:cs="Arial"/>
                <w:b w:val="0"/>
                <w:color w:val="000000"/>
                <w:sz w:val="18"/>
                <w:szCs w:val="18"/>
                <w:lang w:eastAsia="en-GB"/>
              </w:rPr>
            </w:pPr>
            <w:r w:rsidRPr="003C03A1">
              <w:rPr>
                <w:rFonts w:eastAsia="Times New Roman" w:cs="Arial"/>
                <w:color w:val="000000"/>
                <w:sz w:val="18"/>
                <w:szCs w:val="18"/>
                <w:lang w:eastAsia="en-GB"/>
              </w:rPr>
              <w:t>Animal products</w:t>
            </w:r>
          </w:p>
        </w:tc>
        <w:tc>
          <w:tcPr>
            <w:tcW w:w="0" w:type="auto"/>
            <w:noWrap/>
            <w:vAlign w:val="center"/>
            <w:hideMark/>
          </w:tcPr>
          <w:p w14:paraId="5B1B9066" w14:textId="5D647CAB" w:rsidR="00D9776D" w:rsidRPr="00A44E86" w:rsidRDefault="00D9776D" w:rsidP="00E40C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44E86">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0" w:type="auto"/>
            <w:noWrap/>
            <w:vAlign w:val="center"/>
          </w:tcPr>
          <w:p w14:paraId="4B7F76CA" w14:textId="114E7508"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3FD0623" w14:textId="7AE5F7CB" w:rsidR="00D9776D" w:rsidRPr="00D9776D" w:rsidRDefault="00D9776D" w:rsidP="00AB6296">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145,920</w:t>
            </w:r>
          </w:p>
        </w:tc>
        <w:tc>
          <w:tcPr>
            <w:tcW w:w="0" w:type="auto"/>
            <w:noWrap/>
            <w:vAlign w:val="bottom"/>
          </w:tcPr>
          <w:p w14:paraId="4CE155FD" w14:textId="2DB1C665" w:rsidR="00D9776D" w:rsidRPr="00D9776D" w:rsidRDefault="00D9776D" w:rsidP="00AB6296">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72,960</w:t>
            </w:r>
          </w:p>
        </w:tc>
        <w:tc>
          <w:tcPr>
            <w:tcW w:w="0" w:type="auto"/>
            <w:noWrap/>
            <w:vAlign w:val="bottom"/>
          </w:tcPr>
          <w:p w14:paraId="7BACACB0" w14:textId="18FE3672"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108</w:t>
            </w:r>
          </w:p>
        </w:tc>
        <w:tc>
          <w:tcPr>
            <w:tcW w:w="0" w:type="auto"/>
            <w:noWrap/>
            <w:vAlign w:val="bottom"/>
          </w:tcPr>
          <w:p w14:paraId="2A69DDB7" w14:textId="7C6E3939"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47</w:t>
            </w:r>
          </w:p>
        </w:tc>
      </w:tr>
      <w:tr w:rsidR="00D9776D" w:rsidRPr="00F420C3" w14:paraId="507F70E5"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92990A4"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hideMark/>
          </w:tcPr>
          <w:p w14:paraId="491BA8D8" w14:textId="2E8B1822"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meat</w:t>
            </w:r>
          </w:p>
        </w:tc>
        <w:tc>
          <w:tcPr>
            <w:tcW w:w="0" w:type="auto"/>
            <w:noWrap/>
            <w:vAlign w:val="center"/>
          </w:tcPr>
          <w:p w14:paraId="45293C90" w14:textId="6603D2CE"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A052ED6" w14:textId="4775C146" w:rsidR="00D9776D" w:rsidRPr="00D9776D" w:rsidRDefault="00AB6296"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121600</w:t>
            </w:r>
          </w:p>
        </w:tc>
        <w:tc>
          <w:tcPr>
            <w:tcW w:w="0" w:type="auto"/>
            <w:noWrap/>
            <w:vAlign w:val="bottom"/>
          </w:tcPr>
          <w:p w14:paraId="13E2AF5F" w14:textId="4D62EB03" w:rsidR="00D9776D" w:rsidRPr="00D9776D" w:rsidRDefault="00D9776D" w:rsidP="00AB6296">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72,960</w:t>
            </w:r>
          </w:p>
        </w:tc>
        <w:tc>
          <w:tcPr>
            <w:tcW w:w="0" w:type="auto"/>
            <w:noWrap/>
            <w:vAlign w:val="bottom"/>
          </w:tcPr>
          <w:p w14:paraId="7A6E8B00" w14:textId="3B2B7B96"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85</w:t>
            </w:r>
          </w:p>
        </w:tc>
        <w:tc>
          <w:tcPr>
            <w:tcW w:w="0" w:type="auto"/>
            <w:noWrap/>
            <w:vAlign w:val="bottom"/>
          </w:tcPr>
          <w:p w14:paraId="7DD787BE" w14:textId="094E2612"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33</w:t>
            </w:r>
          </w:p>
        </w:tc>
      </w:tr>
      <w:tr w:rsidR="00D9776D" w:rsidRPr="00F420C3" w14:paraId="0A7C6629"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13316F4"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hideMark/>
          </w:tcPr>
          <w:p w14:paraId="441AD82F" w14:textId="5EB0016A"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meat</w:t>
            </w:r>
          </w:p>
        </w:tc>
        <w:tc>
          <w:tcPr>
            <w:tcW w:w="0" w:type="auto"/>
            <w:noWrap/>
            <w:vAlign w:val="center"/>
          </w:tcPr>
          <w:p w14:paraId="54E4587E" w14:textId="5DB80295"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723B64F" w14:textId="159A7374"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145,920</w:t>
            </w:r>
          </w:p>
        </w:tc>
        <w:tc>
          <w:tcPr>
            <w:tcW w:w="0" w:type="auto"/>
            <w:noWrap/>
            <w:vAlign w:val="bottom"/>
          </w:tcPr>
          <w:p w14:paraId="1015DB0E" w14:textId="365B6B12"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72,960</w:t>
            </w:r>
          </w:p>
        </w:tc>
        <w:tc>
          <w:tcPr>
            <w:tcW w:w="0" w:type="auto"/>
            <w:noWrap/>
            <w:vAlign w:val="bottom"/>
          </w:tcPr>
          <w:p w14:paraId="31816035" w14:textId="3F3DFAB0"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36</w:t>
            </w:r>
          </w:p>
        </w:tc>
        <w:tc>
          <w:tcPr>
            <w:tcW w:w="0" w:type="auto"/>
            <w:noWrap/>
            <w:vAlign w:val="bottom"/>
          </w:tcPr>
          <w:p w14:paraId="4B54ACF7" w14:textId="37FF3B47"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9</w:t>
            </w:r>
          </w:p>
        </w:tc>
      </w:tr>
      <w:tr w:rsidR="00D9776D" w:rsidRPr="00F420C3" w14:paraId="03110F78"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5C3E38D" w14:textId="77777777"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tcPr>
          <w:p w14:paraId="6167F1FC" w14:textId="672F352A" w:rsidR="00D9776D" w:rsidRPr="00A44E86" w:rsidRDefault="00D9776D" w:rsidP="00E40C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A44E86">
              <w:rPr>
                <w:rFonts w:eastAsia="Times New Roman" w:cs="Arial"/>
                <w:i/>
                <w:color w:val="000000"/>
                <w:sz w:val="18"/>
                <w:szCs w:val="18"/>
                <w:lang w:eastAsia="en-GB"/>
              </w:rPr>
              <w:t>Milk (all)</w:t>
            </w:r>
          </w:p>
        </w:tc>
        <w:tc>
          <w:tcPr>
            <w:tcW w:w="0" w:type="auto"/>
            <w:noWrap/>
            <w:vAlign w:val="center"/>
          </w:tcPr>
          <w:p w14:paraId="6BBB2823"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5FFAD85" w14:textId="5B3E085E"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11,806</w:t>
            </w:r>
          </w:p>
        </w:tc>
        <w:tc>
          <w:tcPr>
            <w:tcW w:w="0" w:type="auto"/>
            <w:noWrap/>
            <w:vAlign w:val="bottom"/>
          </w:tcPr>
          <w:p w14:paraId="3CB082E3" w14:textId="5A70DDD3"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5,903</w:t>
            </w:r>
          </w:p>
        </w:tc>
        <w:tc>
          <w:tcPr>
            <w:tcW w:w="0" w:type="auto"/>
            <w:noWrap/>
            <w:vAlign w:val="bottom"/>
          </w:tcPr>
          <w:p w14:paraId="5A9A0173" w14:textId="4CE39030"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1,097</w:t>
            </w:r>
          </w:p>
        </w:tc>
        <w:tc>
          <w:tcPr>
            <w:tcW w:w="0" w:type="auto"/>
            <w:noWrap/>
            <w:vAlign w:val="bottom"/>
          </w:tcPr>
          <w:p w14:paraId="61368173" w14:textId="39B01378"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679</w:t>
            </w:r>
          </w:p>
        </w:tc>
      </w:tr>
      <w:tr w:rsidR="00D9776D" w:rsidRPr="00F420C3" w14:paraId="35EE95EF"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7E513DD"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hideMark/>
          </w:tcPr>
          <w:p w14:paraId="408B1748" w14:textId="637E1B2A"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milk</w:t>
            </w:r>
          </w:p>
        </w:tc>
        <w:tc>
          <w:tcPr>
            <w:tcW w:w="0" w:type="auto"/>
            <w:noWrap/>
            <w:vAlign w:val="center"/>
          </w:tcPr>
          <w:p w14:paraId="3308F0D6"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90C1DC0" w14:textId="7C0A2476"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11,806</w:t>
            </w:r>
          </w:p>
        </w:tc>
        <w:tc>
          <w:tcPr>
            <w:tcW w:w="0" w:type="auto"/>
            <w:noWrap/>
            <w:vAlign w:val="bottom"/>
          </w:tcPr>
          <w:p w14:paraId="60DE510C" w14:textId="415748AA"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5,903</w:t>
            </w:r>
          </w:p>
        </w:tc>
        <w:tc>
          <w:tcPr>
            <w:tcW w:w="0" w:type="auto"/>
            <w:noWrap/>
            <w:vAlign w:val="bottom"/>
          </w:tcPr>
          <w:p w14:paraId="4BD834C4" w14:textId="1C59A20B"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1,097</w:t>
            </w:r>
          </w:p>
        </w:tc>
        <w:tc>
          <w:tcPr>
            <w:tcW w:w="0" w:type="auto"/>
            <w:noWrap/>
            <w:vAlign w:val="bottom"/>
          </w:tcPr>
          <w:p w14:paraId="406D2343" w14:textId="5FF53E90"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678</w:t>
            </w:r>
          </w:p>
        </w:tc>
      </w:tr>
      <w:tr w:rsidR="00D9776D" w:rsidRPr="00F420C3" w14:paraId="45633B7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27A5A91"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hideMark/>
          </w:tcPr>
          <w:p w14:paraId="1CFACE70" w14:textId="5F595E0F"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milk</w:t>
            </w:r>
          </w:p>
        </w:tc>
        <w:tc>
          <w:tcPr>
            <w:tcW w:w="0" w:type="auto"/>
            <w:noWrap/>
            <w:vAlign w:val="center"/>
          </w:tcPr>
          <w:p w14:paraId="5CCE65A5"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51E454D" w14:textId="3F21C0F7"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11,806</w:t>
            </w:r>
          </w:p>
        </w:tc>
        <w:tc>
          <w:tcPr>
            <w:tcW w:w="0" w:type="auto"/>
            <w:noWrap/>
            <w:vAlign w:val="bottom"/>
          </w:tcPr>
          <w:p w14:paraId="25559D6D" w14:textId="1DA72EB9"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5,903</w:t>
            </w:r>
          </w:p>
        </w:tc>
        <w:tc>
          <w:tcPr>
            <w:tcW w:w="0" w:type="auto"/>
            <w:noWrap/>
            <w:vAlign w:val="bottom"/>
          </w:tcPr>
          <w:p w14:paraId="60851B37" w14:textId="049251A6"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w:t>
            </w:r>
          </w:p>
        </w:tc>
        <w:tc>
          <w:tcPr>
            <w:tcW w:w="0" w:type="auto"/>
            <w:noWrap/>
            <w:vAlign w:val="bottom"/>
          </w:tcPr>
          <w:p w14:paraId="6D71E4CB" w14:textId="180CA1ED"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5</w:t>
            </w:r>
          </w:p>
        </w:tc>
      </w:tr>
      <w:tr w:rsidR="00D9776D" w:rsidRPr="00F420C3" w14:paraId="73B8A21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3FD72CC" w14:textId="77777777"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0AECA6CA" w14:textId="368268DB" w:rsidR="00D9776D" w:rsidRPr="00A44E86" w:rsidRDefault="00D9776D" w:rsidP="00E40C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44E86">
              <w:rPr>
                <w:rFonts w:eastAsia="Times New Roman" w:cs="Arial"/>
                <w:i/>
                <w:color w:val="000000"/>
                <w:sz w:val="18"/>
                <w:szCs w:val="18"/>
                <w:lang w:eastAsia="en-GB"/>
              </w:rPr>
              <w:t>Miscellaneous foods (honey)</w:t>
            </w:r>
          </w:p>
        </w:tc>
        <w:tc>
          <w:tcPr>
            <w:tcW w:w="0" w:type="auto"/>
            <w:noWrap/>
            <w:vAlign w:val="center"/>
          </w:tcPr>
          <w:p w14:paraId="33C73819"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CBFF111" w14:textId="77A3BC8E"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6A901F25" w14:textId="1FF9DB5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3607C5F4" w14:textId="5BA48A9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12</w:t>
            </w:r>
          </w:p>
        </w:tc>
        <w:tc>
          <w:tcPr>
            <w:tcW w:w="0" w:type="auto"/>
            <w:noWrap/>
            <w:vAlign w:val="bottom"/>
          </w:tcPr>
          <w:p w14:paraId="6341F09D" w14:textId="3E33E587"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5</w:t>
            </w:r>
          </w:p>
        </w:tc>
      </w:tr>
      <w:tr w:rsidR="00D9776D" w:rsidRPr="00F420C3" w14:paraId="0F3D223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669B3F8" w14:textId="77777777"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50B436AB" w14:textId="76F7AB0B" w:rsidR="00D9776D" w:rsidRPr="00A44E86" w:rsidRDefault="00D9776D" w:rsidP="00E40C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A44E86">
              <w:rPr>
                <w:rFonts w:eastAsia="Times New Roman" w:cs="Arial"/>
                <w:i/>
                <w:color w:val="000000"/>
                <w:sz w:val="18"/>
                <w:szCs w:val="18"/>
                <w:lang w:eastAsia="en-GB"/>
              </w:rPr>
              <w:t>Offal mammalian</w:t>
            </w:r>
          </w:p>
        </w:tc>
        <w:tc>
          <w:tcPr>
            <w:tcW w:w="0" w:type="auto"/>
            <w:noWrap/>
            <w:vAlign w:val="center"/>
          </w:tcPr>
          <w:p w14:paraId="2CA2314A"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5499E53" w14:textId="5EBEBA82"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4,053</w:t>
            </w:r>
          </w:p>
        </w:tc>
        <w:tc>
          <w:tcPr>
            <w:tcW w:w="0" w:type="auto"/>
            <w:noWrap/>
            <w:vAlign w:val="bottom"/>
          </w:tcPr>
          <w:p w14:paraId="544BCA11" w14:textId="3D97D0AA"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7A93C7F0" w14:textId="48919CD9"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w:t>
            </w:r>
          </w:p>
        </w:tc>
        <w:tc>
          <w:tcPr>
            <w:tcW w:w="0" w:type="auto"/>
            <w:noWrap/>
            <w:vAlign w:val="bottom"/>
          </w:tcPr>
          <w:p w14:paraId="126A3342" w14:textId="17C43B40"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w:t>
            </w:r>
          </w:p>
        </w:tc>
      </w:tr>
      <w:tr w:rsidR="00D9776D" w:rsidRPr="00F420C3" w14:paraId="6D693F13"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1B0A3AC" w14:textId="77777777" w:rsidR="00D9776D" w:rsidRPr="00F420C3" w:rsidRDefault="00D9776D" w:rsidP="00E40CED">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3755D359" w14:textId="4D0D48DA" w:rsidR="00D9776D" w:rsidRPr="00A44E86" w:rsidRDefault="00D9776D" w:rsidP="00E40C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44E86">
              <w:rPr>
                <w:rFonts w:eastAsia="Times New Roman" w:cs="Arial"/>
                <w:i/>
                <w:color w:val="000000"/>
                <w:sz w:val="18"/>
                <w:szCs w:val="18"/>
                <w:lang w:eastAsia="en-GB"/>
              </w:rPr>
              <w:t>Poultry eggs</w:t>
            </w:r>
          </w:p>
        </w:tc>
        <w:tc>
          <w:tcPr>
            <w:tcW w:w="0" w:type="auto"/>
            <w:noWrap/>
            <w:vAlign w:val="center"/>
          </w:tcPr>
          <w:p w14:paraId="7299C87B" w14:textId="2F4A5B3D"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0AD1E02" w14:textId="50ADB16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5C64E7D9" w14:textId="653B9CE0"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261F67B8" w14:textId="45B59223"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36</w:t>
            </w:r>
          </w:p>
        </w:tc>
        <w:tc>
          <w:tcPr>
            <w:tcW w:w="0" w:type="auto"/>
            <w:noWrap/>
            <w:vAlign w:val="bottom"/>
          </w:tcPr>
          <w:p w14:paraId="1DDAC94D" w14:textId="56E09048"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13</w:t>
            </w:r>
          </w:p>
        </w:tc>
      </w:tr>
      <w:tr w:rsidR="00D9776D" w:rsidRPr="00F420C3" w14:paraId="10D9D294"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4708EB" w14:textId="07497721" w:rsidR="00D9776D" w:rsidRPr="00F420C3" w:rsidRDefault="00D9776D" w:rsidP="00E40CED">
            <w:pPr>
              <w:spacing w:after="0" w:line="240" w:lineRule="auto"/>
              <w:contextualSpacing/>
              <w:rPr>
                <w:rFonts w:cs="Arial"/>
                <w:b w:val="0"/>
                <w:color w:val="000000"/>
                <w:sz w:val="18"/>
                <w:szCs w:val="18"/>
              </w:rPr>
            </w:pPr>
            <w:r w:rsidRPr="003C03A1">
              <w:rPr>
                <w:rFonts w:eastAsia="Times New Roman" w:cs="Arial"/>
                <w:color w:val="000000"/>
                <w:sz w:val="18"/>
                <w:szCs w:val="18"/>
                <w:lang w:eastAsia="en-GB"/>
              </w:rPr>
              <w:t>Fruit and vegetables</w:t>
            </w:r>
          </w:p>
        </w:tc>
        <w:tc>
          <w:tcPr>
            <w:tcW w:w="0" w:type="auto"/>
            <w:noWrap/>
            <w:vAlign w:val="center"/>
            <w:hideMark/>
          </w:tcPr>
          <w:p w14:paraId="79A5AD44" w14:textId="23F77B6F" w:rsidR="00D9776D" w:rsidRPr="00A44E86" w:rsidRDefault="00D9776D" w:rsidP="00E40C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A44E86">
              <w:rPr>
                <w:rFonts w:cs="Arial"/>
                <w:i/>
                <w:color w:val="000000"/>
                <w:sz w:val="18"/>
                <w:szCs w:val="18"/>
              </w:rPr>
              <w:t>Vegetables (all)</w:t>
            </w:r>
          </w:p>
        </w:tc>
        <w:tc>
          <w:tcPr>
            <w:tcW w:w="0" w:type="auto"/>
            <w:noWrap/>
            <w:vAlign w:val="center"/>
          </w:tcPr>
          <w:p w14:paraId="63F50329"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98726AB" w14:textId="77777777"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0E341BD" w14:textId="77777777"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95DE4C7" w14:textId="68960D09"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346</w:t>
            </w:r>
          </w:p>
        </w:tc>
        <w:tc>
          <w:tcPr>
            <w:tcW w:w="0" w:type="auto"/>
            <w:noWrap/>
            <w:vAlign w:val="bottom"/>
          </w:tcPr>
          <w:p w14:paraId="721E5618" w14:textId="26344AF4"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188</w:t>
            </w:r>
          </w:p>
        </w:tc>
      </w:tr>
      <w:tr w:rsidR="00D9776D" w:rsidRPr="00F420C3" w14:paraId="30AC1540"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9EBFA6D"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0F7034FC" w14:textId="21ACB6C2"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Cucurbits</w:t>
            </w:r>
          </w:p>
        </w:tc>
        <w:tc>
          <w:tcPr>
            <w:tcW w:w="0" w:type="auto"/>
            <w:noWrap/>
            <w:vAlign w:val="center"/>
          </w:tcPr>
          <w:p w14:paraId="5EAD6A62"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DD70C57" w14:textId="1DD8A664"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3,040</w:t>
            </w:r>
          </w:p>
        </w:tc>
        <w:tc>
          <w:tcPr>
            <w:tcW w:w="0" w:type="auto"/>
            <w:noWrap/>
            <w:vAlign w:val="bottom"/>
          </w:tcPr>
          <w:p w14:paraId="7E013E2B" w14:textId="4B4A001A"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1,520</w:t>
            </w:r>
          </w:p>
        </w:tc>
        <w:tc>
          <w:tcPr>
            <w:tcW w:w="0" w:type="auto"/>
            <w:noWrap/>
            <w:vAlign w:val="bottom"/>
          </w:tcPr>
          <w:p w14:paraId="10BAEC4A" w14:textId="2E502649"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115</w:t>
            </w:r>
          </w:p>
        </w:tc>
        <w:tc>
          <w:tcPr>
            <w:tcW w:w="0" w:type="auto"/>
            <w:noWrap/>
            <w:vAlign w:val="bottom"/>
          </w:tcPr>
          <w:p w14:paraId="6E077F50" w14:textId="59C8C05B"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35</w:t>
            </w:r>
          </w:p>
        </w:tc>
      </w:tr>
      <w:tr w:rsidR="00D9776D" w:rsidRPr="00F420C3" w14:paraId="62038349"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F9FD779"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54B81563" w14:textId="31694C46"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Herbs</w:t>
            </w:r>
          </w:p>
        </w:tc>
        <w:tc>
          <w:tcPr>
            <w:tcW w:w="0" w:type="auto"/>
            <w:noWrap/>
            <w:vAlign w:val="center"/>
          </w:tcPr>
          <w:p w14:paraId="35194857"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5F8EF20" w14:textId="59F36E6D"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59FA56F8" w14:textId="386A18EC"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73E758B5" w14:textId="2B5FA5DE"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w:t>
            </w:r>
          </w:p>
        </w:tc>
        <w:tc>
          <w:tcPr>
            <w:tcW w:w="0" w:type="auto"/>
            <w:noWrap/>
            <w:vAlign w:val="bottom"/>
          </w:tcPr>
          <w:p w14:paraId="0D43182F" w14:textId="1846CB35"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w:t>
            </w:r>
          </w:p>
        </w:tc>
      </w:tr>
      <w:tr w:rsidR="00D9776D" w:rsidRPr="00F420C3" w14:paraId="17FDA8C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4D28F22"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BD07AE9" w14:textId="30A1A8B9"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Leafy vegetables</w:t>
            </w:r>
          </w:p>
        </w:tc>
        <w:tc>
          <w:tcPr>
            <w:tcW w:w="0" w:type="auto"/>
            <w:noWrap/>
            <w:vAlign w:val="center"/>
          </w:tcPr>
          <w:p w14:paraId="48080BFE"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7C0F6D2" w14:textId="4BC23F9A"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3,040</w:t>
            </w:r>
          </w:p>
        </w:tc>
        <w:tc>
          <w:tcPr>
            <w:tcW w:w="0" w:type="auto"/>
            <w:noWrap/>
            <w:vAlign w:val="bottom"/>
          </w:tcPr>
          <w:p w14:paraId="40C9D78A" w14:textId="34749DC6"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1,520</w:t>
            </w:r>
          </w:p>
        </w:tc>
        <w:tc>
          <w:tcPr>
            <w:tcW w:w="0" w:type="auto"/>
            <w:noWrap/>
            <w:vAlign w:val="bottom"/>
          </w:tcPr>
          <w:p w14:paraId="1A5EAFB6" w14:textId="33BBEE46"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26</w:t>
            </w:r>
          </w:p>
        </w:tc>
        <w:tc>
          <w:tcPr>
            <w:tcW w:w="0" w:type="auto"/>
            <w:noWrap/>
            <w:vAlign w:val="bottom"/>
          </w:tcPr>
          <w:p w14:paraId="3D87A625" w14:textId="57DF6BD3"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9</w:t>
            </w:r>
          </w:p>
        </w:tc>
      </w:tr>
      <w:tr w:rsidR="00D9776D" w:rsidRPr="00F420C3" w14:paraId="42244051"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640F3D2"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94134EE" w14:textId="05E9D299"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Other fruiting vegetables</w:t>
            </w:r>
          </w:p>
        </w:tc>
        <w:tc>
          <w:tcPr>
            <w:tcW w:w="0" w:type="auto"/>
            <w:noWrap/>
            <w:vAlign w:val="center"/>
          </w:tcPr>
          <w:p w14:paraId="55988FB6"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8CE1FB1" w14:textId="5B9DB621"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76A2BCB0" w14:textId="4186472E"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5C2DA1A6" w14:textId="6F829F10"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151</w:t>
            </w:r>
          </w:p>
        </w:tc>
        <w:tc>
          <w:tcPr>
            <w:tcW w:w="0" w:type="auto"/>
            <w:noWrap/>
            <w:vAlign w:val="bottom"/>
          </w:tcPr>
          <w:p w14:paraId="5D9F44EE" w14:textId="53123A5C"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73</w:t>
            </w:r>
          </w:p>
        </w:tc>
      </w:tr>
      <w:tr w:rsidR="00D9776D" w:rsidRPr="00F420C3" w14:paraId="4F55D57E"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1101703"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03C445D0" w14:textId="5056127D"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Root and tuber vegetables</w:t>
            </w:r>
          </w:p>
        </w:tc>
        <w:tc>
          <w:tcPr>
            <w:tcW w:w="0" w:type="auto"/>
            <w:noWrap/>
            <w:vAlign w:val="center"/>
          </w:tcPr>
          <w:p w14:paraId="1BB6DCA2"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13B02CD" w14:textId="5D2E7BEE"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5FE7450B" w14:textId="70AECAD9"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46509747" w14:textId="723C097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164</w:t>
            </w:r>
          </w:p>
        </w:tc>
        <w:tc>
          <w:tcPr>
            <w:tcW w:w="0" w:type="auto"/>
            <w:noWrap/>
            <w:vAlign w:val="bottom"/>
          </w:tcPr>
          <w:p w14:paraId="1CC8684B" w14:textId="60085FE9"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66</w:t>
            </w:r>
          </w:p>
        </w:tc>
      </w:tr>
      <w:tr w:rsidR="00D9776D" w:rsidRPr="00F420C3" w14:paraId="64FCCE0D"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9F4075C"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2AEC3138" w14:textId="1ADD618C"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Spices</w:t>
            </w:r>
          </w:p>
        </w:tc>
        <w:tc>
          <w:tcPr>
            <w:tcW w:w="0" w:type="auto"/>
            <w:noWrap/>
            <w:vAlign w:val="center"/>
          </w:tcPr>
          <w:p w14:paraId="42290124"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A1DAD14" w14:textId="09BA010A"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1F859A6E" w14:textId="4053EB2E"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63823058" w14:textId="2D06755D" w:rsidR="00D9776D" w:rsidRPr="00D9776D" w:rsidRDefault="00B4252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w:t>
            </w:r>
          </w:p>
        </w:tc>
        <w:tc>
          <w:tcPr>
            <w:tcW w:w="0" w:type="auto"/>
            <w:noWrap/>
            <w:vAlign w:val="bottom"/>
          </w:tcPr>
          <w:p w14:paraId="14859DA0" w14:textId="07A9E886" w:rsidR="00D9776D" w:rsidRPr="00D9776D" w:rsidRDefault="00B42527"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w:t>
            </w:r>
          </w:p>
        </w:tc>
      </w:tr>
      <w:tr w:rsidR="00D9776D" w:rsidRPr="00F420C3" w14:paraId="5C31FAD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8E1ADE9" w14:textId="77777777" w:rsidR="00D9776D" w:rsidRPr="00F420C3"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5179BB23" w14:textId="592B301D"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Stalk and stem vegetables</w:t>
            </w:r>
          </w:p>
        </w:tc>
        <w:tc>
          <w:tcPr>
            <w:tcW w:w="0" w:type="auto"/>
            <w:noWrap/>
            <w:vAlign w:val="center"/>
          </w:tcPr>
          <w:p w14:paraId="460D1591" w14:textId="2E03ADD9"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F012C12" w14:textId="0E194CC2"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3,040</w:t>
            </w:r>
          </w:p>
        </w:tc>
        <w:tc>
          <w:tcPr>
            <w:tcW w:w="0" w:type="auto"/>
            <w:noWrap/>
            <w:vAlign w:val="bottom"/>
          </w:tcPr>
          <w:p w14:paraId="6B04AAEB" w14:textId="2335158B"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1,520</w:t>
            </w:r>
          </w:p>
        </w:tc>
        <w:tc>
          <w:tcPr>
            <w:tcW w:w="0" w:type="auto"/>
            <w:noWrap/>
            <w:vAlign w:val="bottom"/>
          </w:tcPr>
          <w:p w14:paraId="2D1DE74B" w14:textId="572449DF" w:rsidR="00D9776D" w:rsidRPr="00D9776D" w:rsidRDefault="00B42527"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w:t>
            </w:r>
          </w:p>
        </w:tc>
        <w:tc>
          <w:tcPr>
            <w:tcW w:w="0" w:type="auto"/>
            <w:noWrap/>
            <w:vAlign w:val="bottom"/>
          </w:tcPr>
          <w:p w14:paraId="6F3EEDB4" w14:textId="5FF8E499" w:rsidR="00D9776D" w:rsidRPr="00D9776D" w:rsidRDefault="00B42527"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w:t>
            </w:r>
          </w:p>
        </w:tc>
      </w:tr>
      <w:tr w:rsidR="00D9776D" w:rsidRPr="00F420C3" w14:paraId="4A88C05D"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1A00DE7" w14:textId="4A6774DE" w:rsidR="00D9776D" w:rsidRDefault="00D9776D" w:rsidP="00E40CED">
            <w:pPr>
              <w:spacing w:after="0" w:line="240" w:lineRule="auto"/>
              <w:contextualSpacing/>
              <w:rPr>
                <w:rFonts w:cs="Arial"/>
                <w:b w:val="0"/>
                <w:color w:val="000000"/>
                <w:sz w:val="18"/>
                <w:szCs w:val="18"/>
              </w:rPr>
            </w:pPr>
          </w:p>
        </w:tc>
        <w:tc>
          <w:tcPr>
            <w:tcW w:w="0" w:type="auto"/>
            <w:noWrap/>
            <w:vAlign w:val="center"/>
            <w:hideMark/>
          </w:tcPr>
          <w:p w14:paraId="2A3A0681" w14:textId="46C7682B" w:rsidR="00D9776D" w:rsidRPr="00A44E86" w:rsidRDefault="00D9776D" w:rsidP="00E40C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A44E86">
              <w:rPr>
                <w:rFonts w:cs="Arial"/>
                <w:i/>
                <w:color w:val="000000"/>
                <w:sz w:val="18"/>
                <w:szCs w:val="18"/>
              </w:rPr>
              <w:t>Fruit (all)</w:t>
            </w:r>
          </w:p>
        </w:tc>
        <w:tc>
          <w:tcPr>
            <w:tcW w:w="0" w:type="auto"/>
            <w:noWrap/>
            <w:vAlign w:val="center"/>
          </w:tcPr>
          <w:p w14:paraId="0F185CEE"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4B1D6AD" w14:textId="77777777"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58577E0" w14:textId="77777777"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C549BBA" w14:textId="13F05D62"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592</w:t>
            </w:r>
          </w:p>
        </w:tc>
        <w:tc>
          <w:tcPr>
            <w:tcW w:w="0" w:type="auto"/>
            <w:noWrap/>
            <w:vAlign w:val="bottom"/>
          </w:tcPr>
          <w:p w14:paraId="24E6EFC3" w14:textId="07108AAB"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314</w:t>
            </w:r>
          </w:p>
        </w:tc>
      </w:tr>
      <w:tr w:rsidR="00D9776D" w:rsidRPr="00F420C3" w14:paraId="6D2E2A57"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53C1BF5" w14:textId="1C995AB9" w:rsidR="00D9776D"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B489649" w14:textId="52489D4D"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Berries and other small fruits</w:t>
            </w:r>
          </w:p>
        </w:tc>
        <w:tc>
          <w:tcPr>
            <w:tcW w:w="0" w:type="auto"/>
            <w:noWrap/>
            <w:vAlign w:val="center"/>
          </w:tcPr>
          <w:p w14:paraId="2ABA5AF1"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A3FA318" w14:textId="633FBDB9"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0660BDDE" w14:textId="7EF5B5B9"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4860A193" w14:textId="259EF7A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108</w:t>
            </w:r>
          </w:p>
        </w:tc>
        <w:tc>
          <w:tcPr>
            <w:tcW w:w="0" w:type="auto"/>
            <w:noWrap/>
            <w:vAlign w:val="bottom"/>
          </w:tcPr>
          <w:p w14:paraId="3E235985" w14:textId="5E91646C"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38</w:t>
            </w:r>
          </w:p>
        </w:tc>
      </w:tr>
      <w:tr w:rsidR="00D9776D" w:rsidRPr="00F420C3" w14:paraId="207ECC28"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D40C749" w14:textId="31B80B4A" w:rsidR="00D9776D"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1F1B4272" w14:textId="71472AFA"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Citrus fruits</w:t>
            </w:r>
          </w:p>
        </w:tc>
        <w:tc>
          <w:tcPr>
            <w:tcW w:w="0" w:type="auto"/>
            <w:noWrap/>
            <w:vAlign w:val="center"/>
          </w:tcPr>
          <w:p w14:paraId="73D0C609"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B4A3112" w14:textId="7BCFDB50"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5849454C" w14:textId="3A192D2D"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0DF45293" w14:textId="1F0AA3C5"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246</w:t>
            </w:r>
          </w:p>
        </w:tc>
        <w:tc>
          <w:tcPr>
            <w:tcW w:w="0" w:type="auto"/>
            <w:noWrap/>
            <w:vAlign w:val="bottom"/>
          </w:tcPr>
          <w:p w14:paraId="71107C55" w14:textId="165DD2B8"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88</w:t>
            </w:r>
          </w:p>
        </w:tc>
      </w:tr>
      <w:tr w:rsidR="00D9776D" w:rsidRPr="00F420C3" w14:paraId="1166D8FB" w14:textId="77777777" w:rsidTr="00D9776D">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B55C979" w14:textId="6962E4B1" w:rsidR="00D9776D"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B6AD700" w14:textId="00BD17D0" w:rsidR="00D9776D" w:rsidRPr="00AD5E37" w:rsidRDefault="00D9776D" w:rsidP="00E40CED">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Pome fruits</w:t>
            </w:r>
          </w:p>
        </w:tc>
        <w:tc>
          <w:tcPr>
            <w:tcW w:w="0" w:type="auto"/>
            <w:noWrap/>
            <w:vAlign w:val="center"/>
          </w:tcPr>
          <w:p w14:paraId="0CC6E4E2" w14:textId="77777777" w:rsidR="00D9776D" w:rsidRPr="00F420C3"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5476953" w14:textId="7830C4A9"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2,027</w:t>
            </w:r>
          </w:p>
        </w:tc>
        <w:tc>
          <w:tcPr>
            <w:tcW w:w="0" w:type="auto"/>
            <w:noWrap/>
            <w:vAlign w:val="bottom"/>
          </w:tcPr>
          <w:p w14:paraId="5FA069F8" w14:textId="42011A1B"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1,013</w:t>
            </w:r>
          </w:p>
        </w:tc>
        <w:tc>
          <w:tcPr>
            <w:tcW w:w="0" w:type="auto"/>
            <w:noWrap/>
            <w:vAlign w:val="bottom"/>
          </w:tcPr>
          <w:p w14:paraId="280E409D" w14:textId="7CEBB1BE"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361</w:t>
            </w:r>
          </w:p>
        </w:tc>
        <w:tc>
          <w:tcPr>
            <w:tcW w:w="0" w:type="auto"/>
            <w:noWrap/>
            <w:vAlign w:val="bottom"/>
          </w:tcPr>
          <w:p w14:paraId="45D181A1" w14:textId="4492CAF1" w:rsidR="00D9776D" w:rsidRPr="00D9776D" w:rsidRDefault="00D9776D" w:rsidP="00E40CE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171</w:t>
            </w:r>
          </w:p>
        </w:tc>
      </w:tr>
      <w:tr w:rsidR="00D9776D" w:rsidRPr="00F420C3" w14:paraId="152B9F9C" w14:textId="77777777" w:rsidTr="00D9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CB92C99" w14:textId="714AAFF0" w:rsidR="00D9776D" w:rsidRDefault="00D9776D" w:rsidP="00E40CED">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19EC058" w14:textId="330FD076" w:rsidR="00D9776D" w:rsidRPr="00AD5E37" w:rsidRDefault="00D9776D" w:rsidP="00E40CED">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Tropical fruit - edible peel</w:t>
            </w:r>
          </w:p>
        </w:tc>
        <w:tc>
          <w:tcPr>
            <w:tcW w:w="0" w:type="auto"/>
            <w:noWrap/>
            <w:vAlign w:val="center"/>
          </w:tcPr>
          <w:p w14:paraId="3245BB6C" w14:textId="77777777" w:rsidR="00D9776D" w:rsidRPr="00F420C3"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833F4B4" w14:textId="2C346B89"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6,080</w:t>
            </w:r>
          </w:p>
        </w:tc>
        <w:tc>
          <w:tcPr>
            <w:tcW w:w="0" w:type="auto"/>
            <w:noWrap/>
            <w:vAlign w:val="bottom"/>
          </w:tcPr>
          <w:p w14:paraId="3C3F6865" w14:textId="28446D2C"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3,040</w:t>
            </w:r>
          </w:p>
        </w:tc>
        <w:tc>
          <w:tcPr>
            <w:tcW w:w="0" w:type="auto"/>
            <w:noWrap/>
            <w:vAlign w:val="bottom"/>
          </w:tcPr>
          <w:p w14:paraId="6794BDB6" w14:textId="476EE6C2"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10</w:t>
            </w:r>
          </w:p>
        </w:tc>
        <w:tc>
          <w:tcPr>
            <w:tcW w:w="0" w:type="auto"/>
            <w:noWrap/>
            <w:vAlign w:val="bottom"/>
          </w:tcPr>
          <w:p w14:paraId="503ED2D9" w14:textId="4202C9AF" w:rsidR="00D9776D" w:rsidRPr="00D9776D" w:rsidRDefault="00D9776D" w:rsidP="00E40CED">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9776D">
              <w:rPr>
                <w:rFonts w:cs="Arial"/>
                <w:color w:val="000000"/>
                <w:sz w:val="18"/>
                <w:szCs w:val="18"/>
              </w:rPr>
              <w:t>5</w:t>
            </w:r>
          </w:p>
        </w:tc>
      </w:tr>
    </w:tbl>
    <w:p w14:paraId="655DB918" w14:textId="738AAEFC" w:rsidR="00544A77" w:rsidRPr="00AD5E37" w:rsidRDefault="00544A77" w:rsidP="00E40CED">
      <w:pPr>
        <w:pStyle w:val="FSCFootnote"/>
      </w:pPr>
      <w:r w:rsidRPr="00497529">
        <w:t>*Consumption amounts not provided where median PFAS concentration was &lt;LOR and calculated as zero</w:t>
      </w:r>
    </w:p>
    <w:p w14:paraId="0BB2BBA7" w14:textId="55568541" w:rsidR="001A2CD0" w:rsidRDefault="001A2CD0">
      <w:pPr>
        <w:rPr>
          <w:lang w:eastAsia="en-AU"/>
        </w:rPr>
      </w:pPr>
      <w:r>
        <w:rPr>
          <w:lang w:eastAsia="en-AU"/>
        </w:rPr>
        <w:br w:type="page"/>
      </w:r>
    </w:p>
    <w:p w14:paraId="50DE761F" w14:textId="31F45B8D" w:rsidR="00544A77" w:rsidRDefault="00544A77" w:rsidP="00984802">
      <w:pPr>
        <w:pStyle w:val="FSTableColumnRowheading"/>
      </w:pPr>
      <w:bookmarkStart w:id="227" w:name="_Ref473883307"/>
      <w:bookmarkStart w:id="228" w:name="_Ref473883328"/>
      <w:bookmarkStart w:id="229" w:name="_Toc474153728"/>
      <w:bookmarkStart w:id="230" w:name="_Toc474158920"/>
      <w:bookmarkStart w:id="231" w:name="_Toc474847880"/>
      <w:bookmarkStart w:id="232" w:name="_Toc474852120"/>
      <w:r w:rsidRPr="00984802">
        <w:lastRenderedPageBreak/>
        <w:t>Amount of food* (grams</w:t>
      </w:r>
      <w:r w:rsidR="00AC5A9F" w:rsidRPr="00984802">
        <w:t>/day</w:t>
      </w:r>
      <w:r w:rsidRPr="00984802">
        <w:t xml:space="preserve">) at median </w:t>
      </w:r>
      <w:proofErr w:type="spellStart"/>
      <w:r w:rsidRPr="00984802">
        <w:t>PFOS+PFHxS</w:t>
      </w:r>
      <w:proofErr w:type="spellEnd"/>
      <w:r w:rsidRPr="00984802">
        <w:t xml:space="preserve"> </w:t>
      </w:r>
      <w:r w:rsidR="00160865">
        <w:t xml:space="preserve">combined </w:t>
      </w:r>
      <w:r w:rsidRPr="00984802">
        <w:t>concentration to reach the TDI for the population aged 2 years and above</w:t>
      </w:r>
      <w:bookmarkEnd w:id="227"/>
      <w:bookmarkEnd w:id="228"/>
      <w:bookmarkEnd w:id="229"/>
      <w:bookmarkEnd w:id="230"/>
      <w:bookmarkEnd w:id="231"/>
      <w:bookmarkEnd w:id="232"/>
    </w:p>
    <w:tbl>
      <w:tblPr>
        <w:tblStyle w:val="LightList-Accent1"/>
        <w:tblW w:w="0" w:type="auto"/>
        <w:tblLook w:val="04A0" w:firstRow="1" w:lastRow="0" w:firstColumn="1" w:lastColumn="0" w:noHBand="0" w:noVBand="1"/>
      </w:tblPr>
      <w:tblGrid>
        <w:gridCol w:w="1838"/>
        <w:gridCol w:w="2509"/>
        <w:gridCol w:w="1928"/>
        <w:gridCol w:w="1980"/>
        <w:gridCol w:w="1914"/>
        <w:gridCol w:w="1961"/>
        <w:gridCol w:w="2088"/>
      </w:tblGrid>
      <w:tr w:rsidR="00AD5E37" w:rsidRPr="00497529" w14:paraId="33E16F10"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7AF6AC3" w14:textId="66B9C0CB" w:rsidR="00AD5E37" w:rsidRPr="00497529" w:rsidRDefault="00AD5E37" w:rsidP="0092375E">
            <w:pPr>
              <w:contextualSpacing/>
              <w:rPr>
                <w:rFonts w:eastAsia="Times New Roman" w:cs="Arial"/>
                <w:sz w:val="18"/>
                <w:szCs w:val="18"/>
                <w:lang w:eastAsia="en-GB"/>
              </w:rPr>
            </w:pPr>
            <w:r w:rsidRPr="003C03A1">
              <w:rPr>
                <w:rFonts w:eastAsia="Times New Roman" w:cs="Arial"/>
                <w:sz w:val="18"/>
                <w:szCs w:val="18"/>
                <w:lang w:eastAsia="en-GB"/>
              </w:rPr>
              <w:t xml:space="preserve">Food </w:t>
            </w:r>
            <w:r w:rsidR="0092375E">
              <w:rPr>
                <w:rFonts w:eastAsia="Times New Roman" w:cs="Arial"/>
                <w:sz w:val="18"/>
                <w:szCs w:val="18"/>
                <w:lang w:eastAsia="en-GB"/>
              </w:rPr>
              <w:t>category</w:t>
            </w:r>
          </w:p>
        </w:tc>
        <w:tc>
          <w:tcPr>
            <w:tcW w:w="0" w:type="auto"/>
            <w:vMerge w:val="restart"/>
            <w:vAlign w:val="center"/>
          </w:tcPr>
          <w:p w14:paraId="01665F81" w14:textId="38E44171"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classification</w:t>
            </w:r>
          </w:p>
        </w:tc>
        <w:tc>
          <w:tcPr>
            <w:tcW w:w="0" w:type="auto"/>
            <w:gridSpan w:val="3"/>
            <w:vAlign w:val="center"/>
          </w:tcPr>
          <w:p w14:paraId="4F6A7BFA" w14:textId="20F65DCD"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 xml:space="preserve">Amount of food that can be consumed before reaching </w:t>
            </w:r>
            <w:proofErr w:type="spellStart"/>
            <w:r w:rsidRPr="00497529">
              <w:rPr>
                <w:rFonts w:eastAsia="Times New Roman" w:cs="Arial"/>
                <w:sz w:val="18"/>
                <w:szCs w:val="18"/>
                <w:lang w:eastAsia="en-GB"/>
              </w:rPr>
              <w:t>PFOS+PFHxS</w:t>
            </w:r>
            <w:proofErr w:type="spellEnd"/>
            <w:r w:rsidRPr="00497529">
              <w:rPr>
                <w:rFonts w:eastAsia="Times New Roman" w:cs="Arial"/>
                <w:sz w:val="18"/>
                <w:szCs w:val="18"/>
                <w:lang w:eastAsia="en-GB"/>
              </w:rPr>
              <w:t xml:space="preserve"> TDI</w:t>
            </w:r>
          </w:p>
        </w:tc>
        <w:tc>
          <w:tcPr>
            <w:tcW w:w="0" w:type="auto"/>
            <w:gridSpan w:val="2"/>
            <w:vAlign w:val="center"/>
          </w:tcPr>
          <w:p w14:paraId="432314CA" w14:textId="77777777"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consumption derived from 2011-12 NNPAS</w:t>
            </w:r>
          </w:p>
        </w:tc>
      </w:tr>
      <w:tr w:rsidR="00AD5E37" w:rsidRPr="0056120C" w14:paraId="287F0BD4" w14:textId="77777777" w:rsidTr="00AD5E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5DBE8E6" w14:textId="77732312" w:rsidR="00AD5E37" w:rsidRPr="0056120C" w:rsidRDefault="00AD5E37" w:rsidP="00410657">
            <w:pPr>
              <w:spacing w:after="0" w:line="240" w:lineRule="auto"/>
              <w:contextualSpacing/>
              <w:jc w:val="center"/>
              <w:rPr>
                <w:rFonts w:eastAsia="Times New Roman" w:cs="Arial"/>
                <w:color w:val="000000"/>
                <w:sz w:val="18"/>
                <w:szCs w:val="18"/>
                <w:lang w:eastAsia="en-GB"/>
              </w:rPr>
            </w:pPr>
          </w:p>
        </w:tc>
        <w:tc>
          <w:tcPr>
            <w:tcW w:w="0" w:type="auto"/>
            <w:vMerge/>
            <w:vAlign w:val="center"/>
            <w:hideMark/>
          </w:tcPr>
          <w:p w14:paraId="6A6E7EF1" w14:textId="2580B63C" w:rsidR="00AD5E37" w:rsidRPr="0056120C"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vAlign w:val="center"/>
          </w:tcPr>
          <w:p w14:paraId="2C08E45B" w14:textId="77777777" w:rsidR="00AD5E37" w:rsidRPr="0056120C"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Lower Bound</w:t>
            </w:r>
          </w:p>
        </w:tc>
        <w:tc>
          <w:tcPr>
            <w:tcW w:w="0" w:type="auto"/>
            <w:vAlign w:val="center"/>
          </w:tcPr>
          <w:p w14:paraId="6C2D33C0" w14:textId="77777777" w:rsidR="00AD5E37" w:rsidRPr="0056120C"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Middle Bound</w:t>
            </w:r>
          </w:p>
        </w:tc>
        <w:tc>
          <w:tcPr>
            <w:tcW w:w="0" w:type="auto"/>
            <w:vAlign w:val="center"/>
          </w:tcPr>
          <w:p w14:paraId="1D272B89" w14:textId="77777777" w:rsidR="00AD5E37" w:rsidRPr="0056120C"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Upper Bound</w:t>
            </w:r>
          </w:p>
        </w:tc>
        <w:tc>
          <w:tcPr>
            <w:tcW w:w="0" w:type="auto"/>
            <w:vAlign w:val="center"/>
            <w:hideMark/>
          </w:tcPr>
          <w:p w14:paraId="02BDF812" w14:textId="77777777" w:rsidR="00AD5E37" w:rsidRPr="0056120C"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P90 consumers only</w:t>
            </w:r>
          </w:p>
        </w:tc>
        <w:tc>
          <w:tcPr>
            <w:tcW w:w="0" w:type="auto"/>
            <w:vAlign w:val="center"/>
            <w:hideMark/>
          </w:tcPr>
          <w:p w14:paraId="4CE28116" w14:textId="77777777" w:rsidR="00AD5E37" w:rsidRPr="0056120C"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56120C">
              <w:rPr>
                <w:rFonts w:eastAsia="Times New Roman" w:cs="Arial"/>
                <w:b/>
                <w:color w:val="000000"/>
                <w:sz w:val="18"/>
                <w:szCs w:val="18"/>
                <w:lang w:eastAsia="en-GB"/>
              </w:rPr>
              <w:t>Mean consumers only</w:t>
            </w:r>
          </w:p>
        </w:tc>
      </w:tr>
      <w:tr w:rsidR="00D87462" w:rsidRPr="00152AF1" w14:paraId="2EF6A212"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FD048EA" w14:textId="44FD1960" w:rsidR="00D87462" w:rsidRPr="007F5A60" w:rsidRDefault="00D87462" w:rsidP="00410657">
            <w:pPr>
              <w:spacing w:after="0"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Fish and seafood</w:t>
            </w:r>
          </w:p>
        </w:tc>
        <w:tc>
          <w:tcPr>
            <w:tcW w:w="0" w:type="auto"/>
            <w:noWrap/>
            <w:vAlign w:val="center"/>
            <w:hideMark/>
          </w:tcPr>
          <w:p w14:paraId="2CF57E89" w14:textId="440C1D63" w:rsidR="00D87462" w:rsidRPr="00C274D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274D0">
              <w:rPr>
                <w:rFonts w:eastAsia="Times New Roman" w:cs="Arial"/>
                <w:i/>
                <w:color w:val="000000"/>
                <w:sz w:val="18"/>
                <w:szCs w:val="18"/>
                <w:lang w:eastAsia="en-GB"/>
              </w:rPr>
              <w:t>Crustaceans of all species</w:t>
            </w:r>
          </w:p>
        </w:tc>
        <w:tc>
          <w:tcPr>
            <w:tcW w:w="0" w:type="auto"/>
            <w:noWrap/>
            <w:vAlign w:val="bottom"/>
          </w:tcPr>
          <w:p w14:paraId="61042249" w14:textId="1957E4AD"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87</w:t>
            </w:r>
          </w:p>
        </w:tc>
        <w:tc>
          <w:tcPr>
            <w:tcW w:w="0" w:type="auto"/>
            <w:noWrap/>
            <w:vAlign w:val="bottom"/>
          </w:tcPr>
          <w:p w14:paraId="76A44686" w14:textId="19A1C10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87</w:t>
            </w:r>
          </w:p>
        </w:tc>
        <w:tc>
          <w:tcPr>
            <w:tcW w:w="0" w:type="auto"/>
            <w:noWrap/>
            <w:vAlign w:val="bottom"/>
          </w:tcPr>
          <w:p w14:paraId="17327420" w14:textId="1B1CF0B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87</w:t>
            </w:r>
          </w:p>
        </w:tc>
        <w:tc>
          <w:tcPr>
            <w:tcW w:w="0" w:type="auto"/>
            <w:noWrap/>
            <w:vAlign w:val="bottom"/>
            <w:hideMark/>
          </w:tcPr>
          <w:p w14:paraId="059DA341" w14:textId="36E52541"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hideMark/>
          </w:tcPr>
          <w:p w14:paraId="0B8CADDD" w14:textId="2D4BA393"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21</w:t>
            </w:r>
          </w:p>
        </w:tc>
      </w:tr>
      <w:tr w:rsidR="00D87462" w:rsidRPr="00152AF1" w14:paraId="6C440152"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2027136" w14:textId="4AE0E811" w:rsidR="00D87462" w:rsidRPr="00152AF1" w:rsidRDefault="00D87462" w:rsidP="00410657">
            <w:pPr>
              <w:spacing w:after="0" w:line="240" w:lineRule="auto"/>
              <w:contextualSpacing/>
              <w:rPr>
                <w:rFonts w:cs="Arial"/>
                <w:b w:val="0"/>
                <w:color w:val="000000"/>
                <w:sz w:val="18"/>
                <w:szCs w:val="18"/>
              </w:rPr>
            </w:pPr>
          </w:p>
        </w:tc>
        <w:tc>
          <w:tcPr>
            <w:tcW w:w="0" w:type="auto"/>
            <w:noWrap/>
            <w:vAlign w:val="center"/>
            <w:hideMark/>
          </w:tcPr>
          <w:p w14:paraId="46B45B83" w14:textId="6080A337" w:rsidR="00D87462" w:rsidRPr="00C274D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C274D0">
              <w:rPr>
                <w:rFonts w:cs="Arial"/>
                <w:i/>
                <w:color w:val="000000"/>
                <w:sz w:val="18"/>
                <w:szCs w:val="18"/>
              </w:rPr>
              <w:t>Finfish (all)</w:t>
            </w:r>
          </w:p>
        </w:tc>
        <w:tc>
          <w:tcPr>
            <w:tcW w:w="0" w:type="auto"/>
            <w:noWrap/>
            <w:vAlign w:val="bottom"/>
          </w:tcPr>
          <w:p w14:paraId="10279BAA" w14:textId="25A039B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322</w:t>
            </w:r>
          </w:p>
        </w:tc>
        <w:tc>
          <w:tcPr>
            <w:tcW w:w="0" w:type="auto"/>
            <w:noWrap/>
            <w:vAlign w:val="bottom"/>
          </w:tcPr>
          <w:p w14:paraId="5A8B91E3" w14:textId="38D04A0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304</w:t>
            </w:r>
          </w:p>
        </w:tc>
        <w:tc>
          <w:tcPr>
            <w:tcW w:w="0" w:type="auto"/>
            <w:noWrap/>
            <w:vAlign w:val="bottom"/>
          </w:tcPr>
          <w:p w14:paraId="37689618" w14:textId="7C2F2388"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289</w:t>
            </w:r>
          </w:p>
        </w:tc>
        <w:tc>
          <w:tcPr>
            <w:tcW w:w="0" w:type="auto"/>
            <w:noWrap/>
            <w:vAlign w:val="bottom"/>
            <w:hideMark/>
          </w:tcPr>
          <w:p w14:paraId="4252EE63" w14:textId="55A668D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123</w:t>
            </w:r>
          </w:p>
        </w:tc>
        <w:tc>
          <w:tcPr>
            <w:tcW w:w="0" w:type="auto"/>
            <w:noWrap/>
            <w:vAlign w:val="bottom"/>
            <w:hideMark/>
          </w:tcPr>
          <w:p w14:paraId="02901360" w14:textId="0514C2F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45</w:t>
            </w:r>
          </w:p>
        </w:tc>
      </w:tr>
      <w:tr w:rsidR="00D87462" w:rsidRPr="00152AF1" w14:paraId="2A93C4FE"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78F4C96" w14:textId="4E4E849B" w:rsidR="00D87462" w:rsidRPr="00152AF1"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07F39085" w14:textId="26B6A2C6"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D5E37">
              <w:rPr>
                <w:rFonts w:eastAsia="Times New Roman" w:cs="Arial"/>
                <w:color w:val="000000"/>
                <w:sz w:val="18"/>
                <w:szCs w:val="18"/>
                <w:lang w:eastAsia="en-GB"/>
              </w:rPr>
              <w:t>Diadromous</w:t>
            </w:r>
            <w:proofErr w:type="spellEnd"/>
            <w:r w:rsidRPr="00AD5E37">
              <w:rPr>
                <w:rFonts w:eastAsia="Times New Roman" w:cs="Arial"/>
                <w:color w:val="000000"/>
                <w:sz w:val="18"/>
                <w:szCs w:val="18"/>
                <w:lang w:eastAsia="en-GB"/>
              </w:rPr>
              <w:t xml:space="preserve"> fish</w:t>
            </w:r>
          </w:p>
        </w:tc>
        <w:tc>
          <w:tcPr>
            <w:tcW w:w="0" w:type="auto"/>
            <w:noWrap/>
            <w:vAlign w:val="bottom"/>
          </w:tcPr>
          <w:p w14:paraId="25FBEDBF" w14:textId="7A73278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280</w:t>
            </w:r>
          </w:p>
        </w:tc>
        <w:tc>
          <w:tcPr>
            <w:tcW w:w="0" w:type="auto"/>
            <w:noWrap/>
            <w:vAlign w:val="bottom"/>
          </w:tcPr>
          <w:p w14:paraId="4CDC9167" w14:textId="381681B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255</w:t>
            </w:r>
          </w:p>
        </w:tc>
        <w:tc>
          <w:tcPr>
            <w:tcW w:w="0" w:type="auto"/>
            <w:noWrap/>
            <w:vAlign w:val="bottom"/>
          </w:tcPr>
          <w:p w14:paraId="44C2EE2A" w14:textId="54F92126"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0537A19F" w14:textId="7425E300"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119</w:t>
            </w:r>
          </w:p>
        </w:tc>
        <w:tc>
          <w:tcPr>
            <w:tcW w:w="0" w:type="auto"/>
            <w:noWrap/>
            <w:vAlign w:val="bottom"/>
            <w:hideMark/>
          </w:tcPr>
          <w:p w14:paraId="423FF481" w14:textId="62D666A3"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50</w:t>
            </w:r>
          </w:p>
        </w:tc>
      </w:tr>
      <w:tr w:rsidR="00D87462" w:rsidRPr="00152AF1" w14:paraId="7065937D"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E326311" w14:textId="54665037" w:rsidR="00D87462" w:rsidRPr="00152AF1"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01F90CBC" w14:textId="1DDACE8B"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Freshwater fish</w:t>
            </w:r>
          </w:p>
        </w:tc>
        <w:tc>
          <w:tcPr>
            <w:tcW w:w="0" w:type="auto"/>
            <w:noWrap/>
            <w:vAlign w:val="bottom"/>
          </w:tcPr>
          <w:p w14:paraId="4A6A2E36" w14:textId="016B21DC"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33</w:t>
            </w:r>
          </w:p>
        </w:tc>
        <w:tc>
          <w:tcPr>
            <w:tcW w:w="0" w:type="auto"/>
            <w:noWrap/>
            <w:vAlign w:val="bottom"/>
          </w:tcPr>
          <w:p w14:paraId="667BA403" w14:textId="169D569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33</w:t>
            </w:r>
          </w:p>
        </w:tc>
        <w:tc>
          <w:tcPr>
            <w:tcW w:w="0" w:type="auto"/>
            <w:noWrap/>
            <w:vAlign w:val="bottom"/>
          </w:tcPr>
          <w:p w14:paraId="304FE221" w14:textId="3386E4CD"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32</w:t>
            </w:r>
          </w:p>
        </w:tc>
        <w:tc>
          <w:tcPr>
            <w:tcW w:w="0" w:type="auto"/>
            <w:noWrap/>
            <w:vAlign w:val="bottom"/>
            <w:hideMark/>
          </w:tcPr>
          <w:p w14:paraId="03A2DA11" w14:textId="18EB6BC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143</w:t>
            </w:r>
          </w:p>
        </w:tc>
        <w:tc>
          <w:tcPr>
            <w:tcW w:w="0" w:type="auto"/>
            <w:noWrap/>
            <w:vAlign w:val="bottom"/>
            <w:hideMark/>
          </w:tcPr>
          <w:p w14:paraId="19947BFF" w14:textId="6FDF849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56</w:t>
            </w:r>
          </w:p>
        </w:tc>
      </w:tr>
      <w:tr w:rsidR="00D87462" w:rsidRPr="00152AF1" w14:paraId="591AB359"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19B6B13" w14:textId="23957596" w:rsidR="00D87462" w:rsidRPr="00152AF1"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03D828E9" w14:textId="5713E740"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Marine fish of all species</w:t>
            </w:r>
          </w:p>
        </w:tc>
        <w:tc>
          <w:tcPr>
            <w:tcW w:w="0" w:type="auto"/>
            <w:noWrap/>
            <w:vAlign w:val="bottom"/>
          </w:tcPr>
          <w:p w14:paraId="16A627EC" w14:textId="3C968B0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1,273</w:t>
            </w:r>
          </w:p>
        </w:tc>
        <w:tc>
          <w:tcPr>
            <w:tcW w:w="0" w:type="auto"/>
            <w:noWrap/>
            <w:vAlign w:val="bottom"/>
          </w:tcPr>
          <w:p w14:paraId="7F5641D4" w14:textId="00513E1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1,037</w:t>
            </w:r>
          </w:p>
        </w:tc>
        <w:tc>
          <w:tcPr>
            <w:tcW w:w="0" w:type="auto"/>
            <w:noWrap/>
            <w:vAlign w:val="bottom"/>
          </w:tcPr>
          <w:p w14:paraId="2B284B97" w14:textId="6FD94556"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875</w:t>
            </w:r>
          </w:p>
        </w:tc>
        <w:tc>
          <w:tcPr>
            <w:tcW w:w="0" w:type="auto"/>
            <w:noWrap/>
            <w:vAlign w:val="bottom"/>
            <w:hideMark/>
          </w:tcPr>
          <w:p w14:paraId="43E8B726" w14:textId="7DFF1F5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76</w:t>
            </w:r>
          </w:p>
        </w:tc>
        <w:tc>
          <w:tcPr>
            <w:tcW w:w="0" w:type="auto"/>
            <w:noWrap/>
            <w:vAlign w:val="bottom"/>
            <w:hideMark/>
          </w:tcPr>
          <w:p w14:paraId="51C6F7BB" w14:textId="2D427C0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22</w:t>
            </w:r>
          </w:p>
        </w:tc>
      </w:tr>
      <w:tr w:rsidR="00D87462" w:rsidRPr="00152AF1" w14:paraId="09B03CB0"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51B1AB4" w14:textId="5342331D" w:rsidR="00D87462" w:rsidRPr="003C03A1" w:rsidRDefault="00D87462" w:rsidP="00410657">
            <w:pPr>
              <w:spacing w:after="0" w:line="240" w:lineRule="auto"/>
              <w:contextualSpacing/>
              <w:rPr>
                <w:rFonts w:eastAsia="Times New Roman" w:cs="Arial"/>
                <w:color w:val="000000"/>
                <w:sz w:val="18"/>
                <w:szCs w:val="18"/>
                <w:lang w:eastAsia="en-GB"/>
              </w:rPr>
            </w:pPr>
          </w:p>
        </w:tc>
        <w:tc>
          <w:tcPr>
            <w:tcW w:w="0" w:type="auto"/>
            <w:noWrap/>
            <w:vAlign w:val="center"/>
          </w:tcPr>
          <w:p w14:paraId="0BDC5F88" w14:textId="24DA80F0" w:rsidR="00D87462" w:rsidRPr="00C274D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274D0">
              <w:rPr>
                <w:rFonts w:eastAsia="Times New Roman" w:cs="Arial"/>
                <w:i/>
                <w:color w:val="000000"/>
                <w:sz w:val="18"/>
                <w:szCs w:val="18"/>
                <w:lang w:eastAsia="en-GB"/>
              </w:rPr>
              <w:t>Molluscs</w:t>
            </w:r>
          </w:p>
        </w:tc>
        <w:tc>
          <w:tcPr>
            <w:tcW w:w="0" w:type="auto"/>
            <w:noWrap/>
            <w:vAlign w:val="bottom"/>
          </w:tcPr>
          <w:p w14:paraId="2049ACB7" w14:textId="2801C69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933</w:t>
            </w:r>
          </w:p>
        </w:tc>
        <w:tc>
          <w:tcPr>
            <w:tcW w:w="0" w:type="auto"/>
            <w:noWrap/>
            <w:vAlign w:val="bottom"/>
          </w:tcPr>
          <w:p w14:paraId="4573A6D2" w14:textId="3EAAE32F"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800</w:t>
            </w:r>
          </w:p>
        </w:tc>
        <w:tc>
          <w:tcPr>
            <w:tcW w:w="0" w:type="auto"/>
            <w:noWrap/>
            <w:vAlign w:val="bottom"/>
          </w:tcPr>
          <w:p w14:paraId="00D3A4ED" w14:textId="1F61190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753</w:t>
            </w:r>
          </w:p>
        </w:tc>
        <w:tc>
          <w:tcPr>
            <w:tcW w:w="0" w:type="auto"/>
            <w:noWrap/>
            <w:vAlign w:val="bottom"/>
          </w:tcPr>
          <w:p w14:paraId="526ADB62" w14:textId="1C1FFB9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30</w:t>
            </w:r>
          </w:p>
        </w:tc>
        <w:tc>
          <w:tcPr>
            <w:tcW w:w="0" w:type="auto"/>
            <w:noWrap/>
            <w:vAlign w:val="bottom"/>
          </w:tcPr>
          <w:p w14:paraId="686F1CC9" w14:textId="534CDED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9</w:t>
            </w:r>
          </w:p>
        </w:tc>
      </w:tr>
      <w:tr w:rsidR="00D87462" w:rsidRPr="00152AF1" w14:paraId="7AC5AB69"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C059E75" w14:textId="5B521A73" w:rsidR="00D87462" w:rsidRPr="007F5A60" w:rsidRDefault="00D87462" w:rsidP="00410657">
            <w:pPr>
              <w:spacing w:after="0" w:line="240" w:lineRule="auto"/>
              <w:contextualSpacing/>
              <w:rPr>
                <w:rFonts w:eastAsia="Times New Roman" w:cs="Arial"/>
                <w:bCs w:val="0"/>
                <w:color w:val="000000"/>
                <w:sz w:val="18"/>
                <w:szCs w:val="18"/>
                <w:lang w:eastAsia="en-GB"/>
              </w:rPr>
            </w:pPr>
            <w:r w:rsidRPr="007F5A60">
              <w:rPr>
                <w:sz w:val="18"/>
                <w:szCs w:val="18"/>
              </w:rPr>
              <w:t>Animal products</w:t>
            </w:r>
          </w:p>
        </w:tc>
        <w:tc>
          <w:tcPr>
            <w:tcW w:w="0" w:type="auto"/>
            <w:noWrap/>
            <w:vAlign w:val="center"/>
            <w:hideMark/>
          </w:tcPr>
          <w:p w14:paraId="6746DE21" w14:textId="7B68B9A0" w:rsidR="00D87462" w:rsidRPr="00C274D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274D0">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0" w:type="auto"/>
            <w:noWrap/>
            <w:vAlign w:val="bottom"/>
          </w:tcPr>
          <w:p w14:paraId="24C484F0" w14:textId="62A7CC6B"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113</w:t>
            </w:r>
          </w:p>
        </w:tc>
        <w:tc>
          <w:tcPr>
            <w:tcW w:w="0" w:type="auto"/>
            <w:noWrap/>
            <w:vAlign w:val="bottom"/>
          </w:tcPr>
          <w:p w14:paraId="222CA2B6" w14:textId="01A0DD2F"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113</w:t>
            </w:r>
          </w:p>
        </w:tc>
        <w:tc>
          <w:tcPr>
            <w:tcW w:w="0" w:type="auto"/>
            <w:noWrap/>
            <w:vAlign w:val="bottom"/>
          </w:tcPr>
          <w:p w14:paraId="256AEA73" w14:textId="77922CFE"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113</w:t>
            </w:r>
          </w:p>
        </w:tc>
        <w:tc>
          <w:tcPr>
            <w:tcW w:w="0" w:type="auto"/>
            <w:noWrap/>
            <w:vAlign w:val="bottom"/>
            <w:hideMark/>
          </w:tcPr>
          <w:p w14:paraId="11B0F873" w14:textId="26A41C1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221</w:t>
            </w:r>
          </w:p>
        </w:tc>
        <w:tc>
          <w:tcPr>
            <w:tcW w:w="0" w:type="auto"/>
            <w:noWrap/>
            <w:vAlign w:val="bottom"/>
            <w:hideMark/>
          </w:tcPr>
          <w:p w14:paraId="4D380FDF" w14:textId="41CD654E"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106</w:t>
            </w:r>
          </w:p>
        </w:tc>
      </w:tr>
      <w:tr w:rsidR="00D87462" w:rsidRPr="00152AF1" w14:paraId="1ABA670E"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0549B87" w14:textId="6B166B89"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hideMark/>
          </w:tcPr>
          <w:p w14:paraId="0C4DCD57" w14:textId="3C1AEF21"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meat</w:t>
            </w:r>
          </w:p>
        </w:tc>
        <w:tc>
          <w:tcPr>
            <w:tcW w:w="0" w:type="auto"/>
            <w:noWrap/>
            <w:vAlign w:val="bottom"/>
          </w:tcPr>
          <w:p w14:paraId="1FCB2F31" w14:textId="7EC495B5"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22</w:t>
            </w:r>
          </w:p>
        </w:tc>
        <w:tc>
          <w:tcPr>
            <w:tcW w:w="0" w:type="auto"/>
            <w:noWrap/>
            <w:vAlign w:val="bottom"/>
          </w:tcPr>
          <w:p w14:paraId="50DE2133" w14:textId="287A084C"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22</w:t>
            </w:r>
          </w:p>
        </w:tc>
        <w:tc>
          <w:tcPr>
            <w:tcW w:w="0" w:type="auto"/>
            <w:noWrap/>
            <w:vAlign w:val="bottom"/>
          </w:tcPr>
          <w:p w14:paraId="74AC766B" w14:textId="4865A110"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22</w:t>
            </w:r>
          </w:p>
        </w:tc>
        <w:tc>
          <w:tcPr>
            <w:tcW w:w="0" w:type="auto"/>
            <w:noWrap/>
            <w:vAlign w:val="bottom"/>
            <w:hideMark/>
          </w:tcPr>
          <w:p w14:paraId="1747DF5C" w14:textId="43C6398C"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163</w:t>
            </w:r>
          </w:p>
        </w:tc>
        <w:tc>
          <w:tcPr>
            <w:tcW w:w="0" w:type="auto"/>
            <w:noWrap/>
            <w:vAlign w:val="bottom"/>
            <w:hideMark/>
          </w:tcPr>
          <w:p w14:paraId="3B5082E5" w14:textId="11E6669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71</w:t>
            </w:r>
          </w:p>
        </w:tc>
      </w:tr>
      <w:tr w:rsidR="00D87462" w:rsidRPr="00152AF1" w14:paraId="470F2BFC"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22F2169" w14:textId="74E2E316"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hideMark/>
          </w:tcPr>
          <w:p w14:paraId="7C105215" w14:textId="6B882CE4"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Rabbit meat</w:t>
            </w:r>
          </w:p>
        </w:tc>
        <w:tc>
          <w:tcPr>
            <w:tcW w:w="0" w:type="auto"/>
            <w:noWrap/>
            <w:vAlign w:val="bottom"/>
          </w:tcPr>
          <w:p w14:paraId="1929F335" w14:textId="047648F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19</w:t>
            </w:r>
          </w:p>
        </w:tc>
        <w:tc>
          <w:tcPr>
            <w:tcW w:w="0" w:type="auto"/>
            <w:noWrap/>
            <w:vAlign w:val="bottom"/>
          </w:tcPr>
          <w:p w14:paraId="7963EA3A" w14:textId="6BCD2979"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19</w:t>
            </w:r>
          </w:p>
        </w:tc>
        <w:tc>
          <w:tcPr>
            <w:tcW w:w="0" w:type="auto"/>
            <w:noWrap/>
            <w:vAlign w:val="bottom"/>
          </w:tcPr>
          <w:p w14:paraId="091DB932" w14:textId="4313EC52"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19</w:t>
            </w:r>
          </w:p>
        </w:tc>
        <w:tc>
          <w:tcPr>
            <w:tcW w:w="0" w:type="auto"/>
            <w:noWrap/>
            <w:vAlign w:val="bottom"/>
            <w:hideMark/>
          </w:tcPr>
          <w:p w14:paraId="54566BE2" w14:textId="20286E62"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w:t>
            </w:r>
          </w:p>
        </w:tc>
        <w:tc>
          <w:tcPr>
            <w:tcW w:w="0" w:type="auto"/>
            <w:noWrap/>
            <w:vAlign w:val="bottom"/>
            <w:hideMark/>
          </w:tcPr>
          <w:p w14:paraId="1275AA33" w14:textId="2F4D2A1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364</w:t>
            </w:r>
          </w:p>
        </w:tc>
      </w:tr>
      <w:tr w:rsidR="00D87462" w:rsidRPr="00152AF1" w14:paraId="5F65BC08"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5684B8D" w14:textId="4E73267D"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hideMark/>
          </w:tcPr>
          <w:p w14:paraId="2C174B00" w14:textId="2BD3BF8D"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meat</w:t>
            </w:r>
          </w:p>
        </w:tc>
        <w:tc>
          <w:tcPr>
            <w:tcW w:w="0" w:type="auto"/>
            <w:noWrap/>
            <w:vAlign w:val="bottom"/>
          </w:tcPr>
          <w:p w14:paraId="14A4FA6C" w14:textId="4DAD0F8C"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241</w:t>
            </w:r>
          </w:p>
        </w:tc>
        <w:tc>
          <w:tcPr>
            <w:tcW w:w="0" w:type="auto"/>
            <w:noWrap/>
            <w:vAlign w:val="bottom"/>
          </w:tcPr>
          <w:p w14:paraId="1827B649" w14:textId="494164A0"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241</w:t>
            </w:r>
          </w:p>
        </w:tc>
        <w:tc>
          <w:tcPr>
            <w:tcW w:w="0" w:type="auto"/>
            <w:noWrap/>
            <w:vAlign w:val="bottom"/>
          </w:tcPr>
          <w:p w14:paraId="4688D913" w14:textId="637478EF"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241</w:t>
            </w:r>
          </w:p>
        </w:tc>
        <w:tc>
          <w:tcPr>
            <w:tcW w:w="0" w:type="auto"/>
            <w:noWrap/>
            <w:vAlign w:val="bottom"/>
            <w:hideMark/>
          </w:tcPr>
          <w:p w14:paraId="0AFC7D7B" w14:textId="17B3244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85</w:t>
            </w:r>
          </w:p>
        </w:tc>
        <w:tc>
          <w:tcPr>
            <w:tcW w:w="0" w:type="auto"/>
            <w:noWrap/>
            <w:vAlign w:val="bottom"/>
            <w:hideMark/>
          </w:tcPr>
          <w:p w14:paraId="1366876A" w14:textId="4E8A2EFB"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22</w:t>
            </w:r>
          </w:p>
        </w:tc>
      </w:tr>
      <w:tr w:rsidR="00D87462" w:rsidRPr="00152AF1" w14:paraId="3D11DF30"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B782782" w14:textId="3FEE095C"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tcPr>
          <w:p w14:paraId="5CEB6688" w14:textId="1823C6DA" w:rsidR="00D87462" w:rsidRPr="00C274D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274D0">
              <w:rPr>
                <w:rFonts w:eastAsia="Times New Roman" w:cs="Arial"/>
                <w:i/>
                <w:color w:val="000000"/>
                <w:sz w:val="18"/>
                <w:szCs w:val="18"/>
                <w:lang w:eastAsia="en-GB"/>
              </w:rPr>
              <w:t>Milk (all)</w:t>
            </w:r>
          </w:p>
        </w:tc>
        <w:tc>
          <w:tcPr>
            <w:tcW w:w="0" w:type="auto"/>
            <w:noWrap/>
            <w:vAlign w:val="bottom"/>
          </w:tcPr>
          <w:p w14:paraId="4DC95143" w14:textId="78E6035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483</w:t>
            </w:r>
          </w:p>
        </w:tc>
        <w:tc>
          <w:tcPr>
            <w:tcW w:w="0" w:type="auto"/>
            <w:noWrap/>
            <w:vAlign w:val="bottom"/>
          </w:tcPr>
          <w:p w14:paraId="3F3F59B9" w14:textId="4CC8FFB9"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444</w:t>
            </w:r>
          </w:p>
        </w:tc>
        <w:tc>
          <w:tcPr>
            <w:tcW w:w="0" w:type="auto"/>
            <w:noWrap/>
            <w:vAlign w:val="bottom"/>
          </w:tcPr>
          <w:p w14:paraId="7C61D4A3" w14:textId="6C4FABF0"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412</w:t>
            </w:r>
          </w:p>
        </w:tc>
        <w:tc>
          <w:tcPr>
            <w:tcW w:w="0" w:type="auto"/>
            <w:noWrap/>
            <w:vAlign w:val="bottom"/>
          </w:tcPr>
          <w:p w14:paraId="50276787" w14:textId="2CC420E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1,295</w:t>
            </w:r>
          </w:p>
        </w:tc>
        <w:tc>
          <w:tcPr>
            <w:tcW w:w="0" w:type="auto"/>
            <w:noWrap/>
            <w:vAlign w:val="bottom"/>
          </w:tcPr>
          <w:p w14:paraId="12BB78B1" w14:textId="4CBFA89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693</w:t>
            </w:r>
          </w:p>
        </w:tc>
      </w:tr>
      <w:tr w:rsidR="00D87462" w:rsidRPr="00152AF1" w14:paraId="0C2B6F10"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10E7493" w14:textId="5D1ECBB0"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hideMark/>
          </w:tcPr>
          <w:p w14:paraId="71AC19D0" w14:textId="24CD3F9F"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milk</w:t>
            </w:r>
          </w:p>
        </w:tc>
        <w:tc>
          <w:tcPr>
            <w:tcW w:w="0" w:type="auto"/>
            <w:noWrap/>
            <w:vAlign w:val="bottom"/>
          </w:tcPr>
          <w:p w14:paraId="7267378C" w14:textId="03B01AB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591</w:t>
            </w:r>
          </w:p>
        </w:tc>
        <w:tc>
          <w:tcPr>
            <w:tcW w:w="0" w:type="auto"/>
            <w:noWrap/>
            <w:vAlign w:val="bottom"/>
          </w:tcPr>
          <w:p w14:paraId="7CCAE0C7" w14:textId="47EFEA4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533</w:t>
            </w:r>
          </w:p>
        </w:tc>
        <w:tc>
          <w:tcPr>
            <w:tcW w:w="0" w:type="auto"/>
            <w:noWrap/>
            <w:vAlign w:val="bottom"/>
          </w:tcPr>
          <w:p w14:paraId="0E1E3A4B" w14:textId="0A7137F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485</w:t>
            </w:r>
          </w:p>
        </w:tc>
        <w:tc>
          <w:tcPr>
            <w:tcW w:w="0" w:type="auto"/>
            <w:noWrap/>
            <w:vAlign w:val="bottom"/>
            <w:hideMark/>
          </w:tcPr>
          <w:p w14:paraId="38AEF66F" w14:textId="386FBDF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1,295</w:t>
            </w:r>
          </w:p>
        </w:tc>
        <w:tc>
          <w:tcPr>
            <w:tcW w:w="0" w:type="auto"/>
            <w:noWrap/>
            <w:vAlign w:val="bottom"/>
            <w:hideMark/>
          </w:tcPr>
          <w:p w14:paraId="2B30DA17" w14:textId="3349EC9C"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692</w:t>
            </w:r>
          </w:p>
        </w:tc>
      </w:tr>
      <w:tr w:rsidR="00D87462" w:rsidRPr="00152AF1" w14:paraId="2CB55A69"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AABAE6B" w14:textId="038453E9"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hideMark/>
          </w:tcPr>
          <w:p w14:paraId="79506FF5" w14:textId="01DF32C7"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milk</w:t>
            </w:r>
          </w:p>
        </w:tc>
        <w:tc>
          <w:tcPr>
            <w:tcW w:w="0" w:type="auto"/>
            <w:noWrap/>
            <w:vAlign w:val="bottom"/>
          </w:tcPr>
          <w:p w14:paraId="1DE3FE38" w14:textId="436E19C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483</w:t>
            </w:r>
          </w:p>
        </w:tc>
        <w:tc>
          <w:tcPr>
            <w:tcW w:w="0" w:type="auto"/>
            <w:noWrap/>
            <w:vAlign w:val="bottom"/>
          </w:tcPr>
          <w:p w14:paraId="4E9C79B1" w14:textId="4D32B6C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444</w:t>
            </w:r>
          </w:p>
        </w:tc>
        <w:tc>
          <w:tcPr>
            <w:tcW w:w="0" w:type="auto"/>
            <w:noWrap/>
            <w:vAlign w:val="bottom"/>
          </w:tcPr>
          <w:p w14:paraId="63F562DA" w14:textId="2483207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412</w:t>
            </w:r>
          </w:p>
        </w:tc>
        <w:tc>
          <w:tcPr>
            <w:tcW w:w="0" w:type="auto"/>
            <w:noWrap/>
            <w:vAlign w:val="bottom"/>
            <w:hideMark/>
          </w:tcPr>
          <w:p w14:paraId="57DE2015" w14:textId="510A3E3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31</w:t>
            </w:r>
          </w:p>
        </w:tc>
        <w:tc>
          <w:tcPr>
            <w:tcW w:w="0" w:type="auto"/>
            <w:noWrap/>
            <w:vAlign w:val="bottom"/>
            <w:hideMark/>
          </w:tcPr>
          <w:p w14:paraId="7F81AC21" w14:textId="1818C34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13</w:t>
            </w:r>
          </w:p>
        </w:tc>
      </w:tr>
      <w:tr w:rsidR="00D87462" w:rsidRPr="00152AF1" w14:paraId="063DC2E2"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478E952" w14:textId="6E925997"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445A41B1" w14:textId="704D6718" w:rsidR="00D87462" w:rsidRPr="00C274D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274D0">
              <w:rPr>
                <w:rFonts w:eastAsia="Times New Roman" w:cs="Arial"/>
                <w:i/>
                <w:color w:val="000000"/>
                <w:sz w:val="18"/>
                <w:szCs w:val="18"/>
                <w:lang w:eastAsia="en-GB"/>
              </w:rPr>
              <w:t>Miscellaneous foods (honey)</w:t>
            </w:r>
          </w:p>
        </w:tc>
        <w:tc>
          <w:tcPr>
            <w:tcW w:w="0" w:type="auto"/>
            <w:noWrap/>
            <w:vAlign w:val="bottom"/>
          </w:tcPr>
          <w:p w14:paraId="5596EB15"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19C55EEC" w14:textId="0B56865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43D7327D" w14:textId="1405042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31B8CC70" w14:textId="2E1CC02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14</w:t>
            </w:r>
          </w:p>
        </w:tc>
        <w:tc>
          <w:tcPr>
            <w:tcW w:w="0" w:type="auto"/>
            <w:noWrap/>
            <w:vAlign w:val="bottom"/>
            <w:hideMark/>
          </w:tcPr>
          <w:p w14:paraId="1987B52A" w14:textId="4E07D7B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w:t>
            </w:r>
          </w:p>
        </w:tc>
      </w:tr>
      <w:tr w:rsidR="00D87462" w:rsidRPr="00152AF1" w14:paraId="06048871"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A29CE60" w14:textId="42C3C2D2" w:rsidR="00D87462" w:rsidRPr="007F5A60"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60438D09" w14:textId="104B773B" w:rsidR="00D87462" w:rsidRPr="00C274D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274D0">
              <w:rPr>
                <w:rFonts w:eastAsia="Times New Roman" w:cs="Arial"/>
                <w:i/>
                <w:color w:val="000000"/>
                <w:sz w:val="18"/>
                <w:szCs w:val="18"/>
                <w:lang w:eastAsia="en-GB"/>
              </w:rPr>
              <w:t>Offal mammalian</w:t>
            </w:r>
          </w:p>
        </w:tc>
        <w:tc>
          <w:tcPr>
            <w:tcW w:w="0" w:type="auto"/>
            <w:noWrap/>
            <w:vAlign w:val="bottom"/>
          </w:tcPr>
          <w:p w14:paraId="1A868955" w14:textId="7791BC3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w:t>
            </w:r>
          </w:p>
        </w:tc>
        <w:tc>
          <w:tcPr>
            <w:tcW w:w="0" w:type="auto"/>
            <w:noWrap/>
            <w:vAlign w:val="bottom"/>
          </w:tcPr>
          <w:p w14:paraId="364F4D68" w14:textId="6E7EA73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w:t>
            </w:r>
          </w:p>
        </w:tc>
        <w:tc>
          <w:tcPr>
            <w:tcW w:w="0" w:type="auto"/>
            <w:noWrap/>
            <w:vAlign w:val="bottom"/>
          </w:tcPr>
          <w:p w14:paraId="1B596C38" w14:textId="744B66C9"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w:t>
            </w:r>
          </w:p>
        </w:tc>
        <w:tc>
          <w:tcPr>
            <w:tcW w:w="0" w:type="auto"/>
            <w:noWrap/>
            <w:vAlign w:val="bottom"/>
            <w:hideMark/>
          </w:tcPr>
          <w:p w14:paraId="5099673A" w14:textId="74E0499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84</w:t>
            </w:r>
          </w:p>
        </w:tc>
        <w:tc>
          <w:tcPr>
            <w:tcW w:w="0" w:type="auto"/>
            <w:noWrap/>
            <w:vAlign w:val="bottom"/>
            <w:hideMark/>
          </w:tcPr>
          <w:p w14:paraId="2819EF78" w14:textId="2A1D282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32</w:t>
            </w:r>
          </w:p>
        </w:tc>
      </w:tr>
      <w:tr w:rsidR="00D87462" w:rsidRPr="00152AF1" w14:paraId="36260929"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9AE0FEF" w14:textId="41C1E9E1" w:rsidR="00D87462" w:rsidRPr="007F5A60" w:rsidRDefault="00D87462" w:rsidP="00410657">
            <w:pPr>
              <w:spacing w:after="0" w:line="240" w:lineRule="auto"/>
              <w:contextualSpacing/>
              <w:rPr>
                <w:rFonts w:eastAsia="Times New Roman" w:cs="Arial"/>
                <w:color w:val="000000"/>
                <w:sz w:val="18"/>
                <w:szCs w:val="18"/>
                <w:lang w:eastAsia="en-GB"/>
              </w:rPr>
            </w:pPr>
          </w:p>
        </w:tc>
        <w:tc>
          <w:tcPr>
            <w:tcW w:w="0" w:type="auto"/>
            <w:noWrap/>
            <w:vAlign w:val="center"/>
          </w:tcPr>
          <w:p w14:paraId="15A5FE32" w14:textId="41DD0E4F" w:rsidR="00D87462" w:rsidRPr="00C274D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274D0">
              <w:rPr>
                <w:rFonts w:eastAsia="Times New Roman" w:cs="Arial"/>
                <w:i/>
                <w:color w:val="000000"/>
                <w:sz w:val="18"/>
                <w:szCs w:val="18"/>
                <w:lang w:eastAsia="en-GB"/>
              </w:rPr>
              <w:t>Poultry eggs</w:t>
            </w:r>
          </w:p>
        </w:tc>
        <w:tc>
          <w:tcPr>
            <w:tcW w:w="0" w:type="auto"/>
            <w:noWrap/>
            <w:vAlign w:val="bottom"/>
          </w:tcPr>
          <w:p w14:paraId="1C158AC0" w14:textId="398A774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175</w:t>
            </w:r>
          </w:p>
        </w:tc>
        <w:tc>
          <w:tcPr>
            <w:tcW w:w="0" w:type="auto"/>
            <w:noWrap/>
            <w:vAlign w:val="bottom"/>
          </w:tcPr>
          <w:p w14:paraId="01789F47" w14:textId="06A9F216"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151</w:t>
            </w:r>
          </w:p>
        </w:tc>
        <w:tc>
          <w:tcPr>
            <w:tcW w:w="0" w:type="auto"/>
            <w:noWrap/>
            <w:vAlign w:val="bottom"/>
          </w:tcPr>
          <w:p w14:paraId="0B830AC3" w14:textId="13C9F0C6"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130</w:t>
            </w:r>
          </w:p>
        </w:tc>
        <w:tc>
          <w:tcPr>
            <w:tcW w:w="0" w:type="auto"/>
            <w:noWrap/>
            <w:vAlign w:val="bottom"/>
          </w:tcPr>
          <w:p w14:paraId="3D409583" w14:textId="744CAF75"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59</w:t>
            </w:r>
          </w:p>
        </w:tc>
        <w:tc>
          <w:tcPr>
            <w:tcW w:w="0" w:type="auto"/>
            <w:noWrap/>
            <w:vAlign w:val="bottom"/>
          </w:tcPr>
          <w:p w14:paraId="71B48A2E" w14:textId="7B05E9DD"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w:t>
            </w:r>
          </w:p>
        </w:tc>
      </w:tr>
      <w:tr w:rsidR="00D87462" w:rsidRPr="00152AF1" w14:paraId="7A4571AB"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74F431E" w14:textId="7B0DCBD8" w:rsidR="00D87462" w:rsidRPr="007F5A60" w:rsidRDefault="00D87462" w:rsidP="00410657">
            <w:pPr>
              <w:spacing w:after="0" w:line="240" w:lineRule="auto"/>
              <w:contextualSpacing/>
              <w:rPr>
                <w:rFonts w:cs="Arial"/>
                <w:b w:val="0"/>
                <w:color w:val="000000"/>
                <w:sz w:val="18"/>
                <w:szCs w:val="18"/>
              </w:rPr>
            </w:pPr>
            <w:r w:rsidRPr="007F5A60">
              <w:rPr>
                <w:sz w:val="18"/>
                <w:szCs w:val="18"/>
              </w:rPr>
              <w:t>Fruit and vegetables</w:t>
            </w:r>
          </w:p>
        </w:tc>
        <w:tc>
          <w:tcPr>
            <w:tcW w:w="0" w:type="auto"/>
            <w:noWrap/>
            <w:vAlign w:val="center"/>
            <w:hideMark/>
          </w:tcPr>
          <w:p w14:paraId="01BA0E90" w14:textId="6ADBA4D4" w:rsidR="00D87462" w:rsidRPr="00C274D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C274D0">
              <w:rPr>
                <w:rFonts w:cs="Arial"/>
                <w:i/>
                <w:color w:val="000000"/>
                <w:sz w:val="18"/>
                <w:szCs w:val="18"/>
              </w:rPr>
              <w:t>Vegetables (all)</w:t>
            </w:r>
          </w:p>
        </w:tc>
        <w:tc>
          <w:tcPr>
            <w:tcW w:w="0" w:type="auto"/>
            <w:noWrap/>
            <w:vAlign w:val="bottom"/>
          </w:tcPr>
          <w:p w14:paraId="59CD6BE0"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8B047BF"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DBD2CEC"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hideMark/>
          </w:tcPr>
          <w:p w14:paraId="3D713EF7" w14:textId="1E034F56"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570</w:t>
            </w:r>
          </w:p>
        </w:tc>
        <w:tc>
          <w:tcPr>
            <w:tcW w:w="0" w:type="auto"/>
            <w:noWrap/>
            <w:vAlign w:val="bottom"/>
            <w:hideMark/>
          </w:tcPr>
          <w:p w14:paraId="3C894C6B" w14:textId="348F736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314</w:t>
            </w:r>
          </w:p>
        </w:tc>
      </w:tr>
      <w:tr w:rsidR="00D87462" w:rsidRPr="00152AF1" w14:paraId="501633B7"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4A97F90" w14:textId="77777777" w:rsidR="00D87462" w:rsidRPr="00152AF1"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5526B44A" w14:textId="54A54DE0"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Cucurbits</w:t>
            </w:r>
          </w:p>
        </w:tc>
        <w:tc>
          <w:tcPr>
            <w:tcW w:w="0" w:type="auto"/>
            <w:noWrap/>
            <w:vAlign w:val="bottom"/>
          </w:tcPr>
          <w:p w14:paraId="48DF6ECC"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EAA61E0" w14:textId="1E8B0C8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1,400</w:t>
            </w:r>
          </w:p>
        </w:tc>
        <w:tc>
          <w:tcPr>
            <w:tcW w:w="0" w:type="auto"/>
            <w:noWrap/>
            <w:vAlign w:val="bottom"/>
          </w:tcPr>
          <w:p w14:paraId="29799915" w14:textId="53AF2D5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700</w:t>
            </w:r>
          </w:p>
        </w:tc>
        <w:tc>
          <w:tcPr>
            <w:tcW w:w="0" w:type="auto"/>
            <w:noWrap/>
            <w:vAlign w:val="bottom"/>
            <w:hideMark/>
          </w:tcPr>
          <w:p w14:paraId="38F271C7" w14:textId="4B66F0B6"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96</w:t>
            </w:r>
          </w:p>
        </w:tc>
        <w:tc>
          <w:tcPr>
            <w:tcW w:w="0" w:type="auto"/>
            <w:noWrap/>
            <w:vAlign w:val="bottom"/>
            <w:hideMark/>
          </w:tcPr>
          <w:p w14:paraId="4803AD25" w14:textId="2F531ED6"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35</w:t>
            </w:r>
          </w:p>
        </w:tc>
      </w:tr>
      <w:tr w:rsidR="00D87462" w:rsidRPr="00152AF1" w14:paraId="1D5C2307"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3A45249" w14:textId="77777777" w:rsidR="00D87462" w:rsidRPr="00152AF1"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ECAD40F" w14:textId="04EA82B0"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Herbs</w:t>
            </w:r>
          </w:p>
        </w:tc>
        <w:tc>
          <w:tcPr>
            <w:tcW w:w="0" w:type="auto"/>
            <w:noWrap/>
            <w:vAlign w:val="bottom"/>
          </w:tcPr>
          <w:p w14:paraId="463648D2"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B94866B" w14:textId="0BE1BCC3"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7BF58073" w14:textId="73E29BE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144DA3DB" w14:textId="6DF8281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w:t>
            </w:r>
          </w:p>
        </w:tc>
        <w:tc>
          <w:tcPr>
            <w:tcW w:w="0" w:type="auto"/>
            <w:noWrap/>
            <w:vAlign w:val="bottom"/>
            <w:hideMark/>
          </w:tcPr>
          <w:p w14:paraId="0193C794" w14:textId="494410A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w:t>
            </w:r>
          </w:p>
        </w:tc>
      </w:tr>
      <w:tr w:rsidR="00D87462" w:rsidRPr="00152AF1" w14:paraId="1D4064C7"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F6EB86F" w14:textId="77777777" w:rsidR="00D87462" w:rsidRPr="00152AF1"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2B8881A" w14:textId="71BDF50C"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Leafy vegetables</w:t>
            </w:r>
          </w:p>
        </w:tc>
        <w:tc>
          <w:tcPr>
            <w:tcW w:w="0" w:type="auto"/>
            <w:noWrap/>
            <w:vAlign w:val="bottom"/>
          </w:tcPr>
          <w:p w14:paraId="2C4A3A81"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6B33C0F" w14:textId="3F90BC1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1,400</w:t>
            </w:r>
          </w:p>
        </w:tc>
        <w:tc>
          <w:tcPr>
            <w:tcW w:w="0" w:type="auto"/>
            <w:noWrap/>
            <w:vAlign w:val="bottom"/>
          </w:tcPr>
          <w:p w14:paraId="1513D315" w14:textId="6F819488"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700</w:t>
            </w:r>
          </w:p>
        </w:tc>
        <w:tc>
          <w:tcPr>
            <w:tcW w:w="0" w:type="auto"/>
            <w:noWrap/>
            <w:vAlign w:val="bottom"/>
            <w:hideMark/>
          </w:tcPr>
          <w:p w14:paraId="349598FB" w14:textId="0B921B88"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48</w:t>
            </w:r>
          </w:p>
        </w:tc>
        <w:tc>
          <w:tcPr>
            <w:tcW w:w="0" w:type="auto"/>
            <w:noWrap/>
            <w:vAlign w:val="bottom"/>
            <w:hideMark/>
          </w:tcPr>
          <w:p w14:paraId="6A1AB28B" w14:textId="784141B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22</w:t>
            </w:r>
          </w:p>
        </w:tc>
      </w:tr>
      <w:tr w:rsidR="00D87462" w:rsidRPr="00152AF1" w14:paraId="38A417B2"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E9E2369" w14:textId="77777777" w:rsidR="00D87462" w:rsidRPr="00152AF1"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A66D772" w14:textId="7DD5D01F"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Other fruiting vegetables</w:t>
            </w:r>
          </w:p>
        </w:tc>
        <w:tc>
          <w:tcPr>
            <w:tcW w:w="0" w:type="auto"/>
            <w:noWrap/>
            <w:vAlign w:val="bottom"/>
          </w:tcPr>
          <w:p w14:paraId="6664103F"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7D026F1" w14:textId="203156D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7772AE29" w14:textId="314CB08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05904718" w14:textId="1E7A5F6D"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205</w:t>
            </w:r>
          </w:p>
        </w:tc>
        <w:tc>
          <w:tcPr>
            <w:tcW w:w="0" w:type="auto"/>
            <w:noWrap/>
            <w:vAlign w:val="bottom"/>
            <w:hideMark/>
          </w:tcPr>
          <w:p w14:paraId="0B04224A" w14:textId="6E76A08D"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104</w:t>
            </w:r>
          </w:p>
        </w:tc>
      </w:tr>
      <w:tr w:rsidR="00D87462" w:rsidRPr="00152AF1" w14:paraId="034664F4"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BF615ED" w14:textId="77777777" w:rsidR="00D87462" w:rsidRPr="00152AF1"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0A2DE4F4" w14:textId="4346BE0F"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Root and tuber vegetables</w:t>
            </w:r>
          </w:p>
        </w:tc>
        <w:tc>
          <w:tcPr>
            <w:tcW w:w="0" w:type="auto"/>
            <w:noWrap/>
            <w:vAlign w:val="bottom"/>
          </w:tcPr>
          <w:p w14:paraId="1DB51D97"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83CDF21" w14:textId="3342EBA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6248D472" w14:textId="1DABD6FB"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1F0B02FE" w14:textId="4A5DF6B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273</w:t>
            </w:r>
          </w:p>
        </w:tc>
        <w:tc>
          <w:tcPr>
            <w:tcW w:w="0" w:type="auto"/>
            <w:noWrap/>
            <w:vAlign w:val="bottom"/>
            <w:hideMark/>
          </w:tcPr>
          <w:p w14:paraId="047E7B21" w14:textId="4F9F95E1"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123</w:t>
            </w:r>
          </w:p>
        </w:tc>
      </w:tr>
      <w:tr w:rsidR="00D87462" w:rsidRPr="00152AF1" w14:paraId="14ED05BD"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C9176FD" w14:textId="77777777" w:rsidR="00D87462" w:rsidRPr="00152AF1"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E9B8E73" w14:textId="00287EB4"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Spices</w:t>
            </w:r>
          </w:p>
        </w:tc>
        <w:tc>
          <w:tcPr>
            <w:tcW w:w="0" w:type="auto"/>
            <w:noWrap/>
            <w:vAlign w:val="bottom"/>
          </w:tcPr>
          <w:p w14:paraId="70B4B941"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033DD89" w14:textId="63F2142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40C6B267" w14:textId="714B57A9"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21B6E6E5" w14:textId="207746C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w:t>
            </w:r>
          </w:p>
        </w:tc>
        <w:tc>
          <w:tcPr>
            <w:tcW w:w="0" w:type="auto"/>
            <w:noWrap/>
            <w:vAlign w:val="bottom"/>
            <w:hideMark/>
          </w:tcPr>
          <w:p w14:paraId="00C4B1FE" w14:textId="21B14ECD"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w:t>
            </w:r>
          </w:p>
        </w:tc>
      </w:tr>
      <w:tr w:rsidR="00D87462" w:rsidRPr="00152AF1" w14:paraId="2C2F0B49"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4681851" w14:textId="77777777" w:rsidR="00D87462" w:rsidRPr="00152AF1"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6401DA6F" w14:textId="23490C42"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Stalk and stem vegetables</w:t>
            </w:r>
          </w:p>
        </w:tc>
        <w:tc>
          <w:tcPr>
            <w:tcW w:w="0" w:type="auto"/>
            <w:noWrap/>
            <w:vAlign w:val="bottom"/>
          </w:tcPr>
          <w:p w14:paraId="3625B133" w14:textId="7C936BAF"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295</w:t>
            </w:r>
          </w:p>
        </w:tc>
        <w:tc>
          <w:tcPr>
            <w:tcW w:w="0" w:type="auto"/>
            <w:noWrap/>
            <w:vAlign w:val="bottom"/>
          </w:tcPr>
          <w:p w14:paraId="5F0BBDBA" w14:textId="421D846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295</w:t>
            </w:r>
          </w:p>
        </w:tc>
        <w:tc>
          <w:tcPr>
            <w:tcW w:w="0" w:type="auto"/>
            <w:noWrap/>
            <w:vAlign w:val="bottom"/>
          </w:tcPr>
          <w:p w14:paraId="607A7E5B" w14:textId="43C5DA1D"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283</w:t>
            </w:r>
          </w:p>
        </w:tc>
        <w:tc>
          <w:tcPr>
            <w:tcW w:w="0" w:type="auto"/>
            <w:noWrap/>
            <w:vAlign w:val="bottom"/>
            <w:hideMark/>
          </w:tcPr>
          <w:p w14:paraId="564E5794" w14:textId="6DB1614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15</w:t>
            </w:r>
          </w:p>
        </w:tc>
        <w:tc>
          <w:tcPr>
            <w:tcW w:w="0" w:type="auto"/>
            <w:noWrap/>
            <w:vAlign w:val="bottom"/>
            <w:hideMark/>
          </w:tcPr>
          <w:p w14:paraId="16829F89" w14:textId="4789E83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w:t>
            </w:r>
          </w:p>
        </w:tc>
      </w:tr>
      <w:tr w:rsidR="00D87462" w:rsidRPr="00152AF1" w14:paraId="49EA2931"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1C3A5F3" w14:textId="2C40D6E8" w:rsidR="00D87462" w:rsidRDefault="00D87462" w:rsidP="00410657">
            <w:pPr>
              <w:spacing w:after="0" w:line="240" w:lineRule="auto"/>
              <w:contextualSpacing/>
              <w:rPr>
                <w:rFonts w:cs="Arial"/>
                <w:b w:val="0"/>
                <w:color w:val="000000"/>
                <w:sz w:val="18"/>
                <w:szCs w:val="18"/>
              </w:rPr>
            </w:pPr>
          </w:p>
        </w:tc>
        <w:tc>
          <w:tcPr>
            <w:tcW w:w="0" w:type="auto"/>
            <w:noWrap/>
            <w:vAlign w:val="center"/>
            <w:hideMark/>
          </w:tcPr>
          <w:p w14:paraId="32ED5F43" w14:textId="53308529" w:rsidR="00D87462" w:rsidRPr="00C274D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C274D0">
              <w:rPr>
                <w:rFonts w:cs="Arial"/>
                <w:i/>
                <w:color w:val="000000"/>
                <w:sz w:val="18"/>
                <w:szCs w:val="18"/>
              </w:rPr>
              <w:t>Fruit (all)</w:t>
            </w:r>
          </w:p>
        </w:tc>
        <w:tc>
          <w:tcPr>
            <w:tcW w:w="0" w:type="auto"/>
            <w:noWrap/>
            <w:vAlign w:val="bottom"/>
          </w:tcPr>
          <w:p w14:paraId="576C5113"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16F2788"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04C803F"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hideMark/>
          </w:tcPr>
          <w:p w14:paraId="21E0C3AF" w14:textId="324B68A9"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861</w:t>
            </w:r>
          </w:p>
        </w:tc>
        <w:tc>
          <w:tcPr>
            <w:tcW w:w="0" w:type="auto"/>
            <w:noWrap/>
            <w:vAlign w:val="bottom"/>
            <w:hideMark/>
          </w:tcPr>
          <w:p w14:paraId="46BFDF66" w14:textId="642BAA21"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381</w:t>
            </w:r>
          </w:p>
        </w:tc>
      </w:tr>
      <w:tr w:rsidR="00D87462" w:rsidRPr="00152AF1" w14:paraId="3208ACCF"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AB264E9" w14:textId="14776BEB"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73B0E2C" w14:textId="3EEADD17"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Berries and other small fruits</w:t>
            </w:r>
          </w:p>
        </w:tc>
        <w:tc>
          <w:tcPr>
            <w:tcW w:w="0" w:type="auto"/>
            <w:noWrap/>
            <w:vAlign w:val="bottom"/>
          </w:tcPr>
          <w:p w14:paraId="6F9B91DC"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E37A9FF" w14:textId="51BA3FB5"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788165E3" w14:textId="1526BBD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172EB5E5" w14:textId="608038C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526</w:t>
            </w:r>
          </w:p>
        </w:tc>
        <w:tc>
          <w:tcPr>
            <w:tcW w:w="0" w:type="auto"/>
            <w:noWrap/>
            <w:vAlign w:val="bottom"/>
            <w:hideMark/>
          </w:tcPr>
          <w:p w14:paraId="7604D267" w14:textId="6F50192C"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166</w:t>
            </w:r>
          </w:p>
        </w:tc>
      </w:tr>
      <w:tr w:rsidR="00D87462" w:rsidRPr="00152AF1" w14:paraId="4C4346CD"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FD9AA3E" w14:textId="67F0AC05"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11DA508D" w14:textId="2B538A3C"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Citrus fruits</w:t>
            </w:r>
          </w:p>
        </w:tc>
        <w:tc>
          <w:tcPr>
            <w:tcW w:w="0" w:type="auto"/>
            <w:noWrap/>
            <w:vAlign w:val="bottom"/>
          </w:tcPr>
          <w:p w14:paraId="7F50F268"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F708108" w14:textId="06D07692"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7A12F67B" w14:textId="63F17DE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4486C013" w14:textId="3B75611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354</w:t>
            </w:r>
          </w:p>
        </w:tc>
        <w:tc>
          <w:tcPr>
            <w:tcW w:w="0" w:type="auto"/>
            <w:noWrap/>
            <w:vAlign w:val="bottom"/>
            <w:hideMark/>
          </w:tcPr>
          <w:p w14:paraId="00836841" w14:textId="20F7691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129</w:t>
            </w:r>
          </w:p>
        </w:tc>
      </w:tr>
      <w:tr w:rsidR="00D87462" w:rsidRPr="00152AF1" w14:paraId="01E48EE9"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3ADC90E" w14:textId="408906BE"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C00015D" w14:textId="052303C0"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Pome fruits</w:t>
            </w:r>
          </w:p>
        </w:tc>
        <w:tc>
          <w:tcPr>
            <w:tcW w:w="0" w:type="auto"/>
            <w:noWrap/>
            <w:vAlign w:val="bottom"/>
          </w:tcPr>
          <w:p w14:paraId="37411863"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751725E" w14:textId="3EF706D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467</w:t>
            </w:r>
          </w:p>
        </w:tc>
        <w:tc>
          <w:tcPr>
            <w:tcW w:w="0" w:type="auto"/>
            <w:noWrap/>
            <w:vAlign w:val="bottom"/>
          </w:tcPr>
          <w:p w14:paraId="6A9D6945" w14:textId="0424C40D"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233</w:t>
            </w:r>
          </w:p>
        </w:tc>
        <w:tc>
          <w:tcPr>
            <w:tcW w:w="0" w:type="auto"/>
            <w:noWrap/>
            <w:vAlign w:val="bottom"/>
            <w:hideMark/>
          </w:tcPr>
          <w:p w14:paraId="33DC7633" w14:textId="3DC4E66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321</w:t>
            </w:r>
          </w:p>
        </w:tc>
        <w:tc>
          <w:tcPr>
            <w:tcW w:w="0" w:type="auto"/>
            <w:noWrap/>
            <w:vAlign w:val="bottom"/>
            <w:hideMark/>
          </w:tcPr>
          <w:p w14:paraId="2BAF5F37" w14:textId="0A63B970"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147</w:t>
            </w:r>
          </w:p>
        </w:tc>
      </w:tr>
      <w:tr w:rsidR="00D87462" w:rsidRPr="00152AF1" w14:paraId="6C9D8E23"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3622716" w14:textId="071B9254"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84B3086" w14:textId="320BAE1B"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Tropical fruit - edible peel</w:t>
            </w:r>
          </w:p>
        </w:tc>
        <w:tc>
          <w:tcPr>
            <w:tcW w:w="0" w:type="auto"/>
            <w:noWrap/>
            <w:vAlign w:val="bottom"/>
          </w:tcPr>
          <w:p w14:paraId="37916125"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F489877" w14:textId="0CA58D77" w:rsidR="00D87462" w:rsidRPr="00D87462" w:rsidRDefault="00B42527"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1,400</w:t>
            </w:r>
          </w:p>
        </w:tc>
        <w:tc>
          <w:tcPr>
            <w:tcW w:w="0" w:type="auto"/>
            <w:noWrap/>
            <w:vAlign w:val="bottom"/>
          </w:tcPr>
          <w:p w14:paraId="7F0DE6C4" w14:textId="4B9E8456" w:rsidR="00D87462" w:rsidRPr="00D87462" w:rsidRDefault="00B42527"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700</w:t>
            </w:r>
          </w:p>
        </w:tc>
        <w:tc>
          <w:tcPr>
            <w:tcW w:w="0" w:type="auto"/>
            <w:noWrap/>
            <w:vAlign w:val="bottom"/>
            <w:hideMark/>
          </w:tcPr>
          <w:p w14:paraId="535AEFBA" w14:textId="2B8A563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w:t>
            </w:r>
          </w:p>
        </w:tc>
        <w:tc>
          <w:tcPr>
            <w:tcW w:w="0" w:type="auto"/>
            <w:noWrap/>
            <w:vAlign w:val="bottom"/>
            <w:hideMark/>
          </w:tcPr>
          <w:p w14:paraId="62AB9C71" w14:textId="2A61E82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w:t>
            </w:r>
          </w:p>
        </w:tc>
      </w:tr>
    </w:tbl>
    <w:p w14:paraId="774B618D" w14:textId="487E9D80" w:rsidR="008A4D2C" w:rsidRPr="008A4D2C" w:rsidRDefault="008A4D2C" w:rsidP="009A560C">
      <w:pPr>
        <w:pStyle w:val="FSCFootnote"/>
      </w:pPr>
      <w:r w:rsidRPr="008A4D2C">
        <w:t xml:space="preserve">*Consumption amounts not provided where median PFAS concentration </w:t>
      </w:r>
      <w:r>
        <w:t>was &lt;LOR and calculated as zero</w:t>
      </w:r>
      <w:r w:rsidR="00410657">
        <w:t xml:space="preserve">; </w:t>
      </w:r>
      <w:r w:rsidRPr="008A4D2C">
        <w:t>- insufficient consumers to derive P90 consumption</w:t>
      </w:r>
    </w:p>
    <w:p w14:paraId="3A8DDEBF" w14:textId="7E883987" w:rsidR="001A2CD0" w:rsidRDefault="001A2CD0">
      <w:r>
        <w:br w:type="page"/>
      </w:r>
    </w:p>
    <w:p w14:paraId="1767B47C" w14:textId="06690199" w:rsidR="00544A77" w:rsidRDefault="00544A77" w:rsidP="00984802">
      <w:pPr>
        <w:pStyle w:val="FSTableColumnRowheading"/>
      </w:pPr>
      <w:bookmarkStart w:id="233" w:name="_Ref473883350"/>
      <w:bookmarkStart w:id="234" w:name="_Toc474153729"/>
      <w:bookmarkStart w:id="235" w:name="_Toc474158921"/>
      <w:bookmarkStart w:id="236" w:name="_Toc474847881"/>
      <w:bookmarkStart w:id="237" w:name="_Toc474852121"/>
      <w:r w:rsidRPr="00F125A2">
        <w:lastRenderedPageBreak/>
        <w:t>Amount of food</w:t>
      </w:r>
      <w:r>
        <w:t>*</w:t>
      </w:r>
      <w:r w:rsidRPr="00F125A2">
        <w:t xml:space="preserve"> (grams</w:t>
      </w:r>
      <w:r w:rsidR="00AC5A9F">
        <w:t>/day</w:t>
      </w:r>
      <w:r w:rsidRPr="00F125A2">
        <w:t xml:space="preserve">) at median </w:t>
      </w:r>
      <w:proofErr w:type="spellStart"/>
      <w:r>
        <w:t>PFOS+PFHxS</w:t>
      </w:r>
      <w:proofErr w:type="spellEnd"/>
      <w:r w:rsidRPr="00F125A2">
        <w:t xml:space="preserve"> </w:t>
      </w:r>
      <w:r w:rsidR="00160865">
        <w:t xml:space="preserve">combined </w:t>
      </w:r>
      <w:r w:rsidRPr="00F125A2">
        <w:t>concentration to reach the TD</w:t>
      </w:r>
      <w:r>
        <w:t xml:space="preserve">I for the population aged 2-6 </w:t>
      </w:r>
      <w:r w:rsidRPr="00F125A2">
        <w:t>years</w:t>
      </w:r>
      <w:bookmarkEnd w:id="233"/>
      <w:bookmarkEnd w:id="234"/>
      <w:bookmarkEnd w:id="235"/>
      <w:bookmarkEnd w:id="236"/>
      <w:bookmarkEnd w:id="237"/>
      <w:r w:rsidRPr="00F125A2">
        <w:t xml:space="preserve"> </w:t>
      </w:r>
    </w:p>
    <w:tbl>
      <w:tblPr>
        <w:tblStyle w:val="LightList-Accent1"/>
        <w:tblW w:w="0" w:type="auto"/>
        <w:tblLook w:val="04A0" w:firstRow="1" w:lastRow="0" w:firstColumn="1" w:lastColumn="0" w:noHBand="0" w:noVBand="1"/>
      </w:tblPr>
      <w:tblGrid>
        <w:gridCol w:w="1838"/>
        <w:gridCol w:w="2509"/>
        <w:gridCol w:w="1928"/>
        <w:gridCol w:w="1980"/>
        <w:gridCol w:w="1914"/>
        <w:gridCol w:w="1961"/>
        <w:gridCol w:w="2088"/>
      </w:tblGrid>
      <w:tr w:rsidR="00AD5E37" w:rsidRPr="00497529" w14:paraId="52F577B5" w14:textId="77777777" w:rsidTr="009237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044067E4" w14:textId="3B130425" w:rsidR="00AD5E37" w:rsidRPr="00497529" w:rsidRDefault="00AD5E37" w:rsidP="0092375E">
            <w:pPr>
              <w:contextualSpacing/>
              <w:rPr>
                <w:rFonts w:eastAsia="Times New Roman" w:cs="Arial"/>
                <w:sz w:val="18"/>
                <w:szCs w:val="18"/>
                <w:lang w:eastAsia="en-GB"/>
              </w:rPr>
            </w:pPr>
            <w:r w:rsidRPr="003C03A1">
              <w:rPr>
                <w:rFonts w:eastAsia="Times New Roman" w:cs="Arial"/>
                <w:sz w:val="18"/>
                <w:szCs w:val="18"/>
                <w:lang w:eastAsia="en-GB"/>
              </w:rPr>
              <w:t xml:space="preserve">Food </w:t>
            </w:r>
            <w:r w:rsidR="0092375E">
              <w:rPr>
                <w:rFonts w:eastAsia="Times New Roman" w:cs="Arial"/>
                <w:sz w:val="18"/>
                <w:szCs w:val="18"/>
                <w:lang w:eastAsia="en-GB"/>
              </w:rPr>
              <w:t>category</w:t>
            </w:r>
          </w:p>
        </w:tc>
        <w:tc>
          <w:tcPr>
            <w:tcW w:w="0" w:type="auto"/>
            <w:vMerge w:val="restart"/>
            <w:vAlign w:val="center"/>
          </w:tcPr>
          <w:p w14:paraId="0083AD47" w14:textId="614DE469"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classification</w:t>
            </w:r>
          </w:p>
        </w:tc>
        <w:tc>
          <w:tcPr>
            <w:tcW w:w="0" w:type="auto"/>
            <w:gridSpan w:val="3"/>
            <w:vAlign w:val="center"/>
          </w:tcPr>
          <w:p w14:paraId="569B210F" w14:textId="05D968CA"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 xml:space="preserve">Amount of food that can be consumed before reaching </w:t>
            </w:r>
            <w:proofErr w:type="spellStart"/>
            <w:r w:rsidRPr="00497529">
              <w:rPr>
                <w:rFonts w:eastAsia="Times New Roman" w:cs="Arial"/>
                <w:sz w:val="18"/>
                <w:szCs w:val="18"/>
                <w:lang w:eastAsia="en-GB"/>
              </w:rPr>
              <w:t>PFOS+PFHxS</w:t>
            </w:r>
            <w:proofErr w:type="spellEnd"/>
            <w:r w:rsidRPr="00497529">
              <w:rPr>
                <w:rFonts w:eastAsia="Times New Roman" w:cs="Arial"/>
                <w:sz w:val="18"/>
                <w:szCs w:val="18"/>
                <w:lang w:eastAsia="en-GB"/>
              </w:rPr>
              <w:t xml:space="preserve"> TDI</w:t>
            </w:r>
          </w:p>
        </w:tc>
        <w:tc>
          <w:tcPr>
            <w:tcW w:w="0" w:type="auto"/>
            <w:gridSpan w:val="2"/>
            <w:vAlign w:val="center"/>
          </w:tcPr>
          <w:p w14:paraId="185012FF" w14:textId="77777777" w:rsidR="00AD5E37" w:rsidRPr="00497529" w:rsidRDefault="00AD5E37" w:rsidP="0092375E">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consumption derived from 2011-12 NNPAS</w:t>
            </w:r>
          </w:p>
        </w:tc>
      </w:tr>
      <w:tr w:rsidR="00AD5E37" w:rsidRPr="00F420C3" w14:paraId="2D581318" w14:textId="77777777" w:rsidTr="00AD5E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777AB1A" w14:textId="050F34E3" w:rsidR="00AD5E37" w:rsidRPr="00F420C3" w:rsidRDefault="00AD5E37" w:rsidP="00410657">
            <w:pPr>
              <w:spacing w:after="0" w:line="240" w:lineRule="auto"/>
              <w:contextualSpacing/>
              <w:jc w:val="center"/>
              <w:rPr>
                <w:rFonts w:eastAsia="Times New Roman" w:cs="Arial"/>
                <w:color w:val="000000"/>
                <w:sz w:val="18"/>
                <w:szCs w:val="18"/>
                <w:lang w:eastAsia="en-GB"/>
              </w:rPr>
            </w:pPr>
          </w:p>
        </w:tc>
        <w:tc>
          <w:tcPr>
            <w:tcW w:w="0" w:type="auto"/>
            <w:vMerge/>
            <w:vAlign w:val="center"/>
            <w:hideMark/>
          </w:tcPr>
          <w:p w14:paraId="2DFE4800" w14:textId="0C9767D9" w:rsidR="00AD5E37" w:rsidRPr="00F420C3"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vAlign w:val="center"/>
          </w:tcPr>
          <w:p w14:paraId="0F1CFB66" w14:textId="77777777" w:rsidR="00AD5E37" w:rsidRPr="00F420C3"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Lower Bound</w:t>
            </w:r>
          </w:p>
        </w:tc>
        <w:tc>
          <w:tcPr>
            <w:tcW w:w="0" w:type="auto"/>
            <w:vAlign w:val="center"/>
          </w:tcPr>
          <w:p w14:paraId="65E531E6" w14:textId="77777777" w:rsidR="00AD5E37" w:rsidRPr="00F420C3"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Middle Bound</w:t>
            </w:r>
          </w:p>
        </w:tc>
        <w:tc>
          <w:tcPr>
            <w:tcW w:w="0" w:type="auto"/>
            <w:vAlign w:val="center"/>
          </w:tcPr>
          <w:p w14:paraId="24B82716" w14:textId="77777777" w:rsidR="00AD5E37" w:rsidRPr="00F420C3"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Upper Bound</w:t>
            </w:r>
          </w:p>
        </w:tc>
        <w:tc>
          <w:tcPr>
            <w:tcW w:w="0" w:type="auto"/>
            <w:vAlign w:val="center"/>
            <w:hideMark/>
          </w:tcPr>
          <w:p w14:paraId="47C04B5C" w14:textId="77777777" w:rsidR="00AD5E37" w:rsidRPr="00F420C3"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P90 consumers only</w:t>
            </w:r>
          </w:p>
        </w:tc>
        <w:tc>
          <w:tcPr>
            <w:tcW w:w="0" w:type="auto"/>
            <w:vAlign w:val="center"/>
            <w:hideMark/>
          </w:tcPr>
          <w:p w14:paraId="3717F67E" w14:textId="77777777" w:rsidR="00AD5E37" w:rsidRPr="00F420C3" w:rsidRDefault="00AD5E3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F420C3">
              <w:rPr>
                <w:rFonts w:eastAsia="Times New Roman" w:cs="Arial"/>
                <w:b/>
                <w:color w:val="000000"/>
                <w:sz w:val="18"/>
                <w:szCs w:val="18"/>
                <w:lang w:eastAsia="en-GB"/>
              </w:rPr>
              <w:t>Mean consumers only</w:t>
            </w:r>
          </w:p>
        </w:tc>
      </w:tr>
      <w:tr w:rsidR="00D87462" w:rsidRPr="00F420C3" w14:paraId="333DF5FA"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66CE992" w14:textId="74C2E7FC" w:rsidR="00D87462" w:rsidRPr="007F5A60" w:rsidRDefault="00D87462" w:rsidP="00410657">
            <w:pPr>
              <w:spacing w:after="0" w:line="240" w:lineRule="auto"/>
              <w:contextualSpacing/>
              <w:rPr>
                <w:rFonts w:eastAsia="Times New Roman" w:cs="Arial"/>
                <w:bCs w:val="0"/>
                <w:color w:val="000000"/>
                <w:sz w:val="18"/>
                <w:szCs w:val="18"/>
                <w:lang w:eastAsia="en-GB"/>
              </w:rPr>
            </w:pPr>
            <w:r w:rsidRPr="003C03A1">
              <w:rPr>
                <w:rFonts w:eastAsia="Times New Roman" w:cs="Arial"/>
                <w:color w:val="000000"/>
                <w:sz w:val="18"/>
                <w:szCs w:val="18"/>
                <w:lang w:eastAsia="en-GB"/>
              </w:rPr>
              <w:t>Fish and seafood</w:t>
            </w:r>
          </w:p>
        </w:tc>
        <w:tc>
          <w:tcPr>
            <w:tcW w:w="0" w:type="auto"/>
            <w:noWrap/>
            <w:vAlign w:val="center"/>
            <w:hideMark/>
          </w:tcPr>
          <w:p w14:paraId="26E158F6" w14:textId="3836B93B" w:rsidR="00D87462" w:rsidRPr="0003599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035990">
              <w:rPr>
                <w:rFonts w:eastAsia="Times New Roman" w:cs="Arial"/>
                <w:i/>
                <w:color w:val="000000"/>
                <w:sz w:val="18"/>
                <w:szCs w:val="18"/>
                <w:lang w:eastAsia="en-GB"/>
              </w:rPr>
              <w:t>Crustaceans of all species</w:t>
            </w:r>
          </w:p>
        </w:tc>
        <w:tc>
          <w:tcPr>
            <w:tcW w:w="0" w:type="auto"/>
            <w:noWrap/>
            <w:vAlign w:val="bottom"/>
          </w:tcPr>
          <w:p w14:paraId="2E1E95A8" w14:textId="1FDA577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24</w:t>
            </w:r>
          </w:p>
        </w:tc>
        <w:tc>
          <w:tcPr>
            <w:tcW w:w="0" w:type="auto"/>
            <w:noWrap/>
            <w:vAlign w:val="bottom"/>
          </w:tcPr>
          <w:p w14:paraId="66602206" w14:textId="2F713E1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24</w:t>
            </w:r>
          </w:p>
        </w:tc>
        <w:tc>
          <w:tcPr>
            <w:tcW w:w="0" w:type="auto"/>
            <w:noWrap/>
            <w:vAlign w:val="bottom"/>
          </w:tcPr>
          <w:p w14:paraId="110631C6" w14:textId="742C058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24</w:t>
            </w:r>
          </w:p>
        </w:tc>
        <w:tc>
          <w:tcPr>
            <w:tcW w:w="0" w:type="auto"/>
            <w:noWrap/>
            <w:vAlign w:val="bottom"/>
          </w:tcPr>
          <w:p w14:paraId="35B03A7E" w14:textId="6EDF821D"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21</w:t>
            </w:r>
          </w:p>
        </w:tc>
        <w:tc>
          <w:tcPr>
            <w:tcW w:w="0" w:type="auto"/>
            <w:noWrap/>
            <w:vAlign w:val="bottom"/>
          </w:tcPr>
          <w:p w14:paraId="44C0CB24" w14:textId="111458D0"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w:t>
            </w:r>
          </w:p>
        </w:tc>
      </w:tr>
      <w:tr w:rsidR="00D87462" w:rsidRPr="00F420C3" w14:paraId="3A04C434"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F477C14" w14:textId="1E568297" w:rsidR="00D87462" w:rsidRPr="00F420C3" w:rsidRDefault="00D87462" w:rsidP="00410657">
            <w:pPr>
              <w:spacing w:after="0" w:line="240" w:lineRule="auto"/>
              <w:contextualSpacing/>
              <w:rPr>
                <w:rFonts w:cs="Arial"/>
                <w:b w:val="0"/>
                <w:color w:val="000000"/>
                <w:sz w:val="18"/>
                <w:szCs w:val="18"/>
              </w:rPr>
            </w:pPr>
          </w:p>
        </w:tc>
        <w:tc>
          <w:tcPr>
            <w:tcW w:w="0" w:type="auto"/>
            <w:noWrap/>
            <w:vAlign w:val="center"/>
            <w:hideMark/>
          </w:tcPr>
          <w:p w14:paraId="6B123FC0" w14:textId="4F0433E3" w:rsidR="00D87462" w:rsidRPr="0003599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035990">
              <w:rPr>
                <w:rFonts w:cs="Arial"/>
                <w:i/>
                <w:color w:val="000000"/>
                <w:sz w:val="18"/>
                <w:szCs w:val="18"/>
              </w:rPr>
              <w:t>Finfish (all)</w:t>
            </w:r>
          </w:p>
        </w:tc>
        <w:tc>
          <w:tcPr>
            <w:tcW w:w="0" w:type="auto"/>
            <w:noWrap/>
            <w:vAlign w:val="bottom"/>
          </w:tcPr>
          <w:p w14:paraId="362490FA" w14:textId="114060DF"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87</w:t>
            </w:r>
          </w:p>
        </w:tc>
        <w:tc>
          <w:tcPr>
            <w:tcW w:w="0" w:type="auto"/>
            <w:noWrap/>
            <w:vAlign w:val="bottom"/>
          </w:tcPr>
          <w:p w14:paraId="33DA93C6" w14:textId="06246E8F"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83</w:t>
            </w:r>
          </w:p>
        </w:tc>
        <w:tc>
          <w:tcPr>
            <w:tcW w:w="0" w:type="auto"/>
            <w:noWrap/>
            <w:vAlign w:val="bottom"/>
          </w:tcPr>
          <w:p w14:paraId="6363DB4F" w14:textId="528CB30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78</w:t>
            </w:r>
          </w:p>
        </w:tc>
        <w:tc>
          <w:tcPr>
            <w:tcW w:w="0" w:type="auto"/>
            <w:noWrap/>
            <w:vAlign w:val="bottom"/>
          </w:tcPr>
          <w:p w14:paraId="08E15160" w14:textId="318066CD" w:rsidR="00D87462" w:rsidRPr="00D87462" w:rsidRDefault="00B4252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73</w:t>
            </w:r>
          </w:p>
        </w:tc>
        <w:tc>
          <w:tcPr>
            <w:tcW w:w="0" w:type="auto"/>
            <w:noWrap/>
            <w:vAlign w:val="bottom"/>
          </w:tcPr>
          <w:p w14:paraId="46FB8406" w14:textId="04D9A9F4" w:rsidR="00D87462" w:rsidRPr="00D87462" w:rsidRDefault="00B4252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24</w:t>
            </w:r>
          </w:p>
        </w:tc>
      </w:tr>
      <w:tr w:rsidR="00D87462" w:rsidRPr="00F420C3" w14:paraId="349A6435"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320258E" w14:textId="7244674D" w:rsidR="00D87462" w:rsidRPr="00F420C3"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63E7D98D" w14:textId="5BA063C3"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AD5E37">
              <w:rPr>
                <w:rFonts w:eastAsia="Times New Roman" w:cs="Arial"/>
                <w:color w:val="000000"/>
                <w:sz w:val="18"/>
                <w:szCs w:val="18"/>
                <w:lang w:eastAsia="en-GB"/>
              </w:rPr>
              <w:t>Diadromous</w:t>
            </w:r>
            <w:proofErr w:type="spellEnd"/>
            <w:r w:rsidRPr="00AD5E37">
              <w:rPr>
                <w:rFonts w:eastAsia="Times New Roman" w:cs="Arial"/>
                <w:color w:val="000000"/>
                <w:sz w:val="18"/>
                <w:szCs w:val="18"/>
                <w:lang w:eastAsia="en-GB"/>
              </w:rPr>
              <w:t xml:space="preserve"> fish</w:t>
            </w:r>
          </w:p>
        </w:tc>
        <w:tc>
          <w:tcPr>
            <w:tcW w:w="0" w:type="auto"/>
            <w:noWrap/>
            <w:vAlign w:val="bottom"/>
          </w:tcPr>
          <w:p w14:paraId="5091EE2F" w14:textId="38807146"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76</w:t>
            </w:r>
          </w:p>
        </w:tc>
        <w:tc>
          <w:tcPr>
            <w:tcW w:w="0" w:type="auto"/>
            <w:noWrap/>
            <w:vAlign w:val="bottom"/>
          </w:tcPr>
          <w:p w14:paraId="096B5380" w14:textId="68BBBCF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69</w:t>
            </w:r>
          </w:p>
        </w:tc>
        <w:tc>
          <w:tcPr>
            <w:tcW w:w="0" w:type="auto"/>
            <w:noWrap/>
            <w:vAlign w:val="bottom"/>
          </w:tcPr>
          <w:p w14:paraId="756F017B" w14:textId="2B69788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3E98BD6D" w14:textId="7082EF11"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60</w:t>
            </w:r>
          </w:p>
        </w:tc>
        <w:tc>
          <w:tcPr>
            <w:tcW w:w="0" w:type="auto"/>
            <w:noWrap/>
            <w:vAlign w:val="bottom"/>
          </w:tcPr>
          <w:p w14:paraId="04A7CE1A" w14:textId="1148584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34</w:t>
            </w:r>
          </w:p>
        </w:tc>
      </w:tr>
      <w:tr w:rsidR="00D87462" w:rsidRPr="00F420C3" w14:paraId="2A60D2F7"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FDD0CF7" w14:textId="42BE8C8A" w:rsidR="00D87462" w:rsidRPr="00F420C3"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220317E7" w14:textId="4AABE781"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Freshwater fish</w:t>
            </w:r>
          </w:p>
        </w:tc>
        <w:tc>
          <w:tcPr>
            <w:tcW w:w="0" w:type="auto"/>
            <w:noWrap/>
            <w:vAlign w:val="bottom"/>
          </w:tcPr>
          <w:p w14:paraId="6BB8B9CE" w14:textId="2B8C134F"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9</w:t>
            </w:r>
          </w:p>
        </w:tc>
        <w:tc>
          <w:tcPr>
            <w:tcW w:w="0" w:type="auto"/>
            <w:noWrap/>
            <w:vAlign w:val="bottom"/>
          </w:tcPr>
          <w:p w14:paraId="28BCF937" w14:textId="62F3D50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9</w:t>
            </w:r>
          </w:p>
        </w:tc>
        <w:tc>
          <w:tcPr>
            <w:tcW w:w="0" w:type="auto"/>
            <w:noWrap/>
            <w:vAlign w:val="bottom"/>
          </w:tcPr>
          <w:p w14:paraId="74B183AD" w14:textId="4CCF682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9</w:t>
            </w:r>
          </w:p>
        </w:tc>
        <w:tc>
          <w:tcPr>
            <w:tcW w:w="0" w:type="auto"/>
            <w:noWrap/>
            <w:vAlign w:val="bottom"/>
          </w:tcPr>
          <w:p w14:paraId="591575BD" w14:textId="22AF89C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72</w:t>
            </w:r>
          </w:p>
        </w:tc>
        <w:tc>
          <w:tcPr>
            <w:tcW w:w="0" w:type="auto"/>
            <w:noWrap/>
            <w:vAlign w:val="bottom"/>
          </w:tcPr>
          <w:p w14:paraId="2752B119" w14:textId="39231256"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28</w:t>
            </w:r>
          </w:p>
        </w:tc>
      </w:tr>
      <w:tr w:rsidR="00D87462" w:rsidRPr="00F420C3" w14:paraId="4E5BD817"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2DEB1EC" w14:textId="211F495D" w:rsidR="00D87462" w:rsidRPr="00F420C3"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5F8A2120" w14:textId="404219A5"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Marine fish of all species</w:t>
            </w:r>
          </w:p>
        </w:tc>
        <w:tc>
          <w:tcPr>
            <w:tcW w:w="0" w:type="auto"/>
            <w:noWrap/>
            <w:vAlign w:val="bottom"/>
          </w:tcPr>
          <w:p w14:paraId="5125A8D5" w14:textId="749E1E8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345</w:t>
            </w:r>
          </w:p>
        </w:tc>
        <w:tc>
          <w:tcPr>
            <w:tcW w:w="0" w:type="auto"/>
            <w:noWrap/>
            <w:vAlign w:val="bottom"/>
          </w:tcPr>
          <w:p w14:paraId="2CCAD5E9" w14:textId="2F3A1CE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281</w:t>
            </w:r>
          </w:p>
        </w:tc>
        <w:tc>
          <w:tcPr>
            <w:tcW w:w="0" w:type="auto"/>
            <w:noWrap/>
            <w:vAlign w:val="bottom"/>
          </w:tcPr>
          <w:p w14:paraId="7C7D2003" w14:textId="54F6A39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238</w:t>
            </w:r>
          </w:p>
        </w:tc>
        <w:tc>
          <w:tcPr>
            <w:tcW w:w="0" w:type="auto"/>
            <w:noWrap/>
            <w:vAlign w:val="bottom"/>
          </w:tcPr>
          <w:p w14:paraId="67420128" w14:textId="3837641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40</w:t>
            </w:r>
          </w:p>
        </w:tc>
        <w:tc>
          <w:tcPr>
            <w:tcW w:w="0" w:type="auto"/>
            <w:noWrap/>
            <w:vAlign w:val="bottom"/>
          </w:tcPr>
          <w:p w14:paraId="6A33554A" w14:textId="105FEEA0"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w:t>
            </w:r>
          </w:p>
        </w:tc>
      </w:tr>
      <w:tr w:rsidR="00D87462" w:rsidRPr="00F420C3" w14:paraId="4BD2F0D2"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1C4287B" w14:textId="6619ACC6" w:rsidR="00D87462" w:rsidRPr="007F5A60" w:rsidRDefault="00D87462" w:rsidP="00410657">
            <w:pPr>
              <w:spacing w:after="0" w:line="240" w:lineRule="auto"/>
              <w:contextualSpacing/>
              <w:rPr>
                <w:rFonts w:eastAsia="Times New Roman" w:cs="Arial"/>
                <w:color w:val="000000"/>
                <w:sz w:val="18"/>
                <w:szCs w:val="18"/>
                <w:lang w:eastAsia="en-GB"/>
              </w:rPr>
            </w:pPr>
          </w:p>
        </w:tc>
        <w:tc>
          <w:tcPr>
            <w:tcW w:w="0" w:type="auto"/>
            <w:noWrap/>
            <w:vAlign w:val="center"/>
          </w:tcPr>
          <w:p w14:paraId="7D51AD31" w14:textId="6B1C03EA" w:rsidR="00D87462" w:rsidRPr="0003599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035990">
              <w:rPr>
                <w:rFonts w:eastAsia="Times New Roman" w:cs="Arial"/>
                <w:i/>
                <w:color w:val="000000"/>
                <w:sz w:val="18"/>
                <w:szCs w:val="18"/>
                <w:lang w:eastAsia="en-GB"/>
              </w:rPr>
              <w:t>Molluscs</w:t>
            </w:r>
          </w:p>
        </w:tc>
        <w:tc>
          <w:tcPr>
            <w:tcW w:w="0" w:type="auto"/>
            <w:noWrap/>
            <w:vAlign w:val="bottom"/>
          </w:tcPr>
          <w:p w14:paraId="416E2354" w14:textId="2C0C7B8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253</w:t>
            </w:r>
          </w:p>
        </w:tc>
        <w:tc>
          <w:tcPr>
            <w:tcW w:w="0" w:type="auto"/>
            <w:noWrap/>
            <w:vAlign w:val="bottom"/>
          </w:tcPr>
          <w:p w14:paraId="394E2C9A" w14:textId="56D6718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217</w:t>
            </w:r>
          </w:p>
        </w:tc>
        <w:tc>
          <w:tcPr>
            <w:tcW w:w="0" w:type="auto"/>
            <w:noWrap/>
            <w:vAlign w:val="bottom"/>
          </w:tcPr>
          <w:p w14:paraId="0711D6AE" w14:textId="1D7AEAA0"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87462">
              <w:rPr>
                <w:rFonts w:cs="Arial"/>
                <w:color w:val="000000"/>
                <w:sz w:val="18"/>
                <w:szCs w:val="18"/>
              </w:rPr>
              <w:t>204</w:t>
            </w:r>
          </w:p>
        </w:tc>
        <w:tc>
          <w:tcPr>
            <w:tcW w:w="0" w:type="auto"/>
            <w:noWrap/>
            <w:vAlign w:val="bottom"/>
          </w:tcPr>
          <w:p w14:paraId="526596AB" w14:textId="67568B5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w:t>
            </w:r>
          </w:p>
        </w:tc>
        <w:tc>
          <w:tcPr>
            <w:tcW w:w="0" w:type="auto"/>
            <w:noWrap/>
            <w:vAlign w:val="bottom"/>
          </w:tcPr>
          <w:p w14:paraId="1E520693" w14:textId="1B47A09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w:t>
            </w:r>
          </w:p>
        </w:tc>
      </w:tr>
      <w:tr w:rsidR="00D87462" w:rsidRPr="00F420C3" w14:paraId="6EBC4342"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AF7073" w14:textId="24E5A139" w:rsidR="00D87462" w:rsidRPr="007F5A60" w:rsidRDefault="00D87462" w:rsidP="00410657">
            <w:pPr>
              <w:spacing w:after="0" w:line="240" w:lineRule="auto"/>
              <w:contextualSpacing/>
              <w:rPr>
                <w:rFonts w:eastAsia="Times New Roman" w:cs="Arial"/>
                <w:color w:val="000000"/>
                <w:sz w:val="18"/>
                <w:szCs w:val="18"/>
                <w:lang w:eastAsia="en-GB"/>
              </w:rPr>
            </w:pPr>
            <w:r w:rsidRPr="007F5A60">
              <w:rPr>
                <w:rFonts w:eastAsia="Times New Roman" w:cs="Arial"/>
                <w:color w:val="000000"/>
                <w:sz w:val="18"/>
                <w:szCs w:val="18"/>
                <w:lang w:eastAsia="en-GB"/>
              </w:rPr>
              <w:t>Animal products</w:t>
            </w:r>
          </w:p>
        </w:tc>
        <w:tc>
          <w:tcPr>
            <w:tcW w:w="0" w:type="auto"/>
            <w:noWrap/>
            <w:vAlign w:val="center"/>
            <w:hideMark/>
          </w:tcPr>
          <w:p w14:paraId="184367ED" w14:textId="67639F97" w:rsidR="00D87462" w:rsidRPr="0003599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035990">
              <w:rPr>
                <w:rFonts w:eastAsia="Times New Roman" w:cs="Arial"/>
                <w:i/>
                <w:color w:val="000000"/>
                <w:sz w:val="18"/>
                <w:szCs w:val="18"/>
                <w:lang w:eastAsia="en-GB"/>
              </w:rPr>
              <w:t>Meat mammalian</w:t>
            </w:r>
            <w:r>
              <w:rPr>
                <w:rFonts w:eastAsia="Times New Roman" w:cs="Arial"/>
                <w:i/>
                <w:color w:val="000000"/>
                <w:sz w:val="18"/>
                <w:szCs w:val="18"/>
                <w:lang w:eastAsia="en-GB"/>
              </w:rPr>
              <w:t xml:space="preserve"> (all)</w:t>
            </w:r>
          </w:p>
        </w:tc>
        <w:tc>
          <w:tcPr>
            <w:tcW w:w="0" w:type="auto"/>
            <w:noWrap/>
            <w:vAlign w:val="bottom"/>
          </w:tcPr>
          <w:p w14:paraId="6CF6B83A" w14:textId="3E359B26"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31</w:t>
            </w:r>
          </w:p>
        </w:tc>
        <w:tc>
          <w:tcPr>
            <w:tcW w:w="0" w:type="auto"/>
            <w:noWrap/>
            <w:vAlign w:val="bottom"/>
          </w:tcPr>
          <w:p w14:paraId="50066DB3" w14:textId="4619EC5F"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31</w:t>
            </w:r>
          </w:p>
        </w:tc>
        <w:tc>
          <w:tcPr>
            <w:tcW w:w="0" w:type="auto"/>
            <w:noWrap/>
            <w:vAlign w:val="bottom"/>
          </w:tcPr>
          <w:p w14:paraId="21AB43C5" w14:textId="2D7C0943"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31</w:t>
            </w:r>
          </w:p>
        </w:tc>
        <w:tc>
          <w:tcPr>
            <w:tcW w:w="0" w:type="auto"/>
            <w:noWrap/>
            <w:vAlign w:val="bottom"/>
          </w:tcPr>
          <w:p w14:paraId="4253AAF1" w14:textId="4126AFA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108</w:t>
            </w:r>
          </w:p>
        </w:tc>
        <w:tc>
          <w:tcPr>
            <w:tcW w:w="0" w:type="auto"/>
            <w:noWrap/>
            <w:vAlign w:val="bottom"/>
          </w:tcPr>
          <w:p w14:paraId="1ED1B93E" w14:textId="5ED1D29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47</w:t>
            </w:r>
          </w:p>
        </w:tc>
      </w:tr>
      <w:tr w:rsidR="00D87462" w:rsidRPr="00F420C3" w14:paraId="6BCD33A0"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F1B2E81"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hideMark/>
          </w:tcPr>
          <w:p w14:paraId="476D1C9C" w14:textId="2AA7B6C3"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meat</w:t>
            </w:r>
          </w:p>
        </w:tc>
        <w:tc>
          <w:tcPr>
            <w:tcW w:w="0" w:type="auto"/>
            <w:noWrap/>
            <w:vAlign w:val="bottom"/>
          </w:tcPr>
          <w:p w14:paraId="3FEF5A39" w14:textId="7EDA5B87"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w:t>
            </w:r>
          </w:p>
        </w:tc>
        <w:tc>
          <w:tcPr>
            <w:tcW w:w="0" w:type="auto"/>
            <w:noWrap/>
            <w:vAlign w:val="bottom"/>
          </w:tcPr>
          <w:p w14:paraId="5C651678" w14:textId="35213FE5"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w:t>
            </w:r>
          </w:p>
        </w:tc>
        <w:tc>
          <w:tcPr>
            <w:tcW w:w="0" w:type="auto"/>
            <w:noWrap/>
            <w:vAlign w:val="bottom"/>
          </w:tcPr>
          <w:p w14:paraId="2D1BEAA9" w14:textId="73017B8C" w:rsidR="00D87462" w:rsidRPr="00D87462" w:rsidRDefault="00AB6296"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w:t>
            </w:r>
          </w:p>
        </w:tc>
        <w:tc>
          <w:tcPr>
            <w:tcW w:w="0" w:type="auto"/>
            <w:noWrap/>
            <w:vAlign w:val="bottom"/>
          </w:tcPr>
          <w:p w14:paraId="230632E8" w14:textId="13DA31AC"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85</w:t>
            </w:r>
          </w:p>
        </w:tc>
        <w:tc>
          <w:tcPr>
            <w:tcW w:w="0" w:type="auto"/>
            <w:noWrap/>
            <w:vAlign w:val="bottom"/>
          </w:tcPr>
          <w:p w14:paraId="3FDBBC22" w14:textId="695FDFE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33</w:t>
            </w:r>
          </w:p>
        </w:tc>
      </w:tr>
      <w:tr w:rsidR="00D87462" w:rsidRPr="00F420C3" w14:paraId="6A3B6B2C"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0EB12F1"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hideMark/>
          </w:tcPr>
          <w:p w14:paraId="3A4261B5" w14:textId="7784E8FC"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meat</w:t>
            </w:r>
          </w:p>
        </w:tc>
        <w:tc>
          <w:tcPr>
            <w:tcW w:w="0" w:type="auto"/>
            <w:noWrap/>
            <w:vAlign w:val="bottom"/>
          </w:tcPr>
          <w:p w14:paraId="1FAB3BD7" w14:textId="42732A6C"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66</w:t>
            </w:r>
          </w:p>
        </w:tc>
        <w:tc>
          <w:tcPr>
            <w:tcW w:w="0" w:type="auto"/>
            <w:noWrap/>
            <w:vAlign w:val="bottom"/>
          </w:tcPr>
          <w:p w14:paraId="07236DD7" w14:textId="6F8DCBA8"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66</w:t>
            </w:r>
          </w:p>
        </w:tc>
        <w:tc>
          <w:tcPr>
            <w:tcW w:w="0" w:type="auto"/>
            <w:noWrap/>
            <w:vAlign w:val="bottom"/>
          </w:tcPr>
          <w:p w14:paraId="75399690" w14:textId="194C244F" w:rsidR="00D87462" w:rsidRPr="00D87462" w:rsidRDefault="00AB6296"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66</w:t>
            </w:r>
          </w:p>
        </w:tc>
        <w:tc>
          <w:tcPr>
            <w:tcW w:w="0" w:type="auto"/>
            <w:noWrap/>
            <w:vAlign w:val="bottom"/>
          </w:tcPr>
          <w:p w14:paraId="3D51FAC3" w14:textId="0881786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36</w:t>
            </w:r>
          </w:p>
        </w:tc>
        <w:tc>
          <w:tcPr>
            <w:tcW w:w="0" w:type="auto"/>
            <w:noWrap/>
            <w:vAlign w:val="bottom"/>
          </w:tcPr>
          <w:p w14:paraId="0D0DECA0" w14:textId="7C11E3D0"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9</w:t>
            </w:r>
          </w:p>
        </w:tc>
      </w:tr>
      <w:tr w:rsidR="00D87462" w:rsidRPr="00F420C3" w14:paraId="08FBDCA1"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9903A14" w14:textId="77777777" w:rsidR="00D87462" w:rsidRPr="00F420C3"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tcPr>
          <w:p w14:paraId="048B67E8" w14:textId="604F0558" w:rsidR="00D87462" w:rsidRPr="0003599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035990">
              <w:rPr>
                <w:rFonts w:eastAsia="Times New Roman" w:cs="Arial"/>
                <w:i/>
                <w:color w:val="000000"/>
                <w:sz w:val="18"/>
                <w:szCs w:val="18"/>
                <w:lang w:eastAsia="en-GB"/>
              </w:rPr>
              <w:t>Milk (all)</w:t>
            </w:r>
          </w:p>
        </w:tc>
        <w:tc>
          <w:tcPr>
            <w:tcW w:w="0" w:type="auto"/>
            <w:noWrap/>
            <w:vAlign w:val="bottom"/>
          </w:tcPr>
          <w:p w14:paraId="731DD87D" w14:textId="03CFAFA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131</w:t>
            </w:r>
          </w:p>
        </w:tc>
        <w:tc>
          <w:tcPr>
            <w:tcW w:w="0" w:type="auto"/>
            <w:noWrap/>
            <w:vAlign w:val="bottom"/>
          </w:tcPr>
          <w:p w14:paraId="5B072FDD" w14:textId="05AEF1E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121</w:t>
            </w:r>
          </w:p>
        </w:tc>
        <w:tc>
          <w:tcPr>
            <w:tcW w:w="0" w:type="auto"/>
            <w:noWrap/>
            <w:vAlign w:val="bottom"/>
          </w:tcPr>
          <w:p w14:paraId="3DC42640" w14:textId="1703E8EC"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112</w:t>
            </w:r>
          </w:p>
        </w:tc>
        <w:tc>
          <w:tcPr>
            <w:tcW w:w="0" w:type="auto"/>
            <w:noWrap/>
            <w:vAlign w:val="bottom"/>
          </w:tcPr>
          <w:p w14:paraId="28FC2D7C" w14:textId="2C950555"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1,097</w:t>
            </w:r>
          </w:p>
        </w:tc>
        <w:tc>
          <w:tcPr>
            <w:tcW w:w="0" w:type="auto"/>
            <w:noWrap/>
            <w:vAlign w:val="bottom"/>
          </w:tcPr>
          <w:p w14:paraId="6D69A56B" w14:textId="7C22A0C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679</w:t>
            </w:r>
          </w:p>
        </w:tc>
      </w:tr>
      <w:tr w:rsidR="00D87462" w:rsidRPr="00F420C3" w14:paraId="32371730"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76D01B0"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hideMark/>
          </w:tcPr>
          <w:p w14:paraId="414BCF66" w14:textId="76CDFCED"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Cattle milk</w:t>
            </w:r>
          </w:p>
        </w:tc>
        <w:tc>
          <w:tcPr>
            <w:tcW w:w="0" w:type="auto"/>
            <w:noWrap/>
            <w:vAlign w:val="bottom"/>
          </w:tcPr>
          <w:p w14:paraId="14605DC4" w14:textId="473084E3"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160</w:t>
            </w:r>
          </w:p>
        </w:tc>
        <w:tc>
          <w:tcPr>
            <w:tcW w:w="0" w:type="auto"/>
            <w:noWrap/>
            <w:vAlign w:val="bottom"/>
          </w:tcPr>
          <w:p w14:paraId="4FF9D649" w14:textId="20CA411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145</w:t>
            </w:r>
          </w:p>
        </w:tc>
        <w:tc>
          <w:tcPr>
            <w:tcW w:w="0" w:type="auto"/>
            <w:noWrap/>
            <w:vAlign w:val="bottom"/>
          </w:tcPr>
          <w:p w14:paraId="3E9E7D32" w14:textId="682F3612"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132</w:t>
            </w:r>
          </w:p>
        </w:tc>
        <w:tc>
          <w:tcPr>
            <w:tcW w:w="0" w:type="auto"/>
            <w:noWrap/>
            <w:vAlign w:val="bottom"/>
          </w:tcPr>
          <w:p w14:paraId="6135B65D" w14:textId="33E5557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1,097</w:t>
            </w:r>
          </w:p>
        </w:tc>
        <w:tc>
          <w:tcPr>
            <w:tcW w:w="0" w:type="auto"/>
            <w:noWrap/>
            <w:vAlign w:val="bottom"/>
          </w:tcPr>
          <w:p w14:paraId="64A1E766" w14:textId="7E4D453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678</w:t>
            </w:r>
          </w:p>
        </w:tc>
      </w:tr>
      <w:tr w:rsidR="00D87462" w:rsidRPr="00F420C3" w14:paraId="70D5BEBA"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D898B9B"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hideMark/>
          </w:tcPr>
          <w:p w14:paraId="06814BD5" w14:textId="48609D90"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Sheep milk</w:t>
            </w:r>
          </w:p>
        </w:tc>
        <w:tc>
          <w:tcPr>
            <w:tcW w:w="0" w:type="auto"/>
            <w:noWrap/>
            <w:vAlign w:val="bottom"/>
          </w:tcPr>
          <w:p w14:paraId="2946D11E" w14:textId="3C64812F"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131</w:t>
            </w:r>
          </w:p>
        </w:tc>
        <w:tc>
          <w:tcPr>
            <w:tcW w:w="0" w:type="auto"/>
            <w:noWrap/>
            <w:vAlign w:val="bottom"/>
          </w:tcPr>
          <w:p w14:paraId="1CD14238" w14:textId="43B570AE"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121</w:t>
            </w:r>
          </w:p>
        </w:tc>
        <w:tc>
          <w:tcPr>
            <w:tcW w:w="0" w:type="auto"/>
            <w:noWrap/>
            <w:vAlign w:val="bottom"/>
          </w:tcPr>
          <w:p w14:paraId="22E61B6A" w14:textId="69CE2CB0"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112</w:t>
            </w:r>
          </w:p>
        </w:tc>
        <w:tc>
          <w:tcPr>
            <w:tcW w:w="0" w:type="auto"/>
            <w:noWrap/>
            <w:vAlign w:val="bottom"/>
          </w:tcPr>
          <w:p w14:paraId="70B66668" w14:textId="6DE5A3C8"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w:t>
            </w:r>
          </w:p>
        </w:tc>
        <w:tc>
          <w:tcPr>
            <w:tcW w:w="0" w:type="auto"/>
            <w:noWrap/>
            <w:vAlign w:val="bottom"/>
          </w:tcPr>
          <w:p w14:paraId="208386C4" w14:textId="495DA6C1"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w:t>
            </w:r>
          </w:p>
        </w:tc>
      </w:tr>
      <w:tr w:rsidR="00D87462" w:rsidRPr="00F420C3" w14:paraId="27571DAE"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E64F246" w14:textId="77777777" w:rsidR="00D87462" w:rsidRPr="00F420C3"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5302E83F" w14:textId="7C798EB7" w:rsidR="00D87462" w:rsidRPr="0003599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035990">
              <w:rPr>
                <w:rFonts w:eastAsia="Times New Roman" w:cs="Arial"/>
                <w:i/>
                <w:color w:val="000000"/>
                <w:sz w:val="18"/>
                <w:szCs w:val="18"/>
                <w:lang w:eastAsia="en-GB"/>
              </w:rPr>
              <w:t>Miscellaneous foods (honey)</w:t>
            </w:r>
          </w:p>
        </w:tc>
        <w:tc>
          <w:tcPr>
            <w:tcW w:w="0" w:type="auto"/>
            <w:noWrap/>
            <w:vAlign w:val="bottom"/>
          </w:tcPr>
          <w:p w14:paraId="31948A56"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A8BC9BA" w14:textId="47D904F9"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4FC6BF28" w14:textId="0AC34859"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16A05287" w14:textId="2786EE7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w:t>
            </w:r>
          </w:p>
        </w:tc>
        <w:tc>
          <w:tcPr>
            <w:tcW w:w="0" w:type="auto"/>
            <w:noWrap/>
            <w:vAlign w:val="bottom"/>
          </w:tcPr>
          <w:p w14:paraId="1F8AB539" w14:textId="4BEA478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w:t>
            </w:r>
          </w:p>
        </w:tc>
      </w:tr>
      <w:tr w:rsidR="00D87462" w:rsidRPr="00F420C3" w14:paraId="55D8E84A"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EA7AAC2" w14:textId="77777777" w:rsidR="00D87462" w:rsidRPr="00F420C3"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371940B3" w14:textId="3033649D" w:rsidR="00D87462" w:rsidRPr="0003599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035990">
              <w:rPr>
                <w:rFonts w:eastAsia="Times New Roman" w:cs="Arial"/>
                <w:i/>
                <w:color w:val="000000"/>
                <w:sz w:val="18"/>
                <w:szCs w:val="18"/>
                <w:lang w:eastAsia="en-GB"/>
              </w:rPr>
              <w:t>Offal mammalian</w:t>
            </w:r>
          </w:p>
        </w:tc>
        <w:tc>
          <w:tcPr>
            <w:tcW w:w="0" w:type="auto"/>
            <w:noWrap/>
            <w:vAlign w:val="bottom"/>
          </w:tcPr>
          <w:p w14:paraId="5ED3EC1E" w14:textId="5B6795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w:t>
            </w:r>
          </w:p>
        </w:tc>
        <w:tc>
          <w:tcPr>
            <w:tcW w:w="0" w:type="auto"/>
            <w:noWrap/>
            <w:vAlign w:val="bottom"/>
          </w:tcPr>
          <w:p w14:paraId="0316139E" w14:textId="6C3C0BEF"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w:t>
            </w:r>
          </w:p>
        </w:tc>
        <w:tc>
          <w:tcPr>
            <w:tcW w:w="0" w:type="auto"/>
            <w:noWrap/>
            <w:vAlign w:val="bottom"/>
          </w:tcPr>
          <w:p w14:paraId="00FB4A47" w14:textId="39FA6901"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w:t>
            </w:r>
          </w:p>
        </w:tc>
        <w:tc>
          <w:tcPr>
            <w:tcW w:w="0" w:type="auto"/>
            <w:noWrap/>
            <w:vAlign w:val="bottom"/>
          </w:tcPr>
          <w:p w14:paraId="435D29E9" w14:textId="1895F19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w:t>
            </w:r>
          </w:p>
        </w:tc>
        <w:tc>
          <w:tcPr>
            <w:tcW w:w="0" w:type="auto"/>
            <w:noWrap/>
            <w:vAlign w:val="bottom"/>
          </w:tcPr>
          <w:p w14:paraId="681DAF3F" w14:textId="6FE3DF5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w:t>
            </w:r>
          </w:p>
        </w:tc>
      </w:tr>
      <w:tr w:rsidR="00D87462" w:rsidRPr="00F420C3" w14:paraId="4FC901D2"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E3386C2" w14:textId="77777777" w:rsidR="00D87462" w:rsidRPr="00F420C3" w:rsidRDefault="00D87462" w:rsidP="00410657">
            <w:pPr>
              <w:spacing w:after="0" w:line="240" w:lineRule="auto"/>
              <w:contextualSpacing/>
              <w:rPr>
                <w:rFonts w:eastAsia="Times New Roman" w:cs="Arial"/>
                <w:b w:val="0"/>
                <w:color w:val="000000"/>
                <w:sz w:val="18"/>
                <w:szCs w:val="18"/>
                <w:lang w:eastAsia="en-GB"/>
              </w:rPr>
            </w:pPr>
          </w:p>
        </w:tc>
        <w:tc>
          <w:tcPr>
            <w:tcW w:w="0" w:type="auto"/>
            <w:noWrap/>
            <w:vAlign w:val="center"/>
            <w:hideMark/>
          </w:tcPr>
          <w:p w14:paraId="7D544801" w14:textId="6C247899" w:rsidR="00D87462" w:rsidRPr="00035990" w:rsidRDefault="00D87462" w:rsidP="0041065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035990">
              <w:rPr>
                <w:rFonts w:eastAsia="Times New Roman" w:cs="Arial"/>
                <w:i/>
                <w:color w:val="000000"/>
                <w:sz w:val="18"/>
                <w:szCs w:val="18"/>
                <w:lang w:eastAsia="en-GB"/>
              </w:rPr>
              <w:t>Poultry eggs</w:t>
            </w:r>
          </w:p>
        </w:tc>
        <w:tc>
          <w:tcPr>
            <w:tcW w:w="0" w:type="auto"/>
            <w:noWrap/>
            <w:vAlign w:val="bottom"/>
          </w:tcPr>
          <w:p w14:paraId="255B4880" w14:textId="33457C0C"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48</w:t>
            </w:r>
          </w:p>
        </w:tc>
        <w:tc>
          <w:tcPr>
            <w:tcW w:w="0" w:type="auto"/>
            <w:noWrap/>
            <w:vAlign w:val="bottom"/>
          </w:tcPr>
          <w:p w14:paraId="39F90CD3" w14:textId="2C3F560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41</w:t>
            </w:r>
          </w:p>
        </w:tc>
        <w:tc>
          <w:tcPr>
            <w:tcW w:w="0" w:type="auto"/>
            <w:noWrap/>
            <w:vAlign w:val="bottom"/>
          </w:tcPr>
          <w:p w14:paraId="226DC894" w14:textId="52949C5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35</w:t>
            </w:r>
          </w:p>
        </w:tc>
        <w:tc>
          <w:tcPr>
            <w:tcW w:w="0" w:type="auto"/>
            <w:noWrap/>
            <w:vAlign w:val="bottom"/>
          </w:tcPr>
          <w:p w14:paraId="68B4AC02" w14:textId="2CAA370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36</w:t>
            </w:r>
          </w:p>
        </w:tc>
        <w:tc>
          <w:tcPr>
            <w:tcW w:w="0" w:type="auto"/>
            <w:noWrap/>
            <w:vAlign w:val="bottom"/>
          </w:tcPr>
          <w:p w14:paraId="7637A52F" w14:textId="49E76096"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13</w:t>
            </w:r>
          </w:p>
        </w:tc>
      </w:tr>
      <w:tr w:rsidR="00D87462" w:rsidRPr="00F420C3" w14:paraId="1B6384B2"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F035697" w14:textId="466F4931" w:rsidR="00D87462" w:rsidRPr="00F420C3" w:rsidRDefault="00D87462" w:rsidP="00410657">
            <w:pPr>
              <w:spacing w:after="0" w:line="240" w:lineRule="auto"/>
              <w:contextualSpacing/>
              <w:rPr>
                <w:rFonts w:cs="Arial"/>
                <w:b w:val="0"/>
                <w:color w:val="000000"/>
                <w:sz w:val="18"/>
                <w:szCs w:val="18"/>
              </w:rPr>
            </w:pPr>
            <w:r w:rsidRPr="003C03A1">
              <w:rPr>
                <w:rFonts w:eastAsia="Times New Roman" w:cs="Arial"/>
                <w:color w:val="000000"/>
                <w:sz w:val="18"/>
                <w:szCs w:val="18"/>
                <w:lang w:eastAsia="en-GB"/>
              </w:rPr>
              <w:t>Fruit and vegetables</w:t>
            </w:r>
          </w:p>
        </w:tc>
        <w:tc>
          <w:tcPr>
            <w:tcW w:w="0" w:type="auto"/>
            <w:noWrap/>
            <w:vAlign w:val="center"/>
            <w:hideMark/>
          </w:tcPr>
          <w:p w14:paraId="6D57B7F8" w14:textId="793EF329" w:rsidR="00D87462" w:rsidRPr="0003599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035990">
              <w:rPr>
                <w:rFonts w:cs="Arial"/>
                <w:i/>
                <w:color w:val="000000"/>
                <w:sz w:val="18"/>
                <w:szCs w:val="18"/>
              </w:rPr>
              <w:t>Vegetables (all)</w:t>
            </w:r>
          </w:p>
        </w:tc>
        <w:tc>
          <w:tcPr>
            <w:tcW w:w="0" w:type="auto"/>
            <w:noWrap/>
            <w:vAlign w:val="bottom"/>
          </w:tcPr>
          <w:p w14:paraId="59398766"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F0C39E3"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315672B"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4723D52E" w14:textId="2C7EA33C"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346</w:t>
            </w:r>
          </w:p>
        </w:tc>
        <w:tc>
          <w:tcPr>
            <w:tcW w:w="0" w:type="auto"/>
            <w:noWrap/>
            <w:vAlign w:val="bottom"/>
          </w:tcPr>
          <w:p w14:paraId="44B62984" w14:textId="39E03F1B"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188</w:t>
            </w:r>
          </w:p>
        </w:tc>
      </w:tr>
      <w:tr w:rsidR="00D87462" w:rsidRPr="00F420C3" w14:paraId="027BF737"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A329519"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53E66F0A" w14:textId="0FC1D5C5"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Cucurbits</w:t>
            </w:r>
          </w:p>
        </w:tc>
        <w:tc>
          <w:tcPr>
            <w:tcW w:w="0" w:type="auto"/>
            <w:noWrap/>
            <w:vAlign w:val="bottom"/>
          </w:tcPr>
          <w:p w14:paraId="4A3EAC52"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165AFE3" w14:textId="6FD61CC3"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380</w:t>
            </w:r>
          </w:p>
        </w:tc>
        <w:tc>
          <w:tcPr>
            <w:tcW w:w="0" w:type="auto"/>
            <w:noWrap/>
            <w:vAlign w:val="bottom"/>
          </w:tcPr>
          <w:p w14:paraId="15197919" w14:textId="02FC703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190</w:t>
            </w:r>
          </w:p>
        </w:tc>
        <w:tc>
          <w:tcPr>
            <w:tcW w:w="0" w:type="auto"/>
            <w:noWrap/>
            <w:vAlign w:val="bottom"/>
          </w:tcPr>
          <w:p w14:paraId="0D478190" w14:textId="04AF0AF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115</w:t>
            </w:r>
          </w:p>
        </w:tc>
        <w:tc>
          <w:tcPr>
            <w:tcW w:w="0" w:type="auto"/>
            <w:noWrap/>
            <w:vAlign w:val="bottom"/>
          </w:tcPr>
          <w:p w14:paraId="0B421DC0" w14:textId="2761BB4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35</w:t>
            </w:r>
          </w:p>
        </w:tc>
      </w:tr>
      <w:tr w:rsidR="00D87462" w:rsidRPr="00F420C3" w14:paraId="00F4A6A5"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906F852"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68C7AFC0" w14:textId="02E72870"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Herbs</w:t>
            </w:r>
          </w:p>
        </w:tc>
        <w:tc>
          <w:tcPr>
            <w:tcW w:w="0" w:type="auto"/>
            <w:noWrap/>
            <w:vAlign w:val="bottom"/>
          </w:tcPr>
          <w:p w14:paraId="4FAE507D"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D529FED" w14:textId="0BD49D2D"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15CE431B" w14:textId="38EC018D"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24F12DF7" w14:textId="2AED5AF0"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w:t>
            </w:r>
          </w:p>
        </w:tc>
        <w:tc>
          <w:tcPr>
            <w:tcW w:w="0" w:type="auto"/>
            <w:noWrap/>
            <w:vAlign w:val="bottom"/>
          </w:tcPr>
          <w:p w14:paraId="537D1753" w14:textId="51162FC8"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w:t>
            </w:r>
          </w:p>
        </w:tc>
      </w:tr>
      <w:tr w:rsidR="00D87462" w:rsidRPr="00F420C3" w14:paraId="0365AC03"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4E1413B"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4A9B31A" w14:textId="0F8538D0"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Leafy vegetables</w:t>
            </w:r>
          </w:p>
        </w:tc>
        <w:tc>
          <w:tcPr>
            <w:tcW w:w="0" w:type="auto"/>
            <w:noWrap/>
            <w:vAlign w:val="bottom"/>
          </w:tcPr>
          <w:p w14:paraId="3D48B7E6"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9C3D47D" w14:textId="73B56B40"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380</w:t>
            </w:r>
          </w:p>
        </w:tc>
        <w:tc>
          <w:tcPr>
            <w:tcW w:w="0" w:type="auto"/>
            <w:noWrap/>
            <w:vAlign w:val="bottom"/>
          </w:tcPr>
          <w:p w14:paraId="58BB8265" w14:textId="69E560A1"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190</w:t>
            </w:r>
          </w:p>
        </w:tc>
        <w:tc>
          <w:tcPr>
            <w:tcW w:w="0" w:type="auto"/>
            <w:noWrap/>
            <w:vAlign w:val="bottom"/>
          </w:tcPr>
          <w:p w14:paraId="2C86455E" w14:textId="1400DEA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26</w:t>
            </w:r>
          </w:p>
        </w:tc>
        <w:tc>
          <w:tcPr>
            <w:tcW w:w="0" w:type="auto"/>
            <w:noWrap/>
            <w:vAlign w:val="bottom"/>
          </w:tcPr>
          <w:p w14:paraId="361FF779" w14:textId="0115DA6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9</w:t>
            </w:r>
          </w:p>
        </w:tc>
      </w:tr>
      <w:tr w:rsidR="00D87462" w:rsidRPr="00F420C3" w14:paraId="67CD02DC"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509AE0C"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6E849467" w14:textId="775BBA5E"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Other fruiting vegetables</w:t>
            </w:r>
          </w:p>
        </w:tc>
        <w:tc>
          <w:tcPr>
            <w:tcW w:w="0" w:type="auto"/>
            <w:noWrap/>
            <w:vAlign w:val="bottom"/>
          </w:tcPr>
          <w:p w14:paraId="6F3E1ECA"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3D301076" w14:textId="72017B5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77F45A0D" w14:textId="2D4C58D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742FA718" w14:textId="4C5977D6"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151</w:t>
            </w:r>
          </w:p>
        </w:tc>
        <w:tc>
          <w:tcPr>
            <w:tcW w:w="0" w:type="auto"/>
            <w:noWrap/>
            <w:vAlign w:val="bottom"/>
          </w:tcPr>
          <w:p w14:paraId="632A4604" w14:textId="6FA63A5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73</w:t>
            </w:r>
          </w:p>
        </w:tc>
      </w:tr>
      <w:tr w:rsidR="00D87462" w:rsidRPr="00F420C3" w14:paraId="1B336B1C"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33F366C"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3EF391FB" w14:textId="2E000EA9"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Root and tuber vegetables</w:t>
            </w:r>
          </w:p>
        </w:tc>
        <w:tc>
          <w:tcPr>
            <w:tcW w:w="0" w:type="auto"/>
            <w:noWrap/>
            <w:vAlign w:val="bottom"/>
          </w:tcPr>
          <w:p w14:paraId="21341EC8"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78D94E7" w14:textId="5B8E1C7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3D964F3D" w14:textId="26579584"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4A6AB186" w14:textId="3B91445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164</w:t>
            </w:r>
          </w:p>
        </w:tc>
        <w:tc>
          <w:tcPr>
            <w:tcW w:w="0" w:type="auto"/>
            <w:noWrap/>
            <w:vAlign w:val="bottom"/>
          </w:tcPr>
          <w:p w14:paraId="7A293DC3" w14:textId="1B2C4D4A"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66</w:t>
            </w:r>
          </w:p>
        </w:tc>
      </w:tr>
      <w:tr w:rsidR="00D87462" w:rsidRPr="00F420C3" w14:paraId="335438F3"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3177A96"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1EA0E206" w14:textId="696AD919"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Spices</w:t>
            </w:r>
          </w:p>
        </w:tc>
        <w:tc>
          <w:tcPr>
            <w:tcW w:w="0" w:type="auto"/>
            <w:noWrap/>
            <w:vAlign w:val="bottom"/>
          </w:tcPr>
          <w:p w14:paraId="1D0BB349"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4E9A659" w14:textId="7D083C4A"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729F9253" w14:textId="0BB840D4"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6EBD6CDD" w14:textId="61C6FC02" w:rsidR="00D87462" w:rsidRPr="00D87462" w:rsidRDefault="00B4252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w:t>
            </w:r>
          </w:p>
        </w:tc>
        <w:tc>
          <w:tcPr>
            <w:tcW w:w="0" w:type="auto"/>
            <w:noWrap/>
            <w:vAlign w:val="bottom"/>
          </w:tcPr>
          <w:p w14:paraId="74065E15" w14:textId="79820090" w:rsidR="00D87462" w:rsidRPr="00D87462" w:rsidRDefault="00B42527"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w:t>
            </w:r>
          </w:p>
        </w:tc>
      </w:tr>
      <w:tr w:rsidR="00D87462" w:rsidRPr="00F420C3" w14:paraId="3267A869"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75D2DBC" w14:textId="77777777" w:rsidR="00D87462" w:rsidRPr="00F420C3"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1199CB7" w14:textId="4A67B37A"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Stalk and stem vegetables</w:t>
            </w:r>
          </w:p>
        </w:tc>
        <w:tc>
          <w:tcPr>
            <w:tcW w:w="0" w:type="auto"/>
            <w:noWrap/>
            <w:vAlign w:val="bottom"/>
          </w:tcPr>
          <w:p w14:paraId="0E9DFB8A" w14:textId="265A758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80</w:t>
            </w:r>
          </w:p>
        </w:tc>
        <w:tc>
          <w:tcPr>
            <w:tcW w:w="0" w:type="auto"/>
            <w:noWrap/>
            <w:vAlign w:val="bottom"/>
          </w:tcPr>
          <w:p w14:paraId="5DC7958D" w14:textId="0D6429DE"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80</w:t>
            </w:r>
          </w:p>
        </w:tc>
        <w:tc>
          <w:tcPr>
            <w:tcW w:w="0" w:type="auto"/>
            <w:noWrap/>
            <w:vAlign w:val="bottom"/>
          </w:tcPr>
          <w:p w14:paraId="4CC139CF" w14:textId="5980F1AD"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77</w:t>
            </w:r>
          </w:p>
        </w:tc>
        <w:tc>
          <w:tcPr>
            <w:tcW w:w="0" w:type="auto"/>
            <w:noWrap/>
            <w:vAlign w:val="bottom"/>
          </w:tcPr>
          <w:p w14:paraId="2BD39025" w14:textId="148E9DF9" w:rsidR="00D87462" w:rsidRPr="00D87462" w:rsidRDefault="00B42527"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7</w:t>
            </w:r>
          </w:p>
        </w:tc>
        <w:tc>
          <w:tcPr>
            <w:tcW w:w="0" w:type="auto"/>
            <w:noWrap/>
            <w:vAlign w:val="bottom"/>
          </w:tcPr>
          <w:p w14:paraId="6E4D9C07" w14:textId="780B3118" w:rsidR="00D87462" w:rsidRPr="00D87462" w:rsidRDefault="00B42527"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w:t>
            </w:r>
          </w:p>
        </w:tc>
      </w:tr>
      <w:tr w:rsidR="00D87462" w:rsidRPr="00F420C3" w14:paraId="0F8450D3"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4E5B9AE" w14:textId="74DADDCE" w:rsidR="00D87462" w:rsidRDefault="00D87462" w:rsidP="00410657">
            <w:pPr>
              <w:spacing w:after="0" w:line="240" w:lineRule="auto"/>
              <w:contextualSpacing/>
              <w:rPr>
                <w:rFonts w:cs="Arial"/>
                <w:b w:val="0"/>
                <w:color w:val="000000"/>
                <w:sz w:val="18"/>
                <w:szCs w:val="18"/>
              </w:rPr>
            </w:pPr>
          </w:p>
        </w:tc>
        <w:tc>
          <w:tcPr>
            <w:tcW w:w="0" w:type="auto"/>
            <w:noWrap/>
            <w:vAlign w:val="center"/>
            <w:hideMark/>
          </w:tcPr>
          <w:p w14:paraId="138B64BE" w14:textId="3676D71C" w:rsidR="00D87462" w:rsidRPr="00035990" w:rsidRDefault="00D87462" w:rsidP="0041065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035990">
              <w:rPr>
                <w:rFonts w:cs="Arial"/>
                <w:i/>
                <w:color w:val="000000"/>
                <w:sz w:val="18"/>
                <w:szCs w:val="18"/>
              </w:rPr>
              <w:t>Fruit (all)</w:t>
            </w:r>
          </w:p>
        </w:tc>
        <w:tc>
          <w:tcPr>
            <w:tcW w:w="0" w:type="auto"/>
            <w:noWrap/>
            <w:vAlign w:val="bottom"/>
          </w:tcPr>
          <w:p w14:paraId="65A48EA9"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7501C7BA"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0581EB5"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F9EF46D" w14:textId="59E95839"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592</w:t>
            </w:r>
          </w:p>
        </w:tc>
        <w:tc>
          <w:tcPr>
            <w:tcW w:w="0" w:type="auto"/>
            <w:noWrap/>
            <w:vAlign w:val="bottom"/>
          </w:tcPr>
          <w:p w14:paraId="0013B7F1" w14:textId="26ECE18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314</w:t>
            </w:r>
          </w:p>
        </w:tc>
      </w:tr>
      <w:tr w:rsidR="00D87462" w:rsidRPr="00F420C3" w14:paraId="62D0B9EA"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EC000F4" w14:textId="14DA0C94"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621D71F0" w14:textId="483F10DD"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Berries and other small fruits</w:t>
            </w:r>
          </w:p>
        </w:tc>
        <w:tc>
          <w:tcPr>
            <w:tcW w:w="0" w:type="auto"/>
            <w:noWrap/>
            <w:vAlign w:val="bottom"/>
          </w:tcPr>
          <w:p w14:paraId="1EA8F008"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520D1D20" w14:textId="18822E6E"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5C2333A2" w14:textId="778CF7F5"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4D80B3FA" w14:textId="159F354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108</w:t>
            </w:r>
          </w:p>
        </w:tc>
        <w:tc>
          <w:tcPr>
            <w:tcW w:w="0" w:type="auto"/>
            <w:noWrap/>
            <w:vAlign w:val="bottom"/>
          </w:tcPr>
          <w:p w14:paraId="5D856DC3" w14:textId="7EA21B6B"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38</w:t>
            </w:r>
          </w:p>
        </w:tc>
      </w:tr>
      <w:tr w:rsidR="00D87462" w:rsidRPr="00F420C3" w14:paraId="4B4C2370"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F0F97C3" w14:textId="7CFFF0CB"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7C792B4F" w14:textId="5A74A732"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Citrus fruits</w:t>
            </w:r>
          </w:p>
        </w:tc>
        <w:tc>
          <w:tcPr>
            <w:tcW w:w="0" w:type="auto"/>
            <w:noWrap/>
            <w:vAlign w:val="bottom"/>
          </w:tcPr>
          <w:p w14:paraId="4F7F65B7"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656E0C99" w14:textId="00C409B6"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49E631BB" w14:textId="70F318A0"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1F0EBF35" w14:textId="024BA883"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246</w:t>
            </w:r>
          </w:p>
        </w:tc>
        <w:tc>
          <w:tcPr>
            <w:tcW w:w="0" w:type="auto"/>
            <w:noWrap/>
            <w:vAlign w:val="bottom"/>
          </w:tcPr>
          <w:p w14:paraId="13CA19CA" w14:textId="40D2DE4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88</w:t>
            </w:r>
          </w:p>
        </w:tc>
      </w:tr>
      <w:tr w:rsidR="00D87462" w:rsidRPr="00F420C3" w14:paraId="1B16BE4F" w14:textId="77777777" w:rsidTr="007C4D74">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D5D77BA" w14:textId="3D33CF98"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42F85D59" w14:textId="2AC4C98B" w:rsidR="00D87462" w:rsidRPr="00AD5E37" w:rsidRDefault="00D87462" w:rsidP="0041065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Pome fruits</w:t>
            </w:r>
          </w:p>
        </w:tc>
        <w:tc>
          <w:tcPr>
            <w:tcW w:w="0" w:type="auto"/>
            <w:noWrap/>
            <w:vAlign w:val="bottom"/>
          </w:tcPr>
          <w:p w14:paraId="4D21FB1E" w14:textId="77777777"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2BAB9B4C" w14:textId="08211888"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127</w:t>
            </w:r>
          </w:p>
        </w:tc>
        <w:tc>
          <w:tcPr>
            <w:tcW w:w="0" w:type="auto"/>
            <w:noWrap/>
            <w:vAlign w:val="bottom"/>
          </w:tcPr>
          <w:p w14:paraId="71716D93" w14:textId="196B79EE"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63</w:t>
            </w:r>
          </w:p>
        </w:tc>
        <w:tc>
          <w:tcPr>
            <w:tcW w:w="0" w:type="auto"/>
            <w:noWrap/>
            <w:vAlign w:val="bottom"/>
          </w:tcPr>
          <w:p w14:paraId="27859EBC" w14:textId="3F3907FF"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361</w:t>
            </w:r>
          </w:p>
        </w:tc>
        <w:tc>
          <w:tcPr>
            <w:tcW w:w="0" w:type="auto"/>
            <w:noWrap/>
            <w:vAlign w:val="bottom"/>
          </w:tcPr>
          <w:p w14:paraId="4C274F37" w14:textId="07C9AB53" w:rsidR="00D87462" w:rsidRPr="00D87462" w:rsidRDefault="00D87462" w:rsidP="0041065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171</w:t>
            </w:r>
          </w:p>
        </w:tc>
      </w:tr>
      <w:tr w:rsidR="00D87462" w:rsidRPr="00F420C3" w14:paraId="327820AE" w14:textId="77777777" w:rsidTr="007C4D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28766AF" w14:textId="5D468EB7" w:rsidR="00D87462" w:rsidRDefault="00D87462" w:rsidP="00410657">
            <w:pPr>
              <w:spacing w:after="0" w:line="240" w:lineRule="auto"/>
              <w:contextualSpacing/>
              <w:jc w:val="right"/>
              <w:rPr>
                <w:rFonts w:eastAsia="Times New Roman" w:cs="Arial"/>
                <w:b w:val="0"/>
                <w:color w:val="000000"/>
                <w:sz w:val="18"/>
                <w:szCs w:val="18"/>
                <w:lang w:eastAsia="en-GB"/>
              </w:rPr>
            </w:pPr>
          </w:p>
        </w:tc>
        <w:tc>
          <w:tcPr>
            <w:tcW w:w="0" w:type="auto"/>
            <w:noWrap/>
            <w:vAlign w:val="center"/>
            <w:hideMark/>
          </w:tcPr>
          <w:p w14:paraId="528FA18F" w14:textId="167BE9CB" w:rsidR="00D87462" w:rsidRPr="00AD5E37" w:rsidRDefault="00D87462" w:rsidP="0041065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eastAsia="Times New Roman" w:cs="Arial"/>
                <w:color w:val="000000"/>
                <w:sz w:val="18"/>
                <w:szCs w:val="18"/>
                <w:lang w:eastAsia="en-GB"/>
              </w:rPr>
              <w:t>Tropical fruit - edible peel</w:t>
            </w:r>
          </w:p>
        </w:tc>
        <w:tc>
          <w:tcPr>
            <w:tcW w:w="0" w:type="auto"/>
            <w:noWrap/>
            <w:vAlign w:val="bottom"/>
          </w:tcPr>
          <w:p w14:paraId="6B35C203" w14:textId="77777777"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0" w:type="auto"/>
            <w:noWrap/>
            <w:vAlign w:val="bottom"/>
          </w:tcPr>
          <w:p w14:paraId="0860EFD8" w14:textId="439BF155"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380</w:t>
            </w:r>
          </w:p>
        </w:tc>
        <w:tc>
          <w:tcPr>
            <w:tcW w:w="0" w:type="auto"/>
            <w:noWrap/>
            <w:vAlign w:val="bottom"/>
          </w:tcPr>
          <w:p w14:paraId="09DDE399" w14:textId="46B8C8A2"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190</w:t>
            </w:r>
          </w:p>
        </w:tc>
        <w:tc>
          <w:tcPr>
            <w:tcW w:w="0" w:type="auto"/>
            <w:noWrap/>
            <w:vAlign w:val="bottom"/>
          </w:tcPr>
          <w:p w14:paraId="20712BEB" w14:textId="26E16BCD"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10</w:t>
            </w:r>
          </w:p>
        </w:tc>
        <w:tc>
          <w:tcPr>
            <w:tcW w:w="0" w:type="auto"/>
            <w:noWrap/>
            <w:vAlign w:val="bottom"/>
          </w:tcPr>
          <w:p w14:paraId="30AE86DA" w14:textId="35284EB1" w:rsidR="00D87462" w:rsidRPr="00D87462" w:rsidRDefault="00D87462" w:rsidP="0041065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D87462">
              <w:rPr>
                <w:rFonts w:cs="Arial"/>
                <w:color w:val="000000"/>
                <w:sz w:val="18"/>
                <w:szCs w:val="18"/>
              </w:rPr>
              <w:t>5</w:t>
            </w:r>
          </w:p>
        </w:tc>
      </w:tr>
    </w:tbl>
    <w:p w14:paraId="0C82198C" w14:textId="77777777" w:rsidR="00544A77" w:rsidRPr="009A560C" w:rsidRDefault="00544A77" w:rsidP="009A560C">
      <w:pPr>
        <w:pStyle w:val="FSCFootnote"/>
      </w:pPr>
      <w:r w:rsidRPr="009A560C">
        <w:t>*Consumption amounts not provided where median PFAS concentration was &lt;LOR and calculated as zero</w:t>
      </w:r>
    </w:p>
    <w:p w14:paraId="761AB818" w14:textId="77777777" w:rsidR="00544A77" w:rsidRDefault="00544A77" w:rsidP="009A560C">
      <w:pPr>
        <w:pStyle w:val="FSCFootnote"/>
      </w:pPr>
    </w:p>
    <w:p w14:paraId="3F63FC42" w14:textId="77777777" w:rsidR="002C7C52" w:rsidRDefault="002C7C52" w:rsidP="009A560C">
      <w:pPr>
        <w:pStyle w:val="FSCFootnote"/>
        <w:rPr>
          <w:lang w:eastAsia="en-AU"/>
        </w:rPr>
        <w:sectPr w:rsidR="002C7C52" w:rsidSect="007A0D59">
          <w:pgSz w:w="16838" w:h="11906" w:orient="landscape"/>
          <w:pgMar w:top="1418" w:right="1418" w:bottom="1418" w:left="1418" w:header="709" w:footer="709" w:gutter="0"/>
          <w:cols w:space="708"/>
          <w:docGrid w:linePitch="360"/>
        </w:sectPr>
      </w:pPr>
    </w:p>
    <w:p w14:paraId="04150677" w14:textId="18622306" w:rsidR="00544A77" w:rsidRDefault="002C7C52" w:rsidP="007F5A60">
      <w:pPr>
        <w:pStyle w:val="Heading1"/>
        <w:numPr>
          <w:ilvl w:val="0"/>
          <w:numId w:val="0"/>
        </w:numPr>
        <w:ind w:left="431" w:hanging="431"/>
      </w:pPr>
      <w:bookmarkStart w:id="238" w:name="_Toc474153278"/>
      <w:bookmarkStart w:id="239" w:name="_Toc474158958"/>
      <w:bookmarkStart w:id="240" w:name="_Toc474847914"/>
      <w:bookmarkStart w:id="241" w:name="_Toc475360624"/>
      <w:r w:rsidRPr="00984802">
        <w:lastRenderedPageBreak/>
        <w:t xml:space="preserve">Appendix </w:t>
      </w:r>
      <w:r w:rsidR="005F5B16">
        <w:t>4</w:t>
      </w:r>
      <w:r w:rsidR="007928AC" w:rsidRPr="00984802">
        <w:t>:</w:t>
      </w:r>
      <w:r w:rsidR="00B47625" w:rsidRPr="00984802">
        <w:t xml:space="preserve"> </w:t>
      </w:r>
      <w:r w:rsidR="00454C25">
        <w:t xml:space="preserve">Maximum concentrations and </w:t>
      </w:r>
      <w:bookmarkEnd w:id="238"/>
      <w:bookmarkEnd w:id="239"/>
      <w:r w:rsidR="00AF4B71">
        <w:rPr>
          <w:lang w:eastAsia="en-AU"/>
        </w:rPr>
        <w:t>trigger points for investigation</w:t>
      </w:r>
      <w:bookmarkEnd w:id="240"/>
      <w:bookmarkEnd w:id="241"/>
    </w:p>
    <w:p w14:paraId="0095B9E5" w14:textId="2BEFF4D7" w:rsidR="00544A77" w:rsidRPr="00CE22DD" w:rsidRDefault="008C55C6" w:rsidP="00961BBF">
      <w:pPr>
        <w:pStyle w:val="FSTableColumnRowheading"/>
      </w:pPr>
      <w:bookmarkStart w:id="242" w:name="_Ref473895885"/>
      <w:bookmarkStart w:id="243" w:name="_Toc474153730"/>
      <w:bookmarkStart w:id="244" w:name="_Toc474158922"/>
      <w:bookmarkStart w:id="245" w:name="_Toc474847882"/>
      <w:bookmarkStart w:id="246" w:name="_Toc474852122"/>
      <w:r w:rsidRPr="008C55C6">
        <w:t xml:space="preserve">PFOS, PFOA and </w:t>
      </w:r>
      <w:proofErr w:type="spellStart"/>
      <w:r w:rsidRPr="008C55C6">
        <w:t>PFHxS</w:t>
      </w:r>
      <w:proofErr w:type="spellEnd"/>
      <w:r w:rsidRPr="008C55C6" w:rsidDel="008C55C6">
        <w:t xml:space="preserve"> </w:t>
      </w:r>
      <w:r w:rsidR="00317679" w:rsidRPr="00961BBF">
        <w:t>c</w:t>
      </w:r>
      <w:r w:rsidR="002C7C52" w:rsidRPr="00961BBF">
        <w:t>oncentration (</w:t>
      </w:r>
      <w:r w:rsidR="00454C25" w:rsidRPr="00961BBF">
        <w:t>µ</w:t>
      </w:r>
      <w:r w:rsidR="002C7C52" w:rsidRPr="00961BBF">
        <w:t xml:space="preserve">g/kg) at </w:t>
      </w:r>
      <w:r w:rsidR="007928AC" w:rsidRPr="00961BBF">
        <w:t>median or</w:t>
      </w:r>
      <w:r w:rsidR="008D530D">
        <w:t xml:space="preserve"> </w:t>
      </w:r>
      <w:r>
        <w:t>90</w:t>
      </w:r>
      <w:r w:rsidRPr="008C55C6">
        <w:rPr>
          <w:vertAlign w:val="superscript"/>
        </w:rPr>
        <w:t>th</w:t>
      </w:r>
      <w:r>
        <w:t xml:space="preserve"> percentile</w:t>
      </w:r>
      <w:r w:rsidR="002C7C52" w:rsidRPr="00961BBF">
        <w:t xml:space="preserve"> consumption (consumers only) to reach TDI</w:t>
      </w:r>
      <w:r w:rsidR="007928AC" w:rsidRPr="00961BBF">
        <w:t>*</w:t>
      </w:r>
      <w:r w:rsidR="00674251" w:rsidRPr="00961BBF">
        <w:t xml:space="preserve">. </w:t>
      </w:r>
      <w:r w:rsidR="00AF4B71">
        <w:t>Trigger points</w:t>
      </w:r>
      <w:r w:rsidR="00674251" w:rsidRPr="00CE22DD">
        <w:t xml:space="preserve"> are shaded and bolded.</w:t>
      </w:r>
      <w:bookmarkEnd w:id="242"/>
      <w:bookmarkEnd w:id="243"/>
      <w:bookmarkEnd w:id="244"/>
      <w:bookmarkEnd w:id="245"/>
      <w:bookmarkEnd w:id="246"/>
    </w:p>
    <w:tbl>
      <w:tblPr>
        <w:tblStyle w:val="LightList-Accent1"/>
        <w:tblW w:w="5000" w:type="pct"/>
        <w:tblLayout w:type="fixed"/>
        <w:tblLook w:val="04A0" w:firstRow="1" w:lastRow="0" w:firstColumn="1" w:lastColumn="0" w:noHBand="0" w:noVBand="1"/>
      </w:tblPr>
      <w:tblGrid>
        <w:gridCol w:w="2294"/>
        <w:gridCol w:w="2923"/>
        <w:gridCol w:w="989"/>
        <w:gridCol w:w="1086"/>
        <w:gridCol w:w="1040"/>
        <w:gridCol w:w="1417"/>
        <w:gridCol w:w="992"/>
        <w:gridCol w:w="992"/>
        <w:gridCol w:w="992"/>
        <w:gridCol w:w="1449"/>
      </w:tblGrid>
      <w:tr w:rsidR="00AD5E37" w:rsidRPr="00497529" w14:paraId="14ED11AA" w14:textId="77777777" w:rsidTr="0092375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09" w:type="pct"/>
            <w:vMerge w:val="restart"/>
            <w:vAlign w:val="center"/>
          </w:tcPr>
          <w:p w14:paraId="47716F8E" w14:textId="052609CD" w:rsidR="00AD5E37" w:rsidRPr="00497529" w:rsidRDefault="00AD5E37" w:rsidP="0092375E">
            <w:pPr>
              <w:spacing w:after="0" w:line="240" w:lineRule="auto"/>
              <w:contextualSpacing/>
              <w:rPr>
                <w:rFonts w:eastAsia="Times New Roman" w:cs="Arial"/>
                <w:sz w:val="18"/>
                <w:szCs w:val="18"/>
                <w:lang w:eastAsia="en-GB"/>
              </w:rPr>
            </w:pPr>
            <w:r w:rsidRPr="003C03A1">
              <w:rPr>
                <w:rFonts w:eastAsia="Times New Roman" w:cs="Arial"/>
                <w:sz w:val="18"/>
                <w:szCs w:val="18"/>
                <w:lang w:eastAsia="en-GB"/>
              </w:rPr>
              <w:t xml:space="preserve">Food </w:t>
            </w:r>
            <w:r w:rsidR="0092375E">
              <w:rPr>
                <w:rFonts w:eastAsia="Times New Roman" w:cs="Arial"/>
                <w:sz w:val="18"/>
                <w:szCs w:val="18"/>
                <w:lang w:eastAsia="en-GB"/>
              </w:rPr>
              <w:t>category</w:t>
            </w:r>
          </w:p>
        </w:tc>
        <w:tc>
          <w:tcPr>
            <w:tcW w:w="1031" w:type="pct"/>
            <w:vMerge w:val="restart"/>
            <w:vAlign w:val="center"/>
            <w:hideMark/>
          </w:tcPr>
          <w:p w14:paraId="4D8933A6" w14:textId="16DB0F73" w:rsidR="00AD5E37" w:rsidRPr="00497529" w:rsidRDefault="00AD5E37" w:rsidP="0092375E">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497529">
              <w:rPr>
                <w:rFonts w:eastAsia="Times New Roman" w:cs="Arial"/>
                <w:sz w:val="18"/>
                <w:szCs w:val="18"/>
                <w:lang w:eastAsia="en-GB"/>
              </w:rPr>
              <w:t>Food Classification</w:t>
            </w:r>
          </w:p>
        </w:tc>
        <w:tc>
          <w:tcPr>
            <w:tcW w:w="1599" w:type="pct"/>
            <w:gridSpan w:val="4"/>
            <w:vAlign w:val="center"/>
          </w:tcPr>
          <w:p w14:paraId="2368E488" w14:textId="1B610A5F" w:rsidR="00AD5E37" w:rsidRPr="00497529" w:rsidRDefault="00AD5E37" w:rsidP="0092375E">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Population: </w:t>
            </w:r>
            <w:r w:rsidRPr="00497529">
              <w:rPr>
                <w:rFonts w:cs="Arial"/>
                <w:sz w:val="18"/>
                <w:szCs w:val="18"/>
              </w:rPr>
              <w:t>2-6 years</w:t>
            </w:r>
          </w:p>
        </w:tc>
        <w:tc>
          <w:tcPr>
            <w:tcW w:w="1561" w:type="pct"/>
            <w:gridSpan w:val="4"/>
            <w:vAlign w:val="center"/>
          </w:tcPr>
          <w:p w14:paraId="172C2DFD" w14:textId="0D9DE1DC" w:rsidR="00AD5E37" w:rsidRPr="00497529" w:rsidRDefault="00AD5E37" w:rsidP="0092375E">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Population: </w:t>
            </w:r>
            <w:r w:rsidRPr="00497529">
              <w:rPr>
                <w:rFonts w:cs="Arial"/>
                <w:sz w:val="18"/>
                <w:szCs w:val="18"/>
              </w:rPr>
              <w:t>2 years</w:t>
            </w:r>
            <w:r>
              <w:rPr>
                <w:rFonts w:cs="Arial"/>
                <w:sz w:val="18"/>
                <w:szCs w:val="18"/>
              </w:rPr>
              <w:t xml:space="preserve"> +</w:t>
            </w:r>
          </w:p>
        </w:tc>
      </w:tr>
      <w:tr w:rsidR="002C5F49" w:rsidRPr="00497529" w14:paraId="2C81C08D" w14:textId="77777777" w:rsidTr="002C5F4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09" w:type="pct"/>
            <w:vMerge/>
          </w:tcPr>
          <w:p w14:paraId="2F2F6CEB" w14:textId="53DC15E8" w:rsidR="00AD5E37" w:rsidRPr="00497529" w:rsidRDefault="00AD5E37" w:rsidP="00A75BE9">
            <w:pPr>
              <w:spacing w:after="0" w:line="240" w:lineRule="auto"/>
              <w:contextualSpacing/>
              <w:jc w:val="center"/>
              <w:rPr>
                <w:rFonts w:eastAsia="Times New Roman" w:cs="Arial"/>
                <w:sz w:val="18"/>
                <w:szCs w:val="18"/>
                <w:lang w:eastAsia="en-GB"/>
              </w:rPr>
            </w:pPr>
          </w:p>
        </w:tc>
        <w:tc>
          <w:tcPr>
            <w:tcW w:w="1031" w:type="pct"/>
            <w:vMerge/>
            <w:vAlign w:val="center"/>
            <w:hideMark/>
          </w:tcPr>
          <w:p w14:paraId="65CB568F" w14:textId="4BFDBE69" w:rsidR="00AD5E37" w:rsidRPr="00497529"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
        </w:tc>
        <w:tc>
          <w:tcPr>
            <w:tcW w:w="349" w:type="pct"/>
            <w:shd w:val="clear" w:color="auto" w:fill="auto"/>
            <w:vAlign w:val="center"/>
          </w:tcPr>
          <w:p w14:paraId="44C4A7CE" w14:textId="7BBE00D0"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proofErr w:type="spellStart"/>
            <w:r w:rsidRPr="003F30FA">
              <w:rPr>
                <w:rFonts w:cs="Arial"/>
                <w:color w:val="000000" w:themeColor="text1"/>
                <w:sz w:val="18"/>
                <w:szCs w:val="18"/>
              </w:rPr>
              <w:t>PFHxS</w:t>
            </w:r>
            <w:proofErr w:type="spellEnd"/>
          </w:p>
        </w:tc>
        <w:tc>
          <w:tcPr>
            <w:tcW w:w="383" w:type="pct"/>
            <w:shd w:val="clear" w:color="auto" w:fill="auto"/>
            <w:vAlign w:val="center"/>
          </w:tcPr>
          <w:p w14:paraId="47666D57" w14:textId="43323116"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r w:rsidRPr="003F30FA">
              <w:rPr>
                <w:rFonts w:cs="Arial"/>
                <w:color w:val="000000" w:themeColor="text1"/>
                <w:sz w:val="18"/>
                <w:szCs w:val="18"/>
              </w:rPr>
              <w:t>PFOS</w:t>
            </w:r>
          </w:p>
        </w:tc>
        <w:tc>
          <w:tcPr>
            <w:tcW w:w="367" w:type="pct"/>
            <w:shd w:val="clear" w:color="auto" w:fill="auto"/>
            <w:vAlign w:val="center"/>
          </w:tcPr>
          <w:p w14:paraId="3F7D84D6" w14:textId="7791F23B"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r w:rsidRPr="003F30FA">
              <w:rPr>
                <w:rFonts w:cs="Arial"/>
                <w:color w:val="000000" w:themeColor="text1"/>
                <w:sz w:val="18"/>
                <w:szCs w:val="18"/>
              </w:rPr>
              <w:t>PFOA</w:t>
            </w:r>
          </w:p>
        </w:tc>
        <w:tc>
          <w:tcPr>
            <w:tcW w:w="500" w:type="pct"/>
            <w:shd w:val="clear" w:color="auto" w:fill="auto"/>
            <w:vAlign w:val="center"/>
          </w:tcPr>
          <w:p w14:paraId="4D5DE49A" w14:textId="77777777"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proofErr w:type="spellStart"/>
            <w:r w:rsidRPr="003F30FA">
              <w:rPr>
                <w:rFonts w:cs="Arial"/>
                <w:color w:val="000000" w:themeColor="text1"/>
                <w:sz w:val="18"/>
                <w:szCs w:val="18"/>
              </w:rPr>
              <w:t>PFOS+PFHxS</w:t>
            </w:r>
            <w:proofErr w:type="spellEnd"/>
          </w:p>
        </w:tc>
        <w:tc>
          <w:tcPr>
            <w:tcW w:w="350" w:type="pct"/>
            <w:shd w:val="clear" w:color="auto" w:fill="auto"/>
            <w:vAlign w:val="center"/>
          </w:tcPr>
          <w:p w14:paraId="2617C023" w14:textId="3506A816"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proofErr w:type="spellStart"/>
            <w:r w:rsidRPr="003F30FA">
              <w:rPr>
                <w:rFonts w:cs="Arial"/>
                <w:color w:val="000000" w:themeColor="text1"/>
                <w:sz w:val="18"/>
                <w:szCs w:val="18"/>
              </w:rPr>
              <w:t>PFHxS</w:t>
            </w:r>
            <w:proofErr w:type="spellEnd"/>
          </w:p>
        </w:tc>
        <w:tc>
          <w:tcPr>
            <w:tcW w:w="350" w:type="pct"/>
            <w:shd w:val="clear" w:color="auto" w:fill="auto"/>
            <w:vAlign w:val="center"/>
          </w:tcPr>
          <w:p w14:paraId="7832D089" w14:textId="5B6B27FC"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r w:rsidRPr="003F30FA">
              <w:rPr>
                <w:rFonts w:cs="Arial"/>
                <w:color w:val="000000" w:themeColor="text1"/>
                <w:sz w:val="18"/>
                <w:szCs w:val="18"/>
              </w:rPr>
              <w:t>PFOS</w:t>
            </w:r>
          </w:p>
        </w:tc>
        <w:tc>
          <w:tcPr>
            <w:tcW w:w="350" w:type="pct"/>
            <w:shd w:val="clear" w:color="auto" w:fill="auto"/>
            <w:vAlign w:val="center"/>
          </w:tcPr>
          <w:p w14:paraId="5076FF18" w14:textId="38E9E024"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r w:rsidRPr="003F30FA">
              <w:rPr>
                <w:rFonts w:cs="Arial"/>
                <w:color w:val="000000" w:themeColor="text1"/>
                <w:sz w:val="18"/>
                <w:szCs w:val="18"/>
              </w:rPr>
              <w:t>PFOA</w:t>
            </w:r>
          </w:p>
        </w:tc>
        <w:tc>
          <w:tcPr>
            <w:tcW w:w="511" w:type="pct"/>
            <w:shd w:val="clear" w:color="auto" w:fill="auto"/>
            <w:vAlign w:val="center"/>
          </w:tcPr>
          <w:p w14:paraId="00252825" w14:textId="77777777" w:rsidR="00AD5E37" w:rsidRPr="003F30FA" w:rsidRDefault="00AD5E37" w:rsidP="00A75BE9">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18"/>
              </w:rPr>
            </w:pPr>
            <w:proofErr w:type="spellStart"/>
            <w:r w:rsidRPr="003F30FA">
              <w:rPr>
                <w:rFonts w:cs="Arial"/>
                <w:color w:val="000000" w:themeColor="text1"/>
                <w:sz w:val="18"/>
                <w:szCs w:val="18"/>
              </w:rPr>
              <w:t>PFOS+PFHxS</w:t>
            </w:r>
            <w:proofErr w:type="spellEnd"/>
          </w:p>
        </w:tc>
      </w:tr>
      <w:tr w:rsidR="002C5F49" w:rsidRPr="00414DA2" w14:paraId="6B51C0F1"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36041558" w14:textId="3D415094" w:rsidR="00CE22DD" w:rsidRPr="00CE22DD" w:rsidRDefault="00CE22DD" w:rsidP="00A75BE9">
            <w:pPr>
              <w:spacing w:after="0" w:line="240" w:lineRule="auto"/>
              <w:contextualSpacing/>
              <w:rPr>
                <w:rFonts w:cs="Arial"/>
                <w:bCs w:val="0"/>
                <w:color w:val="000000"/>
                <w:sz w:val="18"/>
                <w:szCs w:val="18"/>
              </w:rPr>
            </w:pPr>
            <w:r w:rsidRPr="003C03A1">
              <w:rPr>
                <w:rFonts w:eastAsia="Times New Roman" w:cs="Arial"/>
                <w:color w:val="000000"/>
                <w:sz w:val="18"/>
                <w:szCs w:val="18"/>
                <w:lang w:eastAsia="en-GB"/>
              </w:rPr>
              <w:t>Fish and seafood</w:t>
            </w:r>
          </w:p>
        </w:tc>
        <w:tc>
          <w:tcPr>
            <w:tcW w:w="1031" w:type="pct"/>
            <w:noWrap/>
            <w:vAlign w:val="center"/>
            <w:hideMark/>
          </w:tcPr>
          <w:p w14:paraId="08C4A20A" w14:textId="639714C1" w:rsidR="00CE22DD" w:rsidRPr="000669D4" w:rsidRDefault="00CE22DD" w:rsidP="00A75BE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0669D4">
              <w:rPr>
                <w:rFonts w:cs="Arial"/>
                <w:i/>
                <w:color w:val="000000"/>
                <w:sz w:val="18"/>
                <w:szCs w:val="18"/>
              </w:rPr>
              <w:t>Crustaceans of all species</w:t>
            </w:r>
          </w:p>
        </w:tc>
        <w:tc>
          <w:tcPr>
            <w:tcW w:w="349" w:type="pct"/>
            <w:shd w:val="clear" w:color="auto" w:fill="F2F2F2" w:themeFill="background1" w:themeFillShade="F2"/>
            <w:noWrap/>
            <w:vAlign w:val="center"/>
          </w:tcPr>
          <w:p w14:paraId="7A892010"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65*</w:t>
            </w:r>
          </w:p>
        </w:tc>
        <w:tc>
          <w:tcPr>
            <w:tcW w:w="383" w:type="pct"/>
            <w:shd w:val="clear" w:color="auto" w:fill="F2F2F2" w:themeFill="background1" w:themeFillShade="F2"/>
            <w:noWrap/>
            <w:vAlign w:val="center"/>
          </w:tcPr>
          <w:p w14:paraId="799FFC1F"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65*</w:t>
            </w:r>
          </w:p>
        </w:tc>
        <w:tc>
          <w:tcPr>
            <w:tcW w:w="367" w:type="pct"/>
            <w:shd w:val="clear" w:color="auto" w:fill="F2F2F2" w:themeFill="background1" w:themeFillShade="F2"/>
            <w:noWrap/>
            <w:vAlign w:val="center"/>
          </w:tcPr>
          <w:p w14:paraId="09982A46"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520*</w:t>
            </w:r>
          </w:p>
        </w:tc>
        <w:tc>
          <w:tcPr>
            <w:tcW w:w="500" w:type="pct"/>
            <w:shd w:val="clear" w:color="auto" w:fill="F2F2F2" w:themeFill="background1" w:themeFillShade="F2"/>
            <w:noWrap/>
            <w:vAlign w:val="center"/>
          </w:tcPr>
          <w:p w14:paraId="2D9A8065"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65*</w:t>
            </w:r>
          </w:p>
        </w:tc>
        <w:tc>
          <w:tcPr>
            <w:tcW w:w="350" w:type="pct"/>
            <w:noWrap/>
            <w:vAlign w:val="center"/>
          </w:tcPr>
          <w:p w14:paraId="1B3C68AD" w14:textId="08D7D53C"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183</w:t>
            </w:r>
            <w:r>
              <w:rPr>
                <w:rFonts w:cs="Arial"/>
                <w:color w:val="000000"/>
                <w:sz w:val="18"/>
                <w:szCs w:val="18"/>
              </w:rPr>
              <w:t>*</w:t>
            </w:r>
          </w:p>
        </w:tc>
        <w:tc>
          <w:tcPr>
            <w:tcW w:w="350" w:type="pct"/>
            <w:noWrap/>
            <w:vAlign w:val="center"/>
          </w:tcPr>
          <w:p w14:paraId="77888159" w14:textId="5CCDF1EE"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183</w:t>
            </w:r>
            <w:r>
              <w:rPr>
                <w:rFonts w:cs="Arial"/>
                <w:color w:val="000000"/>
                <w:sz w:val="18"/>
                <w:szCs w:val="18"/>
              </w:rPr>
              <w:t>*</w:t>
            </w:r>
          </w:p>
        </w:tc>
        <w:tc>
          <w:tcPr>
            <w:tcW w:w="350" w:type="pct"/>
            <w:noWrap/>
            <w:vAlign w:val="center"/>
          </w:tcPr>
          <w:p w14:paraId="4AD71EA1" w14:textId="6A762009"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1463</w:t>
            </w:r>
            <w:r>
              <w:rPr>
                <w:rFonts w:cs="Arial"/>
                <w:color w:val="000000"/>
                <w:sz w:val="18"/>
                <w:szCs w:val="18"/>
              </w:rPr>
              <w:t>*</w:t>
            </w:r>
          </w:p>
        </w:tc>
        <w:tc>
          <w:tcPr>
            <w:tcW w:w="511" w:type="pct"/>
            <w:noWrap/>
            <w:vAlign w:val="center"/>
          </w:tcPr>
          <w:p w14:paraId="39BEE486" w14:textId="38A619C6"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183</w:t>
            </w:r>
            <w:r>
              <w:rPr>
                <w:rFonts w:cs="Arial"/>
                <w:color w:val="000000"/>
                <w:sz w:val="18"/>
                <w:szCs w:val="18"/>
              </w:rPr>
              <w:t>*</w:t>
            </w:r>
          </w:p>
        </w:tc>
      </w:tr>
      <w:tr w:rsidR="002C5F49" w:rsidRPr="00414DA2" w14:paraId="570C33E8"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61A17AFD"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tcPr>
          <w:p w14:paraId="63D74FFA" w14:textId="2573AC30" w:rsidR="00CE22DD" w:rsidRPr="000669D4" w:rsidRDefault="00CE22DD" w:rsidP="00A75BE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0669D4">
              <w:rPr>
                <w:rFonts w:cs="Arial"/>
                <w:i/>
                <w:color w:val="000000"/>
                <w:sz w:val="18"/>
                <w:szCs w:val="18"/>
              </w:rPr>
              <w:t>Finfish (all)</w:t>
            </w:r>
          </w:p>
        </w:tc>
        <w:tc>
          <w:tcPr>
            <w:tcW w:w="349" w:type="pct"/>
            <w:shd w:val="clear" w:color="auto" w:fill="F2F2F2" w:themeFill="background1" w:themeFillShade="F2"/>
            <w:noWrap/>
            <w:vAlign w:val="center"/>
          </w:tcPr>
          <w:p w14:paraId="56242800" w14:textId="6F9006C2" w:rsidR="00CE22DD" w:rsidRPr="002766C3" w:rsidRDefault="00B4252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Pr>
                <w:rFonts w:cs="Arial"/>
                <w:b/>
                <w:color w:val="000000"/>
                <w:sz w:val="18"/>
                <w:szCs w:val="18"/>
              </w:rPr>
              <w:t>5.2</w:t>
            </w:r>
          </w:p>
        </w:tc>
        <w:tc>
          <w:tcPr>
            <w:tcW w:w="383" w:type="pct"/>
            <w:shd w:val="clear" w:color="auto" w:fill="F2F2F2" w:themeFill="background1" w:themeFillShade="F2"/>
            <w:noWrap/>
            <w:vAlign w:val="center"/>
          </w:tcPr>
          <w:p w14:paraId="441F5D58" w14:textId="6F94B872" w:rsidR="00CE22DD" w:rsidRPr="002766C3" w:rsidRDefault="00B4252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Pr>
                <w:rFonts w:cs="Arial"/>
                <w:b/>
                <w:color w:val="000000"/>
                <w:sz w:val="18"/>
                <w:szCs w:val="18"/>
              </w:rPr>
              <w:t>5.2</w:t>
            </w:r>
          </w:p>
        </w:tc>
        <w:tc>
          <w:tcPr>
            <w:tcW w:w="367" w:type="pct"/>
            <w:shd w:val="clear" w:color="auto" w:fill="F2F2F2" w:themeFill="background1" w:themeFillShade="F2"/>
            <w:noWrap/>
            <w:vAlign w:val="center"/>
          </w:tcPr>
          <w:p w14:paraId="024CCE8A" w14:textId="529AE36E" w:rsidR="00CE22DD" w:rsidRPr="002766C3" w:rsidRDefault="00B4252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Pr>
                <w:rFonts w:cs="Arial"/>
                <w:b/>
                <w:color w:val="000000"/>
                <w:sz w:val="18"/>
                <w:szCs w:val="18"/>
              </w:rPr>
              <w:t>41</w:t>
            </w:r>
          </w:p>
        </w:tc>
        <w:tc>
          <w:tcPr>
            <w:tcW w:w="500" w:type="pct"/>
            <w:shd w:val="clear" w:color="auto" w:fill="F2F2F2" w:themeFill="background1" w:themeFillShade="F2"/>
            <w:noWrap/>
            <w:vAlign w:val="center"/>
          </w:tcPr>
          <w:p w14:paraId="579C483E" w14:textId="099727B3" w:rsidR="00CE22DD" w:rsidRPr="002766C3" w:rsidRDefault="00B4252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Pr>
                <w:rFonts w:cs="Arial"/>
                <w:b/>
                <w:color w:val="000000"/>
                <w:sz w:val="18"/>
                <w:szCs w:val="18"/>
              </w:rPr>
              <w:t>5.2</w:t>
            </w:r>
          </w:p>
        </w:tc>
        <w:tc>
          <w:tcPr>
            <w:tcW w:w="350" w:type="pct"/>
            <w:noWrap/>
            <w:vAlign w:val="center"/>
          </w:tcPr>
          <w:p w14:paraId="218C50A3"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1EFE4D17"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1CE036F6"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91</w:t>
            </w:r>
          </w:p>
        </w:tc>
        <w:tc>
          <w:tcPr>
            <w:tcW w:w="511" w:type="pct"/>
            <w:noWrap/>
            <w:vAlign w:val="center"/>
          </w:tcPr>
          <w:p w14:paraId="60A93968"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r>
      <w:tr w:rsidR="002C5F49" w:rsidRPr="00414DA2" w14:paraId="6FEEEB0E"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47F75826"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3A63DCB4" w14:textId="26A5F6BC" w:rsidR="00CE22DD" w:rsidRPr="00AD5E37" w:rsidRDefault="00CE22DD"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AD5E37">
              <w:rPr>
                <w:rFonts w:cs="Arial"/>
                <w:color w:val="000000"/>
                <w:sz w:val="18"/>
                <w:szCs w:val="18"/>
              </w:rPr>
              <w:t>Diadromous</w:t>
            </w:r>
            <w:proofErr w:type="spellEnd"/>
            <w:r w:rsidRPr="00AD5E37">
              <w:rPr>
                <w:rFonts w:cs="Arial"/>
                <w:color w:val="000000"/>
                <w:sz w:val="18"/>
                <w:szCs w:val="18"/>
              </w:rPr>
              <w:t xml:space="preserve"> fish</w:t>
            </w:r>
          </w:p>
        </w:tc>
        <w:tc>
          <w:tcPr>
            <w:tcW w:w="349" w:type="pct"/>
            <w:noWrap/>
            <w:vAlign w:val="center"/>
          </w:tcPr>
          <w:p w14:paraId="2416C8AC"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22*</w:t>
            </w:r>
          </w:p>
        </w:tc>
        <w:tc>
          <w:tcPr>
            <w:tcW w:w="383" w:type="pct"/>
            <w:noWrap/>
            <w:vAlign w:val="center"/>
          </w:tcPr>
          <w:p w14:paraId="191D3BD0"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22*</w:t>
            </w:r>
          </w:p>
        </w:tc>
        <w:tc>
          <w:tcPr>
            <w:tcW w:w="367" w:type="pct"/>
            <w:noWrap/>
            <w:vAlign w:val="center"/>
          </w:tcPr>
          <w:p w14:paraId="118C5F6D"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177*</w:t>
            </w:r>
          </w:p>
        </w:tc>
        <w:tc>
          <w:tcPr>
            <w:tcW w:w="500" w:type="pct"/>
            <w:noWrap/>
            <w:vAlign w:val="center"/>
          </w:tcPr>
          <w:p w14:paraId="5135894D"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22*</w:t>
            </w:r>
          </w:p>
        </w:tc>
        <w:tc>
          <w:tcPr>
            <w:tcW w:w="350" w:type="pct"/>
            <w:noWrap/>
            <w:vAlign w:val="center"/>
          </w:tcPr>
          <w:p w14:paraId="0DE12B5D" w14:textId="763CA5DF"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37</w:t>
            </w:r>
            <w:r>
              <w:rPr>
                <w:rFonts w:cs="Arial"/>
                <w:color w:val="000000"/>
                <w:sz w:val="18"/>
                <w:szCs w:val="18"/>
              </w:rPr>
              <w:t>*</w:t>
            </w:r>
          </w:p>
        </w:tc>
        <w:tc>
          <w:tcPr>
            <w:tcW w:w="350" w:type="pct"/>
            <w:noWrap/>
            <w:vAlign w:val="center"/>
          </w:tcPr>
          <w:p w14:paraId="124940D7" w14:textId="1331938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37</w:t>
            </w:r>
            <w:r>
              <w:rPr>
                <w:rFonts w:cs="Arial"/>
                <w:color w:val="000000"/>
                <w:sz w:val="18"/>
                <w:szCs w:val="18"/>
              </w:rPr>
              <w:t>*</w:t>
            </w:r>
          </w:p>
        </w:tc>
        <w:tc>
          <w:tcPr>
            <w:tcW w:w="350" w:type="pct"/>
            <w:noWrap/>
            <w:vAlign w:val="center"/>
          </w:tcPr>
          <w:p w14:paraId="1F493879" w14:textId="317FC542"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296</w:t>
            </w:r>
            <w:r>
              <w:rPr>
                <w:rFonts w:cs="Arial"/>
                <w:color w:val="000000"/>
                <w:sz w:val="18"/>
                <w:szCs w:val="18"/>
              </w:rPr>
              <w:t>*</w:t>
            </w:r>
          </w:p>
        </w:tc>
        <w:tc>
          <w:tcPr>
            <w:tcW w:w="511" w:type="pct"/>
            <w:noWrap/>
            <w:vAlign w:val="center"/>
          </w:tcPr>
          <w:p w14:paraId="57082E8E" w14:textId="7C935860"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F6F52">
              <w:rPr>
                <w:rFonts w:cs="Arial"/>
                <w:color w:val="000000"/>
                <w:sz w:val="18"/>
                <w:szCs w:val="18"/>
              </w:rPr>
              <w:t>37</w:t>
            </w:r>
            <w:r>
              <w:rPr>
                <w:rFonts w:cs="Arial"/>
                <w:color w:val="000000"/>
                <w:sz w:val="18"/>
                <w:szCs w:val="18"/>
              </w:rPr>
              <w:t>*</w:t>
            </w:r>
          </w:p>
        </w:tc>
      </w:tr>
      <w:tr w:rsidR="002C5F49" w:rsidRPr="00414DA2" w14:paraId="6E5B3526"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23F3692E"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3BBC6063" w14:textId="216467EB" w:rsidR="00CE22DD" w:rsidRPr="00AD5E37" w:rsidRDefault="00CE22DD"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Freshwater fish</w:t>
            </w:r>
          </w:p>
        </w:tc>
        <w:tc>
          <w:tcPr>
            <w:tcW w:w="349" w:type="pct"/>
            <w:noWrap/>
            <w:vAlign w:val="center"/>
          </w:tcPr>
          <w:p w14:paraId="44CA89CF"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20*</w:t>
            </w:r>
          </w:p>
        </w:tc>
        <w:tc>
          <w:tcPr>
            <w:tcW w:w="383" w:type="pct"/>
            <w:noWrap/>
            <w:vAlign w:val="center"/>
          </w:tcPr>
          <w:p w14:paraId="2915ADDB"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20*</w:t>
            </w:r>
          </w:p>
        </w:tc>
        <w:tc>
          <w:tcPr>
            <w:tcW w:w="367" w:type="pct"/>
            <w:noWrap/>
            <w:vAlign w:val="center"/>
          </w:tcPr>
          <w:p w14:paraId="3FBB745D"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158*</w:t>
            </w:r>
          </w:p>
        </w:tc>
        <w:tc>
          <w:tcPr>
            <w:tcW w:w="500" w:type="pct"/>
            <w:noWrap/>
            <w:vAlign w:val="center"/>
          </w:tcPr>
          <w:p w14:paraId="156BEA68"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20*</w:t>
            </w:r>
          </w:p>
        </w:tc>
        <w:tc>
          <w:tcPr>
            <w:tcW w:w="350" w:type="pct"/>
            <w:noWrap/>
            <w:vAlign w:val="center"/>
          </w:tcPr>
          <w:p w14:paraId="680C4A5B" w14:textId="41CD7D80"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7F72">
              <w:rPr>
                <w:rFonts w:cs="Arial"/>
                <w:color w:val="000000"/>
                <w:sz w:val="18"/>
                <w:szCs w:val="18"/>
              </w:rPr>
              <w:t>33*</w:t>
            </w:r>
          </w:p>
        </w:tc>
        <w:tc>
          <w:tcPr>
            <w:tcW w:w="350" w:type="pct"/>
            <w:noWrap/>
            <w:vAlign w:val="center"/>
          </w:tcPr>
          <w:p w14:paraId="3A8D7633" w14:textId="579B9EA6"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7F72">
              <w:rPr>
                <w:rFonts w:cs="Arial"/>
                <w:color w:val="000000"/>
                <w:sz w:val="18"/>
                <w:szCs w:val="18"/>
              </w:rPr>
              <w:t>33*</w:t>
            </w:r>
          </w:p>
        </w:tc>
        <w:tc>
          <w:tcPr>
            <w:tcW w:w="350" w:type="pct"/>
            <w:noWrap/>
            <w:vAlign w:val="center"/>
          </w:tcPr>
          <w:p w14:paraId="5FFC6701" w14:textId="23824E3A"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7F72">
              <w:rPr>
                <w:rFonts w:cs="Arial"/>
                <w:color w:val="000000"/>
                <w:sz w:val="18"/>
                <w:szCs w:val="18"/>
              </w:rPr>
              <w:t>267*</w:t>
            </w:r>
          </w:p>
        </w:tc>
        <w:tc>
          <w:tcPr>
            <w:tcW w:w="511" w:type="pct"/>
            <w:noWrap/>
            <w:vAlign w:val="center"/>
          </w:tcPr>
          <w:p w14:paraId="71088174" w14:textId="673C8C2A"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7F72">
              <w:rPr>
                <w:rFonts w:cs="Arial"/>
                <w:color w:val="000000"/>
                <w:sz w:val="18"/>
                <w:szCs w:val="18"/>
              </w:rPr>
              <w:t>33*</w:t>
            </w:r>
          </w:p>
        </w:tc>
      </w:tr>
      <w:tr w:rsidR="002C5F49" w:rsidRPr="00414DA2" w14:paraId="2A62375F"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0F40C110"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3C12F64E" w14:textId="65C34526" w:rsidR="00CE22DD" w:rsidRPr="00AD5E37" w:rsidRDefault="00CE22DD"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Marine fish of all species</w:t>
            </w:r>
          </w:p>
        </w:tc>
        <w:tc>
          <w:tcPr>
            <w:tcW w:w="349" w:type="pct"/>
            <w:noWrap/>
            <w:vAlign w:val="center"/>
          </w:tcPr>
          <w:p w14:paraId="3E7FDFC9"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10</w:t>
            </w:r>
          </w:p>
        </w:tc>
        <w:tc>
          <w:tcPr>
            <w:tcW w:w="383" w:type="pct"/>
            <w:noWrap/>
            <w:vAlign w:val="center"/>
          </w:tcPr>
          <w:p w14:paraId="4AB8E681"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10</w:t>
            </w:r>
          </w:p>
        </w:tc>
        <w:tc>
          <w:tcPr>
            <w:tcW w:w="367" w:type="pct"/>
            <w:noWrap/>
            <w:vAlign w:val="center"/>
          </w:tcPr>
          <w:p w14:paraId="326FBD74"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77</w:t>
            </w:r>
          </w:p>
        </w:tc>
        <w:tc>
          <w:tcPr>
            <w:tcW w:w="500" w:type="pct"/>
            <w:noWrap/>
            <w:vAlign w:val="center"/>
          </w:tcPr>
          <w:p w14:paraId="03C3D5C6"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10</w:t>
            </w:r>
          </w:p>
        </w:tc>
        <w:tc>
          <w:tcPr>
            <w:tcW w:w="350" w:type="pct"/>
            <w:noWrap/>
            <w:vAlign w:val="center"/>
          </w:tcPr>
          <w:p w14:paraId="0AECBD1D"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18</w:t>
            </w:r>
          </w:p>
        </w:tc>
        <w:tc>
          <w:tcPr>
            <w:tcW w:w="350" w:type="pct"/>
            <w:noWrap/>
            <w:vAlign w:val="center"/>
          </w:tcPr>
          <w:p w14:paraId="371FAD25"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18</w:t>
            </w:r>
          </w:p>
        </w:tc>
        <w:tc>
          <w:tcPr>
            <w:tcW w:w="350" w:type="pct"/>
            <w:noWrap/>
            <w:vAlign w:val="center"/>
          </w:tcPr>
          <w:p w14:paraId="55423357"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147</w:t>
            </w:r>
          </w:p>
        </w:tc>
        <w:tc>
          <w:tcPr>
            <w:tcW w:w="511" w:type="pct"/>
            <w:noWrap/>
            <w:vAlign w:val="center"/>
          </w:tcPr>
          <w:p w14:paraId="67B874B5"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18</w:t>
            </w:r>
          </w:p>
        </w:tc>
      </w:tr>
      <w:tr w:rsidR="002C5F49" w:rsidRPr="00414DA2" w14:paraId="2AFEAB5D" w14:textId="77777777" w:rsidTr="002358B6">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1486C4A0" w14:textId="12EC8A38" w:rsidR="00CE22DD" w:rsidRPr="003C03A1" w:rsidRDefault="00CE22DD" w:rsidP="00A75BE9">
            <w:pPr>
              <w:spacing w:after="0" w:line="240" w:lineRule="auto"/>
              <w:contextualSpacing/>
              <w:rPr>
                <w:rFonts w:eastAsia="Times New Roman" w:cs="Arial"/>
                <w:color w:val="000000"/>
                <w:sz w:val="18"/>
                <w:szCs w:val="18"/>
                <w:lang w:eastAsia="en-GB"/>
              </w:rPr>
            </w:pPr>
          </w:p>
        </w:tc>
        <w:tc>
          <w:tcPr>
            <w:tcW w:w="1031" w:type="pct"/>
            <w:noWrap/>
            <w:vAlign w:val="center"/>
          </w:tcPr>
          <w:p w14:paraId="1131EE0B" w14:textId="0DCEB0BA" w:rsidR="00CE22DD" w:rsidRPr="000669D4" w:rsidRDefault="00CE22DD" w:rsidP="00A75BE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0669D4">
              <w:rPr>
                <w:rFonts w:cs="Arial"/>
                <w:i/>
                <w:color w:val="000000"/>
                <w:sz w:val="18"/>
                <w:szCs w:val="18"/>
              </w:rPr>
              <w:t>Molluscs</w:t>
            </w:r>
          </w:p>
        </w:tc>
        <w:tc>
          <w:tcPr>
            <w:tcW w:w="349" w:type="pct"/>
            <w:noWrap/>
            <w:vAlign w:val="center"/>
          </w:tcPr>
          <w:p w14:paraId="4385CD26" w14:textId="3FADCF48"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29272*</w:t>
            </w:r>
          </w:p>
        </w:tc>
        <w:tc>
          <w:tcPr>
            <w:tcW w:w="383" w:type="pct"/>
            <w:noWrap/>
            <w:vAlign w:val="center"/>
          </w:tcPr>
          <w:p w14:paraId="7F1C0AA2" w14:textId="09F5CEC2"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29272*</w:t>
            </w:r>
          </w:p>
        </w:tc>
        <w:tc>
          <w:tcPr>
            <w:tcW w:w="367" w:type="pct"/>
            <w:noWrap/>
            <w:vAlign w:val="center"/>
          </w:tcPr>
          <w:p w14:paraId="71D0F544" w14:textId="36099489"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234178*</w:t>
            </w:r>
          </w:p>
        </w:tc>
        <w:tc>
          <w:tcPr>
            <w:tcW w:w="500" w:type="pct"/>
            <w:noWrap/>
            <w:vAlign w:val="center"/>
          </w:tcPr>
          <w:p w14:paraId="785E1AAD" w14:textId="28941E1E"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29272*</w:t>
            </w:r>
          </w:p>
        </w:tc>
        <w:tc>
          <w:tcPr>
            <w:tcW w:w="350" w:type="pct"/>
            <w:shd w:val="clear" w:color="auto" w:fill="auto"/>
            <w:noWrap/>
            <w:vAlign w:val="center"/>
          </w:tcPr>
          <w:p w14:paraId="4D324B1E" w14:textId="09136593" w:rsidR="00CE22DD" w:rsidRPr="002358B6" w:rsidRDefault="003B1D8B"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2358B6">
              <w:rPr>
                <w:rFonts w:cs="Arial"/>
                <w:color w:val="000000"/>
                <w:sz w:val="18"/>
                <w:szCs w:val="18"/>
              </w:rPr>
              <w:t>35948*</w:t>
            </w:r>
          </w:p>
        </w:tc>
        <w:tc>
          <w:tcPr>
            <w:tcW w:w="350" w:type="pct"/>
            <w:shd w:val="clear" w:color="auto" w:fill="auto"/>
            <w:noWrap/>
            <w:vAlign w:val="center"/>
          </w:tcPr>
          <w:p w14:paraId="1D78A9DF" w14:textId="6D4CF039" w:rsidR="00CE22DD" w:rsidRPr="002358B6" w:rsidRDefault="003B1D8B"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2358B6">
              <w:rPr>
                <w:rFonts w:cs="Arial"/>
                <w:color w:val="000000"/>
                <w:sz w:val="18"/>
                <w:szCs w:val="18"/>
              </w:rPr>
              <w:t>35948*</w:t>
            </w:r>
          </w:p>
        </w:tc>
        <w:tc>
          <w:tcPr>
            <w:tcW w:w="350" w:type="pct"/>
            <w:shd w:val="clear" w:color="auto" w:fill="auto"/>
            <w:noWrap/>
            <w:vAlign w:val="center"/>
          </w:tcPr>
          <w:p w14:paraId="3919A009" w14:textId="5284B4E9" w:rsidR="00CE22DD" w:rsidRPr="002358B6" w:rsidRDefault="003B1D8B"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2358B6">
              <w:rPr>
                <w:rFonts w:cs="Arial"/>
                <w:color w:val="000000"/>
                <w:sz w:val="18"/>
                <w:szCs w:val="18"/>
              </w:rPr>
              <w:t>287587*</w:t>
            </w:r>
          </w:p>
        </w:tc>
        <w:tc>
          <w:tcPr>
            <w:tcW w:w="511" w:type="pct"/>
            <w:shd w:val="clear" w:color="auto" w:fill="auto"/>
            <w:noWrap/>
            <w:vAlign w:val="center"/>
          </w:tcPr>
          <w:p w14:paraId="271D52D0" w14:textId="2455EFD0" w:rsidR="00CE22DD" w:rsidRPr="002358B6" w:rsidRDefault="003B1D8B"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2358B6">
              <w:rPr>
                <w:rFonts w:cs="Arial"/>
                <w:color w:val="000000"/>
                <w:sz w:val="18"/>
                <w:szCs w:val="18"/>
              </w:rPr>
              <w:t>35948*</w:t>
            </w:r>
          </w:p>
        </w:tc>
      </w:tr>
      <w:tr w:rsidR="002C5F49" w:rsidRPr="00414DA2" w14:paraId="1C89A8DC"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3A91C1F0" w14:textId="35478836" w:rsidR="00CE22DD" w:rsidRPr="00CE22DD" w:rsidRDefault="00CE22DD" w:rsidP="00A75BE9">
            <w:pPr>
              <w:spacing w:after="0" w:line="240" w:lineRule="auto"/>
              <w:contextualSpacing/>
              <w:rPr>
                <w:rFonts w:cs="Arial"/>
                <w:bCs w:val="0"/>
                <w:color w:val="000000"/>
                <w:sz w:val="18"/>
                <w:szCs w:val="18"/>
              </w:rPr>
            </w:pPr>
            <w:r w:rsidRPr="007F5A60">
              <w:rPr>
                <w:rFonts w:eastAsia="Times New Roman" w:cs="Arial"/>
                <w:color w:val="000000"/>
                <w:sz w:val="18"/>
                <w:szCs w:val="18"/>
                <w:lang w:eastAsia="en-GB"/>
              </w:rPr>
              <w:t>Animal products</w:t>
            </w:r>
          </w:p>
        </w:tc>
        <w:tc>
          <w:tcPr>
            <w:tcW w:w="1031" w:type="pct"/>
            <w:noWrap/>
            <w:vAlign w:val="center"/>
            <w:hideMark/>
          </w:tcPr>
          <w:p w14:paraId="74628188" w14:textId="1AB73B09" w:rsidR="00CE22DD" w:rsidRPr="000669D4" w:rsidRDefault="00CE22DD" w:rsidP="00A75BE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0669D4">
              <w:rPr>
                <w:rFonts w:cs="Arial"/>
                <w:i/>
                <w:color w:val="000000"/>
                <w:sz w:val="18"/>
                <w:szCs w:val="18"/>
              </w:rPr>
              <w:t>Meat mammalian</w:t>
            </w:r>
            <w:r>
              <w:rPr>
                <w:rFonts w:cs="Arial"/>
                <w:i/>
                <w:color w:val="000000"/>
                <w:sz w:val="18"/>
                <w:szCs w:val="18"/>
              </w:rPr>
              <w:t xml:space="preserve"> (all)</w:t>
            </w:r>
          </w:p>
        </w:tc>
        <w:tc>
          <w:tcPr>
            <w:tcW w:w="349" w:type="pct"/>
            <w:shd w:val="clear" w:color="auto" w:fill="F2F2F2" w:themeFill="background1" w:themeFillShade="F2"/>
            <w:noWrap/>
            <w:vAlign w:val="center"/>
          </w:tcPr>
          <w:p w14:paraId="021025BD"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3.5</w:t>
            </w:r>
          </w:p>
        </w:tc>
        <w:tc>
          <w:tcPr>
            <w:tcW w:w="383" w:type="pct"/>
            <w:shd w:val="clear" w:color="auto" w:fill="F2F2F2" w:themeFill="background1" w:themeFillShade="F2"/>
            <w:noWrap/>
            <w:vAlign w:val="center"/>
          </w:tcPr>
          <w:p w14:paraId="4084635B"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3.5</w:t>
            </w:r>
          </w:p>
        </w:tc>
        <w:tc>
          <w:tcPr>
            <w:tcW w:w="367" w:type="pct"/>
            <w:shd w:val="clear" w:color="auto" w:fill="F2F2F2" w:themeFill="background1" w:themeFillShade="F2"/>
            <w:noWrap/>
            <w:vAlign w:val="center"/>
          </w:tcPr>
          <w:p w14:paraId="31E46D88"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28</w:t>
            </w:r>
          </w:p>
        </w:tc>
        <w:tc>
          <w:tcPr>
            <w:tcW w:w="500" w:type="pct"/>
            <w:shd w:val="clear" w:color="auto" w:fill="F2F2F2" w:themeFill="background1" w:themeFillShade="F2"/>
            <w:noWrap/>
            <w:vAlign w:val="center"/>
          </w:tcPr>
          <w:p w14:paraId="234AD239" w14:textId="77777777" w:rsidR="00CE22DD" w:rsidRPr="002766C3"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3.5</w:t>
            </w:r>
          </w:p>
        </w:tc>
        <w:tc>
          <w:tcPr>
            <w:tcW w:w="350" w:type="pct"/>
            <w:noWrap/>
            <w:vAlign w:val="center"/>
          </w:tcPr>
          <w:p w14:paraId="086FAA0E"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6.3</w:t>
            </w:r>
          </w:p>
        </w:tc>
        <w:tc>
          <w:tcPr>
            <w:tcW w:w="350" w:type="pct"/>
            <w:noWrap/>
            <w:vAlign w:val="center"/>
          </w:tcPr>
          <w:p w14:paraId="3EDB8A4B"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6.3</w:t>
            </w:r>
          </w:p>
        </w:tc>
        <w:tc>
          <w:tcPr>
            <w:tcW w:w="350" w:type="pct"/>
            <w:noWrap/>
            <w:vAlign w:val="center"/>
          </w:tcPr>
          <w:p w14:paraId="0755235C"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51</w:t>
            </w:r>
          </w:p>
        </w:tc>
        <w:tc>
          <w:tcPr>
            <w:tcW w:w="511" w:type="pct"/>
            <w:noWrap/>
            <w:vAlign w:val="center"/>
          </w:tcPr>
          <w:p w14:paraId="683A382B"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6.3</w:t>
            </w:r>
          </w:p>
        </w:tc>
      </w:tr>
      <w:tr w:rsidR="002C5F49" w:rsidRPr="00414DA2" w14:paraId="25C160AE"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77B04583"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681FAE3A" w14:textId="6B034663" w:rsidR="00CE22DD" w:rsidRPr="00AD5E37" w:rsidRDefault="00CE22DD"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Cattle meat</w:t>
            </w:r>
          </w:p>
        </w:tc>
        <w:tc>
          <w:tcPr>
            <w:tcW w:w="349" w:type="pct"/>
            <w:noWrap/>
            <w:vAlign w:val="center"/>
          </w:tcPr>
          <w:p w14:paraId="226BCAA7"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4.5</w:t>
            </w:r>
          </w:p>
        </w:tc>
        <w:tc>
          <w:tcPr>
            <w:tcW w:w="383" w:type="pct"/>
            <w:noWrap/>
            <w:vAlign w:val="center"/>
          </w:tcPr>
          <w:p w14:paraId="1C4A2B82"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4.5</w:t>
            </w:r>
          </w:p>
        </w:tc>
        <w:tc>
          <w:tcPr>
            <w:tcW w:w="367" w:type="pct"/>
            <w:noWrap/>
            <w:vAlign w:val="center"/>
          </w:tcPr>
          <w:p w14:paraId="6473CE99"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36</w:t>
            </w:r>
          </w:p>
        </w:tc>
        <w:tc>
          <w:tcPr>
            <w:tcW w:w="500" w:type="pct"/>
            <w:noWrap/>
            <w:vAlign w:val="center"/>
          </w:tcPr>
          <w:p w14:paraId="49C9C283"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4.5</w:t>
            </w:r>
          </w:p>
        </w:tc>
        <w:tc>
          <w:tcPr>
            <w:tcW w:w="350" w:type="pct"/>
            <w:noWrap/>
            <w:vAlign w:val="center"/>
          </w:tcPr>
          <w:p w14:paraId="5C37E9E3"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8.6</w:t>
            </w:r>
          </w:p>
        </w:tc>
        <w:tc>
          <w:tcPr>
            <w:tcW w:w="350" w:type="pct"/>
            <w:noWrap/>
            <w:vAlign w:val="center"/>
          </w:tcPr>
          <w:p w14:paraId="6814A28C"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8.6</w:t>
            </w:r>
          </w:p>
        </w:tc>
        <w:tc>
          <w:tcPr>
            <w:tcW w:w="350" w:type="pct"/>
            <w:noWrap/>
            <w:vAlign w:val="center"/>
          </w:tcPr>
          <w:p w14:paraId="7AACC313"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69</w:t>
            </w:r>
          </w:p>
        </w:tc>
        <w:tc>
          <w:tcPr>
            <w:tcW w:w="511" w:type="pct"/>
            <w:noWrap/>
            <w:vAlign w:val="center"/>
          </w:tcPr>
          <w:p w14:paraId="50C4B786"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8.6</w:t>
            </w:r>
          </w:p>
        </w:tc>
      </w:tr>
      <w:tr w:rsidR="002C5F49" w:rsidRPr="00414DA2" w14:paraId="1BBA1AF1"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4E6B218A"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06A6B441" w14:textId="3EF815DA" w:rsidR="00CE22DD" w:rsidRPr="00AD5E37" w:rsidRDefault="00CE22DD"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Rabbit meat</w:t>
            </w:r>
          </w:p>
        </w:tc>
        <w:tc>
          <w:tcPr>
            <w:tcW w:w="349" w:type="pct"/>
            <w:noWrap/>
            <w:vAlign w:val="center"/>
          </w:tcPr>
          <w:p w14:paraId="445DC834"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383" w:type="pct"/>
            <w:noWrap/>
            <w:vAlign w:val="center"/>
          </w:tcPr>
          <w:p w14:paraId="5CD63B45"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367" w:type="pct"/>
            <w:noWrap/>
            <w:vAlign w:val="center"/>
          </w:tcPr>
          <w:p w14:paraId="21ACB1BE"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500" w:type="pct"/>
            <w:noWrap/>
            <w:vAlign w:val="center"/>
          </w:tcPr>
          <w:p w14:paraId="792B7A2C"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350" w:type="pct"/>
            <w:noWrap/>
            <w:vAlign w:val="center"/>
          </w:tcPr>
          <w:p w14:paraId="13FAD403"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3.0*</w:t>
            </w:r>
          </w:p>
        </w:tc>
        <w:tc>
          <w:tcPr>
            <w:tcW w:w="350" w:type="pct"/>
            <w:noWrap/>
            <w:vAlign w:val="center"/>
          </w:tcPr>
          <w:p w14:paraId="18A42B78"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3.0*</w:t>
            </w:r>
          </w:p>
        </w:tc>
        <w:tc>
          <w:tcPr>
            <w:tcW w:w="350" w:type="pct"/>
            <w:noWrap/>
            <w:vAlign w:val="center"/>
          </w:tcPr>
          <w:p w14:paraId="6D244CCB"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24*</w:t>
            </w:r>
          </w:p>
        </w:tc>
        <w:tc>
          <w:tcPr>
            <w:tcW w:w="511" w:type="pct"/>
            <w:noWrap/>
            <w:vAlign w:val="center"/>
          </w:tcPr>
          <w:p w14:paraId="24A2FC69"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3.0*</w:t>
            </w:r>
          </w:p>
        </w:tc>
      </w:tr>
      <w:tr w:rsidR="002C5F49" w:rsidRPr="00414DA2" w14:paraId="5702C09E"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520C60C7"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4DA85E60" w14:textId="138435B0" w:rsidR="00CE22DD" w:rsidRPr="00AD5E37" w:rsidRDefault="00CE22DD"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Sheep meat</w:t>
            </w:r>
          </w:p>
        </w:tc>
        <w:tc>
          <w:tcPr>
            <w:tcW w:w="349" w:type="pct"/>
            <w:noWrap/>
            <w:vAlign w:val="center"/>
          </w:tcPr>
          <w:p w14:paraId="4F396603"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83" w:type="pct"/>
            <w:noWrap/>
            <w:vAlign w:val="center"/>
          </w:tcPr>
          <w:p w14:paraId="680B5276"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67" w:type="pct"/>
            <w:noWrap/>
            <w:vAlign w:val="center"/>
          </w:tcPr>
          <w:p w14:paraId="15675CC0"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85</w:t>
            </w:r>
          </w:p>
        </w:tc>
        <w:tc>
          <w:tcPr>
            <w:tcW w:w="500" w:type="pct"/>
            <w:noWrap/>
            <w:vAlign w:val="center"/>
          </w:tcPr>
          <w:p w14:paraId="395DEA19"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62EA8B56"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17</w:t>
            </w:r>
          </w:p>
        </w:tc>
        <w:tc>
          <w:tcPr>
            <w:tcW w:w="350" w:type="pct"/>
            <w:noWrap/>
            <w:vAlign w:val="center"/>
          </w:tcPr>
          <w:p w14:paraId="5AF03C4E"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17</w:t>
            </w:r>
          </w:p>
        </w:tc>
        <w:tc>
          <w:tcPr>
            <w:tcW w:w="350" w:type="pct"/>
            <w:noWrap/>
            <w:vAlign w:val="center"/>
          </w:tcPr>
          <w:p w14:paraId="4D4662EA"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132</w:t>
            </w:r>
          </w:p>
        </w:tc>
        <w:tc>
          <w:tcPr>
            <w:tcW w:w="511" w:type="pct"/>
            <w:noWrap/>
            <w:vAlign w:val="center"/>
          </w:tcPr>
          <w:p w14:paraId="204D7809"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17</w:t>
            </w:r>
          </w:p>
        </w:tc>
      </w:tr>
      <w:tr w:rsidR="002C5F49" w:rsidRPr="00414DA2" w14:paraId="601F8076"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0A46AF33"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1FA454F4" w14:textId="2E3AE39A" w:rsidR="00CE22DD" w:rsidRPr="000669D4" w:rsidRDefault="00CE22DD" w:rsidP="00A75BE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0669D4">
              <w:rPr>
                <w:rFonts w:cs="Arial"/>
                <w:i/>
                <w:color w:val="000000"/>
                <w:sz w:val="18"/>
                <w:szCs w:val="18"/>
              </w:rPr>
              <w:t>Milk (all)</w:t>
            </w:r>
          </w:p>
        </w:tc>
        <w:tc>
          <w:tcPr>
            <w:tcW w:w="349" w:type="pct"/>
            <w:noWrap/>
            <w:vAlign w:val="center"/>
          </w:tcPr>
          <w:p w14:paraId="7E5BC929"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0.4</w:t>
            </w:r>
          </w:p>
        </w:tc>
        <w:tc>
          <w:tcPr>
            <w:tcW w:w="383" w:type="pct"/>
            <w:noWrap/>
            <w:vAlign w:val="center"/>
          </w:tcPr>
          <w:p w14:paraId="224136C3"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0.4</w:t>
            </w:r>
          </w:p>
        </w:tc>
        <w:tc>
          <w:tcPr>
            <w:tcW w:w="367" w:type="pct"/>
            <w:noWrap/>
            <w:vAlign w:val="center"/>
          </w:tcPr>
          <w:p w14:paraId="3ADE9CE6"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2.8</w:t>
            </w:r>
          </w:p>
        </w:tc>
        <w:tc>
          <w:tcPr>
            <w:tcW w:w="500" w:type="pct"/>
            <w:noWrap/>
            <w:vAlign w:val="center"/>
          </w:tcPr>
          <w:p w14:paraId="0935F707"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0.4</w:t>
            </w:r>
          </w:p>
        </w:tc>
        <w:tc>
          <w:tcPr>
            <w:tcW w:w="350" w:type="pct"/>
            <w:noWrap/>
            <w:vAlign w:val="center"/>
          </w:tcPr>
          <w:p w14:paraId="7652885A"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5745E978"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301A7557"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8.7</w:t>
            </w:r>
          </w:p>
        </w:tc>
        <w:tc>
          <w:tcPr>
            <w:tcW w:w="511" w:type="pct"/>
            <w:noWrap/>
            <w:vAlign w:val="center"/>
          </w:tcPr>
          <w:p w14:paraId="02144ECB"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1.1</w:t>
            </w:r>
          </w:p>
        </w:tc>
      </w:tr>
      <w:tr w:rsidR="002C5F49" w:rsidRPr="00414DA2" w14:paraId="3B81F512"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58603F19"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339009FC" w14:textId="7666949D" w:rsidR="00CE22DD" w:rsidRPr="000669D4" w:rsidRDefault="00CE22DD"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0669D4">
              <w:rPr>
                <w:rFonts w:cs="Arial"/>
                <w:color w:val="000000"/>
                <w:sz w:val="18"/>
                <w:szCs w:val="18"/>
              </w:rPr>
              <w:t>Cattle milk</w:t>
            </w:r>
          </w:p>
        </w:tc>
        <w:tc>
          <w:tcPr>
            <w:tcW w:w="349" w:type="pct"/>
            <w:shd w:val="clear" w:color="auto" w:fill="F2F2F2" w:themeFill="background1" w:themeFillShade="F2"/>
            <w:noWrap/>
            <w:vAlign w:val="center"/>
          </w:tcPr>
          <w:p w14:paraId="37DBCE3B"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0.4</w:t>
            </w:r>
          </w:p>
        </w:tc>
        <w:tc>
          <w:tcPr>
            <w:tcW w:w="383" w:type="pct"/>
            <w:shd w:val="clear" w:color="auto" w:fill="F2F2F2" w:themeFill="background1" w:themeFillShade="F2"/>
            <w:noWrap/>
            <w:vAlign w:val="center"/>
          </w:tcPr>
          <w:p w14:paraId="0683846E"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0.4</w:t>
            </w:r>
          </w:p>
        </w:tc>
        <w:tc>
          <w:tcPr>
            <w:tcW w:w="367" w:type="pct"/>
            <w:shd w:val="clear" w:color="auto" w:fill="F2F2F2" w:themeFill="background1" w:themeFillShade="F2"/>
            <w:noWrap/>
            <w:vAlign w:val="center"/>
          </w:tcPr>
          <w:p w14:paraId="7E7C1F03"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2.8</w:t>
            </w:r>
          </w:p>
        </w:tc>
        <w:tc>
          <w:tcPr>
            <w:tcW w:w="500" w:type="pct"/>
            <w:shd w:val="clear" w:color="auto" w:fill="F2F2F2" w:themeFill="background1" w:themeFillShade="F2"/>
            <w:noWrap/>
            <w:vAlign w:val="center"/>
          </w:tcPr>
          <w:p w14:paraId="7ABEB8FC"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0.4</w:t>
            </w:r>
          </w:p>
        </w:tc>
        <w:tc>
          <w:tcPr>
            <w:tcW w:w="350" w:type="pct"/>
            <w:noWrap/>
            <w:vAlign w:val="center"/>
          </w:tcPr>
          <w:p w14:paraId="01CBA857"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7D05D0C4"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6326F420"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8.7</w:t>
            </w:r>
          </w:p>
        </w:tc>
        <w:tc>
          <w:tcPr>
            <w:tcW w:w="511" w:type="pct"/>
            <w:noWrap/>
            <w:vAlign w:val="center"/>
          </w:tcPr>
          <w:p w14:paraId="6870693B"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r>
      <w:tr w:rsidR="002C5F49" w:rsidRPr="00414DA2" w14:paraId="36488526"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14DB4CED"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hideMark/>
          </w:tcPr>
          <w:p w14:paraId="03A377F4" w14:textId="021904D7" w:rsidR="00CE22DD" w:rsidRPr="000669D4" w:rsidRDefault="00CE22DD"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0669D4">
              <w:rPr>
                <w:rFonts w:cs="Arial"/>
                <w:color w:val="000000"/>
                <w:sz w:val="18"/>
                <w:szCs w:val="18"/>
              </w:rPr>
              <w:t>Sheep milk</w:t>
            </w:r>
          </w:p>
        </w:tc>
        <w:tc>
          <w:tcPr>
            <w:tcW w:w="349" w:type="pct"/>
            <w:noWrap/>
            <w:vAlign w:val="center"/>
          </w:tcPr>
          <w:p w14:paraId="313D78E6"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38</w:t>
            </w:r>
          </w:p>
        </w:tc>
        <w:tc>
          <w:tcPr>
            <w:tcW w:w="383" w:type="pct"/>
            <w:noWrap/>
            <w:vAlign w:val="center"/>
          </w:tcPr>
          <w:p w14:paraId="1E53DE4F"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38</w:t>
            </w:r>
          </w:p>
        </w:tc>
        <w:tc>
          <w:tcPr>
            <w:tcW w:w="367" w:type="pct"/>
            <w:noWrap/>
            <w:vAlign w:val="center"/>
          </w:tcPr>
          <w:p w14:paraId="12842C82"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306</w:t>
            </w:r>
          </w:p>
        </w:tc>
        <w:tc>
          <w:tcPr>
            <w:tcW w:w="500" w:type="pct"/>
            <w:noWrap/>
            <w:vAlign w:val="center"/>
          </w:tcPr>
          <w:p w14:paraId="73AC265B"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38</w:t>
            </w:r>
          </w:p>
        </w:tc>
        <w:tc>
          <w:tcPr>
            <w:tcW w:w="350" w:type="pct"/>
            <w:noWrap/>
            <w:vAlign w:val="center"/>
          </w:tcPr>
          <w:p w14:paraId="2E485491"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45</w:t>
            </w:r>
          </w:p>
        </w:tc>
        <w:tc>
          <w:tcPr>
            <w:tcW w:w="350" w:type="pct"/>
            <w:noWrap/>
            <w:vAlign w:val="center"/>
          </w:tcPr>
          <w:p w14:paraId="27E0FA8C"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45</w:t>
            </w:r>
          </w:p>
        </w:tc>
        <w:tc>
          <w:tcPr>
            <w:tcW w:w="350" w:type="pct"/>
            <w:noWrap/>
            <w:vAlign w:val="center"/>
          </w:tcPr>
          <w:p w14:paraId="7CF8855A"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361</w:t>
            </w:r>
          </w:p>
        </w:tc>
        <w:tc>
          <w:tcPr>
            <w:tcW w:w="511" w:type="pct"/>
            <w:noWrap/>
            <w:vAlign w:val="center"/>
          </w:tcPr>
          <w:p w14:paraId="6520CC3F"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45</w:t>
            </w:r>
          </w:p>
        </w:tc>
      </w:tr>
      <w:tr w:rsidR="002C5F49" w:rsidRPr="00414DA2" w14:paraId="2429020A"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6C01CBE5" w14:textId="77777777" w:rsidR="00CE22DD" w:rsidRDefault="00CE22DD" w:rsidP="00A75BE9">
            <w:pPr>
              <w:spacing w:after="0" w:line="240" w:lineRule="auto"/>
              <w:contextualSpacing/>
              <w:rPr>
                <w:rFonts w:cs="Arial"/>
                <w:b w:val="0"/>
                <w:color w:val="000000"/>
                <w:sz w:val="18"/>
                <w:szCs w:val="18"/>
              </w:rPr>
            </w:pPr>
          </w:p>
        </w:tc>
        <w:tc>
          <w:tcPr>
            <w:tcW w:w="1031" w:type="pct"/>
            <w:noWrap/>
            <w:vAlign w:val="center"/>
            <w:hideMark/>
          </w:tcPr>
          <w:p w14:paraId="12BF0290" w14:textId="3329F752" w:rsidR="00CE22DD" w:rsidRPr="000669D4" w:rsidRDefault="00CE22DD" w:rsidP="00A75BE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0669D4">
              <w:rPr>
                <w:rFonts w:cs="Arial"/>
                <w:i/>
                <w:color w:val="000000"/>
                <w:sz w:val="18"/>
                <w:szCs w:val="18"/>
              </w:rPr>
              <w:t>Honey</w:t>
            </w:r>
          </w:p>
        </w:tc>
        <w:tc>
          <w:tcPr>
            <w:tcW w:w="349" w:type="pct"/>
            <w:shd w:val="clear" w:color="auto" w:fill="F2F2F2" w:themeFill="background1" w:themeFillShade="F2"/>
            <w:noWrap/>
            <w:vAlign w:val="center"/>
          </w:tcPr>
          <w:p w14:paraId="44D2164F"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33</w:t>
            </w:r>
          </w:p>
        </w:tc>
        <w:tc>
          <w:tcPr>
            <w:tcW w:w="383" w:type="pct"/>
            <w:shd w:val="clear" w:color="auto" w:fill="F2F2F2" w:themeFill="background1" w:themeFillShade="F2"/>
            <w:noWrap/>
            <w:vAlign w:val="center"/>
          </w:tcPr>
          <w:p w14:paraId="4AAEB4A5"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33</w:t>
            </w:r>
          </w:p>
        </w:tc>
        <w:tc>
          <w:tcPr>
            <w:tcW w:w="367" w:type="pct"/>
            <w:shd w:val="clear" w:color="auto" w:fill="F2F2F2" w:themeFill="background1" w:themeFillShade="F2"/>
            <w:noWrap/>
            <w:vAlign w:val="center"/>
          </w:tcPr>
          <w:p w14:paraId="2B54FB4E"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264</w:t>
            </w:r>
          </w:p>
        </w:tc>
        <w:tc>
          <w:tcPr>
            <w:tcW w:w="500" w:type="pct"/>
            <w:shd w:val="clear" w:color="auto" w:fill="F2F2F2" w:themeFill="background1" w:themeFillShade="F2"/>
            <w:noWrap/>
            <w:vAlign w:val="center"/>
          </w:tcPr>
          <w:p w14:paraId="76399F3F" w14:textId="77777777" w:rsidR="00CE22DD" w:rsidRPr="002766C3"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2766C3">
              <w:rPr>
                <w:rFonts w:cs="Arial"/>
                <w:b/>
                <w:color w:val="000000"/>
                <w:sz w:val="18"/>
                <w:szCs w:val="18"/>
              </w:rPr>
              <w:t>33</w:t>
            </w:r>
          </w:p>
        </w:tc>
        <w:tc>
          <w:tcPr>
            <w:tcW w:w="350" w:type="pct"/>
            <w:noWrap/>
            <w:vAlign w:val="center"/>
          </w:tcPr>
          <w:p w14:paraId="1B9F31C5"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98</w:t>
            </w:r>
          </w:p>
        </w:tc>
        <w:tc>
          <w:tcPr>
            <w:tcW w:w="350" w:type="pct"/>
            <w:noWrap/>
            <w:vAlign w:val="center"/>
          </w:tcPr>
          <w:p w14:paraId="45450C09"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98</w:t>
            </w:r>
          </w:p>
        </w:tc>
        <w:tc>
          <w:tcPr>
            <w:tcW w:w="350" w:type="pct"/>
            <w:noWrap/>
            <w:vAlign w:val="center"/>
          </w:tcPr>
          <w:p w14:paraId="04EB9B53"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783</w:t>
            </w:r>
          </w:p>
        </w:tc>
        <w:tc>
          <w:tcPr>
            <w:tcW w:w="511" w:type="pct"/>
            <w:noWrap/>
            <w:vAlign w:val="center"/>
          </w:tcPr>
          <w:p w14:paraId="5DB281C3" w14:textId="7777777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98</w:t>
            </w:r>
          </w:p>
        </w:tc>
      </w:tr>
      <w:tr w:rsidR="002C5F49" w:rsidRPr="00414DA2" w14:paraId="193F17FF"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51FB84E4" w14:textId="77777777" w:rsidR="00CE22DD" w:rsidRPr="00414DA2" w:rsidRDefault="00CE22DD" w:rsidP="00A75BE9">
            <w:pPr>
              <w:spacing w:after="0" w:line="240" w:lineRule="auto"/>
              <w:contextualSpacing/>
              <w:rPr>
                <w:rFonts w:cs="Arial"/>
                <w:b w:val="0"/>
                <w:color w:val="000000"/>
                <w:sz w:val="18"/>
                <w:szCs w:val="18"/>
              </w:rPr>
            </w:pPr>
          </w:p>
        </w:tc>
        <w:tc>
          <w:tcPr>
            <w:tcW w:w="1031" w:type="pct"/>
            <w:noWrap/>
            <w:vAlign w:val="center"/>
          </w:tcPr>
          <w:p w14:paraId="5251926C" w14:textId="3A510A0E" w:rsidR="00CE22DD" w:rsidRPr="000669D4" w:rsidRDefault="00CE22DD" w:rsidP="00A75BE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0669D4">
              <w:rPr>
                <w:rFonts w:cs="Arial"/>
                <w:i/>
                <w:color w:val="000000"/>
                <w:sz w:val="18"/>
                <w:szCs w:val="18"/>
              </w:rPr>
              <w:t>Offal mammalian</w:t>
            </w:r>
          </w:p>
        </w:tc>
        <w:tc>
          <w:tcPr>
            <w:tcW w:w="349" w:type="pct"/>
            <w:noWrap/>
            <w:vAlign w:val="center"/>
          </w:tcPr>
          <w:p w14:paraId="1E6B2043"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383" w:type="pct"/>
            <w:noWrap/>
            <w:vAlign w:val="center"/>
          </w:tcPr>
          <w:p w14:paraId="0EC17AD1"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367" w:type="pct"/>
            <w:noWrap/>
            <w:vAlign w:val="center"/>
          </w:tcPr>
          <w:p w14:paraId="2F915A8D"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500" w:type="pct"/>
            <w:noWrap/>
            <w:vAlign w:val="center"/>
          </w:tcPr>
          <w:p w14:paraId="764B96A8"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w:t>
            </w:r>
          </w:p>
        </w:tc>
        <w:tc>
          <w:tcPr>
            <w:tcW w:w="350" w:type="pct"/>
            <w:shd w:val="clear" w:color="auto" w:fill="F2F2F2" w:themeFill="background1" w:themeFillShade="F2"/>
            <w:noWrap/>
            <w:vAlign w:val="center"/>
          </w:tcPr>
          <w:p w14:paraId="4CDF9727" w14:textId="5CA5FCF3"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rPr>
              <w:t>96*</w:t>
            </w:r>
          </w:p>
        </w:tc>
        <w:tc>
          <w:tcPr>
            <w:tcW w:w="350" w:type="pct"/>
            <w:shd w:val="clear" w:color="auto" w:fill="F2F2F2" w:themeFill="background1" w:themeFillShade="F2"/>
            <w:noWrap/>
            <w:vAlign w:val="center"/>
          </w:tcPr>
          <w:p w14:paraId="38B69134" w14:textId="1E3F0918"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rPr>
              <w:t>96*</w:t>
            </w:r>
          </w:p>
        </w:tc>
        <w:tc>
          <w:tcPr>
            <w:tcW w:w="350" w:type="pct"/>
            <w:shd w:val="clear" w:color="auto" w:fill="F2F2F2" w:themeFill="background1" w:themeFillShade="F2"/>
            <w:noWrap/>
            <w:vAlign w:val="center"/>
          </w:tcPr>
          <w:p w14:paraId="4EED5028" w14:textId="5ADE232C"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rPr>
              <w:t>765*</w:t>
            </w:r>
          </w:p>
        </w:tc>
        <w:tc>
          <w:tcPr>
            <w:tcW w:w="511" w:type="pct"/>
            <w:shd w:val="clear" w:color="auto" w:fill="F2F2F2" w:themeFill="background1" w:themeFillShade="F2"/>
            <w:noWrap/>
            <w:vAlign w:val="center"/>
          </w:tcPr>
          <w:p w14:paraId="0128E753" w14:textId="4AB8A783"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rPr>
              <w:t>96*</w:t>
            </w:r>
          </w:p>
        </w:tc>
      </w:tr>
      <w:tr w:rsidR="002C5F49" w:rsidRPr="00414DA2" w14:paraId="4EE14580"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7654F0E1" w14:textId="367B17BC" w:rsidR="00CE22DD" w:rsidRPr="003C03A1" w:rsidRDefault="00CE22DD" w:rsidP="00A75BE9">
            <w:pPr>
              <w:spacing w:after="0" w:line="240" w:lineRule="auto"/>
              <w:contextualSpacing/>
              <w:rPr>
                <w:rFonts w:eastAsia="Times New Roman" w:cs="Arial"/>
                <w:color w:val="000000"/>
                <w:sz w:val="18"/>
                <w:szCs w:val="18"/>
                <w:lang w:eastAsia="en-GB"/>
              </w:rPr>
            </w:pPr>
          </w:p>
        </w:tc>
        <w:tc>
          <w:tcPr>
            <w:tcW w:w="1031" w:type="pct"/>
            <w:noWrap/>
            <w:vAlign w:val="center"/>
          </w:tcPr>
          <w:p w14:paraId="33A9D0A4" w14:textId="75C507C1" w:rsidR="00CE22DD" w:rsidRPr="000669D4" w:rsidRDefault="00CE22DD" w:rsidP="00A75BE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0669D4">
              <w:rPr>
                <w:rFonts w:cs="Arial"/>
                <w:i/>
                <w:color w:val="000000"/>
                <w:sz w:val="18"/>
                <w:szCs w:val="18"/>
              </w:rPr>
              <w:t>Poultry eggs</w:t>
            </w:r>
          </w:p>
        </w:tc>
        <w:tc>
          <w:tcPr>
            <w:tcW w:w="349" w:type="pct"/>
            <w:shd w:val="clear" w:color="auto" w:fill="F2F2F2" w:themeFill="background1" w:themeFillShade="F2"/>
            <w:noWrap/>
            <w:vAlign w:val="center"/>
          </w:tcPr>
          <w:p w14:paraId="14B5E272" w14:textId="2CD7D9D9" w:rsidR="00CE22DD" w:rsidRPr="00674251"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674251">
              <w:rPr>
                <w:rFonts w:cs="Arial"/>
                <w:b/>
                <w:color w:val="000000"/>
                <w:sz w:val="18"/>
                <w:szCs w:val="18"/>
              </w:rPr>
              <w:t>11</w:t>
            </w:r>
          </w:p>
        </w:tc>
        <w:tc>
          <w:tcPr>
            <w:tcW w:w="383" w:type="pct"/>
            <w:shd w:val="clear" w:color="auto" w:fill="F2F2F2" w:themeFill="background1" w:themeFillShade="F2"/>
            <w:noWrap/>
            <w:vAlign w:val="center"/>
          </w:tcPr>
          <w:p w14:paraId="20BCF21A" w14:textId="6FCD2163" w:rsidR="00CE22DD" w:rsidRPr="00674251"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674251">
              <w:rPr>
                <w:rFonts w:cs="Arial"/>
                <w:b/>
                <w:color w:val="000000"/>
                <w:sz w:val="18"/>
                <w:szCs w:val="18"/>
              </w:rPr>
              <w:t>11</w:t>
            </w:r>
          </w:p>
        </w:tc>
        <w:tc>
          <w:tcPr>
            <w:tcW w:w="367" w:type="pct"/>
            <w:shd w:val="clear" w:color="auto" w:fill="F2F2F2" w:themeFill="background1" w:themeFillShade="F2"/>
            <w:noWrap/>
            <w:vAlign w:val="center"/>
          </w:tcPr>
          <w:p w14:paraId="0BA09C40" w14:textId="2B86BEB7" w:rsidR="00CE22DD" w:rsidRPr="00674251"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674251">
              <w:rPr>
                <w:rFonts w:cs="Arial"/>
                <w:b/>
                <w:color w:val="000000"/>
                <w:sz w:val="18"/>
                <w:szCs w:val="18"/>
              </w:rPr>
              <w:t>85</w:t>
            </w:r>
          </w:p>
        </w:tc>
        <w:tc>
          <w:tcPr>
            <w:tcW w:w="500" w:type="pct"/>
            <w:shd w:val="clear" w:color="auto" w:fill="F2F2F2" w:themeFill="background1" w:themeFillShade="F2"/>
            <w:noWrap/>
            <w:vAlign w:val="center"/>
          </w:tcPr>
          <w:p w14:paraId="2B96FDB2" w14:textId="6B4F2D99" w:rsidR="00CE22DD" w:rsidRPr="00674251"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674251">
              <w:rPr>
                <w:rFonts w:cs="Arial"/>
                <w:b/>
                <w:color w:val="000000"/>
                <w:sz w:val="18"/>
                <w:szCs w:val="18"/>
              </w:rPr>
              <w:t>11</w:t>
            </w:r>
          </w:p>
        </w:tc>
        <w:tc>
          <w:tcPr>
            <w:tcW w:w="350" w:type="pct"/>
            <w:noWrap/>
            <w:vAlign w:val="center"/>
          </w:tcPr>
          <w:p w14:paraId="5A8F6337" w14:textId="57952C7C"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24</w:t>
            </w:r>
          </w:p>
        </w:tc>
        <w:tc>
          <w:tcPr>
            <w:tcW w:w="350" w:type="pct"/>
            <w:noWrap/>
            <w:vAlign w:val="center"/>
          </w:tcPr>
          <w:p w14:paraId="49DE0EBF" w14:textId="10D86C17"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24</w:t>
            </w:r>
          </w:p>
        </w:tc>
        <w:tc>
          <w:tcPr>
            <w:tcW w:w="350" w:type="pct"/>
            <w:noWrap/>
            <w:vAlign w:val="center"/>
          </w:tcPr>
          <w:p w14:paraId="66E88017" w14:textId="59B75611"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192</w:t>
            </w:r>
          </w:p>
        </w:tc>
        <w:tc>
          <w:tcPr>
            <w:tcW w:w="511" w:type="pct"/>
            <w:noWrap/>
            <w:vAlign w:val="center"/>
          </w:tcPr>
          <w:p w14:paraId="0086CFDF" w14:textId="450BEE62" w:rsidR="00CE22DD" w:rsidRPr="00414DA2" w:rsidRDefault="00CE22DD"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24</w:t>
            </w:r>
          </w:p>
        </w:tc>
      </w:tr>
      <w:tr w:rsidR="002C5F49" w:rsidRPr="00414DA2" w14:paraId="256419E4"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val="restart"/>
          </w:tcPr>
          <w:p w14:paraId="37121797" w14:textId="6611005B" w:rsidR="00CE22DD" w:rsidRPr="00414DA2" w:rsidRDefault="00CE22DD" w:rsidP="00A75BE9">
            <w:pPr>
              <w:spacing w:after="0" w:line="240" w:lineRule="auto"/>
              <w:contextualSpacing/>
              <w:rPr>
                <w:rFonts w:cs="Arial"/>
                <w:b w:val="0"/>
                <w:color w:val="000000"/>
                <w:sz w:val="18"/>
                <w:szCs w:val="18"/>
              </w:rPr>
            </w:pPr>
            <w:r w:rsidRPr="003C03A1">
              <w:rPr>
                <w:rFonts w:eastAsia="Times New Roman" w:cs="Arial"/>
                <w:color w:val="000000"/>
                <w:sz w:val="18"/>
                <w:szCs w:val="18"/>
                <w:lang w:eastAsia="en-GB"/>
              </w:rPr>
              <w:t>Fruit and vegetables</w:t>
            </w:r>
          </w:p>
        </w:tc>
        <w:tc>
          <w:tcPr>
            <w:tcW w:w="1031" w:type="pct"/>
            <w:noWrap/>
            <w:vAlign w:val="center"/>
          </w:tcPr>
          <w:p w14:paraId="7BC41655" w14:textId="7C2BCADA" w:rsidR="00CE22DD" w:rsidRPr="000669D4" w:rsidRDefault="00CE22DD" w:rsidP="00A75BE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0669D4">
              <w:rPr>
                <w:rFonts w:cs="Arial"/>
                <w:i/>
                <w:color w:val="000000"/>
                <w:sz w:val="18"/>
                <w:szCs w:val="18"/>
              </w:rPr>
              <w:t>Vegetables (all)</w:t>
            </w:r>
          </w:p>
        </w:tc>
        <w:tc>
          <w:tcPr>
            <w:tcW w:w="349" w:type="pct"/>
            <w:shd w:val="clear" w:color="auto" w:fill="F2F2F2" w:themeFill="background1" w:themeFillShade="F2"/>
            <w:noWrap/>
            <w:vAlign w:val="center"/>
          </w:tcPr>
          <w:p w14:paraId="2C99B217" w14:textId="77777777"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szCs w:val="18"/>
              </w:rPr>
              <w:t>1.1</w:t>
            </w:r>
          </w:p>
        </w:tc>
        <w:tc>
          <w:tcPr>
            <w:tcW w:w="383" w:type="pct"/>
            <w:shd w:val="clear" w:color="auto" w:fill="F2F2F2" w:themeFill="background1" w:themeFillShade="F2"/>
            <w:noWrap/>
            <w:vAlign w:val="center"/>
          </w:tcPr>
          <w:p w14:paraId="1F51F5E6" w14:textId="77777777"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szCs w:val="18"/>
              </w:rPr>
              <w:t>1.1</w:t>
            </w:r>
          </w:p>
        </w:tc>
        <w:tc>
          <w:tcPr>
            <w:tcW w:w="367" w:type="pct"/>
            <w:shd w:val="clear" w:color="auto" w:fill="F2F2F2" w:themeFill="background1" w:themeFillShade="F2"/>
            <w:noWrap/>
            <w:vAlign w:val="center"/>
          </w:tcPr>
          <w:p w14:paraId="26532E5B" w14:textId="77777777"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szCs w:val="18"/>
              </w:rPr>
              <w:t>8.8</w:t>
            </w:r>
          </w:p>
        </w:tc>
        <w:tc>
          <w:tcPr>
            <w:tcW w:w="500" w:type="pct"/>
            <w:shd w:val="clear" w:color="auto" w:fill="F2F2F2" w:themeFill="background1" w:themeFillShade="F2"/>
            <w:noWrap/>
            <w:vAlign w:val="center"/>
          </w:tcPr>
          <w:p w14:paraId="60261C91" w14:textId="77777777" w:rsidR="00CE22DD" w:rsidRPr="00674251"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674251">
              <w:rPr>
                <w:rFonts w:cs="Arial"/>
                <w:b/>
                <w:color w:val="000000"/>
                <w:sz w:val="18"/>
                <w:szCs w:val="18"/>
              </w:rPr>
              <w:t>1.1</w:t>
            </w:r>
          </w:p>
        </w:tc>
        <w:tc>
          <w:tcPr>
            <w:tcW w:w="350" w:type="pct"/>
            <w:noWrap/>
            <w:vAlign w:val="center"/>
          </w:tcPr>
          <w:p w14:paraId="3122D9C4"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2.5</w:t>
            </w:r>
          </w:p>
        </w:tc>
        <w:tc>
          <w:tcPr>
            <w:tcW w:w="350" w:type="pct"/>
            <w:noWrap/>
            <w:vAlign w:val="center"/>
          </w:tcPr>
          <w:p w14:paraId="21090E0B"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2.5</w:t>
            </w:r>
          </w:p>
        </w:tc>
        <w:tc>
          <w:tcPr>
            <w:tcW w:w="350" w:type="pct"/>
            <w:noWrap/>
            <w:vAlign w:val="center"/>
          </w:tcPr>
          <w:p w14:paraId="736C8DAA"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20</w:t>
            </w:r>
          </w:p>
        </w:tc>
        <w:tc>
          <w:tcPr>
            <w:tcW w:w="511" w:type="pct"/>
            <w:noWrap/>
            <w:vAlign w:val="center"/>
          </w:tcPr>
          <w:p w14:paraId="2683B283" w14:textId="77777777" w:rsidR="00CE22DD" w:rsidRPr="00414DA2" w:rsidRDefault="00CE22DD"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2.5</w:t>
            </w:r>
          </w:p>
        </w:tc>
      </w:tr>
      <w:tr w:rsidR="002C5F49" w:rsidRPr="00414DA2" w14:paraId="3E59E6B6"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51F4036E" w14:textId="5A643FA5" w:rsidR="00AD5E37" w:rsidRPr="00414DA2"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01DE510C" w14:textId="05E23410" w:rsidR="00AD5E37" w:rsidRPr="00AD5E37" w:rsidRDefault="00AD5E37"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Cucurbits</w:t>
            </w:r>
          </w:p>
        </w:tc>
        <w:tc>
          <w:tcPr>
            <w:tcW w:w="349" w:type="pct"/>
            <w:noWrap/>
            <w:vAlign w:val="center"/>
          </w:tcPr>
          <w:p w14:paraId="48D7FB5F"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3.3</w:t>
            </w:r>
          </w:p>
        </w:tc>
        <w:tc>
          <w:tcPr>
            <w:tcW w:w="383" w:type="pct"/>
            <w:noWrap/>
            <w:vAlign w:val="center"/>
          </w:tcPr>
          <w:p w14:paraId="20D34654"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3.3</w:t>
            </w:r>
          </w:p>
        </w:tc>
        <w:tc>
          <w:tcPr>
            <w:tcW w:w="367" w:type="pct"/>
            <w:noWrap/>
            <w:vAlign w:val="center"/>
          </w:tcPr>
          <w:p w14:paraId="643DD4B0"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26</w:t>
            </w:r>
          </w:p>
        </w:tc>
        <w:tc>
          <w:tcPr>
            <w:tcW w:w="500" w:type="pct"/>
            <w:noWrap/>
            <w:vAlign w:val="center"/>
          </w:tcPr>
          <w:p w14:paraId="33154B6A"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3.3</w:t>
            </w:r>
          </w:p>
        </w:tc>
        <w:tc>
          <w:tcPr>
            <w:tcW w:w="350" w:type="pct"/>
            <w:noWrap/>
            <w:vAlign w:val="center"/>
          </w:tcPr>
          <w:p w14:paraId="52FAF56D"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50" w:type="pct"/>
            <w:noWrap/>
            <w:vAlign w:val="center"/>
          </w:tcPr>
          <w:p w14:paraId="00A6413A"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50" w:type="pct"/>
            <w:noWrap/>
            <w:vAlign w:val="center"/>
          </w:tcPr>
          <w:p w14:paraId="0520ED65"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117</w:t>
            </w:r>
          </w:p>
        </w:tc>
        <w:tc>
          <w:tcPr>
            <w:tcW w:w="511" w:type="pct"/>
            <w:noWrap/>
            <w:vAlign w:val="center"/>
          </w:tcPr>
          <w:p w14:paraId="5B3FEC52"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15</w:t>
            </w:r>
          </w:p>
        </w:tc>
      </w:tr>
      <w:tr w:rsidR="002C5F49" w:rsidRPr="00414DA2" w14:paraId="67C01830"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1133DA5F" w14:textId="45047A60" w:rsidR="00AD5E37" w:rsidRPr="00414DA2"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19F498FB" w14:textId="5842AEAC" w:rsidR="00AD5E37" w:rsidRPr="00AD5E37" w:rsidRDefault="00AD5E37"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Herbs</w:t>
            </w:r>
          </w:p>
        </w:tc>
        <w:tc>
          <w:tcPr>
            <w:tcW w:w="349" w:type="pct"/>
            <w:noWrap/>
            <w:vAlign w:val="center"/>
          </w:tcPr>
          <w:p w14:paraId="579D85E3"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172</w:t>
            </w:r>
          </w:p>
        </w:tc>
        <w:tc>
          <w:tcPr>
            <w:tcW w:w="383" w:type="pct"/>
            <w:noWrap/>
            <w:vAlign w:val="center"/>
          </w:tcPr>
          <w:p w14:paraId="512631DA"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172</w:t>
            </w:r>
          </w:p>
        </w:tc>
        <w:tc>
          <w:tcPr>
            <w:tcW w:w="367" w:type="pct"/>
            <w:noWrap/>
            <w:vAlign w:val="center"/>
          </w:tcPr>
          <w:p w14:paraId="4153509C"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1380</w:t>
            </w:r>
          </w:p>
        </w:tc>
        <w:tc>
          <w:tcPr>
            <w:tcW w:w="500" w:type="pct"/>
            <w:noWrap/>
            <w:vAlign w:val="center"/>
          </w:tcPr>
          <w:p w14:paraId="34485766"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172</w:t>
            </w:r>
          </w:p>
        </w:tc>
        <w:tc>
          <w:tcPr>
            <w:tcW w:w="350" w:type="pct"/>
            <w:noWrap/>
            <w:vAlign w:val="center"/>
          </w:tcPr>
          <w:p w14:paraId="564DBF04"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349</w:t>
            </w:r>
          </w:p>
        </w:tc>
        <w:tc>
          <w:tcPr>
            <w:tcW w:w="350" w:type="pct"/>
            <w:noWrap/>
            <w:vAlign w:val="center"/>
          </w:tcPr>
          <w:p w14:paraId="7FA5E9EB"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349</w:t>
            </w:r>
          </w:p>
        </w:tc>
        <w:tc>
          <w:tcPr>
            <w:tcW w:w="350" w:type="pct"/>
            <w:noWrap/>
            <w:vAlign w:val="center"/>
          </w:tcPr>
          <w:p w14:paraId="1B0BEB0A"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2794</w:t>
            </w:r>
          </w:p>
        </w:tc>
        <w:tc>
          <w:tcPr>
            <w:tcW w:w="511" w:type="pct"/>
            <w:noWrap/>
            <w:vAlign w:val="center"/>
          </w:tcPr>
          <w:p w14:paraId="33448C1E"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349</w:t>
            </w:r>
          </w:p>
        </w:tc>
      </w:tr>
      <w:tr w:rsidR="002C5F49" w:rsidRPr="00414DA2" w14:paraId="76F5B362"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28AF1B63" w14:textId="69C4E5E8" w:rsidR="00AD5E37" w:rsidRPr="00414DA2"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4F6CD99B" w14:textId="68232E2B" w:rsidR="00AD5E37" w:rsidRPr="00AD5E37" w:rsidRDefault="00AD5E37"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Leafy vegetables</w:t>
            </w:r>
          </w:p>
        </w:tc>
        <w:tc>
          <w:tcPr>
            <w:tcW w:w="349" w:type="pct"/>
            <w:noWrap/>
            <w:vAlign w:val="center"/>
          </w:tcPr>
          <w:p w14:paraId="1DE4E5EE"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83" w:type="pct"/>
            <w:noWrap/>
            <w:vAlign w:val="center"/>
          </w:tcPr>
          <w:p w14:paraId="71558E09"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67" w:type="pct"/>
            <w:noWrap/>
            <w:vAlign w:val="center"/>
          </w:tcPr>
          <w:p w14:paraId="7A36E068"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119</w:t>
            </w:r>
          </w:p>
        </w:tc>
        <w:tc>
          <w:tcPr>
            <w:tcW w:w="500" w:type="pct"/>
            <w:noWrap/>
            <w:vAlign w:val="center"/>
          </w:tcPr>
          <w:p w14:paraId="264C00A0"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50" w:type="pct"/>
            <w:noWrap/>
            <w:vAlign w:val="center"/>
          </w:tcPr>
          <w:p w14:paraId="4CC0C3EE"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29</w:t>
            </w:r>
          </w:p>
        </w:tc>
        <w:tc>
          <w:tcPr>
            <w:tcW w:w="350" w:type="pct"/>
            <w:noWrap/>
            <w:vAlign w:val="center"/>
          </w:tcPr>
          <w:p w14:paraId="1A295815"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29</w:t>
            </w:r>
          </w:p>
        </w:tc>
        <w:tc>
          <w:tcPr>
            <w:tcW w:w="350" w:type="pct"/>
            <w:noWrap/>
            <w:vAlign w:val="center"/>
          </w:tcPr>
          <w:p w14:paraId="3F24D035"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232</w:t>
            </w:r>
          </w:p>
        </w:tc>
        <w:tc>
          <w:tcPr>
            <w:tcW w:w="511" w:type="pct"/>
            <w:noWrap/>
            <w:vAlign w:val="center"/>
          </w:tcPr>
          <w:p w14:paraId="02544C09"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29</w:t>
            </w:r>
          </w:p>
        </w:tc>
      </w:tr>
      <w:tr w:rsidR="002C5F49" w:rsidRPr="00414DA2" w14:paraId="3D8AD555"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2FEE0FB5" w14:textId="5D25473A" w:rsidR="00AD5E37" w:rsidRPr="00414DA2"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4AEFA6B2" w14:textId="0C22D911" w:rsidR="00AD5E37" w:rsidRPr="00AD5E37" w:rsidRDefault="00AD5E37"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Other fruiting vegetables</w:t>
            </w:r>
          </w:p>
        </w:tc>
        <w:tc>
          <w:tcPr>
            <w:tcW w:w="349" w:type="pct"/>
            <w:noWrap/>
            <w:vAlign w:val="center"/>
          </w:tcPr>
          <w:p w14:paraId="66DAE13D"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2.5</w:t>
            </w:r>
          </w:p>
        </w:tc>
        <w:tc>
          <w:tcPr>
            <w:tcW w:w="383" w:type="pct"/>
            <w:noWrap/>
            <w:vAlign w:val="center"/>
          </w:tcPr>
          <w:p w14:paraId="75FFD48C"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2.5</w:t>
            </w:r>
          </w:p>
        </w:tc>
        <w:tc>
          <w:tcPr>
            <w:tcW w:w="367" w:type="pct"/>
            <w:noWrap/>
            <w:vAlign w:val="center"/>
          </w:tcPr>
          <w:p w14:paraId="7289F492"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20</w:t>
            </w:r>
          </w:p>
        </w:tc>
        <w:tc>
          <w:tcPr>
            <w:tcW w:w="500" w:type="pct"/>
            <w:noWrap/>
            <w:vAlign w:val="center"/>
          </w:tcPr>
          <w:p w14:paraId="31786CAB"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2.5</w:t>
            </w:r>
          </w:p>
        </w:tc>
        <w:tc>
          <w:tcPr>
            <w:tcW w:w="350" w:type="pct"/>
            <w:noWrap/>
            <w:vAlign w:val="center"/>
          </w:tcPr>
          <w:p w14:paraId="73ED97B0"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6.8</w:t>
            </w:r>
          </w:p>
        </w:tc>
        <w:tc>
          <w:tcPr>
            <w:tcW w:w="350" w:type="pct"/>
            <w:noWrap/>
            <w:vAlign w:val="center"/>
          </w:tcPr>
          <w:p w14:paraId="7CE12449"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6.8</w:t>
            </w:r>
          </w:p>
        </w:tc>
        <w:tc>
          <w:tcPr>
            <w:tcW w:w="350" w:type="pct"/>
            <w:noWrap/>
            <w:vAlign w:val="center"/>
          </w:tcPr>
          <w:p w14:paraId="6439ED31"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55</w:t>
            </w:r>
          </w:p>
        </w:tc>
        <w:tc>
          <w:tcPr>
            <w:tcW w:w="511" w:type="pct"/>
            <w:noWrap/>
            <w:vAlign w:val="center"/>
          </w:tcPr>
          <w:p w14:paraId="1D4D6791"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6.8</w:t>
            </w:r>
          </w:p>
        </w:tc>
      </w:tr>
      <w:tr w:rsidR="002C5F49" w:rsidRPr="00414DA2" w14:paraId="62B865AC"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66EAD5AF" w14:textId="45E8B0F6" w:rsidR="00AD5E37" w:rsidRPr="00414DA2"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1226E570" w14:textId="45EE6D7B" w:rsidR="00AD5E37" w:rsidRPr="00AD5E37" w:rsidRDefault="00AD5E37"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Root and tuber vegetables</w:t>
            </w:r>
          </w:p>
        </w:tc>
        <w:tc>
          <w:tcPr>
            <w:tcW w:w="349" w:type="pct"/>
            <w:noWrap/>
            <w:vAlign w:val="center"/>
          </w:tcPr>
          <w:p w14:paraId="793CBF11"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2.3</w:t>
            </w:r>
          </w:p>
        </w:tc>
        <w:tc>
          <w:tcPr>
            <w:tcW w:w="383" w:type="pct"/>
            <w:noWrap/>
            <w:vAlign w:val="center"/>
          </w:tcPr>
          <w:p w14:paraId="2A7AF706"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2.3</w:t>
            </w:r>
          </w:p>
        </w:tc>
        <w:tc>
          <w:tcPr>
            <w:tcW w:w="367" w:type="pct"/>
            <w:noWrap/>
            <w:vAlign w:val="center"/>
          </w:tcPr>
          <w:p w14:paraId="4A6360CB"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19</w:t>
            </w:r>
          </w:p>
        </w:tc>
        <w:tc>
          <w:tcPr>
            <w:tcW w:w="500" w:type="pct"/>
            <w:noWrap/>
            <w:vAlign w:val="center"/>
          </w:tcPr>
          <w:p w14:paraId="61852DC0"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2.3</w:t>
            </w:r>
          </w:p>
        </w:tc>
        <w:tc>
          <w:tcPr>
            <w:tcW w:w="350" w:type="pct"/>
            <w:noWrap/>
            <w:vAlign w:val="center"/>
          </w:tcPr>
          <w:p w14:paraId="4D390F11"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5.1</w:t>
            </w:r>
          </w:p>
        </w:tc>
        <w:tc>
          <w:tcPr>
            <w:tcW w:w="350" w:type="pct"/>
            <w:noWrap/>
            <w:vAlign w:val="center"/>
          </w:tcPr>
          <w:p w14:paraId="2103E3BB"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5.1</w:t>
            </w:r>
          </w:p>
        </w:tc>
        <w:tc>
          <w:tcPr>
            <w:tcW w:w="350" w:type="pct"/>
            <w:noWrap/>
            <w:vAlign w:val="center"/>
          </w:tcPr>
          <w:p w14:paraId="2D444DA2"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41</w:t>
            </w:r>
          </w:p>
        </w:tc>
        <w:tc>
          <w:tcPr>
            <w:tcW w:w="511" w:type="pct"/>
            <w:noWrap/>
            <w:vAlign w:val="center"/>
          </w:tcPr>
          <w:p w14:paraId="30630B61"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5.1</w:t>
            </w:r>
          </w:p>
        </w:tc>
      </w:tr>
      <w:tr w:rsidR="002C5F49" w:rsidRPr="00414DA2" w14:paraId="4429818A"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134E6ACC" w14:textId="1E23B158" w:rsidR="00AD5E37" w:rsidRPr="00414DA2"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572164BB" w14:textId="794CD32D" w:rsidR="00AD5E37" w:rsidRPr="00AD5E37" w:rsidRDefault="00AD5E37"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Spices</w:t>
            </w:r>
          </w:p>
        </w:tc>
        <w:tc>
          <w:tcPr>
            <w:tcW w:w="349" w:type="pct"/>
            <w:noWrap/>
            <w:vAlign w:val="center"/>
          </w:tcPr>
          <w:p w14:paraId="37222D54"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185</w:t>
            </w:r>
          </w:p>
        </w:tc>
        <w:tc>
          <w:tcPr>
            <w:tcW w:w="383" w:type="pct"/>
            <w:noWrap/>
            <w:vAlign w:val="center"/>
          </w:tcPr>
          <w:p w14:paraId="3531CFB9"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185</w:t>
            </w:r>
          </w:p>
        </w:tc>
        <w:tc>
          <w:tcPr>
            <w:tcW w:w="367" w:type="pct"/>
            <w:noWrap/>
            <w:vAlign w:val="center"/>
          </w:tcPr>
          <w:p w14:paraId="52FACEBD"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1478</w:t>
            </w:r>
          </w:p>
        </w:tc>
        <w:tc>
          <w:tcPr>
            <w:tcW w:w="500" w:type="pct"/>
            <w:noWrap/>
            <w:vAlign w:val="center"/>
          </w:tcPr>
          <w:p w14:paraId="7AD9FD07"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185</w:t>
            </w:r>
          </w:p>
        </w:tc>
        <w:tc>
          <w:tcPr>
            <w:tcW w:w="350" w:type="pct"/>
            <w:noWrap/>
            <w:vAlign w:val="center"/>
          </w:tcPr>
          <w:p w14:paraId="17CCE39E"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282</w:t>
            </w:r>
          </w:p>
        </w:tc>
        <w:tc>
          <w:tcPr>
            <w:tcW w:w="350" w:type="pct"/>
            <w:noWrap/>
            <w:vAlign w:val="center"/>
          </w:tcPr>
          <w:p w14:paraId="2A44D16F"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282</w:t>
            </w:r>
          </w:p>
        </w:tc>
        <w:tc>
          <w:tcPr>
            <w:tcW w:w="350" w:type="pct"/>
            <w:noWrap/>
            <w:vAlign w:val="center"/>
          </w:tcPr>
          <w:p w14:paraId="2D23492C"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2257</w:t>
            </w:r>
          </w:p>
        </w:tc>
        <w:tc>
          <w:tcPr>
            <w:tcW w:w="511" w:type="pct"/>
            <w:noWrap/>
            <w:vAlign w:val="center"/>
          </w:tcPr>
          <w:p w14:paraId="3DBAD927"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282</w:t>
            </w:r>
          </w:p>
        </w:tc>
      </w:tr>
      <w:tr w:rsidR="002C5F49" w:rsidRPr="00414DA2" w14:paraId="265E2F36"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719825D7" w14:textId="2D81203F" w:rsidR="00AD5E37" w:rsidRPr="00414DA2"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075B52D8" w14:textId="1A66B771" w:rsidR="00AD5E37" w:rsidRPr="00AD5E37" w:rsidRDefault="00AD5E37"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Stalk and stem vegetables</w:t>
            </w:r>
          </w:p>
        </w:tc>
        <w:tc>
          <w:tcPr>
            <w:tcW w:w="349" w:type="pct"/>
            <w:noWrap/>
            <w:vAlign w:val="center"/>
          </w:tcPr>
          <w:p w14:paraId="5585D56D"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52</w:t>
            </w:r>
          </w:p>
        </w:tc>
        <w:tc>
          <w:tcPr>
            <w:tcW w:w="383" w:type="pct"/>
            <w:noWrap/>
            <w:vAlign w:val="center"/>
          </w:tcPr>
          <w:p w14:paraId="0A598FD7"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52</w:t>
            </w:r>
          </w:p>
        </w:tc>
        <w:tc>
          <w:tcPr>
            <w:tcW w:w="367" w:type="pct"/>
            <w:noWrap/>
            <w:vAlign w:val="center"/>
          </w:tcPr>
          <w:p w14:paraId="28EFEB65"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412</w:t>
            </w:r>
          </w:p>
        </w:tc>
        <w:tc>
          <w:tcPr>
            <w:tcW w:w="500" w:type="pct"/>
            <w:noWrap/>
            <w:vAlign w:val="center"/>
          </w:tcPr>
          <w:p w14:paraId="172655B0"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52</w:t>
            </w:r>
          </w:p>
        </w:tc>
        <w:tc>
          <w:tcPr>
            <w:tcW w:w="350" w:type="pct"/>
            <w:noWrap/>
            <w:vAlign w:val="center"/>
          </w:tcPr>
          <w:p w14:paraId="34B20C2B"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96</w:t>
            </w:r>
          </w:p>
        </w:tc>
        <w:tc>
          <w:tcPr>
            <w:tcW w:w="350" w:type="pct"/>
            <w:noWrap/>
            <w:vAlign w:val="center"/>
          </w:tcPr>
          <w:p w14:paraId="2D898F2F"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96</w:t>
            </w:r>
          </w:p>
        </w:tc>
        <w:tc>
          <w:tcPr>
            <w:tcW w:w="350" w:type="pct"/>
            <w:noWrap/>
            <w:vAlign w:val="center"/>
          </w:tcPr>
          <w:p w14:paraId="1146D572"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771</w:t>
            </w:r>
          </w:p>
        </w:tc>
        <w:tc>
          <w:tcPr>
            <w:tcW w:w="511" w:type="pct"/>
            <w:noWrap/>
            <w:vAlign w:val="center"/>
          </w:tcPr>
          <w:p w14:paraId="657721F2"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96</w:t>
            </w:r>
          </w:p>
        </w:tc>
      </w:tr>
      <w:tr w:rsidR="002C5F49" w:rsidRPr="00414DA2" w14:paraId="2EBD4E26"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7BCC66A1" w14:textId="1F9B8D28" w:rsidR="00AD5E37" w:rsidRDefault="00AD5E37" w:rsidP="00A75BE9">
            <w:pPr>
              <w:spacing w:after="0" w:line="240" w:lineRule="auto"/>
              <w:contextualSpacing/>
              <w:jc w:val="right"/>
              <w:rPr>
                <w:rFonts w:cs="Arial"/>
                <w:b w:val="0"/>
                <w:color w:val="000000"/>
                <w:sz w:val="18"/>
                <w:szCs w:val="18"/>
              </w:rPr>
            </w:pPr>
          </w:p>
        </w:tc>
        <w:tc>
          <w:tcPr>
            <w:tcW w:w="1031" w:type="pct"/>
            <w:noWrap/>
            <w:vAlign w:val="center"/>
          </w:tcPr>
          <w:p w14:paraId="386FC92F" w14:textId="271F72EC" w:rsidR="00AD5E37" w:rsidRPr="000669D4" w:rsidRDefault="00AD5E37" w:rsidP="00A75BE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Arial"/>
                <w:i/>
                <w:color w:val="000000"/>
                <w:sz w:val="18"/>
                <w:szCs w:val="18"/>
              </w:rPr>
            </w:pPr>
            <w:r w:rsidRPr="000669D4">
              <w:rPr>
                <w:rFonts w:cs="Arial"/>
                <w:i/>
                <w:color w:val="000000"/>
                <w:sz w:val="18"/>
                <w:szCs w:val="18"/>
              </w:rPr>
              <w:t>Fruit (all)</w:t>
            </w:r>
          </w:p>
        </w:tc>
        <w:tc>
          <w:tcPr>
            <w:tcW w:w="349" w:type="pct"/>
            <w:shd w:val="clear" w:color="auto" w:fill="F2F2F2" w:themeFill="background1" w:themeFillShade="F2"/>
            <w:noWrap/>
            <w:vAlign w:val="center"/>
          </w:tcPr>
          <w:p w14:paraId="3385DD7A" w14:textId="77777777" w:rsidR="00AD5E37" w:rsidRPr="002766C3"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0.6</w:t>
            </w:r>
          </w:p>
        </w:tc>
        <w:tc>
          <w:tcPr>
            <w:tcW w:w="383" w:type="pct"/>
            <w:shd w:val="clear" w:color="auto" w:fill="F2F2F2" w:themeFill="background1" w:themeFillShade="F2"/>
            <w:noWrap/>
            <w:vAlign w:val="center"/>
          </w:tcPr>
          <w:p w14:paraId="318E5D26" w14:textId="77777777" w:rsidR="00AD5E37" w:rsidRPr="002766C3"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0.6</w:t>
            </w:r>
          </w:p>
        </w:tc>
        <w:tc>
          <w:tcPr>
            <w:tcW w:w="367" w:type="pct"/>
            <w:shd w:val="clear" w:color="auto" w:fill="F2F2F2" w:themeFill="background1" w:themeFillShade="F2"/>
            <w:noWrap/>
            <w:vAlign w:val="center"/>
          </w:tcPr>
          <w:p w14:paraId="3D984DC0" w14:textId="77777777" w:rsidR="00AD5E37" w:rsidRPr="002766C3"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5.1</w:t>
            </w:r>
          </w:p>
        </w:tc>
        <w:tc>
          <w:tcPr>
            <w:tcW w:w="500" w:type="pct"/>
            <w:shd w:val="clear" w:color="auto" w:fill="F2F2F2" w:themeFill="background1" w:themeFillShade="F2"/>
            <w:noWrap/>
            <w:vAlign w:val="center"/>
          </w:tcPr>
          <w:p w14:paraId="16EB9B84" w14:textId="77777777" w:rsidR="00AD5E37" w:rsidRPr="002766C3"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2766C3">
              <w:rPr>
                <w:rFonts w:cs="Arial"/>
                <w:b/>
                <w:color w:val="000000"/>
                <w:sz w:val="18"/>
                <w:szCs w:val="18"/>
              </w:rPr>
              <w:t>0.6</w:t>
            </w:r>
          </w:p>
        </w:tc>
        <w:tc>
          <w:tcPr>
            <w:tcW w:w="350" w:type="pct"/>
            <w:noWrap/>
            <w:vAlign w:val="center"/>
          </w:tcPr>
          <w:p w14:paraId="67B9C57B"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1.6</w:t>
            </w:r>
          </w:p>
        </w:tc>
        <w:tc>
          <w:tcPr>
            <w:tcW w:w="350" w:type="pct"/>
            <w:noWrap/>
            <w:vAlign w:val="center"/>
          </w:tcPr>
          <w:p w14:paraId="5CD9F82B"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1.6</w:t>
            </w:r>
          </w:p>
        </w:tc>
        <w:tc>
          <w:tcPr>
            <w:tcW w:w="350" w:type="pct"/>
            <w:noWrap/>
            <w:vAlign w:val="center"/>
          </w:tcPr>
          <w:p w14:paraId="31126675"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13</w:t>
            </w:r>
          </w:p>
        </w:tc>
        <w:tc>
          <w:tcPr>
            <w:tcW w:w="511" w:type="pct"/>
            <w:noWrap/>
            <w:vAlign w:val="center"/>
          </w:tcPr>
          <w:p w14:paraId="29F1725E" w14:textId="43124F11"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1.6</w:t>
            </w:r>
          </w:p>
        </w:tc>
      </w:tr>
      <w:tr w:rsidR="002C5F49" w:rsidRPr="00414DA2" w14:paraId="5C3F6BA2"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169A2EB6" w14:textId="60E94D31" w:rsidR="00AD5E37"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2F6BE504" w14:textId="69A98350" w:rsidR="00AD5E37" w:rsidRPr="00AD5E37" w:rsidRDefault="00AD5E37"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Berries and other small fruits</w:t>
            </w:r>
          </w:p>
        </w:tc>
        <w:tc>
          <w:tcPr>
            <w:tcW w:w="349" w:type="pct"/>
            <w:noWrap/>
            <w:vAlign w:val="center"/>
          </w:tcPr>
          <w:p w14:paraId="593DA2CB"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3.5</w:t>
            </w:r>
          </w:p>
        </w:tc>
        <w:tc>
          <w:tcPr>
            <w:tcW w:w="383" w:type="pct"/>
            <w:noWrap/>
            <w:vAlign w:val="center"/>
          </w:tcPr>
          <w:p w14:paraId="2C9B2582"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3.5</w:t>
            </w:r>
          </w:p>
        </w:tc>
        <w:tc>
          <w:tcPr>
            <w:tcW w:w="367" w:type="pct"/>
            <w:noWrap/>
            <w:vAlign w:val="center"/>
          </w:tcPr>
          <w:p w14:paraId="56FAA4F2"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28</w:t>
            </w:r>
          </w:p>
        </w:tc>
        <w:tc>
          <w:tcPr>
            <w:tcW w:w="500" w:type="pct"/>
            <w:noWrap/>
            <w:vAlign w:val="center"/>
          </w:tcPr>
          <w:p w14:paraId="6896C502"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3.5</w:t>
            </w:r>
          </w:p>
        </w:tc>
        <w:tc>
          <w:tcPr>
            <w:tcW w:w="350" w:type="pct"/>
            <w:noWrap/>
            <w:vAlign w:val="center"/>
          </w:tcPr>
          <w:p w14:paraId="7B10C98C"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2.7</w:t>
            </w:r>
          </w:p>
        </w:tc>
        <w:tc>
          <w:tcPr>
            <w:tcW w:w="350" w:type="pct"/>
            <w:noWrap/>
            <w:vAlign w:val="center"/>
          </w:tcPr>
          <w:p w14:paraId="4E10E84F"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2.7</w:t>
            </w:r>
          </w:p>
        </w:tc>
        <w:tc>
          <w:tcPr>
            <w:tcW w:w="350" w:type="pct"/>
            <w:noWrap/>
            <w:vAlign w:val="center"/>
          </w:tcPr>
          <w:p w14:paraId="79AD007A"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21</w:t>
            </w:r>
          </w:p>
        </w:tc>
        <w:tc>
          <w:tcPr>
            <w:tcW w:w="511" w:type="pct"/>
            <w:noWrap/>
            <w:vAlign w:val="center"/>
          </w:tcPr>
          <w:p w14:paraId="7CF84A18" w14:textId="25CBD126"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2.7</w:t>
            </w:r>
          </w:p>
        </w:tc>
      </w:tr>
      <w:tr w:rsidR="002C5F49" w:rsidRPr="00414DA2" w14:paraId="0B6B98DC" w14:textId="77777777"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0B369F11" w14:textId="42592919" w:rsidR="00AD5E37"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08111BDE" w14:textId="556A4A19" w:rsidR="00AD5E37" w:rsidRPr="00AD5E37" w:rsidRDefault="00AD5E37"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Citrus fruits</w:t>
            </w:r>
          </w:p>
        </w:tc>
        <w:tc>
          <w:tcPr>
            <w:tcW w:w="349" w:type="pct"/>
            <w:noWrap/>
            <w:vAlign w:val="center"/>
          </w:tcPr>
          <w:p w14:paraId="1366CA59"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83" w:type="pct"/>
            <w:noWrap/>
            <w:vAlign w:val="center"/>
          </w:tcPr>
          <w:p w14:paraId="696D82BC"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67" w:type="pct"/>
            <w:noWrap/>
            <w:vAlign w:val="center"/>
          </w:tcPr>
          <w:p w14:paraId="293D4E4D"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12</w:t>
            </w:r>
          </w:p>
        </w:tc>
        <w:tc>
          <w:tcPr>
            <w:tcW w:w="500" w:type="pct"/>
            <w:noWrap/>
            <w:vAlign w:val="center"/>
          </w:tcPr>
          <w:p w14:paraId="2FF197F2"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1.5</w:t>
            </w:r>
          </w:p>
        </w:tc>
        <w:tc>
          <w:tcPr>
            <w:tcW w:w="350" w:type="pct"/>
            <w:noWrap/>
            <w:vAlign w:val="center"/>
          </w:tcPr>
          <w:p w14:paraId="625EECB0"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4.0</w:t>
            </w:r>
          </w:p>
        </w:tc>
        <w:tc>
          <w:tcPr>
            <w:tcW w:w="350" w:type="pct"/>
            <w:noWrap/>
            <w:vAlign w:val="center"/>
          </w:tcPr>
          <w:p w14:paraId="6EAB0A9B"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4.0</w:t>
            </w:r>
          </w:p>
        </w:tc>
        <w:tc>
          <w:tcPr>
            <w:tcW w:w="350" w:type="pct"/>
            <w:noWrap/>
            <w:vAlign w:val="center"/>
          </w:tcPr>
          <w:p w14:paraId="32C2C103"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32</w:t>
            </w:r>
          </w:p>
        </w:tc>
        <w:tc>
          <w:tcPr>
            <w:tcW w:w="511" w:type="pct"/>
            <w:noWrap/>
            <w:vAlign w:val="center"/>
          </w:tcPr>
          <w:p w14:paraId="74736EB9" w14:textId="5988C87D"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4.0</w:t>
            </w:r>
          </w:p>
        </w:tc>
      </w:tr>
      <w:tr w:rsidR="002C5F49" w:rsidRPr="00414DA2" w14:paraId="67E8186C" w14:textId="77777777" w:rsidTr="002C5F49">
        <w:trPr>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6E8216CC" w14:textId="4EFA1DC8" w:rsidR="00AD5E37"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39D3E7BF" w14:textId="708C6778" w:rsidR="00AD5E37" w:rsidRPr="00AD5E37" w:rsidRDefault="00AD5E37" w:rsidP="00A75BE9">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Pome fruits</w:t>
            </w:r>
          </w:p>
        </w:tc>
        <w:tc>
          <w:tcPr>
            <w:tcW w:w="349" w:type="pct"/>
            <w:noWrap/>
            <w:vAlign w:val="center"/>
          </w:tcPr>
          <w:p w14:paraId="116E4A3B"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83" w:type="pct"/>
            <w:noWrap/>
            <w:vAlign w:val="center"/>
          </w:tcPr>
          <w:p w14:paraId="4F22639E"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67" w:type="pct"/>
            <w:noWrap/>
            <w:vAlign w:val="center"/>
          </w:tcPr>
          <w:p w14:paraId="7554885A"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8.4</w:t>
            </w:r>
          </w:p>
        </w:tc>
        <w:tc>
          <w:tcPr>
            <w:tcW w:w="500" w:type="pct"/>
            <w:noWrap/>
            <w:vAlign w:val="center"/>
          </w:tcPr>
          <w:p w14:paraId="46FFCA5F"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1.1</w:t>
            </w:r>
          </w:p>
        </w:tc>
        <w:tc>
          <w:tcPr>
            <w:tcW w:w="350" w:type="pct"/>
            <w:noWrap/>
            <w:vAlign w:val="center"/>
          </w:tcPr>
          <w:p w14:paraId="5E038B15"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4.4</w:t>
            </w:r>
          </w:p>
        </w:tc>
        <w:tc>
          <w:tcPr>
            <w:tcW w:w="350" w:type="pct"/>
            <w:noWrap/>
            <w:vAlign w:val="center"/>
          </w:tcPr>
          <w:p w14:paraId="48FB8609"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4.4</w:t>
            </w:r>
          </w:p>
        </w:tc>
        <w:tc>
          <w:tcPr>
            <w:tcW w:w="350" w:type="pct"/>
            <w:noWrap/>
            <w:vAlign w:val="center"/>
          </w:tcPr>
          <w:p w14:paraId="7451E633" w14:textId="77777777"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35</w:t>
            </w:r>
          </w:p>
        </w:tc>
        <w:tc>
          <w:tcPr>
            <w:tcW w:w="511" w:type="pct"/>
            <w:noWrap/>
            <w:vAlign w:val="center"/>
          </w:tcPr>
          <w:p w14:paraId="04F9380E" w14:textId="56B2E091" w:rsidR="00AD5E37" w:rsidRPr="00414DA2" w:rsidRDefault="00AD5E37" w:rsidP="00A75BE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414DA2">
              <w:rPr>
                <w:rFonts w:cs="Arial"/>
                <w:color w:val="000000"/>
                <w:sz w:val="18"/>
                <w:szCs w:val="18"/>
              </w:rPr>
              <w:t>4.4</w:t>
            </w:r>
          </w:p>
        </w:tc>
      </w:tr>
      <w:tr w:rsidR="002C5F49" w:rsidRPr="00414DA2" w14:paraId="2C90A6E8" w14:textId="16D66913" w:rsidTr="002C5F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9" w:type="pct"/>
            <w:vMerge/>
          </w:tcPr>
          <w:p w14:paraId="12FAB96A" w14:textId="41D55B58" w:rsidR="00AD5E37" w:rsidRDefault="00AD5E37" w:rsidP="00A75BE9">
            <w:pPr>
              <w:spacing w:after="0" w:line="240" w:lineRule="auto"/>
              <w:contextualSpacing/>
              <w:jc w:val="right"/>
              <w:rPr>
                <w:rFonts w:cs="Arial"/>
                <w:b w:val="0"/>
                <w:color w:val="000000"/>
                <w:sz w:val="18"/>
                <w:szCs w:val="18"/>
              </w:rPr>
            </w:pPr>
          </w:p>
        </w:tc>
        <w:tc>
          <w:tcPr>
            <w:tcW w:w="1031" w:type="pct"/>
            <w:noWrap/>
            <w:vAlign w:val="center"/>
            <w:hideMark/>
          </w:tcPr>
          <w:p w14:paraId="4DFDCEEF" w14:textId="4ED58642" w:rsidR="00AD5E37" w:rsidRPr="00AD5E37" w:rsidRDefault="00AD5E37" w:rsidP="00A75BE9">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D5E37">
              <w:rPr>
                <w:rFonts w:cs="Arial"/>
                <w:color w:val="000000"/>
                <w:sz w:val="18"/>
                <w:szCs w:val="18"/>
              </w:rPr>
              <w:t>Tropical fruit - edible peel</w:t>
            </w:r>
          </w:p>
        </w:tc>
        <w:tc>
          <w:tcPr>
            <w:tcW w:w="349" w:type="pct"/>
            <w:noWrap/>
            <w:vAlign w:val="center"/>
          </w:tcPr>
          <w:p w14:paraId="1CF88FA7"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38</w:t>
            </w:r>
          </w:p>
        </w:tc>
        <w:tc>
          <w:tcPr>
            <w:tcW w:w="383" w:type="pct"/>
            <w:noWrap/>
            <w:vAlign w:val="center"/>
          </w:tcPr>
          <w:p w14:paraId="06ABB191"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38</w:t>
            </w:r>
          </w:p>
        </w:tc>
        <w:tc>
          <w:tcPr>
            <w:tcW w:w="367" w:type="pct"/>
            <w:noWrap/>
            <w:vAlign w:val="center"/>
          </w:tcPr>
          <w:p w14:paraId="03C7CE7D"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304</w:t>
            </w:r>
          </w:p>
        </w:tc>
        <w:tc>
          <w:tcPr>
            <w:tcW w:w="500" w:type="pct"/>
            <w:noWrap/>
            <w:vAlign w:val="center"/>
          </w:tcPr>
          <w:p w14:paraId="2349377A"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38</w:t>
            </w:r>
          </w:p>
        </w:tc>
        <w:tc>
          <w:tcPr>
            <w:tcW w:w="350" w:type="pct"/>
            <w:noWrap/>
            <w:vAlign w:val="center"/>
          </w:tcPr>
          <w:p w14:paraId="4AE20149"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145</w:t>
            </w:r>
          </w:p>
        </w:tc>
        <w:tc>
          <w:tcPr>
            <w:tcW w:w="350" w:type="pct"/>
            <w:noWrap/>
            <w:vAlign w:val="center"/>
          </w:tcPr>
          <w:p w14:paraId="5B582FAD"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145</w:t>
            </w:r>
          </w:p>
        </w:tc>
        <w:tc>
          <w:tcPr>
            <w:tcW w:w="350" w:type="pct"/>
            <w:noWrap/>
            <w:vAlign w:val="center"/>
          </w:tcPr>
          <w:p w14:paraId="6129D7BD" w14:textId="77777777"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1163</w:t>
            </w:r>
          </w:p>
        </w:tc>
        <w:tc>
          <w:tcPr>
            <w:tcW w:w="511" w:type="pct"/>
            <w:noWrap/>
            <w:vAlign w:val="center"/>
          </w:tcPr>
          <w:p w14:paraId="1D4649F9" w14:textId="7D45780D" w:rsidR="00AD5E37" w:rsidRPr="00414DA2" w:rsidRDefault="00AD5E37" w:rsidP="00A75BE9">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14DA2">
              <w:rPr>
                <w:rFonts w:cs="Arial"/>
                <w:color w:val="000000"/>
                <w:sz w:val="18"/>
                <w:szCs w:val="18"/>
              </w:rPr>
              <w:t>145</w:t>
            </w:r>
          </w:p>
        </w:tc>
      </w:tr>
    </w:tbl>
    <w:p w14:paraId="7B5AEDC6" w14:textId="48D2C67C" w:rsidR="00544A77" w:rsidRPr="003B1D8B" w:rsidRDefault="00DB3005" w:rsidP="00A75BE9">
      <w:pPr>
        <w:pStyle w:val="FSCFootnote"/>
        <w:tabs>
          <w:tab w:val="left" w:pos="7371"/>
        </w:tabs>
        <w:rPr>
          <w:rStyle w:val="TableFootChar"/>
        </w:rPr>
      </w:pPr>
      <w:r w:rsidRPr="00A75BE9">
        <w:lastRenderedPageBreak/>
        <w:t>-</w:t>
      </w:r>
      <w:r w:rsidRPr="00A75BE9">
        <w:rPr>
          <w:rStyle w:val="TableFootChar"/>
          <w:rFonts w:cs="Times New Roman"/>
          <w:szCs w:val="20"/>
        </w:rPr>
        <w:t xml:space="preserve"> Not consumed</w:t>
      </w:r>
      <w:r w:rsidR="00497529" w:rsidRPr="00A75BE9">
        <w:rPr>
          <w:rStyle w:val="TableFootChar"/>
          <w:rFonts w:cs="Times New Roman"/>
          <w:szCs w:val="20"/>
        </w:rPr>
        <w:t xml:space="preserve">, </w:t>
      </w:r>
      <w:r w:rsidRPr="00A75BE9">
        <w:rPr>
          <w:rStyle w:val="TableFootChar"/>
          <w:rFonts w:cs="Times New Roman"/>
          <w:szCs w:val="20"/>
        </w:rPr>
        <w:t>* Median food consumption used to calculate maximum concentration as infrequently consumed food (</w:t>
      </w:r>
      <w:r w:rsidR="005F1AA1" w:rsidRPr="00A75BE9">
        <w:rPr>
          <w:rStyle w:val="TableFootChar"/>
          <w:rFonts w:cs="Times New Roman"/>
          <w:szCs w:val="20"/>
        </w:rPr>
        <w:t xml:space="preserve">infrequently consumed foods are those food groups </w:t>
      </w:r>
      <w:r w:rsidRPr="00A75BE9">
        <w:rPr>
          <w:rStyle w:val="TableFootChar"/>
          <w:rFonts w:cs="Times New Roman"/>
          <w:szCs w:val="20"/>
        </w:rPr>
        <w:t xml:space="preserve">consumed by </w:t>
      </w:r>
      <w:r w:rsidR="004D6C19" w:rsidRPr="00A75BE9">
        <w:rPr>
          <w:rStyle w:val="TableFootChar"/>
          <w:rFonts w:cs="Times New Roman"/>
          <w:szCs w:val="20"/>
        </w:rPr>
        <w:t>≤</w:t>
      </w:r>
      <w:r w:rsidRPr="00A75BE9">
        <w:rPr>
          <w:rStyle w:val="TableFootChar"/>
          <w:rFonts w:cs="Times New Roman"/>
          <w:szCs w:val="20"/>
        </w:rPr>
        <w:t>10% of the population on day 1 of the nutrition survey</w:t>
      </w:r>
      <w:r w:rsidRPr="003B1D8B">
        <w:rPr>
          <w:rStyle w:val="TableFootChar"/>
        </w:rPr>
        <w:t>).</w:t>
      </w:r>
      <w:r w:rsidR="003B1D8B" w:rsidRPr="003B1D8B">
        <w:rPr>
          <w:rStyle w:val="TableFootChar"/>
        </w:rPr>
        <w:t xml:space="preserve"> Trigger points for investigation for crustaceans applied to molluscs due to small numbers of consumers of molluscs, particularly for children 2-6 years. Derivation of consumption of molluscs also included consumers of oyster sauce (oyster as an ingredient) leading to a low median consumption figure for consumers not considered </w:t>
      </w:r>
      <w:proofErr w:type="spellStart"/>
      <w:r w:rsidR="003B1D8B" w:rsidRPr="003B1D8B">
        <w:rPr>
          <w:rStyle w:val="TableFootChar"/>
        </w:rPr>
        <w:t>approrpiate</w:t>
      </w:r>
      <w:proofErr w:type="spellEnd"/>
      <w:r w:rsidR="003B1D8B" w:rsidRPr="003B1D8B">
        <w:rPr>
          <w:rStyle w:val="TableFootChar"/>
        </w:rPr>
        <w:t xml:space="preserve"> for use to derive a trigger point for investigation.</w:t>
      </w:r>
    </w:p>
    <w:p w14:paraId="44D3A825" w14:textId="77777777" w:rsidR="00544A77" w:rsidRDefault="00544A77" w:rsidP="00544A77">
      <w:pPr>
        <w:rPr>
          <w:lang w:eastAsia="en-AU"/>
        </w:rPr>
      </w:pPr>
    </w:p>
    <w:bookmarkEnd w:id="175"/>
    <w:p w14:paraId="6BB397FC" w14:textId="77777777" w:rsidR="002C7C52" w:rsidRDefault="002C7C52" w:rsidP="005F1AA1">
      <w:pPr>
        <w:rPr>
          <w:lang w:eastAsia="en-AU"/>
        </w:rPr>
        <w:sectPr w:rsidR="002C7C52" w:rsidSect="00317679">
          <w:pgSz w:w="16838" w:h="11906" w:orient="landscape"/>
          <w:pgMar w:top="1440" w:right="1440" w:bottom="1440" w:left="1440" w:header="709" w:footer="709" w:gutter="0"/>
          <w:cols w:space="708"/>
          <w:docGrid w:linePitch="360"/>
        </w:sectPr>
      </w:pPr>
    </w:p>
    <w:p w14:paraId="33AAF97D" w14:textId="0F28ED17" w:rsidR="0038596E" w:rsidRPr="007928AC" w:rsidRDefault="0038596E" w:rsidP="002C5F49">
      <w:pPr>
        <w:pStyle w:val="Heading1"/>
        <w:numPr>
          <w:ilvl w:val="0"/>
          <w:numId w:val="0"/>
        </w:numPr>
        <w:rPr>
          <w:lang w:eastAsia="en-AU"/>
        </w:rPr>
      </w:pPr>
      <w:bookmarkStart w:id="247" w:name="_Ref406592480"/>
      <w:bookmarkStart w:id="248" w:name="_Ref420934813"/>
      <w:bookmarkStart w:id="249" w:name="_Toc434566816"/>
      <w:bookmarkStart w:id="250" w:name="_Toc474153279"/>
      <w:bookmarkStart w:id="251" w:name="_Toc474158959"/>
      <w:bookmarkStart w:id="252" w:name="_Toc474847915"/>
      <w:bookmarkStart w:id="253" w:name="_Toc475360625"/>
      <w:bookmarkStart w:id="254" w:name="_Toc269201853"/>
      <w:bookmarkStart w:id="255" w:name="_Toc360028637"/>
      <w:bookmarkStart w:id="256" w:name="_Ref406587862"/>
      <w:r w:rsidRPr="007928AC">
        <w:lastRenderedPageBreak/>
        <w:t>A</w:t>
      </w:r>
      <w:r w:rsidR="009F506E" w:rsidRPr="007928AC">
        <w:t>ppendix</w:t>
      </w:r>
      <w:r w:rsidRPr="007928AC">
        <w:t xml:space="preserve"> </w:t>
      </w:r>
      <w:bookmarkEnd w:id="247"/>
      <w:r w:rsidR="005F5B16">
        <w:t>5</w:t>
      </w:r>
      <w:r w:rsidR="00B47625" w:rsidRPr="007928AC">
        <w:t>:</w:t>
      </w:r>
      <w:r w:rsidRPr="007928AC">
        <w:t xml:space="preserve"> Dietary </w:t>
      </w:r>
      <w:r w:rsidR="00983ED1" w:rsidRPr="007928AC">
        <w:t>e</w:t>
      </w:r>
      <w:r w:rsidRPr="007928AC">
        <w:t xml:space="preserve">xposure </w:t>
      </w:r>
      <w:r w:rsidR="00983ED1" w:rsidRPr="007928AC">
        <w:t>a</w:t>
      </w:r>
      <w:r w:rsidRPr="007928AC">
        <w:t>ssessments at FSANZ</w:t>
      </w:r>
      <w:bookmarkEnd w:id="248"/>
      <w:bookmarkEnd w:id="249"/>
      <w:bookmarkEnd w:id="250"/>
      <w:bookmarkEnd w:id="251"/>
      <w:bookmarkEnd w:id="252"/>
      <w:bookmarkEnd w:id="253"/>
    </w:p>
    <w:bookmarkEnd w:id="254"/>
    <w:bookmarkEnd w:id="255"/>
    <w:bookmarkEnd w:id="256"/>
    <w:p w14:paraId="413205C1" w14:textId="77777777" w:rsidR="0038596E" w:rsidRPr="00BC485A" w:rsidRDefault="0038596E" w:rsidP="0038596E">
      <w:pPr>
        <w:rPr>
          <w:lang w:eastAsia="en-GB"/>
        </w:rPr>
      </w:pPr>
      <w:r w:rsidRPr="008110E9">
        <w:t>A dietary exposure assessment is the process of estimating how much of a food chemical a</w:t>
      </w:r>
      <w:r w:rsidRPr="00BC485A">
        <w:rPr>
          <w:lang w:eastAsia="en-GB"/>
        </w:rPr>
        <w:t xml:space="preserve"> population, or population sub group, consumes. Dietary exposure to food chemicals is estimated by combining food consumption data with food chemical concentration data. The process of doing this is called ‘dietary modelling’.</w:t>
      </w:r>
    </w:p>
    <w:p w14:paraId="371392AF" w14:textId="0BB4E05D" w:rsidR="0038596E" w:rsidRPr="00164A1C" w:rsidRDefault="00164A1C" w:rsidP="00164A1C">
      <w:pPr>
        <w:spacing w:before="240" w:after="240"/>
        <w:rPr>
          <w:rFonts w:ascii="Cambria Math" w:hAnsi="Cambria Math"/>
          <w:oMath/>
        </w:rPr>
      </w:pPr>
      <m:oMathPara>
        <m:oMath>
          <m:r>
            <w:rPr>
              <w:rFonts w:ascii="Cambria Math" w:hAnsi="Cambria Math"/>
            </w:rPr>
            <m:t>Dietary exposure = food chemical concentration x food consumption</m:t>
          </m:r>
        </m:oMath>
      </m:oMathPara>
    </w:p>
    <w:p w14:paraId="04EF07B0" w14:textId="606E8C6D" w:rsidR="0038596E" w:rsidRPr="00BC485A" w:rsidRDefault="0038596E" w:rsidP="0038596E">
      <w:pPr>
        <w:rPr>
          <w:lang w:eastAsia="en-GB"/>
        </w:rPr>
      </w:pPr>
      <w:r w:rsidRPr="00BC485A">
        <w:rPr>
          <w:lang w:eastAsia="en-GB"/>
        </w:rPr>
        <w:t>FSANZ’s approach to dietary modelling is based on internationally accepted procedures for estimating dietary exposure to food chemicals</w:t>
      </w:r>
      <w:r>
        <w:rPr>
          <w:lang w:eastAsia="en-GB"/>
        </w:rPr>
        <w:t xml:space="preserve"> </w:t>
      </w:r>
      <w:r>
        <w:rPr>
          <w:lang w:eastAsia="en-GB"/>
        </w:rPr>
        <w:fldChar w:fldCharType="begin"/>
      </w:r>
      <w:r>
        <w:rPr>
          <w:lang w:eastAsia="en-GB"/>
        </w:rPr>
        <w:instrText xml:space="preserve"> ADDIN REFMGR.CITE &lt;Refman&gt;&lt;Cite&gt;&lt;Author&gt;FSANZ&lt;/Author&gt;&lt;Year&gt;2009&lt;/Year&gt;&lt;RecNum&gt;13&lt;/RecNum&gt;&lt;IDText&gt;Principles and practices of dietary exposure asessment for food regulatory purposes&lt;/IDText&gt;&lt;MDL Ref_Type="Report"&gt;&lt;Ref_Type&gt;Report&lt;/Ref_Type&gt;&lt;Ref_ID&gt;13&lt;/Ref_ID&gt;&lt;Title_Primary&gt;Principles and practices of dietary exposure asessment for food regulatory purposes&lt;/Title_Primary&gt;&lt;Authors_Primary&gt;FSANZ&lt;/Authors_Primary&gt;&lt;Date_Primary&gt;2009&lt;/Date_Primary&gt;&lt;Keywords&gt;phytosterols&lt;/Keywords&gt;&lt;Reprint&gt;Not in File&lt;/Reprint&gt;&lt;Pub_Place&gt;Canberra&lt;/Pub_Place&gt;&lt;Publisher&gt;Report prepared by Food Standards Australia New Zealand&lt;/Publisher&gt;&lt;Web_URL&gt;&lt;u&gt;http://www.foodstandards.gov.au/publications/Pages/Principles-and-Practices-of-Dietary.aspx&lt;/u&gt;&lt;/Web_URL&gt;&lt;ZZ_WorkformID&gt;24&lt;/ZZ_WorkformID&gt;&lt;/MDL&gt;&lt;/Cite&gt;&lt;/Refman&gt;</w:instrText>
      </w:r>
      <w:r>
        <w:rPr>
          <w:lang w:eastAsia="en-GB"/>
        </w:rPr>
        <w:fldChar w:fldCharType="separate"/>
      </w:r>
      <w:r>
        <w:rPr>
          <w:noProof/>
          <w:lang w:eastAsia="en-GB"/>
        </w:rPr>
        <w:t>(FSANZ 2009)</w:t>
      </w:r>
      <w:r>
        <w:rPr>
          <w:lang w:eastAsia="en-GB"/>
        </w:rPr>
        <w:fldChar w:fldCharType="end"/>
      </w:r>
      <w:r w:rsidRPr="00BC485A">
        <w:rPr>
          <w:lang w:eastAsia="en-GB"/>
        </w:rPr>
        <w:t>.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w:t>
      </w:r>
      <w:r w:rsidR="00966A4E">
        <w:rPr>
          <w:lang w:eastAsia="en-GB"/>
        </w:rPr>
        <w:t>, adjusted for individual bodyweight where appropriate</w:t>
      </w:r>
      <w:r w:rsidRPr="00BC485A">
        <w:rPr>
          <w:lang w:eastAsia="en-GB"/>
        </w:rPr>
        <w:t xml:space="preserve">. Population summary statistics such as the mean exposure or a high percentile exposure are derived from the </w:t>
      </w:r>
      <w:r w:rsidR="00966A4E">
        <w:rPr>
          <w:lang w:eastAsia="en-GB"/>
        </w:rPr>
        <w:t xml:space="preserve">distribution of </w:t>
      </w:r>
      <w:r w:rsidRPr="00BC485A">
        <w:rPr>
          <w:lang w:eastAsia="en-GB"/>
        </w:rPr>
        <w:t>individual person’s exposures from the nutrition survey.</w:t>
      </w:r>
    </w:p>
    <w:p w14:paraId="569BF2CF" w14:textId="3F5F7072" w:rsidR="0038596E" w:rsidRPr="00BC485A" w:rsidRDefault="0038596E" w:rsidP="0038596E">
      <w:r w:rsidRPr="00BC485A">
        <w:t xml:space="preserve">An overview of how dietary exposure assessments are conducted and their place in the FSANZ Risk Analysis Process is provided on the FSANZ website at </w:t>
      </w:r>
      <w:hyperlink r:id="rId23" w:history="1">
        <w:r w:rsidRPr="00BC485A">
          <w:rPr>
            <w:color w:val="3333FF"/>
            <w:u w:val="single"/>
          </w:rPr>
          <w:t>http://www.foodstandards.gov.au/science/riskanalysis/Pages/default.aspx</w:t>
        </w:r>
      </w:hyperlink>
      <w:r w:rsidRPr="00BC485A">
        <w:t>.</w:t>
      </w:r>
    </w:p>
    <w:p w14:paraId="41A35ACE" w14:textId="716DF76F" w:rsidR="0038596E" w:rsidRDefault="0038596E" w:rsidP="0038596E">
      <w:r w:rsidRPr="00BC485A">
        <w:rPr>
          <w:lang w:eastAsia="en-GB"/>
        </w:rPr>
        <w:t xml:space="preserve">FSANZ has developed a custom-built computer program ‘Harvest’ to calculate dietary exposures. Harvest is a newly built program and replaces the program ‘DIAMOND’ that </w:t>
      </w:r>
      <w:r>
        <w:rPr>
          <w:lang w:eastAsia="en-GB"/>
        </w:rPr>
        <w:t>had</w:t>
      </w:r>
      <w:r w:rsidRPr="00BC485A">
        <w:rPr>
          <w:lang w:eastAsia="en-GB"/>
        </w:rPr>
        <w:t xml:space="preserve"> been used by FSANZ for many years. Harvest has been designed to replicate the calculations that occurred within DIAMOND using a different software package. </w:t>
      </w:r>
      <w:r w:rsidRPr="00BC485A">
        <w:t xml:space="preserve">Further detailed information on conducting dietary exposure assessments at FSANZ is provided in </w:t>
      </w:r>
      <w:r w:rsidRPr="00BC485A">
        <w:rPr>
          <w:i/>
        </w:rPr>
        <w:t xml:space="preserve">Principles and Practices of Dietary Exposure Assessment for Food Regulatory Purposes </w:t>
      </w:r>
      <w:r w:rsidRPr="00BC485A">
        <w:t xml:space="preserve">(FSANZ 2009), available at </w:t>
      </w:r>
      <w:hyperlink r:id="rId24" w:history="1">
        <w:r w:rsidRPr="00BC485A">
          <w:rPr>
            <w:color w:val="3333FF"/>
            <w:u w:val="single"/>
          </w:rPr>
          <w:t>http://www.foodstandards.gov.au/science/exposure/documents/Principles%20_%20practices%20exposure%20assessment%202009.pdf</w:t>
        </w:r>
      </w:hyperlink>
      <w:r w:rsidRPr="00BC485A">
        <w:t xml:space="preserve">. </w:t>
      </w:r>
    </w:p>
    <w:p w14:paraId="32DF697A" w14:textId="2C3AC75E" w:rsidR="0038596E" w:rsidRDefault="0038596E" w:rsidP="005F1C2A">
      <w:pPr>
        <w:rPr>
          <w:b/>
        </w:rPr>
      </w:pPr>
      <w:bookmarkStart w:id="257" w:name="_Toc256582725"/>
      <w:bookmarkStart w:id="258" w:name="_Toc360028638"/>
      <w:bookmarkStart w:id="259" w:name="_Toc434566818"/>
      <w:r w:rsidRPr="005F1C2A">
        <w:rPr>
          <w:b/>
        </w:rPr>
        <w:t>Food consumption data used</w:t>
      </w:r>
      <w:bookmarkEnd w:id="257"/>
      <w:bookmarkEnd w:id="258"/>
      <w:bookmarkEnd w:id="259"/>
    </w:p>
    <w:p w14:paraId="70BA94A9" w14:textId="08A40ED3" w:rsidR="0038596E" w:rsidRDefault="0038596E" w:rsidP="009F76E4">
      <w:pPr>
        <w:rPr>
          <w:rFonts w:cs="Arial"/>
        </w:rPr>
      </w:pPr>
      <w:r w:rsidRPr="00BC485A">
        <w:t xml:space="preserve">The most recent food consumption data available for the Australian </w:t>
      </w:r>
      <w:r w:rsidR="009F76E4">
        <w:t>population</w:t>
      </w:r>
      <w:r w:rsidR="005204F5">
        <w:t xml:space="preserve"> from the</w:t>
      </w:r>
      <w:r w:rsidRPr="00BC485A">
        <w:t xml:space="preserve"> </w:t>
      </w:r>
      <w:r w:rsidRPr="00BC485A">
        <w:rPr>
          <w:rFonts w:cs="Arial"/>
        </w:rPr>
        <w:t>2011-12 Australian National Nutrition and Physical Activity Survey (2011</w:t>
      </w:r>
      <w:r>
        <w:rPr>
          <w:rFonts w:cs="Arial"/>
        </w:rPr>
        <w:t>-12</w:t>
      </w:r>
      <w:r w:rsidRPr="00BC485A">
        <w:rPr>
          <w:rFonts w:cs="Arial"/>
        </w:rPr>
        <w:t> NNPAS)</w:t>
      </w:r>
      <w:r w:rsidR="009F76E4">
        <w:rPr>
          <w:rFonts w:cs="Arial"/>
        </w:rPr>
        <w:t xml:space="preserve"> </w:t>
      </w:r>
      <w:r w:rsidR="005F1C2A">
        <w:rPr>
          <w:rFonts w:cs="Arial"/>
        </w:rPr>
        <w:t xml:space="preserve">component of the 2011-13 Australian Health Survey </w:t>
      </w:r>
      <w:r w:rsidR="001D1C0B" w:rsidRPr="00BC485A">
        <w:t>undertaken by the Australian Bureau of Statistics</w:t>
      </w:r>
      <w:r w:rsidR="001D1C0B">
        <w:rPr>
          <w:rFonts w:cs="Arial"/>
        </w:rPr>
        <w:t xml:space="preserve"> </w:t>
      </w:r>
      <w:r w:rsidR="009F76E4">
        <w:rPr>
          <w:rFonts w:cs="Arial"/>
        </w:rPr>
        <w:t>was used in this assessment.</w:t>
      </w:r>
    </w:p>
    <w:p w14:paraId="4EC1C0A3" w14:textId="6529866E" w:rsidR="00F82205" w:rsidRDefault="00F82205" w:rsidP="00F82205">
      <w:r w:rsidRPr="00BC485A">
        <w:t xml:space="preserve">The 2011–12 NNPAS includes </w:t>
      </w:r>
      <w:r w:rsidR="009F506E">
        <w:t xml:space="preserve">information on </w:t>
      </w:r>
      <w:r w:rsidRPr="00BC485A">
        <w:t xml:space="preserve">dietary patterns of a sample of 12,153 Australians aged from 2 years and above. The survey used a 24-hour recall method for all respondents, with 64% of respondents also </w:t>
      </w:r>
      <w:r w:rsidRPr="00A57692">
        <w:t xml:space="preserve">completing a second 24-hour recall on a second, non-consecutive day. The data were collected from May 2011 to June 2012 (with no enumeration between August and September 2011 due to the Census). </w:t>
      </w:r>
      <w:r w:rsidRPr="00A57692">
        <w:rPr>
          <w:lang w:val="en-AU" w:eastAsia="en-AU"/>
        </w:rPr>
        <w:t>Day</w:t>
      </w:r>
      <w:r w:rsidRPr="00BC485A">
        <w:rPr>
          <w:lang w:val="en-AU" w:eastAsia="en-AU"/>
        </w:rPr>
        <w:t xml:space="preserve"> 1 </w:t>
      </w:r>
      <w:r>
        <w:rPr>
          <w:lang w:val="en-AU" w:eastAsia="en-AU"/>
        </w:rPr>
        <w:t xml:space="preserve">and Day 2 </w:t>
      </w:r>
      <w:r w:rsidRPr="00BC485A">
        <w:rPr>
          <w:lang w:val="en-AU" w:eastAsia="en-AU"/>
        </w:rPr>
        <w:t xml:space="preserve">24-hour recall data for </w:t>
      </w:r>
      <w:r w:rsidR="00BC4145">
        <w:rPr>
          <w:lang w:val="en-AU" w:eastAsia="en-AU"/>
        </w:rPr>
        <w:t xml:space="preserve">a subset of </w:t>
      </w:r>
      <w:r w:rsidRPr="00BC485A">
        <w:rPr>
          <w:lang w:val="en-AU" w:eastAsia="en-AU"/>
        </w:rPr>
        <w:t xml:space="preserve">respondents were used for this assessment. </w:t>
      </w:r>
      <w:r w:rsidRPr="00BC485A">
        <w:t>These data were weighted for use in the calculation</w:t>
      </w:r>
      <w:r w:rsidR="00B47625">
        <w:t>s of food consumption amounts for food or food groups</w:t>
      </w:r>
      <w:r>
        <w:t>. Consumption and respondent data from the survey were incorporated into the Harvest program f</w:t>
      </w:r>
      <w:r w:rsidRPr="005F72E8">
        <w:t xml:space="preserve">rom the </w:t>
      </w:r>
      <w:proofErr w:type="spellStart"/>
      <w:r w:rsidRPr="005F72E8">
        <w:t>Confidentialised</w:t>
      </w:r>
      <w:proofErr w:type="spellEnd"/>
      <w:r w:rsidRPr="005F72E8">
        <w:t xml:space="preserve"> Unit Record Files (CURF) data set</w:t>
      </w:r>
      <w:r>
        <w:t xml:space="preserve"> </w:t>
      </w:r>
      <w:r>
        <w:fldChar w:fldCharType="begin"/>
      </w:r>
      <w: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fldChar w:fldCharType="separate"/>
      </w:r>
      <w:r>
        <w:rPr>
          <w:noProof/>
        </w:rPr>
        <w:t>(ABS 2014)</w:t>
      </w:r>
      <w:r>
        <w:fldChar w:fldCharType="end"/>
      </w:r>
      <w:r w:rsidRPr="00BC485A">
        <w:t>.</w:t>
      </w:r>
    </w:p>
    <w:p w14:paraId="52B481E7" w14:textId="60443245" w:rsidR="0038596E" w:rsidRPr="00BC485A" w:rsidRDefault="0038596E" w:rsidP="0038596E">
      <w:pPr>
        <w:rPr>
          <w:i/>
          <w:highlight w:val="yellow"/>
        </w:rPr>
      </w:pPr>
      <w:r w:rsidRPr="00BC485A">
        <w:rPr>
          <w:lang w:val="en-AU" w:eastAsia="en-AU"/>
        </w:rPr>
        <w:lastRenderedPageBreak/>
        <w:t xml:space="preserve">Further information on the </w:t>
      </w:r>
      <w:r>
        <w:rPr>
          <w:lang w:val="en-AU" w:eastAsia="en-AU"/>
        </w:rPr>
        <w:t>n</w:t>
      </w:r>
      <w:r w:rsidRPr="00BC485A">
        <w:rPr>
          <w:lang w:val="en-AU" w:eastAsia="en-AU"/>
        </w:rPr>
        <w:t xml:space="preserve">ational </w:t>
      </w:r>
      <w:r>
        <w:rPr>
          <w:lang w:val="en-AU" w:eastAsia="en-AU"/>
        </w:rPr>
        <w:t>n</w:t>
      </w:r>
      <w:r w:rsidRPr="00BC485A">
        <w:rPr>
          <w:lang w:val="en-AU" w:eastAsia="en-AU"/>
        </w:rPr>
        <w:t xml:space="preserve">utrition </w:t>
      </w:r>
      <w:r>
        <w:rPr>
          <w:lang w:val="en-AU" w:eastAsia="en-AU"/>
        </w:rPr>
        <w:t>s</w:t>
      </w:r>
      <w:r w:rsidRPr="00BC485A">
        <w:rPr>
          <w:lang w:val="en-AU" w:eastAsia="en-AU"/>
        </w:rPr>
        <w:t xml:space="preserve">urveys used to conduct dietary exposure assessments is available on the FSANZ website at </w:t>
      </w:r>
      <w:hyperlink r:id="rId25" w:history="1">
        <w:r w:rsidRPr="00BC485A">
          <w:rPr>
            <w:color w:val="3333FF"/>
            <w:u w:val="single"/>
            <w:lang w:val="en-AU" w:eastAsia="en-AU"/>
          </w:rPr>
          <w:t>http://www.foodstandards.gov.au/science/exposure/Pages/dietaryexposureandin4438.aspx</w:t>
        </w:r>
      </w:hyperlink>
      <w:r w:rsidRPr="00BC485A">
        <w:rPr>
          <w:lang w:val="en-AU" w:eastAsia="en-AU"/>
        </w:rPr>
        <w:t>.</w:t>
      </w:r>
    </w:p>
    <w:sectPr w:rsidR="0038596E" w:rsidRPr="00BC485A"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65D28" w14:textId="77777777" w:rsidR="003B1D8B" w:rsidRDefault="003B1D8B" w:rsidP="008810B7">
      <w:r>
        <w:separator/>
      </w:r>
    </w:p>
  </w:endnote>
  <w:endnote w:type="continuationSeparator" w:id="0">
    <w:p w14:paraId="46399384" w14:textId="77777777" w:rsidR="003B1D8B" w:rsidRDefault="003B1D8B" w:rsidP="008810B7">
      <w:r>
        <w:continuationSeparator/>
      </w:r>
    </w:p>
  </w:endnote>
  <w:endnote w:type="continuationNotice" w:id="1">
    <w:p w14:paraId="218CEF90" w14:textId="77777777" w:rsidR="003B1D8B" w:rsidRDefault="003B1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WHNPAY+HelveticaNeue-Light">
    <w:altName w:val="Helvetica Ne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B8890" w14:textId="77777777" w:rsidR="003B1D8B" w:rsidRDefault="003B1D8B" w:rsidP="005A0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527">
      <w:rPr>
        <w:rStyle w:val="PageNumber"/>
        <w:noProof/>
      </w:rPr>
      <w:t>23</w:t>
    </w:r>
    <w:r>
      <w:rPr>
        <w:rStyle w:val="PageNumber"/>
      </w:rPr>
      <w:fldChar w:fldCharType="end"/>
    </w:r>
  </w:p>
  <w:p w14:paraId="64A73ECC" w14:textId="77777777" w:rsidR="003B1D8B" w:rsidRPr="005A0BAC" w:rsidRDefault="003B1D8B" w:rsidP="005A0B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0C5F7" w14:textId="77777777" w:rsidR="003B1D8B" w:rsidRDefault="003B1D8B" w:rsidP="008810B7">
      <w:r>
        <w:separator/>
      </w:r>
    </w:p>
  </w:footnote>
  <w:footnote w:type="continuationSeparator" w:id="0">
    <w:p w14:paraId="7E173AD0" w14:textId="77777777" w:rsidR="003B1D8B" w:rsidRDefault="003B1D8B" w:rsidP="008810B7">
      <w:r>
        <w:continuationSeparator/>
      </w:r>
    </w:p>
  </w:footnote>
  <w:footnote w:type="continuationNotice" w:id="1">
    <w:p w14:paraId="74CE9823" w14:textId="77777777" w:rsidR="003B1D8B" w:rsidRDefault="003B1D8B"/>
  </w:footnote>
  <w:footnote w:id="2">
    <w:p w14:paraId="5A5316DC" w14:textId="6740EF28" w:rsidR="003B1D8B" w:rsidRPr="003E52C1" w:rsidRDefault="003B1D8B">
      <w:pPr>
        <w:pStyle w:val="FootnoteText"/>
        <w:rPr>
          <w:lang w:val="en-AU"/>
        </w:rPr>
      </w:pPr>
      <w:r>
        <w:rPr>
          <w:rStyle w:val="FootnoteReference"/>
        </w:rPr>
        <w:footnoteRef/>
      </w:r>
      <w:r>
        <w:t xml:space="preserve"> </w:t>
      </w:r>
      <w:r w:rsidRPr="008F034E">
        <w:rPr>
          <w:sz w:val="16"/>
          <w:szCs w:val="16"/>
        </w:rPr>
        <w:t>A Tolerable Daily Intake is an estimate of the amount of a chemical in food or drinking</w:t>
      </w:r>
      <w:r>
        <w:rPr>
          <w:sz w:val="16"/>
          <w:szCs w:val="16"/>
        </w:rPr>
        <w:t xml:space="preserve"> </w:t>
      </w:r>
      <w:r w:rsidRPr="008F034E">
        <w:rPr>
          <w:sz w:val="16"/>
          <w:szCs w:val="16"/>
        </w:rPr>
        <w:t>water, expressed on a body weight basis, that can be ingested daily over a lifetime without appreciable health risk to the consumer (FAO/WHO, 2009)</w:t>
      </w:r>
    </w:p>
  </w:footnote>
  <w:footnote w:id="3">
    <w:p w14:paraId="2F5D44FC" w14:textId="70823D64" w:rsidR="003B1D8B" w:rsidRPr="002D5E0E" w:rsidRDefault="003B1D8B">
      <w:pPr>
        <w:pStyle w:val="FootnoteText"/>
        <w:rPr>
          <w:sz w:val="16"/>
          <w:lang w:val="en-AU"/>
        </w:rPr>
      </w:pPr>
      <w:r>
        <w:rPr>
          <w:rStyle w:val="FootnoteReference"/>
        </w:rPr>
        <w:footnoteRef/>
      </w:r>
      <w:r>
        <w:t xml:space="preserve"> </w:t>
      </w:r>
      <w:r w:rsidRPr="002D5E0E">
        <w:rPr>
          <w:sz w:val="16"/>
        </w:rPr>
        <w:t xml:space="preserve">For PFOS the TDI is 20 </w:t>
      </w:r>
      <w:proofErr w:type="spellStart"/>
      <w:r w:rsidRPr="002D5E0E">
        <w:rPr>
          <w:sz w:val="16"/>
        </w:rPr>
        <w:t>ng</w:t>
      </w:r>
      <w:proofErr w:type="spellEnd"/>
      <w:r w:rsidRPr="002D5E0E">
        <w:rPr>
          <w:sz w:val="16"/>
        </w:rPr>
        <w:t xml:space="preserve">/kg </w:t>
      </w:r>
      <w:proofErr w:type="spellStart"/>
      <w:r w:rsidRPr="002D5E0E">
        <w:rPr>
          <w:sz w:val="16"/>
        </w:rPr>
        <w:t>bw</w:t>
      </w:r>
      <w:proofErr w:type="spellEnd"/>
      <w:r w:rsidRPr="002D5E0E">
        <w:rPr>
          <w:sz w:val="16"/>
        </w:rPr>
        <w:t xml:space="preserve">/day, for PFOA the TDI is 160 </w:t>
      </w:r>
      <w:proofErr w:type="spellStart"/>
      <w:r w:rsidRPr="002D5E0E">
        <w:rPr>
          <w:sz w:val="16"/>
        </w:rPr>
        <w:t>ng</w:t>
      </w:r>
      <w:proofErr w:type="spellEnd"/>
      <w:r w:rsidRPr="002D5E0E">
        <w:rPr>
          <w:sz w:val="16"/>
        </w:rPr>
        <w:t xml:space="preserve">/kg </w:t>
      </w:r>
      <w:proofErr w:type="spellStart"/>
      <w:r w:rsidRPr="002D5E0E">
        <w:rPr>
          <w:sz w:val="16"/>
        </w:rPr>
        <w:t>bw</w:t>
      </w:r>
      <w:proofErr w:type="spellEnd"/>
      <w:r w:rsidRPr="002D5E0E">
        <w:rPr>
          <w:sz w:val="16"/>
        </w:rPr>
        <w:t xml:space="preserve">/day. No separate TDI was recommended for </w:t>
      </w:r>
      <w:proofErr w:type="spellStart"/>
      <w:r w:rsidRPr="002D5E0E">
        <w:rPr>
          <w:sz w:val="16"/>
        </w:rPr>
        <w:t>PFHxS</w:t>
      </w:r>
      <w:proofErr w:type="spellEnd"/>
      <w:r w:rsidRPr="002D5E0E">
        <w:rPr>
          <w:sz w:val="16"/>
        </w:rPr>
        <w:t xml:space="preserve"> as there was not enough toxicological and epidemiological information, the TDI for PFOS is taken to cover </w:t>
      </w:r>
      <w:proofErr w:type="spellStart"/>
      <w:r w:rsidRPr="002D5E0E">
        <w:rPr>
          <w:sz w:val="16"/>
        </w:rPr>
        <w:t>PFHxS</w:t>
      </w:r>
      <w:proofErr w:type="spellEnd"/>
      <w:r w:rsidRPr="002D5E0E">
        <w:rPr>
          <w:sz w:val="16"/>
        </w:rPr>
        <w:t xml:space="preserve">, effectively meaning that </w:t>
      </w:r>
      <w:proofErr w:type="spellStart"/>
      <w:r w:rsidRPr="002D5E0E">
        <w:rPr>
          <w:sz w:val="16"/>
        </w:rPr>
        <w:t>PFHxS</w:t>
      </w:r>
      <w:proofErr w:type="spellEnd"/>
      <w:r w:rsidRPr="002D5E0E">
        <w:rPr>
          <w:sz w:val="16"/>
        </w:rPr>
        <w:t xml:space="preserve"> and PFOS exposure should be summed for the purpose of risk assessment (Supporting Document 1).</w:t>
      </w:r>
    </w:p>
  </w:footnote>
  <w:footnote w:id="4">
    <w:p w14:paraId="08D9367A" w14:textId="299FBDC4" w:rsidR="003B1D8B" w:rsidRPr="008F1E3A" w:rsidRDefault="003B1D8B">
      <w:pPr>
        <w:pStyle w:val="FootnoteText"/>
        <w:rPr>
          <w:lang w:val="en-AU"/>
        </w:rPr>
      </w:pPr>
      <w:r>
        <w:rPr>
          <w:rStyle w:val="FootnoteReference"/>
        </w:rPr>
        <w:footnoteRef/>
      </w:r>
      <w:r>
        <w:t xml:space="preserve"> </w:t>
      </w:r>
      <w:r w:rsidRPr="00B21E39">
        <w:t>The TMDE was calculated by summing the theoretical potential exposure from beverages and foods based on maximum physiological levels of food and beverage consumption</w:t>
      </w:r>
      <w:r>
        <w:t xml:space="preserve"> as</w:t>
      </w:r>
      <w:r w:rsidRPr="00B21E39">
        <w:t xml:space="preserve"> derived from the budget method (Hansen 1979), combined with analytical values and comparing it to the relevant health based guidance value.</w:t>
      </w:r>
    </w:p>
  </w:footnote>
  <w:footnote w:id="5">
    <w:p w14:paraId="38F30EF9" w14:textId="56634F6F" w:rsidR="003B1D8B" w:rsidRPr="00E963C0" w:rsidRDefault="003B1D8B" w:rsidP="006C5CEB">
      <w:pPr>
        <w:pStyle w:val="FootnoteText"/>
        <w:rPr>
          <w:lang w:val="en-AU"/>
        </w:rPr>
      </w:pPr>
      <w:r>
        <w:rPr>
          <w:rStyle w:val="FootnoteReference"/>
        </w:rPr>
        <w:footnoteRef/>
      </w:r>
      <w:r>
        <w:t xml:space="preserve"> </w:t>
      </w:r>
      <w:r>
        <w:rPr>
          <w:lang w:val="en-AU"/>
        </w:rPr>
        <w:t xml:space="preserve">The TMDE for PFOS was 0.00005 mg/kg </w:t>
      </w:r>
      <w:proofErr w:type="spellStart"/>
      <w:r>
        <w:rPr>
          <w:lang w:val="en-AU"/>
        </w:rPr>
        <w:t>bw</w:t>
      </w:r>
      <w:proofErr w:type="spellEnd"/>
      <w:r>
        <w:rPr>
          <w:lang w:val="en-AU"/>
        </w:rPr>
        <w:t xml:space="preserve">/day (50 </w:t>
      </w:r>
      <w:proofErr w:type="spellStart"/>
      <w:r>
        <w:rPr>
          <w:lang w:val="en-AU"/>
        </w:rPr>
        <w:t>ng</w:t>
      </w:r>
      <w:proofErr w:type="spellEnd"/>
      <w:r>
        <w:rPr>
          <w:lang w:val="en-AU"/>
        </w:rPr>
        <w:t xml:space="preserve">/kg </w:t>
      </w:r>
      <w:proofErr w:type="spellStart"/>
      <w:r>
        <w:rPr>
          <w:lang w:val="en-AU"/>
        </w:rPr>
        <w:t>bw</w:t>
      </w:r>
      <w:proofErr w:type="spellEnd"/>
      <w:r>
        <w:rPr>
          <w:lang w:val="en-AU"/>
        </w:rPr>
        <w:t xml:space="preserve">/day) at the maximum concentration detected assuming PFOS was present in 50% of all foods and beverages, 24th Australian Total Diet </w:t>
      </w:r>
      <w:r w:rsidRPr="006C5CEB">
        <w:rPr>
          <w:lang w:val="en-AU"/>
        </w:rPr>
        <w:t>Study</w:t>
      </w:r>
      <w:r>
        <w:rPr>
          <w:lang w:val="en-AU"/>
        </w:rPr>
        <w:t xml:space="preserve">, p34, Table 14 </w:t>
      </w:r>
      <w:hyperlink r:id="rId1" w:history="1">
        <w:r w:rsidRPr="00E918A2">
          <w:rPr>
            <w:rStyle w:val="Hyperlink"/>
            <w:lang w:val="en-AU"/>
          </w:rPr>
          <w:t>http://www.foodstandards.gov.au/publications/Documents/24th%20Total%20Diet%20Study_Phase%202.pdf</w:t>
        </w:r>
      </w:hyperlink>
    </w:p>
  </w:footnote>
  <w:footnote w:id="6">
    <w:p w14:paraId="04A94D7D" w14:textId="07BBD027" w:rsidR="003B1D8B" w:rsidRPr="00906BCE" w:rsidRDefault="003B1D8B" w:rsidP="00BD302A">
      <w:pPr>
        <w:pStyle w:val="FootnoteText"/>
        <w:rPr>
          <w:lang w:val="en-AU"/>
        </w:rPr>
      </w:pPr>
      <w:r>
        <w:rPr>
          <w:rStyle w:val="FootnoteReference"/>
        </w:rPr>
        <w:footnoteRef/>
      </w:r>
      <w:r>
        <w:t xml:space="preserve"> </w:t>
      </w:r>
      <w:r>
        <w:rPr>
          <w:lang w:val="en-AU"/>
        </w:rPr>
        <w:t xml:space="preserve">The definition of ‘occasionally consumed’ foods used by FSANZ is that the proportion of respondents consuming the food of interest is </w:t>
      </w:r>
      <w:r>
        <w:rPr>
          <w:rFonts w:cs="Arial"/>
          <w:lang w:val="en-AU"/>
        </w:rPr>
        <w:t>≤</w:t>
      </w:r>
      <w:r>
        <w:rPr>
          <w:lang w:val="en-AU"/>
        </w:rPr>
        <w:t xml:space="preserve">10%, based on Day 1 of the 24 hour recall data from a national nutrition survey.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73A9"/>
    <w:multiLevelType w:val="hybridMultilevel"/>
    <w:tmpl w:val="D13EBE06"/>
    <w:lvl w:ilvl="0" w:tplc="F54CFCBA">
      <w:start w:val="1"/>
      <w:numFmt w:val="decimal"/>
      <w:pStyle w:val="FSFigure"/>
      <w:lvlText w:val="Figur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E75E4C"/>
    <w:multiLevelType w:val="hybridMultilevel"/>
    <w:tmpl w:val="C30E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F409B"/>
    <w:multiLevelType w:val="hybridMultilevel"/>
    <w:tmpl w:val="98C652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
    <w:nsid w:val="26B9383B"/>
    <w:multiLevelType w:val="hybridMultilevel"/>
    <w:tmpl w:val="D0DE6DD8"/>
    <w:lvl w:ilvl="0" w:tplc="CACA53A4">
      <w:start w:val="1"/>
      <w:numFmt w:val="decimal"/>
      <w:pStyle w:val="FSFigure0"/>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401A33"/>
    <w:multiLevelType w:val="hybridMultilevel"/>
    <w:tmpl w:val="921A8076"/>
    <w:lvl w:ilvl="0" w:tplc="B0B21F9E">
      <w:start w:val="1"/>
      <w:numFmt w:val="decimal"/>
      <w:pStyle w:val="FSTableColumnRowheading"/>
      <w:lvlText w:val="Table %1."/>
      <w:lvlJc w:val="left"/>
      <w:pPr>
        <w:ind w:left="291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1C5243"/>
    <w:multiLevelType w:val="multilevel"/>
    <w:tmpl w:val="81063F7E"/>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128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57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24F6889"/>
    <w:multiLevelType w:val="hybridMultilevel"/>
    <w:tmpl w:val="2926E5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4129B6"/>
    <w:multiLevelType w:val="hybridMultilevel"/>
    <w:tmpl w:val="E9E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3F2A2A"/>
    <w:multiLevelType w:val="hybridMultilevel"/>
    <w:tmpl w:val="94E8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1E29E8"/>
    <w:multiLevelType w:val="hybridMultilevel"/>
    <w:tmpl w:val="A2C4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0"/>
  </w:num>
  <w:num w:numId="6">
    <w:abstractNumId w:val="4"/>
  </w:num>
  <w:num w:numId="7">
    <w:abstractNumId w:val="1"/>
  </w:num>
  <w:num w:numId="8">
    <w:abstractNumId w:val="6"/>
  </w:num>
  <w:num w:numId="9">
    <w:abstractNumId w:val="2"/>
  </w:num>
  <w:num w:numId="10">
    <w:abstractNumId w:val="7"/>
  </w:num>
  <w:num w:numId="11">
    <w:abstractNumId w:val="6"/>
  </w:num>
  <w:num w:numId="12">
    <w:abstractNumId w:val="6"/>
    <w:lvlOverride w:ilvl="0">
      <w:startOverride w:val="8"/>
    </w:lvlOverride>
    <w:lvlOverride w:ilvl="1">
      <w:startOverride w:val="2"/>
    </w:lvlOverride>
    <w:lvlOverride w:ilvl="2">
      <w:startOverride w:val="2"/>
    </w:lvlOverride>
    <w:lvlOverride w:ilvl="3">
      <w:startOverride w:val="1"/>
    </w:lvlOverride>
  </w:num>
  <w:num w:numId="13">
    <w:abstractNumId w:val="6"/>
    <w:lvlOverride w:ilvl="0">
      <w:startOverride w:val="8"/>
    </w:lvlOverride>
    <w:lvlOverride w:ilvl="1">
      <w:startOverride w:val="1"/>
    </w:lvlOverride>
    <w:lvlOverride w:ilvl="2">
      <w:startOverride w:val="6"/>
    </w:lvlOverride>
  </w:num>
  <w:num w:numId="14">
    <w:abstractNumId w:val="9"/>
  </w:num>
  <w:num w:numId="15">
    <w:abstractNumId w:val="6"/>
  </w:num>
  <w:num w:numId="16">
    <w:abstractNumId w:val="3"/>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en-GB"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oNotTrackFormatting/>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AD"/>
    <w:rsid w:val="00000283"/>
    <w:rsid w:val="00000746"/>
    <w:rsid w:val="00001DEC"/>
    <w:rsid w:val="00002967"/>
    <w:rsid w:val="0000542C"/>
    <w:rsid w:val="000077B5"/>
    <w:rsid w:val="0001223D"/>
    <w:rsid w:val="00014CBC"/>
    <w:rsid w:val="00014CF0"/>
    <w:rsid w:val="00015533"/>
    <w:rsid w:val="00015FCA"/>
    <w:rsid w:val="00016FB3"/>
    <w:rsid w:val="00022114"/>
    <w:rsid w:val="00022274"/>
    <w:rsid w:val="00022324"/>
    <w:rsid w:val="0002258A"/>
    <w:rsid w:val="00023371"/>
    <w:rsid w:val="00023730"/>
    <w:rsid w:val="00023B73"/>
    <w:rsid w:val="00025D10"/>
    <w:rsid w:val="000264EB"/>
    <w:rsid w:val="00026CA0"/>
    <w:rsid w:val="000317ED"/>
    <w:rsid w:val="00034F39"/>
    <w:rsid w:val="00035990"/>
    <w:rsid w:val="00037474"/>
    <w:rsid w:val="00041370"/>
    <w:rsid w:val="00041643"/>
    <w:rsid w:val="00041E6B"/>
    <w:rsid w:val="00043434"/>
    <w:rsid w:val="0004586C"/>
    <w:rsid w:val="00045EE1"/>
    <w:rsid w:val="00046B9A"/>
    <w:rsid w:val="00046BB4"/>
    <w:rsid w:val="0004710D"/>
    <w:rsid w:val="00047176"/>
    <w:rsid w:val="00047797"/>
    <w:rsid w:val="000505AE"/>
    <w:rsid w:val="00052C36"/>
    <w:rsid w:val="000537FB"/>
    <w:rsid w:val="0005525D"/>
    <w:rsid w:val="00055CB0"/>
    <w:rsid w:val="00057BB1"/>
    <w:rsid w:val="000608FF"/>
    <w:rsid w:val="00060DBD"/>
    <w:rsid w:val="000622E7"/>
    <w:rsid w:val="00066854"/>
    <w:rsid w:val="000669D4"/>
    <w:rsid w:val="00066D85"/>
    <w:rsid w:val="00075C0A"/>
    <w:rsid w:val="00081314"/>
    <w:rsid w:val="000832B9"/>
    <w:rsid w:val="000841A1"/>
    <w:rsid w:val="00092CB8"/>
    <w:rsid w:val="00095358"/>
    <w:rsid w:val="000964FC"/>
    <w:rsid w:val="0009699D"/>
    <w:rsid w:val="00097BC7"/>
    <w:rsid w:val="000A37C2"/>
    <w:rsid w:val="000A38F8"/>
    <w:rsid w:val="000B0CB7"/>
    <w:rsid w:val="000B113C"/>
    <w:rsid w:val="000B1197"/>
    <w:rsid w:val="000B18BA"/>
    <w:rsid w:val="000B1E49"/>
    <w:rsid w:val="000B1FBD"/>
    <w:rsid w:val="000B50A3"/>
    <w:rsid w:val="000B54D8"/>
    <w:rsid w:val="000B663E"/>
    <w:rsid w:val="000C00AA"/>
    <w:rsid w:val="000C36AB"/>
    <w:rsid w:val="000C3ABA"/>
    <w:rsid w:val="000C3F07"/>
    <w:rsid w:val="000C5BB0"/>
    <w:rsid w:val="000D272A"/>
    <w:rsid w:val="000D3298"/>
    <w:rsid w:val="000D397F"/>
    <w:rsid w:val="000D4113"/>
    <w:rsid w:val="000D4766"/>
    <w:rsid w:val="000D4835"/>
    <w:rsid w:val="000D56C5"/>
    <w:rsid w:val="000D7CD3"/>
    <w:rsid w:val="000D7E1A"/>
    <w:rsid w:val="000E0720"/>
    <w:rsid w:val="000E0FE6"/>
    <w:rsid w:val="000E1641"/>
    <w:rsid w:val="000E2A50"/>
    <w:rsid w:val="000F0905"/>
    <w:rsid w:val="000F2196"/>
    <w:rsid w:val="000F2B27"/>
    <w:rsid w:val="000F2C21"/>
    <w:rsid w:val="000F313F"/>
    <w:rsid w:val="000F48DB"/>
    <w:rsid w:val="000F60E5"/>
    <w:rsid w:val="0010051B"/>
    <w:rsid w:val="001010A8"/>
    <w:rsid w:val="00101B89"/>
    <w:rsid w:val="00105BC2"/>
    <w:rsid w:val="00107591"/>
    <w:rsid w:val="0011090C"/>
    <w:rsid w:val="00113716"/>
    <w:rsid w:val="00114DCB"/>
    <w:rsid w:val="00115423"/>
    <w:rsid w:val="001164E0"/>
    <w:rsid w:val="00116730"/>
    <w:rsid w:val="00121F84"/>
    <w:rsid w:val="00122278"/>
    <w:rsid w:val="00126888"/>
    <w:rsid w:val="001316E8"/>
    <w:rsid w:val="00134920"/>
    <w:rsid w:val="0013666C"/>
    <w:rsid w:val="001374BF"/>
    <w:rsid w:val="00140467"/>
    <w:rsid w:val="00141F58"/>
    <w:rsid w:val="001421D5"/>
    <w:rsid w:val="0014304F"/>
    <w:rsid w:val="00143ACE"/>
    <w:rsid w:val="0014461A"/>
    <w:rsid w:val="00145732"/>
    <w:rsid w:val="001467FC"/>
    <w:rsid w:val="00146C80"/>
    <w:rsid w:val="00152AF1"/>
    <w:rsid w:val="00156DEF"/>
    <w:rsid w:val="00160214"/>
    <w:rsid w:val="00160865"/>
    <w:rsid w:val="00161A23"/>
    <w:rsid w:val="00161D99"/>
    <w:rsid w:val="00163011"/>
    <w:rsid w:val="00164A1C"/>
    <w:rsid w:val="001652A9"/>
    <w:rsid w:val="00167F6B"/>
    <w:rsid w:val="00170138"/>
    <w:rsid w:val="001734EA"/>
    <w:rsid w:val="00174F9A"/>
    <w:rsid w:val="001756BF"/>
    <w:rsid w:val="00182BB3"/>
    <w:rsid w:val="0018340C"/>
    <w:rsid w:val="00184403"/>
    <w:rsid w:val="001858E6"/>
    <w:rsid w:val="00185F33"/>
    <w:rsid w:val="001867D3"/>
    <w:rsid w:val="0018728C"/>
    <w:rsid w:val="00190A05"/>
    <w:rsid w:val="00191770"/>
    <w:rsid w:val="00196A19"/>
    <w:rsid w:val="001A0516"/>
    <w:rsid w:val="001A2290"/>
    <w:rsid w:val="001A2CD0"/>
    <w:rsid w:val="001A546A"/>
    <w:rsid w:val="001A6AEC"/>
    <w:rsid w:val="001A7A44"/>
    <w:rsid w:val="001B36AD"/>
    <w:rsid w:val="001B596A"/>
    <w:rsid w:val="001B5F76"/>
    <w:rsid w:val="001C1387"/>
    <w:rsid w:val="001C15B1"/>
    <w:rsid w:val="001C30AE"/>
    <w:rsid w:val="001C4D62"/>
    <w:rsid w:val="001C4F11"/>
    <w:rsid w:val="001C5126"/>
    <w:rsid w:val="001C518C"/>
    <w:rsid w:val="001C5F63"/>
    <w:rsid w:val="001C6D99"/>
    <w:rsid w:val="001D1C0B"/>
    <w:rsid w:val="001D3312"/>
    <w:rsid w:val="001D354B"/>
    <w:rsid w:val="001D3A81"/>
    <w:rsid w:val="001D3E04"/>
    <w:rsid w:val="001D4D50"/>
    <w:rsid w:val="001D5B0C"/>
    <w:rsid w:val="001D6048"/>
    <w:rsid w:val="001D7732"/>
    <w:rsid w:val="001E1087"/>
    <w:rsid w:val="001E2565"/>
    <w:rsid w:val="001E2830"/>
    <w:rsid w:val="001E5EC9"/>
    <w:rsid w:val="001E6380"/>
    <w:rsid w:val="001E696B"/>
    <w:rsid w:val="001E6B13"/>
    <w:rsid w:val="001F2882"/>
    <w:rsid w:val="001F30EB"/>
    <w:rsid w:val="001F61C8"/>
    <w:rsid w:val="00200540"/>
    <w:rsid w:val="0020087A"/>
    <w:rsid w:val="00204360"/>
    <w:rsid w:val="00212249"/>
    <w:rsid w:val="00212BEF"/>
    <w:rsid w:val="002130E2"/>
    <w:rsid w:val="00215896"/>
    <w:rsid w:val="00216725"/>
    <w:rsid w:val="00217906"/>
    <w:rsid w:val="00221113"/>
    <w:rsid w:val="00221402"/>
    <w:rsid w:val="002232B1"/>
    <w:rsid w:val="002270B7"/>
    <w:rsid w:val="002302AC"/>
    <w:rsid w:val="00231A56"/>
    <w:rsid w:val="002330C0"/>
    <w:rsid w:val="00233A6B"/>
    <w:rsid w:val="00233EEE"/>
    <w:rsid w:val="002349CC"/>
    <w:rsid w:val="00234C31"/>
    <w:rsid w:val="002350D0"/>
    <w:rsid w:val="002358B6"/>
    <w:rsid w:val="0023602A"/>
    <w:rsid w:val="002429BD"/>
    <w:rsid w:val="00243C8F"/>
    <w:rsid w:val="0024456C"/>
    <w:rsid w:val="00244C42"/>
    <w:rsid w:val="00244E93"/>
    <w:rsid w:val="0024555B"/>
    <w:rsid w:val="002455C5"/>
    <w:rsid w:val="00247FAA"/>
    <w:rsid w:val="00255BAC"/>
    <w:rsid w:val="00260DBC"/>
    <w:rsid w:val="00262C73"/>
    <w:rsid w:val="00262E92"/>
    <w:rsid w:val="00263A28"/>
    <w:rsid w:val="00265777"/>
    <w:rsid w:val="0026587B"/>
    <w:rsid w:val="00265C35"/>
    <w:rsid w:val="00265DD6"/>
    <w:rsid w:val="00270A11"/>
    <w:rsid w:val="00270C9D"/>
    <w:rsid w:val="0027152E"/>
    <w:rsid w:val="00275E11"/>
    <w:rsid w:val="002766C3"/>
    <w:rsid w:val="00276937"/>
    <w:rsid w:val="002816C1"/>
    <w:rsid w:val="0028462F"/>
    <w:rsid w:val="00285E1B"/>
    <w:rsid w:val="00295124"/>
    <w:rsid w:val="00295EBF"/>
    <w:rsid w:val="002968B3"/>
    <w:rsid w:val="002A0DED"/>
    <w:rsid w:val="002A1CDB"/>
    <w:rsid w:val="002A1DB8"/>
    <w:rsid w:val="002A314B"/>
    <w:rsid w:val="002A31CA"/>
    <w:rsid w:val="002A427B"/>
    <w:rsid w:val="002B0666"/>
    <w:rsid w:val="002B2DCE"/>
    <w:rsid w:val="002B38E4"/>
    <w:rsid w:val="002C170B"/>
    <w:rsid w:val="002C275D"/>
    <w:rsid w:val="002C2D34"/>
    <w:rsid w:val="002C36A5"/>
    <w:rsid w:val="002C5F49"/>
    <w:rsid w:val="002C631E"/>
    <w:rsid w:val="002C7C52"/>
    <w:rsid w:val="002D3E5E"/>
    <w:rsid w:val="002D493E"/>
    <w:rsid w:val="002D5754"/>
    <w:rsid w:val="002D5E0E"/>
    <w:rsid w:val="002E1AF0"/>
    <w:rsid w:val="002E2393"/>
    <w:rsid w:val="002E2912"/>
    <w:rsid w:val="002E31A4"/>
    <w:rsid w:val="002E3D99"/>
    <w:rsid w:val="002E7589"/>
    <w:rsid w:val="002F074A"/>
    <w:rsid w:val="002F11FB"/>
    <w:rsid w:val="002F1FF0"/>
    <w:rsid w:val="002F3D5C"/>
    <w:rsid w:val="002F50E9"/>
    <w:rsid w:val="002F79D7"/>
    <w:rsid w:val="00302407"/>
    <w:rsid w:val="00302912"/>
    <w:rsid w:val="0030298C"/>
    <w:rsid w:val="003051CF"/>
    <w:rsid w:val="00306602"/>
    <w:rsid w:val="00307CD0"/>
    <w:rsid w:val="00310D39"/>
    <w:rsid w:val="00310F02"/>
    <w:rsid w:val="00313782"/>
    <w:rsid w:val="00313945"/>
    <w:rsid w:val="00315F1F"/>
    <w:rsid w:val="003165FC"/>
    <w:rsid w:val="00316F2C"/>
    <w:rsid w:val="00317679"/>
    <w:rsid w:val="00320B13"/>
    <w:rsid w:val="00321C73"/>
    <w:rsid w:val="00323BA4"/>
    <w:rsid w:val="003251FA"/>
    <w:rsid w:val="00326C4A"/>
    <w:rsid w:val="0033021F"/>
    <w:rsid w:val="00334DE5"/>
    <w:rsid w:val="00336C60"/>
    <w:rsid w:val="00336CD0"/>
    <w:rsid w:val="00336D35"/>
    <w:rsid w:val="00341D25"/>
    <w:rsid w:val="00342A1D"/>
    <w:rsid w:val="00342F02"/>
    <w:rsid w:val="00343D47"/>
    <w:rsid w:val="003440FF"/>
    <w:rsid w:val="0034555A"/>
    <w:rsid w:val="00346996"/>
    <w:rsid w:val="00347320"/>
    <w:rsid w:val="00347535"/>
    <w:rsid w:val="003502C9"/>
    <w:rsid w:val="00350FA5"/>
    <w:rsid w:val="00351048"/>
    <w:rsid w:val="00351DFF"/>
    <w:rsid w:val="0035248B"/>
    <w:rsid w:val="00355654"/>
    <w:rsid w:val="0035567C"/>
    <w:rsid w:val="003563BF"/>
    <w:rsid w:val="0035701C"/>
    <w:rsid w:val="0036088F"/>
    <w:rsid w:val="00361EB3"/>
    <w:rsid w:val="0036266F"/>
    <w:rsid w:val="003627D5"/>
    <w:rsid w:val="00362B57"/>
    <w:rsid w:val="003636B4"/>
    <w:rsid w:val="003649B6"/>
    <w:rsid w:val="00364E67"/>
    <w:rsid w:val="00366769"/>
    <w:rsid w:val="00366D42"/>
    <w:rsid w:val="00367B73"/>
    <w:rsid w:val="00371C25"/>
    <w:rsid w:val="00372484"/>
    <w:rsid w:val="00374D23"/>
    <w:rsid w:val="00375362"/>
    <w:rsid w:val="0037569A"/>
    <w:rsid w:val="00380A89"/>
    <w:rsid w:val="00383396"/>
    <w:rsid w:val="00384627"/>
    <w:rsid w:val="0038596E"/>
    <w:rsid w:val="003870EE"/>
    <w:rsid w:val="003900A1"/>
    <w:rsid w:val="00392B97"/>
    <w:rsid w:val="003961ED"/>
    <w:rsid w:val="0039700F"/>
    <w:rsid w:val="00397717"/>
    <w:rsid w:val="003A01FB"/>
    <w:rsid w:val="003A1365"/>
    <w:rsid w:val="003A19F4"/>
    <w:rsid w:val="003A237D"/>
    <w:rsid w:val="003A6A9B"/>
    <w:rsid w:val="003A6C77"/>
    <w:rsid w:val="003B0CB6"/>
    <w:rsid w:val="003B1D8B"/>
    <w:rsid w:val="003B1DDE"/>
    <w:rsid w:val="003B2FAC"/>
    <w:rsid w:val="003B750E"/>
    <w:rsid w:val="003C03A1"/>
    <w:rsid w:val="003C18B9"/>
    <w:rsid w:val="003C190F"/>
    <w:rsid w:val="003C3E3C"/>
    <w:rsid w:val="003C469B"/>
    <w:rsid w:val="003C65B1"/>
    <w:rsid w:val="003C70A0"/>
    <w:rsid w:val="003D09BB"/>
    <w:rsid w:val="003D159E"/>
    <w:rsid w:val="003D1D91"/>
    <w:rsid w:val="003D2DA7"/>
    <w:rsid w:val="003D38C9"/>
    <w:rsid w:val="003D4980"/>
    <w:rsid w:val="003D5706"/>
    <w:rsid w:val="003D68B2"/>
    <w:rsid w:val="003D6B71"/>
    <w:rsid w:val="003D7B4F"/>
    <w:rsid w:val="003D7B79"/>
    <w:rsid w:val="003D7D34"/>
    <w:rsid w:val="003D7E65"/>
    <w:rsid w:val="003E20EB"/>
    <w:rsid w:val="003E3414"/>
    <w:rsid w:val="003E3A5F"/>
    <w:rsid w:val="003E52C1"/>
    <w:rsid w:val="003E67F8"/>
    <w:rsid w:val="003F0167"/>
    <w:rsid w:val="003F0BE5"/>
    <w:rsid w:val="003F13A1"/>
    <w:rsid w:val="003F21D2"/>
    <w:rsid w:val="003F24A3"/>
    <w:rsid w:val="003F30FA"/>
    <w:rsid w:val="003F6336"/>
    <w:rsid w:val="003F7AAA"/>
    <w:rsid w:val="0040245B"/>
    <w:rsid w:val="00402AC0"/>
    <w:rsid w:val="004033E0"/>
    <w:rsid w:val="00404702"/>
    <w:rsid w:val="00410657"/>
    <w:rsid w:val="00414DA2"/>
    <w:rsid w:val="0041587A"/>
    <w:rsid w:val="00420CA4"/>
    <w:rsid w:val="00420FFA"/>
    <w:rsid w:val="00423A71"/>
    <w:rsid w:val="00423CBB"/>
    <w:rsid w:val="00427893"/>
    <w:rsid w:val="00430CDC"/>
    <w:rsid w:val="00431198"/>
    <w:rsid w:val="00440A8A"/>
    <w:rsid w:val="00441D77"/>
    <w:rsid w:val="00442870"/>
    <w:rsid w:val="00443F05"/>
    <w:rsid w:val="004442EC"/>
    <w:rsid w:val="00447177"/>
    <w:rsid w:val="004501FC"/>
    <w:rsid w:val="004526EA"/>
    <w:rsid w:val="0045396B"/>
    <w:rsid w:val="00453CD7"/>
    <w:rsid w:val="0045487C"/>
    <w:rsid w:val="00454C25"/>
    <w:rsid w:val="00455222"/>
    <w:rsid w:val="004570C5"/>
    <w:rsid w:val="004613BF"/>
    <w:rsid w:val="004613CA"/>
    <w:rsid w:val="00462EE0"/>
    <w:rsid w:val="00464859"/>
    <w:rsid w:val="004701CE"/>
    <w:rsid w:val="00470A6C"/>
    <w:rsid w:val="00474032"/>
    <w:rsid w:val="00481047"/>
    <w:rsid w:val="0048304D"/>
    <w:rsid w:val="00484180"/>
    <w:rsid w:val="00484BA5"/>
    <w:rsid w:val="00486619"/>
    <w:rsid w:val="00487EA0"/>
    <w:rsid w:val="00490D72"/>
    <w:rsid w:val="00493400"/>
    <w:rsid w:val="00497529"/>
    <w:rsid w:val="004A03B8"/>
    <w:rsid w:val="004A1E65"/>
    <w:rsid w:val="004A2D84"/>
    <w:rsid w:val="004A2D8D"/>
    <w:rsid w:val="004A2D98"/>
    <w:rsid w:val="004A5CC4"/>
    <w:rsid w:val="004A756F"/>
    <w:rsid w:val="004B079A"/>
    <w:rsid w:val="004B2644"/>
    <w:rsid w:val="004B68B9"/>
    <w:rsid w:val="004C06D9"/>
    <w:rsid w:val="004C181B"/>
    <w:rsid w:val="004C2D87"/>
    <w:rsid w:val="004C78B4"/>
    <w:rsid w:val="004C7DF5"/>
    <w:rsid w:val="004D1DB8"/>
    <w:rsid w:val="004D32B3"/>
    <w:rsid w:val="004D3868"/>
    <w:rsid w:val="004D47D9"/>
    <w:rsid w:val="004D6380"/>
    <w:rsid w:val="004D643C"/>
    <w:rsid w:val="004D6C19"/>
    <w:rsid w:val="004D720F"/>
    <w:rsid w:val="004D7932"/>
    <w:rsid w:val="004D7C73"/>
    <w:rsid w:val="004E007A"/>
    <w:rsid w:val="004E1EE4"/>
    <w:rsid w:val="004E3C15"/>
    <w:rsid w:val="004E40AF"/>
    <w:rsid w:val="004E50CB"/>
    <w:rsid w:val="004E637A"/>
    <w:rsid w:val="004E645E"/>
    <w:rsid w:val="004E6694"/>
    <w:rsid w:val="004E6731"/>
    <w:rsid w:val="004E7FD4"/>
    <w:rsid w:val="004F08DA"/>
    <w:rsid w:val="004F1FDF"/>
    <w:rsid w:val="004F6721"/>
    <w:rsid w:val="0051324D"/>
    <w:rsid w:val="005204F5"/>
    <w:rsid w:val="00520B31"/>
    <w:rsid w:val="00521EBB"/>
    <w:rsid w:val="005234B0"/>
    <w:rsid w:val="005246CB"/>
    <w:rsid w:val="00530B74"/>
    <w:rsid w:val="0053252C"/>
    <w:rsid w:val="00532892"/>
    <w:rsid w:val="00533A5D"/>
    <w:rsid w:val="00533CE7"/>
    <w:rsid w:val="00535CA0"/>
    <w:rsid w:val="0054036E"/>
    <w:rsid w:val="00544A77"/>
    <w:rsid w:val="00546F9E"/>
    <w:rsid w:val="005477ED"/>
    <w:rsid w:val="00553F26"/>
    <w:rsid w:val="0056120C"/>
    <w:rsid w:val="0056133C"/>
    <w:rsid w:val="00561C10"/>
    <w:rsid w:val="00564030"/>
    <w:rsid w:val="00564B91"/>
    <w:rsid w:val="0056567D"/>
    <w:rsid w:val="00567D39"/>
    <w:rsid w:val="005701ED"/>
    <w:rsid w:val="0057441C"/>
    <w:rsid w:val="00574496"/>
    <w:rsid w:val="00574FA3"/>
    <w:rsid w:val="005768FA"/>
    <w:rsid w:val="005811F5"/>
    <w:rsid w:val="0058169A"/>
    <w:rsid w:val="0058250E"/>
    <w:rsid w:val="005828AA"/>
    <w:rsid w:val="005833A7"/>
    <w:rsid w:val="00584E81"/>
    <w:rsid w:val="00587F9A"/>
    <w:rsid w:val="00593340"/>
    <w:rsid w:val="005938D0"/>
    <w:rsid w:val="00595194"/>
    <w:rsid w:val="005977CE"/>
    <w:rsid w:val="005A01CD"/>
    <w:rsid w:val="005A0BAC"/>
    <w:rsid w:val="005A1A57"/>
    <w:rsid w:val="005A3879"/>
    <w:rsid w:val="005A4838"/>
    <w:rsid w:val="005A6171"/>
    <w:rsid w:val="005A77DD"/>
    <w:rsid w:val="005A7E55"/>
    <w:rsid w:val="005B2AC6"/>
    <w:rsid w:val="005B46F3"/>
    <w:rsid w:val="005B578D"/>
    <w:rsid w:val="005C019D"/>
    <w:rsid w:val="005C0C0B"/>
    <w:rsid w:val="005C0F72"/>
    <w:rsid w:val="005C14B1"/>
    <w:rsid w:val="005C1837"/>
    <w:rsid w:val="005C1996"/>
    <w:rsid w:val="005C2068"/>
    <w:rsid w:val="005C3890"/>
    <w:rsid w:val="005C3B61"/>
    <w:rsid w:val="005C4C2C"/>
    <w:rsid w:val="005C4F1B"/>
    <w:rsid w:val="005D1385"/>
    <w:rsid w:val="005D2ADD"/>
    <w:rsid w:val="005D3216"/>
    <w:rsid w:val="005D3C62"/>
    <w:rsid w:val="005D4151"/>
    <w:rsid w:val="005D45D4"/>
    <w:rsid w:val="005D4785"/>
    <w:rsid w:val="005D7D65"/>
    <w:rsid w:val="005E09D3"/>
    <w:rsid w:val="005E0C63"/>
    <w:rsid w:val="005E2638"/>
    <w:rsid w:val="005E2C1C"/>
    <w:rsid w:val="005E7658"/>
    <w:rsid w:val="005F156C"/>
    <w:rsid w:val="005F1AA1"/>
    <w:rsid w:val="005F1B73"/>
    <w:rsid w:val="005F1C2A"/>
    <w:rsid w:val="005F22D2"/>
    <w:rsid w:val="005F25A0"/>
    <w:rsid w:val="005F35AC"/>
    <w:rsid w:val="005F5B16"/>
    <w:rsid w:val="0060063F"/>
    <w:rsid w:val="00601739"/>
    <w:rsid w:val="00603535"/>
    <w:rsid w:val="00606C84"/>
    <w:rsid w:val="00606CAB"/>
    <w:rsid w:val="00610415"/>
    <w:rsid w:val="00614EF7"/>
    <w:rsid w:val="006156F8"/>
    <w:rsid w:val="00620837"/>
    <w:rsid w:val="00624D73"/>
    <w:rsid w:val="00626397"/>
    <w:rsid w:val="00626B2B"/>
    <w:rsid w:val="006300BE"/>
    <w:rsid w:val="0063086E"/>
    <w:rsid w:val="00634988"/>
    <w:rsid w:val="00636CDC"/>
    <w:rsid w:val="00640A78"/>
    <w:rsid w:val="0064506B"/>
    <w:rsid w:val="0064744D"/>
    <w:rsid w:val="0065009B"/>
    <w:rsid w:val="006508DD"/>
    <w:rsid w:val="00651CC9"/>
    <w:rsid w:val="00652002"/>
    <w:rsid w:val="00654D51"/>
    <w:rsid w:val="006558F6"/>
    <w:rsid w:val="00657704"/>
    <w:rsid w:val="00662DD2"/>
    <w:rsid w:val="00662F25"/>
    <w:rsid w:val="006635AC"/>
    <w:rsid w:val="00666D6A"/>
    <w:rsid w:val="00667BBA"/>
    <w:rsid w:val="006724F6"/>
    <w:rsid w:val="00673385"/>
    <w:rsid w:val="006738CB"/>
    <w:rsid w:val="00674251"/>
    <w:rsid w:val="0067502C"/>
    <w:rsid w:val="0067656D"/>
    <w:rsid w:val="006770FD"/>
    <w:rsid w:val="006804C6"/>
    <w:rsid w:val="006807D8"/>
    <w:rsid w:val="00683300"/>
    <w:rsid w:val="006834C9"/>
    <w:rsid w:val="006839EA"/>
    <w:rsid w:val="00684F2C"/>
    <w:rsid w:val="00685988"/>
    <w:rsid w:val="00685A8C"/>
    <w:rsid w:val="006863E5"/>
    <w:rsid w:val="00687651"/>
    <w:rsid w:val="006A0CCF"/>
    <w:rsid w:val="006A34AF"/>
    <w:rsid w:val="006A39FE"/>
    <w:rsid w:val="006B034D"/>
    <w:rsid w:val="006B4BD0"/>
    <w:rsid w:val="006B587E"/>
    <w:rsid w:val="006B6900"/>
    <w:rsid w:val="006B7288"/>
    <w:rsid w:val="006C1C23"/>
    <w:rsid w:val="006C30D5"/>
    <w:rsid w:val="006C3AAA"/>
    <w:rsid w:val="006C3F28"/>
    <w:rsid w:val="006C5CEB"/>
    <w:rsid w:val="006C78B3"/>
    <w:rsid w:val="006D306E"/>
    <w:rsid w:val="006D31E9"/>
    <w:rsid w:val="006D473E"/>
    <w:rsid w:val="006D6983"/>
    <w:rsid w:val="006D710D"/>
    <w:rsid w:val="006D7978"/>
    <w:rsid w:val="006E0D3A"/>
    <w:rsid w:val="006E13F0"/>
    <w:rsid w:val="006E3E78"/>
    <w:rsid w:val="006E5017"/>
    <w:rsid w:val="006E660E"/>
    <w:rsid w:val="006F20DB"/>
    <w:rsid w:val="006F23D7"/>
    <w:rsid w:val="006F323F"/>
    <w:rsid w:val="006F3E19"/>
    <w:rsid w:val="006F4863"/>
    <w:rsid w:val="00700417"/>
    <w:rsid w:val="00701859"/>
    <w:rsid w:val="00702688"/>
    <w:rsid w:val="00702EE6"/>
    <w:rsid w:val="007052F5"/>
    <w:rsid w:val="007059FE"/>
    <w:rsid w:val="00706D43"/>
    <w:rsid w:val="00707B12"/>
    <w:rsid w:val="00710BF4"/>
    <w:rsid w:val="00712895"/>
    <w:rsid w:val="00712943"/>
    <w:rsid w:val="00712D24"/>
    <w:rsid w:val="007133ED"/>
    <w:rsid w:val="00714BD1"/>
    <w:rsid w:val="0071574C"/>
    <w:rsid w:val="00716635"/>
    <w:rsid w:val="00717009"/>
    <w:rsid w:val="00717D2C"/>
    <w:rsid w:val="007201F8"/>
    <w:rsid w:val="00720318"/>
    <w:rsid w:val="00720D29"/>
    <w:rsid w:val="00726934"/>
    <w:rsid w:val="00732609"/>
    <w:rsid w:val="00732AA7"/>
    <w:rsid w:val="00742618"/>
    <w:rsid w:val="00744E14"/>
    <w:rsid w:val="00752456"/>
    <w:rsid w:val="00753AB4"/>
    <w:rsid w:val="00755CFB"/>
    <w:rsid w:val="00756A7D"/>
    <w:rsid w:val="00762488"/>
    <w:rsid w:val="00764F6C"/>
    <w:rsid w:val="00765B52"/>
    <w:rsid w:val="007665A9"/>
    <w:rsid w:val="00767336"/>
    <w:rsid w:val="00771F11"/>
    <w:rsid w:val="0077297F"/>
    <w:rsid w:val="00773540"/>
    <w:rsid w:val="007818AE"/>
    <w:rsid w:val="00782128"/>
    <w:rsid w:val="00785FEA"/>
    <w:rsid w:val="00786E4F"/>
    <w:rsid w:val="007922FD"/>
    <w:rsid w:val="0079263E"/>
    <w:rsid w:val="007928AC"/>
    <w:rsid w:val="00793DE6"/>
    <w:rsid w:val="00794478"/>
    <w:rsid w:val="007960F1"/>
    <w:rsid w:val="007961D9"/>
    <w:rsid w:val="007A0D59"/>
    <w:rsid w:val="007A4A05"/>
    <w:rsid w:val="007A4A68"/>
    <w:rsid w:val="007A59B5"/>
    <w:rsid w:val="007A5AE2"/>
    <w:rsid w:val="007A760D"/>
    <w:rsid w:val="007B14CA"/>
    <w:rsid w:val="007B3CCA"/>
    <w:rsid w:val="007B5F95"/>
    <w:rsid w:val="007B7738"/>
    <w:rsid w:val="007C0F43"/>
    <w:rsid w:val="007C4D74"/>
    <w:rsid w:val="007C6009"/>
    <w:rsid w:val="007D2D8A"/>
    <w:rsid w:val="007D2DC5"/>
    <w:rsid w:val="007D60D0"/>
    <w:rsid w:val="007D708B"/>
    <w:rsid w:val="007D7C0F"/>
    <w:rsid w:val="007E19A8"/>
    <w:rsid w:val="007E557B"/>
    <w:rsid w:val="007F26C5"/>
    <w:rsid w:val="007F2775"/>
    <w:rsid w:val="007F5A60"/>
    <w:rsid w:val="007F61A3"/>
    <w:rsid w:val="007F61FB"/>
    <w:rsid w:val="007F6456"/>
    <w:rsid w:val="0080083A"/>
    <w:rsid w:val="00803A20"/>
    <w:rsid w:val="00803A2C"/>
    <w:rsid w:val="008048C8"/>
    <w:rsid w:val="00804C45"/>
    <w:rsid w:val="0080500C"/>
    <w:rsid w:val="0080752C"/>
    <w:rsid w:val="00807708"/>
    <w:rsid w:val="00810A78"/>
    <w:rsid w:val="008110E9"/>
    <w:rsid w:val="00814081"/>
    <w:rsid w:val="008148B3"/>
    <w:rsid w:val="008176E4"/>
    <w:rsid w:val="0082055E"/>
    <w:rsid w:val="008248D7"/>
    <w:rsid w:val="00826215"/>
    <w:rsid w:val="00827C5D"/>
    <w:rsid w:val="00830393"/>
    <w:rsid w:val="00830693"/>
    <w:rsid w:val="00833B3E"/>
    <w:rsid w:val="00833D5A"/>
    <w:rsid w:val="00837FCC"/>
    <w:rsid w:val="0084060D"/>
    <w:rsid w:val="008429FA"/>
    <w:rsid w:val="008431C8"/>
    <w:rsid w:val="00844CC1"/>
    <w:rsid w:val="00845119"/>
    <w:rsid w:val="008465DD"/>
    <w:rsid w:val="00846D5C"/>
    <w:rsid w:val="00847B74"/>
    <w:rsid w:val="00850CF7"/>
    <w:rsid w:val="008513E4"/>
    <w:rsid w:val="0085233D"/>
    <w:rsid w:val="0085485B"/>
    <w:rsid w:val="00854C19"/>
    <w:rsid w:val="00854C3E"/>
    <w:rsid w:val="00854CC8"/>
    <w:rsid w:val="00860EE7"/>
    <w:rsid w:val="008621ED"/>
    <w:rsid w:val="00864999"/>
    <w:rsid w:val="0086576C"/>
    <w:rsid w:val="0087026E"/>
    <w:rsid w:val="008716CB"/>
    <w:rsid w:val="00872BC7"/>
    <w:rsid w:val="00873587"/>
    <w:rsid w:val="008776D7"/>
    <w:rsid w:val="00877A81"/>
    <w:rsid w:val="00880039"/>
    <w:rsid w:val="008810B7"/>
    <w:rsid w:val="00883D09"/>
    <w:rsid w:val="00884A89"/>
    <w:rsid w:val="00887D17"/>
    <w:rsid w:val="008931F6"/>
    <w:rsid w:val="008951F3"/>
    <w:rsid w:val="00896024"/>
    <w:rsid w:val="00896263"/>
    <w:rsid w:val="00896A72"/>
    <w:rsid w:val="00897493"/>
    <w:rsid w:val="008A0CC2"/>
    <w:rsid w:val="008A18C2"/>
    <w:rsid w:val="008A1986"/>
    <w:rsid w:val="008A30A7"/>
    <w:rsid w:val="008A4D2C"/>
    <w:rsid w:val="008A74CB"/>
    <w:rsid w:val="008B2465"/>
    <w:rsid w:val="008B6221"/>
    <w:rsid w:val="008C1B33"/>
    <w:rsid w:val="008C2A78"/>
    <w:rsid w:val="008C53C2"/>
    <w:rsid w:val="008C55C6"/>
    <w:rsid w:val="008C5A9F"/>
    <w:rsid w:val="008C6F00"/>
    <w:rsid w:val="008C742E"/>
    <w:rsid w:val="008D2886"/>
    <w:rsid w:val="008D2ACE"/>
    <w:rsid w:val="008D3539"/>
    <w:rsid w:val="008D530D"/>
    <w:rsid w:val="008D5909"/>
    <w:rsid w:val="008D7035"/>
    <w:rsid w:val="008D7CE5"/>
    <w:rsid w:val="008E02A7"/>
    <w:rsid w:val="008E0AC7"/>
    <w:rsid w:val="008E1D95"/>
    <w:rsid w:val="008E2339"/>
    <w:rsid w:val="008E4DFD"/>
    <w:rsid w:val="008E5111"/>
    <w:rsid w:val="008E5AF5"/>
    <w:rsid w:val="008E618C"/>
    <w:rsid w:val="008E7672"/>
    <w:rsid w:val="008F1E3A"/>
    <w:rsid w:val="008F45C9"/>
    <w:rsid w:val="008F6C3D"/>
    <w:rsid w:val="008F7D80"/>
    <w:rsid w:val="00902410"/>
    <w:rsid w:val="009054B0"/>
    <w:rsid w:val="00906BCE"/>
    <w:rsid w:val="009110E5"/>
    <w:rsid w:val="00912B53"/>
    <w:rsid w:val="0092155A"/>
    <w:rsid w:val="00922CED"/>
    <w:rsid w:val="0092375E"/>
    <w:rsid w:val="00923EAF"/>
    <w:rsid w:val="00924E79"/>
    <w:rsid w:val="00927AB4"/>
    <w:rsid w:val="00930B6D"/>
    <w:rsid w:val="00932005"/>
    <w:rsid w:val="0093215A"/>
    <w:rsid w:val="009325FD"/>
    <w:rsid w:val="00934A69"/>
    <w:rsid w:val="00935023"/>
    <w:rsid w:val="00935622"/>
    <w:rsid w:val="009371A3"/>
    <w:rsid w:val="009408B0"/>
    <w:rsid w:val="00941ABC"/>
    <w:rsid w:val="00943D48"/>
    <w:rsid w:val="00943DAD"/>
    <w:rsid w:val="00945AE3"/>
    <w:rsid w:val="00946BAF"/>
    <w:rsid w:val="009527FF"/>
    <w:rsid w:val="00957371"/>
    <w:rsid w:val="00960346"/>
    <w:rsid w:val="00961123"/>
    <w:rsid w:val="009618FF"/>
    <w:rsid w:val="00961BBF"/>
    <w:rsid w:val="009626AB"/>
    <w:rsid w:val="00963046"/>
    <w:rsid w:val="0096314E"/>
    <w:rsid w:val="00965109"/>
    <w:rsid w:val="00966A4E"/>
    <w:rsid w:val="00966BC2"/>
    <w:rsid w:val="00970002"/>
    <w:rsid w:val="009705B3"/>
    <w:rsid w:val="00972CD3"/>
    <w:rsid w:val="00974AAF"/>
    <w:rsid w:val="00975CAD"/>
    <w:rsid w:val="00975EC2"/>
    <w:rsid w:val="0097663C"/>
    <w:rsid w:val="00976C85"/>
    <w:rsid w:val="009806A5"/>
    <w:rsid w:val="009817D5"/>
    <w:rsid w:val="00981BEE"/>
    <w:rsid w:val="00983799"/>
    <w:rsid w:val="00983ED1"/>
    <w:rsid w:val="00984802"/>
    <w:rsid w:val="0098619F"/>
    <w:rsid w:val="00987112"/>
    <w:rsid w:val="00987524"/>
    <w:rsid w:val="0099042C"/>
    <w:rsid w:val="00992F43"/>
    <w:rsid w:val="00995ABE"/>
    <w:rsid w:val="00996AF2"/>
    <w:rsid w:val="00997A68"/>
    <w:rsid w:val="00997E8E"/>
    <w:rsid w:val="009A14E0"/>
    <w:rsid w:val="009A2B47"/>
    <w:rsid w:val="009A2FB3"/>
    <w:rsid w:val="009A3DDD"/>
    <w:rsid w:val="009A4021"/>
    <w:rsid w:val="009A45FC"/>
    <w:rsid w:val="009A548B"/>
    <w:rsid w:val="009A560C"/>
    <w:rsid w:val="009A6789"/>
    <w:rsid w:val="009B193C"/>
    <w:rsid w:val="009B281F"/>
    <w:rsid w:val="009B3A6E"/>
    <w:rsid w:val="009C0234"/>
    <w:rsid w:val="009C0796"/>
    <w:rsid w:val="009C32DD"/>
    <w:rsid w:val="009C338C"/>
    <w:rsid w:val="009C435E"/>
    <w:rsid w:val="009C77EE"/>
    <w:rsid w:val="009D0797"/>
    <w:rsid w:val="009D6B30"/>
    <w:rsid w:val="009D6EFC"/>
    <w:rsid w:val="009E265A"/>
    <w:rsid w:val="009E77A5"/>
    <w:rsid w:val="009E7D80"/>
    <w:rsid w:val="009F13BB"/>
    <w:rsid w:val="009F3F26"/>
    <w:rsid w:val="009F506E"/>
    <w:rsid w:val="009F6055"/>
    <w:rsid w:val="009F688F"/>
    <w:rsid w:val="009F76E4"/>
    <w:rsid w:val="00A00669"/>
    <w:rsid w:val="00A10267"/>
    <w:rsid w:val="00A13052"/>
    <w:rsid w:val="00A16917"/>
    <w:rsid w:val="00A17256"/>
    <w:rsid w:val="00A22356"/>
    <w:rsid w:val="00A22B70"/>
    <w:rsid w:val="00A23426"/>
    <w:rsid w:val="00A23ECD"/>
    <w:rsid w:val="00A251D6"/>
    <w:rsid w:val="00A25B29"/>
    <w:rsid w:val="00A26F82"/>
    <w:rsid w:val="00A30445"/>
    <w:rsid w:val="00A304C7"/>
    <w:rsid w:val="00A33872"/>
    <w:rsid w:val="00A34942"/>
    <w:rsid w:val="00A34D30"/>
    <w:rsid w:val="00A35A11"/>
    <w:rsid w:val="00A41750"/>
    <w:rsid w:val="00A43577"/>
    <w:rsid w:val="00A4463D"/>
    <w:rsid w:val="00A44E86"/>
    <w:rsid w:val="00A46444"/>
    <w:rsid w:val="00A465E3"/>
    <w:rsid w:val="00A50456"/>
    <w:rsid w:val="00A51F56"/>
    <w:rsid w:val="00A53692"/>
    <w:rsid w:val="00A54E7F"/>
    <w:rsid w:val="00A55B16"/>
    <w:rsid w:val="00A57AE7"/>
    <w:rsid w:val="00A61175"/>
    <w:rsid w:val="00A63012"/>
    <w:rsid w:val="00A63F9F"/>
    <w:rsid w:val="00A648D8"/>
    <w:rsid w:val="00A64F39"/>
    <w:rsid w:val="00A74F18"/>
    <w:rsid w:val="00A75BE9"/>
    <w:rsid w:val="00A76222"/>
    <w:rsid w:val="00A77926"/>
    <w:rsid w:val="00A8076B"/>
    <w:rsid w:val="00A808E9"/>
    <w:rsid w:val="00A82F35"/>
    <w:rsid w:val="00A90009"/>
    <w:rsid w:val="00A91018"/>
    <w:rsid w:val="00A912D8"/>
    <w:rsid w:val="00A93BCD"/>
    <w:rsid w:val="00A94521"/>
    <w:rsid w:val="00A96AF4"/>
    <w:rsid w:val="00AA0143"/>
    <w:rsid w:val="00AA0C45"/>
    <w:rsid w:val="00AA0DF3"/>
    <w:rsid w:val="00AA17D4"/>
    <w:rsid w:val="00AA1C7A"/>
    <w:rsid w:val="00AA23AE"/>
    <w:rsid w:val="00AA28D8"/>
    <w:rsid w:val="00AA3441"/>
    <w:rsid w:val="00AA3E80"/>
    <w:rsid w:val="00AA4789"/>
    <w:rsid w:val="00AB1BD4"/>
    <w:rsid w:val="00AB1D2F"/>
    <w:rsid w:val="00AB224C"/>
    <w:rsid w:val="00AB2A70"/>
    <w:rsid w:val="00AB370D"/>
    <w:rsid w:val="00AB4A1F"/>
    <w:rsid w:val="00AB57BA"/>
    <w:rsid w:val="00AB6296"/>
    <w:rsid w:val="00AC4D7C"/>
    <w:rsid w:val="00AC5933"/>
    <w:rsid w:val="00AC5A9F"/>
    <w:rsid w:val="00AC7686"/>
    <w:rsid w:val="00AD0E0F"/>
    <w:rsid w:val="00AD247E"/>
    <w:rsid w:val="00AD28B5"/>
    <w:rsid w:val="00AD31D4"/>
    <w:rsid w:val="00AD43C8"/>
    <w:rsid w:val="00AD5E37"/>
    <w:rsid w:val="00AE1500"/>
    <w:rsid w:val="00AE1983"/>
    <w:rsid w:val="00AE37CE"/>
    <w:rsid w:val="00AE75ED"/>
    <w:rsid w:val="00AF0C3A"/>
    <w:rsid w:val="00AF1AF7"/>
    <w:rsid w:val="00AF2982"/>
    <w:rsid w:val="00AF4352"/>
    <w:rsid w:val="00AF435F"/>
    <w:rsid w:val="00AF45FA"/>
    <w:rsid w:val="00AF4749"/>
    <w:rsid w:val="00AF49E7"/>
    <w:rsid w:val="00AF49EF"/>
    <w:rsid w:val="00AF4A4E"/>
    <w:rsid w:val="00AF4B71"/>
    <w:rsid w:val="00AF7E01"/>
    <w:rsid w:val="00B031C9"/>
    <w:rsid w:val="00B04301"/>
    <w:rsid w:val="00B0494B"/>
    <w:rsid w:val="00B0645F"/>
    <w:rsid w:val="00B06C36"/>
    <w:rsid w:val="00B0792D"/>
    <w:rsid w:val="00B138AA"/>
    <w:rsid w:val="00B15C16"/>
    <w:rsid w:val="00B1758E"/>
    <w:rsid w:val="00B21E39"/>
    <w:rsid w:val="00B2388B"/>
    <w:rsid w:val="00B25205"/>
    <w:rsid w:val="00B31408"/>
    <w:rsid w:val="00B33451"/>
    <w:rsid w:val="00B33A7F"/>
    <w:rsid w:val="00B35540"/>
    <w:rsid w:val="00B35986"/>
    <w:rsid w:val="00B37C2C"/>
    <w:rsid w:val="00B418EC"/>
    <w:rsid w:val="00B42527"/>
    <w:rsid w:val="00B42D58"/>
    <w:rsid w:val="00B43BE2"/>
    <w:rsid w:val="00B44D43"/>
    <w:rsid w:val="00B45D79"/>
    <w:rsid w:val="00B469FC"/>
    <w:rsid w:val="00B47625"/>
    <w:rsid w:val="00B47A79"/>
    <w:rsid w:val="00B47BB7"/>
    <w:rsid w:val="00B5241E"/>
    <w:rsid w:val="00B53154"/>
    <w:rsid w:val="00B55785"/>
    <w:rsid w:val="00B55D49"/>
    <w:rsid w:val="00B6108F"/>
    <w:rsid w:val="00B6342F"/>
    <w:rsid w:val="00B649E3"/>
    <w:rsid w:val="00B660B4"/>
    <w:rsid w:val="00B72074"/>
    <w:rsid w:val="00B72350"/>
    <w:rsid w:val="00B730EF"/>
    <w:rsid w:val="00B82F7C"/>
    <w:rsid w:val="00B83085"/>
    <w:rsid w:val="00B832C2"/>
    <w:rsid w:val="00B85F4E"/>
    <w:rsid w:val="00B91336"/>
    <w:rsid w:val="00B94244"/>
    <w:rsid w:val="00B9631E"/>
    <w:rsid w:val="00B96ACC"/>
    <w:rsid w:val="00BA3990"/>
    <w:rsid w:val="00BA45F5"/>
    <w:rsid w:val="00BA6040"/>
    <w:rsid w:val="00BB3D1A"/>
    <w:rsid w:val="00BB76EF"/>
    <w:rsid w:val="00BC149A"/>
    <w:rsid w:val="00BC1526"/>
    <w:rsid w:val="00BC2133"/>
    <w:rsid w:val="00BC3A81"/>
    <w:rsid w:val="00BC4145"/>
    <w:rsid w:val="00BC544F"/>
    <w:rsid w:val="00BC6201"/>
    <w:rsid w:val="00BD2A17"/>
    <w:rsid w:val="00BD302A"/>
    <w:rsid w:val="00BD3445"/>
    <w:rsid w:val="00BD5CD4"/>
    <w:rsid w:val="00BE0355"/>
    <w:rsid w:val="00BE4825"/>
    <w:rsid w:val="00BE48B1"/>
    <w:rsid w:val="00BE4F3A"/>
    <w:rsid w:val="00BE5EBC"/>
    <w:rsid w:val="00BF0823"/>
    <w:rsid w:val="00BF154D"/>
    <w:rsid w:val="00BF26E7"/>
    <w:rsid w:val="00BF336C"/>
    <w:rsid w:val="00BF36BB"/>
    <w:rsid w:val="00BF60DF"/>
    <w:rsid w:val="00C019A6"/>
    <w:rsid w:val="00C02BCE"/>
    <w:rsid w:val="00C032D5"/>
    <w:rsid w:val="00C03AA7"/>
    <w:rsid w:val="00C04ED7"/>
    <w:rsid w:val="00C1071E"/>
    <w:rsid w:val="00C12AC1"/>
    <w:rsid w:val="00C12B2D"/>
    <w:rsid w:val="00C168B9"/>
    <w:rsid w:val="00C168CC"/>
    <w:rsid w:val="00C17323"/>
    <w:rsid w:val="00C25E2C"/>
    <w:rsid w:val="00C26397"/>
    <w:rsid w:val="00C267E5"/>
    <w:rsid w:val="00C274D0"/>
    <w:rsid w:val="00C32D5E"/>
    <w:rsid w:val="00C358AD"/>
    <w:rsid w:val="00C36FF8"/>
    <w:rsid w:val="00C42120"/>
    <w:rsid w:val="00C42529"/>
    <w:rsid w:val="00C42AB3"/>
    <w:rsid w:val="00C43654"/>
    <w:rsid w:val="00C437A3"/>
    <w:rsid w:val="00C451E5"/>
    <w:rsid w:val="00C4660B"/>
    <w:rsid w:val="00C50A77"/>
    <w:rsid w:val="00C52F02"/>
    <w:rsid w:val="00C545BF"/>
    <w:rsid w:val="00C5564B"/>
    <w:rsid w:val="00C572A2"/>
    <w:rsid w:val="00C648F6"/>
    <w:rsid w:val="00C654AD"/>
    <w:rsid w:val="00C66D88"/>
    <w:rsid w:val="00C71006"/>
    <w:rsid w:val="00C83905"/>
    <w:rsid w:val="00C84E84"/>
    <w:rsid w:val="00C87DE3"/>
    <w:rsid w:val="00C87F07"/>
    <w:rsid w:val="00C90233"/>
    <w:rsid w:val="00C90D48"/>
    <w:rsid w:val="00C92B92"/>
    <w:rsid w:val="00C92D8A"/>
    <w:rsid w:val="00C936AA"/>
    <w:rsid w:val="00C93810"/>
    <w:rsid w:val="00C95B95"/>
    <w:rsid w:val="00C96217"/>
    <w:rsid w:val="00C96330"/>
    <w:rsid w:val="00C96991"/>
    <w:rsid w:val="00C97DD8"/>
    <w:rsid w:val="00CA0EE2"/>
    <w:rsid w:val="00CA0F89"/>
    <w:rsid w:val="00CA26B6"/>
    <w:rsid w:val="00CA2DAD"/>
    <w:rsid w:val="00CA3ABB"/>
    <w:rsid w:val="00CA4519"/>
    <w:rsid w:val="00CA4D37"/>
    <w:rsid w:val="00CA4F27"/>
    <w:rsid w:val="00CA6B22"/>
    <w:rsid w:val="00CA6FAE"/>
    <w:rsid w:val="00CA79D3"/>
    <w:rsid w:val="00CB09B1"/>
    <w:rsid w:val="00CB2280"/>
    <w:rsid w:val="00CB61DA"/>
    <w:rsid w:val="00CC2C5D"/>
    <w:rsid w:val="00CC3830"/>
    <w:rsid w:val="00CC4486"/>
    <w:rsid w:val="00CC5201"/>
    <w:rsid w:val="00CC6DB2"/>
    <w:rsid w:val="00CC6E6F"/>
    <w:rsid w:val="00CC7A35"/>
    <w:rsid w:val="00CC7C5D"/>
    <w:rsid w:val="00CD134B"/>
    <w:rsid w:val="00CD17F8"/>
    <w:rsid w:val="00CD1A2E"/>
    <w:rsid w:val="00CD5191"/>
    <w:rsid w:val="00CD5975"/>
    <w:rsid w:val="00CE1CED"/>
    <w:rsid w:val="00CE22DD"/>
    <w:rsid w:val="00CE31CC"/>
    <w:rsid w:val="00CE36A1"/>
    <w:rsid w:val="00CE3B14"/>
    <w:rsid w:val="00CE3E20"/>
    <w:rsid w:val="00CE4A6F"/>
    <w:rsid w:val="00CE4F1C"/>
    <w:rsid w:val="00CE7832"/>
    <w:rsid w:val="00CF028E"/>
    <w:rsid w:val="00CF0355"/>
    <w:rsid w:val="00CF070B"/>
    <w:rsid w:val="00CF3657"/>
    <w:rsid w:val="00D00133"/>
    <w:rsid w:val="00D021AA"/>
    <w:rsid w:val="00D03406"/>
    <w:rsid w:val="00D03B2D"/>
    <w:rsid w:val="00D04536"/>
    <w:rsid w:val="00D04B6F"/>
    <w:rsid w:val="00D04C5D"/>
    <w:rsid w:val="00D07A60"/>
    <w:rsid w:val="00D07D80"/>
    <w:rsid w:val="00D11E70"/>
    <w:rsid w:val="00D13E2D"/>
    <w:rsid w:val="00D202FE"/>
    <w:rsid w:val="00D211F0"/>
    <w:rsid w:val="00D21C72"/>
    <w:rsid w:val="00D22131"/>
    <w:rsid w:val="00D22E60"/>
    <w:rsid w:val="00D25BAB"/>
    <w:rsid w:val="00D31B84"/>
    <w:rsid w:val="00D32030"/>
    <w:rsid w:val="00D33BE6"/>
    <w:rsid w:val="00D34E6F"/>
    <w:rsid w:val="00D35D34"/>
    <w:rsid w:val="00D373AD"/>
    <w:rsid w:val="00D42FE7"/>
    <w:rsid w:val="00D45325"/>
    <w:rsid w:val="00D5249B"/>
    <w:rsid w:val="00D5456D"/>
    <w:rsid w:val="00D5526B"/>
    <w:rsid w:val="00D5555E"/>
    <w:rsid w:val="00D57B9D"/>
    <w:rsid w:val="00D57C74"/>
    <w:rsid w:val="00D57DE4"/>
    <w:rsid w:val="00D61FDE"/>
    <w:rsid w:val="00D62B6D"/>
    <w:rsid w:val="00D66962"/>
    <w:rsid w:val="00D678BB"/>
    <w:rsid w:val="00D67C1E"/>
    <w:rsid w:val="00D70196"/>
    <w:rsid w:val="00D70617"/>
    <w:rsid w:val="00D808CE"/>
    <w:rsid w:val="00D815B5"/>
    <w:rsid w:val="00D81753"/>
    <w:rsid w:val="00D82ACC"/>
    <w:rsid w:val="00D84718"/>
    <w:rsid w:val="00D869CD"/>
    <w:rsid w:val="00D87462"/>
    <w:rsid w:val="00D87D9C"/>
    <w:rsid w:val="00D87EE3"/>
    <w:rsid w:val="00D90680"/>
    <w:rsid w:val="00D9154C"/>
    <w:rsid w:val="00D92B3B"/>
    <w:rsid w:val="00D93849"/>
    <w:rsid w:val="00D94DED"/>
    <w:rsid w:val="00D95E37"/>
    <w:rsid w:val="00D9776D"/>
    <w:rsid w:val="00DA1180"/>
    <w:rsid w:val="00DA183A"/>
    <w:rsid w:val="00DA20F0"/>
    <w:rsid w:val="00DA2E9A"/>
    <w:rsid w:val="00DA3E58"/>
    <w:rsid w:val="00DA58E5"/>
    <w:rsid w:val="00DA62CE"/>
    <w:rsid w:val="00DA770D"/>
    <w:rsid w:val="00DA7DED"/>
    <w:rsid w:val="00DB0970"/>
    <w:rsid w:val="00DB0C2E"/>
    <w:rsid w:val="00DB24C8"/>
    <w:rsid w:val="00DB2629"/>
    <w:rsid w:val="00DB3005"/>
    <w:rsid w:val="00DB5017"/>
    <w:rsid w:val="00DB7FE9"/>
    <w:rsid w:val="00DC272A"/>
    <w:rsid w:val="00DC64F7"/>
    <w:rsid w:val="00DD08E4"/>
    <w:rsid w:val="00DD3913"/>
    <w:rsid w:val="00DD40AB"/>
    <w:rsid w:val="00DD43B1"/>
    <w:rsid w:val="00DD6BED"/>
    <w:rsid w:val="00DE4473"/>
    <w:rsid w:val="00DE5872"/>
    <w:rsid w:val="00DE5EAC"/>
    <w:rsid w:val="00DE7AC7"/>
    <w:rsid w:val="00DF4A30"/>
    <w:rsid w:val="00DF5267"/>
    <w:rsid w:val="00DF58B4"/>
    <w:rsid w:val="00E00312"/>
    <w:rsid w:val="00E0050C"/>
    <w:rsid w:val="00E00555"/>
    <w:rsid w:val="00E005E3"/>
    <w:rsid w:val="00E00808"/>
    <w:rsid w:val="00E00B78"/>
    <w:rsid w:val="00E0139B"/>
    <w:rsid w:val="00E01DEF"/>
    <w:rsid w:val="00E03209"/>
    <w:rsid w:val="00E10031"/>
    <w:rsid w:val="00E10621"/>
    <w:rsid w:val="00E11353"/>
    <w:rsid w:val="00E1348D"/>
    <w:rsid w:val="00E137AB"/>
    <w:rsid w:val="00E177EA"/>
    <w:rsid w:val="00E2272E"/>
    <w:rsid w:val="00E2395E"/>
    <w:rsid w:val="00E23AA9"/>
    <w:rsid w:val="00E2450C"/>
    <w:rsid w:val="00E26D65"/>
    <w:rsid w:val="00E27602"/>
    <w:rsid w:val="00E279F5"/>
    <w:rsid w:val="00E3190F"/>
    <w:rsid w:val="00E32C47"/>
    <w:rsid w:val="00E33651"/>
    <w:rsid w:val="00E340B5"/>
    <w:rsid w:val="00E34EC4"/>
    <w:rsid w:val="00E35552"/>
    <w:rsid w:val="00E35BC2"/>
    <w:rsid w:val="00E4001E"/>
    <w:rsid w:val="00E40CED"/>
    <w:rsid w:val="00E41B0E"/>
    <w:rsid w:val="00E41E60"/>
    <w:rsid w:val="00E50302"/>
    <w:rsid w:val="00E509F8"/>
    <w:rsid w:val="00E53ACA"/>
    <w:rsid w:val="00E55203"/>
    <w:rsid w:val="00E5639F"/>
    <w:rsid w:val="00E60367"/>
    <w:rsid w:val="00E631F5"/>
    <w:rsid w:val="00E6711E"/>
    <w:rsid w:val="00E74BEA"/>
    <w:rsid w:val="00E77E20"/>
    <w:rsid w:val="00E904A9"/>
    <w:rsid w:val="00E91647"/>
    <w:rsid w:val="00E9211C"/>
    <w:rsid w:val="00E9222A"/>
    <w:rsid w:val="00E9409E"/>
    <w:rsid w:val="00E95E44"/>
    <w:rsid w:val="00E963C0"/>
    <w:rsid w:val="00E97C3B"/>
    <w:rsid w:val="00EA0089"/>
    <w:rsid w:val="00EA1D9E"/>
    <w:rsid w:val="00EA42B7"/>
    <w:rsid w:val="00EA611D"/>
    <w:rsid w:val="00EA6551"/>
    <w:rsid w:val="00EA7640"/>
    <w:rsid w:val="00EB042D"/>
    <w:rsid w:val="00EB3547"/>
    <w:rsid w:val="00EB3A8F"/>
    <w:rsid w:val="00EC11DF"/>
    <w:rsid w:val="00EC1AAB"/>
    <w:rsid w:val="00EC2820"/>
    <w:rsid w:val="00EC5776"/>
    <w:rsid w:val="00EC6233"/>
    <w:rsid w:val="00EC65E9"/>
    <w:rsid w:val="00EC72F0"/>
    <w:rsid w:val="00ED0448"/>
    <w:rsid w:val="00ED0C48"/>
    <w:rsid w:val="00ED1AC6"/>
    <w:rsid w:val="00ED1C36"/>
    <w:rsid w:val="00ED2090"/>
    <w:rsid w:val="00ED20DA"/>
    <w:rsid w:val="00ED210F"/>
    <w:rsid w:val="00ED2A8C"/>
    <w:rsid w:val="00ED2CC2"/>
    <w:rsid w:val="00ED4B3C"/>
    <w:rsid w:val="00ED6A53"/>
    <w:rsid w:val="00ED719A"/>
    <w:rsid w:val="00ED731C"/>
    <w:rsid w:val="00ED7719"/>
    <w:rsid w:val="00EE1195"/>
    <w:rsid w:val="00EE414D"/>
    <w:rsid w:val="00EE4F55"/>
    <w:rsid w:val="00EE5CF9"/>
    <w:rsid w:val="00EE6194"/>
    <w:rsid w:val="00EE6533"/>
    <w:rsid w:val="00EF1048"/>
    <w:rsid w:val="00EF3056"/>
    <w:rsid w:val="00F00F72"/>
    <w:rsid w:val="00F0153C"/>
    <w:rsid w:val="00F01EFB"/>
    <w:rsid w:val="00F02AC2"/>
    <w:rsid w:val="00F04DE3"/>
    <w:rsid w:val="00F05046"/>
    <w:rsid w:val="00F079F1"/>
    <w:rsid w:val="00F13413"/>
    <w:rsid w:val="00F148E7"/>
    <w:rsid w:val="00F20A05"/>
    <w:rsid w:val="00F2153B"/>
    <w:rsid w:val="00F22A40"/>
    <w:rsid w:val="00F26276"/>
    <w:rsid w:val="00F33717"/>
    <w:rsid w:val="00F365FE"/>
    <w:rsid w:val="00F36BAF"/>
    <w:rsid w:val="00F375CE"/>
    <w:rsid w:val="00F4105E"/>
    <w:rsid w:val="00F419CC"/>
    <w:rsid w:val="00F420C3"/>
    <w:rsid w:val="00F42495"/>
    <w:rsid w:val="00F43D46"/>
    <w:rsid w:val="00F447B5"/>
    <w:rsid w:val="00F45616"/>
    <w:rsid w:val="00F47AD6"/>
    <w:rsid w:val="00F501AD"/>
    <w:rsid w:val="00F51FC7"/>
    <w:rsid w:val="00F525EA"/>
    <w:rsid w:val="00F54A3E"/>
    <w:rsid w:val="00F55BA9"/>
    <w:rsid w:val="00F562C7"/>
    <w:rsid w:val="00F57F31"/>
    <w:rsid w:val="00F604B0"/>
    <w:rsid w:val="00F615C7"/>
    <w:rsid w:val="00F616DA"/>
    <w:rsid w:val="00F6181C"/>
    <w:rsid w:val="00F65982"/>
    <w:rsid w:val="00F66A34"/>
    <w:rsid w:val="00F70BC9"/>
    <w:rsid w:val="00F7175F"/>
    <w:rsid w:val="00F73092"/>
    <w:rsid w:val="00F73C4E"/>
    <w:rsid w:val="00F76B4A"/>
    <w:rsid w:val="00F76F95"/>
    <w:rsid w:val="00F80449"/>
    <w:rsid w:val="00F816FD"/>
    <w:rsid w:val="00F82205"/>
    <w:rsid w:val="00F8263B"/>
    <w:rsid w:val="00F86823"/>
    <w:rsid w:val="00F95C6F"/>
    <w:rsid w:val="00F9608C"/>
    <w:rsid w:val="00F9633E"/>
    <w:rsid w:val="00F97571"/>
    <w:rsid w:val="00F97936"/>
    <w:rsid w:val="00FA011E"/>
    <w:rsid w:val="00FA0CD8"/>
    <w:rsid w:val="00FA30AE"/>
    <w:rsid w:val="00FA77C9"/>
    <w:rsid w:val="00FC16C6"/>
    <w:rsid w:val="00FC212E"/>
    <w:rsid w:val="00FC2144"/>
    <w:rsid w:val="00FC4013"/>
    <w:rsid w:val="00FC40EB"/>
    <w:rsid w:val="00FC54E9"/>
    <w:rsid w:val="00FC62C9"/>
    <w:rsid w:val="00FD26B7"/>
    <w:rsid w:val="00FD3BEF"/>
    <w:rsid w:val="00FD448A"/>
    <w:rsid w:val="00FD4B8D"/>
    <w:rsid w:val="00FD59E1"/>
    <w:rsid w:val="00FD6FA1"/>
    <w:rsid w:val="00FE0C1C"/>
    <w:rsid w:val="00FE28F8"/>
    <w:rsid w:val="00FE2CD8"/>
    <w:rsid w:val="00FE3579"/>
    <w:rsid w:val="00FE4CD4"/>
    <w:rsid w:val="00FE6AF5"/>
    <w:rsid w:val="00FF09E5"/>
    <w:rsid w:val="00FF11D4"/>
    <w:rsid w:val="00FF2FE7"/>
    <w:rsid w:val="00FF385C"/>
    <w:rsid w:val="00FF55E9"/>
    <w:rsid w:val="00FF61B2"/>
    <w:rsid w:val="00FF6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A6171"/>
    <w:pPr>
      <w:spacing w:after="120" w:line="276" w:lineRule="auto"/>
    </w:pPr>
    <w:rPr>
      <w:rFonts w:cstheme="minorBidi"/>
      <w:lang w:val="en-GB"/>
    </w:rPr>
  </w:style>
  <w:style w:type="paragraph" w:styleId="Heading1">
    <w:name w:val="heading 1"/>
    <w:aliases w:val="FSHeading 1,Chapter heading"/>
    <w:basedOn w:val="Normal"/>
    <w:next w:val="Normal"/>
    <w:link w:val="Heading1Char"/>
    <w:uiPriority w:val="9"/>
    <w:qFormat/>
    <w:locked/>
    <w:rsid w:val="0087026E"/>
    <w:pPr>
      <w:keepNext/>
      <w:numPr>
        <w:numId w:val="8"/>
      </w:numPr>
      <w:spacing w:before="120" w:line="240" w:lineRule="auto"/>
      <w:ind w:left="431" w:hanging="431"/>
      <w:outlineLvl w:val="0"/>
    </w:pPr>
    <w:rPr>
      <w:rFonts w:ascii="Arial Bold" w:eastAsiaTheme="majorEastAsia" w:hAnsi="Arial Bold"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locked/>
    <w:rsid w:val="006635AC"/>
    <w:pPr>
      <w:keepNext/>
      <w:numPr>
        <w:ilvl w:val="1"/>
        <w:numId w:val="8"/>
      </w:numPr>
      <w:spacing w:before="120" w:line="240" w:lineRule="auto"/>
      <w:ind w:left="567" w:hanging="567"/>
      <w:contextualSpacing/>
      <w:outlineLvl w:val="1"/>
    </w:pPr>
    <w:rPr>
      <w:b/>
    </w:rPr>
  </w:style>
  <w:style w:type="paragraph" w:styleId="Heading3">
    <w:name w:val="heading 3"/>
    <w:aliases w:val="FSHeading 3,Subheading 1"/>
    <w:basedOn w:val="Normal"/>
    <w:next w:val="Normal"/>
    <w:link w:val="Heading3Char"/>
    <w:autoRedefine/>
    <w:uiPriority w:val="2"/>
    <w:unhideWhenUsed/>
    <w:qFormat/>
    <w:locked/>
    <w:rsid w:val="00A75BE9"/>
    <w:pPr>
      <w:keepNext/>
      <w:numPr>
        <w:ilvl w:val="2"/>
        <w:numId w:val="8"/>
      </w:numPr>
      <w:spacing w:before="120" w:line="240" w:lineRule="auto"/>
      <w:contextualSpacing/>
      <w:outlineLvl w:val="2"/>
    </w:pPr>
    <w:rPr>
      <w:rFonts w:eastAsiaTheme="majorEastAsia" w:cstheme="majorBidi"/>
      <w:b/>
      <w:bCs/>
      <w:i/>
      <w:szCs w:val="24"/>
      <w:lang w:eastAsia="en-AU"/>
    </w:rPr>
  </w:style>
  <w:style w:type="paragraph" w:styleId="Heading4">
    <w:name w:val="heading 4"/>
    <w:aliases w:val="FSHeading 4,Subheading 2"/>
    <w:basedOn w:val="Normal"/>
    <w:next w:val="Normal"/>
    <w:link w:val="Heading4Char"/>
    <w:uiPriority w:val="2"/>
    <w:unhideWhenUsed/>
    <w:qFormat/>
    <w:locked/>
    <w:rsid w:val="00A75BE9"/>
    <w:pPr>
      <w:keepNext/>
      <w:numPr>
        <w:ilvl w:val="3"/>
        <w:numId w:val="8"/>
      </w:numPr>
      <w:spacing w:before="120" w:line="240" w:lineRule="auto"/>
      <w:outlineLvl w:val="3"/>
    </w:pPr>
    <w:rPr>
      <w:rFonts w:eastAsiaTheme="majorEastAsia" w:cstheme="majorBidi"/>
      <w:bCs/>
      <w:i/>
      <w:iCs/>
    </w:rPr>
  </w:style>
  <w:style w:type="paragraph" w:styleId="Heading5">
    <w:name w:val="heading 5"/>
    <w:aliases w:val="FSHeading 5,Subheading 3"/>
    <w:basedOn w:val="Normal"/>
    <w:next w:val="Normal"/>
    <w:link w:val="Heading5Char"/>
    <w:uiPriority w:val="2"/>
    <w:unhideWhenUsed/>
    <w:qFormat/>
    <w:locked/>
    <w:rsid w:val="00404702"/>
    <w:pPr>
      <w:keepNext/>
      <w:numPr>
        <w:ilvl w:val="4"/>
        <w:numId w:val="8"/>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47403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03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03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87026E"/>
    <w:rPr>
      <w:rFonts w:ascii="Arial Bold" w:eastAsiaTheme="majorEastAsia" w:hAnsi="Arial Bold"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6635AC"/>
    <w:rPr>
      <w:rFonts w:cstheme="minorBidi"/>
      <w:b/>
      <w:lang w:val="en-GB"/>
    </w:rPr>
  </w:style>
  <w:style w:type="character" w:customStyle="1" w:styleId="Heading3Char">
    <w:name w:val="Heading 3 Char"/>
    <w:aliases w:val="FSHeading 3 Char,Subheading 1 Char"/>
    <w:basedOn w:val="DefaultParagraphFont"/>
    <w:link w:val="Heading3"/>
    <w:uiPriority w:val="2"/>
    <w:rsid w:val="00A75BE9"/>
    <w:rPr>
      <w:rFonts w:eastAsiaTheme="majorEastAsia" w:cstheme="majorBidi"/>
      <w:b/>
      <w:bCs/>
      <w:i/>
      <w:szCs w:val="24"/>
      <w:lang w:val="en-GB" w:eastAsia="en-AU"/>
    </w:rPr>
  </w:style>
  <w:style w:type="character" w:customStyle="1" w:styleId="Heading4Char">
    <w:name w:val="Heading 4 Char"/>
    <w:aliases w:val="FSHeading 4 Char,Subheading 2 Char"/>
    <w:basedOn w:val="DefaultParagraphFont"/>
    <w:link w:val="Heading4"/>
    <w:uiPriority w:val="2"/>
    <w:rsid w:val="00A75BE9"/>
    <w:rPr>
      <w:rFonts w:eastAsiaTheme="majorEastAsia" w:cstheme="majorBidi"/>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9A560C"/>
    <w:pPr>
      <w:spacing w:after="0" w:line="240" w:lineRule="auto"/>
      <w:contextualSpacing/>
    </w:pPr>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link w:val="FSTableColumnRowheadingChar"/>
    <w:uiPriority w:val="8"/>
    <w:qFormat/>
    <w:locked/>
    <w:rsid w:val="00C1071E"/>
    <w:pPr>
      <w:keepNext/>
      <w:numPr>
        <w:numId w:val="6"/>
      </w:numPr>
      <w:spacing w:before="120" w:line="240" w:lineRule="auto"/>
      <w:ind w:left="0" w:firstLine="0"/>
      <w:contextualSpacing/>
    </w:pPr>
    <w:rPr>
      <w:b/>
      <w:sz w:val="20"/>
      <w:szCs w:val="20"/>
    </w:rPr>
  </w:style>
  <w:style w:type="paragraph" w:customStyle="1" w:styleId="FSTableFigureHeading">
    <w:name w:val="FSTable/Figure Heading"/>
    <w:basedOn w:val="Normal"/>
    <w:uiPriority w:val="7"/>
    <w:qFormat/>
    <w:locked/>
    <w:rsid w:val="00404702"/>
    <w:pPr>
      <w:spacing w:before="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spacing w:after="120" w:line="276" w:lineRule="auto"/>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810B7"/>
    <w:rPr>
      <w:rFonts w:ascii="Tahoma" w:hAnsi="Tahoma" w:cs="Tahoma"/>
      <w:sz w:val="16"/>
      <w:szCs w:val="16"/>
    </w:rPr>
  </w:style>
  <w:style w:type="character" w:customStyle="1" w:styleId="BalloonTextChar">
    <w:name w:val="Balloon Text Char"/>
    <w:basedOn w:val="DefaultParagraphFont"/>
    <w:link w:val="BalloonText"/>
    <w:uiPriority w:val="99"/>
    <w:semiHidden/>
    <w:rsid w:val="008810B7"/>
    <w:rPr>
      <w:rFonts w:ascii="Tahoma" w:hAnsi="Tahoma" w:cs="Tahoma"/>
      <w:sz w:val="16"/>
      <w:szCs w:val="16"/>
      <w:lang w:val="en-GB"/>
    </w:rPr>
  </w:style>
  <w:style w:type="paragraph" w:styleId="Title">
    <w:name w:val="Title"/>
    <w:basedOn w:val="Normal"/>
    <w:next w:val="Normal"/>
    <w:link w:val="TitleChar"/>
    <w:uiPriority w:val="10"/>
    <w:rsid w:val="00624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73"/>
    <w:rPr>
      <w:rFonts w:asciiTheme="majorHAnsi" w:eastAsiaTheme="majorEastAsia" w:hAnsiTheme="majorHAnsi" w:cstheme="majorBidi"/>
      <w:color w:val="17365D" w:themeColor="text2" w:themeShade="BF"/>
      <w:spacing w:val="5"/>
      <w:kern w:val="28"/>
      <w:sz w:val="52"/>
      <w:szCs w:val="52"/>
      <w:lang w:val="en-GB"/>
    </w:rPr>
  </w:style>
  <w:style w:type="paragraph" w:customStyle="1" w:styleId="FSTitle">
    <w:name w:val="FS Title"/>
    <w:basedOn w:val="Normal"/>
    <w:link w:val="FSTitleChar"/>
    <w:qFormat/>
    <w:rsid w:val="00474032"/>
    <w:pPr>
      <w:spacing w:before="240" w:after="240"/>
    </w:pPr>
    <w:rPr>
      <w:spacing w:val="20"/>
      <w:sz w:val="44"/>
      <w:szCs w:val="44"/>
    </w:rPr>
  </w:style>
  <w:style w:type="paragraph" w:customStyle="1" w:styleId="FSSubtitle">
    <w:name w:val="FS Subtitle"/>
    <w:basedOn w:val="Normal"/>
    <w:link w:val="FSSubtitleChar"/>
    <w:qFormat/>
    <w:rsid w:val="004B079A"/>
    <w:pPr>
      <w:spacing w:before="120" w:after="240"/>
    </w:pPr>
    <w:rPr>
      <w:sz w:val="36"/>
      <w:szCs w:val="36"/>
    </w:rPr>
  </w:style>
  <w:style w:type="character" w:customStyle="1" w:styleId="FSTitleChar">
    <w:name w:val="FS Title Char"/>
    <w:basedOn w:val="DefaultParagraphFont"/>
    <w:link w:val="FSTitle"/>
    <w:rsid w:val="00474032"/>
    <w:rPr>
      <w:rFonts w:cstheme="minorBidi"/>
      <w:spacing w:val="20"/>
      <w:sz w:val="44"/>
      <w:szCs w:val="44"/>
      <w:lang w:val="en-GB"/>
    </w:rPr>
  </w:style>
  <w:style w:type="paragraph" w:styleId="TOCHeading">
    <w:name w:val="TOC Heading"/>
    <w:basedOn w:val="Heading1"/>
    <w:next w:val="Normal"/>
    <w:uiPriority w:val="39"/>
    <w:semiHidden/>
    <w:unhideWhenUsed/>
    <w:qFormat/>
    <w:rsid w:val="004B079A"/>
    <w:pPr>
      <w:keepLines/>
      <w:spacing w:before="480" w:after="0"/>
      <w:outlineLvl w:val="9"/>
    </w:pPr>
    <w:rPr>
      <w:rFonts w:asciiTheme="majorHAnsi" w:hAnsiTheme="majorHAnsi"/>
      <w:color w:val="365F91" w:themeColor="accent1" w:themeShade="BF"/>
      <w:sz w:val="28"/>
      <w:lang w:val="en-US" w:eastAsia="ja-JP"/>
    </w:rPr>
  </w:style>
  <w:style w:type="character" w:customStyle="1" w:styleId="FSSubtitleChar">
    <w:name w:val="FS Subtitle Char"/>
    <w:basedOn w:val="DefaultParagraphFont"/>
    <w:link w:val="FSSubtitle"/>
    <w:rsid w:val="004B079A"/>
    <w:rPr>
      <w:rFonts w:cstheme="minorBidi"/>
      <w:sz w:val="36"/>
      <w:szCs w:val="36"/>
      <w:lang w:val="en-GB"/>
    </w:rPr>
  </w:style>
  <w:style w:type="paragraph" w:styleId="TOC1">
    <w:name w:val="toc 1"/>
    <w:basedOn w:val="Normal"/>
    <w:next w:val="Normal"/>
    <w:autoRedefine/>
    <w:uiPriority w:val="39"/>
    <w:unhideWhenUsed/>
    <w:qFormat/>
    <w:rsid w:val="005833A7"/>
    <w:pPr>
      <w:spacing w:before="120"/>
    </w:pPr>
    <w:rPr>
      <w:rFonts w:asciiTheme="minorHAnsi" w:hAnsiTheme="minorHAnsi"/>
      <w:b/>
      <w:bCs/>
      <w:caps/>
      <w:sz w:val="20"/>
      <w:szCs w:val="20"/>
    </w:rPr>
  </w:style>
  <w:style w:type="paragraph" w:styleId="TOC2">
    <w:name w:val="toc 2"/>
    <w:basedOn w:val="Normal"/>
    <w:next w:val="Normal"/>
    <w:autoRedefine/>
    <w:uiPriority w:val="39"/>
    <w:unhideWhenUsed/>
    <w:qFormat/>
    <w:rsid w:val="004B079A"/>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4B079A"/>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4B079A"/>
    <w:rPr>
      <w:color w:val="0000FF" w:themeColor="hyperlink"/>
      <w:u w:val="single"/>
    </w:rPr>
  </w:style>
  <w:style w:type="table" w:styleId="LightList-Accent1">
    <w:name w:val="Light List Accent 1"/>
    <w:basedOn w:val="TableNormal"/>
    <w:uiPriority w:val="61"/>
    <w:rsid w:val="00B21E39"/>
    <w:pPr>
      <w:spacing w:after="120" w:line="276"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41B0E"/>
    <w:pPr>
      <w:spacing w:after="12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C3F28"/>
    <w:pPr>
      <w:spacing w:after="120" w:line="276"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970002"/>
    <w:pPr>
      <w:spacing w:after="120" w:line="276"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D210F"/>
    <w:pPr>
      <w:spacing w:after="120" w:line="276"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tblHead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A77926"/>
    <w:pPr>
      <w:spacing w:after="120" w:line="276"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6567D"/>
    <w:rPr>
      <w:color w:val="800080" w:themeColor="followedHyperlink"/>
      <w:u w:val="single"/>
    </w:rPr>
  </w:style>
  <w:style w:type="paragraph" w:customStyle="1" w:styleId="reference">
    <w:name w:val="reference"/>
    <w:basedOn w:val="Normal"/>
    <w:link w:val="referenceChar"/>
    <w:qFormat/>
    <w:rsid w:val="0079263E"/>
    <w:pPr>
      <w:spacing w:before="100" w:beforeAutospacing="1" w:after="100" w:afterAutospacing="1"/>
    </w:pPr>
  </w:style>
  <w:style w:type="character" w:customStyle="1" w:styleId="referenceChar">
    <w:name w:val="reference Char"/>
    <w:basedOn w:val="DefaultParagraphFont"/>
    <w:link w:val="reference"/>
    <w:rsid w:val="0079263E"/>
    <w:rPr>
      <w:rFonts w:cstheme="minorBidi"/>
      <w:lang w:val="en-GB"/>
    </w:rPr>
  </w:style>
  <w:style w:type="character" w:styleId="CommentReference">
    <w:name w:val="annotation reference"/>
    <w:basedOn w:val="DefaultParagraphFont"/>
    <w:uiPriority w:val="99"/>
    <w:semiHidden/>
    <w:unhideWhenUsed/>
    <w:rsid w:val="002F79D7"/>
    <w:rPr>
      <w:sz w:val="16"/>
      <w:szCs w:val="16"/>
    </w:rPr>
  </w:style>
  <w:style w:type="paragraph" w:styleId="CommentText">
    <w:name w:val="annotation text"/>
    <w:basedOn w:val="Normal"/>
    <w:link w:val="CommentTextChar"/>
    <w:uiPriority w:val="99"/>
    <w:semiHidden/>
    <w:unhideWhenUsed/>
    <w:rsid w:val="002F79D7"/>
    <w:rPr>
      <w:sz w:val="20"/>
      <w:szCs w:val="20"/>
    </w:rPr>
  </w:style>
  <w:style w:type="character" w:customStyle="1" w:styleId="CommentTextChar">
    <w:name w:val="Comment Text Char"/>
    <w:basedOn w:val="DefaultParagraphFont"/>
    <w:link w:val="CommentText"/>
    <w:uiPriority w:val="99"/>
    <w:semiHidden/>
    <w:rsid w:val="002F79D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2F79D7"/>
    <w:rPr>
      <w:b/>
      <w:bCs/>
    </w:rPr>
  </w:style>
  <w:style w:type="character" w:customStyle="1" w:styleId="CommentSubjectChar">
    <w:name w:val="Comment Subject Char"/>
    <w:basedOn w:val="CommentTextChar"/>
    <w:link w:val="CommentSubject"/>
    <w:uiPriority w:val="99"/>
    <w:semiHidden/>
    <w:rsid w:val="002F79D7"/>
    <w:rPr>
      <w:rFonts w:cstheme="minorBidi"/>
      <w:b/>
      <w:bCs/>
      <w:sz w:val="20"/>
      <w:szCs w:val="20"/>
      <w:lang w:val="en-GB"/>
    </w:rPr>
  </w:style>
  <w:style w:type="character" w:styleId="FootnoteReference">
    <w:name w:val="footnote reference"/>
    <w:basedOn w:val="DefaultParagraphFont"/>
    <w:uiPriority w:val="99"/>
    <w:semiHidden/>
    <w:unhideWhenUsed/>
    <w:rsid w:val="002C170B"/>
    <w:rPr>
      <w:vertAlign w:val="superscript"/>
    </w:rPr>
  </w:style>
  <w:style w:type="character" w:styleId="HTMLCite">
    <w:name w:val="HTML Cite"/>
    <w:basedOn w:val="DefaultParagraphFont"/>
    <w:uiPriority w:val="99"/>
    <w:semiHidden/>
    <w:unhideWhenUsed/>
    <w:rsid w:val="000537FB"/>
    <w:rPr>
      <w:i/>
      <w:iCs/>
    </w:rPr>
  </w:style>
  <w:style w:type="table" w:customStyle="1" w:styleId="LightList-Accent11">
    <w:name w:val="Light List - Accent 11"/>
    <w:basedOn w:val="TableNormal"/>
    <w:next w:val="LightList-Accent1"/>
    <w:uiPriority w:val="61"/>
    <w:rsid w:val="00BA3990"/>
    <w:pPr>
      <w:spacing w:after="120" w:line="276"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7Char">
    <w:name w:val="Heading 7 Char"/>
    <w:basedOn w:val="DefaultParagraphFont"/>
    <w:link w:val="Heading7"/>
    <w:uiPriority w:val="9"/>
    <w:semiHidden/>
    <w:rsid w:val="00474032"/>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47403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474032"/>
    <w:rPr>
      <w:rFonts w:asciiTheme="majorHAnsi" w:eastAsiaTheme="majorEastAsia" w:hAnsiTheme="majorHAnsi" w:cstheme="majorBidi"/>
      <w:i/>
      <w:iCs/>
      <w:color w:val="404040" w:themeColor="text1" w:themeTint="BF"/>
      <w:sz w:val="20"/>
      <w:szCs w:val="20"/>
      <w:lang w:val="en-GB"/>
    </w:rPr>
  </w:style>
  <w:style w:type="paragraph" w:styleId="TableofFigures">
    <w:name w:val="table of figures"/>
    <w:basedOn w:val="Normal"/>
    <w:next w:val="Normal"/>
    <w:uiPriority w:val="99"/>
    <w:semiHidden/>
    <w:unhideWhenUsed/>
    <w:rsid w:val="00DE4473"/>
  </w:style>
  <w:style w:type="paragraph" w:styleId="TOC9">
    <w:name w:val="toc 9"/>
    <w:basedOn w:val="Normal"/>
    <w:next w:val="Normal"/>
    <w:autoRedefine/>
    <w:uiPriority w:val="39"/>
    <w:unhideWhenUsed/>
    <w:rsid w:val="00DE4473"/>
    <w:pPr>
      <w:spacing w:after="0"/>
      <w:ind w:left="1760"/>
    </w:pPr>
    <w:rPr>
      <w:rFonts w:asciiTheme="minorHAnsi" w:hAnsiTheme="minorHAnsi"/>
      <w:sz w:val="18"/>
      <w:szCs w:val="18"/>
    </w:rPr>
  </w:style>
  <w:style w:type="paragraph" w:customStyle="1" w:styleId="CrossReference">
    <w:name w:val="Cross Reference"/>
    <w:basedOn w:val="Normal"/>
    <w:next w:val="Normal"/>
    <w:link w:val="CrossReferenceChar"/>
    <w:autoRedefine/>
    <w:qFormat/>
    <w:rsid w:val="00447177"/>
    <w:rPr>
      <w:color w:val="0000FF"/>
      <w:u w:val="single"/>
      <w:lang w:eastAsia="en-GB"/>
    </w:rPr>
  </w:style>
  <w:style w:type="character" w:customStyle="1" w:styleId="CrossReferenceChar">
    <w:name w:val="Cross Reference Char"/>
    <w:basedOn w:val="DefaultParagraphFont"/>
    <w:link w:val="CrossReference"/>
    <w:rsid w:val="00447177"/>
    <w:rPr>
      <w:rFonts w:cstheme="minorBidi"/>
      <w:color w:val="0000FF"/>
      <w:u w:val="single"/>
      <w:lang w:val="en-GB" w:eastAsia="en-GB"/>
    </w:rPr>
  </w:style>
  <w:style w:type="paragraph" w:customStyle="1" w:styleId="TableFoot">
    <w:name w:val="TableFoot"/>
    <w:basedOn w:val="Normal"/>
    <w:link w:val="TableFootChar"/>
    <w:qFormat/>
    <w:rsid w:val="002302AC"/>
    <w:pPr>
      <w:spacing w:after="0" w:line="240" w:lineRule="auto"/>
      <w:contextualSpacing/>
    </w:pPr>
    <w:rPr>
      <w:sz w:val="16"/>
      <w:szCs w:val="16"/>
    </w:rPr>
  </w:style>
  <w:style w:type="character" w:customStyle="1" w:styleId="TableFootChar">
    <w:name w:val="TableFoot Char"/>
    <w:basedOn w:val="DefaultParagraphFont"/>
    <w:link w:val="TableFoot"/>
    <w:rsid w:val="002302AC"/>
    <w:rPr>
      <w:rFonts w:cstheme="minorBidi"/>
      <w:sz w:val="16"/>
      <w:szCs w:val="16"/>
      <w:lang w:val="en-GB"/>
    </w:rPr>
  </w:style>
  <w:style w:type="paragraph" w:customStyle="1" w:styleId="FSFigure0">
    <w:name w:val="FS Figure"/>
    <w:basedOn w:val="FSTableColumnRowheading"/>
    <w:link w:val="FSFigureChar"/>
    <w:qFormat/>
    <w:rsid w:val="00302407"/>
    <w:pPr>
      <w:numPr>
        <w:numId w:val="16"/>
      </w:numPr>
    </w:pPr>
  </w:style>
  <w:style w:type="character" w:customStyle="1" w:styleId="FSTableColumnRowheadingChar">
    <w:name w:val="FSTable Column/Row heading Char"/>
    <w:basedOn w:val="DefaultParagraphFont"/>
    <w:link w:val="FSTableColumnRowheading"/>
    <w:uiPriority w:val="8"/>
    <w:rsid w:val="00302407"/>
    <w:rPr>
      <w:rFonts w:cstheme="minorBidi"/>
      <w:b/>
      <w:sz w:val="20"/>
      <w:szCs w:val="20"/>
      <w:lang w:val="en-GB"/>
    </w:rPr>
  </w:style>
  <w:style w:type="character" w:customStyle="1" w:styleId="FSFigureChar">
    <w:name w:val="FS Figure Char"/>
    <w:basedOn w:val="FSTableColumnRowheadingChar"/>
    <w:link w:val="FSFigure0"/>
    <w:rsid w:val="00302407"/>
    <w:rPr>
      <w:rFonts w:cstheme="minorBidi"/>
      <w:b/>
      <w:sz w:val="20"/>
      <w:szCs w:val="20"/>
      <w:lang w:val="en-GB"/>
    </w:rPr>
  </w:style>
  <w:style w:type="paragraph" w:customStyle="1" w:styleId="FSFigure">
    <w:name w:val="FSFigure"/>
    <w:basedOn w:val="FSTableColumnRowheading"/>
    <w:link w:val="FSFigureChar0"/>
    <w:qFormat/>
    <w:rsid w:val="0067656D"/>
    <w:pPr>
      <w:numPr>
        <w:numId w:val="17"/>
      </w:numPr>
    </w:pPr>
  </w:style>
  <w:style w:type="character" w:customStyle="1" w:styleId="FSFigureChar0">
    <w:name w:val="FSFigure Char"/>
    <w:basedOn w:val="FSTableColumnRowheadingChar"/>
    <w:link w:val="FSFigure"/>
    <w:rsid w:val="0067656D"/>
    <w:rPr>
      <w:rFonts w:cstheme="minorBidi"/>
      <w:b/>
      <w:sz w:val="20"/>
      <w:szCs w:val="20"/>
      <w:lang w:val="en-GB"/>
    </w:rPr>
  </w:style>
  <w:style w:type="paragraph" w:styleId="Revision">
    <w:name w:val="Revision"/>
    <w:hidden/>
    <w:uiPriority w:val="99"/>
    <w:semiHidden/>
    <w:rsid w:val="000505AE"/>
    <w:rPr>
      <w:rFonts w:cstheme="minorBidi"/>
      <w:lang w:val="en-GB"/>
    </w:rPr>
  </w:style>
  <w:style w:type="paragraph" w:styleId="TOC4">
    <w:name w:val="toc 4"/>
    <w:basedOn w:val="Normal"/>
    <w:next w:val="Normal"/>
    <w:autoRedefine/>
    <w:uiPriority w:val="39"/>
    <w:unhideWhenUsed/>
    <w:rsid w:val="003961ED"/>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961ED"/>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3961ED"/>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3961ED"/>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961ED"/>
    <w:pPr>
      <w:spacing w:after="0"/>
      <w:ind w:left="1540"/>
    </w:pPr>
    <w:rPr>
      <w:rFonts w:asciiTheme="minorHAnsi" w:hAnsiTheme="minorHAnsi"/>
      <w:sz w:val="18"/>
      <w:szCs w:val="18"/>
    </w:rPr>
  </w:style>
  <w:style w:type="character" w:styleId="PageNumber">
    <w:name w:val="page number"/>
    <w:basedOn w:val="DefaultParagraphFont"/>
    <w:uiPriority w:val="99"/>
    <w:rsid w:val="005A0BAC"/>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A6171"/>
    <w:pPr>
      <w:spacing w:after="120" w:line="276" w:lineRule="auto"/>
    </w:pPr>
    <w:rPr>
      <w:rFonts w:cstheme="minorBidi"/>
      <w:lang w:val="en-GB"/>
    </w:rPr>
  </w:style>
  <w:style w:type="paragraph" w:styleId="Heading1">
    <w:name w:val="heading 1"/>
    <w:aliases w:val="FSHeading 1,Chapter heading"/>
    <w:basedOn w:val="Normal"/>
    <w:next w:val="Normal"/>
    <w:link w:val="Heading1Char"/>
    <w:uiPriority w:val="9"/>
    <w:qFormat/>
    <w:locked/>
    <w:rsid w:val="0087026E"/>
    <w:pPr>
      <w:keepNext/>
      <w:numPr>
        <w:numId w:val="8"/>
      </w:numPr>
      <w:spacing w:before="120" w:line="240" w:lineRule="auto"/>
      <w:ind w:left="431" w:hanging="431"/>
      <w:outlineLvl w:val="0"/>
    </w:pPr>
    <w:rPr>
      <w:rFonts w:ascii="Arial Bold" w:eastAsiaTheme="majorEastAsia" w:hAnsi="Arial Bold"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locked/>
    <w:rsid w:val="006635AC"/>
    <w:pPr>
      <w:keepNext/>
      <w:numPr>
        <w:ilvl w:val="1"/>
        <w:numId w:val="8"/>
      </w:numPr>
      <w:spacing w:before="120" w:line="240" w:lineRule="auto"/>
      <w:ind w:left="567" w:hanging="567"/>
      <w:contextualSpacing/>
      <w:outlineLvl w:val="1"/>
    </w:pPr>
    <w:rPr>
      <w:b/>
    </w:rPr>
  </w:style>
  <w:style w:type="paragraph" w:styleId="Heading3">
    <w:name w:val="heading 3"/>
    <w:aliases w:val="FSHeading 3,Subheading 1"/>
    <w:basedOn w:val="Normal"/>
    <w:next w:val="Normal"/>
    <w:link w:val="Heading3Char"/>
    <w:autoRedefine/>
    <w:uiPriority w:val="2"/>
    <w:unhideWhenUsed/>
    <w:qFormat/>
    <w:locked/>
    <w:rsid w:val="00A75BE9"/>
    <w:pPr>
      <w:keepNext/>
      <w:numPr>
        <w:ilvl w:val="2"/>
        <w:numId w:val="8"/>
      </w:numPr>
      <w:spacing w:before="120" w:line="240" w:lineRule="auto"/>
      <w:contextualSpacing/>
      <w:outlineLvl w:val="2"/>
    </w:pPr>
    <w:rPr>
      <w:rFonts w:eastAsiaTheme="majorEastAsia" w:cstheme="majorBidi"/>
      <w:b/>
      <w:bCs/>
      <w:i/>
      <w:szCs w:val="24"/>
      <w:lang w:eastAsia="en-AU"/>
    </w:rPr>
  </w:style>
  <w:style w:type="paragraph" w:styleId="Heading4">
    <w:name w:val="heading 4"/>
    <w:aliases w:val="FSHeading 4,Subheading 2"/>
    <w:basedOn w:val="Normal"/>
    <w:next w:val="Normal"/>
    <w:link w:val="Heading4Char"/>
    <w:uiPriority w:val="2"/>
    <w:unhideWhenUsed/>
    <w:qFormat/>
    <w:locked/>
    <w:rsid w:val="00A75BE9"/>
    <w:pPr>
      <w:keepNext/>
      <w:numPr>
        <w:ilvl w:val="3"/>
        <w:numId w:val="8"/>
      </w:numPr>
      <w:spacing w:before="120" w:line="240" w:lineRule="auto"/>
      <w:outlineLvl w:val="3"/>
    </w:pPr>
    <w:rPr>
      <w:rFonts w:eastAsiaTheme="majorEastAsia" w:cstheme="majorBidi"/>
      <w:bCs/>
      <w:i/>
      <w:iCs/>
    </w:rPr>
  </w:style>
  <w:style w:type="paragraph" w:styleId="Heading5">
    <w:name w:val="heading 5"/>
    <w:aliases w:val="FSHeading 5,Subheading 3"/>
    <w:basedOn w:val="Normal"/>
    <w:next w:val="Normal"/>
    <w:link w:val="Heading5Char"/>
    <w:uiPriority w:val="2"/>
    <w:unhideWhenUsed/>
    <w:qFormat/>
    <w:locked/>
    <w:rsid w:val="00404702"/>
    <w:pPr>
      <w:keepNext/>
      <w:numPr>
        <w:ilvl w:val="4"/>
        <w:numId w:val="8"/>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47403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03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03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87026E"/>
    <w:rPr>
      <w:rFonts w:ascii="Arial Bold" w:eastAsiaTheme="majorEastAsia" w:hAnsi="Arial Bold"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6635AC"/>
    <w:rPr>
      <w:rFonts w:cstheme="minorBidi"/>
      <w:b/>
      <w:lang w:val="en-GB"/>
    </w:rPr>
  </w:style>
  <w:style w:type="character" w:customStyle="1" w:styleId="Heading3Char">
    <w:name w:val="Heading 3 Char"/>
    <w:aliases w:val="FSHeading 3 Char,Subheading 1 Char"/>
    <w:basedOn w:val="DefaultParagraphFont"/>
    <w:link w:val="Heading3"/>
    <w:uiPriority w:val="2"/>
    <w:rsid w:val="00A75BE9"/>
    <w:rPr>
      <w:rFonts w:eastAsiaTheme="majorEastAsia" w:cstheme="majorBidi"/>
      <w:b/>
      <w:bCs/>
      <w:i/>
      <w:szCs w:val="24"/>
      <w:lang w:val="en-GB" w:eastAsia="en-AU"/>
    </w:rPr>
  </w:style>
  <w:style w:type="character" w:customStyle="1" w:styleId="Heading4Char">
    <w:name w:val="Heading 4 Char"/>
    <w:aliases w:val="FSHeading 4 Char,Subheading 2 Char"/>
    <w:basedOn w:val="DefaultParagraphFont"/>
    <w:link w:val="Heading4"/>
    <w:uiPriority w:val="2"/>
    <w:rsid w:val="00A75BE9"/>
    <w:rPr>
      <w:rFonts w:eastAsiaTheme="majorEastAsia" w:cstheme="majorBidi"/>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9A560C"/>
    <w:pPr>
      <w:spacing w:after="0" w:line="240" w:lineRule="auto"/>
      <w:contextualSpacing/>
    </w:pPr>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link w:val="FSTableColumnRowheadingChar"/>
    <w:uiPriority w:val="8"/>
    <w:qFormat/>
    <w:locked/>
    <w:rsid w:val="00C1071E"/>
    <w:pPr>
      <w:keepNext/>
      <w:numPr>
        <w:numId w:val="6"/>
      </w:numPr>
      <w:spacing w:before="120" w:line="240" w:lineRule="auto"/>
      <w:ind w:left="0" w:firstLine="0"/>
      <w:contextualSpacing/>
    </w:pPr>
    <w:rPr>
      <w:b/>
      <w:sz w:val="20"/>
      <w:szCs w:val="20"/>
    </w:rPr>
  </w:style>
  <w:style w:type="paragraph" w:customStyle="1" w:styleId="FSTableFigureHeading">
    <w:name w:val="FSTable/Figure Heading"/>
    <w:basedOn w:val="Normal"/>
    <w:uiPriority w:val="7"/>
    <w:qFormat/>
    <w:locked/>
    <w:rsid w:val="00404702"/>
    <w:pPr>
      <w:spacing w:before="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spacing w:after="120" w:line="276" w:lineRule="auto"/>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810B7"/>
    <w:rPr>
      <w:rFonts w:ascii="Tahoma" w:hAnsi="Tahoma" w:cs="Tahoma"/>
      <w:sz w:val="16"/>
      <w:szCs w:val="16"/>
    </w:rPr>
  </w:style>
  <w:style w:type="character" w:customStyle="1" w:styleId="BalloonTextChar">
    <w:name w:val="Balloon Text Char"/>
    <w:basedOn w:val="DefaultParagraphFont"/>
    <w:link w:val="BalloonText"/>
    <w:uiPriority w:val="99"/>
    <w:semiHidden/>
    <w:rsid w:val="008810B7"/>
    <w:rPr>
      <w:rFonts w:ascii="Tahoma" w:hAnsi="Tahoma" w:cs="Tahoma"/>
      <w:sz w:val="16"/>
      <w:szCs w:val="16"/>
      <w:lang w:val="en-GB"/>
    </w:rPr>
  </w:style>
  <w:style w:type="paragraph" w:styleId="Title">
    <w:name w:val="Title"/>
    <w:basedOn w:val="Normal"/>
    <w:next w:val="Normal"/>
    <w:link w:val="TitleChar"/>
    <w:uiPriority w:val="10"/>
    <w:rsid w:val="00624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73"/>
    <w:rPr>
      <w:rFonts w:asciiTheme="majorHAnsi" w:eastAsiaTheme="majorEastAsia" w:hAnsiTheme="majorHAnsi" w:cstheme="majorBidi"/>
      <w:color w:val="17365D" w:themeColor="text2" w:themeShade="BF"/>
      <w:spacing w:val="5"/>
      <w:kern w:val="28"/>
      <w:sz w:val="52"/>
      <w:szCs w:val="52"/>
      <w:lang w:val="en-GB"/>
    </w:rPr>
  </w:style>
  <w:style w:type="paragraph" w:customStyle="1" w:styleId="FSTitle">
    <w:name w:val="FS Title"/>
    <w:basedOn w:val="Normal"/>
    <w:link w:val="FSTitleChar"/>
    <w:qFormat/>
    <w:rsid w:val="00474032"/>
    <w:pPr>
      <w:spacing w:before="240" w:after="240"/>
    </w:pPr>
    <w:rPr>
      <w:spacing w:val="20"/>
      <w:sz w:val="44"/>
      <w:szCs w:val="44"/>
    </w:rPr>
  </w:style>
  <w:style w:type="paragraph" w:customStyle="1" w:styleId="FSSubtitle">
    <w:name w:val="FS Subtitle"/>
    <w:basedOn w:val="Normal"/>
    <w:link w:val="FSSubtitleChar"/>
    <w:qFormat/>
    <w:rsid w:val="004B079A"/>
    <w:pPr>
      <w:spacing w:before="120" w:after="240"/>
    </w:pPr>
    <w:rPr>
      <w:sz w:val="36"/>
      <w:szCs w:val="36"/>
    </w:rPr>
  </w:style>
  <w:style w:type="character" w:customStyle="1" w:styleId="FSTitleChar">
    <w:name w:val="FS Title Char"/>
    <w:basedOn w:val="DefaultParagraphFont"/>
    <w:link w:val="FSTitle"/>
    <w:rsid w:val="00474032"/>
    <w:rPr>
      <w:rFonts w:cstheme="minorBidi"/>
      <w:spacing w:val="20"/>
      <w:sz w:val="44"/>
      <w:szCs w:val="44"/>
      <w:lang w:val="en-GB"/>
    </w:rPr>
  </w:style>
  <w:style w:type="paragraph" w:styleId="TOCHeading">
    <w:name w:val="TOC Heading"/>
    <w:basedOn w:val="Heading1"/>
    <w:next w:val="Normal"/>
    <w:uiPriority w:val="39"/>
    <w:semiHidden/>
    <w:unhideWhenUsed/>
    <w:qFormat/>
    <w:rsid w:val="004B079A"/>
    <w:pPr>
      <w:keepLines/>
      <w:spacing w:before="480" w:after="0"/>
      <w:outlineLvl w:val="9"/>
    </w:pPr>
    <w:rPr>
      <w:rFonts w:asciiTheme="majorHAnsi" w:hAnsiTheme="majorHAnsi"/>
      <w:color w:val="365F91" w:themeColor="accent1" w:themeShade="BF"/>
      <w:sz w:val="28"/>
      <w:lang w:val="en-US" w:eastAsia="ja-JP"/>
    </w:rPr>
  </w:style>
  <w:style w:type="character" w:customStyle="1" w:styleId="FSSubtitleChar">
    <w:name w:val="FS Subtitle Char"/>
    <w:basedOn w:val="DefaultParagraphFont"/>
    <w:link w:val="FSSubtitle"/>
    <w:rsid w:val="004B079A"/>
    <w:rPr>
      <w:rFonts w:cstheme="minorBidi"/>
      <w:sz w:val="36"/>
      <w:szCs w:val="36"/>
      <w:lang w:val="en-GB"/>
    </w:rPr>
  </w:style>
  <w:style w:type="paragraph" w:styleId="TOC1">
    <w:name w:val="toc 1"/>
    <w:basedOn w:val="Normal"/>
    <w:next w:val="Normal"/>
    <w:autoRedefine/>
    <w:uiPriority w:val="39"/>
    <w:unhideWhenUsed/>
    <w:qFormat/>
    <w:rsid w:val="005833A7"/>
    <w:pPr>
      <w:spacing w:before="120"/>
    </w:pPr>
    <w:rPr>
      <w:rFonts w:asciiTheme="minorHAnsi" w:hAnsiTheme="minorHAnsi"/>
      <w:b/>
      <w:bCs/>
      <w:caps/>
      <w:sz w:val="20"/>
      <w:szCs w:val="20"/>
    </w:rPr>
  </w:style>
  <w:style w:type="paragraph" w:styleId="TOC2">
    <w:name w:val="toc 2"/>
    <w:basedOn w:val="Normal"/>
    <w:next w:val="Normal"/>
    <w:autoRedefine/>
    <w:uiPriority w:val="39"/>
    <w:unhideWhenUsed/>
    <w:qFormat/>
    <w:rsid w:val="004B079A"/>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4B079A"/>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4B079A"/>
    <w:rPr>
      <w:color w:val="0000FF" w:themeColor="hyperlink"/>
      <w:u w:val="single"/>
    </w:rPr>
  </w:style>
  <w:style w:type="table" w:styleId="LightList-Accent1">
    <w:name w:val="Light List Accent 1"/>
    <w:basedOn w:val="TableNormal"/>
    <w:uiPriority w:val="61"/>
    <w:rsid w:val="00B21E39"/>
    <w:pPr>
      <w:spacing w:after="120" w:line="276"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41B0E"/>
    <w:pPr>
      <w:spacing w:after="12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C3F28"/>
    <w:pPr>
      <w:spacing w:after="120" w:line="276"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970002"/>
    <w:pPr>
      <w:spacing w:after="120" w:line="276"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D210F"/>
    <w:pPr>
      <w:spacing w:after="120" w:line="276"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tblHead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A77926"/>
    <w:pPr>
      <w:spacing w:after="120" w:line="276"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6567D"/>
    <w:rPr>
      <w:color w:val="800080" w:themeColor="followedHyperlink"/>
      <w:u w:val="single"/>
    </w:rPr>
  </w:style>
  <w:style w:type="paragraph" w:customStyle="1" w:styleId="reference">
    <w:name w:val="reference"/>
    <w:basedOn w:val="Normal"/>
    <w:link w:val="referenceChar"/>
    <w:qFormat/>
    <w:rsid w:val="0079263E"/>
    <w:pPr>
      <w:spacing w:before="100" w:beforeAutospacing="1" w:after="100" w:afterAutospacing="1"/>
    </w:pPr>
  </w:style>
  <w:style w:type="character" w:customStyle="1" w:styleId="referenceChar">
    <w:name w:val="reference Char"/>
    <w:basedOn w:val="DefaultParagraphFont"/>
    <w:link w:val="reference"/>
    <w:rsid w:val="0079263E"/>
    <w:rPr>
      <w:rFonts w:cstheme="minorBidi"/>
      <w:lang w:val="en-GB"/>
    </w:rPr>
  </w:style>
  <w:style w:type="character" w:styleId="CommentReference">
    <w:name w:val="annotation reference"/>
    <w:basedOn w:val="DefaultParagraphFont"/>
    <w:uiPriority w:val="99"/>
    <w:semiHidden/>
    <w:unhideWhenUsed/>
    <w:rsid w:val="002F79D7"/>
    <w:rPr>
      <w:sz w:val="16"/>
      <w:szCs w:val="16"/>
    </w:rPr>
  </w:style>
  <w:style w:type="paragraph" w:styleId="CommentText">
    <w:name w:val="annotation text"/>
    <w:basedOn w:val="Normal"/>
    <w:link w:val="CommentTextChar"/>
    <w:uiPriority w:val="99"/>
    <w:semiHidden/>
    <w:unhideWhenUsed/>
    <w:rsid w:val="002F79D7"/>
    <w:rPr>
      <w:sz w:val="20"/>
      <w:szCs w:val="20"/>
    </w:rPr>
  </w:style>
  <w:style w:type="character" w:customStyle="1" w:styleId="CommentTextChar">
    <w:name w:val="Comment Text Char"/>
    <w:basedOn w:val="DefaultParagraphFont"/>
    <w:link w:val="CommentText"/>
    <w:uiPriority w:val="99"/>
    <w:semiHidden/>
    <w:rsid w:val="002F79D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2F79D7"/>
    <w:rPr>
      <w:b/>
      <w:bCs/>
    </w:rPr>
  </w:style>
  <w:style w:type="character" w:customStyle="1" w:styleId="CommentSubjectChar">
    <w:name w:val="Comment Subject Char"/>
    <w:basedOn w:val="CommentTextChar"/>
    <w:link w:val="CommentSubject"/>
    <w:uiPriority w:val="99"/>
    <w:semiHidden/>
    <w:rsid w:val="002F79D7"/>
    <w:rPr>
      <w:rFonts w:cstheme="minorBidi"/>
      <w:b/>
      <w:bCs/>
      <w:sz w:val="20"/>
      <w:szCs w:val="20"/>
      <w:lang w:val="en-GB"/>
    </w:rPr>
  </w:style>
  <w:style w:type="character" w:styleId="FootnoteReference">
    <w:name w:val="footnote reference"/>
    <w:basedOn w:val="DefaultParagraphFont"/>
    <w:uiPriority w:val="99"/>
    <w:semiHidden/>
    <w:unhideWhenUsed/>
    <w:rsid w:val="002C170B"/>
    <w:rPr>
      <w:vertAlign w:val="superscript"/>
    </w:rPr>
  </w:style>
  <w:style w:type="character" w:styleId="HTMLCite">
    <w:name w:val="HTML Cite"/>
    <w:basedOn w:val="DefaultParagraphFont"/>
    <w:uiPriority w:val="99"/>
    <w:semiHidden/>
    <w:unhideWhenUsed/>
    <w:rsid w:val="000537FB"/>
    <w:rPr>
      <w:i/>
      <w:iCs/>
    </w:rPr>
  </w:style>
  <w:style w:type="table" w:customStyle="1" w:styleId="LightList-Accent11">
    <w:name w:val="Light List - Accent 11"/>
    <w:basedOn w:val="TableNormal"/>
    <w:next w:val="LightList-Accent1"/>
    <w:uiPriority w:val="61"/>
    <w:rsid w:val="00BA3990"/>
    <w:pPr>
      <w:spacing w:after="120" w:line="276"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7Char">
    <w:name w:val="Heading 7 Char"/>
    <w:basedOn w:val="DefaultParagraphFont"/>
    <w:link w:val="Heading7"/>
    <w:uiPriority w:val="9"/>
    <w:semiHidden/>
    <w:rsid w:val="00474032"/>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47403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474032"/>
    <w:rPr>
      <w:rFonts w:asciiTheme="majorHAnsi" w:eastAsiaTheme="majorEastAsia" w:hAnsiTheme="majorHAnsi" w:cstheme="majorBidi"/>
      <w:i/>
      <w:iCs/>
      <w:color w:val="404040" w:themeColor="text1" w:themeTint="BF"/>
      <w:sz w:val="20"/>
      <w:szCs w:val="20"/>
      <w:lang w:val="en-GB"/>
    </w:rPr>
  </w:style>
  <w:style w:type="paragraph" w:styleId="TableofFigures">
    <w:name w:val="table of figures"/>
    <w:basedOn w:val="Normal"/>
    <w:next w:val="Normal"/>
    <w:uiPriority w:val="99"/>
    <w:semiHidden/>
    <w:unhideWhenUsed/>
    <w:rsid w:val="00DE4473"/>
  </w:style>
  <w:style w:type="paragraph" w:styleId="TOC9">
    <w:name w:val="toc 9"/>
    <w:basedOn w:val="Normal"/>
    <w:next w:val="Normal"/>
    <w:autoRedefine/>
    <w:uiPriority w:val="39"/>
    <w:unhideWhenUsed/>
    <w:rsid w:val="00DE4473"/>
    <w:pPr>
      <w:spacing w:after="0"/>
      <w:ind w:left="1760"/>
    </w:pPr>
    <w:rPr>
      <w:rFonts w:asciiTheme="minorHAnsi" w:hAnsiTheme="minorHAnsi"/>
      <w:sz w:val="18"/>
      <w:szCs w:val="18"/>
    </w:rPr>
  </w:style>
  <w:style w:type="paragraph" w:customStyle="1" w:styleId="CrossReference">
    <w:name w:val="Cross Reference"/>
    <w:basedOn w:val="Normal"/>
    <w:next w:val="Normal"/>
    <w:link w:val="CrossReferenceChar"/>
    <w:autoRedefine/>
    <w:qFormat/>
    <w:rsid w:val="00447177"/>
    <w:rPr>
      <w:color w:val="0000FF"/>
      <w:u w:val="single"/>
      <w:lang w:eastAsia="en-GB"/>
    </w:rPr>
  </w:style>
  <w:style w:type="character" w:customStyle="1" w:styleId="CrossReferenceChar">
    <w:name w:val="Cross Reference Char"/>
    <w:basedOn w:val="DefaultParagraphFont"/>
    <w:link w:val="CrossReference"/>
    <w:rsid w:val="00447177"/>
    <w:rPr>
      <w:rFonts w:cstheme="minorBidi"/>
      <w:color w:val="0000FF"/>
      <w:u w:val="single"/>
      <w:lang w:val="en-GB" w:eastAsia="en-GB"/>
    </w:rPr>
  </w:style>
  <w:style w:type="paragraph" w:customStyle="1" w:styleId="TableFoot">
    <w:name w:val="TableFoot"/>
    <w:basedOn w:val="Normal"/>
    <w:link w:val="TableFootChar"/>
    <w:qFormat/>
    <w:rsid w:val="002302AC"/>
    <w:pPr>
      <w:spacing w:after="0" w:line="240" w:lineRule="auto"/>
      <w:contextualSpacing/>
    </w:pPr>
    <w:rPr>
      <w:sz w:val="16"/>
      <w:szCs w:val="16"/>
    </w:rPr>
  </w:style>
  <w:style w:type="character" w:customStyle="1" w:styleId="TableFootChar">
    <w:name w:val="TableFoot Char"/>
    <w:basedOn w:val="DefaultParagraphFont"/>
    <w:link w:val="TableFoot"/>
    <w:rsid w:val="002302AC"/>
    <w:rPr>
      <w:rFonts w:cstheme="minorBidi"/>
      <w:sz w:val="16"/>
      <w:szCs w:val="16"/>
      <w:lang w:val="en-GB"/>
    </w:rPr>
  </w:style>
  <w:style w:type="paragraph" w:customStyle="1" w:styleId="FSFigure0">
    <w:name w:val="FS Figure"/>
    <w:basedOn w:val="FSTableColumnRowheading"/>
    <w:link w:val="FSFigureChar"/>
    <w:qFormat/>
    <w:rsid w:val="00302407"/>
    <w:pPr>
      <w:numPr>
        <w:numId w:val="16"/>
      </w:numPr>
    </w:pPr>
  </w:style>
  <w:style w:type="character" w:customStyle="1" w:styleId="FSTableColumnRowheadingChar">
    <w:name w:val="FSTable Column/Row heading Char"/>
    <w:basedOn w:val="DefaultParagraphFont"/>
    <w:link w:val="FSTableColumnRowheading"/>
    <w:uiPriority w:val="8"/>
    <w:rsid w:val="00302407"/>
    <w:rPr>
      <w:rFonts w:cstheme="minorBidi"/>
      <w:b/>
      <w:sz w:val="20"/>
      <w:szCs w:val="20"/>
      <w:lang w:val="en-GB"/>
    </w:rPr>
  </w:style>
  <w:style w:type="character" w:customStyle="1" w:styleId="FSFigureChar">
    <w:name w:val="FS Figure Char"/>
    <w:basedOn w:val="FSTableColumnRowheadingChar"/>
    <w:link w:val="FSFigure0"/>
    <w:rsid w:val="00302407"/>
    <w:rPr>
      <w:rFonts w:cstheme="minorBidi"/>
      <w:b/>
      <w:sz w:val="20"/>
      <w:szCs w:val="20"/>
      <w:lang w:val="en-GB"/>
    </w:rPr>
  </w:style>
  <w:style w:type="paragraph" w:customStyle="1" w:styleId="FSFigure">
    <w:name w:val="FSFigure"/>
    <w:basedOn w:val="FSTableColumnRowheading"/>
    <w:link w:val="FSFigureChar0"/>
    <w:qFormat/>
    <w:rsid w:val="0067656D"/>
    <w:pPr>
      <w:numPr>
        <w:numId w:val="17"/>
      </w:numPr>
    </w:pPr>
  </w:style>
  <w:style w:type="character" w:customStyle="1" w:styleId="FSFigureChar0">
    <w:name w:val="FSFigure Char"/>
    <w:basedOn w:val="FSTableColumnRowheadingChar"/>
    <w:link w:val="FSFigure"/>
    <w:rsid w:val="0067656D"/>
    <w:rPr>
      <w:rFonts w:cstheme="minorBidi"/>
      <w:b/>
      <w:sz w:val="20"/>
      <w:szCs w:val="20"/>
      <w:lang w:val="en-GB"/>
    </w:rPr>
  </w:style>
  <w:style w:type="paragraph" w:styleId="Revision">
    <w:name w:val="Revision"/>
    <w:hidden/>
    <w:uiPriority w:val="99"/>
    <w:semiHidden/>
    <w:rsid w:val="000505AE"/>
    <w:rPr>
      <w:rFonts w:cstheme="minorBidi"/>
      <w:lang w:val="en-GB"/>
    </w:rPr>
  </w:style>
  <w:style w:type="paragraph" w:styleId="TOC4">
    <w:name w:val="toc 4"/>
    <w:basedOn w:val="Normal"/>
    <w:next w:val="Normal"/>
    <w:autoRedefine/>
    <w:uiPriority w:val="39"/>
    <w:unhideWhenUsed/>
    <w:rsid w:val="003961ED"/>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961ED"/>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3961ED"/>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3961ED"/>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961ED"/>
    <w:pPr>
      <w:spacing w:after="0"/>
      <w:ind w:left="1540"/>
    </w:pPr>
    <w:rPr>
      <w:rFonts w:asciiTheme="minorHAnsi" w:hAnsiTheme="minorHAnsi"/>
      <w:sz w:val="18"/>
      <w:szCs w:val="18"/>
    </w:rPr>
  </w:style>
  <w:style w:type="character" w:styleId="PageNumber">
    <w:name w:val="page number"/>
    <w:basedOn w:val="DefaultParagraphFont"/>
    <w:uiPriority w:val="99"/>
    <w:rsid w:val="005A0BA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631">
      <w:bodyDiv w:val="1"/>
      <w:marLeft w:val="0"/>
      <w:marRight w:val="0"/>
      <w:marTop w:val="0"/>
      <w:marBottom w:val="0"/>
      <w:divBdr>
        <w:top w:val="none" w:sz="0" w:space="0" w:color="auto"/>
        <w:left w:val="none" w:sz="0" w:space="0" w:color="auto"/>
        <w:bottom w:val="none" w:sz="0" w:space="0" w:color="auto"/>
        <w:right w:val="none" w:sz="0" w:space="0" w:color="auto"/>
      </w:divBdr>
    </w:div>
    <w:div w:id="70785013">
      <w:bodyDiv w:val="1"/>
      <w:marLeft w:val="0"/>
      <w:marRight w:val="0"/>
      <w:marTop w:val="0"/>
      <w:marBottom w:val="0"/>
      <w:divBdr>
        <w:top w:val="none" w:sz="0" w:space="0" w:color="auto"/>
        <w:left w:val="none" w:sz="0" w:space="0" w:color="auto"/>
        <w:bottom w:val="none" w:sz="0" w:space="0" w:color="auto"/>
        <w:right w:val="none" w:sz="0" w:space="0" w:color="auto"/>
      </w:divBdr>
    </w:div>
    <w:div w:id="151917227">
      <w:bodyDiv w:val="1"/>
      <w:marLeft w:val="0"/>
      <w:marRight w:val="0"/>
      <w:marTop w:val="0"/>
      <w:marBottom w:val="0"/>
      <w:divBdr>
        <w:top w:val="none" w:sz="0" w:space="0" w:color="auto"/>
        <w:left w:val="none" w:sz="0" w:space="0" w:color="auto"/>
        <w:bottom w:val="none" w:sz="0" w:space="0" w:color="auto"/>
        <w:right w:val="none" w:sz="0" w:space="0" w:color="auto"/>
      </w:divBdr>
    </w:div>
    <w:div w:id="251671324">
      <w:bodyDiv w:val="1"/>
      <w:marLeft w:val="0"/>
      <w:marRight w:val="0"/>
      <w:marTop w:val="0"/>
      <w:marBottom w:val="0"/>
      <w:divBdr>
        <w:top w:val="none" w:sz="0" w:space="0" w:color="auto"/>
        <w:left w:val="none" w:sz="0" w:space="0" w:color="auto"/>
        <w:bottom w:val="none" w:sz="0" w:space="0" w:color="auto"/>
        <w:right w:val="none" w:sz="0" w:space="0" w:color="auto"/>
      </w:divBdr>
    </w:div>
    <w:div w:id="270010973">
      <w:bodyDiv w:val="1"/>
      <w:marLeft w:val="0"/>
      <w:marRight w:val="0"/>
      <w:marTop w:val="0"/>
      <w:marBottom w:val="0"/>
      <w:divBdr>
        <w:top w:val="none" w:sz="0" w:space="0" w:color="auto"/>
        <w:left w:val="none" w:sz="0" w:space="0" w:color="auto"/>
        <w:bottom w:val="none" w:sz="0" w:space="0" w:color="auto"/>
        <w:right w:val="none" w:sz="0" w:space="0" w:color="auto"/>
      </w:divBdr>
    </w:div>
    <w:div w:id="286548183">
      <w:bodyDiv w:val="1"/>
      <w:marLeft w:val="0"/>
      <w:marRight w:val="0"/>
      <w:marTop w:val="0"/>
      <w:marBottom w:val="0"/>
      <w:divBdr>
        <w:top w:val="none" w:sz="0" w:space="0" w:color="auto"/>
        <w:left w:val="none" w:sz="0" w:space="0" w:color="auto"/>
        <w:bottom w:val="none" w:sz="0" w:space="0" w:color="auto"/>
        <w:right w:val="none" w:sz="0" w:space="0" w:color="auto"/>
      </w:divBdr>
    </w:div>
    <w:div w:id="309092943">
      <w:bodyDiv w:val="1"/>
      <w:marLeft w:val="0"/>
      <w:marRight w:val="0"/>
      <w:marTop w:val="0"/>
      <w:marBottom w:val="0"/>
      <w:divBdr>
        <w:top w:val="none" w:sz="0" w:space="0" w:color="auto"/>
        <w:left w:val="none" w:sz="0" w:space="0" w:color="auto"/>
        <w:bottom w:val="none" w:sz="0" w:space="0" w:color="auto"/>
        <w:right w:val="none" w:sz="0" w:space="0" w:color="auto"/>
      </w:divBdr>
    </w:div>
    <w:div w:id="310915213">
      <w:bodyDiv w:val="1"/>
      <w:marLeft w:val="0"/>
      <w:marRight w:val="0"/>
      <w:marTop w:val="0"/>
      <w:marBottom w:val="0"/>
      <w:divBdr>
        <w:top w:val="none" w:sz="0" w:space="0" w:color="auto"/>
        <w:left w:val="none" w:sz="0" w:space="0" w:color="auto"/>
        <w:bottom w:val="none" w:sz="0" w:space="0" w:color="auto"/>
        <w:right w:val="none" w:sz="0" w:space="0" w:color="auto"/>
      </w:divBdr>
    </w:div>
    <w:div w:id="367611708">
      <w:bodyDiv w:val="1"/>
      <w:marLeft w:val="0"/>
      <w:marRight w:val="0"/>
      <w:marTop w:val="0"/>
      <w:marBottom w:val="0"/>
      <w:divBdr>
        <w:top w:val="none" w:sz="0" w:space="0" w:color="auto"/>
        <w:left w:val="none" w:sz="0" w:space="0" w:color="auto"/>
        <w:bottom w:val="none" w:sz="0" w:space="0" w:color="auto"/>
        <w:right w:val="none" w:sz="0" w:space="0" w:color="auto"/>
      </w:divBdr>
    </w:div>
    <w:div w:id="429398653">
      <w:bodyDiv w:val="1"/>
      <w:marLeft w:val="0"/>
      <w:marRight w:val="0"/>
      <w:marTop w:val="0"/>
      <w:marBottom w:val="0"/>
      <w:divBdr>
        <w:top w:val="none" w:sz="0" w:space="0" w:color="auto"/>
        <w:left w:val="none" w:sz="0" w:space="0" w:color="auto"/>
        <w:bottom w:val="none" w:sz="0" w:space="0" w:color="auto"/>
        <w:right w:val="none" w:sz="0" w:space="0" w:color="auto"/>
      </w:divBdr>
    </w:div>
    <w:div w:id="445734484">
      <w:bodyDiv w:val="1"/>
      <w:marLeft w:val="0"/>
      <w:marRight w:val="0"/>
      <w:marTop w:val="0"/>
      <w:marBottom w:val="0"/>
      <w:divBdr>
        <w:top w:val="none" w:sz="0" w:space="0" w:color="auto"/>
        <w:left w:val="none" w:sz="0" w:space="0" w:color="auto"/>
        <w:bottom w:val="none" w:sz="0" w:space="0" w:color="auto"/>
        <w:right w:val="none" w:sz="0" w:space="0" w:color="auto"/>
      </w:divBdr>
    </w:div>
    <w:div w:id="533856503">
      <w:bodyDiv w:val="1"/>
      <w:marLeft w:val="0"/>
      <w:marRight w:val="0"/>
      <w:marTop w:val="0"/>
      <w:marBottom w:val="0"/>
      <w:divBdr>
        <w:top w:val="none" w:sz="0" w:space="0" w:color="auto"/>
        <w:left w:val="none" w:sz="0" w:space="0" w:color="auto"/>
        <w:bottom w:val="none" w:sz="0" w:space="0" w:color="auto"/>
        <w:right w:val="none" w:sz="0" w:space="0" w:color="auto"/>
      </w:divBdr>
    </w:div>
    <w:div w:id="547959694">
      <w:bodyDiv w:val="1"/>
      <w:marLeft w:val="0"/>
      <w:marRight w:val="0"/>
      <w:marTop w:val="0"/>
      <w:marBottom w:val="0"/>
      <w:divBdr>
        <w:top w:val="none" w:sz="0" w:space="0" w:color="auto"/>
        <w:left w:val="none" w:sz="0" w:space="0" w:color="auto"/>
        <w:bottom w:val="none" w:sz="0" w:space="0" w:color="auto"/>
        <w:right w:val="none" w:sz="0" w:space="0" w:color="auto"/>
      </w:divBdr>
    </w:div>
    <w:div w:id="557977396">
      <w:bodyDiv w:val="1"/>
      <w:marLeft w:val="0"/>
      <w:marRight w:val="0"/>
      <w:marTop w:val="0"/>
      <w:marBottom w:val="0"/>
      <w:divBdr>
        <w:top w:val="none" w:sz="0" w:space="0" w:color="auto"/>
        <w:left w:val="none" w:sz="0" w:space="0" w:color="auto"/>
        <w:bottom w:val="none" w:sz="0" w:space="0" w:color="auto"/>
        <w:right w:val="none" w:sz="0" w:space="0" w:color="auto"/>
      </w:divBdr>
    </w:div>
    <w:div w:id="571543759">
      <w:bodyDiv w:val="1"/>
      <w:marLeft w:val="0"/>
      <w:marRight w:val="0"/>
      <w:marTop w:val="0"/>
      <w:marBottom w:val="0"/>
      <w:divBdr>
        <w:top w:val="none" w:sz="0" w:space="0" w:color="auto"/>
        <w:left w:val="none" w:sz="0" w:space="0" w:color="auto"/>
        <w:bottom w:val="none" w:sz="0" w:space="0" w:color="auto"/>
        <w:right w:val="none" w:sz="0" w:space="0" w:color="auto"/>
      </w:divBdr>
    </w:div>
    <w:div w:id="628391459">
      <w:bodyDiv w:val="1"/>
      <w:marLeft w:val="0"/>
      <w:marRight w:val="0"/>
      <w:marTop w:val="0"/>
      <w:marBottom w:val="0"/>
      <w:divBdr>
        <w:top w:val="none" w:sz="0" w:space="0" w:color="auto"/>
        <w:left w:val="none" w:sz="0" w:space="0" w:color="auto"/>
        <w:bottom w:val="none" w:sz="0" w:space="0" w:color="auto"/>
        <w:right w:val="none" w:sz="0" w:space="0" w:color="auto"/>
      </w:divBdr>
    </w:div>
    <w:div w:id="638996856">
      <w:bodyDiv w:val="1"/>
      <w:marLeft w:val="0"/>
      <w:marRight w:val="0"/>
      <w:marTop w:val="0"/>
      <w:marBottom w:val="0"/>
      <w:divBdr>
        <w:top w:val="none" w:sz="0" w:space="0" w:color="auto"/>
        <w:left w:val="none" w:sz="0" w:space="0" w:color="auto"/>
        <w:bottom w:val="none" w:sz="0" w:space="0" w:color="auto"/>
        <w:right w:val="none" w:sz="0" w:space="0" w:color="auto"/>
      </w:divBdr>
    </w:div>
    <w:div w:id="735905952">
      <w:bodyDiv w:val="1"/>
      <w:marLeft w:val="0"/>
      <w:marRight w:val="0"/>
      <w:marTop w:val="0"/>
      <w:marBottom w:val="0"/>
      <w:divBdr>
        <w:top w:val="none" w:sz="0" w:space="0" w:color="auto"/>
        <w:left w:val="none" w:sz="0" w:space="0" w:color="auto"/>
        <w:bottom w:val="none" w:sz="0" w:space="0" w:color="auto"/>
        <w:right w:val="none" w:sz="0" w:space="0" w:color="auto"/>
      </w:divBdr>
    </w:div>
    <w:div w:id="751581098">
      <w:bodyDiv w:val="1"/>
      <w:marLeft w:val="0"/>
      <w:marRight w:val="0"/>
      <w:marTop w:val="0"/>
      <w:marBottom w:val="0"/>
      <w:divBdr>
        <w:top w:val="none" w:sz="0" w:space="0" w:color="auto"/>
        <w:left w:val="none" w:sz="0" w:space="0" w:color="auto"/>
        <w:bottom w:val="none" w:sz="0" w:space="0" w:color="auto"/>
        <w:right w:val="none" w:sz="0" w:space="0" w:color="auto"/>
      </w:divBdr>
    </w:div>
    <w:div w:id="980042819">
      <w:bodyDiv w:val="1"/>
      <w:marLeft w:val="0"/>
      <w:marRight w:val="0"/>
      <w:marTop w:val="0"/>
      <w:marBottom w:val="0"/>
      <w:divBdr>
        <w:top w:val="none" w:sz="0" w:space="0" w:color="auto"/>
        <w:left w:val="none" w:sz="0" w:space="0" w:color="auto"/>
        <w:bottom w:val="none" w:sz="0" w:space="0" w:color="auto"/>
        <w:right w:val="none" w:sz="0" w:space="0" w:color="auto"/>
      </w:divBdr>
    </w:div>
    <w:div w:id="989480064">
      <w:bodyDiv w:val="1"/>
      <w:marLeft w:val="0"/>
      <w:marRight w:val="0"/>
      <w:marTop w:val="0"/>
      <w:marBottom w:val="0"/>
      <w:divBdr>
        <w:top w:val="none" w:sz="0" w:space="0" w:color="auto"/>
        <w:left w:val="none" w:sz="0" w:space="0" w:color="auto"/>
        <w:bottom w:val="none" w:sz="0" w:space="0" w:color="auto"/>
        <w:right w:val="none" w:sz="0" w:space="0" w:color="auto"/>
      </w:divBdr>
    </w:div>
    <w:div w:id="1086611736">
      <w:bodyDiv w:val="1"/>
      <w:marLeft w:val="0"/>
      <w:marRight w:val="0"/>
      <w:marTop w:val="0"/>
      <w:marBottom w:val="0"/>
      <w:divBdr>
        <w:top w:val="none" w:sz="0" w:space="0" w:color="auto"/>
        <w:left w:val="none" w:sz="0" w:space="0" w:color="auto"/>
        <w:bottom w:val="none" w:sz="0" w:space="0" w:color="auto"/>
        <w:right w:val="none" w:sz="0" w:space="0" w:color="auto"/>
      </w:divBdr>
    </w:div>
    <w:div w:id="1120490442">
      <w:bodyDiv w:val="1"/>
      <w:marLeft w:val="0"/>
      <w:marRight w:val="0"/>
      <w:marTop w:val="0"/>
      <w:marBottom w:val="0"/>
      <w:divBdr>
        <w:top w:val="none" w:sz="0" w:space="0" w:color="auto"/>
        <w:left w:val="none" w:sz="0" w:space="0" w:color="auto"/>
        <w:bottom w:val="none" w:sz="0" w:space="0" w:color="auto"/>
        <w:right w:val="none" w:sz="0" w:space="0" w:color="auto"/>
      </w:divBdr>
    </w:div>
    <w:div w:id="1139154365">
      <w:bodyDiv w:val="1"/>
      <w:marLeft w:val="0"/>
      <w:marRight w:val="0"/>
      <w:marTop w:val="0"/>
      <w:marBottom w:val="0"/>
      <w:divBdr>
        <w:top w:val="none" w:sz="0" w:space="0" w:color="auto"/>
        <w:left w:val="none" w:sz="0" w:space="0" w:color="auto"/>
        <w:bottom w:val="none" w:sz="0" w:space="0" w:color="auto"/>
        <w:right w:val="none" w:sz="0" w:space="0" w:color="auto"/>
      </w:divBdr>
    </w:div>
    <w:div w:id="1144154036">
      <w:bodyDiv w:val="1"/>
      <w:marLeft w:val="0"/>
      <w:marRight w:val="0"/>
      <w:marTop w:val="0"/>
      <w:marBottom w:val="0"/>
      <w:divBdr>
        <w:top w:val="none" w:sz="0" w:space="0" w:color="auto"/>
        <w:left w:val="none" w:sz="0" w:space="0" w:color="auto"/>
        <w:bottom w:val="none" w:sz="0" w:space="0" w:color="auto"/>
        <w:right w:val="none" w:sz="0" w:space="0" w:color="auto"/>
      </w:divBdr>
    </w:div>
    <w:div w:id="1193033764">
      <w:bodyDiv w:val="1"/>
      <w:marLeft w:val="0"/>
      <w:marRight w:val="0"/>
      <w:marTop w:val="0"/>
      <w:marBottom w:val="0"/>
      <w:divBdr>
        <w:top w:val="none" w:sz="0" w:space="0" w:color="auto"/>
        <w:left w:val="none" w:sz="0" w:space="0" w:color="auto"/>
        <w:bottom w:val="none" w:sz="0" w:space="0" w:color="auto"/>
        <w:right w:val="none" w:sz="0" w:space="0" w:color="auto"/>
      </w:divBdr>
    </w:div>
    <w:div w:id="1220173150">
      <w:bodyDiv w:val="1"/>
      <w:marLeft w:val="0"/>
      <w:marRight w:val="0"/>
      <w:marTop w:val="0"/>
      <w:marBottom w:val="0"/>
      <w:divBdr>
        <w:top w:val="none" w:sz="0" w:space="0" w:color="auto"/>
        <w:left w:val="none" w:sz="0" w:space="0" w:color="auto"/>
        <w:bottom w:val="none" w:sz="0" w:space="0" w:color="auto"/>
        <w:right w:val="none" w:sz="0" w:space="0" w:color="auto"/>
      </w:divBdr>
    </w:div>
    <w:div w:id="1240941213">
      <w:bodyDiv w:val="1"/>
      <w:marLeft w:val="0"/>
      <w:marRight w:val="0"/>
      <w:marTop w:val="0"/>
      <w:marBottom w:val="0"/>
      <w:divBdr>
        <w:top w:val="none" w:sz="0" w:space="0" w:color="auto"/>
        <w:left w:val="none" w:sz="0" w:space="0" w:color="auto"/>
        <w:bottom w:val="none" w:sz="0" w:space="0" w:color="auto"/>
        <w:right w:val="none" w:sz="0" w:space="0" w:color="auto"/>
      </w:divBdr>
    </w:div>
    <w:div w:id="1471509619">
      <w:bodyDiv w:val="1"/>
      <w:marLeft w:val="0"/>
      <w:marRight w:val="0"/>
      <w:marTop w:val="0"/>
      <w:marBottom w:val="0"/>
      <w:divBdr>
        <w:top w:val="none" w:sz="0" w:space="0" w:color="auto"/>
        <w:left w:val="none" w:sz="0" w:space="0" w:color="auto"/>
        <w:bottom w:val="none" w:sz="0" w:space="0" w:color="auto"/>
        <w:right w:val="none" w:sz="0" w:space="0" w:color="auto"/>
      </w:divBdr>
    </w:div>
    <w:div w:id="1476944380">
      <w:bodyDiv w:val="1"/>
      <w:marLeft w:val="0"/>
      <w:marRight w:val="0"/>
      <w:marTop w:val="0"/>
      <w:marBottom w:val="0"/>
      <w:divBdr>
        <w:top w:val="none" w:sz="0" w:space="0" w:color="auto"/>
        <w:left w:val="none" w:sz="0" w:space="0" w:color="auto"/>
        <w:bottom w:val="none" w:sz="0" w:space="0" w:color="auto"/>
        <w:right w:val="none" w:sz="0" w:space="0" w:color="auto"/>
      </w:divBdr>
    </w:div>
    <w:div w:id="1488478843">
      <w:bodyDiv w:val="1"/>
      <w:marLeft w:val="0"/>
      <w:marRight w:val="0"/>
      <w:marTop w:val="0"/>
      <w:marBottom w:val="0"/>
      <w:divBdr>
        <w:top w:val="none" w:sz="0" w:space="0" w:color="auto"/>
        <w:left w:val="none" w:sz="0" w:space="0" w:color="auto"/>
        <w:bottom w:val="none" w:sz="0" w:space="0" w:color="auto"/>
        <w:right w:val="none" w:sz="0" w:space="0" w:color="auto"/>
      </w:divBdr>
    </w:div>
    <w:div w:id="1488859294">
      <w:bodyDiv w:val="1"/>
      <w:marLeft w:val="0"/>
      <w:marRight w:val="0"/>
      <w:marTop w:val="0"/>
      <w:marBottom w:val="0"/>
      <w:divBdr>
        <w:top w:val="none" w:sz="0" w:space="0" w:color="auto"/>
        <w:left w:val="none" w:sz="0" w:space="0" w:color="auto"/>
        <w:bottom w:val="none" w:sz="0" w:space="0" w:color="auto"/>
        <w:right w:val="none" w:sz="0" w:space="0" w:color="auto"/>
      </w:divBdr>
    </w:div>
    <w:div w:id="1534343189">
      <w:bodyDiv w:val="1"/>
      <w:marLeft w:val="0"/>
      <w:marRight w:val="0"/>
      <w:marTop w:val="0"/>
      <w:marBottom w:val="0"/>
      <w:divBdr>
        <w:top w:val="none" w:sz="0" w:space="0" w:color="auto"/>
        <w:left w:val="none" w:sz="0" w:space="0" w:color="auto"/>
        <w:bottom w:val="none" w:sz="0" w:space="0" w:color="auto"/>
        <w:right w:val="none" w:sz="0" w:space="0" w:color="auto"/>
      </w:divBdr>
    </w:div>
    <w:div w:id="1618828386">
      <w:bodyDiv w:val="1"/>
      <w:marLeft w:val="0"/>
      <w:marRight w:val="0"/>
      <w:marTop w:val="0"/>
      <w:marBottom w:val="0"/>
      <w:divBdr>
        <w:top w:val="none" w:sz="0" w:space="0" w:color="auto"/>
        <w:left w:val="none" w:sz="0" w:space="0" w:color="auto"/>
        <w:bottom w:val="none" w:sz="0" w:space="0" w:color="auto"/>
        <w:right w:val="none" w:sz="0" w:space="0" w:color="auto"/>
      </w:divBdr>
    </w:div>
    <w:div w:id="1627194863">
      <w:bodyDiv w:val="1"/>
      <w:marLeft w:val="0"/>
      <w:marRight w:val="0"/>
      <w:marTop w:val="0"/>
      <w:marBottom w:val="0"/>
      <w:divBdr>
        <w:top w:val="none" w:sz="0" w:space="0" w:color="auto"/>
        <w:left w:val="none" w:sz="0" w:space="0" w:color="auto"/>
        <w:bottom w:val="none" w:sz="0" w:space="0" w:color="auto"/>
        <w:right w:val="none" w:sz="0" w:space="0" w:color="auto"/>
      </w:divBdr>
    </w:div>
    <w:div w:id="1653486491">
      <w:bodyDiv w:val="1"/>
      <w:marLeft w:val="0"/>
      <w:marRight w:val="0"/>
      <w:marTop w:val="0"/>
      <w:marBottom w:val="0"/>
      <w:divBdr>
        <w:top w:val="none" w:sz="0" w:space="0" w:color="auto"/>
        <w:left w:val="none" w:sz="0" w:space="0" w:color="auto"/>
        <w:bottom w:val="none" w:sz="0" w:space="0" w:color="auto"/>
        <w:right w:val="none" w:sz="0" w:space="0" w:color="auto"/>
      </w:divBdr>
    </w:div>
    <w:div w:id="1728147079">
      <w:bodyDiv w:val="1"/>
      <w:marLeft w:val="0"/>
      <w:marRight w:val="0"/>
      <w:marTop w:val="0"/>
      <w:marBottom w:val="0"/>
      <w:divBdr>
        <w:top w:val="none" w:sz="0" w:space="0" w:color="auto"/>
        <w:left w:val="none" w:sz="0" w:space="0" w:color="auto"/>
        <w:bottom w:val="none" w:sz="0" w:space="0" w:color="auto"/>
        <w:right w:val="none" w:sz="0" w:space="0" w:color="auto"/>
      </w:divBdr>
      <w:divsChild>
        <w:div w:id="2100783354">
          <w:marLeft w:val="0"/>
          <w:marRight w:val="0"/>
          <w:marTop w:val="0"/>
          <w:marBottom w:val="0"/>
          <w:divBdr>
            <w:top w:val="none" w:sz="0" w:space="0" w:color="auto"/>
            <w:left w:val="none" w:sz="0" w:space="0" w:color="auto"/>
            <w:bottom w:val="none" w:sz="0" w:space="0" w:color="auto"/>
            <w:right w:val="none" w:sz="0" w:space="0" w:color="auto"/>
          </w:divBdr>
          <w:divsChild>
            <w:div w:id="1924948512">
              <w:marLeft w:val="0"/>
              <w:marRight w:val="0"/>
              <w:marTop w:val="0"/>
              <w:marBottom w:val="0"/>
              <w:divBdr>
                <w:top w:val="none" w:sz="0" w:space="0" w:color="auto"/>
                <w:left w:val="none" w:sz="0" w:space="0" w:color="auto"/>
                <w:bottom w:val="none" w:sz="0" w:space="0" w:color="auto"/>
                <w:right w:val="none" w:sz="0" w:space="0" w:color="auto"/>
              </w:divBdr>
              <w:divsChild>
                <w:div w:id="226648150">
                  <w:marLeft w:val="0"/>
                  <w:marRight w:val="0"/>
                  <w:marTop w:val="0"/>
                  <w:marBottom w:val="0"/>
                  <w:divBdr>
                    <w:top w:val="none" w:sz="0" w:space="0" w:color="auto"/>
                    <w:left w:val="none" w:sz="0" w:space="0" w:color="auto"/>
                    <w:bottom w:val="none" w:sz="0" w:space="0" w:color="auto"/>
                    <w:right w:val="none" w:sz="0" w:space="0" w:color="auto"/>
                  </w:divBdr>
                  <w:divsChild>
                    <w:div w:id="1244333644">
                      <w:marLeft w:val="0"/>
                      <w:marRight w:val="0"/>
                      <w:marTop w:val="45"/>
                      <w:marBottom w:val="0"/>
                      <w:divBdr>
                        <w:top w:val="none" w:sz="0" w:space="0" w:color="auto"/>
                        <w:left w:val="none" w:sz="0" w:space="0" w:color="auto"/>
                        <w:bottom w:val="none" w:sz="0" w:space="0" w:color="auto"/>
                        <w:right w:val="none" w:sz="0" w:space="0" w:color="auto"/>
                      </w:divBdr>
                      <w:divsChild>
                        <w:div w:id="939874005">
                          <w:marLeft w:val="0"/>
                          <w:marRight w:val="0"/>
                          <w:marTop w:val="0"/>
                          <w:marBottom w:val="0"/>
                          <w:divBdr>
                            <w:top w:val="none" w:sz="0" w:space="0" w:color="auto"/>
                            <w:left w:val="none" w:sz="0" w:space="0" w:color="auto"/>
                            <w:bottom w:val="none" w:sz="0" w:space="0" w:color="auto"/>
                            <w:right w:val="none" w:sz="0" w:space="0" w:color="auto"/>
                          </w:divBdr>
                          <w:divsChild>
                            <w:div w:id="1510290090">
                              <w:marLeft w:val="2070"/>
                              <w:marRight w:val="3810"/>
                              <w:marTop w:val="0"/>
                              <w:marBottom w:val="0"/>
                              <w:divBdr>
                                <w:top w:val="none" w:sz="0" w:space="0" w:color="auto"/>
                                <w:left w:val="none" w:sz="0" w:space="0" w:color="auto"/>
                                <w:bottom w:val="none" w:sz="0" w:space="0" w:color="auto"/>
                                <w:right w:val="none" w:sz="0" w:space="0" w:color="auto"/>
                              </w:divBdr>
                              <w:divsChild>
                                <w:div w:id="1294630843">
                                  <w:marLeft w:val="0"/>
                                  <w:marRight w:val="0"/>
                                  <w:marTop w:val="0"/>
                                  <w:marBottom w:val="0"/>
                                  <w:divBdr>
                                    <w:top w:val="none" w:sz="0" w:space="0" w:color="auto"/>
                                    <w:left w:val="none" w:sz="0" w:space="0" w:color="auto"/>
                                    <w:bottom w:val="none" w:sz="0" w:space="0" w:color="auto"/>
                                    <w:right w:val="none" w:sz="0" w:space="0" w:color="auto"/>
                                  </w:divBdr>
                                  <w:divsChild>
                                    <w:div w:id="2061781286">
                                      <w:marLeft w:val="0"/>
                                      <w:marRight w:val="0"/>
                                      <w:marTop w:val="0"/>
                                      <w:marBottom w:val="0"/>
                                      <w:divBdr>
                                        <w:top w:val="none" w:sz="0" w:space="0" w:color="auto"/>
                                        <w:left w:val="none" w:sz="0" w:space="0" w:color="auto"/>
                                        <w:bottom w:val="none" w:sz="0" w:space="0" w:color="auto"/>
                                        <w:right w:val="none" w:sz="0" w:space="0" w:color="auto"/>
                                      </w:divBdr>
                                      <w:divsChild>
                                        <w:div w:id="1580363577">
                                          <w:marLeft w:val="0"/>
                                          <w:marRight w:val="0"/>
                                          <w:marTop w:val="0"/>
                                          <w:marBottom w:val="0"/>
                                          <w:divBdr>
                                            <w:top w:val="none" w:sz="0" w:space="0" w:color="auto"/>
                                            <w:left w:val="none" w:sz="0" w:space="0" w:color="auto"/>
                                            <w:bottom w:val="none" w:sz="0" w:space="0" w:color="auto"/>
                                            <w:right w:val="none" w:sz="0" w:space="0" w:color="auto"/>
                                          </w:divBdr>
                                          <w:divsChild>
                                            <w:div w:id="1414427915">
                                              <w:marLeft w:val="0"/>
                                              <w:marRight w:val="0"/>
                                              <w:marTop w:val="90"/>
                                              <w:marBottom w:val="0"/>
                                              <w:divBdr>
                                                <w:top w:val="none" w:sz="0" w:space="0" w:color="auto"/>
                                                <w:left w:val="none" w:sz="0" w:space="0" w:color="auto"/>
                                                <w:bottom w:val="none" w:sz="0" w:space="0" w:color="auto"/>
                                                <w:right w:val="none" w:sz="0" w:space="0" w:color="auto"/>
                                              </w:divBdr>
                                              <w:divsChild>
                                                <w:div w:id="287198342">
                                                  <w:marLeft w:val="0"/>
                                                  <w:marRight w:val="0"/>
                                                  <w:marTop w:val="0"/>
                                                  <w:marBottom w:val="0"/>
                                                  <w:divBdr>
                                                    <w:top w:val="none" w:sz="0" w:space="0" w:color="auto"/>
                                                    <w:left w:val="none" w:sz="0" w:space="0" w:color="auto"/>
                                                    <w:bottom w:val="none" w:sz="0" w:space="0" w:color="auto"/>
                                                    <w:right w:val="none" w:sz="0" w:space="0" w:color="auto"/>
                                                  </w:divBdr>
                                                  <w:divsChild>
                                                    <w:div w:id="257451229">
                                                      <w:marLeft w:val="0"/>
                                                      <w:marRight w:val="0"/>
                                                      <w:marTop w:val="0"/>
                                                      <w:marBottom w:val="0"/>
                                                      <w:divBdr>
                                                        <w:top w:val="none" w:sz="0" w:space="0" w:color="auto"/>
                                                        <w:left w:val="none" w:sz="0" w:space="0" w:color="auto"/>
                                                        <w:bottom w:val="none" w:sz="0" w:space="0" w:color="auto"/>
                                                        <w:right w:val="none" w:sz="0" w:space="0" w:color="auto"/>
                                                      </w:divBdr>
                                                      <w:divsChild>
                                                        <w:div w:id="1188131752">
                                                          <w:marLeft w:val="0"/>
                                                          <w:marRight w:val="0"/>
                                                          <w:marTop w:val="0"/>
                                                          <w:marBottom w:val="345"/>
                                                          <w:divBdr>
                                                            <w:top w:val="none" w:sz="0" w:space="0" w:color="auto"/>
                                                            <w:left w:val="none" w:sz="0" w:space="0" w:color="auto"/>
                                                            <w:bottom w:val="none" w:sz="0" w:space="0" w:color="auto"/>
                                                            <w:right w:val="none" w:sz="0" w:space="0" w:color="auto"/>
                                                          </w:divBdr>
                                                          <w:divsChild>
                                                            <w:div w:id="920336059">
                                                              <w:marLeft w:val="0"/>
                                                              <w:marRight w:val="0"/>
                                                              <w:marTop w:val="0"/>
                                                              <w:marBottom w:val="0"/>
                                                              <w:divBdr>
                                                                <w:top w:val="none" w:sz="0" w:space="0" w:color="auto"/>
                                                                <w:left w:val="none" w:sz="0" w:space="0" w:color="auto"/>
                                                                <w:bottom w:val="none" w:sz="0" w:space="0" w:color="auto"/>
                                                                <w:right w:val="none" w:sz="0" w:space="0" w:color="auto"/>
                                                              </w:divBdr>
                                                              <w:divsChild>
                                                                <w:div w:id="308676897">
                                                                  <w:marLeft w:val="0"/>
                                                                  <w:marRight w:val="0"/>
                                                                  <w:marTop w:val="0"/>
                                                                  <w:marBottom w:val="0"/>
                                                                  <w:divBdr>
                                                                    <w:top w:val="none" w:sz="0" w:space="0" w:color="auto"/>
                                                                    <w:left w:val="none" w:sz="0" w:space="0" w:color="auto"/>
                                                                    <w:bottom w:val="none" w:sz="0" w:space="0" w:color="auto"/>
                                                                    <w:right w:val="none" w:sz="0" w:space="0" w:color="auto"/>
                                                                  </w:divBdr>
                                                                  <w:divsChild>
                                                                    <w:div w:id="885021493">
                                                                      <w:marLeft w:val="0"/>
                                                                      <w:marRight w:val="0"/>
                                                                      <w:marTop w:val="0"/>
                                                                      <w:marBottom w:val="0"/>
                                                                      <w:divBdr>
                                                                        <w:top w:val="none" w:sz="0" w:space="0" w:color="auto"/>
                                                                        <w:left w:val="none" w:sz="0" w:space="0" w:color="auto"/>
                                                                        <w:bottom w:val="none" w:sz="0" w:space="0" w:color="auto"/>
                                                                        <w:right w:val="none" w:sz="0" w:space="0" w:color="auto"/>
                                                                      </w:divBdr>
                                                                      <w:divsChild>
                                                                        <w:div w:id="16070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299918">
      <w:bodyDiv w:val="1"/>
      <w:marLeft w:val="0"/>
      <w:marRight w:val="0"/>
      <w:marTop w:val="0"/>
      <w:marBottom w:val="0"/>
      <w:divBdr>
        <w:top w:val="none" w:sz="0" w:space="0" w:color="auto"/>
        <w:left w:val="none" w:sz="0" w:space="0" w:color="auto"/>
        <w:bottom w:val="none" w:sz="0" w:space="0" w:color="auto"/>
        <w:right w:val="none" w:sz="0" w:space="0" w:color="auto"/>
      </w:divBdr>
    </w:div>
    <w:div w:id="1806044457">
      <w:bodyDiv w:val="1"/>
      <w:marLeft w:val="0"/>
      <w:marRight w:val="0"/>
      <w:marTop w:val="0"/>
      <w:marBottom w:val="0"/>
      <w:divBdr>
        <w:top w:val="none" w:sz="0" w:space="0" w:color="auto"/>
        <w:left w:val="none" w:sz="0" w:space="0" w:color="auto"/>
        <w:bottom w:val="none" w:sz="0" w:space="0" w:color="auto"/>
        <w:right w:val="none" w:sz="0" w:space="0" w:color="auto"/>
      </w:divBdr>
    </w:div>
    <w:div w:id="1806459168">
      <w:bodyDiv w:val="1"/>
      <w:marLeft w:val="0"/>
      <w:marRight w:val="0"/>
      <w:marTop w:val="0"/>
      <w:marBottom w:val="0"/>
      <w:divBdr>
        <w:top w:val="none" w:sz="0" w:space="0" w:color="auto"/>
        <w:left w:val="none" w:sz="0" w:space="0" w:color="auto"/>
        <w:bottom w:val="none" w:sz="0" w:space="0" w:color="auto"/>
        <w:right w:val="none" w:sz="0" w:space="0" w:color="auto"/>
      </w:divBdr>
    </w:div>
    <w:div w:id="1831477937">
      <w:bodyDiv w:val="1"/>
      <w:marLeft w:val="0"/>
      <w:marRight w:val="0"/>
      <w:marTop w:val="0"/>
      <w:marBottom w:val="0"/>
      <w:divBdr>
        <w:top w:val="none" w:sz="0" w:space="0" w:color="auto"/>
        <w:left w:val="none" w:sz="0" w:space="0" w:color="auto"/>
        <w:bottom w:val="none" w:sz="0" w:space="0" w:color="auto"/>
        <w:right w:val="none" w:sz="0" w:space="0" w:color="auto"/>
      </w:divBdr>
    </w:div>
    <w:div w:id="1874295944">
      <w:bodyDiv w:val="1"/>
      <w:marLeft w:val="0"/>
      <w:marRight w:val="0"/>
      <w:marTop w:val="0"/>
      <w:marBottom w:val="0"/>
      <w:divBdr>
        <w:top w:val="none" w:sz="0" w:space="0" w:color="auto"/>
        <w:left w:val="none" w:sz="0" w:space="0" w:color="auto"/>
        <w:bottom w:val="none" w:sz="0" w:space="0" w:color="auto"/>
        <w:right w:val="none" w:sz="0" w:space="0" w:color="auto"/>
      </w:divBdr>
    </w:div>
    <w:div w:id="1987972982">
      <w:bodyDiv w:val="1"/>
      <w:marLeft w:val="0"/>
      <w:marRight w:val="0"/>
      <w:marTop w:val="0"/>
      <w:marBottom w:val="0"/>
      <w:divBdr>
        <w:top w:val="none" w:sz="0" w:space="0" w:color="auto"/>
        <w:left w:val="none" w:sz="0" w:space="0" w:color="auto"/>
        <w:bottom w:val="none" w:sz="0" w:space="0" w:color="auto"/>
        <w:right w:val="none" w:sz="0" w:space="0" w:color="auto"/>
      </w:divBdr>
    </w:div>
    <w:div w:id="2015762133">
      <w:bodyDiv w:val="1"/>
      <w:marLeft w:val="0"/>
      <w:marRight w:val="0"/>
      <w:marTop w:val="0"/>
      <w:marBottom w:val="0"/>
      <w:divBdr>
        <w:top w:val="none" w:sz="0" w:space="0" w:color="auto"/>
        <w:left w:val="none" w:sz="0" w:space="0" w:color="auto"/>
        <w:bottom w:val="none" w:sz="0" w:space="0" w:color="auto"/>
        <w:right w:val="none" w:sz="0" w:space="0" w:color="auto"/>
      </w:divBdr>
    </w:div>
    <w:div w:id="2039548076">
      <w:bodyDiv w:val="1"/>
      <w:marLeft w:val="0"/>
      <w:marRight w:val="0"/>
      <w:marTop w:val="0"/>
      <w:marBottom w:val="0"/>
      <w:divBdr>
        <w:top w:val="none" w:sz="0" w:space="0" w:color="auto"/>
        <w:left w:val="none" w:sz="0" w:space="0" w:color="auto"/>
        <w:bottom w:val="none" w:sz="0" w:space="0" w:color="auto"/>
        <w:right w:val="none" w:sz="0" w:space="0" w:color="auto"/>
      </w:divBdr>
    </w:div>
    <w:div w:id="2070416666">
      <w:bodyDiv w:val="1"/>
      <w:marLeft w:val="0"/>
      <w:marRight w:val="0"/>
      <w:marTop w:val="0"/>
      <w:marBottom w:val="0"/>
      <w:divBdr>
        <w:top w:val="none" w:sz="0" w:space="0" w:color="auto"/>
        <w:left w:val="none" w:sz="0" w:space="0" w:color="auto"/>
        <w:bottom w:val="none" w:sz="0" w:space="0" w:color="auto"/>
        <w:right w:val="none" w:sz="0" w:space="0" w:color="auto"/>
      </w:divBdr>
    </w:div>
    <w:div w:id="2084717893">
      <w:bodyDiv w:val="1"/>
      <w:marLeft w:val="0"/>
      <w:marRight w:val="0"/>
      <w:marTop w:val="0"/>
      <w:marBottom w:val="0"/>
      <w:divBdr>
        <w:top w:val="none" w:sz="0" w:space="0" w:color="auto"/>
        <w:left w:val="none" w:sz="0" w:space="0" w:color="auto"/>
        <w:bottom w:val="none" w:sz="0" w:space="0" w:color="auto"/>
        <w:right w:val="none" w:sz="0" w:space="0" w:color="auto"/>
      </w:divBdr>
    </w:div>
    <w:div w:id="2121293584">
      <w:bodyDiv w:val="1"/>
      <w:marLeft w:val="0"/>
      <w:marRight w:val="0"/>
      <w:marTop w:val="0"/>
      <w:marBottom w:val="0"/>
      <w:divBdr>
        <w:top w:val="none" w:sz="0" w:space="0" w:color="auto"/>
        <w:left w:val="none" w:sz="0" w:space="0" w:color="auto"/>
        <w:bottom w:val="none" w:sz="0" w:space="0" w:color="auto"/>
        <w:right w:val="none" w:sz="0" w:space="0" w:color="auto"/>
      </w:divBdr>
    </w:div>
    <w:div w:id="2135250750">
      <w:bodyDiv w:val="1"/>
      <w:marLeft w:val="0"/>
      <w:marRight w:val="0"/>
      <w:marTop w:val="0"/>
      <w:marBottom w:val="0"/>
      <w:divBdr>
        <w:top w:val="none" w:sz="0" w:space="0" w:color="auto"/>
        <w:left w:val="none" w:sz="0" w:space="0" w:color="auto"/>
        <w:bottom w:val="none" w:sz="0" w:space="0" w:color="auto"/>
        <w:right w:val="none" w:sz="0" w:space="0" w:color="auto"/>
      </w:divBdr>
    </w:div>
    <w:div w:id="214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s://www.atsdr.cdc.gov/phs/phs.asp?id=1115&amp;tid=237" TargetMode="External"/><Relationship Id="rId21" Type="http://schemas.openxmlformats.org/officeDocument/2006/relationships/hyperlink" Target="http://www.foodstandards.gov.au/publications/Pages/Principles-and-Practices-of-Dietary.aspx" TargetMode="External"/><Relationship Id="rId22" Type="http://schemas.openxmlformats.org/officeDocument/2006/relationships/hyperlink" Target="http://www.foodstandards.gov.au/publications/Pages/24th-ATDS-Phase-2.aspx" TargetMode="External"/><Relationship Id="rId23" Type="http://schemas.openxmlformats.org/officeDocument/2006/relationships/hyperlink" Target="http://www.foodstandards.gov.au/science/riskanalysis/Pages/default.aspx" TargetMode="External"/><Relationship Id="rId24" Type="http://schemas.openxmlformats.org/officeDocument/2006/relationships/hyperlink" Target="http://www.foodstandards.gov.au/science/exposure/documents/Principles%20_%20practices%20exposure%20assessment%202009.pdf" TargetMode="External"/><Relationship Id="rId25" Type="http://schemas.openxmlformats.org/officeDocument/2006/relationships/hyperlink" Target="http://www.foodstandards.gov.au/science/exposure/Pages/dietaryexposureandin4438.aspx" TargetMode="External"/><Relationship Id="rId26" Type="http://schemas.openxmlformats.org/officeDocument/2006/relationships/fontTable" Target="fontTable.xml"/><Relationship Id="rId27"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hyperlink" Target="http://fsintranet/IWG/W1104/Documents/Consolidated%20Report%20folder/SD1%20%20-PFOS_PFOA_PFHxS%20DRAFT%20FINAL.docx" TargetMode="External"/><Relationship Id="rId17" Type="http://schemas.openxmlformats.org/officeDocument/2006/relationships/footer" Target="footer1.xml"/><Relationship Id="rId18" Type="http://schemas.openxmlformats.org/officeDocument/2006/relationships/image" Target="media/image2.png"/><Relationship Id="rId19" Type="http://schemas.openxmlformats.org/officeDocument/2006/relationships/hyperlink" Target="https://dpir.nt.gov.au/__data/assets/pdf_file/0006/260187/TraceElementsNTFish.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publications/Documents/24th%20Total%20Diet%20Study_Phase%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606E9939A2F074E92F32145C45369E7" ma:contentTypeVersion="44" ma:contentTypeDescription="Files created by FSANZ including letters, draft documents and ideas for FSANZ business." ma:contentTypeScope="" ma:versionID="c823c6322609bc5c69ffe44f1b8b00ab">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Dietary exposure assessment</TermName>
          <TermId xmlns="http://schemas.microsoft.com/office/infopath/2007/PartnerControls">f5396273-7787-45b8-9899-8a359183f9d1</TermId>
        </TermInfo>
      </Terms>
    </bd06d2da0152468b9236b575a71e0e7c>
    <_dlc_DocId xmlns="5759555f-5bed-45a4-a4c2-4e28e2623455">MMF7YEMDTSDN-833-1416</_dlc_DocId>
    <TaxCatchAll xmlns="ec50576e-4a27-4780-a1e1-e59563bc70b8">
      <Value>183</Value>
    </TaxCatchAll>
    <a41428b017d04df981d58ffdf035d7b8 xmlns="ec50576e-4a27-4780-a1e1-e59563bc70b8">
      <Terms xmlns="http://schemas.microsoft.com/office/infopath/2007/PartnerControls"/>
    </a41428b017d04df981d58ffdf035d7b8>
    <_dlc_DocIdUrl xmlns="5759555f-5bed-45a4-a4c2-4e28e2623455">
      <Url>http://fsintranet/IWG/W1104/_layouts/15/DocIdRedir.aspx?ID=MMF7YEMDTSDN-833-1416</Url>
      <Description>MMF7YEMDTSDN-833-1416</Description>
    </_dlc_DocIdUrl>
    <_dlc_DocIdPersistId xmlns="5759555f-5bed-45a4-a4c2-4e28e2623455">false</_dlc_DocIdPersistId>
  </documentManagement>
</p: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C578-877F-4AA3-9135-EB02E509671B}">
  <ds:schemaRefs>
    <ds:schemaRef ds:uri="http://schemas.microsoft.com/sharepoint/v3/contenttype/forms"/>
  </ds:schemaRefs>
</ds:datastoreItem>
</file>

<file path=customXml/itemProps2.xml><?xml version="1.0" encoding="utf-8"?>
<ds:datastoreItem xmlns:ds="http://schemas.openxmlformats.org/officeDocument/2006/customXml" ds:itemID="{D3DF382B-D3F6-4F9B-93E7-43F0A39B0262}">
  <ds:schemaRefs>
    <ds:schemaRef ds:uri="http://schemas.microsoft.com/office/2006/metadata/customXsn"/>
  </ds:schemaRefs>
</ds:datastoreItem>
</file>

<file path=customXml/itemProps3.xml><?xml version="1.0" encoding="utf-8"?>
<ds:datastoreItem xmlns:ds="http://schemas.openxmlformats.org/officeDocument/2006/customXml" ds:itemID="{43C24453-8520-4642-8A9A-6F131455CD2A}">
  <ds:schemaRefs>
    <ds:schemaRef ds:uri="Microsoft.SharePoint.Taxonomy.ContentTypeSync"/>
  </ds:schemaRefs>
</ds:datastoreItem>
</file>

<file path=customXml/itemProps4.xml><?xml version="1.0" encoding="utf-8"?>
<ds:datastoreItem xmlns:ds="http://schemas.openxmlformats.org/officeDocument/2006/customXml" ds:itemID="{A8AF73FF-13F9-4CD5-90F0-C70A1BF2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E2798-B3BE-49A2-B132-5253FA69C31A}">
  <ds:schemaRefs>
    <ds:schemaRef ds:uri="http://purl.org/dc/elements/1.1/"/>
    <ds:schemaRef ds:uri="ec50576e-4a27-4780-a1e1-e59563bc70b8"/>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5759555f-5bed-45a4-a4c2-4e28e2623455"/>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5D8B4185-F545-4778-B248-7DA13403BB7D}">
  <ds:schemaRefs>
    <ds:schemaRef ds:uri="http://schemas.microsoft.com/sharepoint/events"/>
  </ds:schemaRefs>
</ds:datastoreItem>
</file>

<file path=customXml/itemProps7.xml><?xml version="1.0" encoding="utf-8"?>
<ds:datastoreItem xmlns:ds="http://schemas.openxmlformats.org/officeDocument/2006/customXml" ds:itemID="{D04C3488-D635-3F40-A6D7-6FAE50A5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13129</Words>
  <Characters>74840</Characters>
  <Application>Microsoft Macintosh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technical report</vt:lpstr>
    </vt:vector>
  </TitlesOfParts>
  <Company>Food Standards Australia New Zealand</Company>
  <LinksUpToDate>false</LinksUpToDate>
  <CharactersWithSpaces>87794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creator>reussr</dc:creator>
  <cp:lastModifiedBy>Hiba</cp:lastModifiedBy>
  <cp:revision>6</cp:revision>
  <cp:lastPrinted>2017-02-19T06:14:00Z</cp:lastPrinted>
  <dcterms:created xsi:type="dcterms:W3CDTF">2017-03-09T03:02:00Z</dcterms:created>
  <dcterms:modified xsi:type="dcterms:W3CDTF">2017-03-23T06:05:00Z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
    <vt:lpwstr>183;#Dietary exposure assessment|f5396273-7787-45b8-9899-8a359183f9d1</vt:lpwstr>
  </property>
  <property fmtid="{D5CDD505-2E9C-101B-9397-08002B2CF9AE}" pid="3" name="_dlc_DocIdItemGuid">
    <vt:lpwstr>89b2856d-4e3d-4ee9-a749-705f77e34e35</vt:lpwstr>
  </property>
  <property fmtid="{D5CDD505-2E9C-101B-9397-08002B2CF9AE}" pid="4" name="ContentTypeId">
    <vt:lpwstr>0x01010004C4C934AD08B647A78FCADD498BE3190200C606E9939A2F074E92F32145C45369E7</vt:lpwstr>
  </property>
  <property fmtid="{D5CDD505-2E9C-101B-9397-08002B2CF9AE}" pid="5" name="DisposalClass">
    <vt:lpwstr/>
  </property>
  <property fmtid="{D5CDD505-2E9C-101B-9397-08002B2CF9AE}" pid="6" name="SPPCopyMoveEvent">
    <vt:lpwstr>2</vt:lpwstr>
  </property>
</Properties>
</file>